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590FCD" w:rsidP="003D5DBF">
      <w:pPr>
        <w:jc w:val="center"/>
      </w:pPr>
      <w:r>
        <w:object w:dxaOrig="23135" w:dyaOrig="14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25pt;height:414.75pt" o:ole="">
            <v:imagedata r:id="rId8" o:title=""/>
          </v:shape>
          <o:OLEObject Type="Embed" ProgID="Excel.Sheet.12" ShapeID="_x0000_i1025" DrawAspect="Content" ObjectID="_1514038805" r:id="rId9"/>
        </w:object>
      </w:r>
    </w:p>
    <w:p w:rsidR="00EA5418" w:rsidRDefault="00EA5418" w:rsidP="00372F40">
      <w:pPr>
        <w:jc w:val="center"/>
      </w:pPr>
    </w:p>
    <w:bookmarkStart w:id="0" w:name="_MON_1470805999"/>
    <w:bookmarkEnd w:id="0"/>
    <w:p w:rsidR="00EA5418" w:rsidRDefault="00546F27" w:rsidP="0044253C">
      <w:pPr>
        <w:jc w:val="center"/>
      </w:pPr>
      <w:r>
        <w:object w:dxaOrig="25181" w:dyaOrig="18946">
          <v:shape id="_x0000_i1026" type="#_x0000_t75" style="width:585.75pt;height:439.5pt" o:ole="">
            <v:imagedata r:id="rId10" o:title=""/>
          </v:shape>
          <o:OLEObject Type="Embed" ProgID="Excel.Sheet.12" ShapeID="_x0000_i1026" DrawAspect="Content" ObjectID="_1514038806" r:id="rId11"/>
        </w:object>
      </w:r>
    </w:p>
    <w:bookmarkStart w:id="1" w:name="_MON_1470806992"/>
    <w:bookmarkEnd w:id="1"/>
    <w:p w:rsidR="00372F40" w:rsidRDefault="00AC4878" w:rsidP="000C0AB9">
      <w:r>
        <w:object w:dxaOrig="22790" w:dyaOrig="15482">
          <v:shape id="_x0000_i1027" type="#_x0000_t75" style="width:672pt;height:456pt" o:ole="">
            <v:imagedata r:id="rId12" o:title=""/>
          </v:shape>
          <o:OLEObject Type="Embed" ProgID="Excel.Sheet.12" ShapeID="_x0000_i1027" DrawAspect="Content" ObjectID="_1514038807" r:id="rId13"/>
        </w:object>
      </w:r>
    </w:p>
    <w:bookmarkStart w:id="2" w:name="_MON_1470807348"/>
    <w:bookmarkEnd w:id="2"/>
    <w:p w:rsidR="00372F40" w:rsidRDefault="00AC4878" w:rsidP="008E3652">
      <w:pPr>
        <w:jc w:val="center"/>
      </w:pPr>
      <w:r>
        <w:object w:dxaOrig="17731" w:dyaOrig="12404">
          <v:shape id="_x0000_i1028" type="#_x0000_t75" style="width:645.75pt;height:452.25pt" o:ole="">
            <v:imagedata r:id="rId14" o:title=""/>
          </v:shape>
          <o:OLEObject Type="Embed" ProgID="Excel.Sheet.12" ShapeID="_x0000_i1028" DrawAspect="Content" ObjectID="_1514038808" r:id="rId15"/>
        </w:object>
      </w:r>
    </w:p>
    <w:bookmarkStart w:id="3" w:name="_MON_1470809138"/>
    <w:bookmarkEnd w:id="3"/>
    <w:p w:rsidR="00372F40" w:rsidRDefault="00977EC2" w:rsidP="00522632">
      <w:pPr>
        <w:jc w:val="center"/>
      </w:pPr>
      <w:r>
        <w:object w:dxaOrig="17825" w:dyaOrig="11965">
          <v:shape id="_x0000_i1029" type="#_x0000_t75" style="width:633pt;height:423pt" o:ole="">
            <v:imagedata r:id="rId16" o:title=""/>
          </v:shape>
          <o:OLEObject Type="Embed" ProgID="Excel.Sheet.12" ShapeID="_x0000_i1029" DrawAspect="Content" ObjectID="_1514038809" r:id="rId17"/>
        </w:object>
      </w:r>
    </w:p>
    <w:p w:rsidR="00372F40" w:rsidRDefault="00372F40" w:rsidP="002A70B3">
      <w:pPr>
        <w:tabs>
          <w:tab w:val="left" w:pos="2430"/>
        </w:tabs>
      </w:pPr>
    </w:p>
    <w:bookmarkStart w:id="4" w:name="_MON_1470814596"/>
    <w:bookmarkEnd w:id="4"/>
    <w:p w:rsidR="00E32708" w:rsidRDefault="00546F27" w:rsidP="00E32708">
      <w:pPr>
        <w:tabs>
          <w:tab w:val="left" w:pos="2430"/>
        </w:tabs>
        <w:jc w:val="center"/>
      </w:pPr>
      <w:r>
        <w:object w:dxaOrig="19117" w:dyaOrig="11002">
          <v:shape id="_x0000_i1030" type="#_x0000_t75" style="width:666pt;height:382.5pt" o:ole="">
            <v:imagedata r:id="rId18" o:title=""/>
          </v:shape>
          <o:OLEObject Type="Embed" ProgID="Excel.Sheet.12" ShapeID="_x0000_i1030" DrawAspect="Content" ObjectID="_1514038810" r:id="rId19"/>
        </w:object>
      </w:r>
    </w:p>
    <w:bookmarkStart w:id="5" w:name="_MON_1470810366"/>
    <w:bookmarkEnd w:id="5"/>
    <w:p w:rsidR="00E32708" w:rsidRDefault="00780059" w:rsidP="00E32708">
      <w:pPr>
        <w:tabs>
          <w:tab w:val="left" w:pos="2430"/>
        </w:tabs>
        <w:jc w:val="center"/>
      </w:pPr>
      <w:r>
        <w:object w:dxaOrig="25137" w:dyaOrig="17004">
          <v:shape id="_x0000_i1031" type="#_x0000_t75" style="width:667.5pt;height:453.75pt" o:ole="">
            <v:imagedata r:id="rId20" o:title=""/>
          </v:shape>
          <o:OLEObject Type="Embed" ProgID="Excel.Sheet.12" ShapeID="_x0000_i1031" DrawAspect="Content" ObjectID="_1514038811" r:id="rId21"/>
        </w:object>
      </w:r>
      <w:bookmarkStart w:id="6" w:name="_GoBack"/>
      <w:bookmarkEnd w:id="6"/>
    </w:p>
    <w:p w:rsidR="00372F40" w:rsidRDefault="00372F40"/>
    <w:p w:rsidR="00590FCD" w:rsidRDefault="00590FCD" w:rsidP="00540418">
      <w:pPr>
        <w:jc w:val="center"/>
        <w:rPr>
          <w:rFonts w:ascii="Soberana Sans Light" w:hAnsi="Soberana Sans Light"/>
        </w:rPr>
      </w:pPr>
    </w:p>
    <w:p w:rsidR="00590FCD" w:rsidRDefault="00590FCD" w:rsidP="00540418">
      <w:pPr>
        <w:jc w:val="center"/>
        <w:rPr>
          <w:rFonts w:ascii="Soberana Sans Light" w:hAnsi="Soberana Sans Light"/>
        </w:rPr>
      </w:pPr>
    </w:p>
    <w:p w:rsidR="00590FCD" w:rsidRDefault="00590FCD" w:rsidP="00540418">
      <w:pPr>
        <w:jc w:val="center"/>
        <w:rPr>
          <w:rFonts w:ascii="Soberana Sans Light" w:hAnsi="Soberana Sans Light"/>
        </w:rPr>
      </w:pPr>
    </w:p>
    <w:p w:rsidR="00590FCD" w:rsidRDefault="00590FCD" w:rsidP="00540418">
      <w:pPr>
        <w:jc w:val="center"/>
        <w:rPr>
          <w:rFonts w:ascii="Soberana Sans Light" w:hAnsi="Soberana Sans Light"/>
        </w:rPr>
      </w:pPr>
    </w:p>
    <w:p w:rsidR="00590FCD" w:rsidRDefault="00590FCD" w:rsidP="00540418">
      <w:pPr>
        <w:jc w:val="center"/>
        <w:rPr>
          <w:rFonts w:ascii="Soberana Sans Light" w:hAnsi="Soberana Sans Light"/>
        </w:rP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Default="000B32EB">
      <w:pPr>
        <w:rPr>
          <w:rFonts w:ascii="Soberana Sans Light" w:hAnsi="Soberana Sans Light"/>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574266" w:rsidRDefault="00574266" w:rsidP="00540418">
      <w:pPr>
        <w:pStyle w:val="Texto"/>
        <w:spacing w:after="0" w:line="240" w:lineRule="exact"/>
        <w:rPr>
          <w:rFonts w:ascii="Soberana Sans Light" w:hAnsi="Soberana Sans Light"/>
          <w:sz w:val="22"/>
          <w:szCs w:val="22"/>
        </w:rPr>
      </w:pPr>
    </w:p>
    <w:p w:rsidR="000B32EB" w:rsidRPr="00B94587" w:rsidRDefault="000B32EB" w:rsidP="000B32EB">
      <w:pPr>
        <w:jc w:val="center"/>
        <w:rPr>
          <w:rFonts w:ascii="Arial Narrow" w:hAnsi="Arial Narrow"/>
          <w:b/>
        </w:rPr>
      </w:pPr>
      <w:r w:rsidRPr="00B94587">
        <w:rPr>
          <w:rFonts w:ascii="Arial Narrow" w:hAnsi="Arial Narrow"/>
          <w:noProof/>
          <w:lang w:eastAsia="es-MX"/>
        </w:rPr>
        <w:drawing>
          <wp:anchor distT="0" distB="0" distL="114300" distR="114300" simplePos="0" relativeHeight="251664384" behindDoc="0" locked="0" layoutInCell="1" allowOverlap="1">
            <wp:simplePos x="0" y="0"/>
            <wp:positionH relativeFrom="column">
              <wp:posOffset>-254635</wp:posOffset>
            </wp:positionH>
            <wp:positionV relativeFrom="paragraph">
              <wp:posOffset>-2540</wp:posOffset>
            </wp:positionV>
            <wp:extent cx="723265" cy="747395"/>
            <wp:effectExtent l="0" t="0" r="63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der judicial.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265" cy="747395"/>
                    </a:xfrm>
                    <a:prstGeom prst="rect">
                      <a:avLst/>
                    </a:prstGeom>
                  </pic:spPr>
                </pic:pic>
              </a:graphicData>
            </a:graphic>
          </wp:anchor>
        </w:drawing>
      </w:r>
      <w:r w:rsidRPr="00B94587">
        <w:rPr>
          <w:rFonts w:ascii="Arial Narrow" w:hAnsi="Arial Narrow"/>
          <w:b/>
        </w:rPr>
        <w:t>TRIBUNAL SUPERIOR DE JUSTICIA DEL ESTADO DE TLAXCALA</w:t>
      </w:r>
    </w:p>
    <w:p w:rsidR="000B32EB" w:rsidRPr="00B94587" w:rsidRDefault="000B32EB" w:rsidP="000B32EB">
      <w:pPr>
        <w:jc w:val="center"/>
        <w:rPr>
          <w:rFonts w:ascii="Arial Narrow" w:hAnsi="Arial Narrow"/>
          <w:b/>
        </w:rPr>
      </w:pPr>
      <w:r w:rsidRPr="00B94587">
        <w:rPr>
          <w:rFonts w:ascii="Arial Narrow" w:hAnsi="Arial Narrow"/>
          <w:b/>
        </w:rPr>
        <w:t>NOTAS A LOS ESTADOS FINANCIEROS</w:t>
      </w:r>
    </w:p>
    <w:p w:rsidR="000B32EB" w:rsidRPr="00B94587" w:rsidRDefault="000B32EB" w:rsidP="000B32EB">
      <w:pPr>
        <w:jc w:val="center"/>
        <w:rPr>
          <w:rFonts w:ascii="Arial Narrow" w:hAnsi="Arial Narrow"/>
          <w:b/>
        </w:rPr>
      </w:pPr>
      <w:r w:rsidRPr="00B94587">
        <w:rPr>
          <w:rFonts w:ascii="Arial Narrow" w:hAnsi="Arial Narrow"/>
          <w:b/>
        </w:rPr>
        <w:t xml:space="preserve"> 2015</w:t>
      </w:r>
    </w:p>
    <w:p w:rsidR="000B32EB" w:rsidRPr="00B94587" w:rsidRDefault="000B32EB" w:rsidP="000B32EB">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0B32EB" w:rsidRPr="00917741" w:rsidRDefault="000B32EB" w:rsidP="000B32EB">
      <w:pPr>
        <w:jc w:val="both"/>
        <w:rPr>
          <w:rFonts w:ascii="Arial Narrow" w:hAnsi="Arial Narrow"/>
        </w:rPr>
      </w:pPr>
      <w:r w:rsidRPr="00917741">
        <w:rPr>
          <w:rFonts w:ascii="Arial Narrow" w:hAnsi="Arial Narrow"/>
        </w:rPr>
        <w:t>Conforme al artículo 46 y 49 de la Ley General de contabilidad Gubernamental, tomando en cuenta lo postulados de revelación suficiente e importancia relativa con la finalidad de que la información sea transparente. En este apartado son reveladas las cuentas que tuvieron movimie</w:t>
      </w:r>
      <w:r w:rsidR="0007084B">
        <w:rPr>
          <w:rFonts w:ascii="Arial Narrow" w:hAnsi="Arial Narrow"/>
        </w:rPr>
        <w:t>ntos durante el segundo trimestre</w:t>
      </w:r>
      <w:r w:rsidRPr="00917741">
        <w:rPr>
          <w:rFonts w:ascii="Arial Narrow" w:hAnsi="Arial Narrow"/>
        </w:rPr>
        <w:t xml:space="preserve"> de año 2015 que se presenta, las cuales son derivadas de las operaciones financieras y presupuestales del Honorable Tribunal de Superior de Justicia.</w:t>
      </w: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0B32EB" w:rsidRPr="00B94587" w:rsidRDefault="000B32EB" w:rsidP="000B32EB">
      <w:pPr>
        <w:jc w:val="both"/>
        <w:rPr>
          <w:rFonts w:ascii="Arial Narrow" w:hAnsi="Arial Narrow"/>
          <w:b/>
          <w:u w:val="single"/>
        </w:rPr>
      </w:pPr>
      <w:r w:rsidRPr="00B94587">
        <w:rPr>
          <w:rFonts w:ascii="Arial Narrow" w:hAnsi="Arial Narrow"/>
          <w:b/>
          <w:u w:val="single"/>
        </w:rPr>
        <w:t>ACTIVO</w:t>
      </w:r>
    </w:p>
    <w:p w:rsidR="000B32EB" w:rsidRPr="00B94587" w:rsidRDefault="000B32EB" w:rsidP="000B32EB">
      <w:pPr>
        <w:jc w:val="both"/>
        <w:rPr>
          <w:rFonts w:ascii="Arial Narrow" w:hAnsi="Arial Narrow"/>
          <w:b/>
          <w:u w:val="single"/>
        </w:rPr>
      </w:pPr>
      <w:r w:rsidRPr="00B9458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tblPr>
      <w:tblGrid>
        <w:gridCol w:w="3389"/>
        <w:gridCol w:w="1539"/>
      </w:tblGrid>
      <w:tr w:rsidR="001B2167" w:rsidRPr="00701F5D" w:rsidTr="001B2167">
        <w:trPr>
          <w:cnfStyle w:val="100000000000"/>
        </w:trPr>
        <w:tc>
          <w:tcPr>
            <w:cnfStyle w:val="001000000000"/>
            <w:tcW w:w="3389" w:type="dxa"/>
          </w:tcPr>
          <w:p w:rsidR="001B2167" w:rsidRPr="00701F5D" w:rsidRDefault="001B2167" w:rsidP="001B2167">
            <w:pPr>
              <w:jc w:val="both"/>
              <w:rPr>
                <w:rFonts w:ascii="Arial Narrow" w:hAnsi="Arial Narrow"/>
                <w:b w:val="0"/>
                <w:sz w:val="18"/>
                <w:szCs w:val="18"/>
              </w:rPr>
            </w:pPr>
            <w:r w:rsidRPr="00701F5D">
              <w:rPr>
                <w:rFonts w:ascii="Arial Narrow" w:hAnsi="Arial Narrow"/>
                <w:b w:val="0"/>
                <w:sz w:val="18"/>
                <w:szCs w:val="18"/>
              </w:rPr>
              <w:t xml:space="preserve">Fondo fijo </w:t>
            </w:r>
          </w:p>
        </w:tc>
        <w:tc>
          <w:tcPr>
            <w:tcW w:w="1539" w:type="dxa"/>
          </w:tcPr>
          <w:p w:rsidR="001B2167" w:rsidRPr="00701F5D" w:rsidRDefault="001B2167" w:rsidP="001B2167">
            <w:pPr>
              <w:jc w:val="right"/>
              <w:cnfStyle w:val="100000000000"/>
              <w:rPr>
                <w:rFonts w:ascii="Arial Narrow" w:hAnsi="Arial Narrow"/>
                <w:b w:val="0"/>
                <w:sz w:val="18"/>
                <w:szCs w:val="18"/>
              </w:rPr>
            </w:pPr>
            <w:r w:rsidRPr="00701F5D">
              <w:rPr>
                <w:rFonts w:ascii="Arial Narrow" w:hAnsi="Arial Narrow"/>
                <w:b w:val="0"/>
                <w:sz w:val="18"/>
                <w:szCs w:val="18"/>
              </w:rPr>
              <w:t>$</w:t>
            </w:r>
            <w:r>
              <w:rPr>
                <w:rFonts w:ascii="Arial Narrow" w:hAnsi="Arial Narrow"/>
                <w:b w:val="0"/>
                <w:sz w:val="18"/>
                <w:szCs w:val="18"/>
              </w:rPr>
              <w:t xml:space="preserve">          5,999.63</w:t>
            </w:r>
          </w:p>
        </w:tc>
      </w:tr>
      <w:tr w:rsidR="001B2167" w:rsidRPr="00701F5D" w:rsidTr="001B2167">
        <w:trPr>
          <w:cnfStyle w:val="000000100000"/>
        </w:trPr>
        <w:tc>
          <w:tcPr>
            <w:cnfStyle w:val="001000000000"/>
            <w:tcW w:w="3389" w:type="dxa"/>
          </w:tcPr>
          <w:p w:rsidR="001B2167" w:rsidRPr="00701F5D" w:rsidRDefault="001B2167" w:rsidP="001B2167">
            <w:pPr>
              <w:jc w:val="both"/>
              <w:rPr>
                <w:rFonts w:ascii="Arial Narrow" w:hAnsi="Arial Narrow"/>
                <w:b w:val="0"/>
                <w:sz w:val="18"/>
                <w:szCs w:val="18"/>
              </w:rPr>
            </w:pPr>
            <w:r w:rsidRPr="00701F5D">
              <w:rPr>
                <w:rFonts w:ascii="Arial Narrow" w:hAnsi="Arial Narrow"/>
                <w:b w:val="0"/>
                <w:sz w:val="18"/>
                <w:szCs w:val="18"/>
              </w:rPr>
              <w:t>bancos</w:t>
            </w:r>
          </w:p>
        </w:tc>
        <w:tc>
          <w:tcPr>
            <w:tcW w:w="1539" w:type="dxa"/>
          </w:tcPr>
          <w:p w:rsidR="001B2167" w:rsidRPr="00701F5D" w:rsidRDefault="001B2167" w:rsidP="001B2167">
            <w:pPr>
              <w:jc w:val="right"/>
              <w:cnfStyle w:val="000000100000"/>
              <w:rPr>
                <w:rFonts w:ascii="Arial Narrow" w:hAnsi="Arial Narrow"/>
                <w:sz w:val="18"/>
                <w:szCs w:val="18"/>
              </w:rPr>
            </w:pPr>
            <w:r>
              <w:rPr>
                <w:rFonts w:ascii="Arial Narrow" w:hAnsi="Arial Narrow"/>
                <w:sz w:val="18"/>
                <w:szCs w:val="18"/>
              </w:rPr>
              <w:t>$   9,365,389.61</w:t>
            </w:r>
          </w:p>
        </w:tc>
      </w:tr>
      <w:tr w:rsidR="001B2167" w:rsidRPr="00701F5D" w:rsidTr="001B2167">
        <w:tc>
          <w:tcPr>
            <w:cnfStyle w:val="001000000000"/>
            <w:tcW w:w="3389" w:type="dxa"/>
          </w:tcPr>
          <w:p w:rsidR="001B2167" w:rsidRDefault="001B2167" w:rsidP="001B2167">
            <w:pPr>
              <w:jc w:val="both"/>
              <w:rPr>
                <w:rFonts w:ascii="Arial Narrow" w:hAnsi="Arial Narrow"/>
                <w:sz w:val="18"/>
                <w:szCs w:val="18"/>
              </w:rPr>
            </w:pPr>
            <w:r>
              <w:rPr>
                <w:rFonts w:ascii="Arial Narrow" w:hAnsi="Arial Narrow"/>
                <w:sz w:val="18"/>
                <w:szCs w:val="18"/>
              </w:rPr>
              <w:t>Deposito CFE</w:t>
            </w:r>
          </w:p>
        </w:tc>
        <w:tc>
          <w:tcPr>
            <w:tcW w:w="1539" w:type="dxa"/>
          </w:tcPr>
          <w:p w:rsidR="001B2167" w:rsidRDefault="001B2167" w:rsidP="001B2167">
            <w:pPr>
              <w:jc w:val="right"/>
              <w:cnfStyle w:val="000000000000"/>
              <w:rPr>
                <w:rFonts w:ascii="Arial Narrow" w:hAnsi="Arial Narrow"/>
                <w:b/>
                <w:sz w:val="18"/>
                <w:szCs w:val="18"/>
              </w:rPr>
            </w:pPr>
            <w:r>
              <w:rPr>
                <w:rFonts w:ascii="Arial Narrow" w:hAnsi="Arial Narrow"/>
                <w:b/>
                <w:sz w:val="18"/>
                <w:szCs w:val="18"/>
              </w:rPr>
              <w:t>$        24,006.00</w:t>
            </w:r>
          </w:p>
        </w:tc>
      </w:tr>
      <w:tr w:rsidR="001B2167" w:rsidRPr="00701F5D" w:rsidTr="001B2167">
        <w:trPr>
          <w:cnfStyle w:val="000000100000"/>
        </w:trPr>
        <w:tc>
          <w:tcPr>
            <w:cnfStyle w:val="001000000000"/>
            <w:tcW w:w="3389" w:type="dxa"/>
          </w:tcPr>
          <w:p w:rsidR="001B2167" w:rsidRPr="00701F5D" w:rsidRDefault="001B2167" w:rsidP="001B2167">
            <w:pPr>
              <w:jc w:val="both"/>
              <w:rPr>
                <w:rFonts w:ascii="Arial Narrow" w:hAnsi="Arial Narrow"/>
                <w:sz w:val="18"/>
                <w:szCs w:val="18"/>
              </w:rPr>
            </w:pPr>
            <w:r>
              <w:rPr>
                <w:rFonts w:ascii="Arial Narrow" w:hAnsi="Arial Narrow"/>
                <w:sz w:val="18"/>
                <w:szCs w:val="18"/>
              </w:rPr>
              <w:t>Deposito por arrendamientos</w:t>
            </w:r>
          </w:p>
        </w:tc>
        <w:tc>
          <w:tcPr>
            <w:tcW w:w="1539" w:type="dxa"/>
          </w:tcPr>
          <w:p w:rsidR="001B2167" w:rsidRDefault="001B2167" w:rsidP="001B2167">
            <w:pPr>
              <w:jc w:val="right"/>
              <w:cnfStyle w:val="000000100000"/>
              <w:rPr>
                <w:rFonts w:ascii="Arial Narrow" w:hAnsi="Arial Narrow"/>
                <w:b/>
                <w:sz w:val="18"/>
                <w:szCs w:val="18"/>
              </w:rPr>
            </w:pPr>
            <w:r>
              <w:rPr>
                <w:rFonts w:ascii="Arial Narrow" w:hAnsi="Arial Narrow"/>
                <w:b/>
                <w:sz w:val="18"/>
                <w:szCs w:val="18"/>
              </w:rPr>
              <w:t>$      154,199.08</w:t>
            </w:r>
          </w:p>
        </w:tc>
      </w:tr>
      <w:tr w:rsidR="001B2167" w:rsidRPr="00701F5D" w:rsidTr="001B2167">
        <w:tc>
          <w:tcPr>
            <w:cnfStyle w:val="001000000000"/>
            <w:tcW w:w="3389" w:type="dxa"/>
          </w:tcPr>
          <w:p w:rsidR="001B2167" w:rsidRPr="00701F5D" w:rsidRDefault="001B2167" w:rsidP="001B2167">
            <w:pPr>
              <w:jc w:val="both"/>
              <w:rPr>
                <w:rFonts w:ascii="Arial Narrow" w:hAnsi="Arial Narrow"/>
                <w:sz w:val="18"/>
                <w:szCs w:val="18"/>
              </w:rPr>
            </w:pPr>
            <w:r w:rsidRPr="00701F5D">
              <w:rPr>
                <w:rFonts w:ascii="Arial Narrow" w:hAnsi="Arial Narrow"/>
                <w:sz w:val="18"/>
                <w:szCs w:val="18"/>
              </w:rPr>
              <w:t>Efectivo y equivalentes</w:t>
            </w:r>
          </w:p>
        </w:tc>
        <w:tc>
          <w:tcPr>
            <w:tcW w:w="1539" w:type="dxa"/>
          </w:tcPr>
          <w:p w:rsidR="001B2167" w:rsidRPr="00701F5D" w:rsidRDefault="001B2167" w:rsidP="001B2167">
            <w:pPr>
              <w:jc w:val="right"/>
              <w:cnfStyle w:val="000000000000"/>
              <w:rPr>
                <w:rFonts w:ascii="Arial Narrow" w:hAnsi="Arial Narrow"/>
                <w:b/>
                <w:sz w:val="18"/>
                <w:szCs w:val="18"/>
              </w:rPr>
            </w:pPr>
            <w:r>
              <w:rPr>
                <w:rFonts w:ascii="Arial Narrow" w:hAnsi="Arial Narrow"/>
                <w:b/>
                <w:sz w:val="18"/>
                <w:szCs w:val="18"/>
              </w:rPr>
              <w:t>$   9,549,594.32</w:t>
            </w:r>
          </w:p>
        </w:tc>
      </w:tr>
    </w:tbl>
    <w:p w:rsidR="000B32EB" w:rsidRPr="00B94587" w:rsidRDefault="00BE0699" w:rsidP="000B32EB">
      <w:pPr>
        <w:jc w:val="both"/>
        <w:rPr>
          <w:rFonts w:ascii="Arial Narrow" w:hAnsi="Arial Narrow"/>
          <w:b/>
          <w:u w:val="single"/>
        </w:rPr>
      </w:pPr>
      <w:r>
        <w:rPr>
          <w:rFonts w:ascii="Arial Narrow" w:hAnsi="Arial Narrow"/>
          <w:b/>
          <w:u w:val="single"/>
        </w:rPr>
        <w:br w:type="textWrapping" w:clear="all"/>
      </w:r>
    </w:p>
    <w:p w:rsidR="000B32EB" w:rsidRDefault="000B32EB" w:rsidP="000B32EB">
      <w:pPr>
        <w:spacing w:after="0"/>
        <w:jc w:val="both"/>
        <w:rPr>
          <w:rFonts w:ascii="Arial Narrow" w:hAnsi="Arial Narrow"/>
        </w:rPr>
      </w:pPr>
      <w:r w:rsidRPr="00B94587">
        <w:rPr>
          <w:rFonts w:ascii="Arial Narrow" w:hAnsi="Arial Narrow"/>
        </w:rPr>
        <w:t>Los Fondos Fijos Revolvente fueron creados, a efecto de cubrir gastos menores de operación en ciertas áreas, principalmente administrativas; la mayoría de estos fondos son cancelados al cierre de cada Ejercicio.</w:t>
      </w:r>
    </w:p>
    <w:p w:rsidR="00701F5D" w:rsidRPr="00B94587" w:rsidRDefault="00701F5D" w:rsidP="000B32EB">
      <w:pPr>
        <w:spacing w:after="0"/>
        <w:jc w:val="both"/>
        <w:rPr>
          <w:rFonts w:ascii="Arial Narrow" w:hAnsi="Arial Narrow"/>
        </w:rPr>
      </w:pPr>
    </w:p>
    <w:p w:rsidR="000B32EB" w:rsidRPr="00B94587" w:rsidRDefault="000B32EB" w:rsidP="000B32EB">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tblPr>
      <w:tblGrid>
        <w:gridCol w:w="3015"/>
        <w:gridCol w:w="1161"/>
        <w:gridCol w:w="2104"/>
        <w:gridCol w:w="1783"/>
      </w:tblGrid>
      <w:tr w:rsidR="000B32EB" w:rsidRPr="00917741" w:rsidTr="00477421">
        <w:trPr>
          <w:cnfStyle w:val="100000000000"/>
          <w:jc w:val="center"/>
        </w:trPr>
        <w:tc>
          <w:tcPr>
            <w:cnfStyle w:val="001000000000"/>
            <w:tcW w:w="301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Concepto</w:t>
            </w:r>
          </w:p>
        </w:tc>
        <w:tc>
          <w:tcPr>
            <w:tcW w:w="1161" w:type="dxa"/>
          </w:tcPr>
          <w:p w:rsidR="000B32EB" w:rsidRPr="00917741" w:rsidRDefault="000B32EB" w:rsidP="000B32EB">
            <w:pPr>
              <w:jc w:val="both"/>
              <w:cnfStyle w:val="10000000000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0B32EB" w:rsidRPr="00917741" w:rsidRDefault="000B32EB" w:rsidP="000B32EB">
            <w:pPr>
              <w:jc w:val="both"/>
              <w:cnfStyle w:val="10000000000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0B32EB" w:rsidRPr="00917741" w:rsidRDefault="000B32EB" w:rsidP="000B32EB">
            <w:pPr>
              <w:jc w:val="both"/>
              <w:cnfStyle w:val="100000000000"/>
              <w:rPr>
                <w:rFonts w:ascii="Arial Narrow" w:hAnsi="Arial Narrow"/>
                <w:color w:val="auto"/>
                <w:sz w:val="18"/>
                <w:szCs w:val="18"/>
              </w:rPr>
            </w:pPr>
            <w:r w:rsidRPr="00917741">
              <w:rPr>
                <w:rFonts w:ascii="Arial Narrow" w:hAnsi="Arial Narrow"/>
                <w:color w:val="auto"/>
                <w:sz w:val="18"/>
                <w:szCs w:val="18"/>
              </w:rPr>
              <w:t>Factibilidad de cobro</w:t>
            </w:r>
          </w:p>
        </w:tc>
      </w:tr>
      <w:tr w:rsidR="000B32EB" w:rsidRPr="00917741" w:rsidTr="00477421">
        <w:trPr>
          <w:cnfStyle w:val="000000100000"/>
          <w:jc w:val="center"/>
        </w:trPr>
        <w:tc>
          <w:tcPr>
            <w:cnfStyle w:val="00100000000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161" w:type="dxa"/>
          </w:tcPr>
          <w:p w:rsidR="000B32EB" w:rsidRPr="00917741" w:rsidRDefault="00480F7A" w:rsidP="000B32EB">
            <w:pPr>
              <w:jc w:val="right"/>
              <w:cnfStyle w:val="000000100000"/>
              <w:rPr>
                <w:rFonts w:ascii="Arial Narrow" w:hAnsi="Arial Narrow"/>
                <w:color w:val="auto"/>
                <w:sz w:val="18"/>
                <w:szCs w:val="18"/>
              </w:rPr>
            </w:pPr>
            <w:r>
              <w:rPr>
                <w:rFonts w:ascii="Arial Narrow" w:hAnsi="Arial Narrow"/>
                <w:color w:val="auto"/>
                <w:sz w:val="18"/>
                <w:szCs w:val="18"/>
              </w:rPr>
              <w:t xml:space="preserve">$ </w:t>
            </w:r>
            <w:r w:rsidR="00444E6C">
              <w:rPr>
                <w:rFonts w:ascii="Arial Narrow" w:hAnsi="Arial Narrow"/>
                <w:color w:val="auto"/>
                <w:sz w:val="18"/>
                <w:szCs w:val="18"/>
              </w:rPr>
              <w:t>195,100.33</w:t>
            </w:r>
          </w:p>
        </w:tc>
        <w:tc>
          <w:tcPr>
            <w:tcW w:w="210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Menor a un año</w:t>
            </w:r>
          </w:p>
        </w:tc>
        <w:tc>
          <w:tcPr>
            <w:tcW w:w="1783"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Buena</w:t>
            </w:r>
          </w:p>
        </w:tc>
      </w:tr>
      <w:tr w:rsidR="00FB2030" w:rsidRPr="00917741" w:rsidTr="00477421">
        <w:trPr>
          <w:jc w:val="center"/>
        </w:trPr>
        <w:tc>
          <w:tcPr>
            <w:cnfStyle w:val="001000000000"/>
            <w:tcW w:w="3015" w:type="dxa"/>
          </w:tcPr>
          <w:p w:rsidR="00FB2030" w:rsidRPr="00917741" w:rsidRDefault="00FB2030" w:rsidP="000B32EB">
            <w:pPr>
              <w:jc w:val="both"/>
              <w:rPr>
                <w:rFonts w:ascii="Arial Narrow" w:hAnsi="Arial Narrow"/>
                <w:b w:val="0"/>
                <w:sz w:val="18"/>
                <w:szCs w:val="18"/>
              </w:rPr>
            </w:pPr>
            <w:r>
              <w:rPr>
                <w:rFonts w:ascii="Arial Narrow" w:hAnsi="Arial Narrow"/>
                <w:b w:val="0"/>
                <w:sz w:val="18"/>
                <w:szCs w:val="18"/>
              </w:rPr>
              <w:t>Sindicato 7 de mayo</w:t>
            </w:r>
          </w:p>
        </w:tc>
        <w:tc>
          <w:tcPr>
            <w:tcW w:w="1161" w:type="dxa"/>
          </w:tcPr>
          <w:p w:rsidR="00FB2030" w:rsidRPr="00917741" w:rsidRDefault="00FB2030" w:rsidP="000B32EB">
            <w:pPr>
              <w:jc w:val="right"/>
              <w:cnfStyle w:val="000000000000"/>
              <w:rPr>
                <w:rFonts w:ascii="Arial Narrow" w:hAnsi="Arial Narrow"/>
                <w:sz w:val="18"/>
                <w:szCs w:val="18"/>
              </w:rPr>
            </w:pPr>
            <w:r>
              <w:rPr>
                <w:rFonts w:ascii="Arial Narrow" w:hAnsi="Arial Narrow"/>
                <w:sz w:val="18"/>
                <w:szCs w:val="18"/>
              </w:rPr>
              <w:t>$   33,333.33</w:t>
            </w:r>
          </w:p>
        </w:tc>
        <w:tc>
          <w:tcPr>
            <w:tcW w:w="2104" w:type="dxa"/>
          </w:tcPr>
          <w:p w:rsidR="00FB2030" w:rsidRPr="00917741" w:rsidRDefault="00FB2030" w:rsidP="000B32EB">
            <w:pPr>
              <w:jc w:val="both"/>
              <w:cnfStyle w:val="000000000000"/>
              <w:rPr>
                <w:rFonts w:ascii="Arial Narrow" w:hAnsi="Arial Narrow"/>
                <w:sz w:val="18"/>
                <w:szCs w:val="18"/>
              </w:rPr>
            </w:pPr>
            <w:r>
              <w:rPr>
                <w:rFonts w:ascii="Arial Narrow" w:hAnsi="Arial Narrow"/>
                <w:sz w:val="18"/>
                <w:szCs w:val="18"/>
              </w:rPr>
              <w:t>Mayor de un año</w:t>
            </w:r>
          </w:p>
        </w:tc>
        <w:tc>
          <w:tcPr>
            <w:tcW w:w="1783" w:type="dxa"/>
          </w:tcPr>
          <w:p w:rsidR="00FB2030" w:rsidRPr="00917741" w:rsidRDefault="00FB2030" w:rsidP="000B32EB">
            <w:pPr>
              <w:jc w:val="both"/>
              <w:cnfStyle w:val="000000000000"/>
              <w:rPr>
                <w:rFonts w:ascii="Arial Narrow" w:hAnsi="Arial Narrow"/>
                <w:sz w:val="18"/>
                <w:szCs w:val="18"/>
              </w:rPr>
            </w:pPr>
            <w:r>
              <w:rPr>
                <w:rFonts w:ascii="Arial Narrow" w:hAnsi="Arial Narrow"/>
                <w:sz w:val="18"/>
                <w:szCs w:val="18"/>
              </w:rPr>
              <w:t>Buena</w:t>
            </w:r>
          </w:p>
        </w:tc>
      </w:tr>
      <w:tr w:rsidR="000B32EB" w:rsidRPr="00917741" w:rsidTr="00477421">
        <w:trPr>
          <w:cnfStyle w:val="000000100000"/>
          <w:jc w:val="center"/>
        </w:trPr>
        <w:tc>
          <w:tcPr>
            <w:cnfStyle w:val="001000000000"/>
            <w:tcW w:w="3015" w:type="dxa"/>
          </w:tcPr>
          <w:p w:rsidR="000B32EB" w:rsidRPr="00917741" w:rsidRDefault="001F5A4E" w:rsidP="000B32EB">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w:t>
            </w:r>
            <w:r w:rsidR="00FB2030">
              <w:rPr>
                <w:rFonts w:ascii="Arial Narrow" w:hAnsi="Arial Narrow"/>
                <w:b w:val="0"/>
                <w:color w:val="auto"/>
                <w:sz w:val="18"/>
                <w:szCs w:val="18"/>
              </w:rPr>
              <w:t xml:space="preserve"> personales</w:t>
            </w:r>
          </w:p>
        </w:tc>
        <w:tc>
          <w:tcPr>
            <w:tcW w:w="1161"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FB2030">
              <w:rPr>
                <w:rFonts w:ascii="Arial Narrow" w:hAnsi="Arial Narrow"/>
                <w:color w:val="auto"/>
                <w:sz w:val="18"/>
                <w:szCs w:val="18"/>
              </w:rPr>
              <w:t xml:space="preserve">   </w:t>
            </w:r>
            <w:r w:rsidR="003E61F6">
              <w:rPr>
                <w:rFonts w:ascii="Arial Narrow" w:hAnsi="Arial Narrow"/>
                <w:color w:val="auto"/>
                <w:sz w:val="18"/>
                <w:szCs w:val="18"/>
              </w:rPr>
              <w:t>27,431.74</w:t>
            </w:r>
          </w:p>
        </w:tc>
        <w:tc>
          <w:tcPr>
            <w:tcW w:w="210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Mayor a un año</w:t>
            </w:r>
          </w:p>
        </w:tc>
        <w:tc>
          <w:tcPr>
            <w:tcW w:w="1783"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477421">
        <w:trPr>
          <w:jc w:val="center"/>
        </w:trPr>
        <w:tc>
          <w:tcPr>
            <w:cnfStyle w:val="00100000000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Subsidio al empleo</w:t>
            </w:r>
          </w:p>
        </w:tc>
        <w:tc>
          <w:tcPr>
            <w:tcW w:w="1161"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480F7A">
              <w:rPr>
                <w:rFonts w:ascii="Arial Narrow" w:hAnsi="Arial Narrow"/>
                <w:color w:val="auto"/>
                <w:sz w:val="18"/>
                <w:szCs w:val="18"/>
              </w:rPr>
              <w:t xml:space="preserve">        </w:t>
            </w:r>
            <w:r w:rsidR="003E61F6">
              <w:rPr>
                <w:rFonts w:ascii="Arial Narrow" w:hAnsi="Arial Narrow"/>
                <w:color w:val="auto"/>
                <w:sz w:val="18"/>
                <w:szCs w:val="18"/>
              </w:rPr>
              <w:t>988.</w:t>
            </w:r>
            <w:r w:rsidR="001F5A4E">
              <w:rPr>
                <w:rFonts w:ascii="Arial Narrow" w:hAnsi="Arial Narrow"/>
                <w:color w:val="auto"/>
                <w:sz w:val="18"/>
                <w:szCs w:val="18"/>
              </w:rPr>
              <w:t>20</w:t>
            </w:r>
          </w:p>
        </w:tc>
        <w:tc>
          <w:tcPr>
            <w:tcW w:w="210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Menor a un año</w:t>
            </w:r>
          </w:p>
        </w:tc>
        <w:tc>
          <w:tcPr>
            <w:tcW w:w="1783"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477421">
        <w:trPr>
          <w:cnfStyle w:val="000000100000"/>
          <w:jc w:val="center"/>
        </w:trPr>
        <w:tc>
          <w:tcPr>
            <w:cnfStyle w:val="00100000000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161" w:type="dxa"/>
          </w:tcPr>
          <w:p w:rsidR="00FB2030"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444E6C">
              <w:rPr>
                <w:rFonts w:ascii="Arial Narrow" w:hAnsi="Arial Narrow"/>
                <w:color w:val="auto"/>
                <w:sz w:val="18"/>
                <w:szCs w:val="18"/>
              </w:rPr>
              <w:t xml:space="preserve"> 256,853.60</w:t>
            </w:r>
          </w:p>
          <w:p w:rsidR="000B32EB" w:rsidRPr="00917741" w:rsidRDefault="00480F7A" w:rsidP="00FB2030">
            <w:pPr>
              <w:jc w:val="center"/>
              <w:cnfStyle w:val="000000100000"/>
              <w:rPr>
                <w:rFonts w:ascii="Arial Narrow" w:hAnsi="Arial Narrow"/>
                <w:color w:val="auto"/>
                <w:sz w:val="18"/>
                <w:szCs w:val="18"/>
              </w:rPr>
            </w:pPr>
            <w:r>
              <w:rPr>
                <w:rFonts w:ascii="Arial Narrow" w:hAnsi="Arial Narrow"/>
                <w:color w:val="auto"/>
                <w:sz w:val="18"/>
                <w:szCs w:val="18"/>
              </w:rPr>
              <w:t xml:space="preserve"> </w:t>
            </w:r>
            <w:r w:rsidR="001B610A">
              <w:rPr>
                <w:rFonts w:ascii="Arial Narrow" w:hAnsi="Arial Narrow"/>
                <w:color w:val="auto"/>
                <w:sz w:val="18"/>
                <w:szCs w:val="18"/>
              </w:rPr>
              <w:t xml:space="preserve">    </w:t>
            </w:r>
          </w:p>
        </w:tc>
        <w:tc>
          <w:tcPr>
            <w:tcW w:w="2104" w:type="dxa"/>
          </w:tcPr>
          <w:p w:rsidR="000B32EB" w:rsidRPr="00917741" w:rsidRDefault="000B32EB" w:rsidP="000B32EB">
            <w:pPr>
              <w:jc w:val="both"/>
              <w:cnfStyle w:val="000000100000"/>
              <w:rPr>
                <w:rFonts w:ascii="Arial Narrow" w:hAnsi="Arial Narrow"/>
                <w:color w:val="auto"/>
                <w:sz w:val="18"/>
                <w:szCs w:val="18"/>
              </w:rPr>
            </w:pPr>
          </w:p>
        </w:tc>
        <w:tc>
          <w:tcPr>
            <w:tcW w:w="1783" w:type="dxa"/>
          </w:tcPr>
          <w:p w:rsidR="000B32EB" w:rsidRPr="00917741" w:rsidRDefault="000B32EB" w:rsidP="000B32EB">
            <w:pPr>
              <w:jc w:val="both"/>
              <w:cnfStyle w:val="000000100000"/>
              <w:rPr>
                <w:rFonts w:ascii="Arial Narrow" w:hAnsi="Arial Narrow"/>
                <w:color w:val="auto"/>
                <w:sz w:val="18"/>
                <w:szCs w:val="18"/>
              </w:rPr>
            </w:pPr>
          </w:p>
        </w:tc>
      </w:tr>
    </w:tbl>
    <w:p w:rsidR="000B32EB" w:rsidRPr="00B94587" w:rsidRDefault="000B32EB" w:rsidP="000B32EB">
      <w:pPr>
        <w:jc w:val="both"/>
        <w:rPr>
          <w:rFonts w:ascii="Arial Narrow" w:hAnsi="Arial Narrow"/>
          <w:b/>
          <w:u w:val="single"/>
        </w:rPr>
      </w:pPr>
    </w:p>
    <w:p w:rsidR="000B32EB" w:rsidRPr="00B94587" w:rsidRDefault="000B32EB" w:rsidP="000B32EB">
      <w:pPr>
        <w:jc w:val="both"/>
        <w:rPr>
          <w:rFonts w:ascii="Arial Narrow" w:hAnsi="Arial Narrow"/>
          <w:b/>
          <w:u w:val="single"/>
        </w:rPr>
      </w:pPr>
      <w:r w:rsidRPr="00B94587">
        <w:rPr>
          <w:rFonts w:ascii="Arial Narrow" w:hAnsi="Arial Narrow"/>
          <w:b/>
          <w:u w:val="single"/>
        </w:rPr>
        <w:t>3. Bienes para su transformación o consumo (inventarios)</w:t>
      </w:r>
    </w:p>
    <w:p w:rsidR="000B32EB" w:rsidRPr="00B94587" w:rsidRDefault="000B32EB" w:rsidP="000B32EB">
      <w:pPr>
        <w:jc w:val="both"/>
        <w:rPr>
          <w:rFonts w:ascii="Arial Narrow" w:hAnsi="Arial Narrow"/>
        </w:rPr>
      </w:pPr>
      <w:r w:rsidRPr="00B94587">
        <w:rPr>
          <w:rFonts w:ascii="Arial Narrow" w:hAnsi="Arial Narrow"/>
        </w:rPr>
        <w:t>No aplica</w:t>
      </w:r>
    </w:p>
    <w:p w:rsidR="000B32EB" w:rsidRPr="00B94587" w:rsidRDefault="004D13BC" w:rsidP="000B32EB">
      <w:pPr>
        <w:jc w:val="both"/>
        <w:rPr>
          <w:rFonts w:ascii="Arial Narrow" w:hAnsi="Arial Narrow"/>
          <w:b/>
          <w:u w:val="single"/>
        </w:rPr>
      </w:pPr>
      <w:r>
        <w:rPr>
          <w:rFonts w:ascii="Arial Narrow" w:hAnsi="Arial Narrow"/>
          <w:b/>
          <w:u w:val="single"/>
        </w:rPr>
        <w:t>4. I</w:t>
      </w:r>
      <w:r w:rsidR="000B32EB" w:rsidRPr="00B94587">
        <w:rPr>
          <w:rFonts w:ascii="Arial Narrow" w:hAnsi="Arial Narrow"/>
          <w:b/>
          <w:u w:val="single"/>
        </w:rPr>
        <w:t>nversiones financieras</w:t>
      </w:r>
    </w:p>
    <w:p w:rsidR="000B32EB" w:rsidRPr="00B94587" w:rsidRDefault="000B32EB" w:rsidP="000B32EB">
      <w:pPr>
        <w:jc w:val="both"/>
        <w:rPr>
          <w:rFonts w:ascii="Arial Narrow" w:hAnsi="Arial Narrow"/>
          <w:u w:val="single"/>
        </w:rPr>
      </w:pPr>
      <w:r w:rsidRPr="00B94587">
        <w:rPr>
          <w:rFonts w:ascii="Arial Narrow" w:hAnsi="Arial Narrow"/>
          <w:u w:val="single"/>
        </w:rPr>
        <w:t>No aplica</w:t>
      </w:r>
    </w:p>
    <w:p w:rsidR="000B32EB" w:rsidRPr="00B94587" w:rsidRDefault="000B32EB" w:rsidP="000B32EB">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tblPr>
      <w:tblGrid>
        <w:gridCol w:w="2660"/>
        <w:gridCol w:w="1559"/>
        <w:gridCol w:w="1412"/>
        <w:gridCol w:w="1387"/>
        <w:gridCol w:w="1454"/>
        <w:gridCol w:w="1591"/>
      </w:tblGrid>
      <w:tr w:rsidR="000B32EB" w:rsidRPr="00917741" w:rsidTr="00132314">
        <w:trPr>
          <w:cnfStyle w:val="1000000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0B32EB" w:rsidRPr="00917741" w:rsidTr="00132314">
        <w:trPr>
          <w:cnfStyle w:val="000000100000"/>
          <w:jc w:val="center"/>
        </w:trPr>
        <w:tc>
          <w:tcPr>
            <w:cnfStyle w:val="001000000000"/>
            <w:tcW w:w="10063" w:type="dxa"/>
            <w:gridSpan w:val="6"/>
          </w:tcPr>
          <w:p w:rsidR="000B32EB" w:rsidRPr="0040035B" w:rsidRDefault="000B32EB" w:rsidP="000B32EB">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0B32EB" w:rsidRPr="00917741" w:rsidRDefault="00CA539E" w:rsidP="000B32EB">
            <w:pPr>
              <w:jc w:val="right"/>
              <w:cnfStyle w:val="000000000000"/>
              <w:rPr>
                <w:rFonts w:ascii="Arial Narrow" w:hAnsi="Arial Narrow"/>
                <w:color w:val="auto"/>
                <w:sz w:val="18"/>
                <w:szCs w:val="18"/>
              </w:rPr>
            </w:pPr>
            <w:r>
              <w:rPr>
                <w:rFonts w:ascii="Arial Narrow" w:hAnsi="Arial Narrow"/>
                <w:color w:val="auto"/>
                <w:sz w:val="18"/>
                <w:szCs w:val="18"/>
              </w:rPr>
              <w:t>$  5,075,214.90</w:t>
            </w:r>
          </w:p>
        </w:tc>
        <w:tc>
          <w:tcPr>
            <w:tcW w:w="1412"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0B32EB" w:rsidRPr="00917741" w:rsidRDefault="004D13BC" w:rsidP="000B32EB">
            <w:pPr>
              <w:jc w:val="right"/>
              <w:cnfStyle w:val="000000100000"/>
              <w:rPr>
                <w:rFonts w:ascii="Arial Narrow" w:hAnsi="Arial Narrow"/>
                <w:color w:val="auto"/>
                <w:sz w:val="18"/>
                <w:szCs w:val="18"/>
              </w:rPr>
            </w:pPr>
            <w:r>
              <w:rPr>
                <w:rFonts w:ascii="Arial Narrow" w:hAnsi="Arial Narrow"/>
                <w:color w:val="auto"/>
                <w:sz w:val="18"/>
                <w:szCs w:val="18"/>
              </w:rPr>
              <w:t>$  5,790,472.1</w:t>
            </w:r>
            <w:r w:rsidR="00CA539E">
              <w:rPr>
                <w:rFonts w:ascii="Arial Narrow" w:hAnsi="Arial Narrow"/>
                <w:color w:val="auto"/>
                <w:sz w:val="18"/>
                <w:szCs w:val="18"/>
              </w:rPr>
              <w:t>0</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21,192.89</w:t>
            </w:r>
          </w:p>
        </w:tc>
        <w:tc>
          <w:tcPr>
            <w:tcW w:w="1412"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0097169A">
              <w:rPr>
                <w:rFonts w:ascii="Arial Narrow" w:hAnsi="Arial Narrow"/>
                <w:color w:val="auto"/>
                <w:sz w:val="18"/>
                <w:szCs w:val="18"/>
              </w:rPr>
              <w:t>16,395.60</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0B32EB" w:rsidRPr="00917741" w:rsidRDefault="00CA539E" w:rsidP="000B32EB">
            <w:pPr>
              <w:jc w:val="right"/>
              <w:cnfStyle w:val="000000000000"/>
              <w:rPr>
                <w:rFonts w:ascii="Arial Narrow" w:hAnsi="Arial Narrow"/>
                <w:color w:val="auto"/>
                <w:sz w:val="18"/>
                <w:szCs w:val="18"/>
              </w:rPr>
            </w:pPr>
            <w:r>
              <w:rPr>
                <w:rFonts w:ascii="Arial Narrow" w:hAnsi="Arial Narrow"/>
                <w:color w:val="auto"/>
                <w:sz w:val="18"/>
                <w:szCs w:val="18"/>
              </w:rPr>
              <w:t>$  2,200,998.25</w:t>
            </w:r>
          </w:p>
        </w:tc>
        <w:tc>
          <w:tcPr>
            <w:tcW w:w="1412"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0B32EB" w:rsidRPr="00917741" w:rsidRDefault="00CA539E" w:rsidP="000B32EB">
            <w:pPr>
              <w:jc w:val="right"/>
              <w:cnfStyle w:val="000000100000"/>
              <w:rPr>
                <w:rFonts w:ascii="Arial Narrow" w:hAnsi="Arial Narrow"/>
                <w:color w:val="auto"/>
                <w:sz w:val="18"/>
                <w:szCs w:val="18"/>
              </w:rPr>
            </w:pPr>
            <w:r>
              <w:rPr>
                <w:rFonts w:ascii="Arial Narrow" w:hAnsi="Arial Narrow"/>
                <w:color w:val="auto"/>
                <w:sz w:val="18"/>
                <w:szCs w:val="18"/>
              </w:rPr>
              <w:t>$       72,501.60</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rPr>
                <w:rFonts w:ascii="Arial Narrow" w:hAnsi="Arial Narrow"/>
                <w:color w:val="auto"/>
                <w:sz w:val="18"/>
                <w:szCs w:val="18"/>
              </w:rPr>
            </w:pP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0B32EB" w:rsidRPr="00917741" w:rsidRDefault="00D660E0" w:rsidP="000B32EB">
            <w:pPr>
              <w:jc w:val="right"/>
              <w:cnfStyle w:val="000000000000"/>
              <w:rPr>
                <w:rFonts w:ascii="Arial Narrow" w:hAnsi="Arial Narrow"/>
                <w:color w:val="auto"/>
                <w:sz w:val="18"/>
                <w:szCs w:val="18"/>
              </w:rPr>
            </w:pPr>
            <w:r>
              <w:rPr>
                <w:rFonts w:ascii="Arial Narrow" w:hAnsi="Arial Narrow"/>
                <w:color w:val="auto"/>
                <w:sz w:val="18"/>
                <w:szCs w:val="18"/>
              </w:rPr>
              <w:t xml:space="preserve">$       </w:t>
            </w:r>
            <w:r w:rsidR="004D13BC">
              <w:rPr>
                <w:rFonts w:ascii="Arial Narrow" w:hAnsi="Arial Narrow"/>
                <w:color w:val="auto"/>
                <w:sz w:val="18"/>
                <w:szCs w:val="18"/>
              </w:rPr>
              <w:t>11,502.57</w:t>
            </w:r>
          </w:p>
        </w:tc>
        <w:tc>
          <w:tcPr>
            <w:tcW w:w="1412" w:type="dxa"/>
          </w:tcPr>
          <w:p w:rsidR="000B32EB" w:rsidRPr="00917741" w:rsidRDefault="000B32EB" w:rsidP="000B32EB">
            <w:pPr>
              <w:jc w:val="both"/>
              <w:cnfStyle w:val="000000000000"/>
              <w:rPr>
                <w:rFonts w:ascii="Arial Narrow" w:hAnsi="Arial Narrow"/>
                <w:color w:val="auto"/>
                <w:sz w:val="18"/>
                <w:szCs w:val="18"/>
              </w:rPr>
            </w:pPr>
          </w:p>
        </w:tc>
        <w:tc>
          <w:tcPr>
            <w:tcW w:w="1387" w:type="dxa"/>
          </w:tcPr>
          <w:p w:rsidR="000B32EB" w:rsidRPr="00917741" w:rsidRDefault="000B32EB" w:rsidP="000B32EB">
            <w:pPr>
              <w:jc w:val="both"/>
              <w:cnfStyle w:val="000000000000"/>
              <w:rPr>
                <w:rFonts w:ascii="Arial Narrow" w:hAnsi="Arial Narrow"/>
                <w:color w:val="auto"/>
                <w:sz w:val="18"/>
                <w:szCs w:val="18"/>
              </w:rPr>
            </w:pPr>
          </w:p>
        </w:tc>
        <w:tc>
          <w:tcPr>
            <w:tcW w:w="1454" w:type="dxa"/>
          </w:tcPr>
          <w:p w:rsidR="000B32EB" w:rsidRPr="00917741" w:rsidRDefault="000B32EB" w:rsidP="000B32EB">
            <w:pPr>
              <w:jc w:val="both"/>
              <w:cnfStyle w:val="000000000000"/>
              <w:rPr>
                <w:rFonts w:ascii="Arial Narrow" w:hAnsi="Arial Narrow"/>
                <w:color w:val="auto"/>
                <w:sz w:val="18"/>
                <w:szCs w:val="18"/>
              </w:rPr>
            </w:pPr>
          </w:p>
        </w:tc>
        <w:tc>
          <w:tcPr>
            <w:tcW w:w="1591" w:type="dxa"/>
          </w:tcPr>
          <w:p w:rsidR="000B32EB" w:rsidRPr="00917741" w:rsidRDefault="000B32EB" w:rsidP="000B32EB">
            <w:pPr>
              <w:jc w:val="both"/>
              <w:cnfStyle w:val="000000000000"/>
              <w:rPr>
                <w:rFonts w:ascii="Arial Narrow" w:hAnsi="Arial Narrow"/>
                <w:color w:val="auto"/>
                <w:sz w:val="18"/>
                <w:szCs w:val="18"/>
              </w:rPr>
            </w:pP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0B32EB" w:rsidRPr="00917741" w:rsidRDefault="00CA539E" w:rsidP="000B32EB">
            <w:pPr>
              <w:jc w:val="right"/>
              <w:cnfStyle w:val="000000100000"/>
              <w:rPr>
                <w:rFonts w:ascii="Arial Narrow" w:hAnsi="Arial Narrow"/>
                <w:color w:val="auto"/>
                <w:sz w:val="18"/>
                <w:szCs w:val="18"/>
              </w:rPr>
            </w:pPr>
            <w:r>
              <w:rPr>
                <w:rFonts w:ascii="Arial Narrow" w:hAnsi="Arial Narrow"/>
                <w:color w:val="auto"/>
                <w:sz w:val="18"/>
                <w:szCs w:val="18"/>
              </w:rPr>
              <w:t>$     5</w:t>
            </w:r>
            <w:r w:rsidR="00D660E0">
              <w:rPr>
                <w:rFonts w:ascii="Arial Narrow" w:hAnsi="Arial Narrow"/>
                <w:color w:val="auto"/>
                <w:sz w:val="18"/>
                <w:szCs w:val="18"/>
              </w:rPr>
              <w:t>63,501.05</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EN BIENES MUEBLES</w:t>
            </w:r>
          </w:p>
        </w:tc>
        <w:tc>
          <w:tcPr>
            <w:tcW w:w="1559" w:type="dxa"/>
          </w:tcPr>
          <w:p w:rsidR="000B32EB" w:rsidRPr="00917741" w:rsidRDefault="00CA539E" w:rsidP="00CA539E">
            <w:pPr>
              <w:jc w:val="right"/>
              <w:cnfStyle w:val="000000000000"/>
              <w:rPr>
                <w:rFonts w:ascii="Arial Narrow" w:hAnsi="Arial Narrow"/>
                <w:b/>
                <w:color w:val="auto"/>
                <w:sz w:val="18"/>
                <w:szCs w:val="18"/>
              </w:rPr>
            </w:pPr>
            <w:r>
              <w:rPr>
                <w:rFonts w:ascii="Arial Narrow" w:hAnsi="Arial Narrow"/>
                <w:b/>
                <w:sz w:val="18"/>
                <w:szCs w:val="18"/>
              </w:rPr>
              <w:t>$ 13,</w:t>
            </w:r>
            <w:r w:rsidR="00D660E0">
              <w:rPr>
                <w:rFonts w:ascii="Arial Narrow" w:hAnsi="Arial Narrow"/>
                <w:b/>
                <w:sz w:val="18"/>
                <w:szCs w:val="18"/>
              </w:rPr>
              <w:t>751,778.96</w:t>
            </w:r>
          </w:p>
        </w:tc>
        <w:tc>
          <w:tcPr>
            <w:tcW w:w="1412" w:type="dxa"/>
          </w:tcPr>
          <w:p w:rsidR="000B32EB" w:rsidRPr="00917741" w:rsidRDefault="000B32EB" w:rsidP="000B32EB">
            <w:pPr>
              <w:jc w:val="both"/>
              <w:cnfStyle w:val="000000000000"/>
              <w:rPr>
                <w:rFonts w:ascii="Arial Narrow" w:hAnsi="Arial Narrow"/>
                <w:b/>
                <w:color w:val="auto"/>
                <w:sz w:val="18"/>
                <w:szCs w:val="18"/>
              </w:rPr>
            </w:pPr>
          </w:p>
        </w:tc>
        <w:tc>
          <w:tcPr>
            <w:tcW w:w="1387" w:type="dxa"/>
          </w:tcPr>
          <w:p w:rsidR="000B32EB" w:rsidRPr="00917741" w:rsidRDefault="000B32EB" w:rsidP="000B32EB">
            <w:pPr>
              <w:jc w:val="both"/>
              <w:cnfStyle w:val="000000000000"/>
              <w:rPr>
                <w:rFonts w:ascii="Arial Narrow" w:hAnsi="Arial Narrow"/>
                <w:b/>
                <w:color w:val="auto"/>
                <w:sz w:val="18"/>
                <w:szCs w:val="18"/>
              </w:rPr>
            </w:pPr>
          </w:p>
        </w:tc>
        <w:tc>
          <w:tcPr>
            <w:tcW w:w="1454" w:type="dxa"/>
          </w:tcPr>
          <w:p w:rsidR="000B32EB" w:rsidRPr="00917741" w:rsidRDefault="000B32EB" w:rsidP="000B32EB">
            <w:pPr>
              <w:jc w:val="both"/>
              <w:cnfStyle w:val="000000000000"/>
              <w:rPr>
                <w:rFonts w:ascii="Arial Narrow" w:hAnsi="Arial Narrow"/>
                <w:b/>
                <w:color w:val="auto"/>
                <w:sz w:val="18"/>
                <w:szCs w:val="18"/>
              </w:rPr>
            </w:pPr>
          </w:p>
        </w:tc>
        <w:tc>
          <w:tcPr>
            <w:tcW w:w="1591" w:type="dxa"/>
          </w:tcPr>
          <w:p w:rsidR="000B32EB" w:rsidRPr="00917741" w:rsidRDefault="000B32EB" w:rsidP="000B32EB">
            <w:pPr>
              <w:jc w:val="both"/>
              <w:cnfStyle w:val="000000000000"/>
              <w:rPr>
                <w:rFonts w:ascii="Arial Narrow" w:hAnsi="Arial Narrow"/>
                <w:b/>
                <w:color w:val="auto"/>
                <w:sz w:val="18"/>
                <w:szCs w:val="18"/>
              </w:rPr>
            </w:pP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regular estado</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DE BIENES INMUEBLES</w:t>
            </w:r>
          </w:p>
        </w:tc>
        <w:tc>
          <w:tcPr>
            <w:tcW w:w="1559" w:type="dxa"/>
          </w:tcPr>
          <w:p w:rsidR="000B32EB" w:rsidRPr="00917741" w:rsidRDefault="00CA539E" w:rsidP="000B32EB">
            <w:pPr>
              <w:jc w:val="right"/>
              <w:cnfStyle w:val="000000000000"/>
              <w:rPr>
                <w:rFonts w:ascii="Arial Narrow" w:hAnsi="Arial Narrow"/>
                <w:b/>
                <w:color w:val="auto"/>
                <w:sz w:val="18"/>
                <w:szCs w:val="18"/>
              </w:rPr>
            </w:pPr>
            <w:r>
              <w:rPr>
                <w:rFonts w:ascii="Arial Narrow" w:hAnsi="Arial Narrow"/>
                <w:b/>
                <w:color w:val="auto"/>
                <w:sz w:val="18"/>
                <w:szCs w:val="18"/>
              </w:rPr>
              <w:t>$ 1</w:t>
            </w:r>
            <w:r w:rsidR="0097169A">
              <w:rPr>
                <w:rFonts w:ascii="Arial Narrow" w:hAnsi="Arial Narrow"/>
                <w:b/>
                <w:color w:val="auto"/>
                <w:sz w:val="18"/>
                <w:szCs w:val="18"/>
              </w:rPr>
              <w:t>5,214,296.79</w:t>
            </w:r>
          </w:p>
        </w:tc>
        <w:tc>
          <w:tcPr>
            <w:tcW w:w="1412" w:type="dxa"/>
          </w:tcPr>
          <w:p w:rsidR="000B32EB" w:rsidRPr="00917741" w:rsidRDefault="000B32EB" w:rsidP="000B32EB">
            <w:pPr>
              <w:jc w:val="both"/>
              <w:cnfStyle w:val="000000000000"/>
              <w:rPr>
                <w:rFonts w:ascii="Arial Narrow" w:hAnsi="Arial Narrow"/>
                <w:b/>
                <w:color w:val="auto"/>
                <w:sz w:val="18"/>
                <w:szCs w:val="18"/>
              </w:rPr>
            </w:pPr>
          </w:p>
        </w:tc>
        <w:tc>
          <w:tcPr>
            <w:tcW w:w="1387" w:type="dxa"/>
          </w:tcPr>
          <w:p w:rsidR="000B32EB" w:rsidRPr="00917741" w:rsidRDefault="000B32EB" w:rsidP="000B32EB">
            <w:pPr>
              <w:jc w:val="both"/>
              <w:cnfStyle w:val="000000000000"/>
              <w:rPr>
                <w:rFonts w:ascii="Arial Narrow" w:hAnsi="Arial Narrow"/>
                <w:b/>
                <w:color w:val="auto"/>
                <w:sz w:val="18"/>
                <w:szCs w:val="18"/>
              </w:rPr>
            </w:pPr>
          </w:p>
        </w:tc>
        <w:tc>
          <w:tcPr>
            <w:tcW w:w="1454" w:type="dxa"/>
          </w:tcPr>
          <w:p w:rsidR="000B32EB" w:rsidRPr="00917741" w:rsidRDefault="000B32EB" w:rsidP="000B32EB">
            <w:pPr>
              <w:jc w:val="both"/>
              <w:cnfStyle w:val="000000000000"/>
              <w:rPr>
                <w:rFonts w:ascii="Arial Narrow" w:hAnsi="Arial Narrow"/>
                <w:b/>
                <w:color w:val="auto"/>
                <w:sz w:val="18"/>
                <w:szCs w:val="18"/>
              </w:rPr>
            </w:pPr>
          </w:p>
        </w:tc>
        <w:tc>
          <w:tcPr>
            <w:tcW w:w="1591" w:type="dxa"/>
          </w:tcPr>
          <w:p w:rsidR="000B32EB" w:rsidRPr="00917741" w:rsidRDefault="000B32EB" w:rsidP="000B32EB">
            <w:pPr>
              <w:jc w:val="both"/>
              <w:cnfStyle w:val="000000000000"/>
              <w:rPr>
                <w:rFonts w:ascii="Arial Narrow" w:hAnsi="Arial Narrow"/>
                <w:b/>
                <w:color w:val="auto"/>
                <w:sz w:val="18"/>
                <w:szCs w:val="18"/>
              </w:rPr>
            </w:pPr>
          </w:p>
        </w:tc>
      </w:tr>
    </w:tbl>
    <w:p w:rsidR="000B32EB" w:rsidRDefault="000B32EB" w:rsidP="000B32EB">
      <w:pPr>
        <w:jc w:val="both"/>
        <w:rPr>
          <w:rFonts w:ascii="Arial Narrow" w:hAnsi="Arial Narrow"/>
        </w:rPr>
      </w:pPr>
    </w:p>
    <w:p w:rsidR="003E61F6" w:rsidRDefault="003E61F6" w:rsidP="000B32EB">
      <w:pPr>
        <w:jc w:val="both"/>
        <w:rPr>
          <w:rFonts w:ascii="Arial Narrow" w:hAnsi="Arial Narrow"/>
        </w:rPr>
      </w:pPr>
      <w:r>
        <w:rPr>
          <w:rFonts w:ascii="Arial Narrow" w:hAnsi="Arial Narrow"/>
        </w:rPr>
        <w:t xml:space="preserve">EN INTANGIBLES </w:t>
      </w:r>
    </w:p>
    <w:p w:rsidR="003E61F6" w:rsidRPr="00B94587" w:rsidRDefault="00462C79" w:rsidP="000B32EB">
      <w:pPr>
        <w:jc w:val="both"/>
        <w:rPr>
          <w:rFonts w:ascii="Arial Narrow" w:hAnsi="Arial Narrow"/>
        </w:rPr>
      </w:pPr>
      <w:r>
        <w:rPr>
          <w:rFonts w:ascii="Arial Narrow" w:hAnsi="Arial Narrow"/>
        </w:rPr>
        <w:t>Se adquirieron licencias de sof</w:t>
      </w:r>
      <w:r w:rsidR="003E61F6">
        <w:rPr>
          <w:rFonts w:ascii="Arial Narrow" w:hAnsi="Arial Narrow"/>
        </w:rPr>
        <w:t>tware para los nuevos equipos que de compraron en diciembre de 2015, con valor de 17,817.60</w:t>
      </w:r>
    </w:p>
    <w:p w:rsidR="003E61F6" w:rsidRDefault="003E61F6" w:rsidP="000B32EB">
      <w:pPr>
        <w:jc w:val="both"/>
        <w:rPr>
          <w:rFonts w:ascii="Arial Narrow" w:hAnsi="Arial Narrow"/>
        </w:rPr>
      </w:pPr>
    </w:p>
    <w:p w:rsidR="000B32EB" w:rsidRPr="00B94587" w:rsidRDefault="000B32EB" w:rsidP="000B32EB">
      <w:pPr>
        <w:jc w:val="both"/>
        <w:rPr>
          <w:rFonts w:ascii="Arial Narrow" w:hAnsi="Arial Narrow"/>
        </w:rPr>
      </w:pPr>
      <w:r>
        <w:rPr>
          <w:rFonts w:ascii="Arial Narrow" w:hAnsi="Arial Narrow"/>
        </w:rPr>
        <w:lastRenderedPageBreak/>
        <w:t>Esta</w:t>
      </w:r>
      <w:r w:rsidRPr="00B94587">
        <w:rPr>
          <w:rFonts w:ascii="Arial Narrow" w:hAnsi="Arial Narrow"/>
        </w:rPr>
        <w:t xml:space="preserve"> en proceso de actualización el inventario de bienes muebles, por lo que no se registra la tasa de depreciación hasta conciliar lo registrado con lo físico y realizar las modificaciones correspondientes y poder determinar los datos de depreciación del ejercicio y depreciación acumulada.</w:t>
      </w:r>
    </w:p>
    <w:p w:rsidR="000B32EB" w:rsidRPr="00B94587" w:rsidRDefault="000B32EB" w:rsidP="000B32EB">
      <w:pPr>
        <w:jc w:val="both"/>
        <w:rPr>
          <w:rFonts w:ascii="Arial Narrow" w:hAnsi="Arial Narrow"/>
          <w:b/>
          <w:u w:val="single"/>
        </w:rPr>
      </w:pPr>
      <w:r w:rsidRPr="00B94587">
        <w:rPr>
          <w:rFonts w:ascii="Arial Narrow" w:hAnsi="Arial Narrow"/>
          <w:b/>
          <w:u w:val="single"/>
        </w:rPr>
        <w:t>6. Estimaciones y Deterioros</w:t>
      </w:r>
    </w:p>
    <w:p w:rsidR="000B32EB" w:rsidRDefault="000B32EB" w:rsidP="000B32EB">
      <w:pPr>
        <w:jc w:val="both"/>
        <w:rPr>
          <w:rFonts w:ascii="Arial Narrow" w:hAnsi="Arial Narrow"/>
        </w:rPr>
      </w:pPr>
      <w:r w:rsidRPr="00B94587">
        <w:rPr>
          <w:rFonts w:ascii="Arial Narrow" w:hAnsi="Arial Narrow"/>
        </w:rPr>
        <w:t>No aplica</w:t>
      </w:r>
      <w:r w:rsidR="00701F5D">
        <w:rPr>
          <w:rFonts w:ascii="Arial Narrow" w:hAnsi="Arial Narrow"/>
        </w:rPr>
        <w:t>.</w:t>
      </w:r>
    </w:p>
    <w:p w:rsidR="000B32EB" w:rsidRPr="00701F5D" w:rsidRDefault="000B32EB" w:rsidP="000B32EB">
      <w:pPr>
        <w:jc w:val="both"/>
        <w:rPr>
          <w:rFonts w:ascii="Arial Narrow" w:hAnsi="Arial Narrow"/>
          <w:b/>
          <w:u w:val="single"/>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sidR="00701F5D">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sidR="00701F5D">
        <w:rPr>
          <w:rFonts w:ascii="Arial Narrow" w:hAnsi="Arial Narrow"/>
        </w:rPr>
        <w:t>.</w:t>
      </w:r>
    </w:p>
    <w:p w:rsidR="000B32EB" w:rsidRPr="00B94587" w:rsidRDefault="000B32EB" w:rsidP="000B32EB">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tblPr>
      <w:tblGrid>
        <w:gridCol w:w="3455"/>
        <w:gridCol w:w="1615"/>
        <w:gridCol w:w="1999"/>
        <w:gridCol w:w="1828"/>
      </w:tblGrid>
      <w:tr w:rsidR="000B32EB" w:rsidRPr="00917741" w:rsidTr="00132314">
        <w:trPr>
          <w:cnfStyle w:val="1000000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Vencimiento</w:t>
            </w:r>
          </w:p>
        </w:tc>
      </w:tr>
      <w:tr w:rsidR="000B32EB" w:rsidRPr="00917741" w:rsidTr="005575DF">
        <w:trPr>
          <w:cnfStyle w:val="000000100000"/>
          <w:trHeight w:val="402"/>
          <w:jc w:val="center"/>
        </w:trPr>
        <w:tc>
          <w:tcPr>
            <w:cnfStyle w:val="001000000000"/>
            <w:tcW w:w="8897" w:type="dxa"/>
            <w:gridSpan w:val="4"/>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5B2F04" w:rsidRPr="00917741" w:rsidTr="00132314">
        <w:trPr>
          <w:jc w:val="center"/>
        </w:trPr>
        <w:tc>
          <w:tcPr>
            <w:cnfStyle w:val="001000000000"/>
            <w:tcW w:w="3455" w:type="dxa"/>
          </w:tcPr>
          <w:p w:rsidR="005B2F04" w:rsidRPr="00917741" w:rsidRDefault="005B2F04" w:rsidP="000B32EB">
            <w:pPr>
              <w:jc w:val="both"/>
              <w:rPr>
                <w:rFonts w:ascii="Arial Narrow" w:hAnsi="Arial Narrow"/>
                <w:b w:val="0"/>
                <w:sz w:val="18"/>
                <w:szCs w:val="18"/>
              </w:rPr>
            </w:pPr>
            <w:r>
              <w:rPr>
                <w:rFonts w:ascii="Arial Narrow" w:hAnsi="Arial Narrow"/>
                <w:b w:val="0"/>
                <w:sz w:val="18"/>
                <w:szCs w:val="18"/>
              </w:rPr>
              <w:t>Nominas y otros servicios</w:t>
            </w:r>
          </w:p>
        </w:tc>
        <w:tc>
          <w:tcPr>
            <w:tcW w:w="1615" w:type="dxa"/>
          </w:tcPr>
          <w:p w:rsidR="005B2F04" w:rsidRPr="00917741" w:rsidRDefault="005B2F04" w:rsidP="000B32EB">
            <w:pPr>
              <w:jc w:val="right"/>
              <w:cnfStyle w:val="000000000000"/>
              <w:rPr>
                <w:rFonts w:ascii="Arial Narrow" w:hAnsi="Arial Narrow"/>
                <w:sz w:val="18"/>
                <w:szCs w:val="18"/>
              </w:rPr>
            </w:pPr>
            <w:r>
              <w:rPr>
                <w:rFonts w:ascii="Arial Narrow" w:hAnsi="Arial Narrow"/>
                <w:sz w:val="18"/>
                <w:szCs w:val="18"/>
              </w:rPr>
              <w:t>$         3,079.23</w:t>
            </w:r>
          </w:p>
        </w:tc>
        <w:tc>
          <w:tcPr>
            <w:tcW w:w="1999" w:type="dxa"/>
          </w:tcPr>
          <w:p w:rsidR="005B2F04" w:rsidRPr="00917741" w:rsidRDefault="005B2F04" w:rsidP="000B32EB">
            <w:pPr>
              <w:jc w:val="both"/>
              <w:cnfStyle w:val="000000000000"/>
              <w:rPr>
                <w:rFonts w:ascii="Arial Narrow" w:hAnsi="Arial Narrow"/>
                <w:sz w:val="18"/>
                <w:szCs w:val="18"/>
              </w:rPr>
            </w:pPr>
          </w:p>
        </w:tc>
        <w:tc>
          <w:tcPr>
            <w:tcW w:w="1828" w:type="dxa"/>
          </w:tcPr>
          <w:p w:rsidR="005B2F04" w:rsidRPr="00917741" w:rsidRDefault="005B2F04" w:rsidP="000B32EB">
            <w:pPr>
              <w:jc w:val="both"/>
              <w:cnfStyle w:val="000000000000"/>
              <w:rPr>
                <w:rFonts w:ascii="Arial Narrow" w:hAnsi="Arial Narrow"/>
                <w:sz w:val="18"/>
                <w:szCs w:val="18"/>
              </w:rPr>
            </w:pP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444E6C">
              <w:rPr>
                <w:rFonts w:ascii="Arial Narrow" w:hAnsi="Arial Narrow"/>
                <w:color w:val="auto"/>
                <w:sz w:val="18"/>
                <w:szCs w:val="18"/>
              </w:rPr>
              <w:t xml:space="preserve">  2,408,513.60</w:t>
            </w:r>
          </w:p>
        </w:tc>
        <w:tc>
          <w:tcPr>
            <w:tcW w:w="1999"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3 meses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5575DF">
              <w:rPr>
                <w:rFonts w:ascii="Arial Narrow" w:hAnsi="Arial Narrow"/>
                <w:color w:val="auto"/>
                <w:sz w:val="18"/>
                <w:szCs w:val="18"/>
              </w:rPr>
              <w:t xml:space="preserve"> </w:t>
            </w:r>
            <w:r w:rsidR="00444E6C">
              <w:rPr>
                <w:rFonts w:ascii="Arial Narrow" w:hAnsi="Arial Narrow"/>
                <w:color w:val="auto"/>
                <w:sz w:val="18"/>
                <w:szCs w:val="18"/>
              </w:rPr>
              <w:t xml:space="preserve">        </w:t>
            </w:r>
            <w:r w:rsidR="005B2F04">
              <w:rPr>
                <w:rFonts w:ascii="Arial Narrow" w:hAnsi="Arial Narrow"/>
                <w:color w:val="auto"/>
                <w:sz w:val="18"/>
                <w:szCs w:val="18"/>
              </w:rPr>
              <w:t>8,386.29</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Retenciones sobre la renta ISR</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444E6C">
              <w:rPr>
                <w:rFonts w:ascii="Arial Narrow" w:hAnsi="Arial Narrow"/>
                <w:color w:val="auto"/>
                <w:sz w:val="18"/>
                <w:szCs w:val="18"/>
              </w:rPr>
              <w:t>1,846,620</w:t>
            </w:r>
            <w:r w:rsidR="00990EEB">
              <w:rPr>
                <w:rFonts w:ascii="Arial Narrow" w:hAnsi="Arial Narrow"/>
                <w:color w:val="auto"/>
                <w:sz w:val="18"/>
                <w:szCs w:val="18"/>
              </w:rPr>
              <w:t>.</w:t>
            </w:r>
            <w:r w:rsidR="00444E6C">
              <w:rPr>
                <w:rFonts w:ascii="Arial Narrow" w:hAnsi="Arial Narrow"/>
                <w:color w:val="auto"/>
                <w:sz w:val="18"/>
                <w:szCs w:val="18"/>
              </w:rPr>
              <w:t>75</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990EEB">
              <w:rPr>
                <w:rFonts w:ascii="Arial Narrow" w:hAnsi="Arial Narrow"/>
                <w:color w:val="auto"/>
                <w:sz w:val="18"/>
                <w:szCs w:val="18"/>
              </w:rPr>
              <w:t xml:space="preserve">     </w:t>
            </w:r>
            <w:r w:rsidR="00444E6C">
              <w:rPr>
                <w:rFonts w:ascii="Arial Narrow" w:hAnsi="Arial Narrow"/>
                <w:color w:val="auto"/>
                <w:sz w:val="18"/>
                <w:szCs w:val="18"/>
              </w:rPr>
              <w:t>10,650.95</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honorarios</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444E6C">
              <w:rPr>
                <w:rFonts w:ascii="Arial Narrow" w:hAnsi="Arial Narrow"/>
                <w:color w:val="auto"/>
                <w:sz w:val="18"/>
                <w:szCs w:val="18"/>
              </w:rPr>
              <w:t xml:space="preserve">         1,677.77</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FC4F1C" w:rsidRPr="00917741" w:rsidTr="00132314">
        <w:trPr>
          <w:jc w:val="center"/>
        </w:trPr>
        <w:tc>
          <w:tcPr>
            <w:cnfStyle w:val="001000000000"/>
            <w:tcW w:w="3455" w:type="dxa"/>
          </w:tcPr>
          <w:p w:rsidR="00FC4F1C" w:rsidRPr="00917741" w:rsidRDefault="00FC4F1C" w:rsidP="000B32EB">
            <w:pPr>
              <w:jc w:val="both"/>
              <w:rPr>
                <w:rFonts w:ascii="Arial Narrow" w:hAnsi="Arial Narrow"/>
                <w:b w:val="0"/>
                <w:sz w:val="18"/>
                <w:szCs w:val="18"/>
              </w:rPr>
            </w:pPr>
            <w:r>
              <w:rPr>
                <w:rFonts w:ascii="Arial Narrow" w:hAnsi="Arial Narrow"/>
                <w:b w:val="0"/>
                <w:sz w:val="18"/>
                <w:szCs w:val="18"/>
              </w:rPr>
              <w:t>2% sobre nominas</w:t>
            </w:r>
          </w:p>
        </w:tc>
        <w:tc>
          <w:tcPr>
            <w:tcW w:w="1615" w:type="dxa"/>
          </w:tcPr>
          <w:p w:rsidR="00FC4F1C" w:rsidRPr="00917741" w:rsidRDefault="00FC4F1C" w:rsidP="000B32EB">
            <w:pPr>
              <w:jc w:val="right"/>
              <w:cnfStyle w:val="000000000000"/>
              <w:rPr>
                <w:rFonts w:ascii="Arial Narrow" w:hAnsi="Arial Narrow"/>
                <w:sz w:val="18"/>
                <w:szCs w:val="18"/>
              </w:rPr>
            </w:pPr>
            <w:r>
              <w:rPr>
                <w:rFonts w:ascii="Arial Narrow" w:hAnsi="Arial Narrow"/>
                <w:sz w:val="18"/>
                <w:szCs w:val="18"/>
              </w:rPr>
              <w:t>$     400,941.90</w:t>
            </w:r>
          </w:p>
        </w:tc>
        <w:tc>
          <w:tcPr>
            <w:tcW w:w="1999" w:type="dxa"/>
          </w:tcPr>
          <w:p w:rsidR="00FC4F1C" w:rsidRPr="00917741" w:rsidRDefault="00FC4F1C" w:rsidP="000B32EB">
            <w:pPr>
              <w:cnfStyle w:val="000000000000"/>
              <w:rPr>
                <w:rFonts w:ascii="Arial Narrow" w:hAnsi="Arial Narrow"/>
                <w:sz w:val="18"/>
                <w:szCs w:val="18"/>
              </w:rPr>
            </w:pPr>
          </w:p>
        </w:tc>
        <w:tc>
          <w:tcPr>
            <w:tcW w:w="1828" w:type="dxa"/>
          </w:tcPr>
          <w:p w:rsidR="00FC4F1C" w:rsidRPr="00917741" w:rsidRDefault="00FC4F1C" w:rsidP="000B32EB">
            <w:pPr>
              <w:cnfStyle w:val="000000000000"/>
              <w:rPr>
                <w:rFonts w:ascii="Arial Narrow" w:hAnsi="Arial Narrow"/>
                <w:sz w:val="18"/>
                <w:szCs w:val="18"/>
              </w:rPr>
            </w:pP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1</w:t>
            </w:r>
            <w:r w:rsidR="00444E6C">
              <w:rPr>
                <w:rFonts w:ascii="Arial Narrow" w:hAnsi="Arial Narrow"/>
                <w:color w:val="auto"/>
                <w:sz w:val="18"/>
                <w:szCs w:val="18"/>
              </w:rPr>
              <w:t>4,400.00</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1</w:t>
            </w:r>
            <w:r w:rsidR="00444E6C">
              <w:rPr>
                <w:rFonts w:ascii="Arial Narrow" w:hAnsi="Arial Narrow"/>
                <w:color w:val="auto"/>
                <w:sz w:val="18"/>
                <w:szCs w:val="18"/>
              </w:rPr>
              <w:t>60,</w:t>
            </w:r>
            <w:r w:rsidR="00462C79">
              <w:rPr>
                <w:rFonts w:ascii="Arial Narrow" w:hAnsi="Arial Narrow"/>
                <w:color w:val="auto"/>
                <w:sz w:val="18"/>
                <w:szCs w:val="18"/>
              </w:rPr>
              <w:t>0</w:t>
            </w:r>
            <w:r w:rsidR="00444E6C">
              <w:rPr>
                <w:rFonts w:ascii="Arial Narrow" w:hAnsi="Arial Narrow"/>
                <w:color w:val="auto"/>
                <w:sz w:val="18"/>
                <w:szCs w:val="18"/>
              </w:rPr>
              <w:t>39.22</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HIR</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990EEB">
              <w:rPr>
                <w:rFonts w:ascii="Arial Narrow" w:hAnsi="Arial Narrow"/>
                <w:color w:val="auto"/>
                <w:sz w:val="18"/>
                <w:szCs w:val="18"/>
              </w:rPr>
              <w:t xml:space="preserve">    </w:t>
            </w:r>
            <w:r w:rsidR="00444E6C">
              <w:rPr>
                <w:rFonts w:ascii="Arial Narrow" w:hAnsi="Arial Narrow"/>
                <w:color w:val="auto"/>
                <w:sz w:val="18"/>
                <w:szCs w:val="18"/>
              </w:rPr>
              <w:t xml:space="preserve"> 36,770</w:t>
            </w:r>
            <w:r w:rsidR="00FC4F1C">
              <w:rPr>
                <w:rFonts w:ascii="Arial Narrow" w:hAnsi="Arial Narrow"/>
                <w:color w:val="auto"/>
                <w:sz w:val="18"/>
                <w:szCs w:val="18"/>
              </w:rPr>
              <w:t>.00</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615" w:type="dxa"/>
          </w:tcPr>
          <w:p w:rsidR="000B32EB" w:rsidRPr="00917741" w:rsidRDefault="00990EEB" w:rsidP="000B32EB">
            <w:pPr>
              <w:jc w:val="right"/>
              <w:cnfStyle w:val="000000000000"/>
              <w:rPr>
                <w:rFonts w:ascii="Arial Narrow" w:hAnsi="Arial Narrow"/>
                <w:color w:val="auto"/>
                <w:sz w:val="18"/>
                <w:szCs w:val="18"/>
              </w:rPr>
            </w:pPr>
            <w:r>
              <w:rPr>
                <w:rFonts w:ascii="Arial Narrow" w:hAnsi="Arial Narrow"/>
                <w:color w:val="auto"/>
                <w:sz w:val="18"/>
                <w:szCs w:val="18"/>
              </w:rPr>
              <w:t xml:space="preserve">$ </w:t>
            </w:r>
            <w:r w:rsidR="005575DF">
              <w:rPr>
                <w:rFonts w:ascii="Arial Narrow" w:hAnsi="Arial Narrow"/>
                <w:color w:val="auto"/>
                <w:sz w:val="18"/>
                <w:szCs w:val="18"/>
              </w:rPr>
              <w:t xml:space="preserve"> </w:t>
            </w:r>
            <w:r>
              <w:rPr>
                <w:rFonts w:ascii="Arial Narrow" w:hAnsi="Arial Narrow"/>
                <w:color w:val="auto"/>
                <w:sz w:val="18"/>
                <w:szCs w:val="18"/>
              </w:rPr>
              <w:t xml:space="preserve">   </w:t>
            </w:r>
            <w:r w:rsidR="00444E6C">
              <w:rPr>
                <w:rFonts w:ascii="Arial Narrow" w:hAnsi="Arial Narrow"/>
                <w:color w:val="auto"/>
                <w:sz w:val="18"/>
                <w:szCs w:val="18"/>
              </w:rPr>
              <w:t>143,359.25</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Pensiones civiles</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525681">
              <w:rPr>
                <w:rFonts w:ascii="Arial Narrow" w:hAnsi="Arial Narrow"/>
                <w:color w:val="auto"/>
                <w:sz w:val="18"/>
                <w:szCs w:val="18"/>
              </w:rPr>
              <w:t>3,781023.71</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corto plazo</w:t>
            </w:r>
          </w:p>
        </w:tc>
        <w:tc>
          <w:tcPr>
            <w:tcW w:w="1615" w:type="dxa"/>
          </w:tcPr>
          <w:p w:rsidR="000B32EB" w:rsidRPr="00917741" w:rsidRDefault="00990EEB" w:rsidP="000B32EB">
            <w:pPr>
              <w:jc w:val="right"/>
              <w:cnfStyle w:val="000000000000"/>
              <w:rPr>
                <w:rFonts w:ascii="Arial Narrow" w:hAnsi="Arial Narrow"/>
                <w:color w:val="auto"/>
                <w:sz w:val="18"/>
                <w:szCs w:val="18"/>
              </w:rPr>
            </w:pPr>
            <w:r>
              <w:rPr>
                <w:rFonts w:ascii="Arial Narrow" w:hAnsi="Arial Narrow"/>
                <w:color w:val="auto"/>
                <w:sz w:val="18"/>
                <w:szCs w:val="18"/>
              </w:rPr>
              <w:t xml:space="preserve">$ </w:t>
            </w:r>
            <w:r w:rsidR="005575DF">
              <w:rPr>
                <w:rFonts w:ascii="Arial Narrow" w:hAnsi="Arial Narrow"/>
                <w:color w:val="auto"/>
                <w:sz w:val="18"/>
                <w:szCs w:val="18"/>
              </w:rPr>
              <w:t xml:space="preserve"> </w:t>
            </w:r>
            <w:r>
              <w:rPr>
                <w:rFonts w:ascii="Arial Narrow" w:hAnsi="Arial Narrow"/>
                <w:color w:val="auto"/>
                <w:sz w:val="18"/>
                <w:szCs w:val="18"/>
              </w:rPr>
              <w:t xml:space="preserve">   5</w:t>
            </w:r>
            <w:r w:rsidR="00444E6C">
              <w:rPr>
                <w:rFonts w:ascii="Arial Narrow" w:hAnsi="Arial Narrow"/>
                <w:color w:val="auto"/>
                <w:sz w:val="18"/>
                <w:szCs w:val="18"/>
              </w:rPr>
              <w:t>14,886.75</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0B32EB" w:rsidRPr="00917741" w:rsidRDefault="005575DF" w:rsidP="005575DF">
            <w:pPr>
              <w:jc w:val="right"/>
              <w:cnfStyle w:val="000000100000"/>
              <w:rPr>
                <w:rFonts w:ascii="Arial Narrow" w:hAnsi="Arial Narrow"/>
                <w:b/>
                <w:color w:val="auto"/>
                <w:sz w:val="18"/>
                <w:szCs w:val="18"/>
              </w:rPr>
            </w:pPr>
            <w:r>
              <w:rPr>
                <w:rFonts w:ascii="Arial Narrow" w:hAnsi="Arial Narrow"/>
                <w:b/>
                <w:sz w:val="18"/>
                <w:szCs w:val="18"/>
              </w:rPr>
              <w:t>$  9,</w:t>
            </w:r>
            <w:r w:rsidR="00525681">
              <w:rPr>
                <w:rFonts w:ascii="Arial Narrow" w:hAnsi="Arial Narrow"/>
                <w:b/>
                <w:sz w:val="18"/>
                <w:szCs w:val="18"/>
              </w:rPr>
              <w:t>330,349</w:t>
            </w:r>
            <w:r w:rsidR="00462C79">
              <w:rPr>
                <w:rFonts w:ascii="Arial Narrow" w:hAnsi="Arial Narrow"/>
                <w:b/>
                <w:sz w:val="18"/>
                <w:szCs w:val="18"/>
              </w:rPr>
              <w:t>.</w:t>
            </w:r>
            <w:r w:rsidR="00525681">
              <w:rPr>
                <w:rFonts w:ascii="Arial Narrow" w:hAnsi="Arial Narrow"/>
                <w:b/>
                <w:sz w:val="18"/>
                <w:szCs w:val="18"/>
              </w:rPr>
              <w:t>42</w:t>
            </w:r>
            <w:r w:rsidR="00C4425E" w:rsidRPr="00917741">
              <w:rPr>
                <w:rFonts w:ascii="Arial Narrow" w:hAnsi="Arial Narrow"/>
                <w:b/>
                <w:sz w:val="18"/>
                <w:szCs w:val="18"/>
              </w:rPr>
              <w:fldChar w:fldCharType="begin"/>
            </w:r>
            <w:r w:rsidR="000B32EB" w:rsidRPr="00917741">
              <w:rPr>
                <w:rFonts w:ascii="Arial Narrow" w:hAnsi="Arial Narrow"/>
                <w:b/>
                <w:color w:val="auto"/>
                <w:sz w:val="18"/>
                <w:szCs w:val="18"/>
              </w:rPr>
              <w:instrText xml:space="preserve"> =SUM(ABOVE) </w:instrText>
            </w:r>
            <w:r w:rsidR="00C4425E" w:rsidRPr="00917741">
              <w:rPr>
                <w:rFonts w:ascii="Arial Narrow" w:hAnsi="Arial Narrow"/>
                <w:b/>
                <w:sz w:val="18"/>
                <w:szCs w:val="18"/>
              </w:rPr>
              <w:fldChar w:fldCharType="end"/>
            </w:r>
          </w:p>
        </w:tc>
        <w:tc>
          <w:tcPr>
            <w:tcW w:w="1999" w:type="dxa"/>
          </w:tcPr>
          <w:p w:rsidR="000B32EB" w:rsidRPr="00917741" w:rsidRDefault="000B32EB" w:rsidP="000B32EB">
            <w:pPr>
              <w:jc w:val="both"/>
              <w:cnfStyle w:val="000000100000"/>
              <w:rPr>
                <w:rFonts w:ascii="Arial Narrow" w:hAnsi="Arial Narrow"/>
                <w:b/>
                <w:color w:val="auto"/>
                <w:sz w:val="18"/>
                <w:szCs w:val="18"/>
              </w:rPr>
            </w:pPr>
          </w:p>
        </w:tc>
        <w:tc>
          <w:tcPr>
            <w:tcW w:w="1828" w:type="dxa"/>
          </w:tcPr>
          <w:p w:rsidR="000B32EB" w:rsidRPr="00917741" w:rsidRDefault="000B32EB" w:rsidP="000B32EB">
            <w:pPr>
              <w:jc w:val="both"/>
              <w:cnfStyle w:val="000000100000"/>
              <w:rPr>
                <w:rFonts w:ascii="Arial Narrow" w:hAnsi="Arial Narrow"/>
                <w:b/>
                <w:color w:val="auto"/>
                <w:sz w:val="18"/>
                <w:szCs w:val="18"/>
              </w:rPr>
            </w:pP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Largo Plazo</w:t>
            </w:r>
          </w:p>
        </w:tc>
        <w:tc>
          <w:tcPr>
            <w:tcW w:w="1615" w:type="dxa"/>
          </w:tcPr>
          <w:p w:rsidR="000B32EB" w:rsidRPr="00917741" w:rsidRDefault="000B32EB" w:rsidP="000B32EB">
            <w:pPr>
              <w:jc w:val="right"/>
              <w:cnfStyle w:val="000000000000"/>
              <w:rPr>
                <w:rFonts w:ascii="Arial Narrow" w:hAnsi="Arial Narrow"/>
                <w:color w:val="auto"/>
                <w:sz w:val="18"/>
                <w:szCs w:val="18"/>
              </w:rPr>
            </w:pPr>
          </w:p>
        </w:tc>
        <w:tc>
          <w:tcPr>
            <w:tcW w:w="1999" w:type="dxa"/>
          </w:tcPr>
          <w:p w:rsidR="000B32EB" w:rsidRPr="00917741" w:rsidRDefault="000B32EB" w:rsidP="000B32EB">
            <w:pPr>
              <w:jc w:val="both"/>
              <w:cnfStyle w:val="000000000000"/>
              <w:rPr>
                <w:rFonts w:ascii="Arial Narrow" w:hAnsi="Arial Narrow"/>
                <w:color w:val="auto"/>
                <w:sz w:val="18"/>
                <w:szCs w:val="18"/>
              </w:rPr>
            </w:pPr>
          </w:p>
        </w:tc>
        <w:tc>
          <w:tcPr>
            <w:tcW w:w="1828" w:type="dxa"/>
          </w:tcPr>
          <w:p w:rsidR="000B32EB" w:rsidRPr="00917741" w:rsidRDefault="000B32EB" w:rsidP="000B32EB">
            <w:pPr>
              <w:jc w:val="both"/>
              <w:cnfStyle w:val="000000000000"/>
              <w:rPr>
                <w:rFonts w:ascii="Arial Narrow" w:hAnsi="Arial Narrow"/>
                <w:color w:val="auto"/>
                <w:sz w:val="18"/>
                <w:szCs w:val="18"/>
              </w:rPr>
            </w:pP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5575DF">
              <w:rPr>
                <w:rFonts w:ascii="Arial Narrow" w:hAnsi="Arial Narrow"/>
                <w:color w:val="auto"/>
                <w:sz w:val="18"/>
                <w:szCs w:val="18"/>
              </w:rPr>
              <w:t xml:space="preserve"> </w:t>
            </w:r>
            <w:r w:rsidRPr="00917741">
              <w:rPr>
                <w:rFonts w:ascii="Arial Narrow" w:hAnsi="Arial Narrow"/>
                <w:color w:val="auto"/>
                <w:sz w:val="18"/>
                <w:szCs w:val="18"/>
              </w:rPr>
              <w:t>10,084,758.13</w:t>
            </w:r>
          </w:p>
        </w:tc>
        <w:tc>
          <w:tcPr>
            <w:tcW w:w="1999"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Mayor de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color w:val="auto"/>
                <w:sz w:val="18"/>
                <w:szCs w:val="18"/>
              </w:rPr>
            </w:pPr>
            <w:r>
              <w:rPr>
                <w:rFonts w:ascii="Arial Narrow" w:hAnsi="Arial Narrow"/>
                <w:color w:val="auto"/>
                <w:sz w:val="18"/>
                <w:szCs w:val="18"/>
              </w:rPr>
              <w:t xml:space="preserve">Total pasivo </w:t>
            </w:r>
            <w:r w:rsidRPr="00917741">
              <w:rPr>
                <w:rFonts w:ascii="Arial Narrow" w:hAnsi="Arial Narrow"/>
                <w:color w:val="auto"/>
                <w:sz w:val="18"/>
                <w:szCs w:val="18"/>
              </w:rPr>
              <w:t>a largo plazo</w:t>
            </w:r>
          </w:p>
        </w:tc>
        <w:tc>
          <w:tcPr>
            <w:tcW w:w="1615" w:type="dxa"/>
          </w:tcPr>
          <w:p w:rsidR="000B32EB" w:rsidRPr="00917741" w:rsidRDefault="000B32EB" w:rsidP="000B32EB">
            <w:pPr>
              <w:jc w:val="right"/>
              <w:cnfStyle w:val="000000000000"/>
              <w:rPr>
                <w:rFonts w:ascii="Arial Narrow" w:hAnsi="Arial Narrow"/>
                <w:b/>
                <w:color w:val="auto"/>
                <w:sz w:val="18"/>
                <w:szCs w:val="18"/>
              </w:rPr>
            </w:pPr>
            <w:r w:rsidRPr="00917741">
              <w:rPr>
                <w:rFonts w:ascii="Arial Narrow" w:hAnsi="Arial Narrow"/>
                <w:b/>
                <w:color w:val="auto"/>
                <w:sz w:val="18"/>
                <w:szCs w:val="18"/>
              </w:rPr>
              <w:t>$</w:t>
            </w:r>
            <w:r w:rsidR="005575DF">
              <w:rPr>
                <w:rFonts w:ascii="Arial Narrow" w:hAnsi="Arial Narrow"/>
                <w:b/>
                <w:color w:val="auto"/>
                <w:sz w:val="18"/>
                <w:szCs w:val="18"/>
              </w:rPr>
              <w:t xml:space="preserve"> </w:t>
            </w:r>
            <w:r w:rsidRPr="00917741">
              <w:rPr>
                <w:rFonts w:ascii="Arial Narrow" w:hAnsi="Arial Narrow"/>
                <w:b/>
                <w:color w:val="auto"/>
                <w:sz w:val="18"/>
                <w:szCs w:val="18"/>
              </w:rPr>
              <w:t>10,084,758.13</w:t>
            </w:r>
          </w:p>
        </w:tc>
        <w:tc>
          <w:tcPr>
            <w:tcW w:w="1999" w:type="dxa"/>
          </w:tcPr>
          <w:p w:rsidR="000B32EB" w:rsidRPr="00917741" w:rsidRDefault="000B32EB" w:rsidP="000B32EB">
            <w:pPr>
              <w:jc w:val="both"/>
              <w:cnfStyle w:val="000000000000"/>
              <w:rPr>
                <w:rFonts w:ascii="Arial Narrow" w:hAnsi="Arial Narrow"/>
                <w:b/>
                <w:color w:val="auto"/>
                <w:sz w:val="18"/>
                <w:szCs w:val="18"/>
              </w:rPr>
            </w:pPr>
          </w:p>
        </w:tc>
        <w:tc>
          <w:tcPr>
            <w:tcW w:w="1828" w:type="dxa"/>
          </w:tcPr>
          <w:p w:rsidR="000B32EB" w:rsidRPr="00917741" w:rsidRDefault="000B32EB" w:rsidP="000B32EB">
            <w:pPr>
              <w:jc w:val="both"/>
              <w:cnfStyle w:val="000000000000"/>
              <w:rPr>
                <w:rFonts w:ascii="Arial Narrow" w:hAnsi="Arial Narrow"/>
                <w:b/>
                <w:color w:val="auto"/>
                <w:sz w:val="18"/>
                <w:szCs w:val="18"/>
              </w:rPr>
            </w:pP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pasivos</w:t>
            </w:r>
          </w:p>
        </w:tc>
        <w:tc>
          <w:tcPr>
            <w:tcW w:w="1615" w:type="dxa"/>
          </w:tcPr>
          <w:p w:rsidR="000B32EB" w:rsidRPr="00917741" w:rsidRDefault="00462C79" w:rsidP="000B32EB">
            <w:pPr>
              <w:jc w:val="right"/>
              <w:cnfStyle w:val="000000100000"/>
              <w:rPr>
                <w:rFonts w:ascii="Arial Narrow" w:hAnsi="Arial Narrow"/>
                <w:b/>
                <w:color w:val="auto"/>
                <w:sz w:val="18"/>
                <w:szCs w:val="18"/>
              </w:rPr>
            </w:pPr>
            <w:r>
              <w:rPr>
                <w:rFonts w:ascii="Arial Narrow" w:hAnsi="Arial Narrow"/>
                <w:b/>
                <w:color w:val="auto"/>
                <w:sz w:val="18"/>
                <w:szCs w:val="18"/>
              </w:rPr>
              <w:t>$ 19,</w:t>
            </w:r>
            <w:r w:rsidR="00525681">
              <w:rPr>
                <w:rFonts w:ascii="Arial Narrow" w:hAnsi="Arial Narrow"/>
                <w:b/>
                <w:color w:val="auto"/>
                <w:sz w:val="18"/>
                <w:szCs w:val="18"/>
              </w:rPr>
              <w:t>415,107.55</w:t>
            </w:r>
          </w:p>
        </w:tc>
        <w:tc>
          <w:tcPr>
            <w:tcW w:w="1999" w:type="dxa"/>
          </w:tcPr>
          <w:p w:rsidR="000B32EB" w:rsidRPr="00917741" w:rsidRDefault="000B32EB" w:rsidP="000B32EB">
            <w:pPr>
              <w:jc w:val="both"/>
              <w:cnfStyle w:val="000000100000"/>
              <w:rPr>
                <w:rFonts w:ascii="Arial Narrow" w:hAnsi="Arial Narrow"/>
                <w:b/>
                <w:color w:val="auto"/>
                <w:sz w:val="18"/>
                <w:szCs w:val="18"/>
              </w:rPr>
            </w:pPr>
          </w:p>
        </w:tc>
        <w:tc>
          <w:tcPr>
            <w:tcW w:w="1828" w:type="dxa"/>
          </w:tcPr>
          <w:p w:rsidR="000B32EB" w:rsidRPr="00917741" w:rsidRDefault="000B32EB" w:rsidP="000B32EB">
            <w:pPr>
              <w:jc w:val="both"/>
              <w:cnfStyle w:val="000000100000"/>
              <w:rPr>
                <w:rFonts w:ascii="Arial Narrow" w:hAnsi="Arial Narrow"/>
                <w:b/>
                <w:color w:val="auto"/>
                <w:sz w:val="18"/>
                <w:szCs w:val="18"/>
              </w:rPr>
            </w:pPr>
          </w:p>
        </w:tc>
      </w:tr>
    </w:tbl>
    <w:p w:rsidR="000B32EB" w:rsidRPr="00701F5D" w:rsidRDefault="000B32EB" w:rsidP="000B32EB">
      <w:pPr>
        <w:jc w:val="both"/>
        <w:rPr>
          <w:rFonts w:ascii="Arial Narrow" w:hAnsi="Arial Narrow"/>
          <w:sz w:val="16"/>
          <w:szCs w:val="16"/>
        </w:rPr>
      </w:pP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0B32EB" w:rsidRPr="00B94587" w:rsidRDefault="000B32EB" w:rsidP="000B32EB">
      <w:pPr>
        <w:pStyle w:val="Prrafodelista"/>
        <w:numPr>
          <w:ilvl w:val="0"/>
          <w:numId w:val="6"/>
        </w:numPr>
        <w:jc w:val="both"/>
        <w:rPr>
          <w:rFonts w:ascii="Arial Narrow" w:hAnsi="Arial Narrow"/>
          <w:b/>
          <w:u w:val="single"/>
        </w:rPr>
      </w:pPr>
      <w:r w:rsidRPr="00B94587">
        <w:rPr>
          <w:rFonts w:ascii="Arial Narrow" w:hAnsi="Arial Narrow"/>
          <w:b/>
          <w:u w:val="single"/>
        </w:rPr>
        <w:t>Ingresos de Gestión</w:t>
      </w:r>
    </w:p>
    <w:p w:rsidR="000B32EB" w:rsidRPr="00B94587" w:rsidRDefault="000B32EB" w:rsidP="000B32EB">
      <w:pPr>
        <w:pStyle w:val="Prrafodelista"/>
        <w:jc w:val="both"/>
        <w:rPr>
          <w:rFonts w:ascii="Arial Narrow" w:hAnsi="Arial Narrow"/>
        </w:rPr>
      </w:pPr>
      <w:r w:rsidRPr="00B94587">
        <w:rPr>
          <w:rFonts w:ascii="Arial Narrow" w:hAnsi="Arial Narrow"/>
        </w:rPr>
        <w:t>Los ingresos del H. Tribunal d</w:t>
      </w:r>
      <w:r w:rsidR="00462C79">
        <w:rPr>
          <w:rFonts w:ascii="Arial Narrow" w:hAnsi="Arial Narrow"/>
        </w:rPr>
        <w:t>e Justicia del Estado de</w:t>
      </w:r>
      <w:r w:rsidRPr="00B94587">
        <w:rPr>
          <w:rFonts w:ascii="Arial Narrow" w:hAnsi="Arial Narrow"/>
        </w:rPr>
        <w:t xml:space="preserve"> 2015, se integran de la siguiente manera:</w:t>
      </w:r>
    </w:p>
    <w:p w:rsidR="000B32EB" w:rsidRPr="00B94587" w:rsidRDefault="000B32EB" w:rsidP="000B32EB">
      <w:pPr>
        <w:pStyle w:val="Prrafodelista"/>
        <w:jc w:val="both"/>
        <w:rPr>
          <w:rFonts w:ascii="Arial Narrow" w:hAnsi="Arial Narrow"/>
        </w:rPr>
      </w:pPr>
    </w:p>
    <w:tbl>
      <w:tblPr>
        <w:tblStyle w:val="Sombreadoclaro-nfasis11"/>
        <w:tblW w:w="0" w:type="auto"/>
        <w:jc w:val="center"/>
        <w:tblInd w:w="-364" w:type="dxa"/>
        <w:tblLook w:val="04A0"/>
      </w:tblPr>
      <w:tblGrid>
        <w:gridCol w:w="4288"/>
        <w:gridCol w:w="2433"/>
      </w:tblGrid>
      <w:tr w:rsidR="000B32EB" w:rsidRPr="00917741" w:rsidTr="000B32EB">
        <w:trPr>
          <w:cnfStyle w:val="1000000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lastRenderedPageBreak/>
              <w:t>CONCEPTO</w:t>
            </w:r>
          </w:p>
        </w:tc>
        <w:tc>
          <w:tcPr>
            <w:tcW w:w="2433" w:type="dxa"/>
          </w:tcPr>
          <w:p w:rsidR="000B32EB" w:rsidRPr="00917741" w:rsidRDefault="000B32EB" w:rsidP="000B32EB">
            <w:pPr>
              <w:pStyle w:val="Prrafodelista"/>
              <w:ind w:left="0"/>
              <w:jc w:val="center"/>
              <w:cnfStyle w:val="100000000000"/>
              <w:rPr>
                <w:rFonts w:ascii="Arial Narrow" w:hAnsi="Arial Narrow"/>
                <w:b w:val="0"/>
                <w:color w:val="auto"/>
                <w:sz w:val="18"/>
                <w:szCs w:val="18"/>
              </w:rPr>
            </w:pPr>
            <w:r w:rsidRPr="00917741">
              <w:rPr>
                <w:rFonts w:ascii="Arial Narrow" w:hAnsi="Arial Narrow"/>
                <w:b w:val="0"/>
                <w:color w:val="auto"/>
                <w:sz w:val="18"/>
                <w:szCs w:val="18"/>
              </w:rPr>
              <w:t>CANTIDAD</w:t>
            </w:r>
          </w:p>
        </w:tc>
      </w:tr>
      <w:tr w:rsidR="000B32EB" w:rsidRPr="00917741" w:rsidTr="000B32EB">
        <w:trPr>
          <w:cnfStyle w:val="0000001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Impuestos</w:t>
            </w:r>
          </w:p>
        </w:tc>
        <w:tc>
          <w:tcPr>
            <w:tcW w:w="2433" w:type="dxa"/>
          </w:tcPr>
          <w:p w:rsidR="000B32EB" w:rsidRPr="00917741" w:rsidRDefault="00F5524D" w:rsidP="000B32EB">
            <w:pPr>
              <w:pStyle w:val="Prrafodelista"/>
              <w:ind w:left="0"/>
              <w:jc w:val="right"/>
              <w:cnfStyle w:val="000000100000"/>
              <w:rPr>
                <w:rFonts w:ascii="Arial Narrow" w:hAnsi="Arial Narrow"/>
                <w:color w:val="auto"/>
                <w:sz w:val="18"/>
                <w:szCs w:val="18"/>
              </w:rPr>
            </w:pPr>
            <w:r>
              <w:rPr>
                <w:rFonts w:ascii="Arial Narrow" w:hAnsi="Arial Narrow"/>
                <w:color w:val="auto"/>
                <w:sz w:val="18"/>
                <w:szCs w:val="18"/>
              </w:rPr>
              <w:t xml:space="preserve">$                    </w:t>
            </w:r>
            <w:r w:rsidR="000B32EB" w:rsidRPr="00917741">
              <w:rPr>
                <w:rFonts w:ascii="Arial Narrow" w:hAnsi="Arial Narrow"/>
                <w:color w:val="auto"/>
                <w:sz w:val="18"/>
                <w:szCs w:val="18"/>
              </w:rPr>
              <w:t>0.00</w:t>
            </w:r>
          </w:p>
        </w:tc>
      </w:tr>
      <w:tr w:rsidR="000B32EB" w:rsidRPr="00917741" w:rsidTr="000B32EB">
        <w:trPr>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Derechos (Expedición de copias certificadas)</w:t>
            </w:r>
          </w:p>
        </w:tc>
        <w:tc>
          <w:tcPr>
            <w:tcW w:w="2433" w:type="dxa"/>
          </w:tcPr>
          <w:p w:rsidR="000B32EB" w:rsidRPr="00917741" w:rsidRDefault="00963987" w:rsidP="000B32EB">
            <w:pPr>
              <w:pStyle w:val="Prrafodelista"/>
              <w:ind w:left="0"/>
              <w:jc w:val="right"/>
              <w:cnfStyle w:val="000000000000"/>
              <w:rPr>
                <w:rFonts w:ascii="Arial Narrow" w:hAnsi="Arial Narrow"/>
                <w:color w:val="auto"/>
                <w:sz w:val="18"/>
                <w:szCs w:val="18"/>
              </w:rPr>
            </w:pPr>
            <w:r>
              <w:rPr>
                <w:rFonts w:ascii="Arial Narrow" w:hAnsi="Arial Narrow"/>
                <w:color w:val="auto"/>
                <w:sz w:val="18"/>
                <w:szCs w:val="18"/>
              </w:rPr>
              <w:t>$</w:t>
            </w:r>
            <w:r w:rsidR="00F5524D">
              <w:rPr>
                <w:rFonts w:ascii="Arial Narrow" w:hAnsi="Arial Narrow"/>
                <w:color w:val="auto"/>
                <w:sz w:val="18"/>
                <w:szCs w:val="18"/>
              </w:rPr>
              <w:t xml:space="preserve">        </w:t>
            </w:r>
            <w:r w:rsidR="00E86EC7">
              <w:rPr>
                <w:rFonts w:ascii="Arial Narrow" w:hAnsi="Arial Narrow"/>
                <w:color w:val="auto"/>
                <w:sz w:val="18"/>
                <w:szCs w:val="18"/>
              </w:rPr>
              <w:t xml:space="preserve"> 363,998.24</w:t>
            </w:r>
          </w:p>
        </w:tc>
      </w:tr>
      <w:tr w:rsidR="000B32EB" w:rsidRPr="00917741" w:rsidTr="000B32EB">
        <w:trPr>
          <w:cnfStyle w:val="0000001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Productos de tipo corriente (rendimientos bancarios)</w:t>
            </w:r>
          </w:p>
        </w:tc>
        <w:tc>
          <w:tcPr>
            <w:tcW w:w="2433" w:type="dxa"/>
          </w:tcPr>
          <w:p w:rsidR="000B32EB" w:rsidRPr="00917741" w:rsidRDefault="00963987" w:rsidP="000B32EB">
            <w:pPr>
              <w:pStyle w:val="Prrafodelista"/>
              <w:ind w:left="0"/>
              <w:jc w:val="right"/>
              <w:cnfStyle w:val="000000100000"/>
              <w:rPr>
                <w:rFonts w:ascii="Arial Narrow" w:hAnsi="Arial Narrow"/>
                <w:color w:val="auto"/>
                <w:sz w:val="18"/>
                <w:szCs w:val="18"/>
              </w:rPr>
            </w:pPr>
            <w:r>
              <w:rPr>
                <w:rFonts w:ascii="Arial Narrow" w:hAnsi="Arial Narrow"/>
                <w:color w:val="auto"/>
                <w:sz w:val="18"/>
                <w:szCs w:val="18"/>
              </w:rPr>
              <w:t>$</w:t>
            </w:r>
            <w:r w:rsidR="00F5524D">
              <w:rPr>
                <w:rFonts w:ascii="Arial Narrow" w:hAnsi="Arial Narrow"/>
                <w:color w:val="auto"/>
                <w:sz w:val="18"/>
                <w:szCs w:val="18"/>
              </w:rPr>
              <w:t xml:space="preserve">        </w:t>
            </w:r>
            <w:r w:rsidR="00DC152D">
              <w:rPr>
                <w:rFonts w:ascii="Arial Narrow" w:hAnsi="Arial Narrow"/>
                <w:color w:val="auto"/>
                <w:sz w:val="18"/>
                <w:szCs w:val="18"/>
              </w:rPr>
              <w:t>221,692.25</w:t>
            </w:r>
          </w:p>
        </w:tc>
      </w:tr>
      <w:tr w:rsidR="000B32EB" w:rsidRPr="00917741" w:rsidTr="000B32EB">
        <w:trPr>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Aprovechamientos de tipo corriente (conmutaciones y multas)</w:t>
            </w:r>
          </w:p>
        </w:tc>
        <w:tc>
          <w:tcPr>
            <w:tcW w:w="2433" w:type="dxa"/>
          </w:tcPr>
          <w:p w:rsidR="000B32EB" w:rsidRPr="00917741" w:rsidRDefault="000B32EB" w:rsidP="000B32EB">
            <w:pPr>
              <w:pStyle w:val="Prrafodelista"/>
              <w:ind w:left="0"/>
              <w:jc w:val="right"/>
              <w:cnfStyle w:val="000000000000"/>
              <w:rPr>
                <w:rFonts w:ascii="Arial Narrow" w:hAnsi="Arial Narrow"/>
                <w:color w:val="auto"/>
                <w:sz w:val="18"/>
                <w:szCs w:val="18"/>
              </w:rPr>
            </w:pPr>
            <w:r w:rsidRPr="00917741">
              <w:rPr>
                <w:rFonts w:ascii="Arial Narrow" w:hAnsi="Arial Narrow"/>
                <w:color w:val="auto"/>
                <w:sz w:val="18"/>
                <w:szCs w:val="18"/>
              </w:rPr>
              <w:t>$</w:t>
            </w:r>
            <w:r w:rsidR="00F5524D">
              <w:rPr>
                <w:rFonts w:ascii="Arial Narrow" w:hAnsi="Arial Narrow"/>
                <w:color w:val="auto"/>
                <w:sz w:val="18"/>
                <w:szCs w:val="18"/>
              </w:rPr>
              <w:t xml:space="preserve">        </w:t>
            </w:r>
            <w:r w:rsidRPr="00917741">
              <w:rPr>
                <w:rFonts w:ascii="Arial Narrow" w:hAnsi="Arial Narrow"/>
                <w:color w:val="auto"/>
                <w:sz w:val="18"/>
                <w:szCs w:val="18"/>
              </w:rPr>
              <w:t>759,440.00</w:t>
            </w:r>
          </w:p>
        </w:tc>
      </w:tr>
      <w:tr w:rsidR="000B32EB" w:rsidRPr="00917741" w:rsidTr="000B32EB">
        <w:trPr>
          <w:cnfStyle w:val="0000001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por venta de bienes y servicios</w:t>
            </w:r>
          </w:p>
        </w:tc>
        <w:tc>
          <w:tcPr>
            <w:tcW w:w="2433" w:type="dxa"/>
          </w:tcPr>
          <w:p w:rsidR="000B32EB" w:rsidRPr="00917741" w:rsidRDefault="000B32EB" w:rsidP="000B32EB">
            <w:pPr>
              <w:pStyle w:val="Prrafodelista"/>
              <w:ind w:left="0"/>
              <w:jc w:val="right"/>
              <w:cnfStyle w:val="00000010000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no comprendidos en fracciones ley de ingreso en ejercicio fiscal anterior o pendiente de pago</w:t>
            </w:r>
          </w:p>
        </w:tc>
        <w:tc>
          <w:tcPr>
            <w:tcW w:w="2433" w:type="dxa"/>
          </w:tcPr>
          <w:p w:rsidR="000B32EB" w:rsidRPr="00917741" w:rsidRDefault="000B32EB" w:rsidP="000B32EB">
            <w:pPr>
              <w:pStyle w:val="Prrafodelista"/>
              <w:ind w:left="0"/>
              <w:jc w:val="right"/>
              <w:cnfStyle w:val="00000000000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cnfStyle w:val="0000001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Otros ingresos</w:t>
            </w:r>
            <w:r w:rsidR="00FE3356">
              <w:rPr>
                <w:rFonts w:ascii="Arial Narrow" w:hAnsi="Arial Narrow"/>
                <w:b w:val="0"/>
                <w:color w:val="auto"/>
                <w:sz w:val="18"/>
                <w:szCs w:val="18"/>
              </w:rPr>
              <w:t xml:space="preserve"> ( Recuperación seguros por siniestro)</w:t>
            </w:r>
          </w:p>
        </w:tc>
        <w:tc>
          <w:tcPr>
            <w:tcW w:w="2433" w:type="dxa"/>
          </w:tcPr>
          <w:p w:rsidR="000B32EB" w:rsidRPr="00917741" w:rsidRDefault="00F5524D" w:rsidP="000B32EB">
            <w:pPr>
              <w:pStyle w:val="Prrafodelista"/>
              <w:ind w:left="0"/>
              <w:jc w:val="right"/>
              <w:cnfStyle w:val="000000100000"/>
              <w:rPr>
                <w:rFonts w:ascii="Arial Narrow" w:hAnsi="Arial Narrow"/>
                <w:color w:val="auto"/>
                <w:sz w:val="18"/>
                <w:szCs w:val="18"/>
              </w:rPr>
            </w:pPr>
            <w:r>
              <w:rPr>
                <w:rFonts w:ascii="Arial Narrow" w:hAnsi="Arial Narrow"/>
                <w:color w:val="auto"/>
                <w:sz w:val="18"/>
                <w:szCs w:val="18"/>
              </w:rPr>
              <w:t>$          79,895.00</w:t>
            </w:r>
          </w:p>
        </w:tc>
      </w:tr>
      <w:tr w:rsidR="000B32EB" w:rsidRPr="00917741" w:rsidTr="000B32EB">
        <w:trPr>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TOTAL DE INGRESOS DE GESTIÓN</w:t>
            </w:r>
          </w:p>
        </w:tc>
        <w:tc>
          <w:tcPr>
            <w:tcW w:w="2433" w:type="dxa"/>
          </w:tcPr>
          <w:p w:rsidR="000B32EB" w:rsidRPr="00917741" w:rsidRDefault="00F5524D" w:rsidP="00963987">
            <w:pPr>
              <w:pStyle w:val="Prrafodelista"/>
              <w:ind w:left="0"/>
              <w:jc w:val="right"/>
              <w:cnfStyle w:val="000000000000"/>
              <w:rPr>
                <w:rFonts w:ascii="Arial Narrow" w:hAnsi="Arial Narrow"/>
                <w:color w:val="auto"/>
                <w:sz w:val="18"/>
                <w:szCs w:val="18"/>
              </w:rPr>
            </w:pPr>
            <w:r w:rsidRPr="00F5524D">
              <w:rPr>
                <w:rFonts w:ascii="Arial Narrow" w:hAnsi="Arial Narrow"/>
                <w:color w:val="auto"/>
                <w:sz w:val="18"/>
                <w:szCs w:val="18"/>
              </w:rPr>
              <w:t>$</w:t>
            </w:r>
            <w:r w:rsidR="00AB170C">
              <w:rPr>
                <w:rFonts w:ascii="Arial Narrow" w:hAnsi="Arial Narrow"/>
                <w:color w:val="auto"/>
                <w:sz w:val="18"/>
                <w:szCs w:val="18"/>
              </w:rPr>
              <w:t xml:space="preserve">    </w:t>
            </w:r>
            <w:r>
              <w:rPr>
                <w:rFonts w:ascii="Arial Narrow" w:hAnsi="Arial Narrow"/>
                <w:color w:val="auto"/>
                <w:sz w:val="18"/>
                <w:szCs w:val="18"/>
              </w:rPr>
              <w:t xml:space="preserve"> </w:t>
            </w:r>
            <w:r w:rsidR="00AB170C">
              <w:rPr>
                <w:rFonts w:ascii="Arial Narrow" w:hAnsi="Arial Narrow"/>
                <w:color w:val="auto"/>
                <w:sz w:val="18"/>
                <w:szCs w:val="18"/>
              </w:rPr>
              <w:t>1,</w:t>
            </w:r>
            <w:r w:rsidR="00DC152D">
              <w:rPr>
                <w:rFonts w:ascii="Arial Narrow" w:hAnsi="Arial Narrow"/>
                <w:color w:val="auto"/>
                <w:sz w:val="18"/>
                <w:szCs w:val="18"/>
              </w:rPr>
              <w:t>425,025.49</w:t>
            </w:r>
          </w:p>
        </w:tc>
      </w:tr>
    </w:tbl>
    <w:p w:rsidR="000B32EB" w:rsidRPr="00B94587" w:rsidRDefault="000B32EB" w:rsidP="000B32EB">
      <w:pPr>
        <w:pStyle w:val="Prrafodelista"/>
        <w:jc w:val="both"/>
        <w:rPr>
          <w:rFonts w:ascii="Arial Narrow" w:hAnsi="Arial Narrow"/>
        </w:rPr>
      </w:pPr>
    </w:p>
    <w:p w:rsidR="000B32EB" w:rsidRPr="00B94587" w:rsidRDefault="000B32EB" w:rsidP="000B32EB">
      <w:pPr>
        <w:pStyle w:val="Prrafodelista"/>
        <w:jc w:val="both"/>
        <w:rPr>
          <w:rFonts w:ascii="Arial Narrow" w:hAnsi="Arial Narrow"/>
        </w:rPr>
      </w:pPr>
    </w:p>
    <w:p w:rsidR="000B32EB" w:rsidRPr="00B94587" w:rsidRDefault="000B32EB" w:rsidP="000B32EB">
      <w:pPr>
        <w:pStyle w:val="Prrafodelista"/>
        <w:numPr>
          <w:ilvl w:val="0"/>
          <w:numId w:val="6"/>
        </w:numPr>
        <w:jc w:val="both"/>
        <w:rPr>
          <w:rFonts w:ascii="Arial Narrow" w:hAnsi="Arial Narrow"/>
          <w:b/>
          <w:u w:val="single"/>
        </w:rPr>
      </w:pPr>
      <w:r w:rsidRPr="00B94587">
        <w:rPr>
          <w:rFonts w:ascii="Arial Narrow" w:hAnsi="Arial Narrow"/>
          <w:b/>
          <w:u w:val="single"/>
        </w:rPr>
        <w:t>Gastos y otras pérdidas</w:t>
      </w:r>
    </w:p>
    <w:p w:rsidR="000B32EB" w:rsidRPr="00B94587" w:rsidRDefault="000B32EB" w:rsidP="000B32EB">
      <w:pPr>
        <w:ind w:left="360"/>
        <w:jc w:val="both"/>
        <w:rPr>
          <w:rFonts w:ascii="Arial Narrow" w:hAnsi="Arial Narrow"/>
        </w:rPr>
      </w:pPr>
      <w:r w:rsidRPr="00B94587">
        <w:rPr>
          <w:rFonts w:ascii="Arial Narrow" w:hAnsi="Arial Narrow"/>
        </w:rPr>
        <w:t xml:space="preserve">Dado los tipos </w:t>
      </w:r>
      <w:r w:rsidR="00800613">
        <w:rPr>
          <w:rFonts w:ascii="Arial Narrow" w:hAnsi="Arial Narrow"/>
        </w:rPr>
        <w:t>de servicios que presta el Ente.  S</w:t>
      </w:r>
      <w:r w:rsidRPr="00B94587">
        <w:rPr>
          <w:rFonts w:ascii="Arial Narrow" w:hAnsi="Arial Narrow"/>
        </w:rPr>
        <w:t>u mayor gasto se encuentra en el rubro servicios personales que representa el 91.59% de los ingreso</w:t>
      </w:r>
      <w:r w:rsidR="00800613">
        <w:rPr>
          <w:rFonts w:ascii="Arial Narrow" w:hAnsi="Arial Narrow"/>
        </w:rPr>
        <w:t>s recibidos,  al segundo</w:t>
      </w:r>
      <w:r w:rsidRPr="00B94587">
        <w:rPr>
          <w:rFonts w:ascii="Arial Narrow" w:hAnsi="Arial Narrow"/>
        </w:rPr>
        <w:t xml:space="preserve"> trimestre del 2015</w:t>
      </w:r>
      <w:r w:rsidR="00800613">
        <w:rPr>
          <w:rFonts w:ascii="Arial Narrow" w:hAnsi="Arial Narrow"/>
        </w:rPr>
        <w:t xml:space="preserve"> es:</w:t>
      </w:r>
    </w:p>
    <w:tbl>
      <w:tblPr>
        <w:tblStyle w:val="Sombreadoclaro-nfasis11"/>
        <w:tblW w:w="0" w:type="auto"/>
        <w:jc w:val="center"/>
        <w:tblLook w:val="04A0"/>
      </w:tblPr>
      <w:tblGrid>
        <w:gridCol w:w="2867"/>
        <w:gridCol w:w="2551"/>
      </w:tblGrid>
      <w:tr w:rsidR="000B32EB" w:rsidRPr="00917741" w:rsidTr="000B32EB">
        <w:trPr>
          <w:cnfStyle w:val="100000000000"/>
          <w:jc w:val="center"/>
        </w:trPr>
        <w:tc>
          <w:tcPr>
            <w:cnfStyle w:val="001000000000"/>
            <w:tcW w:w="2867"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 xml:space="preserve">CONCEPTO </w:t>
            </w:r>
          </w:p>
        </w:tc>
        <w:tc>
          <w:tcPr>
            <w:tcW w:w="2551" w:type="dxa"/>
          </w:tcPr>
          <w:p w:rsidR="000B32EB" w:rsidRPr="00917741" w:rsidRDefault="000B32EB" w:rsidP="000B32EB">
            <w:pPr>
              <w:jc w:val="both"/>
              <w:cnfStyle w:val="100000000000"/>
              <w:rPr>
                <w:rFonts w:ascii="Arial Narrow" w:hAnsi="Arial Narrow"/>
                <w:color w:val="auto"/>
                <w:sz w:val="18"/>
                <w:szCs w:val="18"/>
              </w:rPr>
            </w:pPr>
            <w:r w:rsidRPr="00917741">
              <w:rPr>
                <w:rFonts w:ascii="Arial Narrow" w:hAnsi="Arial Narrow"/>
                <w:color w:val="auto"/>
                <w:sz w:val="18"/>
                <w:szCs w:val="18"/>
              </w:rPr>
              <w:t>CANTIDAD</w:t>
            </w:r>
          </w:p>
        </w:tc>
      </w:tr>
      <w:tr w:rsidR="000B32EB" w:rsidRPr="00917741" w:rsidTr="000B32EB">
        <w:trPr>
          <w:cnfStyle w:val="000000100000"/>
          <w:jc w:val="center"/>
        </w:trPr>
        <w:tc>
          <w:tcPr>
            <w:cnfStyle w:val="001000000000"/>
            <w:tcW w:w="2867"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0B32EB" w:rsidRPr="00917741" w:rsidRDefault="00963987" w:rsidP="000B32EB">
            <w:pPr>
              <w:jc w:val="both"/>
              <w:cnfStyle w:val="000000100000"/>
              <w:rPr>
                <w:rFonts w:ascii="Arial Narrow" w:hAnsi="Arial Narrow"/>
                <w:color w:val="auto"/>
                <w:sz w:val="18"/>
                <w:szCs w:val="18"/>
              </w:rPr>
            </w:pPr>
            <w:r>
              <w:rPr>
                <w:rFonts w:ascii="Arial Narrow" w:hAnsi="Arial Narrow"/>
                <w:color w:val="auto"/>
                <w:sz w:val="18"/>
                <w:szCs w:val="18"/>
              </w:rPr>
              <w:t>$</w:t>
            </w:r>
            <w:r w:rsidR="00D43FBD">
              <w:rPr>
                <w:rFonts w:ascii="Arial Narrow" w:hAnsi="Arial Narrow"/>
                <w:color w:val="auto"/>
                <w:sz w:val="18"/>
                <w:szCs w:val="18"/>
              </w:rPr>
              <w:t>200,669,426.50</w:t>
            </w:r>
          </w:p>
        </w:tc>
      </w:tr>
    </w:tbl>
    <w:p w:rsidR="000B32EB" w:rsidRPr="00B94587" w:rsidRDefault="000B32EB" w:rsidP="000B32EB">
      <w:pPr>
        <w:jc w:val="both"/>
        <w:rPr>
          <w:rFonts w:ascii="Arial Narrow" w:hAnsi="Arial Narrow"/>
          <w:b/>
          <w:u w:val="single"/>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b/>
          <w:sz w:val="22"/>
          <w:szCs w:val="22"/>
        </w:rPr>
      </w:pPr>
      <w:r w:rsidRPr="00B94587">
        <w:rPr>
          <w:rFonts w:ascii="Arial Narrow" w:hAnsi="Arial Narrow"/>
          <w:sz w:val="22"/>
          <w:szCs w:val="22"/>
        </w:rPr>
        <w:t>Al t</w:t>
      </w:r>
      <w:r w:rsidR="00D43FBD">
        <w:rPr>
          <w:rFonts w:ascii="Arial Narrow" w:hAnsi="Arial Narrow"/>
          <w:sz w:val="22"/>
          <w:szCs w:val="22"/>
        </w:rPr>
        <w:t>erminar período de Enero a Diciembre</w:t>
      </w:r>
      <w:r w:rsidRPr="00B94587">
        <w:rPr>
          <w:rFonts w:ascii="Arial Narrow" w:hAnsi="Arial Narrow"/>
          <w:sz w:val="22"/>
          <w:szCs w:val="22"/>
        </w:rPr>
        <w:t xml:space="preserve"> de</w:t>
      </w:r>
      <w:r w:rsidR="0007084B">
        <w:rPr>
          <w:rFonts w:ascii="Arial Narrow" w:hAnsi="Arial Narrow"/>
          <w:sz w:val="22"/>
          <w:szCs w:val="22"/>
        </w:rPr>
        <w:t xml:space="preserve"> el</w:t>
      </w:r>
      <w:r w:rsidRPr="00B94587">
        <w:rPr>
          <w:rFonts w:ascii="Arial Narrow" w:hAnsi="Arial Narrow"/>
          <w:sz w:val="22"/>
          <w:szCs w:val="22"/>
        </w:rPr>
        <w:t xml:space="preserve"> ejerc</w:t>
      </w:r>
      <w:r w:rsidR="00526E1D">
        <w:rPr>
          <w:rFonts w:ascii="Arial Narrow" w:hAnsi="Arial Narrow"/>
          <w:sz w:val="22"/>
          <w:szCs w:val="22"/>
        </w:rPr>
        <w:t xml:space="preserve">icio fiscal 2015 se tiene un </w:t>
      </w:r>
      <w:r w:rsidRPr="00B94587">
        <w:rPr>
          <w:rFonts w:ascii="Arial Narrow" w:hAnsi="Arial Narrow"/>
          <w:sz w:val="22"/>
          <w:szCs w:val="22"/>
        </w:rPr>
        <w:t xml:space="preserve">ahorro de </w:t>
      </w:r>
      <w:r w:rsidR="00D43FBD">
        <w:rPr>
          <w:rFonts w:ascii="Arial Narrow" w:hAnsi="Arial Narrow"/>
          <w:b/>
          <w:sz w:val="22"/>
          <w:szCs w:val="22"/>
        </w:rPr>
        <w:t>$4</w:t>
      </w:r>
      <w:proofErr w:type="gramStart"/>
      <w:r w:rsidR="00D43FBD">
        <w:rPr>
          <w:rFonts w:ascii="Arial Narrow" w:hAnsi="Arial Narrow"/>
          <w:b/>
          <w:sz w:val="22"/>
          <w:szCs w:val="22"/>
        </w:rPr>
        <w:t>,671,913.85</w:t>
      </w:r>
      <w:proofErr w:type="gramEnd"/>
    </w:p>
    <w:p w:rsidR="000B32EB" w:rsidRPr="00B94587" w:rsidRDefault="000B32EB" w:rsidP="000B32EB">
      <w:pPr>
        <w:pStyle w:val="Default"/>
        <w:ind w:left="360"/>
        <w:rPr>
          <w:rFonts w:ascii="Arial Narrow" w:hAnsi="Arial Narrow"/>
          <w:sz w:val="22"/>
          <w:szCs w:val="22"/>
        </w:rPr>
      </w:pPr>
      <w:r w:rsidRPr="00B94587">
        <w:rPr>
          <w:rFonts w:ascii="Arial Narrow" w:hAnsi="Arial Narrow"/>
          <w:sz w:val="22"/>
          <w:szCs w:val="22"/>
        </w:rPr>
        <w:t>Derivado d</w:t>
      </w:r>
      <w:r w:rsidR="00526E1D">
        <w:rPr>
          <w:rFonts w:ascii="Arial Narrow" w:hAnsi="Arial Narrow"/>
          <w:sz w:val="22"/>
          <w:szCs w:val="22"/>
        </w:rPr>
        <w:t>e las operaciones normales del E</w:t>
      </w:r>
      <w:r w:rsidRPr="00B94587">
        <w:rPr>
          <w:rFonts w:ascii="Arial Narrow" w:hAnsi="Arial Narrow"/>
          <w:sz w:val="22"/>
          <w:szCs w:val="22"/>
        </w:rPr>
        <w:t xml:space="preserve">nte. </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jc w:val="both"/>
        <w:rPr>
          <w:rFonts w:ascii="Arial Narrow" w:hAnsi="Arial Narrow"/>
          <w:sz w:val="22"/>
          <w:szCs w:val="22"/>
        </w:rPr>
      </w:pPr>
      <w:r w:rsidRPr="00B94587">
        <w:rPr>
          <w:rFonts w:ascii="Arial Narrow" w:hAnsi="Arial Narrow"/>
          <w:sz w:val="22"/>
          <w:szCs w:val="22"/>
        </w:rPr>
        <w:t>Debido al tipo de Ente que maneja un gasto trimestral del 91.59% en el capitulo 1000, en el mes de d</w:t>
      </w:r>
      <w:r w:rsidR="00D43FBD">
        <w:rPr>
          <w:rFonts w:ascii="Arial Narrow" w:hAnsi="Arial Narrow"/>
          <w:sz w:val="22"/>
          <w:szCs w:val="22"/>
        </w:rPr>
        <w:t>iciembre impacta</w:t>
      </w:r>
      <w:r w:rsidRPr="00B94587">
        <w:rPr>
          <w:rFonts w:ascii="Arial Narrow" w:hAnsi="Arial Narrow"/>
          <w:sz w:val="22"/>
          <w:szCs w:val="22"/>
        </w:rPr>
        <w:t xml:space="preserve"> en el presupuesto 2015, por las prestaciones que tienen derecho los servidores públicos que laboran en este Honorable Tribunal de Justicia del Estado.</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0B32EB" w:rsidRPr="00B94587" w:rsidRDefault="000B32EB" w:rsidP="000B32EB">
      <w:pPr>
        <w:pStyle w:val="Default"/>
        <w:ind w:left="720"/>
        <w:rPr>
          <w:rFonts w:ascii="Arial Narrow" w:hAnsi="Arial Narrow"/>
          <w:b/>
          <w:sz w:val="22"/>
          <w:szCs w:val="22"/>
          <w:u w:val="single"/>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0B32EB" w:rsidRPr="00B94587" w:rsidRDefault="000B32EB" w:rsidP="000B32EB">
      <w:pPr>
        <w:pStyle w:val="Default"/>
        <w:ind w:left="360"/>
        <w:rPr>
          <w:rFonts w:ascii="Arial Narrow" w:hAnsi="Arial Narrow"/>
          <w:sz w:val="22"/>
          <w:szCs w:val="22"/>
        </w:rPr>
      </w:pPr>
    </w:p>
    <w:tbl>
      <w:tblPr>
        <w:tblStyle w:val="Sombreadoclaro-nfasis11"/>
        <w:tblW w:w="0" w:type="auto"/>
        <w:jc w:val="center"/>
        <w:tblLayout w:type="fixed"/>
        <w:tblLook w:val="04A0"/>
      </w:tblPr>
      <w:tblGrid>
        <w:gridCol w:w="3794"/>
        <w:gridCol w:w="1559"/>
        <w:gridCol w:w="1481"/>
      </w:tblGrid>
      <w:tr w:rsidR="000B32EB" w:rsidRPr="00917741" w:rsidTr="000B32EB">
        <w:trPr>
          <w:cnfStyle w:val="1000000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2015</w:t>
            </w:r>
          </w:p>
        </w:tc>
        <w:tc>
          <w:tcPr>
            <w:tcW w:w="1481" w:type="dxa"/>
          </w:tcPr>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2014</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0B32EB" w:rsidRPr="00917741" w:rsidRDefault="006F54E5" w:rsidP="000B32EB">
            <w:pPr>
              <w:pStyle w:val="Default"/>
              <w:jc w:val="right"/>
              <w:cnfStyle w:val="000000100000"/>
              <w:rPr>
                <w:rFonts w:ascii="Arial Narrow" w:hAnsi="Arial Narrow"/>
                <w:sz w:val="18"/>
                <w:szCs w:val="18"/>
              </w:rPr>
            </w:pPr>
            <w:r>
              <w:rPr>
                <w:rFonts w:ascii="Arial Narrow" w:hAnsi="Arial Narrow"/>
                <w:sz w:val="18"/>
                <w:szCs w:val="18"/>
              </w:rPr>
              <w:t xml:space="preserve">$ </w:t>
            </w:r>
            <w:r w:rsidR="00462C79">
              <w:rPr>
                <w:rFonts w:ascii="Arial Narrow" w:hAnsi="Arial Narrow"/>
                <w:sz w:val="18"/>
                <w:szCs w:val="18"/>
              </w:rPr>
              <w:t xml:space="preserve"> 9,549,594.32</w:t>
            </w:r>
          </w:p>
        </w:tc>
        <w:tc>
          <w:tcPr>
            <w:tcW w:w="1481" w:type="dxa"/>
          </w:tcPr>
          <w:p w:rsidR="000B32EB" w:rsidRPr="00917741" w:rsidRDefault="006F54E5" w:rsidP="000B32EB">
            <w:pPr>
              <w:pStyle w:val="Default"/>
              <w:cnfStyle w:val="000000100000"/>
              <w:rPr>
                <w:rFonts w:ascii="Arial Narrow" w:hAnsi="Arial Narrow"/>
                <w:sz w:val="18"/>
                <w:szCs w:val="18"/>
              </w:rPr>
            </w:pPr>
            <w:r>
              <w:rPr>
                <w:rFonts w:ascii="Arial Narrow" w:hAnsi="Arial Narrow"/>
                <w:sz w:val="18"/>
                <w:szCs w:val="18"/>
              </w:rPr>
              <w:t>$</w:t>
            </w:r>
            <w:r w:rsidR="002A77C8">
              <w:rPr>
                <w:rFonts w:ascii="Arial Narrow" w:hAnsi="Arial Narrow"/>
                <w:sz w:val="18"/>
                <w:szCs w:val="18"/>
              </w:rPr>
              <w:t>15,802,051.28</w:t>
            </w:r>
            <w:r>
              <w:rPr>
                <w:rFonts w:ascii="Arial Narrow" w:hAnsi="Arial Narrow"/>
                <w:sz w:val="18"/>
                <w:szCs w:val="18"/>
              </w:rPr>
              <w:t xml:space="preserve"> </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sz w:val="18"/>
                <w:szCs w:val="18"/>
              </w:rPr>
            </w:pPr>
          </w:p>
        </w:tc>
        <w:tc>
          <w:tcPr>
            <w:tcW w:w="1559" w:type="dxa"/>
          </w:tcPr>
          <w:p w:rsidR="000B32EB" w:rsidRPr="00917741" w:rsidRDefault="000B32EB" w:rsidP="000B32EB">
            <w:pPr>
              <w:pStyle w:val="Default"/>
              <w:jc w:val="right"/>
              <w:cnfStyle w:val="000000000000"/>
              <w:rPr>
                <w:rFonts w:ascii="Arial Narrow" w:hAnsi="Arial Narrow"/>
                <w:sz w:val="18"/>
                <w:szCs w:val="18"/>
              </w:rPr>
            </w:pPr>
          </w:p>
        </w:tc>
        <w:tc>
          <w:tcPr>
            <w:tcW w:w="1481" w:type="dxa"/>
          </w:tcPr>
          <w:p w:rsidR="000B32EB" w:rsidRPr="00917741" w:rsidRDefault="000B32EB" w:rsidP="000B32EB">
            <w:pPr>
              <w:pStyle w:val="Default"/>
              <w:cnfStyle w:val="000000000000"/>
              <w:rPr>
                <w:rFonts w:ascii="Arial Narrow" w:hAnsi="Arial Narrow"/>
                <w:sz w:val="18"/>
                <w:szCs w:val="18"/>
              </w:rPr>
            </w:pP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0B32EB" w:rsidRPr="00917741" w:rsidRDefault="00462C79" w:rsidP="000B32EB">
            <w:pPr>
              <w:pStyle w:val="Default"/>
              <w:jc w:val="right"/>
              <w:cnfStyle w:val="000000100000"/>
              <w:rPr>
                <w:rFonts w:ascii="Arial Narrow" w:hAnsi="Arial Narrow"/>
                <w:sz w:val="18"/>
                <w:szCs w:val="18"/>
              </w:rPr>
            </w:pPr>
            <w:r>
              <w:rPr>
                <w:rFonts w:ascii="Arial Narrow" w:hAnsi="Arial Narrow"/>
                <w:sz w:val="18"/>
                <w:szCs w:val="18"/>
              </w:rPr>
              <w:t>$ 9,549,5</w:t>
            </w:r>
            <w:r w:rsidR="006F54E5">
              <w:rPr>
                <w:rFonts w:ascii="Arial Narrow" w:hAnsi="Arial Narrow"/>
                <w:sz w:val="18"/>
                <w:szCs w:val="18"/>
              </w:rPr>
              <w:t>94.38</w:t>
            </w:r>
          </w:p>
        </w:tc>
        <w:tc>
          <w:tcPr>
            <w:tcW w:w="1481" w:type="dxa"/>
          </w:tcPr>
          <w:p w:rsidR="000B32EB" w:rsidRPr="00917741" w:rsidRDefault="002A77C8" w:rsidP="000B32EB">
            <w:pPr>
              <w:pStyle w:val="Default"/>
              <w:cnfStyle w:val="000000100000"/>
              <w:rPr>
                <w:rFonts w:ascii="Arial Narrow" w:hAnsi="Arial Narrow"/>
                <w:sz w:val="18"/>
                <w:szCs w:val="18"/>
              </w:rPr>
            </w:pPr>
            <w:r>
              <w:rPr>
                <w:rFonts w:ascii="Arial Narrow" w:hAnsi="Arial Narrow"/>
                <w:sz w:val="18"/>
                <w:szCs w:val="18"/>
              </w:rPr>
              <w:t>$ 15,802,051.28</w:t>
            </w:r>
          </w:p>
        </w:tc>
      </w:tr>
    </w:tbl>
    <w:p w:rsidR="000B32EB"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 xml:space="preserve">Se tiene una variación de $ </w:t>
      </w:r>
      <w:r w:rsidR="002A77C8">
        <w:rPr>
          <w:rFonts w:ascii="Arial Narrow" w:hAnsi="Arial Narrow"/>
          <w:sz w:val="22"/>
          <w:szCs w:val="22"/>
        </w:rPr>
        <w:t xml:space="preserve">107,556.90.   Por sus operaciones </w:t>
      </w:r>
      <w:r w:rsidR="00990EEB">
        <w:rPr>
          <w:rFonts w:ascii="Arial Narrow" w:hAnsi="Arial Narrow"/>
          <w:sz w:val="22"/>
          <w:szCs w:val="22"/>
        </w:rPr>
        <w:t>normales del Ente</w:t>
      </w:r>
      <w:r w:rsidR="002A77C8">
        <w:rPr>
          <w:rFonts w:ascii="Arial Narrow" w:hAnsi="Arial Narrow"/>
          <w:sz w:val="22"/>
          <w:szCs w:val="22"/>
        </w:rPr>
        <w:t>.</w:t>
      </w: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t xml:space="preserve">Se adquirieron bienes muebles por: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w:t>
      </w:r>
    </w:p>
    <w:tbl>
      <w:tblPr>
        <w:tblStyle w:val="Sombreadoclaro-nfasis11"/>
        <w:tblW w:w="0" w:type="auto"/>
        <w:jc w:val="center"/>
        <w:tblLayout w:type="fixed"/>
        <w:tblLook w:val="04A0"/>
      </w:tblPr>
      <w:tblGrid>
        <w:gridCol w:w="3794"/>
        <w:gridCol w:w="1559"/>
        <w:gridCol w:w="1701"/>
        <w:gridCol w:w="1417"/>
      </w:tblGrid>
      <w:tr w:rsidR="002A77C8" w:rsidRPr="00917741" w:rsidTr="002A77C8">
        <w:trPr>
          <w:cnfStyle w:val="100000000000"/>
          <w:trHeight w:val="406"/>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CONCEPTO</w:t>
            </w:r>
          </w:p>
        </w:tc>
        <w:tc>
          <w:tcPr>
            <w:tcW w:w="1559" w:type="dxa"/>
          </w:tcPr>
          <w:p w:rsidR="002A77C8" w:rsidRPr="00917741" w:rsidRDefault="002A77C8" w:rsidP="000B32EB">
            <w:pPr>
              <w:pStyle w:val="Default"/>
              <w:jc w:val="center"/>
              <w:cnfStyle w:val="100000000000"/>
              <w:rPr>
                <w:rFonts w:ascii="Arial Narrow" w:hAnsi="Arial Narrow"/>
                <w:color w:val="auto"/>
                <w:sz w:val="18"/>
                <w:szCs w:val="18"/>
              </w:rPr>
            </w:pPr>
          </w:p>
        </w:tc>
        <w:tc>
          <w:tcPr>
            <w:tcW w:w="1701" w:type="dxa"/>
          </w:tcPr>
          <w:p w:rsidR="002A77C8" w:rsidRPr="00917741" w:rsidRDefault="002A77C8" w:rsidP="00B94C3A">
            <w:pPr>
              <w:jc w:val="right"/>
              <w:cnfStyle w:val="100000000000"/>
              <w:rPr>
                <w:rFonts w:ascii="Arial Narrow" w:hAnsi="Arial Narrow" w:cs="Arial"/>
                <w:color w:val="auto"/>
                <w:sz w:val="18"/>
                <w:szCs w:val="18"/>
              </w:rPr>
            </w:pPr>
            <w:r>
              <w:rPr>
                <w:rFonts w:ascii="Arial Narrow" w:hAnsi="Arial Narrow" w:cs="Arial"/>
                <w:color w:val="auto"/>
                <w:sz w:val="18"/>
                <w:szCs w:val="18"/>
              </w:rPr>
              <w:t>Adquisiciones 2015</w:t>
            </w:r>
          </w:p>
        </w:tc>
        <w:tc>
          <w:tcPr>
            <w:tcW w:w="1417" w:type="dxa"/>
          </w:tcPr>
          <w:p w:rsidR="002A77C8" w:rsidRPr="00917741" w:rsidRDefault="002A77C8" w:rsidP="000B32EB">
            <w:pPr>
              <w:pStyle w:val="Default"/>
              <w:jc w:val="center"/>
              <w:cnfStyle w:val="100000000000"/>
              <w:rPr>
                <w:rFonts w:ascii="Arial Narrow" w:hAnsi="Arial Narrow"/>
                <w:color w:val="auto"/>
                <w:sz w:val="18"/>
                <w:szCs w:val="18"/>
              </w:rPr>
            </w:pPr>
          </w:p>
        </w:tc>
      </w:tr>
      <w:tr w:rsidR="002A77C8" w:rsidRPr="00917741" w:rsidTr="00132314">
        <w:trPr>
          <w:cnfStyle w:val="000000100000"/>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de transporte *</w:t>
            </w:r>
          </w:p>
        </w:tc>
        <w:tc>
          <w:tcPr>
            <w:tcW w:w="1559" w:type="dxa"/>
          </w:tcPr>
          <w:p w:rsidR="002A77C8" w:rsidRPr="00917741" w:rsidRDefault="002A77C8" w:rsidP="000B32EB">
            <w:pPr>
              <w:pStyle w:val="Default"/>
              <w:jc w:val="right"/>
              <w:cnfStyle w:val="000000100000"/>
              <w:rPr>
                <w:rFonts w:ascii="Arial Narrow" w:hAnsi="Arial Narrow"/>
                <w:color w:val="auto"/>
                <w:sz w:val="18"/>
                <w:szCs w:val="18"/>
              </w:rPr>
            </w:pPr>
          </w:p>
        </w:tc>
        <w:tc>
          <w:tcPr>
            <w:tcW w:w="1701" w:type="dxa"/>
          </w:tcPr>
          <w:p w:rsidR="002A77C8" w:rsidRPr="00917741" w:rsidRDefault="002A77C8" w:rsidP="00B94C3A">
            <w:pPr>
              <w:pStyle w:val="Default"/>
              <w:jc w:val="right"/>
              <w:cnfStyle w:val="000000100000"/>
              <w:rPr>
                <w:rFonts w:ascii="Arial Narrow" w:hAnsi="Arial Narrow"/>
                <w:color w:val="auto"/>
                <w:sz w:val="18"/>
                <w:szCs w:val="18"/>
              </w:rPr>
            </w:pPr>
            <w:r>
              <w:rPr>
                <w:rFonts w:ascii="Arial Narrow" w:hAnsi="Arial Narrow"/>
                <w:color w:val="auto"/>
                <w:sz w:val="18"/>
                <w:szCs w:val="18"/>
              </w:rPr>
              <w:t xml:space="preserve">$ </w:t>
            </w:r>
            <w:r w:rsidR="00EB21F9">
              <w:rPr>
                <w:rFonts w:ascii="Arial Narrow" w:hAnsi="Arial Narrow"/>
                <w:color w:val="auto"/>
                <w:sz w:val="18"/>
                <w:szCs w:val="18"/>
              </w:rPr>
              <w:t xml:space="preserve">   -160,457.11</w:t>
            </w:r>
          </w:p>
        </w:tc>
        <w:tc>
          <w:tcPr>
            <w:tcW w:w="1417" w:type="dxa"/>
          </w:tcPr>
          <w:p w:rsidR="002A77C8" w:rsidRPr="00917741" w:rsidRDefault="002A77C8" w:rsidP="000B32EB">
            <w:pPr>
              <w:jc w:val="right"/>
              <w:cnfStyle w:val="000000100000"/>
              <w:rPr>
                <w:rFonts w:ascii="Arial Narrow" w:hAnsi="Arial Narrow" w:cs="Arial"/>
                <w:color w:val="auto"/>
                <w:sz w:val="18"/>
                <w:szCs w:val="18"/>
              </w:rPr>
            </w:pPr>
          </w:p>
        </w:tc>
      </w:tr>
      <w:tr w:rsidR="002A77C8" w:rsidRPr="00917741" w:rsidTr="00132314">
        <w:trPr>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Equipó de computo</w:t>
            </w:r>
          </w:p>
        </w:tc>
        <w:tc>
          <w:tcPr>
            <w:tcW w:w="1559" w:type="dxa"/>
          </w:tcPr>
          <w:p w:rsidR="002A77C8" w:rsidRPr="00917741" w:rsidRDefault="002A77C8" w:rsidP="000B32EB">
            <w:pPr>
              <w:pStyle w:val="Default"/>
              <w:jc w:val="right"/>
              <w:cnfStyle w:val="000000000000"/>
              <w:rPr>
                <w:rFonts w:ascii="Arial Narrow" w:hAnsi="Arial Narrow"/>
                <w:color w:val="auto"/>
                <w:sz w:val="18"/>
                <w:szCs w:val="18"/>
              </w:rPr>
            </w:pPr>
          </w:p>
        </w:tc>
        <w:tc>
          <w:tcPr>
            <w:tcW w:w="1701" w:type="dxa"/>
          </w:tcPr>
          <w:p w:rsidR="002A77C8" w:rsidRPr="00917741" w:rsidRDefault="002A77C8" w:rsidP="00B94C3A">
            <w:pPr>
              <w:pStyle w:val="Default"/>
              <w:jc w:val="right"/>
              <w:cnfStyle w:val="000000000000"/>
              <w:rPr>
                <w:rFonts w:ascii="Arial Narrow" w:hAnsi="Arial Narrow"/>
                <w:color w:val="auto"/>
                <w:sz w:val="18"/>
                <w:szCs w:val="18"/>
              </w:rPr>
            </w:pPr>
            <w:r>
              <w:rPr>
                <w:rFonts w:ascii="Arial Narrow" w:hAnsi="Arial Narrow"/>
                <w:color w:val="auto"/>
                <w:sz w:val="18"/>
                <w:szCs w:val="18"/>
              </w:rPr>
              <w:t xml:space="preserve">$ </w:t>
            </w:r>
            <w:r w:rsidR="00EB21F9">
              <w:rPr>
                <w:rFonts w:ascii="Arial Narrow" w:hAnsi="Arial Narrow"/>
                <w:color w:val="auto"/>
                <w:sz w:val="18"/>
                <w:szCs w:val="18"/>
              </w:rPr>
              <w:t xml:space="preserve">    </w:t>
            </w:r>
            <w:r>
              <w:rPr>
                <w:rFonts w:ascii="Arial Narrow" w:hAnsi="Arial Narrow"/>
                <w:color w:val="auto"/>
                <w:sz w:val="18"/>
                <w:szCs w:val="18"/>
              </w:rPr>
              <w:t>2</w:t>
            </w:r>
            <w:r w:rsidR="009E787D">
              <w:rPr>
                <w:rFonts w:ascii="Arial Narrow" w:hAnsi="Arial Narrow"/>
                <w:color w:val="auto"/>
                <w:sz w:val="18"/>
                <w:szCs w:val="18"/>
              </w:rPr>
              <w:t>23,70</w:t>
            </w:r>
            <w:r w:rsidR="004F1E4C">
              <w:rPr>
                <w:rFonts w:ascii="Arial Narrow" w:hAnsi="Arial Narrow"/>
                <w:color w:val="auto"/>
                <w:sz w:val="18"/>
                <w:szCs w:val="18"/>
              </w:rPr>
              <w:t>5</w:t>
            </w:r>
            <w:r w:rsidR="009E787D">
              <w:rPr>
                <w:rFonts w:ascii="Arial Narrow" w:hAnsi="Arial Narrow"/>
                <w:color w:val="auto"/>
                <w:sz w:val="18"/>
                <w:szCs w:val="18"/>
              </w:rPr>
              <w:t>.</w:t>
            </w:r>
            <w:r w:rsidR="004F1E4C">
              <w:rPr>
                <w:rFonts w:ascii="Arial Narrow" w:hAnsi="Arial Narrow"/>
                <w:color w:val="auto"/>
                <w:sz w:val="18"/>
                <w:szCs w:val="18"/>
              </w:rPr>
              <w:t>42</w:t>
            </w:r>
          </w:p>
        </w:tc>
        <w:tc>
          <w:tcPr>
            <w:tcW w:w="1417" w:type="dxa"/>
          </w:tcPr>
          <w:p w:rsidR="002A77C8" w:rsidRPr="00917741" w:rsidRDefault="002A77C8" w:rsidP="002A77C8">
            <w:pPr>
              <w:pStyle w:val="Default"/>
              <w:jc w:val="right"/>
              <w:cnfStyle w:val="000000000000"/>
              <w:rPr>
                <w:rFonts w:ascii="Arial Narrow" w:hAnsi="Arial Narrow"/>
                <w:color w:val="auto"/>
                <w:sz w:val="18"/>
                <w:szCs w:val="18"/>
              </w:rPr>
            </w:pPr>
          </w:p>
        </w:tc>
      </w:tr>
      <w:tr w:rsidR="002A77C8" w:rsidRPr="00917741" w:rsidTr="00132314">
        <w:trPr>
          <w:cnfStyle w:val="000000100000"/>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de comunicación y telecomunicación</w:t>
            </w:r>
          </w:p>
        </w:tc>
        <w:tc>
          <w:tcPr>
            <w:tcW w:w="1559" w:type="dxa"/>
          </w:tcPr>
          <w:p w:rsidR="002A77C8" w:rsidRPr="00917741" w:rsidRDefault="002A77C8" w:rsidP="000B32EB">
            <w:pPr>
              <w:pStyle w:val="Default"/>
              <w:jc w:val="right"/>
              <w:cnfStyle w:val="000000100000"/>
              <w:rPr>
                <w:rFonts w:ascii="Arial Narrow" w:hAnsi="Arial Narrow"/>
                <w:color w:val="auto"/>
                <w:sz w:val="18"/>
                <w:szCs w:val="18"/>
              </w:rPr>
            </w:pPr>
          </w:p>
        </w:tc>
        <w:tc>
          <w:tcPr>
            <w:tcW w:w="1701" w:type="dxa"/>
          </w:tcPr>
          <w:p w:rsidR="002A77C8" w:rsidRPr="00917741" w:rsidRDefault="009E787D" w:rsidP="00B94C3A">
            <w:pPr>
              <w:pStyle w:val="Default"/>
              <w:jc w:val="right"/>
              <w:cnfStyle w:val="000000100000"/>
              <w:rPr>
                <w:rFonts w:ascii="Arial Narrow" w:hAnsi="Arial Narrow"/>
                <w:color w:val="auto"/>
                <w:sz w:val="18"/>
                <w:szCs w:val="18"/>
              </w:rPr>
            </w:pPr>
            <w:r>
              <w:rPr>
                <w:rFonts w:ascii="Arial Narrow" w:hAnsi="Arial Narrow"/>
                <w:color w:val="auto"/>
                <w:sz w:val="18"/>
                <w:szCs w:val="18"/>
              </w:rPr>
              <w:t>4,286.60</w:t>
            </w:r>
          </w:p>
        </w:tc>
        <w:tc>
          <w:tcPr>
            <w:tcW w:w="1417" w:type="dxa"/>
          </w:tcPr>
          <w:p w:rsidR="002A77C8" w:rsidRPr="00917741" w:rsidRDefault="002A77C8" w:rsidP="000B32EB">
            <w:pPr>
              <w:pStyle w:val="Default"/>
              <w:jc w:val="right"/>
              <w:cnfStyle w:val="000000100000"/>
              <w:rPr>
                <w:rFonts w:ascii="Arial Narrow" w:hAnsi="Arial Narrow"/>
                <w:color w:val="auto"/>
                <w:sz w:val="18"/>
                <w:szCs w:val="18"/>
              </w:rPr>
            </w:pPr>
          </w:p>
        </w:tc>
      </w:tr>
      <w:tr w:rsidR="002A77C8" w:rsidRPr="00917741" w:rsidTr="00132314">
        <w:trPr>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Mobiliario y equipo de oficina</w:t>
            </w:r>
          </w:p>
        </w:tc>
        <w:tc>
          <w:tcPr>
            <w:tcW w:w="1559" w:type="dxa"/>
          </w:tcPr>
          <w:p w:rsidR="002A77C8" w:rsidRPr="00917741" w:rsidRDefault="002A77C8" w:rsidP="000B32EB">
            <w:pPr>
              <w:pStyle w:val="Default"/>
              <w:jc w:val="right"/>
              <w:cnfStyle w:val="000000000000"/>
              <w:rPr>
                <w:rFonts w:ascii="Arial Narrow" w:hAnsi="Arial Narrow"/>
                <w:color w:val="auto"/>
                <w:sz w:val="18"/>
                <w:szCs w:val="18"/>
              </w:rPr>
            </w:pPr>
          </w:p>
        </w:tc>
        <w:tc>
          <w:tcPr>
            <w:tcW w:w="1701" w:type="dxa"/>
          </w:tcPr>
          <w:p w:rsidR="002A77C8" w:rsidRPr="00917741" w:rsidRDefault="009E787D" w:rsidP="00B94C3A">
            <w:pPr>
              <w:pStyle w:val="Default"/>
              <w:jc w:val="right"/>
              <w:cnfStyle w:val="000000000000"/>
              <w:rPr>
                <w:rFonts w:ascii="Arial Narrow" w:hAnsi="Arial Narrow"/>
                <w:color w:val="auto"/>
                <w:sz w:val="18"/>
                <w:szCs w:val="18"/>
              </w:rPr>
            </w:pPr>
            <w:r>
              <w:rPr>
                <w:rFonts w:ascii="Arial Narrow" w:hAnsi="Arial Narrow"/>
                <w:color w:val="auto"/>
                <w:sz w:val="18"/>
                <w:szCs w:val="18"/>
              </w:rPr>
              <w:t>3,152.12</w:t>
            </w:r>
          </w:p>
        </w:tc>
        <w:tc>
          <w:tcPr>
            <w:tcW w:w="1417" w:type="dxa"/>
          </w:tcPr>
          <w:p w:rsidR="002A77C8" w:rsidRPr="00917741" w:rsidRDefault="002A77C8" w:rsidP="000B32EB">
            <w:pPr>
              <w:pStyle w:val="Default"/>
              <w:jc w:val="right"/>
              <w:cnfStyle w:val="000000000000"/>
              <w:rPr>
                <w:rFonts w:ascii="Arial Narrow" w:hAnsi="Arial Narrow"/>
                <w:color w:val="auto"/>
                <w:sz w:val="18"/>
                <w:szCs w:val="18"/>
              </w:rPr>
            </w:pPr>
          </w:p>
        </w:tc>
      </w:tr>
      <w:tr w:rsidR="002A77C8" w:rsidRPr="00917741" w:rsidTr="00132314">
        <w:trPr>
          <w:cnfStyle w:val="000000100000"/>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educacional y recreativo</w:t>
            </w:r>
          </w:p>
        </w:tc>
        <w:tc>
          <w:tcPr>
            <w:tcW w:w="1559" w:type="dxa"/>
          </w:tcPr>
          <w:p w:rsidR="002A77C8" w:rsidRPr="00917741" w:rsidRDefault="002A77C8" w:rsidP="000B32EB">
            <w:pPr>
              <w:pStyle w:val="Default"/>
              <w:jc w:val="right"/>
              <w:cnfStyle w:val="000000100000"/>
              <w:rPr>
                <w:rFonts w:ascii="Arial Narrow" w:hAnsi="Arial Narrow"/>
                <w:color w:val="auto"/>
                <w:sz w:val="18"/>
                <w:szCs w:val="18"/>
              </w:rPr>
            </w:pPr>
          </w:p>
        </w:tc>
        <w:tc>
          <w:tcPr>
            <w:tcW w:w="1701" w:type="dxa"/>
          </w:tcPr>
          <w:p w:rsidR="002A77C8" w:rsidRPr="00917741" w:rsidRDefault="002A77C8" w:rsidP="00B94C3A">
            <w:pPr>
              <w:pStyle w:val="Default"/>
              <w:jc w:val="right"/>
              <w:cnfStyle w:val="000000100000"/>
              <w:rPr>
                <w:rFonts w:ascii="Arial Narrow" w:hAnsi="Arial Narrow"/>
                <w:color w:val="auto"/>
                <w:sz w:val="18"/>
                <w:szCs w:val="18"/>
              </w:rPr>
            </w:pPr>
            <w:r>
              <w:rPr>
                <w:rFonts w:ascii="Arial Narrow" w:hAnsi="Arial Narrow"/>
                <w:color w:val="auto"/>
                <w:sz w:val="18"/>
                <w:szCs w:val="18"/>
              </w:rPr>
              <w:t>0.00</w:t>
            </w:r>
          </w:p>
        </w:tc>
        <w:tc>
          <w:tcPr>
            <w:tcW w:w="1417" w:type="dxa"/>
          </w:tcPr>
          <w:p w:rsidR="002A77C8" w:rsidRPr="00917741" w:rsidRDefault="002A77C8" w:rsidP="000B32EB">
            <w:pPr>
              <w:pStyle w:val="Default"/>
              <w:jc w:val="right"/>
              <w:cnfStyle w:val="000000100000"/>
              <w:rPr>
                <w:rFonts w:ascii="Arial Narrow" w:hAnsi="Arial Narrow"/>
                <w:color w:val="auto"/>
                <w:sz w:val="18"/>
                <w:szCs w:val="18"/>
              </w:rPr>
            </w:pPr>
          </w:p>
        </w:tc>
      </w:tr>
      <w:tr w:rsidR="002A77C8" w:rsidRPr="00917741" w:rsidTr="00132314">
        <w:trPr>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de audio y video</w:t>
            </w:r>
          </w:p>
        </w:tc>
        <w:tc>
          <w:tcPr>
            <w:tcW w:w="1559" w:type="dxa"/>
          </w:tcPr>
          <w:p w:rsidR="002A77C8" w:rsidRPr="00917741" w:rsidRDefault="002A77C8" w:rsidP="000B32EB">
            <w:pPr>
              <w:pStyle w:val="Default"/>
              <w:jc w:val="right"/>
              <w:cnfStyle w:val="000000000000"/>
              <w:rPr>
                <w:rFonts w:ascii="Arial Narrow" w:hAnsi="Arial Narrow"/>
                <w:color w:val="auto"/>
                <w:sz w:val="18"/>
                <w:szCs w:val="18"/>
              </w:rPr>
            </w:pPr>
          </w:p>
        </w:tc>
        <w:tc>
          <w:tcPr>
            <w:tcW w:w="1701" w:type="dxa"/>
          </w:tcPr>
          <w:p w:rsidR="002A77C8" w:rsidRPr="00917741" w:rsidRDefault="002A77C8" w:rsidP="00B94C3A">
            <w:pPr>
              <w:pStyle w:val="Default"/>
              <w:jc w:val="right"/>
              <w:cnfStyle w:val="000000000000"/>
              <w:rPr>
                <w:rFonts w:ascii="Arial Narrow" w:hAnsi="Arial Narrow"/>
                <w:color w:val="auto"/>
                <w:sz w:val="18"/>
                <w:szCs w:val="18"/>
              </w:rPr>
            </w:pPr>
            <w:r>
              <w:rPr>
                <w:rFonts w:ascii="Arial Narrow" w:hAnsi="Arial Narrow"/>
                <w:color w:val="auto"/>
                <w:sz w:val="18"/>
                <w:szCs w:val="18"/>
              </w:rPr>
              <w:t>0.00</w:t>
            </w:r>
          </w:p>
        </w:tc>
        <w:tc>
          <w:tcPr>
            <w:tcW w:w="1417" w:type="dxa"/>
          </w:tcPr>
          <w:p w:rsidR="002A77C8" w:rsidRPr="00917741" w:rsidRDefault="002A77C8" w:rsidP="000B32EB">
            <w:pPr>
              <w:pStyle w:val="Default"/>
              <w:jc w:val="right"/>
              <w:cnfStyle w:val="000000000000"/>
              <w:rPr>
                <w:rFonts w:ascii="Arial Narrow" w:hAnsi="Arial Narrow"/>
                <w:color w:val="auto"/>
                <w:sz w:val="18"/>
                <w:szCs w:val="18"/>
              </w:rPr>
            </w:pPr>
          </w:p>
        </w:tc>
      </w:tr>
      <w:tr w:rsidR="009E787D" w:rsidRPr="00917741" w:rsidTr="00132314">
        <w:trPr>
          <w:cnfStyle w:val="000000100000"/>
          <w:jc w:val="center"/>
        </w:trPr>
        <w:tc>
          <w:tcPr>
            <w:cnfStyle w:val="001000000000"/>
            <w:tcW w:w="3794" w:type="dxa"/>
          </w:tcPr>
          <w:p w:rsidR="009E787D" w:rsidRPr="00917741" w:rsidRDefault="009E787D" w:rsidP="000B32EB">
            <w:pPr>
              <w:pStyle w:val="Default"/>
              <w:rPr>
                <w:rFonts w:ascii="Arial Narrow" w:hAnsi="Arial Narrow"/>
                <w:color w:val="auto"/>
                <w:sz w:val="18"/>
                <w:szCs w:val="18"/>
              </w:rPr>
            </w:pPr>
            <w:r>
              <w:rPr>
                <w:rFonts w:ascii="Arial Narrow" w:hAnsi="Arial Narrow"/>
                <w:color w:val="auto"/>
                <w:sz w:val="18"/>
                <w:szCs w:val="18"/>
              </w:rPr>
              <w:t xml:space="preserve">Otros mobiliarios y equipos de administración </w:t>
            </w:r>
          </w:p>
        </w:tc>
        <w:tc>
          <w:tcPr>
            <w:tcW w:w="1559" w:type="dxa"/>
          </w:tcPr>
          <w:p w:rsidR="009E787D" w:rsidRPr="00917741" w:rsidRDefault="009E787D" w:rsidP="000B32EB">
            <w:pPr>
              <w:pStyle w:val="Default"/>
              <w:jc w:val="right"/>
              <w:cnfStyle w:val="000000100000"/>
              <w:rPr>
                <w:rFonts w:ascii="Arial Narrow" w:hAnsi="Arial Narrow"/>
                <w:color w:val="auto"/>
                <w:sz w:val="18"/>
                <w:szCs w:val="18"/>
              </w:rPr>
            </w:pPr>
          </w:p>
        </w:tc>
        <w:tc>
          <w:tcPr>
            <w:tcW w:w="1701" w:type="dxa"/>
          </w:tcPr>
          <w:p w:rsidR="009E787D" w:rsidRDefault="009E787D" w:rsidP="00B94C3A">
            <w:pPr>
              <w:pStyle w:val="Default"/>
              <w:jc w:val="right"/>
              <w:cnfStyle w:val="000000100000"/>
              <w:rPr>
                <w:rFonts w:ascii="Arial Narrow" w:hAnsi="Arial Narrow"/>
                <w:color w:val="auto"/>
                <w:sz w:val="18"/>
                <w:szCs w:val="18"/>
              </w:rPr>
            </w:pPr>
            <w:r>
              <w:rPr>
                <w:rFonts w:ascii="Arial Narrow" w:hAnsi="Arial Narrow"/>
                <w:color w:val="auto"/>
                <w:sz w:val="18"/>
                <w:szCs w:val="18"/>
              </w:rPr>
              <w:t>$         2,134.</w:t>
            </w:r>
            <w:r w:rsidR="005A7085">
              <w:rPr>
                <w:rFonts w:ascii="Arial Narrow" w:hAnsi="Arial Narrow"/>
                <w:color w:val="auto"/>
                <w:sz w:val="18"/>
                <w:szCs w:val="18"/>
              </w:rPr>
              <w:t>93</w:t>
            </w:r>
          </w:p>
        </w:tc>
        <w:tc>
          <w:tcPr>
            <w:tcW w:w="1417" w:type="dxa"/>
          </w:tcPr>
          <w:p w:rsidR="009E787D" w:rsidRPr="00917741" w:rsidRDefault="009E787D" w:rsidP="000B32EB">
            <w:pPr>
              <w:pStyle w:val="Default"/>
              <w:jc w:val="right"/>
              <w:cnfStyle w:val="000000100000"/>
              <w:rPr>
                <w:rFonts w:ascii="Arial Narrow" w:hAnsi="Arial Narrow"/>
                <w:color w:val="auto"/>
                <w:sz w:val="18"/>
                <w:szCs w:val="18"/>
              </w:rPr>
            </w:pPr>
          </w:p>
        </w:tc>
      </w:tr>
      <w:tr w:rsidR="002A77C8" w:rsidRPr="00917741" w:rsidTr="00132314">
        <w:trPr>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Herramientas y equipo electrónico</w:t>
            </w:r>
          </w:p>
        </w:tc>
        <w:tc>
          <w:tcPr>
            <w:tcW w:w="1559" w:type="dxa"/>
          </w:tcPr>
          <w:p w:rsidR="002A77C8" w:rsidRPr="00917741" w:rsidRDefault="002A77C8" w:rsidP="000B32EB">
            <w:pPr>
              <w:pStyle w:val="Default"/>
              <w:jc w:val="right"/>
              <w:cnfStyle w:val="000000000000"/>
              <w:rPr>
                <w:rFonts w:ascii="Arial Narrow" w:hAnsi="Arial Narrow"/>
                <w:color w:val="auto"/>
                <w:sz w:val="18"/>
                <w:szCs w:val="18"/>
              </w:rPr>
            </w:pPr>
          </w:p>
        </w:tc>
        <w:tc>
          <w:tcPr>
            <w:tcW w:w="1701" w:type="dxa"/>
          </w:tcPr>
          <w:p w:rsidR="002A77C8" w:rsidRPr="00917741" w:rsidRDefault="00EB21F9" w:rsidP="00B94C3A">
            <w:pPr>
              <w:pStyle w:val="Default"/>
              <w:jc w:val="right"/>
              <w:cnfStyle w:val="000000000000"/>
              <w:rPr>
                <w:rFonts w:ascii="Arial Narrow" w:hAnsi="Arial Narrow"/>
                <w:color w:val="auto"/>
                <w:sz w:val="18"/>
                <w:szCs w:val="18"/>
              </w:rPr>
            </w:pPr>
            <w:r>
              <w:rPr>
                <w:rFonts w:ascii="Arial Narrow" w:hAnsi="Arial Narrow"/>
                <w:color w:val="auto"/>
                <w:sz w:val="18"/>
                <w:szCs w:val="18"/>
              </w:rPr>
              <w:t xml:space="preserve">  </w:t>
            </w:r>
          </w:p>
        </w:tc>
        <w:tc>
          <w:tcPr>
            <w:tcW w:w="1417" w:type="dxa"/>
          </w:tcPr>
          <w:p w:rsidR="002A77C8" w:rsidRPr="00917741" w:rsidRDefault="002A77C8" w:rsidP="000B32EB">
            <w:pPr>
              <w:pStyle w:val="Default"/>
              <w:jc w:val="right"/>
              <w:cnfStyle w:val="000000000000"/>
              <w:rPr>
                <w:rFonts w:ascii="Arial Narrow" w:hAnsi="Arial Narrow"/>
                <w:color w:val="auto"/>
                <w:sz w:val="18"/>
                <w:szCs w:val="18"/>
              </w:rPr>
            </w:pPr>
          </w:p>
        </w:tc>
      </w:tr>
      <w:tr w:rsidR="002A77C8" w:rsidRPr="00917741" w:rsidTr="00132314">
        <w:trPr>
          <w:cnfStyle w:val="000000100000"/>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 xml:space="preserve">Total </w:t>
            </w:r>
          </w:p>
        </w:tc>
        <w:tc>
          <w:tcPr>
            <w:tcW w:w="1559" w:type="dxa"/>
          </w:tcPr>
          <w:p w:rsidR="002A77C8" w:rsidRPr="00917741" w:rsidRDefault="002A77C8" w:rsidP="000B32EB">
            <w:pPr>
              <w:pStyle w:val="Default"/>
              <w:jc w:val="right"/>
              <w:cnfStyle w:val="000000100000"/>
              <w:rPr>
                <w:rFonts w:ascii="Arial Narrow" w:hAnsi="Arial Narrow"/>
                <w:color w:val="auto"/>
                <w:sz w:val="18"/>
                <w:szCs w:val="18"/>
              </w:rPr>
            </w:pPr>
          </w:p>
        </w:tc>
        <w:tc>
          <w:tcPr>
            <w:tcW w:w="1701" w:type="dxa"/>
          </w:tcPr>
          <w:p w:rsidR="002A77C8" w:rsidRPr="00917741" w:rsidRDefault="002A77C8" w:rsidP="00B94C3A">
            <w:pPr>
              <w:jc w:val="right"/>
              <w:cnfStyle w:val="000000100000"/>
              <w:rPr>
                <w:rFonts w:ascii="Arial Narrow" w:hAnsi="Arial Narrow" w:cs="Arial"/>
                <w:color w:val="auto"/>
                <w:sz w:val="18"/>
                <w:szCs w:val="18"/>
              </w:rPr>
            </w:pPr>
            <w:r>
              <w:rPr>
                <w:rFonts w:ascii="Arial Narrow" w:hAnsi="Arial Narrow" w:cs="Arial"/>
                <w:color w:val="auto"/>
                <w:sz w:val="18"/>
                <w:szCs w:val="18"/>
              </w:rPr>
              <w:t>$</w:t>
            </w:r>
            <w:r w:rsidR="00EB21F9">
              <w:rPr>
                <w:rFonts w:ascii="Arial Narrow" w:hAnsi="Arial Narrow" w:cs="Arial"/>
                <w:color w:val="auto"/>
                <w:sz w:val="18"/>
                <w:szCs w:val="18"/>
              </w:rPr>
              <w:t xml:space="preserve">   </w:t>
            </w:r>
            <w:r w:rsidR="004F1E4C">
              <w:rPr>
                <w:rFonts w:ascii="Arial Narrow" w:hAnsi="Arial Narrow" w:cs="Arial"/>
                <w:color w:val="auto"/>
                <w:sz w:val="18"/>
                <w:szCs w:val="18"/>
              </w:rPr>
              <w:t xml:space="preserve"> </w:t>
            </w:r>
            <w:r w:rsidR="00EB21F9">
              <w:rPr>
                <w:rFonts w:ascii="Arial Narrow" w:hAnsi="Arial Narrow" w:cs="Arial"/>
                <w:color w:val="auto"/>
                <w:sz w:val="18"/>
                <w:szCs w:val="18"/>
              </w:rPr>
              <w:t xml:space="preserve">   72,821.96</w:t>
            </w:r>
          </w:p>
        </w:tc>
        <w:tc>
          <w:tcPr>
            <w:tcW w:w="1417" w:type="dxa"/>
          </w:tcPr>
          <w:p w:rsidR="002A77C8" w:rsidRPr="00917741" w:rsidRDefault="002A77C8" w:rsidP="000B32EB">
            <w:pPr>
              <w:pStyle w:val="Default"/>
              <w:jc w:val="right"/>
              <w:cnfStyle w:val="000000100000"/>
              <w:rPr>
                <w:rFonts w:ascii="Arial Narrow" w:hAnsi="Arial Narrow"/>
                <w:color w:val="auto"/>
                <w:sz w:val="18"/>
                <w:szCs w:val="18"/>
              </w:rPr>
            </w:pPr>
          </w:p>
        </w:tc>
      </w:tr>
    </w:tbl>
    <w:p w:rsidR="000B32EB" w:rsidRDefault="004F1E4C" w:rsidP="004F1E4C">
      <w:pPr>
        <w:pStyle w:val="Default"/>
        <w:ind w:left="720"/>
        <w:rPr>
          <w:rFonts w:ascii="Arial Narrow" w:hAnsi="Arial Narrow"/>
          <w:sz w:val="22"/>
          <w:szCs w:val="22"/>
        </w:rPr>
      </w:pPr>
      <w:r>
        <w:rPr>
          <w:rFonts w:ascii="Arial Narrow" w:hAnsi="Arial Narrow"/>
          <w:sz w:val="22"/>
          <w:szCs w:val="22"/>
        </w:rPr>
        <w:t xml:space="preserve">*se dio de baja por siniestro </w:t>
      </w:r>
    </w:p>
    <w:p w:rsidR="005C3CF0" w:rsidRPr="00B94587" w:rsidRDefault="005C3CF0"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Pr>
          <w:rFonts w:ascii="Arial Narrow" w:hAnsi="Arial Narrow"/>
          <w:sz w:val="22"/>
          <w:szCs w:val="22"/>
        </w:rPr>
        <w:t xml:space="preserve">En este periodo </w:t>
      </w:r>
      <w:r w:rsidR="00EB21F9">
        <w:rPr>
          <w:rFonts w:ascii="Arial Narrow" w:hAnsi="Arial Narrow"/>
          <w:sz w:val="22"/>
          <w:szCs w:val="22"/>
        </w:rPr>
        <w:t xml:space="preserve">no se adquirieron bienes </w:t>
      </w:r>
      <w:r>
        <w:rPr>
          <w:rFonts w:ascii="Arial Narrow" w:hAnsi="Arial Narrow"/>
          <w:sz w:val="22"/>
          <w:szCs w:val="22"/>
        </w:rPr>
        <w:t xml:space="preserve"> inmuebles.</w:t>
      </w: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tbl>
      <w:tblPr>
        <w:tblStyle w:val="Sombreadoclaro-nfasis11"/>
        <w:tblW w:w="0" w:type="auto"/>
        <w:jc w:val="center"/>
        <w:tblLook w:val="04A0"/>
      </w:tblPr>
      <w:tblGrid>
        <w:gridCol w:w="5353"/>
        <w:gridCol w:w="1418"/>
        <w:gridCol w:w="1559"/>
      </w:tblGrid>
      <w:tr w:rsidR="000B32EB" w:rsidRPr="00917741" w:rsidTr="000B32EB">
        <w:trPr>
          <w:cnfStyle w:val="100000000000"/>
          <w:jc w:val="center"/>
        </w:trPr>
        <w:tc>
          <w:tcPr>
            <w:cnfStyle w:val="001000000000"/>
            <w:tcW w:w="5353" w:type="dxa"/>
          </w:tcPr>
          <w:p w:rsidR="000B32EB" w:rsidRPr="00917741" w:rsidRDefault="000B32EB" w:rsidP="000B32EB">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0B32EB" w:rsidRPr="00917741" w:rsidRDefault="000B32EB" w:rsidP="000B32EB">
            <w:pPr>
              <w:pStyle w:val="Default"/>
              <w:jc w:val="right"/>
              <w:cnfStyle w:val="100000000000"/>
              <w:rPr>
                <w:rFonts w:ascii="Arial Narrow" w:hAnsi="Arial Narrow"/>
                <w:sz w:val="18"/>
                <w:szCs w:val="18"/>
              </w:rPr>
            </w:pPr>
            <w:r w:rsidRPr="00917741">
              <w:rPr>
                <w:rFonts w:ascii="Arial Narrow" w:hAnsi="Arial Narrow"/>
                <w:sz w:val="18"/>
                <w:szCs w:val="18"/>
              </w:rPr>
              <w:t>2015</w:t>
            </w:r>
          </w:p>
        </w:tc>
        <w:tc>
          <w:tcPr>
            <w:tcW w:w="1559" w:type="dxa"/>
          </w:tcPr>
          <w:p w:rsidR="000B32EB" w:rsidRPr="00917741" w:rsidRDefault="000B32EB" w:rsidP="000B32EB">
            <w:pPr>
              <w:pStyle w:val="Default"/>
              <w:jc w:val="right"/>
              <w:cnfStyle w:val="1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0B32EB" w:rsidRPr="00917741" w:rsidRDefault="004662C2" w:rsidP="000B32EB">
            <w:pPr>
              <w:pStyle w:val="Default"/>
              <w:jc w:val="right"/>
              <w:cnfStyle w:val="000000100000"/>
              <w:rPr>
                <w:rFonts w:ascii="Arial Narrow" w:hAnsi="Arial Narrow"/>
                <w:sz w:val="18"/>
                <w:szCs w:val="18"/>
              </w:rPr>
            </w:pPr>
            <w:r>
              <w:rPr>
                <w:rFonts w:ascii="Arial Narrow" w:hAnsi="Arial Narrow"/>
                <w:sz w:val="18"/>
                <w:szCs w:val="18"/>
              </w:rPr>
              <w:t xml:space="preserve">  $</w:t>
            </w:r>
            <w:r w:rsidR="00526E1D">
              <w:rPr>
                <w:rFonts w:ascii="Arial Narrow" w:hAnsi="Arial Narrow"/>
                <w:sz w:val="18"/>
                <w:szCs w:val="18"/>
              </w:rPr>
              <w:t xml:space="preserve"> </w:t>
            </w:r>
            <w:r w:rsidR="00D43FBD">
              <w:rPr>
                <w:rFonts w:ascii="Arial Narrow" w:hAnsi="Arial Narrow"/>
                <w:sz w:val="18"/>
                <w:szCs w:val="18"/>
              </w:rPr>
              <w:t>4,671,913.85</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r w:rsidR="000B32EB" w:rsidRPr="00917741" w:rsidTr="000B32EB">
        <w:trPr>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 :</w:t>
            </w:r>
          </w:p>
        </w:tc>
        <w:tc>
          <w:tcPr>
            <w:tcW w:w="1418" w:type="dxa"/>
          </w:tcPr>
          <w:p w:rsidR="000B32EB" w:rsidRPr="00917741" w:rsidRDefault="000B32EB" w:rsidP="000B32EB">
            <w:pPr>
              <w:pStyle w:val="Default"/>
              <w:jc w:val="right"/>
              <w:cnfStyle w:val="000000000000"/>
              <w:rPr>
                <w:rFonts w:ascii="Arial Narrow" w:hAnsi="Arial Narrow"/>
                <w:sz w:val="18"/>
                <w:szCs w:val="18"/>
              </w:rPr>
            </w:pPr>
          </w:p>
        </w:tc>
        <w:tc>
          <w:tcPr>
            <w:tcW w:w="1559" w:type="dxa"/>
          </w:tcPr>
          <w:p w:rsidR="000B32EB" w:rsidRPr="00917741" w:rsidRDefault="000B32EB" w:rsidP="000B32EB">
            <w:pPr>
              <w:pStyle w:val="Default"/>
              <w:jc w:val="right"/>
              <w:cnfStyle w:val="0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r w:rsidR="000B32EB" w:rsidRPr="00917741" w:rsidTr="000B32EB">
        <w:trPr>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r w:rsidR="000B32EB" w:rsidRPr="00917741" w:rsidTr="000B32EB">
        <w:trPr>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lastRenderedPageBreak/>
              <w:t>Incrementos en las inversiones producido por revaluación</w:t>
            </w:r>
          </w:p>
        </w:tc>
        <w:tc>
          <w:tcPr>
            <w:tcW w:w="1418"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0B32EB" w:rsidRPr="00917741" w:rsidRDefault="00526E1D" w:rsidP="000B32EB">
            <w:pPr>
              <w:pStyle w:val="Default"/>
              <w:jc w:val="right"/>
              <w:cnfStyle w:val="000000100000"/>
              <w:rPr>
                <w:rFonts w:ascii="Arial Narrow" w:hAnsi="Arial Narrow"/>
                <w:sz w:val="18"/>
                <w:szCs w:val="18"/>
              </w:rPr>
            </w:pPr>
            <w:r>
              <w:rPr>
                <w:rFonts w:ascii="Arial Narrow" w:hAnsi="Arial Narrow"/>
                <w:sz w:val="18"/>
                <w:szCs w:val="18"/>
              </w:rPr>
              <w:t>$ -    160,457.00</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r w:rsidR="000B32EB" w:rsidRPr="00917741" w:rsidTr="000B32EB">
        <w:trPr>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0B32EB" w:rsidRPr="00917741" w:rsidRDefault="004662C2" w:rsidP="000B32EB">
            <w:pPr>
              <w:pStyle w:val="Default"/>
              <w:jc w:val="right"/>
              <w:cnfStyle w:val="000000100000"/>
              <w:rPr>
                <w:rFonts w:ascii="Arial Narrow" w:hAnsi="Arial Narrow"/>
                <w:sz w:val="18"/>
                <w:szCs w:val="18"/>
              </w:rPr>
            </w:pPr>
            <w:r>
              <w:rPr>
                <w:rFonts w:ascii="Arial Narrow" w:hAnsi="Arial Narrow"/>
                <w:sz w:val="18"/>
                <w:szCs w:val="18"/>
              </w:rPr>
              <w:t xml:space="preserve">$  </w:t>
            </w:r>
            <w:r w:rsidR="00526E1D">
              <w:rPr>
                <w:rFonts w:ascii="Arial Narrow" w:hAnsi="Arial Narrow"/>
                <w:sz w:val="18"/>
                <w:szCs w:val="18"/>
              </w:rPr>
              <w:t xml:space="preserve"> </w:t>
            </w:r>
            <w:r>
              <w:rPr>
                <w:rFonts w:ascii="Arial Narrow" w:hAnsi="Arial Narrow"/>
                <w:sz w:val="18"/>
                <w:szCs w:val="18"/>
              </w:rPr>
              <w:t>1,</w:t>
            </w:r>
            <w:r w:rsidR="00D43FBD">
              <w:rPr>
                <w:rFonts w:ascii="Arial Narrow" w:hAnsi="Arial Narrow"/>
                <w:sz w:val="18"/>
                <w:szCs w:val="18"/>
              </w:rPr>
              <w:t>425,025.49</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36EC" w:rsidRDefault="000B32EB" w:rsidP="000B32EB">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8978"/>
      </w:tblGrid>
      <w:tr w:rsidR="000B32EB" w:rsidRPr="00B94587" w:rsidTr="005C3CF0">
        <w:trPr>
          <w:jc w:val="center"/>
        </w:trPr>
        <w:tc>
          <w:tcPr>
            <w:tcW w:w="8978" w:type="dxa"/>
          </w:tcPr>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w:t>
            </w:r>
            <w:r w:rsidR="0007084B">
              <w:rPr>
                <w:rFonts w:ascii="Arial Narrow" w:hAnsi="Arial Narrow"/>
                <w:sz w:val="22"/>
                <w:szCs w:val="22"/>
              </w:rPr>
              <w:t xml:space="preserve">pondientes </w:t>
            </w:r>
            <w:r w:rsidR="00F54B9A">
              <w:rPr>
                <w:rFonts w:ascii="Arial Narrow" w:hAnsi="Arial Narrow"/>
                <w:sz w:val="22"/>
                <w:szCs w:val="22"/>
              </w:rPr>
              <w:t>del 01 de enero al 31 de Dici</w:t>
            </w:r>
            <w:r w:rsidR="0007084B">
              <w:rPr>
                <w:rFonts w:ascii="Arial Narrow" w:hAnsi="Arial Narrow"/>
                <w:sz w:val="22"/>
                <w:szCs w:val="22"/>
              </w:rPr>
              <w:t>embre</w:t>
            </w:r>
            <w:r w:rsidRPr="00B94587">
              <w:rPr>
                <w:rFonts w:ascii="Arial Narrow" w:hAnsi="Arial Narrow"/>
                <w:sz w:val="22"/>
                <w:szCs w:val="22"/>
              </w:rPr>
              <w:t xml:space="preserve"> de 2015</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0B32EB" w:rsidRPr="00B94587" w:rsidRDefault="00F57CA6" w:rsidP="000B32EB">
            <w:pPr>
              <w:pStyle w:val="Default"/>
              <w:jc w:val="right"/>
              <w:rPr>
                <w:rFonts w:ascii="Arial Narrow" w:hAnsi="Arial Narrow"/>
                <w:sz w:val="22"/>
                <w:szCs w:val="22"/>
              </w:rPr>
            </w:pPr>
            <w:r>
              <w:rPr>
                <w:rFonts w:ascii="Arial Narrow" w:hAnsi="Arial Narrow"/>
                <w:sz w:val="22"/>
                <w:szCs w:val="22"/>
              </w:rPr>
              <w:t xml:space="preserve">$ </w:t>
            </w:r>
            <w:r w:rsidR="00F54B9A">
              <w:rPr>
                <w:rFonts w:ascii="Arial Narrow" w:hAnsi="Arial Narrow"/>
                <w:sz w:val="22"/>
                <w:szCs w:val="22"/>
              </w:rPr>
              <w:t>216,485,498.11</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4864"/>
        <w:gridCol w:w="2190"/>
        <w:gridCol w:w="2000"/>
      </w:tblGrid>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F54B9A" w:rsidP="000B32EB">
            <w:pPr>
              <w:pStyle w:val="Default"/>
              <w:jc w:val="right"/>
              <w:rPr>
                <w:rFonts w:ascii="Arial Narrow" w:hAnsi="Arial Narrow"/>
                <w:sz w:val="22"/>
                <w:szCs w:val="22"/>
              </w:rPr>
            </w:pPr>
            <w:r>
              <w:rPr>
                <w:rFonts w:ascii="Arial Narrow" w:hAnsi="Arial Narrow"/>
                <w:sz w:val="22"/>
                <w:szCs w:val="22"/>
              </w:rPr>
              <w:t>$      1,425,025</w:t>
            </w:r>
            <w:r w:rsidR="004662C2">
              <w:rPr>
                <w:rFonts w:ascii="Arial Narrow" w:hAnsi="Arial Narrow"/>
                <w:sz w:val="22"/>
                <w:szCs w:val="22"/>
              </w:rPr>
              <w:t>.</w:t>
            </w:r>
            <w:r>
              <w:rPr>
                <w:rFonts w:ascii="Arial Narrow" w:hAnsi="Arial Narrow"/>
                <w:sz w:val="22"/>
                <w:szCs w:val="22"/>
              </w:rPr>
              <w:t>49</w:t>
            </w: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U obsolescencia.</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0B32EB" w:rsidRDefault="000B32EB" w:rsidP="000B32EB">
            <w:pPr>
              <w:pStyle w:val="Default"/>
              <w:jc w:val="right"/>
              <w:rPr>
                <w:rFonts w:ascii="Arial Narrow" w:hAnsi="Arial Narrow"/>
                <w:sz w:val="22"/>
                <w:szCs w:val="22"/>
              </w:rPr>
            </w:pPr>
            <w:r w:rsidRPr="00917741">
              <w:rPr>
                <w:rFonts w:ascii="Arial Narrow" w:hAnsi="Arial Narrow"/>
                <w:sz w:val="22"/>
                <w:szCs w:val="22"/>
              </w:rPr>
              <w:t>$</w:t>
            </w:r>
            <w:r w:rsidR="004662C2">
              <w:rPr>
                <w:rFonts w:ascii="Arial Narrow" w:hAnsi="Arial Narrow"/>
                <w:sz w:val="22"/>
                <w:szCs w:val="22"/>
              </w:rPr>
              <w:t xml:space="preserve">  1,</w:t>
            </w:r>
            <w:r w:rsidR="00F54B9A">
              <w:rPr>
                <w:rFonts w:ascii="Arial Narrow" w:hAnsi="Arial Narrow"/>
                <w:sz w:val="22"/>
                <w:szCs w:val="22"/>
              </w:rPr>
              <w:t>425,025.49</w:t>
            </w:r>
          </w:p>
          <w:p w:rsidR="00F54B9A" w:rsidRPr="00917741" w:rsidRDefault="00F54B9A" w:rsidP="000B32EB">
            <w:pPr>
              <w:pStyle w:val="Default"/>
              <w:jc w:val="right"/>
              <w:rPr>
                <w:rFonts w:ascii="Arial Narrow" w:hAnsi="Arial Narrow"/>
                <w:sz w:val="22"/>
                <w:szCs w:val="22"/>
              </w:rPr>
            </w:pPr>
          </w:p>
        </w:tc>
        <w:tc>
          <w:tcPr>
            <w:tcW w:w="2000" w:type="dxa"/>
            <w:vMerge/>
          </w:tcPr>
          <w:p w:rsidR="000B32EB" w:rsidRPr="00917741" w:rsidRDefault="000B32EB" w:rsidP="000B32EB">
            <w:pPr>
              <w:pStyle w:val="Default"/>
              <w:jc w:val="right"/>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4866"/>
        <w:gridCol w:w="2188"/>
        <w:gridCol w:w="2000"/>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4662C2">
              <w:rPr>
                <w:rFonts w:ascii="Arial Narrow" w:hAnsi="Arial Narrow"/>
                <w:sz w:val="22"/>
                <w:szCs w:val="22"/>
              </w:rPr>
              <w:t xml:space="preserve"> </w:t>
            </w:r>
            <w:r w:rsidRPr="00B94587">
              <w:rPr>
                <w:rFonts w:ascii="Arial Narrow" w:hAnsi="Arial Narrow"/>
                <w:sz w:val="22"/>
                <w:szCs w:val="22"/>
              </w:rPr>
              <w:t xml:space="preserve"> </w:t>
            </w:r>
            <w:r w:rsidR="004662C2">
              <w:rPr>
                <w:rFonts w:ascii="Arial Narrow" w:hAnsi="Arial Narrow"/>
                <w:sz w:val="22"/>
                <w:szCs w:val="22"/>
              </w:rPr>
              <w:t xml:space="preserve"> </w:t>
            </w:r>
            <w:r w:rsidRPr="00B94587">
              <w:rPr>
                <w:rFonts w:ascii="Arial Narrow" w:hAnsi="Arial Narrow"/>
                <w:sz w:val="22"/>
                <w:szCs w:val="22"/>
              </w:rPr>
              <w:t xml:space="preserve">                 0.00</w:t>
            </w: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Aprovechamientos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lastRenderedPageBreak/>
              <w:t>Otros ingresos presupuestarios no contables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Total otros ingresos no presupuestarios</w:t>
            </w:r>
          </w:p>
        </w:tc>
        <w:tc>
          <w:tcPr>
            <w:tcW w:w="2188" w:type="dxa"/>
          </w:tcPr>
          <w:p w:rsidR="000B32EB" w:rsidRPr="00B94587" w:rsidRDefault="000B32EB" w:rsidP="000B32EB">
            <w:pPr>
              <w:pStyle w:val="Default"/>
              <w:jc w:val="right"/>
              <w:rPr>
                <w:rFonts w:ascii="Arial Narrow" w:hAnsi="Arial Narrow"/>
                <w:sz w:val="22"/>
                <w:szCs w:val="22"/>
              </w:rPr>
            </w:pPr>
          </w:p>
        </w:tc>
        <w:tc>
          <w:tcPr>
            <w:tcW w:w="2000" w:type="dxa"/>
            <w:vMerge/>
          </w:tcPr>
          <w:p w:rsidR="000B32EB" w:rsidRPr="00B94587" w:rsidRDefault="000B32EB" w:rsidP="000B32EB">
            <w:pPr>
              <w:pStyle w:val="Default"/>
              <w:jc w:val="right"/>
              <w:rPr>
                <w:rFonts w:ascii="Arial Narrow" w:hAnsi="Arial Narrow"/>
                <w:sz w:val="22"/>
                <w:szCs w:val="22"/>
              </w:rPr>
            </w:pPr>
          </w:p>
        </w:tc>
      </w:tr>
    </w:tbl>
    <w:p w:rsidR="000B32EB" w:rsidRDefault="000B32EB" w:rsidP="000B32EB">
      <w:pPr>
        <w:pStyle w:val="Default"/>
        <w:rPr>
          <w:rFonts w:ascii="Arial Narrow" w:hAnsi="Arial Narrow"/>
          <w:sz w:val="22"/>
          <w:szCs w:val="22"/>
        </w:rPr>
      </w:pPr>
    </w:p>
    <w:tbl>
      <w:tblPr>
        <w:tblStyle w:val="Tablaconcuadrcula"/>
        <w:tblW w:w="0" w:type="auto"/>
        <w:tblInd w:w="2376" w:type="dxa"/>
        <w:tblLook w:val="04A0"/>
      </w:tblPr>
      <w:tblGrid>
        <w:gridCol w:w="7088"/>
        <w:gridCol w:w="1984"/>
      </w:tblGrid>
      <w:tr w:rsidR="005C3CF0" w:rsidTr="005C3CF0">
        <w:tc>
          <w:tcPr>
            <w:tcW w:w="7088" w:type="dxa"/>
          </w:tcPr>
          <w:p w:rsidR="005C3CF0" w:rsidRPr="00917741" w:rsidRDefault="005C3CF0" w:rsidP="0007084B">
            <w:pPr>
              <w:pStyle w:val="Default"/>
              <w:rPr>
                <w:rFonts w:ascii="Arial Narrow" w:hAnsi="Arial Narrow"/>
                <w:b/>
                <w:sz w:val="22"/>
                <w:szCs w:val="22"/>
              </w:rPr>
            </w:pPr>
            <w:r w:rsidRPr="00917741">
              <w:rPr>
                <w:rFonts w:ascii="Arial Narrow" w:hAnsi="Arial Narrow"/>
                <w:b/>
                <w:sz w:val="22"/>
                <w:szCs w:val="22"/>
              </w:rPr>
              <w:t>4.- Ingresos contables  (4=1+2-3)</w:t>
            </w:r>
          </w:p>
        </w:tc>
        <w:tc>
          <w:tcPr>
            <w:tcW w:w="1984" w:type="dxa"/>
          </w:tcPr>
          <w:p w:rsidR="005C3CF0" w:rsidRPr="00917741" w:rsidRDefault="004662C2" w:rsidP="0007084B">
            <w:pPr>
              <w:pStyle w:val="Default"/>
              <w:jc w:val="right"/>
              <w:rPr>
                <w:rFonts w:ascii="Arial Narrow" w:hAnsi="Arial Narrow"/>
                <w:b/>
                <w:sz w:val="22"/>
                <w:szCs w:val="22"/>
              </w:rPr>
            </w:pPr>
            <w:r>
              <w:rPr>
                <w:rFonts w:ascii="Arial Narrow" w:hAnsi="Arial Narrow"/>
                <w:b/>
                <w:sz w:val="22"/>
                <w:szCs w:val="22"/>
              </w:rPr>
              <w:t xml:space="preserve">$ </w:t>
            </w:r>
            <w:r w:rsidR="00F54B9A">
              <w:rPr>
                <w:rFonts w:ascii="Arial Narrow" w:hAnsi="Arial Narrow"/>
                <w:b/>
                <w:sz w:val="22"/>
                <w:szCs w:val="22"/>
              </w:rPr>
              <w:t>217,910,523.60</w:t>
            </w:r>
          </w:p>
        </w:tc>
      </w:tr>
    </w:tbl>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Tablaconcuadrcula"/>
        <w:tblW w:w="0" w:type="auto"/>
        <w:jc w:val="center"/>
        <w:tblLook w:val="04A0"/>
      </w:tblPr>
      <w:tblGrid>
        <w:gridCol w:w="8978"/>
      </w:tblGrid>
      <w:tr w:rsidR="000B32EB" w:rsidRPr="00B94587" w:rsidTr="005C3CF0">
        <w:trPr>
          <w:jc w:val="center"/>
        </w:trPr>
        <w:tc>
          <w:tcPr>
            <w:tcW w:w="8978" w:type="dxa"/>
            <w:tcBorders>
              <w:top w:val="single" w:sz="4" w:space="0" w:color="auto"/>
            </w:tcBorders>
          </w:tcPr>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 Gastos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w:t>
            </w:r>
            <w:r w:rsidR="0007084B">
              <w:rPr>
                <w:rFonts w:ascii="Arial Narrow" w:hAnsi="Arial Narrow"/>
                <w:sz w:val="22"/>
                <w:szCs w:val="22"/>
              </w:rPr>
              <w:t>pondientes del</w:t>
            </w:r>
            <w:r w:rsidR="004A6522">
              <w:rPr>
                <w:rFonts w:ascii="Arial Narrow" w:hAnsi="Arial Narrow"/>
                <w:sz w:val="22"/>
                <w:szCs w:val="22"/>
              </w:rPr>
              <w:t xml:space="preserve"> 01 de enero al 31 Diciembre</w:t>
            </w:r>
            <w:r w:rsidR="0007084B">
              <w:rPr>
                <w:rFonts w:ascii="Arial Narrow" w:hAnsi="Arial Narrow"/>
                <w:sz w:val="22"/>
                <w:szCs w:val="22"/>
              </w:rPr>
              <w:t xml:space="preserve"> </w:t>
            </w:r>
            <w:r w:rsidRPr="00B94587">
              <w:rPr>
                <w:rFonts w:ascii="Arial Narrow" w:hAnsi="Arial Narrow"/>
                <w:sz w:val="22"/>
                <w:szCs w:val="22"/>
              </w:rPr>
              <w:t xml:space="preserve"> de 2015</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Total Egresos  (Presupuestarios)</w:t>
            </w:r>
          </w:p>
        </w:tc>
        <w:tc>
          <w:tcPr>
            <w:tcW w:w="1924" w:type="dxa"/>
          </w:tcPr>
          <w:p w:rsidR="000B32EB" w:rsidRPr="00B94587" w:rsidRDefault="00F57CA6" w:rsidP="000B32EB">
            <w:pPr>
              <w:pStyle w:val="Default"/>
              <w:jc w:val="right"/>
              <w:rPr>
                <w:rFonts w:ascii="Arial Narrow" w:hAnsi="Arial Narrow"/>
                <w:sz w:val="22"/>
                <w:szCs w:val="22"/>
              </w:rPr>
            </w:pPr>
            <w:r>
              <w:rPr>
                <w:rFonts w:ascii="Arial Narrow" w:hAnsi="Arial Narrow"/>
                <w:sz w:val="22"/>
                <w:szCs w:val="22"/>
              </w:rPr>
              <w:t xml:space="preserve">$ </w:t>
            </w:r>
            <w:r w:rsidR="00FC44E9">
              <w:rPr>
                <w:rFonts w:ascii="Arial Narrow" w:hAnsi="Arial Narrow"/>
                <w:sz w:val="22"/>
                <w:szCs w:val="22"/>
              </w:rPr>
              <w:t>213,321,810</w:t>
            </w:r>
            <w:r w:rsidR="00F54B9A">
              <w:rPr>
                <w:rFonts w:ascii="Arial Narrow" w:hAnsi="Arial Narrow"/>
                <w:sz w:val="22"/>
                <w:szCs w:val="22"/>
              </w:rPr>
              <w:t>.</w:t>
            </w:r>
            <w:r w:rsidR="00FC44E9">
              <w:rPr>
                <w:rFonts w:ascii="Arial Narrow" w:hAnsi="Arial Narrow"/>
                <w:sz w:val="22"/>
                <w:szCs w:val="22"/>
              </w:rPr>
              <w:t>06</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4864"/>
        <w:gridCol w:w="2190"/>
        <w:gridCol w:w="2000"/>
      </w:tblGrid>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0B32EB" w:rsidRPr="00917741" w:rsidRDefault="000B32EB" w:rsidP="000B32EB">
            <w:pPr>
              <w:pStyle w:val="Default"/>
              <w:rPr>
                <w:rFonts w:ascii="Arial Narrow" w:hAnsi="Arial Narrow"/>
                <w:sz w:val="22"/>
                <w:szCs w:val="22"/>
              </w:rPr>
            </w:pPr>
          </w:p>
        </w:tc>
        <w:tc>
          <w:tcPr>
            <w:tcW w:w="2000" w:type="dxa"/>
          </w:tcPr>
          <w:p w:rsidR="000B32EB" w:rsidRPr="00917741" w:rsidRDefault="000B32EB" w:rsidP="000B32EB">
            <w:pPr>
              <w:pStyle w:val="Default"/>
              <w:jc w:val="right"/>
              <w:rPr>
                <w:rFonts w:ascii="Arial Narrow" w:hAnsi="Arial Narrow"/>
                <w:sz w:val="22"/>
                <w:szCs w:val="22"/>
              </w:rPr>
            </w:pPr>
            <w:r w:rsidRPr="00917741">
              <w:rPr>
                <w:rFonts w:ascii="Arial Narrow" w:hAnsi="Arial Narrow"/>
                <w:sz w:val="22"/>
                <w:szCs w:val="22"/>
              </w:rPr>
              <w:t>$                     0.00</w:t>
            </w: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0B32EB" w:rsidRPr="00917741" w:rsidRDefault="00046DF2" w:rsidP="000B32EB">
            <w:pPr>
              <w:pStyle w:val="Default"/>
              <w:jc w:val="right"/>
              <w:rPr>
                <w:rFonts w:ascii="Arial Narrow" w:hAnsi="Arial Narrow"/>
                <w:sz w:val="18"/>
                <w:szCs w:val="18"/>
              </w:rPr>
            </w:pPr>
            <w:r>
              <w:rPr>
                <w:rFonts w:ascii="Arial Narrow" w:hAnsi="Arial Narrow"/>
                <w:sz w:val="18"/>
                <w:szCs w:val="18"/>
              </w:rPr>
              <w:t xml:space="preserve">$   </w:t>
            </w:r>
            <w:r w:rsidR="000B32EB" w:rsidRPr="00917741">
              <w:rPr>
                <w:rFonts w:ascii="Arial Narrow" w:hAnsi="Arial Narrow"/>
                <w:sz w:val="18"/>
                <w:szCs w:val="18"/>
              </w:rPr>
              <w:t xml:space="preserve"> </w:t>
            </w:r>
            <w:r>
              <w:rPr>
                <w:rFonts w:ascii="Arial Narrow" w:hAnsi="Arial Narrow"/>
                <w:sz w:val="18"/>
                <w:szCs w:val="18"/>
              </w:rPr>
              <w:t>243,657.42</w:t>
            </w:r>
          </w:p>
        </w:tc>
        <w:tc>
          <w:tcPr>
            <w:tcW w:w="2000" w:type="dxa"/>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e instrumental  medico y de laboratorio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Obra publica en bienes propios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Compra de titulo y valores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egresos presupuestales no contables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p>
        </w:tc>
        <w:tc>
          <w:tcPr>
            <w:tcW w:w="2190" w:type="dxa"/>
          </w:tcPr>
          <w:p w:rsidR="000B32EB" w:rsidRPr="00917741" w:rsidRDefault="000B32EB" w:rsidP="000B32EB">
            <w:pPr>
              <w:pStyle w:val="Default"/>
              <w:jc w:val="right"/>
              <w:rPr>
                <w:rFonts w:ascii="Arial Narrow" w:hAnsi="Arial Narrow"/>
                <w:sz w:val="18"/>
                <w:szCs w:val="18"/>
              </w:rPr>
            </w:pPr>
          </w:p>
        </w:tc>
        <w:tc>
          <w:tcPr>
            <w:tcW w:w="2000" w:type="dxa"/>
            <w:vMerge/>
          </w:tcPr>
          <w:p w:rsidR="000B32EB" w:rsidRPr="00917741" w:rsidRDefault="000B32EB" w:rsidP="000B32EB">
            <w:pPr>
              <w:pStyle w:val="Default"/>
              <w:jc w:val="right"/>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4866"/>
        <w:gridCol w:w="2188"/>
        <w:gridCol w:w="1973"/>
        <w:gridCol w:w="27"/>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Mas egresos contables  no presupuestales:</w:t>
            </w:r>
          </w:p>
        </w:tc>
        <w:tc>
          <w:tcPr>
            <w:tcW w:w="2188" w:type="dxa"/>
          </w:tcPr>
          <w:p w:rsidR="000B32EB" w:rsidRPr="00B94587" w:rsidRDefault="000B32EB" w:rsidP="000B32EB">
            <w:pPr>
              <w:pStyle w:val="Default"/>
              <w:rPr>
                <w:rFonts w:ascii="Arial Narrow" w:hAnsi="Arial Narrow"/>
                <w:sz w:val="22"/>
                <w:szCs w:val="22"/>
              </w:rPr>
            </w:pPr>
          </w:p>
        </w:tc>
        <w:tc>
          <w:tcPr>
            <w:tcW w:w="2000" w:type="dxa"/>
            <w:gridSpan w:val="2"/>
          </w:tcPr>
          <w:p w:rsidR="000B32EB" w:rsidRPr="00B94587" w:rsidRDefault="00526E1D" w:rsidP="00526E1D">
            <w:pPr>
              <w:pStyle w:val="Default"/>
              <w:jc w:val="right"/>
              <w:rPr>
                <w:rFonts w:ascii="Arial Narrow" w:hAnsi="Arial Narrow"/>
                <w:sz w:val="22"/>
                <w:szCs w:val="22"/>
              </w:rPr>
            </w:pPr>
            <w:r>
              <w:rPr>
                <w:rFonts w:ascii="Arial Narrow" w:hAnsi="Arial Narrow"/>
                <w:sz w:val="22"/>
                <w:szCs w:val="22"/>
              </w:rPr>
              <w:t xml:space="preserve">                      $160,457.11</w:t>
            </w:r>
            <w:r w:rsidR="000B32EB" w:rsidRPr="00B94587">
              <w:rPr>
                <w:rFonts w:ascii="Arial Narrow" w:hAnsi="Arial Narrow"/>
                <w:sz w:val="22"/>
                <w:szCs w:val="22"/>
              </w:rPr>
              <w:t xml:space="preserve">               </w:t>
            </w: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0B32EB" w:rsidRPr="00917741" w:rsidRDefault="00F57CA6" w:rsidP="000B32EB">
            <w:pPr>
              <w:pStyle w:val="Default"/>
              <w:jc w:val="right"/>
              <w:rPr>
                <w:rFonts w:ascii="Arial Narrow" w:hAnsi="Arial Narrow"/>
                <w:sz w:val="18"/>
                <w:szCs w:val="18"/>
              </w:rPr>
            </w:pPr>
            <w:r>
              <w:rPr>
                <w:rFonts w:ascii="Arial Narrow" w:hAnsi="Arial Narrow"/>
                <w:sz w:val="18"/>
                <w:szCs w:val="18"/>
              </w:rPr>
              <w:t>$     160,457.</w:t>
            </w:r>
            <w:r w:rsidR="00FC44E9">
              <w:rPr>
                <w:rFonts w:ascii="Arial Narrow" w:hAnsi="Arial Narrow"/>
                <w:sz w:val="18"/>
                <w:szCs w:val="18"/>
              </w:rPr>
              <w:t>11</w:t>
            </w:r>
          </w:p>
        </w:tc>
        <w:tc>
          <w:tcPr>
            <w:tcW w:w="2000" w:type="dxa"/>
            <w:gridSpan w:val="2"/>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estimaciones por perdida o deterioro u obsolescencia</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B94587" w:rsidTr="005C3CF0">
        <w:trPr>
          <w:gridAfter w:val="1"/>
          <w:wAfter w:w="27" w:type="dxa"/>
          <w:jc w:val="center"/>
        </w:trPr>
        <w:tc>
          <w:tcPr>
            <w:tcW w:w="7054" w:type="dxa"/>
            <w:gridSpan w:val="2"/>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0B32EB" w:rsidRPr="00B94587" w:rsidRDefault="00F57CA6" w:rsidP="00526E1D">
            <w:pPr>
              <w:pStyle w:val="Default"/>
              <w:jc w:val="right"/>
              <w:rPr>
                <w:rFonts w:ascii="Arial Narrow" w:hAnsi="Arial Narrow"/>
                <w:sz w:val="22"/>
                <w:szCs w:val="22"/>
              </w:rPr>
            </w:pPr>
            <w:r>
              <w:rPr>
                <w:rFonts w:ascii="Arial Narrow" w:hAnsi="Arial Narrow"/>
                <w:sz w:val="22"/>
                <w:szCs w:val="22"/>
              </w:rPr>
              <w:t>$</w:t>
            </w:r>
            <w:r w:rsidR="00F54B9A">
              <w:rPr>
                <w:rFonts w:ascii="Arial Narrow" w:hAnsi="Arial Narrow"/>
                <w:sz w:val="22"/>
                <w:szCs w:val="22"/>
              </w:rPr>
              <w:t>213,238,609.75</w:t>
            </w:r>
          </w:p>
        </w:tc>
      </w:tr>
    </w:tbl>
    <w:p w:rsidR="000B32EB" w:rsidRPr="006E3190"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0B32EB" w:rsidRPr="00B94587" w:rsidRDefault="000B32EB" w:rsidP="000B32EB">
      <w:pPr>
        <w:pStyle w:val="Default"/>
        <w:rPr>
          <w:rFonts w:ascii="Arial Narrow" w:hAnsi="Arial Narrow"/>
          <w:sz w:val="22"/>
          <w:szCs w:val="22"/>
        </w:rPr>
      </w:pPr>
    </w:p>
    <w:p w:rsidR="000B32EB" w:rsidRPr="005C3CF0" w:rsidRDefault="000B32EB" w:rsidP="000B32EB">
      <w:pPr>
        <w:pStyle w:val="Default"/>
        <w:rPr>
          <w:rFonts w:ascii="Arial Narrow" w:hAnsi="Arial Narrow"/>
          <w:b/>
          <w:sz w:val="22"/>
          <w:szCs w:val="22"/>
        </w:rPr>
      </w:pPr>
      <w:r w:rsidRPr="005C3CF0">
        <w:rPr>
          <w:rFonts w:ascii="Arial Narrow" w:hAnsi="Arial Narrow"/>
          <w:b/>
          <w:sz w:val="22"/>
          <w:szCs w:val="22"/>
        </w:rPr>
        <w:t>JUICIOS</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sz w:val="22"/>
          <w:szCs w:val="22"/>
        </w:rPr>
      </w:pPr>
      <w:r w:rsidRPr="00B94587">
        <w:rPr>
          <w:rFonts w:ascii="Arial Narrow" w:hAnsi="Arial Narrow"/>
          <w:sz w:val="22"/>
          <w:szCs w:val="22"/>
        </w:rPr>
        <w:t>En el rubro de contingencias tenemos pasivos, por concepto de resoluciones que corresponden a laudos laborales por im</w:t>
      </w:r>
      <w:r w:rsidR="001A7B0A">
        <w:rPr>
          <w:rFonts w:ascii="Arial Narrow" w:hAnsi="Arial Narrow"/>
          <w:sz w:val="22"/>
          <w:szCs w:val="22"/>
        </w:rPr>
        <w:t>porte de $22</w:t>
      </w:r>
      <w:proofErr w:type="gramStart"/>
      <w:r w:rsidR="001A7B0A">
        <w:rPr>
          <w:rFonts w:ascii="Arial Narrow" w:hAnsi="Arial Narrow"/>
          <w:sz w:val="22"/>
          <w:szCs w:val="22"/>
        </w:rPr>
        <w:t>,581,480.23</w:t>
      </w:r>
      <w:proofErr w:type="gramEnd"/>
      <w:r w:rsidR="001A7B0A">
        <w:rPr>
          <w:rFonts w:ascii="Arial Narrow" w:hAnsi="Arial Narrow"/>
          <w:sz w:val="22"/>
          <w:szCs w:val="22"/>
        </w:rPr>
        <w:t xml:space="preserve"> al 2015 </w:t>
      </w:r>
      <w:r w:rsidRPr="00B94587">
        <w:rPr>
          <w:rFonts w:ascii="Arial Narrow" w:hAnsi="Arial Narrow"/>
          <w:sz w:val="22"/>
          <w:szCs w:val="22"/>
        </w:rPr>
        <w:t xml:space="preserve">. Por consiguiente no se han podido finiquitar por falta de capacidad presupuestaria. </w:t>
      </w:r>
    </w:p>
    <w:p w:rsidR="000B32EB" w:rsidRPr="00B94587" w:rsidRDefault="000B32EB" w:rsidP="000B32EB">
      <w:pPr>
        <w:pStyle w:val="Default"/>
        <w:rPr>
          <w:rFonts w:ascii="Arial Narrow" w:hAnsi="Arial Narrow"/>
          <w:sz w:val="22"/>
          <w:szCs w:val="22"/>
        </w:rPr>
      </w:pPr>
    </w:p>
    <w:p w:rsidR="001A7B0A" w:rsidRDefault="001A7B0A"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Cuentas de orden deudoras</w:t>
      </w:r>
      <w:r w:rsidR="001A7B0A">
        <w:rPr>
          <w:rFonts w:ascii="Arial Narrow" w:hAnsi="Arial Narrow"/>
          <w:sz w:val="22"/>
          <w:szCs w:val="22"/>
        </w:rPr>
        <w:t xml:space="preserve">                                                             Cuentas de orden acreedoras</w:t>
      </w:r>
    </w:p>
    <w:p w:rsidR="000B32EB" w:rsidRPr="00B94587" w:rsidRDefault="000B32EB" w:rsidP="000B32EB">
      <w:pPr>
        <w:pStyle w:val="Default"/>
        <w:rPr>
          <w:rFonts w:ascii="Arial Narrow" w:hAnsi="Arial Narrow"/>
          <w:sz w:val="22"/>
          <w:szCs w:val="22"/>
        </w:rPr>
      </w:pPr>
    </w:p>
    <w:tbl>
      <w:tblPr>
        <w:tblStyle w:val="Tablaconcuadrcula"/>
        <w:tblW w:w="9180" w:type="dxa"/>
        <w:tblLook w:val="04A0"/>
      </w:tblPr>
      <w:tblGrid>
        <w:gridCol w:w="2943"/>
        <w:gridCol w:w="1701"/>
        <w:gridCol w:w="284"/>
        <w:gridCol w:w="2551"/>
        <w:gridCol w:w="1701"/>
      </w:tblGrid>
      <w:tr w:rsidR="000B32EB" w:rsidRPr="00B94587" w:rsidTr="000B32EB">
        <w:tc>
          <w:tcPr>
            <w:tcW w:w="2943"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 pagar laudos laborales</w:t>
            </w:r>
          </w:p>
        </w:tc>
        <w:tc>
          <w:tcPr>
            <w:tcW w:w="1701" w:type="dxa"/>
          </w:tcPr>
          <w:p w:rsidR="000B32EB" w:rsidRPr="00B94587" w:rsidRDefault="000B32EB" w:rsidP="006F54E5">
            <w:pPr>
              <w:pStyle w:val="Default"/>
              <w:jc w:val="righ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Pr="00B94587">
              <w:rPr>
                <w:rFonts w:ascii="Arial Narrow" w:hAnsi="Arial Narrow"/>
                <w:sz w:val="22"/>
                <w:szCs w:val="22"/>
              </w:rPr>
              <w:t>1</w:t>
            </w:r>
            <w:r w:rsidR="001A7B0A">
              <w:rPr>
                <w:rFonts w:ascii="Arial Narrow" w:hAnsi="Arial Narrow"/>
                <w:sz w:val="22"/>
                <w:szCs w:val="22"/>
              </w:rPr>
              <w:t>7,592,772.56</w:t>
            </w:r>
          </w:p>
        </w:tc>
        <w:tc>
          <w:tcPr>
            <w:tcW w:w="284" w:type="dxa"/>
          </w:tcPr>
          <w:p w:rsidR="000B32EB" w:rsidRPr="00B94587" w:rsidRDefault="000B32EB" w:rsidP="000B32EB">
            <w:pPr>
              <w:pStyle w:val="Default"/>
              <w:rPr>
                <w:rFonts w:ascii="Arial Narrow" w:hAnsi="Arial Narrow"/>
                <w:sz w:val="22"/>
                <w:szCs w:val="22"/>
              </w:rPr>
            </w:pPr>
          </w:p>
        </w:tc>
        <w:tc>
          <w:tcPr>
            <w:tcW w:w="255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Laudos laborales por pagar</w:t>
            </w:r>
          </w:p>
        </w:tc>
        <w:tc>
          <w:tcPr>
            <w:tcW w:w="170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Pr="00B94587">
              <w:rPr>
                <w:rFonts w:ascii="Arial Narrow" w:hAnsi="Arial Narrow"/>
                <w:sz w:val="22"/>
                <w:szCs w:val="22"/>
              </w:rPr>
              <w:t>1</w:t>
            </w:r>
            <w:r w:rsidR="001A7B0A">
              <w:rPr>
                <w:rFonts w:ascii="Arial Narrow" w:hAnsi="Arial Narrow"/>
                <w:sz w:val="22"/>
                <w:szCs w:val="22"/>
              </w:rPr>
              <w:t>7,592,772.56</w:t>
            </w:r>
          </w:p>
        </w:tc>
      </w:tr>
    </w:tbl>
    <w:p w:rsidR="000B32EB" w:rsidRPr="00B94587" w:rsidRDefault="000B32EB" w:rsidP="000B32EB">
      <w:pPr>
        <w:pStyle w:val="Default"/>
        <w:rPr>
          <w:rFonts w:ascii="Arial Narrow" w:hAnsi="Arial Narrow"/>
          <w:sz w:val="22"/>
          <w:szCs w:val="22"/>
        </w:rPr>
      </w:pPr>
    </w:p>
    <w:tbl>
      <w:tblPr>
        <w:tblStyle w:val="Tablaconcuadrcula"/>
        <w:tblW w:w="9180" w:type="dxa"/>
        <w:tblLook w:val="04A0"/>
      </w:tblPr>
      <w:tblGrid>
        <w:gridCol w:w="2943"/>
        <w:gridCol w:w="1701"/>
        <w:gridCol w:w="284"/>
        <w:gridCol w:w="2551"/>
        <w:gridCol w:w="1701"/>
      </w:tblGrid>
      <w:tr w:rsidR="000B32EB" w:rsidRPr="00B94587" w:rsidTr="000B32EB">
        <w:tc>
          <w:tcPr>
            <w:tcW w:w="2943"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Demandas judiciales en proceso de resolución</w:t>
            </w:r>
          </w:p>
        </w:tc>
        <w:tc>
          <w:tcPr>
            <w:tcW w:w="1701"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001A7B0A">
              <w:rPr>
                <w:rFonts w:ascii="Arial Narrow" w:hAnsi="Arial Narrow"/>
                <w:sz w:val="22"/>
                <w:szCs w:val="22"/>
              </w:rPr>
              <w:t>4,988,707.67</w:t>
            </w:r>
          </w:p>
        </w:tc>
        <w:tc>
          <w:tcPr>
            <w:tcW w:w="284" w:type="dxa"/>
          </w:tcPr>
          <w:p w:rsidR="000B32EB" w:rsidRPr="00B94587" w:rsidRDefault="000B32EB" w:rsidP="000B32EB">
            <w:pPr>
              <w:pStyle w:val="Default"/>
              <w:rPr>
                <w:rFonts w:ascii="Arial Narrow" w:hAnsi="Arial Narrow"/>
                <w:sz w:val="22"/>
                <w:szCs w:val="22"/>
              </w:rPr>
            </w:pPr>
          </w:p>
        </w:tc>
        <w:tc>
          <w:tcPr>
            <w:tcW w:w="255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Resolución de demandas en proceso de resolución</w:t>
            </w:r>
          </w:p>
        </w:tc>
        <w:tc>
          <w:tcPr>
            <w:tcW w:w="1701"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1A7B0A">
              <w:rPr>
                <w:rFonts w:ascii="Arial Narrow" w:hAnsi="Arial Narrow"/>
                <w:sz w:val="22"/>
                <w:szCs w:val="22"/>
              </w:rPr>
              <w:t xml:space="preserve"> </w:t>
            </w:r>
            <w:r w:rsidR="006F54E5">
              <w:rPr>
                <w:rFonts w:ascii="Arial Narrow" w:hAnsi="Arial Narrow"/>
                <w:sz w:val="22"/>
                <w:szCs w:val="22"/>
              </w:rPr>
              <w:t xml:space="preserve">     </w:t>
            </w:r>
            <w:r w:rsidR="001A7B0A">
              <w:rPr>
                <w:rFonts w:ascii="Arial Narrow" w:hAnsi="Arial Narrow"/>
                <w:sz w:val="22"/>
                <w:szCs w:val="22"/>
              </w:rPr>
              <w:t>4,988,707.67</w:t>
            </w: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0B32EB" w:rsidRPr="00B94587" w:rsidRDefault="000B32EB" w:rsidP="000B32EB">
      <w:pPr>
        <w:pStyle w:val="Default"/>
        <w:rPr>
          <w:rFonts w:ascii="Arial Narrow" w:hAnsi="Arial Narrow"/>
          <w:sz w:val="22"/>
          <w:szCs w:val="22"/>
        </w:rPr>
      </w:pPr>
    </w:p>
    <w:p w:rsidR="000B32EB" w:rsidRPr="00701F5D" w:rsidRDefault="000B32EB" w:rsidP="00701F5D">
      <w:pPr>
        <w:pStyle w:val="Default"/>
        <w:numPr>
          <w:ilvl w:val="0"/>
          <w:numId w:val="21"/>
        </w:numPr>
        <w:rPr>
          <w:rFonts w:ascii="Arial Narrow" w:hAnsi="Arial Narrow"/>
          <w:b/>
          <w:bCs/>
          <w:sz w:val="22"/>
          <w:szCs w:val="22"/>
          <w:u w:val="single"/>
        </w:rPr>
      </w:pPr>
      <w:r w:rsidRPr="00701F5D">
        <w:rPr>
          <w:rFonts w:ascii="Arial Narrow" w:hAnsi="Arial Narrow"/>
          <w:b/>
          <w:bCs/>
          <w:sz w:val="22"/>
          <w:szCs w:val="22"/>
          <w:u w:val="single"/>
        </w:rPr>
        <w:t xml:space="preserve">Introducción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jc w:val="both"/>
        <w:rPr>
          <w:rFonts w:ascii="Arial Narrow" w:hAnsi="Arial Narrow"/>
        </w:rPr>
      </w:pPr>
      <w:r w:rsidRPr="00B94587">
        <w:rPr>
          <w:rFonts w:ascii="Arial Narrow" w:hAnsi="Arial Narrow"/>
        </w:rPr>
        <w:t xml:space="preserve">El tomo del Poder Judicial presenta la información contable, presupuestaria y programática consolidada e integrada del Poder Judicial. </w:t>
      </w:r>
    </w:p>
    <w:p w:rsidR="000B32EB" w:rsidRPr="00B94587" w:rsidRDefault="000B32EB" w:rsidP="000B32EB">
      <w:pPr>
        <w:spacing w:after="0"/>
        <w:jc w:val="both"/>
        <w:rPr>
          <w:rFonts w:ascii="Arial Narrow" w:hAnsi="Arial Narrow"/>
          <w:lang w:val="es-ES"/>
        </w:rPr>
      </w:pPr>
      <w:r w:rsidRPr="00B94587">
        <w:rPr>
          <w:rFonts w:ascii="Arial Narrow" w:hAnsi="Arial Narrow"/>
        </w:rPr>
        <w:lastRenderedPageBreak/>
        <w:t xml:space="preserve">Conforme a lo dispuesto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B94587">
        <w:rPr>
          <w:rFonts w:ascii="Arial Narrow" w:hAnsi="Arial Narrow"/>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w:t>
      </w:r>
    </w:p>
    <w:p w:rsidR="000B32EB" w:rsidRPr="00B94587" w:rsidRDefault="000B32EB" w:rsidP="000B32EB">
      <w:pPr>
        <w:spacing w:after="0"/>
        <w:jc w:val="both"/>
        <w:rPr>
          <w:rFonts w:ascii="Arial Narrow" w:hAnsi="Arial Narrow"/>
          <w:lang w:val="es-ES"/>
        </w:rPr>
      </w:pPr>
    </w:p>
    <w:p w:rsidR="000B32EB" w:rsidRPr="00B94587" w:rsidRDefault="000B32EB" w:rsidP="000B32EB">
      <w:pPr>
        <w:spacing w:after="0"/>
        <w:jc w:val="both"/>
        <w:rPr>
          <w:rFonts w:ascii="Arial Narrow" w:hAnsi="Arial Narrow"/>
          <w:lang w:val="es-ES"/>
        </w:rPr>
      </w:pPr>
      <w:r w:rsidRPr="00B94587">
        <w:rPr>
          <w:rFonts w:ascii="Arial Narrow" w:hAnsi="Arial Narrow"/>
          <w:lang w:val="es-ES"/>
        </w:rPr>
        <w:t>Que muestran a su vez de manera confiable como fueron aplic</w:t>
      </w:r>
      <w:r w:rsidR="00F54B9A">
        <w:rPr>
          <w:rFonts w:ascii="Arial Narrow" w:hAnsi="Arial Narrow"/>
          <w:lang w:val="es-ES"/>
        </w:rPr>
        <w:t xml:space="preserve">ados los recursos en </w:t>
      </w:r>
      <w:r w:rsidR="001B2167">
        <w:rPr>
          <w:rFonts w:ascii="Arial Narrow" w:hAnsi="Arial Narrow"/>
          <w:lang w:val="es-ES"/>
        </w:rPr>
        <w:t>este ejercicio</w:t>
      </w:r>
      <w:r w:rsidRPr="00B94587">
        <w:rPr>
          <w:rFonts w:ascii="Arial Narrow" w:hAnsi="Arial Narrow"/>
          <w:lang w:val="es-ES"/>
        </w:rPr>
        <w:t xml:space="preserve"> 2015.</w:t>
      </w:r>
    </w:p>
    <w:p w:rsidR="000B32EB" w:rsidRPr="00B94587" w:rsidRDefault="000B32EB" w:rsidP="000B32EB">
      <w:pPr>
        <w:spacing w:after="0"/>
        <w:jc w:val="both"/>
        <w:rPr>
          <w:rFonts w:ascii="Arial Narrow" w:hAnsi="Arial Narrow"/>
          <w:lang w:val="es-ES"/>
        </w:rPr>
      </w:pPr>
    </w:p>
    <w:p w:rsidR="000B32EB" w:rsidRPr="00B94587" w:rsidRDefault="000B32EB" w:rsidP="000B32EB">
      <w:pPr>
        <w:spacing w:after="0"/>
        <w:jc w:val="both"/>
        <w:rPr>
          <w:rFonts w:ascii="Arial Narrow" w:hAnsi="Arial Narrow"/>
          <w:lang w:val="es-ES"/>
        </w:rPr>
      </w:pPr>
      <w:r w:rsidRPr="00B94587">
        <w:rPr>
          <w:rFonts w:ascii="Arial Narrow" w:hAnsi="Arial Narrow"/>
          <w:lang w:val="es-ES"/>
        </w:rPr>
        <w:t>Las Notas a los Estados Financieros tiene el objetivo de revelar el contexto y los aspectos económicos-financieros más relevantes que influyeron en las decisiones del periodo y que fueron consideradas para la elaboración de los Estados Financieros.</w:t>
      </w:r>
    </w:p>
    <w:p w:rsidR="000B32EB" w:rsidRPr="00B94587" w:rsidRDefault="000B32EB" w:rsidP="000B32EB">
      <w:pPr>
        <w:jc w:val="both"/>
        <w:rPr>
          <w:rFonts w:ascii="Arial Narrow" w:hAnsi="Arial Narrow"/>
        </w:rPr>
      </w:pPr>
    </w:p>
    <w:p w:rsidR="000B32EB" w:rsidRPr="00B94587" w:rsidRDefault="000B32EB" w:rsidP="000B32EB">
      <w:pPr>
        <w:jc w:val="both"/>
        <w:rPr>
          <w:rFonts w:ascii="Arial Narrow" w:hAnsi="Arial Narrow"/>
        </w:rPr>
      </w:pPr>
      <w:r w:rsidRPr="00B94587">
        <w:rPr>
          <w:rFonts w:ascii="Arial Narrow" w:hAnsi="Arial Narrow"/>
        </w:rPr>
        <w:t>El presente Tomo se estructura atendiendo a lo dispuesto en el artículo 53 de la Ley General de Contabilidad Gubernamental, por lo que cada apartado correspondiente al Tribunal Superior de Justicia contiene lo Siguiente:</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Introducción</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contable</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presupuestaria</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programática</w:t>
      </w:r>
    </w:p>
    <w:p w:rsidR="000B32EB" w:rsidRPr="00B94587" w:rsidRDefault="000B32EB" w:rsidP="000B32EB">
      <w:pPr>
        <w:pStyle w:val="Prrafodelista"/>
        <w:ind w:left="1440"/>
        <w:jc w:val="both"/>
        <w:rPr>
          <w:rFonts w:ascii="Arial Narrow" w:hAnsi="Arial Narrow"/>
        </w:rPr>
      </w:pPr>
    </w:p>
    <w:p w:rsidR="000B32EB" w:rsidRPr="00B94587" w:rsidRDefault="000B32EB" w:rsidP="000B32EB">
      <w:pPr>
        <w:pStyle w:val="Prrafodelista"/>
        <w:jc w:val="both"/>
        <w:rPr>
          <w:rFonts w:ascii="Arial Narrow" w:hAnsi="Arial Narrow"/>
        </w:rPr>
      </w:pPr>
      <w:r w:rsidRPr="00B94587">
        <w:rPr>
          <w:rFonts w:ascii="Arial Narrow" w:hAnsi="Arial Narrow"/>
        </w:rPr>
        <w:t>Adicionalmente a la información contenida en el presente Tomo, y atendiendo a lo dispuesto por el último párrafo del artículo 23 de la Ley General de Contabilidad Gubernamental, se adjunta en disco compacto un apartado de anexo en que se incorpora la relación de los bienes que componen el patrimonio del Honorable Tribunal Superior de Justicia.</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0B32EB" w:rsidRPr="00B94587" w:rsidRDefault="000B32EB" w:rsidP="000B32EB">
      <w:pPr>
        <w:pStyle w:val="Default"/>
        <w:jc w:val="both"/>
        <w:rPr>
          <w:rFonts w:ascii="Arial Narrow" w:hAnsi="Arial Narrow"/>
          <w:b/>
          <w:bCs/>
          <w:sz w:val="22"/>
          <w:szCs w:val="22"/>
        </w:rPr>
      </w:pPr>
    </w:p>
    <w:p w:rsidR="000B32EB" w:rsidRPr="00B94587" w:rsidRDefault="000B32EB" w:rsidP="000B32EB">
      <w:pPr>
        <w:pStyle w:val="Prrafodelista"/>
        <w:ind w:left="0"/>
        <w:jc w:val="both"/>
        <w:rPr>
          <w:rFonts w:ascii="Arial Narrow" w:hAnsi="Arial Narrow"/>
        </w:rPr>
      </w:pPr>
      <w:r w:rsidRPr="00B94587">
        <w:rPr>
          <w:rFonts w:ascii="Arial Narrow" w:hAnsi="Arial Narrow"/>
        </w:rPr>
        <w:t xml:space="preserve">El Honorable Tribunal Superior de Justicia, enfrenta un rezago económico presupuestario, debido a laudos laborales que actualmente tiene que cubrir en un corto plazo. </w:t>
      </w:r>
    </w:p>
    <w:p w:rsidR="000B32EB" w:rsidRPr="00B94587" w:rsidRDefault="000B32EB" w:rsidP="000B32EB">
      <w:pPr>
        <w:pStyle w:val="Prrafodelista"/>
        <w:ind w:left="0"/>
        <w:jc w:val="both"/>
        <w:rPr>
          <w:rFonts w:ascii="Arial Narrow" w:hAnsi="Arial Narrow"/>
        </w:rPr>
      </w:pPr>
      <w:r w:rsidRPr="00B94587">
        <w:rPr>
          <w:rFonts w:ascii="Arial Narrow" w:hAnsi="Arial Narrow"/>
        </w:rPr>
        <w:t xml:space="preserve"> Además de que el incremento al presupuesto de egresos para este ejercicio fiscal 2015 autorizado fue de sólo el 4</w:t>
      </w:r>
      <w:proofErr w:type="gramStart"/>
      <w:r w:rsidRPr="00B94587">
        <w:rPr>
          <w:rFonts w:ascii="Arial Narrow" w:hAnsi="Arial Narrow"/>
        </w:rPr>
        <w:t>% .</w:t>
      </w:r>
      <w:proofErr w:type="gramEnd"/>
    </w:p>
    <w:p w:rsidR="000B32EB" w:rsidRPr="00B94587" w:rsidRDefault="000B32EB" w:rsidP="000B32EB">
      <w:pPr>
        <w:autoSpaceDE w:val="0"/>
        <w:autoSpaceDN w:val="0"/>
        <w:adjustRightInd w:val="0"/>
        <w:spacing w:after="0" w:line="240" w:lineRule="auto"/>
        <w:jc w:val="both"/>
        <w:rPr>
          <w:rFonts w:ascii="Arial Narrow" w:hAnsi="Arial Narrow" w:cs="AGaramondPro-Regular"/>
        </w:rPr>
      </w:pPr>
      <w:r w:rsidRPr="00B94587">
        <w:rPr>
          <w:rFonts w:ascii="Arial Narrow" w:hAnsi="Arial Narrow" w:cs="AGaramondPro-Bold"/>
          <w:bCs/>
        </w:rPr>
        <w:t>Por las reformas Constitucionales que fueron publicadas e</w:t>
      </w:r>
      <w:r w:rsidRPr="00B94587">
        <w:rPr>
          <w:rFonts w:ascii="Arial Narrow" w:hAnsi="Arial Narrow" w:cs="AGaramondPro-Regular"/>
        </w:rPr>
        <w:t>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de los Estados Unidos Mexicanos.</w:t>
      </w:r>
    </w:p>
    <w:p w:rsidR="000B32EB" w:rsidRPr="00B94587" w:rsidRDefault="000B32EB" w:rsidP="000B32EB">
      <w:pPr>
        <w:autoSpaceDE w:val="0"/>
        <w:autoSpaceDN w:val="0"/>
        <w:adjustRightInd w:val="0"/>
        <w:spacing w:after="0" w:line="240" w:lineRule="auto"/>
        <w:jc w:val="both"/>
        <w:rPr>
          <w:rFonts w:ascii="Arial Narrow" w:hAnsi="Arial Narrow" w:cs="AGaramondPro-Regular"/>
        </w:rPr>
      </w:pPr>
    </w:p>
    <w:p w:rsidR="000B32EB" w:rsidRPr="00B94587" w:rsidRDefault="000B32EB" w:rsidP="000B32EB">
      <w:pPr>
        <w:autoSpaceDE w:val="0"/>
        <w:autoSpaceDN w:val="0"/>
        <w:adjustRightInd w:val="0"/>
        <w:spacing w:after="0" w:line="240" w:lineRule="auto"/>
        <w:jc w:val="both"/>
        <w:rPr>
          <w:rFonts w:ascii="Arial Narrow" w:hAnsi="Arial Narrow"/>
          <w:b/>
          <w:u w:val="single"/>
        </w:rPr>
      </w:pPr>
      <w:r w:rsidRPr="00B94587">
        <w:rPr>
          <w:rFonts w:ascii="Arial Narrow" w:hAnsi="Arial Narrow" w:cs="AGaramondPro-Regular"/>
        </w:rPr>
        <w:lastRenderedPageBreak/>
        <w:t xml:space="preserve">En los artículos transitorios segundo y tercero del Decreto mencionado establecen los lineamientos temporales para la </w:t>
      </w:r>
      <w:r w:rsidRPr="00B94587">
        <w:rPr>
          <w:rFonts w:ascii="Arial Narrow" w:hAnsi="Arial Narrow" w:cs="AGaramondPro-Regular"/>
          <w:b/>
        </w:rPr>
        <w:t>entrada en vigor en nuestro país del</w:t>
      </w:r>
      <w:r w:rsidRPr="00B94587">
        <w:rPr>
          <w:rFonts w:ascii="Arial Narrow" w:hAnsi="Arial Narrow" w:cs="AGaramondPro-Regular"/>
        </w:rPr>
        <w:t xml:space="preserve"> </w:t>
      </w:r>
      <w:r w:rsidRPr="00B94587">
        <w:rPr>
          <w:rFonts w:ascii="Arial Narrow" w:hAnsi="Arial Narrow" w:cs="AGaramondPro-Regular"/>
          <w:b/>
        </w:rPr>
        <w:t>sistema procesal penal acusatorio</w:t>
      </w:r>
      <w:r w:rsidRPr="00B94587">
        <w:rPr>
          <w:rFonts w:ascii="Arial Narrow" w:hAnsi="Arial Narrow" w:cs="AGaramondPro-Regular"/>
        </w:rPr>
        <w:t xml:space="preserve">, </w:t>
      </w:r>
      <w:r w:rsidRPr="00B94587">
        <w:rPr>
          <w:rFonts w:ascii="Arial Narrow" w:hAnsi="Arial Narrow"/>
        </w:rPr>
        <w:t xml:space="preserve">Esto origino un incremento en el personal por la obligatoriedad en la implantación de estas reformas impactando considerablemente en el presupuesto este ejercicio provocando déficit presupuestal. </w:t>
      </w:r>
    </w:p>
    <w:p w:rsidR="000B32EB" w:rsidRPr="00B94587" w:rsidRDefault="000B32EB" w:rsidP="000B32EB">
      <w:pPr>
        <w:pStyle w:val="Default"/>
        <w:jc w:val="both"/>
        <w:rPr>
          <w:rFonts w:ascii="Arial Narrow" w:hAnsi="Arial Narrow"/>
          <w:b/>
          <w:bCs/>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0B32EB" w:rsidRPr="00B94587" w:rsidRDefault="000B32EB" w:rsidP="000B32EB">
      <w:pPr>
        <w:pStyle w:val="Default"/>
        <w:ind w:left="708"/>
        <w:rPr>
          <w:rFonts w:ascii="Arial Narrow" w:hAnsi="Arial Narrow"/>
          <w:b/>
          <w:bCs/>
          <w:sz w:val="22"/>
          <w:szCs w:val="22"/>
        </w:rPr>
      </w:pPr>
    </w:p>
    <w:p w:rsidR="000B32EB" w:rsidRDefault="000B32EB" w:rsidP="000B32EB">
      <w:pPr>
        <w:pStyle w:val="Default"/>
        <w:ind w:left="708"/>
        <w:rPr>
          <w:rFonts w:ascii="Arial Narrow" w:hAnsi="Arial Narrow"/>
          <w:b/>
          <w:bCs/>
          <w:sz w:val="22"/>
          <w:szCs w:val="22"/>
        </w:rPr>
      </w:pPr>
      <w:r>
        <w:rPr>
          <w:rFonts w:ascii="Arial Narrow" w:hAnsi="Arial Narrow"/>
          <w:b/>
          <w:bCs/>
          <w:sz w:val="22"/>
          <w:szCs w:val="22"/>
        </w:rPr>
        <w:t>Entidad que informa.</w:t>
      </w:r>
    </w:p>
    <w:p w:rsidR="000B32EB" w:rsidRPr="00B94587" w:rsidRDefault="000B32EB" w:rsidP="000B32EB">
      <w:pPr>
        <w:pStyle w:val="Default"/>
        <w:ind w:left="708"/>
        <w:rPr>
          <w:rFonts w:ascii="Arial Narrow" w:hAnsi="Arial Narrow"/>
          <w:b/>
          <w:bCs/>
          <w:sz w:val="22"/>
          <w:szCs w:val="22"/>
        </w:rPr>
      </w:pPr>
    </w:p>
    <w:p w:rsidR="000B32EB" w:rsidRPr="00B94587" w:rsidRDefault="000B32EB" w:rsidP="000B32EB">
      <w:pPr>
        <w:pStyle w:val="Default"/>
        <w:ind w:left="720"/>
        <w:jc w:val="both"/>
        <w:rPr>
          <w:rFonts w:ascii="Arial Narrow" w:hAnsi="Arial Narrow"/>
          <w:bCs/>
          <w:sz w:val="22"/>
          <w:szCs w:val="22"/>
        </w:rPr>
      </w:pPr>
      <w:r w:rsidRPr="00B94587">
        <w:rPr>
          <w:rFonts w:ascii="Arial Narrow" w:hAnsi="Arial Narrow"/>
          <w:bCs/>
          <w:sz w:val="22"/>
          <w:szCs w:val="22"/>
        </w:rPr>
        <w:t xml:space="preserve">Emanada de la Constitución Política del Estado de Tlaxcala, del 30 de abril de 1968, por el C.  Miguel Lira y Ortega, Gobernador Constitucional del Estado Libre y Soberano de Tlaxcala. Promulgo bajo decreto la Constitución del   Tribunal Superior de Justicia en su TITULO X   Del Poder Judicial, en su Art. 56. Y dice el ejercicio Poder Judicial se comete al TRIBUNAL SUPERIOR DE JUSTICIA, Y posteriormente el 05 de mayo de 1968 por decreto, se convoca para nombrar los tres primeros Magistrados, y a los jueces miembros del Superior Tribunal de Justicia del Estado.  </w:t>
      </w:r>
    </w:p>
    <w:p w:rsidR="000B32EB" w:rsidRPr="00B94587" w:rsidRDefault="000B32EB" w:rsidP="000B32EB">
      <w:pPr>
        <w:pStyle w:val="Default"/>
        <w:ind w:left="720"/>
        <w:jc w:val="both"/>
        <w:rPr>
          <w:rFonts w:ascii="Arial Narrow" w:hAnsi="Arial Narrow"/>
          <w:bCs/>
          <w:sz w:val="22"/>
          <w:szCs w:val="22"/>
        </w:rPr>
      </w:pPr>
    </w:p>
    <w:p w:rsidR="000B32EB" w:rsidRDefault="000B32EB" w:rsidP="000B32EB">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 para impartir justicia de manera pronta, gratuita, completa e imparcial, en los asuntos de orden civil, familiar, penal, electoral, administrativo y ejecución de sanciones, administración de justicia para adolecentes y  en los del orden federal en los caso en que las leyes de la materia le confiera jurisdicción como lo marca la ley Orgánica del Poder Judicial del Estado de Tlaxcala  en su Art. 1</w:t>
      </w:r>
    </w:p>
    <w:p w:rsidR="000B32EB" w:rsidRPr="00B94587" w:rsidRDefault="000B32EB" w:rsidP="000B32EB">
      <w:pPr>
        <w:pStyle w:val="Default"/>
        <w:ind w:left="720"/>
        <w:jc w:val="both"/>
        <w:rPr>
          <w:rFonts w:ascii="Arial Narrow" w:hAnsi="Arial Narrow"/>
          <w:bCs/>
          <w:sz w:val="22"/>
          <w:szCs w:val="22"/>
        </w:rPr>
      </w:pPr>
    </w:p>
    <w:p w:rsidR="000B32EB" w:rsidRPr="00B94587" w:rsidRDefault="000B32EB" w:rsidP="000B32EB">
      <w:pPr>
        <w:pStyle w:val="Default"/>
        <w:jc w:val="both"/>
        <w:rPr>
          <w:rFonts w:ascii="Arial Narrow" w:hAnsi="Arial Narrow"/>
          <w:b/>
          <w:bCs/>
          <w:sz w:val="22"/>
          <w:szCs w:val="22"/>
        </w:rPr>
      </w:pPr>
    </w:p>
    <w:p w:rsidR="000B32EB" w:rsidRDefault="000B32EB" w:rsidP="000B32EB">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0B32EB" w:rsidRPr="00B94587" w:rsidRDefault="000B32EB" w:rsidP="000B32EB">
      <w:pPr>
        <w:pStyle w:val="Default"/>
        <w:jc w:val="both"/>
        <w:rPr>
          <w:rFonts w:ascii="Arial Narrow" w:hAnsi="Arial Narrow"/>
          <w:b/>
          <w:bCs/>
          <w:sz w:val="22"/>
          <w:szCs w:val="22"/>
        </w:rPr>
      </w:pPr>
    </w:p>
    <w:p w:rsidR="000B32EB" w:rsidRPr="00701F5D" w:rsidRDefault="000B32EB" w:rsidP="00701F5D">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701F5D" w:rsidRPr="00B94587" w:rsidRDefault="00701F5D" w:rsidP="00701F5D">
      <w:pPr>
        <w:pStyle w:val="Default"/>
        <w:ind w:left="106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civil, familiar, penal, electoral, administrativo y ejecución de sanciones, administración de justicia para adolecentes</w:t>
      </w:r>
    </w:p>
    <w:p w:rsidR="000B32EB" w:rsidRPr="00B94587" w:rsidRDefault="000B32EB" w:rsidP="000B32EB">
      <w:pPr>
        <w:pStyle w:val="Default"/>
        <w:ind w:left="708"/>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701F5D" w:rsidRPr="00B94587" w:rsidRDefault="00701F5D" w:rsidP="000B32EB">
      <w:pPr>
        <w:pStyle w:val="Default"/>
        <w:ind w:left="70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bCs/>
          <w:sz w:val="22"/>
          <w:szCs w:val="22"/>
        </w:rPr>
      </w:pPr>
      <w:r w:rsidRPr="00B94587">
        <w:rPr>
          <w:rFonts w:ascii="Arial Narrow" w:hAnsi="Arial Narrow"/>
          <w:bCs/>
          <w:sz w:val="22"/>
          <w:szCs w:val="22"/>
        </w:rPr>
        <w:t xml:space="preserve">Es un ente público encargado de la impartición de justicia por medio del personal que colabora en el mismo (magistrados, jueces y otras especialidades) </w:t>
      </w:r>
    </w:p>
    <w:p w:rsidR="000B32EB" w:rsidRPr="00B94587" w:rsidRDefault="000B32EB" w:rsidP="000B32EB">
      <w:pPr>
        <w:pStyle w:val="Default"/>
        <w:ind w:left="708"/>
        <w:jc w:val="both"/>
        <w:rPr>
          <w:rFonts w:ascii="Arial Narrow" w:hAnsi="Arial Narrow"/>
          <w:bCs/>
          <w:sz w:val="22"/>
          <w:szCs w:val="22"/>
        </w:rPr>
      </w:pPr>
    </w:p>
    <w:p w:rsidR="000B32EB"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social</w:t>
      </w:r>
    </w:p>
    <w:p w:rsidR="00701F5D" w:rsidRPr="00701F5D" w:rsidRDefault="00701F5D" w:rsidP="000B32EB">
      <w:pPr>
        <w:pStyle w:val="Default"/>
        <w:ind w:left="708"/>
        <w:jc w:val="both"/>
        <w:rPr>
          <w:rFonts w:ascii="Arial Narrow" w:hAnsi="Arial Narrow"/>
          <w:b/>
          <w:bCs/>
          <w:sz w:val="22"/>
          <w:szCs w:val="22"/>
          <w:u w:val="single"/>
        </w:rPr>
      </w:pPr>
    </w:p>
    <w:p w:rsidR="000B32EB" w:rsidRPr="00B94587" w:rsidRDefault="000B32EB" w:rsidP="000B32EB">
      <w:pPr>
        <w:pStyle w:val="Default"/>
        <w:ind w:left="705"/>
        <w:jc w:val="both"/>
        <w:rPr>
          <w:rFonts w:ascii="Arial Narrow" w:hAnsi="Arial Narrow"/>
          <w:bCs/>
          <w:sz w:val="22"/>
          <w:szCs w:val="22"/>
        </w:rPr>
      </w:pPr>
      <w:r w:rsidRPr="00B94587">
        <w:rPr>
          <w:rFonts w:ascii="Arial Narrow" w:hAnsi="Arial Narrow"/>
          <w:bCs/>
          <w:sz w:val="22"/>
          <w:szCs w:val="22"/>
        </w:rPr>
        <w:t>Su ejercicio social inicia el 01 de enero, y termina el 31 de diciembre de cada año o ejercicio.</w:t>
      </w:r>
    </w:p>
    <w:p w:rsidR="000B32EB" w:rsidRPr="00B94587" w:rsidRDefault="000B32EB" w:rsidP="000B32EB">
      <w:pPr>
        <w:pStyle w:val="Default"/>
        <w:jc w:val="both"/>
        <w:rPr>
          <w:rFonts w:ascii="Arial Narrow" w:hAnsi="Arial Narrow"/>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p>
    <w:p w:rsidR="000B32EB" w:rsidRDefault="000B32EB" w:rsidP="000B32EB">
      <w:pPr>
        <w:autoSpaceDE w:val="0"/>
        <w:autoSpaceDN w:val="0"/>
        <w:adjustRightInd w:val="0"/>
        <w:spacing w:after="0" w:line="240" w:lineRule="auto"/>
        <w:jc w:val="both"/>
        <w:rPr>
          <w:rFonts w:ascii="Arial Narrow" w:hAnsi="Arial Narrow" w:cs="ArialNarrow-Bold"/>
          <w:b/>
          <w:bCs/>
        </w:rPr>
      </w:pPr>
    </w:p>
    <w:p w:rsidR="000B32EB" w:rsidRPr="00D67718" w:rsidRDefault="000B32EB" w:rsidP="000B32EB">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 Del Poder Judicial Del Estado De Tlaxcala</w:t>
      </w:r>
      <w:r w:rsidRPr="00D67718">
        <w:rPr>
          <w:rFonts w:ascii="Arial Narrow" w:hAnsi="Arial Narrow" w:cs="ArialMT"/>
        </w:rPr>
        <w:t xml:space="preserve"> de interés público,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w:t>
      </w:r>
      <w:r w:rsidRPr="00D67718">
        <w:rPr>
          <w:rFonts w:ascii="Arial Narrow" w:hAnsi="Arial Narrow" w:cs="ArialMT"/>
        </w:rPr>
        <w:t>Estado y estará expedito para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en los asuntos de orden civil, familiar, penal,</w:t>
      </w:r>
      <w:r>
        <w:rPr>
          <w:rFonts w:ascii="Arial Narrow" w:hAnsi="Arial Narrow" w:cs="Arial-BoldMT"/>
          <w:bCs/>
        </w:rPr>
        <w:t xml:space="preserve"> </w:t>
      </w:r>
      <w:r w:rsidRPr="00D67718">
        <w:rPr>
          <w:rFonts w:ascii="Arial Narrow" w:hAnsi="Arial Narrow" w:cs="Arial-BoldMT"/>
          <w:bCs/>
        </w:rPr>
        <w:t>electoral,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0B32EB" w:rsidRPr="00D67718" w:rsidRDefault="000B32EB" w:rsidP="000B32EB">
      <w:pPr>
        <w:pStyle w:val="Default"/>
        <w:ind w:left="708"/>
        <w:jc w:val="both"/>
        <w:rPr>
          <w:rFonts w:ascii="Arial Narrow" w:hAnsi="Arial Narrow"/>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0B32EB" w:rsidRPr="00B94587" w:rsidRDefault="000B32EB" w:rsidP="000B32EB">
      <w:pPr>
        <w:pStyle w:val="Default"/>
        <w:ind w:left="70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sz w:val="22"/>
          <w:szCs w:val="22"/>
        </w:rPr>
      </w:pPr>
      <w:r w:rsidRPr="00B94587">
        <w:rPr>
          <w:rFonts w:ascii="Arial Narrow" w:hAnsi="Arial Narrow"/>
          <w:sz w:val="22"/>
          <w:szCs w:val="22"/>
        </w:rPr>
        <w:t xml:space="preserve">El Ente es una persona moral no contribuyente del Impuesto Sobre la Renta e impuesto al valor agregado. Por tanto es solo retenedor de impuesto sobre la renta por salarios pagados y retenciones de Impuesto sobre la Renta por pago de honorarios a personas físicas por servicios profesionales. </w:t>
      </w:r>
    </w:p>
    <w:p w:rsidR="000B32EB" w:rsidRPr="00B94587" w:rsidRDefault="000B32EB"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0B32EB" w:rsidRDefault="000B32EB" w:rsidP="000B32EB">
      <w:pPr>
        <w:pStyle w:val="Default"/>
        <w:ind w:left="708"/>
        <w:jc w:val="both"/>
        <w:rPr>
          <w:rFonts w:ascii="Arial Narrow" w:hAnsi="Arial Narrow"/>
          <w:b/>
          <w:bCs/>
          <w:sz w:val="22"/>
          <w:szCs w:val="22"/>
        </w:rPr>
      </w:pPr>
    </w:p>
    <w:p w:rsidR="000B32EB" w:rsidRDefault="000B32EB" w:rsidP="00701F5D">
      <w:pPr>
        <w:pStyle w:val="Default"/>
        <w:jc w:val="both"/>
        <w:rPr>
          <w:rFonts w:ascii="Arial Narrow" w:hAnsi="Arial Narrow"/>
          <w:b/>
          <w:bCs/>
          <w:sz w:val="22"/>
          <w:szCs w:val="22"/>
        </w:rPr>
      </w:pPr>
      <w:r>
        <w:rPr>
          <w:rFonts w:ascii="Arial Narrow" w:hAnsi="Arial Narrow"/>
          <w:b/>
          <w:bCs/>
          <w:noProof/>
          <w:lang w:eastAsia="es-MX"/>
        </w:rPr>
        <w:lastRenderedPageBreak/>
        <w:drawing>
          <wp:inline distT="0" distB="0" distL="0" distR="0">
            <wp:extent cx="8591550" cy="5372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6728" t="22670" r="24948" b="4786"/>
                    <a:stretch>
                      <a:fillRect/>
                    </a:stretch>
                  </pic:blipFill>
                  <pic:spPr bwMode="auto">
                    <a:xfrm>
                      <a:off x="0" y="0"/>
                      <a:ext cx="8616485" cy="5387691"/>
                    </a:xfrm>
                    <a:prstGeom prst="rect">
                      <a:avLst/>
                    </a:prstGeom>
                    <a:noFill/>
                    <a:ln w="9525">
                      <a:noFill/>
                      <a:miter lim="800000"/>
                      <a:headEnd/>
                      <a:tailEnd/>
                    </a:ln>
                  </pic:spPr>
                </pic:pic>
              </a:graphicData>
            </a:graphic>
          </wp:inline>
        </w:drawing>
      </w:r>
    </w:p>
    <w:p w:rsidR="000B32EB" w:rsidRPr="00701F5D" w:rsidRDefault="000B32EB" w:rsidP="000B32EB">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0B32EB" w:rsidRDefault="000B32EB" w:rsidP="000B32EB">
      <w:pPr>
        <w:pStyle w:val="Default"/>
        <w:jc w:val="both"/>
        <w:rPr>
          <w:rFonts w:ascii="Arial Narrow" w:hAnsi="Arial Narrow"/>
          <w:b/>
          <w:bCs/>
          <w:sz w:val="22"/>
          <w:szCs w:val="22"/>
        </w:rPr>
      </w:pPr>
      <w:r w:rsidRPr="00B94587">
        <w:rPr>
          <w:rFonts w:ascii="Arial Narrow" w:hAnsi="Arial Narrow"/>
          <w:b/>
          <w:bCs/>
          <w:sz w:val="22"/>
          <w:szCs w:val="22"/>
        </w:rPr>
        <w:tab/>
      </w:r>
    </w:p>
    <w:p w:rsidR="000B32EB" w:rsidRPr="00980327" w:rsidRDefault="000B32EB" w:rsidP="000B32EB">
      <w:pPr>
        <w:pStyle w:val="Default"/>
        <w:jc w:val="both"/>
        <w:rPr>
          <w:rFonts w:ascii="Arial Narrow" w:hAnsi="Arial Narrow"/>
          <w:bCs/>
          <w:sz w:val="22"/>
          <w:szCs w:val="22"/>
        </w:rPr>
      </w:pPr>
      <w:r w:rsidRPr="00980327">
        <w:rPr>
          <w:rFonts w:ascii="Arial Narrow" w:hAnsi="Arial Narrow"/>
          <w:bCs/>
          <w:sz w:val="22"/>
          <w:szCs w:val="22"/>
        </w:rPr>
        <w:t>No aplica</w:t>
      </w:r>
    </w:p>
    <w:p w:rsidR="000B32EB" w:rsidRPr="00B94587" w:rsidRDefault="000B32EB" w:rsidP="000B32EB">
      <w:pPr>
        <w:pStyle w:val="Default"/>
        <w:jc w:val="both"/>
        <w:rPr>
          <w:rFonts w:ascii="Arial Narrow" w:hAnsi="Arial Narrow"/>
          <w:b/>
          <w:bCs/>
          <w:sz w:val="22"/>
          <w:szCs w:val="22"/>
        </w:rPr>
      </w:pPr>
    </w:p>
    <w:p w:rsidR="000B32EB" w:rsidRPr="00701F5D" w:rsidRDefault="000B32EB" w:rsidP="000B32EB">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0B32EB" w:rsidRPr="00B94587" w:rsidRDefault="000B32EB" w:rsidP="000B32EB">
      <w:pPr>
        <w:pStyle w:val="Default"/>
        <w:jc w:val="both"/>
        <w:rPr>
          <w:rFonts w:ascii="Arial Narrow" w:hAnsi="Arial Narrow"/>
          <w:sz w:val="22"/>
          <w:szCs w:val="22"/>
        </w:rPr>
      </w:pPr>
      <w:r w:rsidRPr="00B94587">
        <w:rPr>
          <w:rFonts w:ascii="Arial Narrow" w:hAnsi="Arial Narrow"/>
          <w:b/>
          <w:bCs/>
          <w:sz w:val="22"/>
          <w:szCs w:val="22"/>
        </w:rPr>
        <w:t xml:space="preserve"> </w:t>
      </w:r>
    </w:p>
    <w:p w:rsidR="000B32EB" w:rsidRDefault="000B32EB" w:rsidP="000B32EB">
      <w:pPr>
        <w:pStyle w:val="Default"/>
        <w:numPr>
          <w:ilvl w:val="0"/>
          <w:numId w:val="19"/>
        </w:numPr>
        <w:ind w:left="284" w:hanging="284"/>
        <w:jc w:val="both"/>
        <w:rPr>
          <w:rFonts w:ascii="Arial Narrow" w:hAnsi="Arial Narrow"/>
          <w:sz w:val="22"/>
          <w:szCs w:val="22"/>
        </w:rPr>
      </w:pPr>
      <w:r w:rsidRPr="00B94587">
        <w:rPr>
          <w:rFonts w:ascii="Arial Narrow" w:hAnsi="Arial Narrow"/>
          <w:sz w:val="22"/>
          <w:szCs w:val="22"/>
        </w:rPr>
        <w:t>Si se ha observado la normatividad por el CONAC y las disposiciones legales aplicables.</w:t>
      </w:r>
    </w:p>
    <w:p w:rsidR="000B32EB" w:rsidRDefault="000B32EB" w:rsidP="000B32EB">
      <w:pPr>
        <w:pStyle w:val="Default"/>
        <w:ind w:left="284"/>
        <w:jc w:val="both"/>
        <w:rPr>
          <w:rFonts w:ascii="Arial Narrow" w:hAnsi="Arial Narrow"/>
          <w:sz w:val="22"/>
          <w:szCs w:val="22"/>
        </w:rPr>
      </w:pPr>
    </w:p>
    <w:p w:rsidR="000B32EB" w:rsidRDefault="000B32EB" w:rsidP="000B32EB">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rsidR="000B32EB" w:rsidRDefault="000B32EB" w:rsidP="000B32EB">
      <w:pPr>
        <w:pStyle w:val="Prrafodelista"/>
        <w:rPr>
          <w:rFonts w:ascii="Arial Narrow" w:hAnsi="Arial Narrow"/>
        </w:rPr>
      </w:pPr>
    </w:p>
    <w:p w:rsidR="000B32EB" w:rsidRDefault="000B32EB" w:rsidP="000B32EB">
      <w:pPr>
        <w:pStyle w:val="Default"/>
        <w:ind w:left="284"/>
        <w:jc w:val="both"/>
        <w:rPr>
          <w:rFonts w:ascii="Arial Narrow" w:hAnsi="Arial Narrow"/>
          <w:sz w:val="22"/>
          <w:szCs w:val="22"/>
        </w:rPr>
      </w:pPr>
    </w:p>
    <w:p w:rsidR="000B32EB" w:rsidRPr="00701F5D" w:rsidRDefault="000B32EB" w:rsidP="000B32EB">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0B32EB" w:rsidRPr="00B94587" w:rsidRDefault="000B32EB" w:rsidP="000B32EB">
      <w:pPr>
        <w:pStyle w:val="Default"/>
        <w:ind w:left="284"/>
        <w:rPr>
          <w:rFonts w:ascii="Arial Narrow" w:hAnsi="Arial Narrow"/>
          <w:color w:val="auto"/>
          <w:sz w:val="22"/>
          <w:szCs w:val="22"/>
        </w:rPr>
      </w:pPr>
    </w:p>
    <w:p w:rsidR="000B32EB" w:rsidRPr="00B94587" w:rsidRDefault="000B32EB" w:rsidP="000B32EB">
      <w:pPr>
        <w:pStyle w:val="Default"/>
        <w:ind w:left="284"/>
        <w:jc w:val="both"/>
        <w:rPr>
          <w:rFonts w:ascii="Arial Narrow" w:hAnsi="Arial Narrow"/>
          <w:color w:val="auto"/>
          <w:sz w:val="22"/>
          <w:szCs w:val="22"/>
        </w:rPr>
      </w:pPr>
      <w:r w:rsidRPr="00B94587">
        <w:rPr>
          <w:rFonts w:ascii="Arial Narrow" w:hAnsi="Arial Narrow"/>
          <w:color w:val="auto"/>
          <w:sz w:val="22"/>
          <w:szCs w:val="22"/>
        </w:rPr>
        <w:t xml:space="preserve">• Las partidas de inmuebles, maquinaria y equipo registradas a su costo histórico asumido a la fecha de transición a NIIF, el cual corresponde a los valores contables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0B32EB" w:rsidRPr="00B94587" w:rsidRDefault="000B32EB" w:rsidP="000B32EB">
      <w:pPr>
        <w:pStyle w:val="Default"/>
        <w:ind w:left="284"/>
        <w:jc w:val="both"/>
        <w:rPr>
          <w:rFonts w:ascii="Arial Narrow" w:hAnsi="Arial Narrow"/>
          <w:color w:val="auto"/>
          <w:sz w:val="22"/>
          <w:szCs w:val="22"/>
        </w:rPr>
      </w:pPr>
    </w:p>
    <w:p w:rsidR="000B32EB" w:rsidRDefault="000B32EB" w:rsidP="000B32EB">
      <w:pPr>
        <w:pStyle w:val="Default"/>
        <w:jc w:val="both"/>
        <w:rPr>
          <w:rFonts w:ascii="Arial Narrow" w:hAnsi="Arial Narrow"/>
          <w:b/>
          <w:bCs/>
          <w:i/>
          <w:iCs/>
          <w:color w:val="auto"/>
          <w:sz w:val="22"/>
          <w:szCs w:val="22"/>
        </w:rPr>
      </w:pPr>
    </w:p>
    <w:p w:rsidR="000B32EB" w:rsidRDefault="000B32EB" w:rsidP="000B32EB">
      <w:pPr>
        <w:pStyle w:val="Default"/>
        <w:jc w:val="both"/>
        <w:rPr>
          <w:rFonts w:ascii="Arial Narrow" w:hAnsi="Arial Narrow"/>
          <w:b/>
          <w:bCs/>
          <w:i/>
          <w:iCs/>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Pr="00B94587">
        <w:rPr>
          <w:rFonts w:ascii="Arial Narrow" w:hAnsi="Arial Narrow"/>
          <w:color w:val="auto"/>
          <w:sz w:val="22"/>
          <w:szCs w:val="22"/>
        </w:rPr>
        <w:t xml:space="preserve">inancieros son presentados en Pesos Mexicanos, que es la moneda funcional del Tribunal Superior de Justicia. Toda la información es presentada en Pesos. </w:t>
      </w:r>
    </w:p>
    <w:p w:rsidR="000B32EB" w:rsidRPr="00B94587" w:rsidRDefault="000B32EB" w:rsidP="000B32EB">
      <w:pPr>
        <w:pStyle w:val="Default"/>
        <w:jc w:val="both"/>
        <w:rPr>
          <w:rFonts w:ascii="Arial Narrow" w:hAnsi="Arial Narrow"/>
          <w:b/>
          <w:bCs/>
          <w:color w:val="auto"/>
          <w:sz w:val="22"/>
          <w:szCs w:val="22"/>
        </w:rPr>
      </w:pPr>
    </w:p>
    <w:p w:rsidR="000B32EB" w:rsidRPr="00B94587" w:rsidRDefault="000B32EB" w:rsidP="000B32EB">
      <w:pPr>
        <w:autoSpaceDE w:val="0"/>
        <w:autoSpaceDN w:val="0"/>
        <w:adjustRightInd w:val="0"/>
        <w:spacing w:after="0" w:line="240" w:lineRule="auto"/>
        <w:rPr>
          <w:rFonts w:ascii="Arial Narrow" w:hAnsi="Arial Narrow" w:cs="Arial"/>
          <w:b/>
          <w:bCs/>
          <w:color w:val="000000"/>
        </w:rPr>
      </w:pPr>
    </w:p>
    <w:p w:rsidR="000B32EB" w:rsidRPr="00701F5D" w:rsidRDefault="000B32EB" w:rsidP="000B32EB">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r w:rsidRPr="00701F5D">
        <w:rPr>
          <w:rFonts w:ascii="Arial Narrow" w:hAnsi="Arial Narrow" w:cs="Arial"/>
          <w:b/>
          <w:bCs/>
          <w:color w:val="000000"/>
          <w:u w:val="single"/>
        </w:rPr>
        <w:t xml:space="preserve"> </w:t>
      </w:r>
    </w:p>
    <w:p w:rsidR="000B32EB"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destinación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El Ente público determina las vidas útiles de sus activos con base en su mejor estimación de los períodos durante los cuales</w:t>
      </w:r>
      <w:r w:rsidR="001C2759">
        <w:rPr>
          <w:rFonts w:ascii="Arial Narrow" w:hAnsi="Arial Narrow"/>
          <w:color w:val="auto"/>
          <w:sz w:val="22"/>
          <w:szCs w:val="22"/>
        </w:rPr>
        <w:t xml:space="preserve"> </w:t>
      </w:r>
      <w:r w:rsidRPr="00B94587">
        <w:rPr>
          <w:rFonts w:ascii="Arial Narrow" w:hAnsi="Arial Narrow"/>
          <w:color w:val="auto"/>
          <w:sz w:val="22"/>
          <w:szCs w:val="22"/>
        </w:rPr>
        <w:t xml:space="preserve">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w:t>
      </w:r>
      <w:r w:rsidRPr="00B94587">
        <w:rPr>
          <w:rFonts w:ascii="Arial Narrow" w:hAnsi="Arial Narrow"/>
          <w:color w:val="auto"/>
          <w:sz w:val="22"/>
          <w:szCs w:val="22"/>
        </w:rPr>
        <w:lastRenderedPageBreak/>
        <w:t>competencia, lo que permitiría considerar el valor de mercado como una referencia apropiada del valor razonable; de lo contrario, el valor razonable de los activos se estimó con base en modelos técnicos de valuación reconocidos en el ámbito financiero.</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0B32EB"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a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rsidR="000B32EB" w:rsidRPr="00B94587" w:rsidRDefault="000B32EB" w:rsidP="000B32EB">
      <w:pPr>
        <w:pStyle w:val="Default"/>
        <w:ind w:left="1416"/>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6. Políticas de contabilidad significativas</w:t>
      </w:r>
      <w:r w:rsidRPr="00701F5D">
        <w:rPr>
          <w:rFonts w:ascii="Arial Narrow" w:hAnsi="Arial Narrow"/>
          <w:color w:val="auto"/>
          <w:sz w:val="22"/>
          <w:szCs w:val="22"/>
          <w:u w:val="single"/>
        </w:rPr>
        <w:t>.</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w:t>
      </w:r>
      <w:r w:rsidRPr="00B94587">
        <w:rPr>
          <w:rFonts w:ascii="Arial Narrow" w:hAnsi="Arial Narrow"/>
          <w:color w:val="auto"/>
          <w:sz w:val="22"/>
          <w:szCs w:val="22"/>
        </w:rPr>
        <w:t>inancieros no reconocen los efectos de la inflación. Por tanto se presentan a valor histórico.</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Operaciones en el extranjero. Me permito informar que este ente no realiza operaciones en el extranjero.</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Sector para 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no tiene inversiones en acciones,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701F5D" w:rsidRPr="00B94587" w:rsidRDefault="00701F5D" w:rsidP="000B32EB">
      <w:pPr>
        <w:pStyle w:val="Default"/>
        <w:rPr>
          <w:rFonts w:ascii="Arial Narrow" w:hAnsi="Arial Narrow"/>
          <w:b/>
          <w:color w:val="auto"/>
          <w:sz w:val="22"/>
          <w:szCs w:val="22"/>
        </w:rPr>
      </w:pPr>
    </w:p>
    <w:p w:rsidR="000B32EB" w:rsidRPr="00B94587" w:rsidRDefault="000729C6" w:rsidP="000B32EB">
      <w:pPr>
        <w:pStyle w:val="Default"/>
        <w:jc w:val="both"/>
        <w:rPr>
          <w:rFonts w:ascii="Arial Narrow" w:hAnsi="Arial Narrow"/>
          <w:color w:val="auto"/>
          <w:sz w:val="22"/>
          <w:szCs w:val="22"/>
        </w:rPr>
      </w:pPr>
      <w:r>
        <w:rPr>
          <w:rFonts w:ascii="Arial Narrow" w:hAnsi="Arial Narrow"/>
          <w:color w:val="auto"/>
          <w:sz w:val="22"/>
          <w:szCs w:val="22"/>
        </w:rPr>
        <w:t>Los bienes</w:t>
      </w:r>
      <w:r w:rsidR="000B32EB" w:rsidRPr="00B94587">
        <w:rPr>
          <w:rFonts w:ascii="Arial Narrow" w:hAnsi="Arial Narrow"/>
          <w:color w:val="auto"/>
          <w:sz w:val="22"/>
          <w:szCs w:val="22"/>
        </w:rPr>
        <w:t xml:space="preserve"> muebles; se deprecian desde la fecha en la que están instalados y listos para su uso o en el caso de los activos construidos internamente, desde la fecha en la que el activo esté completado y en condiciones de ser usado. Y se deprecian usando el método de línea recta en resultados con base a las vidas útiles estimadas de cada componente. El terreno no se deprecia. </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Años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Edificios 20 - 33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Maquinaria y herramientas 10 - 14</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12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4  </w:t>
      </w:r>
    </w:p>
    <w:p w:rsidR="000B32EB"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4 </w:t>
      </w:r>
    </w:p>
    <w:p w:rsidR="005C3CF0" w:rsidRPr="00B94587" w:rsidRDefault="005C3CF0" w:rsidP="000B32EB">
      <w:pPr>
        <w:pStyle w:val="Default"/>
        <w:rPr>
          <w:rFonts w:ascii="Arial Narrow" w:hAnsi="Arial Narrow"/>
          <w:color w:val="auto"/>
          <w:sz w:val="22"/>
          <w:szCs w:val="22"/>
        </w:rPr>
      </w:pP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Sombreadoclaro-nfasis11"/>
        <w:tblW w:w="0" w:type="auto"/>
        <w:jc w:val="center"/>
        <w:tblLayout w:type="fixed"/>
        <w:tblLook w:val="04A0"/>
      </w:tblPr>
      <w:tblGrid>
        <w:gridCol w:w="3794"/>
        <w:gridCol w:w="1559"/>
        <w:gridCol w:w="1701"/>
        <w:gridCol w:w="1559"/>
      </w:tblGrid>
      <w:tr w:rsidR="000B32EB" w:rsidRPr="00917741" w:rsidTr="000B32EB">
        <w:trPr>
          <w:cnfStyle w:val="1000000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Saldo en libros</w:t>
            </w:r>
          </w:p>
          <w:p w:rsidR="000B32EB" w:rsidRPr="00917741" w:rsidRDefault="00D43FBD" w:rsidP="000B32EB">
            <w:pPr>
              <w:pStyle w:val="Default"/>
              <w:jc w:val="center"/>
              <w:cnfStyle w:val="100000000000"/>
              <w:rPr>
                <w:rFonts w:ascii="Arial Narrow" w:hAnsi="Arial Narrow"/>
                <w:sz w:val="18"/>
                <w:szCs w:val="18"/>
              </w:rPr>
            </w:pPr>
            <w:r>
              <w:rPr>
                <w:rFonts w:ascii="Arial Narrow" w:hAnsi="Arial Narrow"/>
                <w:sz w:val="18"/>
                <w:szCs w:val="18"/>
              </w:rPr>
              <w:t>al 31 de Dic</w:t>
            </w:r>
            <w:r w:rsidR="00F57CA6">
              <w:rPr>
                <w:rFonts w:ascii="Arial Narrow" w:hAnsi="Arial Narrow"/>
                <w:sz w:val="18"/>
                <w:szCs w:val="18"/>
              </w:rPr>
              <w:t>iembre</w:t>
            </w:r>
            <w:r w:rsidR="000B32EB" w:rsidRPr="00917741">
              <w:rPr>
                <w:rFonts w:ascii="Arial Narrow" w:hAnsi="Arial Narrow"/>
                <w:sz w:val="18"/>
                <w:szCs w:val="18"/>
              </w:rPr>
              <w:t xml:space="preserve"> 2015</w:t>
            </w:r>
          </w:p>
        </w:tc>
        <w:tc>
          <w:tcPr>
            <w:tcW w:w="1701" w:type="dxa"/>
          </w:tcPr>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Según último inventario físico</w:t>
            </w:r>
          </w:p>
        </w:tc>
        <w:tc>
          <w:tcPr>
            <w:tcW w:w="1559" w:type="dxa"/>
          </w:tcPr>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Diferencias</w:t>
            </w:r>
          </w:p>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En existencias físicas</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Equipo de transporte </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2,200,998.25</w:t>
            </w:r>
          </w:p>
        </w:tc>
        <w:tc>
          <w:tcPr>
            <w:tcW w:w="1701" w:type="dxa"/>
          </w:tcPr>
          <w:p w:rsidR="000B32EB" w:rsidRPr="00917741" w:rsidRDefault="000B32EB" w:rsidP="000B32EB">
            <w:pPr>
              <w:jc w:val="right"/>
              <w:cnfStyle w:val="000000100000"/>
              <w:rPr>
                <w:rFonts w:ascii="Arial Narrow" w:hAnsi="Arial Narrow" w:cs="Arial"/>
                <w:sz w:val="18"/>
                <w:szCs w:val="18"/>
              </w:rPr>
            </w:pPr>
            <w:r w:rsidRPr="00917741">
              <w:rPr>
                <w:rFonts w:ascii="Arial Narrow" w:hAnsi="Arial Narrow" w:cs="Arial"/>
                <w:sz w:val="18"/>
                <w:szCs w:val="18"/>
              </w:rPr>
              <w:t>$2,474,358.00</w:t>
            </w:r>
          </w:p>
        </w:tc>
        <w:tc>
          <w:tcPr>
            <w:tcW w:w="1559" w:type="dxa"/>
          </w:tcPr>
          <w:p w:rsidR="000B32EB" w:rsidRPr="00917741" w:rsidRDefault="002809E7" w:rsidP="000B32EB">
            <w:pPr>
              <w:jc w:val="right"/>
              <w:cnfStyle w:val="000000100000"/>
              <w:rPr>
                <w:rFonts w:ascii="Arial Narrow" w:hAnsi="Arial Narrow" w:cs="Arial"/>
                <w:sz w:val="18"/>
                <w:szCs w:val="18"/>
              </w:rPr>
            </w:pPr>
            <w:r>
              <w:rPr>
                <w:rFonts w:ascii="Arial Narrow" w:hAnsi="Arial Narrow" w:cs="Arial"/>
                <w:sz w:val="18"/>
                <w:szCs w:val="18"/>
              </w:rPr>
              <w:t>-$    273,359.75</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Equipó de computo</w:t>
            </w:r>
          </w:p>
        </w:tc>
        <w:tc>
          <w:tcPr>
            <w:tcW w:w="1559" w:type="dxa"/>
          </w:tcPr>
          <w:p w:rsidR="000B32EB" w:rsidRPr="00917741" w:rsidRDefault="002809E7" w:rsidP="000B32EB">
            <w:pPr>
              <w:pStyle w:val="Default"/>
              <w:jc w:val="right"/>
              <w:cnfStyle w:val="000000000000"/>
              <w:rPr>
                <w:rFonts w:ascii="Arial Narrow" w:hAnsi="Arial Narrow"/>
                <w:sz w:val="18"/>
                <w:szCs w:val="18"/>
              </w:rPr>
            </w:pPr>
            <w:r>
              <w:rPr>
                <w:rFonts w:ascii="Arial Narrow" w:hAnsi="Arial Narrow"/>
                <w:sz w:val="18"/>
                <w:szCs w:val="18"/>
              </w:rPr>
              <w:t>$   5,</w:t>
            </w:r>
            <w:r w:rsidR="00462C79">
              <w:rPr>
                <w:rFonts w:ascii="Arial Narrow" w:hAnsi="Arial Narrow"/>
                <w:sz w:val="18"/>
                <w:szCs w:val="18"/>
              </w:rPr>
              <w:t>790,472.10</w:t>
            </w:r>
          </w:p>
        </w:tc>
        <w:tc>
          <w:tcPr>
            <w:tcW w:w="1701"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$ 1,857,031.39</w:t>
            </w:r>
          </w:p>
        </w:tc>
        <w:tc>
          <w:tcPr>
            <w:tcW w:w="1559" w:type="dxa"/>
          </w:tcPr>
          <w:p w:rsidR="000B32EB" w:rsidRPr="00917741" w:rsidRDefault="002809E7" w:rsidP="000B32EB">
            <w:pPr>
              <w:pStyle w:val="Default"/>
              <w:jc w:val="right"/>
              <w:cnfStyle w:val="000000000000"/>
              <w:rPr>
                <w:rFonts w:ascii="Arial Narrow" w:hAnsi="Arial Narrow"/>
                <w:sz w:val="18"/>
                <w:szCs w:val="18"/>
              </w:rPr>
            </w:pPr>
            <w:r>
              <w:rPr>
                <w:rFonts w:ascii="Arial Narrow" w:hAnsi="Arial Narrow"/>
                <w:sz w:val="18"/>
                <w:szCs w:val="18"/>
              </w:rPr>
              <w:t>$ 3,</w:t>
            </w:r>
            <w:r w:rsidR="00B56D2B">
              <w:rPr>
                <w:rFonts w:ascii="Arial Narrow" w:hAnsi="Arial Narrow"/>
                <w:sz w:val="18"/>
                <w:szCs w:val="18"/>
              </w:rPr>
              <w:t>933,440.71</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de comunicación y telecomunicación</w:t>
            </w:r>
          </w:p>
        </w:tc>
        <w:tc>
          <w:tcPr>
            <w:tcW w:w="1559"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 xml:space="preserve">$       </w:t>
            </w:r>
            <w:r w:rsidR="002809E7">
              <w:rPr>
                <w:rFonts w:ascii="Arial Narrow" w:hAnsi="Arial Narrow"/>
                <w:sz w:val="18"/>
                <w:szCs w:val="18"/>
              </w:rPr>
              <w:t xml:space="preserve"> 72,501.60</w:t>
            </w:r>
          </w:p>
        </w:tc>
        <w:tc>
          <w:tcPr>
            <w:tcW w:w="1701"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72,501.6</w:t>
            </w:r>
            <w:r w:rsidR="000B32EB" w:rsidRPr="00917741">
              <w:rPr>
                <w:rFonts w:ascii="Arial Narrow" w:hAnsi="Arial Narrow"/>
                <w:sz w:val="18"/>
                <w:szCs w:val="18"/>
              </w:rPr>
              <w:t>0</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Mobiliario y equipo de oficina</w:t>
            </w:r>
          </w:p>
        </w:tc>
        <w:tc>
          <w:tcPr>
            <w:tcW w:w="1559" w:type="dxa"/>
          </w:tcPr>
          <w:p w:rsidR="000B32EB" w:rsidRPr="00917741" w:rsidRDefault="0040690D" w:rsidP="000B32EB">
            <w:pPr>
              <w:pStyle w:val="Default"/>
              <w:jc w:val="right"/>
              <w:cnfStyle w:val="000000000000"/>
              <w:rPr>
                <w:rFonts w:ascii="Arial Narrow" w:hAnsi="Arial Narrow"/>
                <w:sz w:val="18"/>
                <w:szCs w:val="18"/>
              </w:rPr>
            </w:pPr>
            <w:r>
              <w:rPr>
                <w:rFonts w:ascii="Arial Narrow" w:hAnsi="Arial Narrow"/>
                <w:sz w:val="18"/>
                <w:szCs w:val="18"/>
              </w:rPr>
              <w:t>$  5 ,075,214.90</w:t>
            </w:r>
          </w:p>
        </w:tc>
        <w:tc>
          <w:tcPr>
            <w:tcW w:w="1701"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$1,825,264.25</w:t>
            </w:r>
          </w:p>
        </w:tc>
        <w:tc>
          <w:tcPr>
            <w:tcW w:w="1559" w:type="dxa"/>
          </w:tcPr>
          <w:p w:rsidR="000B32EB" w:rsidRPr="00917741" w:rsidRDefault="002809E7" w:rsidP="000B32EB">
            <w:pPr>
              <w:pStyle w:val="Default"/>
              <w:jc w:val="right"/>
              <w:cnfStyle w:val="000000000000"/>
              <w:rPr>
                <w:rFonts w:ascii="Arial Narrow" w:hAnsi="Arial Narrow"/>
                <w:sz w:val="18"/>
                <w:szCs w:val="18"/>
              </w:rPr>
            </w:pPr>
            <w:r>
              <w:rPr>
                <w:rFonts w:ascii="Arial Narrow" w:hAnsi="Arial Narrow"/>
                <w:sz w:val="18"/>
                <w:szCs w:val="18"/>
              </w:rPr>
              <w:t xml:space="preserve"> $ 3,249,950.65</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educacional y recreativo</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xml:space="preserve">$        </w:t>
            </w:r>
            <w:r w:rsidR="00B56D2B">
              <w:rPr>
                <w:rFonts w:ascii="Arial Narrow" w:hAnsi="Arial Narrow"/>
                <w:sz w:val="18"/>
                <w:szCs w:val="18"/>
              </w:rPr>
              <w:t>16,395.60</w:t>
            </w:r>
          </w:p>
        </w:tc>
        <w:tc>
          <w:tcPr>
            <w:tcW w:w="1701"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             13.00</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1</w:t>
            </w:r>
            <w:r w:rsidR="00B56D2B">
              <w:rPr>
                <w:rFonts w:ascii="Arial Narrow" w:hAnsi="Arial Narrow"/>
                <w:sz w:val="18"/>
                <w:szCs w:val="18"/>
              </w:rPr>
              <w:t>6,382.00</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de audio y video</w:t>
            </w:r>
          </w:p>
        </w:tc>
        <w:tc>
          <w:tcPr>
            <w:tcW w:w="1559"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        21,192.89</w:t>
            </w:r>
          </w:p>
        </w:tc>
        <w:tc>
          <w:tcPr>
            <w:tcW w:w="1701"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     20,153.50</w:t>
            </w:r>
          </w:p>
        </w:tc>
        <w:tc>
          <w:tcPr>
            <w:tcW w:w="1559"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        1,039.39</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Herramientas y equipo electrónico</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575,003.62</w:t>
            </w:r>
          </w:p>
        </w:tc>
        <w:tc>
          <w:tcPr>
            <w:tcW w:w="1701"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     51,100.76</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523,902.8</w:t>
            </w:r>
            <w:r w:rsidR="000B32EB" w:rsidRPr="00917741">
              <w:rPr>
                <w:rFonts w:ascii="Arial Narrow" w:hAnsi="Arial Narrow"/>
                <w:sz w:val="18"/>
                <w:szCs w:val="18"/>
              </w:rPr>
              <w:t>6</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Total </w:t>
            </w:r>
          </w:p>
        </w:tc>
        <w:tc>
          <w:tcPr>
            <w:tcW w:w="1559" w:type="dxa"/>
          </w:tcPr>
          <w:p w:rsidR="000B32EB" w:rsidRPr="00917741" w:rsidRDefault="00B56D2B" w:rsidP="000B32EB">
            <w:pPr>
              <w:pStyle w:val="Default"/>
              <w:jc w:val="right"/>
              <w:cnfStyle w:val="000000000000"/>
              <w:rPr>
                <w:rFonts w:ascii="Arial Narrow" w:hAnsi="Arial Narrow"/>
                <w:b/>
                <w:sz w:val="18"/>
                <w:szCs w:val="18"/>
              </w:rPr>
            </w:pPr>
            <w:r>
              <w:rPr>
                <w:rFonts w:ascii="Arial Narrow" w:hAnsi="Arial Narrow"/>
                <w:b/>
                <w:sz w:val="18"/>
                <w:szCs w:val="18"/>
              </w:rPr>
              <w:t>$ 13,751,778.9</w:t>
            </w:r>
            <w:r w:rsidR="0040690D">
              <w:rPr>
                <w:rFonts w:ascii="Arial Narrow" w:hAnsi="Arial Narrow"/>
                <w:b/>
                <w:sz w:val="18"/>
                <w:szCs w:val="18"/>
              </w:rPr>
              <w:t>6</w:t>
            </w:r>
          </w:p>
        </w:tc>
        <w:tc>
          <w:tcPr>
            <w:tcW w:w="1701" w:type="dxa"/>
          </w:tcPr>
          <w:p w:rsidR="000B32EB" w:rsidRPr="00917741" w:rsidRDefault="00C4425E" w:rsidP="000B32EB">
            <w:pPr>
              <w:pStyle w:val="Default"/>
              <w:jc w:val="right"/>
              <w:cnfStyle w:val="000000000000"/>
              <w:rPr>
                <w:rFonts w:ascii="Arial Narrow" w:hAnsi="Arial Narrow"/>
                <w:b/>
                <w:sz w:val="18"/>
                <w:szCs w:val="18"/>
              </w:rPr>
            </w:pP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separate"/>
            </w:r>
            <w:r w:rsidR="000B32EB" w:rsidRPr="00917741">
              <w:rPr>
                <w:rFonts w:ascii="Arial Narrow" w:hAnsi="Arial Narrow"/>
                <w:b/>
                <w:noProof/>
                <w:sz w:val="18"/>
                <w:szCs w:val="18"/>
              </w:rPr>
              <w:t>$6,227,920.90</w:t>
            </w:r>
            <w:r w:rsidRPr="00917741">
              <w:rPr>
                <w:rFonts w:ascii="Arial Narrow" w:hAnsi="Arial Narrow"/>
                <w:b/>
                <w:sz w:val="18"/>
                <w:szCs w:val="18"/>
              </w:rPr>
              <w:fldChar w:fldCharType="end"/>
            </w:r>
          </w:p>
        </w:tc>
        <w:tc>
          <w:tcPr>
            <w:tcW w:w="1559" w:type="dxa"/>
          </w:tcPr>
          <w:p w:rsidR="000B32EB" w:rsidRPr="00917741" w:rsidRDefault="00C4425E" w:rsidP="002809E7">
            <w:pPr>
              <w:pStyle w:val="Default"/>
              <w:jc w:val="right"/>
              <w:cnfStyle w:val="000000000000"/>
              <w:rPr>
                <w:rFonts w:ascii="Arial Narrow" w:hAnsi="Arial Narrow"/>
                <w:b/>
                <w:sz w:val="18"/>
                <w:szCs w:val="18"/>
              </w:rPr>
            </w:pP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00B56D2B">
              <w:rPr>
                <w:rFonts w:ascii="Arial Narrow" w:hAnsi="Arial Narrow"/>
                <w:b/>
                <w:sz w:val="18"/>
                <w:szCs w:val="18"/>
              </w:rPr>
              <w:t>$ 7,523,858.0</w:t>
            </w:r>
            <w:r w:rsidR="002809E7">
              <w:rPr>
                <w:rFonts w:ascii="Arial Narrow" w:hAnsi="Arial Narrow"/>
                <w:b/>
                <w:sz w:val="18"/>
                <w:szCs w:val="18"/>
              </w:rPr>
              <w:t>6</w:t>
            </w:r>
          </w:p>
        </w:tc>
      </w:tr>
    </w:tbl>
    <w:p w:rsidR="000B32EB" w:rsidRPr="00B94587" w:rsidRDefault="000B32EB" w:rsidP="000B32EB">
      <w:pPr>
        <w:rPr>
          <w:rFonts w:ascii="Arial Narrow" w:hAnsi="Arial Narrow"/>
        </w:rPr>
      </w:pPr>
    </w:p>
    <w:p w:rsidR="000B32EB" w:rsidRPr="00B94587" w:rsidRDefault="000B32EB" w:rsidP="000B32EB">
      <w:pPr>
        <w:spacing w:after="0" w:line="240" w:lineRule="auto"/>
        <w:rPr>
          <w:rFonts w:ascii="Arial Narrow" w:hAnsi="Arial Narrow"/>
        </w:rPr>
      </w:pPr>
      <w:r w:rsidRPr="00B94587">
        <w:rPr>
          <w:rFonts w:ascii="Arial Narrow" w:hAnsi="Arial Narrow"/>
        </w:rPr>
        <w:t>Bienes muebles</w:t>
      </w:r>
      <w:r w:rsidRPr="00B94587">
        <w:rPr>
          <w:rFonts w:ascii="Arial Narrow" w:hAnsi="Arial Narrow"/>
        </w:rPr>
        <w:tab/>
      </w:r>
      <w:r w:rsidRPr="00B94587">
        <w:rPr>
          <w:rFonts w:ascii="Arial Narrow" w:hAnsi="Arial Narrow"/>
        </w:rPr>
        <w:tab/>
      </w:r>
      <w:r w:rsidRPr="00B94587">
        <w:rPr>
          <w:rFonts w:ascii="Arial Narrow" w:hAnsi="Arial Narrow"/>
        </w:rPr>
        <w:tab/>
        <w:t xml:space="preserve">               </w:t>
      </w:r>
      <w:r w:rsidR="0040690D">
        <w:rPr>
          <w:rFonts w:ascii="Arial Narrow" w:hAnsi="Arial Narrow"/>
        </w:rPr>
        <w:t xml:space="preserve">     </w:t>
      </w:r>
      <w:r w:rsidRPr="00B94587">
        <w:rPr>
          <w:rFonts w:ascii="Arial Narrow" w:hAnsi="Arial Narrow"/>
        </w:rPr>
        <w:t xml:space="preserve"> </w:t>
      </w:r>
      <w:proofErr w:type="gramStart"/>
      <w:r w:rsidRPr="00B94587">
        <w:rPr>
          <w:rFonts w:ascii="Arial Narrow" w:hAnsi="Arial Narrow"/>
        </w:rPr>
        <w:t>$</w:t>
      </w:r>
      <w:r w:rsidR="00B56D2B">
        <w:rPr>
          <w:rFonts w:ascii="Arial Narrow" w:hAnsi="Arial Narrow"/>
        </w:rPr>
        <w:t xml:space="preserve">  13,751,778.96</w:t>
      </w:r>
      <w:proofErr w:type="gramEnd"/>
    </w:p>
    <w:p w:rsidR="000B32EB" w:rsidRPr="00B94587" w:rsidRDefault="000B32EB" w:rsidP="000B32EB">
      <w:pPr>
        <w:spacing w:after="0" w:line="240" w:lineRule="auto"/>
        <w:rPr>
          <w:rFonts w:ascii="Arial Narrow" w:hAnsi="Arial Narrow"/>
          <w:u w:val="single"/>
        </w:rPr>
      </w:pPr>
      <w:r w:rsidRPr="00B94587">
        <w:rPr>
          <w:rFonts w:ascii="Arial Narrow" w:hAnsi="Arial Narrow"/>
        </w:rPr>
        <w:t xml:space="preserve">Edificios                                                                </w:t>
      </w:r>
      <w:r w:rsidRPr="00B94587">
        <w:rPr>
          <w:rFonts w:ascii="Arial Narrow" w:hAnsi="Arial Narrow"/>
          <w:u w:val="single"/>
        </w:rPr>
        <w:t xml:space="preserve">$  </w:t>
      </w:r>
      <w:r w:rsidR="0040690D">
        <w:rPr>
          <w:rFonts w:ascii="Arial Narrow" w:hAnsi="Arial Narrow"/>
          <w:u w:val="single"/>
        </w:rPr>
        <w:t xml:space="preserve"> </w:t>
      </w:r>
      <w:r w:rsidRPr="00B94587">
        <w:rPr>
          <w:rFonts w:ascii="Arial Narrow" w:hAnsi="Arial Narrow"/>
          <w:u w:val="single"/>
        </w:rPr>
        <w:t xml:space="preserve"> 1</w:t>
      </w:r>
      <w:proofErr w:type="gramStart"/>
      <w:r w:rsidRPr="00B94587">
        <w:rPr>
          <w:rFonts w:ascii="Arial Narrow" w:hAnsi="Arial Narrow"/>
          <w:u w:val="single"/>
        </w:rPr>
        <w:t>,462,517.83</w:t>
      </w:r>
      <w:proofErr w:type="gramEnd"/>
    </w:p>
    <w:p w:rsidR="000B32EB" w:rsidRPr="00B94587" w:rsidRDefault="000B32EB" w:rsidP="000B32EB">
      <w:pPr>
        <w:spacing w:after="0" w:line="240" w:lineRule="auto"/>
        <w:rPr>
          <w:rFonts w:ascii="Arial Narrow" w:hAnsi="Arial Narrow"/>
          <w:b/>
        </w:rPr>
      </w:pPr>
      <w:r w:rsidRPr="00B94587">
        <w:rPr>
          <w:rFonts w:ascii="Arial Narrow" w:hAnsi="Arial Narrow"/>
          <w:b/>
        </w:rPr>
        <w:t>Tot</w:t>
      </w:r>
      <w:r w:rsidR="0040690D">
        <w:rPr>
          <w:rFonts w:ascii="Arial Narrow" w:hAnsi="Arial Narrow"/>
          <w:b/>
        </w:rPr>
        <w:t>al activo no circulante</w:t>
      </w:r>
      <w:r w:rsidR="0040690D">
        <w:rPr>
          <w:rFonts w:ascii="Arial Narrow" w:hAnsi="Arial Narrow"/>
          <w:b/>
        </w:rPr>
        <w:tab/>
      </w:r>
      <w:r w:rsidR="0040690D">
        <w:rPr>
          <w:rFonts w:ascii="Arial Narrow" w:hAnsi="Arial Narrow"/>
          <w:b/>
        </w:rPr>
        <w:tab/>
        <w:t xml:space="preserve">      </w:t>
      </w:r>
      <w:r w:rsidRPr="00B94587">
        <w:rPr>
          <w:rFonts w:ascii="Arial Narrow" w:hAnsi="Arial Narrow"/>
          <w:b/>
        </w:rPr>
        <w:t xml:space="preserve"> </w:t>
      </w:r>
      <w:proofErr w:type="gramStart"/>
      <w:r w:rsidRPr="00B94587">
        <w:rPr>
          <w:rFonts w:ascii="Arial Narrow" w:hAnsi="Arial Narrow"/>
          <w:b/>
        </w:rPr>
        <w:t xml:space="preserve">$ </w:t>
      </w:r>
      <w:r w:rsidR="00B56D2B">
        <w:rPr>
          <w:rFonts w:ascii="Arial Narrow" w:hAnsi="Arial Narrow"/>
          <w:b/>
        </w:rPr>
        <w:t xml:space="preserve"> 15,214,296.79</w:t>
      </w:r>
      <w:proofErr w:type="gramEnd"/>
    </w:p>
    <w:p w:rsidR="000B32EB" w:rsidRPr="00B94587" w:rsidRDefault="000B32EB" w:rsidP="000B32EB">
      <w:pPr>
        <w:spacing w:after="0" w:line="240" w:lineRule="auto"/>
        <w:rPr>
          <w:rFonts w:ascii="Arial Narrow" w:hAnsi="Arial Narrow"/>
        </w:rPr>
      </w:pPr>
    </w:p>
    <w:p w:rsidR="000B32EB" w:rsidRPr="00B94587" w:rsidRDefault="000B32EB" w:rsidP="000B32EB">
      <w:pPr>
        <w:spacing w:after="0" w:line="240" w:lineRule="auto"/>
        <w:rPr>
          <w:rFonts w:ascii="Arial Narrow" w:hAnsi="Arial Narrow"/>
        </w:rPr>
      </w:pPr>
    </w:p>
    <w:p w:rsidR="000B32EB" w:rsidRPr="00B94587" w:rsidRDefault="000B32EB" w:rsidP="000B32EB">
      <w:pPr>
        <w:jc w:val="both"/>
        <w:rPr>
          <w:rFonts w:ascii="Arial Narrow" w:hAnsi="Arial Narrow"/>
        </w:rPr>
      </w:pPr>
      <w:r w:rsidRPr="00B94587">
        <w:rPr>
          <w:rFonts w:ascii="Arial Narrow" w:hAnsi="Arial Narrow"/>
        </w:rPr>
        <w:t>Debido a la antigüedad de la fundación del ente publico, se desconoce el paradero de la diferencia de existencia físicas de los bienes muebles. Por tanto se ha so</w:t>
      </w:r>
      <w:r w:rsidR="00823137">
        <w:rPr>
          <w:rFonts w:ascii="Arial Narrow" w:hAnsi="Arial Narrow"/>
        </w:rPr>
        <w:t>licitado al órgano interno del E</w:t>
      </w:r>
      <w:r w:rsidRPr="00B94587">
        <w:rPr>
          <w:rFonts w:ascii="Arial Narrow" w:hAnsi="Arial Narrow"/>
        </w:rPr>
        <w:t>nte público (Consejo de la Judicatura del Estado de Tlaxcala), acta para dar de baja los bienes muebles inexistentes.</w:t>
      </w:r>
    </w:p>
    <w:p w:rsidR="000B32EB" w:rsidRPr="00B94587" w:rsidRDefault="000B32EB" w:rsidP="000B32EB">
      <w:pPr>
        <w:jc w:val="both"/>
        <w:rPr>
          <w:rFonts w:ascii="Arial Narrow" w:hAnsi="Arial Narrow"/>
        </w:rPr>
      </w:pPr>
      <w:r w:rsidRPr="00B94587">
        <w:rPr>
          <w:rFonts w:ascii="Arial Narrow" w:hAnsi="Arial Narrow"/>
        </w:rPr>
        <w:t>Así mismo, no han sido depreciados ni revaluados en su caso los bienes muebles e inmuebles se en</w:t>
      </w:r>
      <w:r w:rsidR="00823137">
        <w:rPr>
          <w:rFonts w:ascii="Arial Narrow" w:hAnsi="Arial Narrow"/>
        </w:rPr>
        <w:t>cuentran en</w:t>
      </w:r>
      <w:r w:rsidRPr="00B94587">
        <w:rPr>
          <w:rFonts w:ascii="Arial Narrow" w:hAnsi="Arial Narrow"/>
        </w:rPr>
        <w:t xml:space="preserve"> proceso de depuración y registro de los movimientos. </w:t>
      </w:r>
    </w:p>
    <w:p w:rsidR="000B32EB" w:rsidRPr="00B94587" w:rsidRDefault="000B32EB" w:rsidP="000B32EB">
      <w:pPr>
        <w:jc w:val="both"/>
        <w:rPr>
          <w:rFonts w:ascii="Arial Narrow" w:hAnsi="Arial Narrow"/>
        </w:rPr>
      </w:pPr>
    </w:p>
    <w:p w:rsidR="000B32EB" w:rsidRPr="00701F5D" w:rsidRDefault="000B32EB" w:rsidP="000B32EB">
      <w:pPr>
        <w:rPr>
          <w:rFonts w:ascii="Arial Narrow" w:hAnsi="Arial Narrow"/>
          <w:b/>
          <w:u w:val="single"/>
        </w:rPr>
      </w:pPr>
      <w:r w:rsidRPr="00701F5D">
        <w:rPr>
          <w:rFonts w:ascii="Arial Narrow" w:hAnsi="Arial Narrow"/>
          <w:b/>
          <w:u w:val="single"/>
        </w:rPr>
        <w:t>9. Fideicomisos, Mandatos y Análogos.</w:t>
      </w:r>
    </w:p>
    <w:p w:rsidR="000B32EB" w:rsidRPr="00B94587" w:rsidRDefault="000B32EB" w:rsidP="000B32EB">
      <w:pPr>
        <w:rPr>
          <w:rFonts w:ascii="Arial Narrow" w:hAnsi="Arial Narrow"/>
        </w:rPr>
      </w:pPr>
      <w:r w:rsidRPr="00B94587">
        <w:rPr>
          <w:rFonts w:ascii="Arial Narrow" w:hAnsi="Arial Narrow"/>
        </w:rPr>
        <w:t xml:space="preserve">No se tiene contratos con fideicomisos.   </w:t>
      </w:r>
    </w:p>
    <w:p w:rsidR="000B32EB" w:rsidRPr="00701F5D" w:rsidRDefault="000B32EB" w:rsidP="000B32EB">
      <w:pPr>
        <w:rPr>
          <w:rFonts w:ascii="Arial Narrow" w:hAnsi="Arial Narrow"/>
          <w:b/>
          <w:u w:val="single"/>
        </w:rPr>
      </w:pPr>
      <w:r w:rsidRPr="00701F5D">
        <w:rPr>
          <w:rFonts w:ascii="Arial Narrow" w:hAnsi="Arial Narrow"/>
          <w:b/>
          <w:u w:val="single"/>
        </w:rPr>
        <w:t>10. Reporte de recaudación</w:t>
      </w:r>
    </w:p>
    <w:p w:rsidR="000B32EB" w:rsidRPr="00B94587" w:rsidRDefault="000B32EB" w:rsidP="000B32EB">
      <w:pPr>
        <w:rPr>
          <w:rFonts w:ascii="Arial Narrow" w:hAnsi="Arial Narrow"/>
        </w:rPr>
      </w:pPr>
      <w:r w:rsidRPr="00B94587">
        <w:rPr>
          <w:rFonts w:ascii="Arial Narrow" w:hAnsi="Arial Narrow"/>
        </w:rPr>
        <w:t>a) Análisis del comportamiento de la recaudación.</w:t>
      </w:r>
    </w:p>
    <w:p w:rsidR="000B32EB" w:rsidRPr="00B94587" w:rsidRDefault="000B32EB" w:rsidP="000B32EB">
      <w:pPr>
        <w:jc w:val="both"/>
        <w:rPr>
          <w:rFonts w:ascii="Arial Narrow" w:hAnsi="Arial Narrow"/>
        </w:rPr>
      </w:pPr>
      <w:r w:rsidRPr="00B94587">
        <w:rPr>
          <w:rFonts w:ascii="Arial Narrow" w:hAnsi="Arial Narrow"/>
        </w:rPr>
        <w:t>El com</w:t>
      </w:r>
      <w:r w:rsidR="00823137">
        <w:rPr>
          <w:rFonts w:ascii="Arial Narrow" w:hAnsi="Arial Narrow"/>
        </w:rPr>
        <w:t>portamiento de recaudación del E</w:t>
      </w:r>
      <w:r w:rsidRPr="00B94587">
        <w:rPr>
          <w:rFonts w:ascii="Arial Narrow" w:hAnsi="Arial Narrow"/>
        </w:rPr>
        <w:t>nte en comento esta supeditado por las participacio</w:t>
      </w:r>
      <w:r w:rsidR="00823137">
        <w:rPr>
          <w:rFonts w:ascii="Arial Narrow" w:hAnsi="Arial Narrow"/>
        </w:rPr>
        <w:t>nes estatales provenientes del Gobierno del Estado, y só</w:t>
      </w:r>
      <w:r w:rsidRPr="00B94587">
        <w:rPr>
          <w:rFonts w:ascii="Arial Narrow" w:hAnsi="Arial Narrow"/>
        </w:rPr>
        <w:t>lo un .001 % se recauda por copi</w:t>
      </w:r>
      <w:r w:rsidR="00823137">
        <w:rPr>
          <w:rFonts w:ascii="Arial Narrow" w:hAnsi="Arial Narrow"/>
        </w:rPr>
        <w:t>as certificadas emitida por el E</w:t>
      </w:r>
      <w:r w:rsidRPr="00B94587">
        <w:rPr>
          <w:rFonts w:ascii="Arial Narrow" w:hAnsi="Arial Narrow"/>
        </w:rPr>
        <w:t>nte y por otros ingresos provenientes de conmutaciones y multas i</w:t>
      </w:r>
      <w:r w:rsidR="00823137">
        <w:rPr>
          <w:rFonts w:ascii="Arial Narrow" w:hAnsi="Arial Narrow"/>
        </w:rPr>
        <w:t>mpuestas y determinadas por lo J</w:t>
      </w:r>
      <w:r w:rsidRPr="00B94587">
        <w:rPr>
          <w:rFonts w:ascii="Arial Narrow" w:hAnsi="Arial Narrow"/>
        </w:rPr>
        <w:t xml:space="preserve">ueces del propio organismo de los cuales no rebasa el 2% del total del ingreso. </w:t>
      </w:r>
    </w:p>
    <w:p w:rsidR="000B32EB" w:rsidRPr="00B94587" w:rsidRDefault="000B32EB" w:rsidP="000B32EB">
      <w:pPr>
        <w:jc w:val="both"/>
        <w:rPr>
          <w:rFonts w:ascii="Arial Narrow" w:hAnsi="Arial Narrow"/>
        </w:rPr>
      </w:pPr>
      <w:r w:rsidRPr="00B94587">
        <w:rPr>
          <w:rFonts w:ascii="Arial Narrow" w:hAnsi="Arial Narrow"/>
        </w:rPr>
        <w:lastRenderedPageBreak/>
        <w:t>b) Proyección de la recaudación e ingresos en el mediano plazo.</w:t>
      </w:r>
    </w:p>
    <w:p w:rsidR="000B32EB" w:rsidRPr="00B94587" w:rsidRDefault="000B32EB" w:rsidP="000B32EB">
      <w:pPr>
        <w:jc w:val="both"/>
        <w:rPr>
          <w:rFonts w:ascii="Arial Narrow" w:hAnsi="Arial Narrow"/>
        </w:rPr>
      </w:pPr>
      <w:r w:rsidRPr="00B94587">
        <w:rPr>
          <w:rFonts w:ascii="Arial Narrow" w:hAnsi="Arial Narrow"/>
        </w:rPr>
        <w:t xml:space="preserve">La Secretaria de Finanzas del Estado de Tlaxcala, establece un programa de ministraciones mensuales, de acuerdo al presupuesto presentado a esta dependencia y aprobado por el Congreso del Estado.   </w:t>
      </w:r>
    </w:p>
    <w:p w:rsidR="000B32EB" w:rsidRPr="00701F5D" w:rsidRDefault="000B32EB" w:rsidP="000B32EB">
      <w:pPr>
        <w:rPr>
          <w:rFonts w:ascii="Arial Narrow" w:hAnsi="Arial Narrow"/>
          <w:b/>
          <w:u w:val="single"/>
        </w:rPr>
      </w:pPr>
      <w:r w:rsidRPr="00701F5D">
        <w:rPr>
          <w:rFonts w:ascii="Arial Narrow" w:hAnsi="Arial Narrow"/>
          <w:b/>
          <w:u w:val="single"/>
        </w:rPr>
        <w:t>11. Información sobre deuda y el reporte analítico de la deuda.</w:t>
      </w:r>
    </w:p>
    <w:p w:rsidR="000B32EB" w:rsidRPr="00B94587" w:rsidRDefault="000B32EB" w:rsidP="000B32EB">
      <w:pPr>
        <w:rPr>
          <w:rFonts w:ascii="Arial Narrow" w:hAnsi="Arial Narrow"/>
        </w:rPr>
      </w:pPr>
      <w:r w:rsidRPr="00B94587">
        <w:rPr>
          <w:rFonts w:ascii="Arial Narrow" w:hAnsi="Arial Narrow"/>
        </w:rPr>
        <w:t xml:space="preserve">a) Deuda respecto al PIB. </w:t>
      </w:r>
    </w:p>
    <w:p w:rsidR="000B32EB" w:rsidRPr="00B94587" w:rsidRDefault="000B32EB" w:rsidP="000B32EB">
      <w:pPr>
        <w:jc w:val="both"/>
        <w:rPr>
          <w:rFonts w:ascii="Arial Narrow" w:hAnsi="Arial Narrow"/>
        </w:rPr>
      </w:pPr>
      <w:r w:rsidRPr="00B94587">
        <w:rPr>
          <w:rFonts w:ascii="Arial Narrow" w:hAnsi="Arial Narrow"/>
        </w:rPr>
        <w:t>Al cierre del balance, el ente público tiene un adeudo con el Fondo Auxiliar para la Impartición de Justic</w:t>
      </w:r>
      <w:r w:rsidR="00823137">
        <w:rPr>
          <w:rFonts w:ascii="Arial Narrow" w:hAnsi="Arial Narrow"/>
        </w:rPr>
        <w:t>ia organismo interno del mismo E</w:t>
      </w:r>
      <w:r w:rsidRPr="00B94587">
        <w:rPr>
          <w:rFonts w:ascii="Arial Narrow" w:hAnsi="Arial Narrow"/>
        </w:rPr>
        <w:t>nte, A Larg</w:t>
      </w:r>
      <w:r w:rsidR="00823137">
        <w:rPr>
          <w:rFonts w:ascii="Arial Narrow" w:hAnsi="Arial Narrow"/>
        </w:rPr>
        <w:t>o Plazo de $10</w:t>
      </w:r>
      <w:proofErr w:type="gramStart"/>
      <w:r w:rsidR="00823137">
        <w:rPr>
          <w:rFonts w:ascii="Arial Narrow" w:hAnsi="Arial Narrow"/>
        </w:rPr>
        <w:t>,084,758.13</w:t>
      </w:r>
      <w:proofErr w:type="gramEnd"/>
      <w:r w:rsidR="00823137">
        <w:rPr>
          <w:rFonts w:ascii="Arial Narrow" w:hAnsi="Arial Narrow"/>
        </w:rPr>
        <w:t xml:space="preserve">,  y $509,608.00 a  92 </w:t>
      </w:r>
      <w:r w:rsidRPr="00B94587">
        <w:rPr>
          <w:rFonts w:ascii="Arial Narrow" w:hAnsi="Arial Narrow"/>
        </w:rPr>
        <w:t xml:space="preserve">días. Esta deuda no causa interés alguno, que pudiera impactar a los resultados posteriores.  </w:t>
      </w:r>
    </w:p>
    <w:p w:rsidR="000B32EB" w:rsidRPr="00B94587" w:rsidRDefault="000B32EB" w:rsidP="000B32EB">
      <w:pPr>
        <w:rPr>
          <w:rFonts w:ascii="Arial Narrow" w:hAnsi="Arial Narrow"/>
        </w:rPr>
      </w:pPr>
      <w:r w:rsidRPr="00B94587">
        <w:rPr>
          <w:rFonts w:ascii="Arial Narrow" w:hAnsi="Arial Narrow"/>
        </w:rPr>
        <w:t>b) Valor gubernamental e instrumentos financieros.</w:t>
      </w:r>
    </w:p>
    <w:p w:rsidR="000B32EB" w:rsidRPr="00B94587" w:rsidRDefault="000B32EB" w:rsidP="000B32EB">
      <w:pPr>
        <w:jc w:val="both"/>
        <w:rPr>
          <w:rFonts w:ascii="Arial Narrow" w:hAnsi="Arial Narrow"/>
        </w:rPr>
      </w:pPr>
      <w:r w:rsidRPr="00B94587">
        <w:rPr>
          <w:rFonts w:ascii="Arial Narrow" w:hAnsi="Arial Narrow"/>
        </w:rPr>
        <w:t>Dur</w:t>
      </w:r>
      <w:r w:rsidR="00D43FBD">
        <w:rPr>
          <w:rFonts w:ascii="Arial Narrow" w:hAnsi="Arial Narrow"/>
        </w:rPr>
        <w:t>ante el ejercicio fiscal de 2015</w:t>
      </w:r>
      <w:r w:rsidRPr="00B94587">
        <w:rPr>
          <w:rFonts w:ascii="Arial Narrow" w:hAnsi="Arial Narrow"/>
        </w:rPr>
        <w:t>. No se realizaron inversiones en valores e instrumentos financieros.</w:t>
      </w:r>
    </w:p>
    <w:p w:rsidR="000B32EB" w:rsidRPr="000B32EB" w:rsidRDefault="000B32EB" w:rsidP="000B32EB">
      <w:pPr>
        <w:rPr>
          <w:rFonts w:ascii="Arial Narrow" w:hAnsi="Arial Narrow"/>
          <w:b/>
          <w:u w:val="single"/>
        </w:rPr>
      </w:pPr>
      <w:r w:rsidRPr="000B32EB">
        <w:rPr>
          <w:rFonts w:ascii="Arial Narrow" w:hAnsi="Arial Narrow"/>
          <w:b/>
          <w:u w:val="single"/>
        </w:rPr>
        <w:t>12. calificaciones otorgadas.</w:t>
      </w:r>
    </w:p>
    <w:p w:rsidR="000B32EB" w:rsidRPr="00A2551D" w:rsidRDefault="000B32EB" w:rsidP="000B32EB">
      <w:pPr>
        <w:jc w:val="both"/>
        <w:rPr>
          <w:rFonts w:ascii="Arial Narrow" w:hAnsi="Arial Narrow"/>
        </w:rPr>
      </w:pPr>
      <w:r w:rsidRPr="00A2551D">
        <w:rPr>
          <w:rFonts w:ascii="Arial Narrow" w:hAnsi="Arial Narrow"/>
        </w:rPr>
        <w:t>La Comisión de Acceso a la Información Pública y Prevención de datos personales del Estado de Tlaxcala (CAIPTLAX). Público los resultados en su pagina oficial de las evaluaciones a los 144 entes públicos del estado de Tlaxcala, conforme a los artículos 8,9,10,11, 12 y 13 de la Ley de Acceso a la Información Pública del Estado de Tlaxcala (LAIPET). Obteniendo los siguientes resultados</w:t>
      </w:r>
    </w:p>
    <w:p w:rsidR="000B32EB" w:rsidRPr="00A2551D" w:rsidRDefault="000B32EB" w:rsidP="000B32EB">
      <w:pPr>
        <w:jc w:val="both"/>
        <w:rPr>
          <w:rFonts w:ascii="Arial Narrow" w:hAnsi="Arial Narrow"/>
        </w:rPr>
      </w:pPr>
      <w:r w:rsidRPr="00A2551D">
        <w:rPr>
          <w:rFonts w:ascii="Arial Narrow" w:hAnsi="Arial Narrow"/>
        </w:rPr>
        <w:t>Promedios comparativos Evalua</w:t>
      </w:r>
      <w:r w:rsidR="00823137">
        <w:rPr>
          <w:rFonts w:ascii="Arial Narrow" w:hAnsi="Arial Narrow"/>
        </w:rPr>
        <w:t>ción 2014-2 vs Evaluació</w:t>
      </w:r>
      <w:r w:rsidR="00D80436">
        <w:rPr>
          <w:rFonts w:ascii="Arial Narrow" w:hAnsi="Arial Narrow"/>
        </w:rPr>
        <w:t>n 2015</w:t>
      </w:r>
      <w:r w:rsidRPr="00A2551D">
        <w:rPr>
          <w:rFonts w:ascii="Arial Narrow" w:hAnsi="Arial Narrow"/>
        </w:rPr>
        <w:t>, se obtuvo una puntuación de 9.8 habiendo un incremento con referencia al año anterior del +2% para el Poder Judicial.</w:t>
      </w:r>
    </w:p>
    <w:p w:rsidR="000B32EB" w:rsidRPr="000B32EB" w:rsidRDefault="000B32EB" w:rsidP="000B32EB">
      <w:pPr>
        <w:rPr>
          <w:rFonts w:ascii="Arial Narrow" w:hAnsi="Arial Narrow"/>
          <w:b/>
          <w:u w:val="single"/>
        </w:rPr>
      </w:pPr>
      <w:r w:rsidRPr="000B32EB">
        <w:rPr>
          <w:rFonts w:ascii="Arial Narrow" w:hAnsi="Arial Narrow"/>
          <w:b/>
          <w:u w:val="single"/>
        </w:rPr>
        <w:t>13. Proceso de mejora.</w:t>
      </w:r>
    </w:p>
    <w:p w:rsidR="000B32EB" w:rsidRPr="00B94587" w:rsidRDefault="000B32EB" w:rsidP="000B32EB">
      <w:pPr>
        <w:jc w:val="both"/>
        <w:rPr>
          <w:rFonts w:ascii="Arial Narrow" w:hAnsi="Arial Narrow"/>
        </w:rPr>
      </w:pPr>
      <w:r w:rsidRPr="00B94587">
        <w:rPr>
          <w:rFonts w:ascii="Arial Narrow" w:hAnsi="Arial Narrow"/>
        </w:rPr>
        <w:t xml:space="preserve">a) Principales políticas de control interno. </w:t>
      </w:r>
    </w:p>
    <w:p w:rsidR="000B32EB" w:rsidRPr="00B94587" w:rsidRDefault="000B32EB" w:rsidP="000B32EB">
      <w:pPr>
        <w:jc w:val="both"/>
        <w:rPr>
          <w:rFonts w:ascii="Arial Narrow" w:hAnsi="Arial Narrow"/>
        </w:rPr>
      </w:pPr>
      <w:r w:rsidRPr="00B94587">
        <w:rPr>
          <w:rFonts w:ascii="Arial Narrow" w:hAnsi="Arial Narrow"/>
        </w:rPr>
        <w:t xml:space="preserve">Se cuenta con manuales de procedimientos, lineamientos de racionalidad, austeridad y disciplina presupuestal interno, Lineamientos de adquisiciones, arrendamientos, servicio y obra publica del Consejo de la Judicatura del Poder Judicial del Estado de Tlaxcala, Lineamientos para el pago de Servicios Médicos del mismo Ente. Así como la normatividad vigente para los registros contables emitidos por la CONAC.  </w:t>
      </w:r>
    </w:p>
    <w:p w:rsidR="000B32EB" w:rsidRPr="00B94587" w:rsidRDefault="000B32EB" w:rsidP="000B32EB">
      <w:pPr>
        <w:rPr>
          <w:rFonts w:ascii="Arial Narrow" w:hAnsi="Arial Narrow"/>
        </w:rPr>
      </w:pPr>
      <w:r w:rsidRPr="00B94587">
        <w:rPr>
          <w:rFonts w:ascii="Arial Narrow" w:hAnsi="Arial Narrow"/>
        </w:rPr>
        <w:t>b) Medidas de desempeño financiero, metas y alcance.</w:t>
      </w:r>
    </w:p>
    <w:p w:rsidR="000B32EB" w:rsidRPr="00B94587" w:rsidRDefault="000B32EB" w:rsidP="000B32EB">
      <w:pPr>
        <w:rPr>
          <w:rFonts w:ascii="Arial Narrow" w:hAnsi="Arial Narrow"/>
        </w:rPr>
      </w:pPr>
      <w:r w:rsidRPr="00B94587">
        <w:rPr>
          <w:rFonts w:ascii="Arial Narrow" w:hAnsi="Arial Narrow"/>
        </w:rPr>
        <w:t>Se llevan a cabo un estudio de actividades por área administrativa a fin de evaluar el desempeño de acuerdo a lo Programado y Presupuestado (</w:t>
      </w:r>
      <w:proofErr w:type="spellStart"/>
      <w:r w:rsidRPr="00B94587">
        <w:rPr>
          <w:rFonts w:ascii="Arial Narrow" w:hAnsi="Arial Narrow"/>
        </w:rPr>
        <w:t>PbR</w:t>
      </w:r>
      <w:proofErr w:type="spellEnd"/>
      <w:r w:rsidRPr="00B94587">
        <w:rPr>
          <w:rFonts w:ascii="Arial Narrow" w:hAnsi="Arial Narrow"/>
        </w:rPr>
        <w:t>) del ejercicio 2015.</w:t>
      </w:r>
    </w:p>
    <w:p w:rsidR="000B32EB" w:rsidRPr="000B32EB" w:rsidRDefault="000B32EB" w:rsidP="000B32EB">
      <w:pPr>
        <w:rPr>
          <w:rFonts w:ascii="Arial Narrow" w:hAnsi="Arial Narrow"/>
          <w:b/>
          <w:u w:val="single"/>
        </w:rPr>
      </w:pPr>
      <w:r w:rsidRPr="000B32EB">
        <w:rPr>
          <w:rFonts w:ascii="Arial Narrow" w:hAnsi="Arial Narrow"/>
          <w:b/>
          <w:u w:val="single"/>
        </w:rPr>
        <w:lastRenderedPageBreak/>
        <w:t>14. Información por segmentos.</w:t>
      </w:r>
    </w:p>
    <w:p w:rsidR="000B32EB" w:rsidRPr="00B94587" w:rsidRDefault="000B32EB" w:rsidP="000B32EB">
      <w:pPr>
        <w:jc w:val="both"/>
        <w:rPr>
          <w:rFonts w:ascii="Arial Narrow" w:hAnsi="Arial Narrow"/>
        </w:rPr>
      </w:pPr>
      <w:r w:rsidRPr="00B94587">
        <w:rPr>
          <w:rFonts w:ascii="Arial Narrow" w:hAnsi="Arial Narrow"/>
        </w:rPr>
        <w:t>Los resultados del segmento que son informados al Presidente del poder Judicial (máxima autoridad en la toma de decisiones de operación; incluyen las partidas directamente atribuibles a un segmento, así como también aquellos que pueden ser asignados a los activos y pasivos por impuestos.</w:t>
      </w:r>
    </w:p>
    <w:p w:rsidR="000B32EB" w:rsidRPr="000B32EB" w:rsidRDefault="000B32EB" w:rsidP="000B32EB">
      <w:pPr>
        <w:rPr>
          <w:rFonts w:ascii="Arial Narrow" w:hAnsi="Arial Narrow"/>
          <w:b/>
          <w:u w:val="single"/>
        </w:rPr>
      </w:pPr>
      <w:r w:rsidRPr="000B32EB">
        <w:rPr>
          <w:rFonts w:ascii="Arial Narrow" w:hAnsi="Arial Narrow"/>
          <w:b/>
          <w:u w:val="single"/>
        </w:rPr>
        <w:t>15. Eventos posteriores al cierre.</w:t>
      </w:r>
    </w:p>
    <w:p w:rsidR="000B32EB" w:rsidRPr="00B94587" w:rsidRDefault="000B32EB" w:rsidP="000B32EB">
      <w:pPr>
        <w:jc w:val="both"/>
        <w:rPr>
          <w:rFonts w:ascii="Arial Narrow" w:hAnsi="Arial Narrow"/>
        </w:rPr>
      </w:pPr>
      <w:r w:rsidRPr="00B94587">
        <w:rPr>
          <w:rFonts w:ascii="Arial Narrow" w:hAnsi="Arial Narrow"/>
        </w:rPr>
        <w:t>Los desembolsos posteriores son capitalizados sólo cuando aumentan los beneficios económicos futuros incorporados en el activo específico relacionado con dichos desembolsos. Todos los otros desembolsos, son reconocidos en resultados cuando se incurren.</w:t>
      </w:r>
    </w:p>
    <w:p w:rsidR="000B32EB" w:rsidRPr="000B32EB" w:rsidRDefault="000B32EB" w:rsidP="000B32EB">
      <w:pPr>
        <w:rPr>
          <w:rFonts w:ascii="Arial Narrow" w:hAnsi="Arial Narrow"/>
          <w:b/>
          <w:u w:val="single"/>
        </w:rPr>
      </w:pPr>
      <w:r w:rsidRPr="000B32EB">
        <w:rPr>
          <w:rFonts w:ascii="Arial Narrow" w:hAnsi="Arial Narrow"/>
          <w:b/>
          <w:u w:val="single"/>
        </w:rPr>
        <w:t>16. Partes Relacionadas.</w:t>
      </w:r>
    </w:p>
    <w:p w:rsidR="000B32EB" w:rsidRPr="00B94587" w:rsidRDefault="000B32EB" w:rsidP="000B32EB">
      <w:pPr>
        <w:jc w:val="both"/>
        <w:rPr>
          <w:rFonts w:ascii="Arial Narrow" w:hAnsi="Arial Narrow"/>
        </w:rPr>
      </w:pPr>
      <w:r w:rsidRPr="00B94587">
        <w:rPr>
          <w:rFonts w:ascii="Arial Narrow" w:hAnsi="Arial Narrow"/>
        </w:rPr>
        <w:t>No existen partes relacionadas que pudieran ejercer influencia significativa sobre la toma de decisiones financieras y operativas.</w:t>
      </w:r>
    </w:p>
    <w:p w:rsidR="000B32EB" w:rsidRPr="000B32EB" w:rsidRDefault="00C4425E" w:rsidP="000B32EB">
      <w:pPr>
        <w:rPr>
          <w:rFonts w:ascii="Arial Narrow" w:hAnsi="Arial Narrow"/>
          <w:b/>
          <w:u w:val="single"/>
        </w:rPr>
      </w:pPr>
      <w:r w:rsidRPr="00C4425E">
        <w:rPr>
          <w:rFonts w:ascii="Soberana Sans Light" w:hAnsi="Soberana Sans Light"/>
          <w:noProof/>
          <w:sz w:val="18"/>
          <w:szCs w:val="20"/>
          <w:lang w:val="es-ES" w:eastAsia="es-ES"/>
        </w:rPr>
        <w:pict>
          <v:shape id="_x0000_s1038" type="#_x0000_t75" style="position:absolute;margin-left:2.35pt;margin-top:29.95pt;width:666.45pt;height:143.75pt;z-index:251662336;mso-position-horizontal-relative:text;mso-position-vertical-relative:text;mso-width-relative:page;mso-height-relative:page">
            <v:imagedata r:id="rId24" o:title=""/>
            <w10:wrap type="topAndBottom"/>
          </v:shape>
          <o:OLEObject Type="Embed" ProgID="Excel.Sheet.12" ShapeID="_x0000_s1038" DrawAspect="Content" ObjectID="_1514038812" r:id="rId25"/>
        </w:pict>
      </w:r>
      <w:r w:rsidR="000B32EB" w:rsidRPr="000B32EB">
        <w:rPr>
          <w:rFonts w:ascii="Arial Narrow" w:hAnsi="Arial Narrow"/>
          <w:b/>
          <w:u w:val="single"/>
        </w:rPr>
        <w:t>17. Responsabilidad sobre la presentación Razonable de la información contable.</w:t>
      </w:r>
    </w:p>
    <w:p w:rsidR="000B32EB" w:rsidRPr="00980327" w:rsidRDefault="000B32EB" w:rsidP="000B32EB">
      <w:pPr>
        <w:spacing w:after="0" w:line="240" w:lineRule="auto"/>
        <w:rPr>
          <w:rFonts w:ascii="Arial Narrow" w:hAnsi="Arial Narrow"/>
          <w:b/>
        </w:rPr>
      </w:pPr>
      <w:r w:rsidRPr="00980327">
        <w:rPr>
          <w:rFonts w:ascii="Arial Narrow" w:hAnsi="Arial Narrow"/>
          <w:b/>
        </w:rPr>
        <w:t xml:space="preserve">     </w:t>
      </w:r>
    </w:p>
    <w:sectPr w:rsidR="000B32EB" w:rsidRPr="00980327" w:rsidSect="00780059">
      <w:headerReference w:type="even" r:id="rId26"/>
      <w:headerReference w:type="default" r:id="rId27"/>
      <w:footerReference w:type="even" r:id="rId28"/>
      <w:footerReference w:type="default" r:id="rId29"/>
      <w:pgSz w:w="15840" w:h="12240" w:orient="landscape"/>
      <w:pgMar w:top="1440" w:right="672"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22" w:rsidRDefault="004A6522" w:rsidP="00EA5418">
      <w:pPr>
        <w:spacing w:after="0" w:line="240" w:lineRule="auto"/>
      </w:pPr>
      <w:r>
        <w:separator/>
      </w:r>
    </w:p>
  </w:endnote>
  <w:endnote w:type="continuationSeparator" w:id="0">
    <w:p w:rsidR="004A6522" w:rsidRDefault="004A652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22" w:rsidRPr="0013011C" w:rsidRDefault="004A652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D286C" w:rsidRPr="00DD286C">
          <w:rPr>
            <w:rFonts w:ascii="Soberana Sans Light" w:hAnsi="Soberana Sans Light"/>
            <w:noProof/>
            <w:lang w:val="es-ES"/>
          </w:rPr>
          <w:t>16</w:t>
        </w:r>
        <w:r w:rsidRPr="0013011C">
          <w:rPr>
            <w:rFonts w:ascii="Soberana Sans Light" w:hAnsi="Soberana Sans Light"/>
          </w:rPr>
          <w:fldChar w:fldCharType="end"/>
        </w:r>
      </w:sdtContent>
    </w:sdt>
  </w:p>
  <w:p w:rsidR="004A6522" w:rsidRDefault="004A65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22" w:rsidRPr="008E3652" w:rsidRDefault="004A652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D286C" w:rsidRPr="00DD286C">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22" w:rsidRDefault="004A6522" w:rsidP="00EA5418">
      <w:pPr>
        <w:spacing w:after="0" w:line="240" w:lineRule="auto"/>
      </w:pPr>
      <w:r>
        <w:separator/>
      </w:r>
    </w:p>
  </w:footnote>
  <w:footnote w:type="continuationSeparator" w:id="0">
    <w:p w:rsidR="004A6522" w:rsidRDefault="004A652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22" w:rsidRDefault="004A6522" w:rsidP="000B32EB">
    <w:pPr>
      <w:pStyle w:val="Encabezado"/>
      <w:jc w:val="center"/>
      <w:rPr>
        <w:rFonts w:ascii="Soberana Sans Light" w:hAnsi="Soberana Sans Light"/>
      </w:rPr>
    </w:pPr>
    <w:r>
      <w:rPr>
        <w:rFonts w:ascii="Soberana Sans Light" w:hAnsi="Soberana Sans Light"/>
        <w:noProof/>
        <w:lang w:eastAsia="es-MX"/>
      </w:rPr>
      <w:pict>
        <v:line id="_x0000_s4107"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PODER  JUDICIAL </w:t>
    </w:r>
  </w:p>
  <w:p w:rsidR="004A6522" w:rsidRDefault="004A652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22" w:rsidRDefault="004A652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PODER  JUDICIAL </w:t>
    </w:r>
  </w:p>
  <w:p w:rsidR="004A6522" w:rsidRDefault="004A6522" w:rsidP="001B610A">
    <w:pPr>
      <w:pStyle w:val="Encabezado"/>
      <w:rPr>
        <w:rFonts w:ascii="Soberana Sans Light" w:hAnsi="Soberana Sans Light"/>
      </w:rPr>
    </w:pPr>
  </w:p>
  <w:p w:rsidR="004A6522" w:rsidRPr="0013011C" w:rsidRDefault="004A6522" w:rsidP="0013011C">
    <w:pPr>
      <w:pStyle w:val="Encabezado"/>
      <w:jc w:val="center"/>
      <w:rPr>
        <w:rFonts w:ascii="Soberana Sans Light" w:hAnsi="Soberana Sans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3"/>
  </w:num>
  <w:num w:numId="4">
    <w:abstractNumId w:val="10"/>
  </w:num>
  <w:num w:numId="5">
    <w:abstractNumId w:val="7"/>
  </w:num>
  <w:num w:numId="6">
    <w:abstractNumId w:val="17"/>
  </w:num>
  <w:num w:numId="7">
    <w:abstractNumId w:val="11"/>
  </w:num>
  <w:num w:numId="8">
    <w:abstractNumId w:val="12"/>
  </w:num>
  <w:num w:numId="9">
    <w:abstractNumId w:val="6"/>
  </w:num>
  <w:num w:numId="10">
    <w:abstractNumId w:val="20"/>
  </w:num>
  <w:num w:numId="11">
    <w:abstractNumId w:val="15"/>
  </w:num>
  <w:num w:numId="12">
    <w:abstractNumId w:val="18"/>
  </w:num>
  <w:num w:numId="13">
    <w:abstractNumId w:val="2"/>
  </w:num>
  <w:num w:numId="14">
    <w:abstractNumId w:val="4"/>
  </w:num>
  <w:num w:numId="15">
    <w:abstractNumId w:val="21"/>
  </w:num>
  <w:num w:numId="16">
    <w:abstractNumId w:val="5"/>
  </w:num>
  <w:num w:numId="17">
    <w:abstractNumId w:val="9"/>
  </w:num>
  <w:num w:numId="18">
    <w:abstractNumId w:val="14"/>
  </w:num>
  <w:num w:numId="19">
    <w:abstractNumId w:val="8"/>
  </w:num>
  <w:num w:numId="20">
    <w:abstractNumId w:val="19"/>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EA5418"/>
    <w:rsid w:val="00001107"/>
    <w:rsid w:val="00040466"/>
    <w:rsid w:val="00045A10"/>
    <w:rsid w:val="00046DF2"/>
    <w:rsid w:val="0007084B"/>
    <w:rsid w:val="000729C6"/>
    <w:rsid w:val="000974D0"/>
    <w:rsid w:val="000A48EB"/>
    <w:rsid w:val="000B32EB"/>
    <w:rsid w:val="000C0AB9"/>
    <w:rsid w:val="000E4AE0"/>
    <w:rsid w:val="0013011C"/>
    <w:rsid w:val="00132314"/>
    <w:rsid w:val="00136556"/>
    <w:rsid w:val="00165BB4"/>
    <w:rsid w:val="001A7B0A"/>
    <w:rsid w:val="001B1B72"/>
    <w:rsid w:val="001B2167"/>
    <w:rsid w:val="001B610A"/>
    <w:rsid w:val="001C2759"/>
    <w:rsid w:val="001C48AC"/>
    <w:rsid w:val="001C6FD8"/>
    <w:rsid w:val="001E7072"/>
    <w:rsid w:val="001F5A4E"/>
    <w:rsid w:val="001F6FA1"/>
    <w:rsid w:val="00204C86"/>
    <w:rsid w:val="00247742"/>
    <w:rsid w:val="00251B24"/>
    <w:rsid w:val="00264426"/>
    <w:rsid w:val="002809E7"/>
    <w:rsid w:val="002837BF"/>
    <w:rsid w:val="002843B4"/>
    <w:rsid w:val="002A70B3"/>
    <w:rsid w:val="002A77C8"/>
    <w:rsid w:val="00304644"/>
    <w:rsid w:val="00370B12"/>
    <w:rsid w:val="00372F40"/>
    <w:rsid w:val="00396C2B"/>
    <w:rsid w:val="003A0303"/>
    <w:rsid w:val="003D5DBF"/>
    <w:rsid w:val="003E61F6"/>
    <w:rsid w:val="003E7FD0"/>
    <w:rsid w:val="003F0EA4"/>
    <w:rsid w:val="0040690D"/>
    <w:rsid w:val="004208AB"/>
    <w:rsid w:val="004311BE"/>
    <w:rsid w:val="0044253C"/>
    <w:rsid w:val="00444E6C"/>
    <w:rsid w:val="00454C7E"/>
    <w:rsid w:val="00462C79"/>
    <w:rsid w:val="004662C2"/>
    <w:rsid w:val="004714CF"/>
    <w:rsid w:val="00477421"/>
    <w:rsid w:val="00480F7A"/>
    <w:rsid w:val="00484C0D"/>
    <w:rsid w:val="0049230F"/>
    <w:rsid w:val="00497D8B"/>
    <w:rsid w:val="004A6522"/>
    <w:rsid w:val="004B285C"/>
    <w:rsid w:val="004D13BC"/>
    <w:rsid w:val="004D31F8"/>
    <w:rsid w:val="004D41B8"/>
    <w:rsid w:val="004F1E4C"/>
    <w:rsid w:val="004F5641"/>
    <w:rsid w:val="00522632"/>
    <w:rsid w:val="00522EF3"/>
    <w:rsid w:val="00525681"/>
    <w:rsid w:val="00526E1D"/>
    <w:rsid w:val="00540418"/>
    <w:rsid w:val="00546F27"/>
    <w:rsid w:val="005575DF"/>
    <w:rsid w:val="00561B68"/>
    <w:rsid w:val="00574266"/>
    <w:rsid w:val="00590FCD"/>
    <w:rsid w:val="005A7085"/>
    <w:rsid w:val="005B2F04"/>
    <w:rsid w:val="005C3CF0"/>
    <w:rsid w:val="005D3D25"/>
    <w:rsid w:val="006545D8"/>
    <w:rsid w:val="00684994"/>
    <w:rsid w:val="006A34EC"/>
    <w:rsid w:val="006B1FE7"/>
    <w:rsid w:val="006E77DD"/>
    <w:rsid w:val="006F102E"/>
    <w:rsid w:val="006F54E5"/>
    <w:rsid w:val="00701F5D"/>
    <w:rsid w:val="00760F7B"/>
    <w:rsid w:val="00780059"/>
    <w:rsid w:val="0079582C"/>
    <w:rsid w:val="007A70CF"/>
    <w:rsid w:val="007C22F0"/>
    <w:rsid w:val="007D6E9A"/>
    <w:rsid w:val="00800613"/>
    <w:rsid w:val="00811DAC"/>
    <w:rsid w:val="00823137"/>
    <w:rsid w:val="0082655E"/>
    <w:rsid w:val="00837B9B"/>
    <w:rsid w:val="00887A2D"/>
    <w:rsid w:val="0089054E"/>
    <w:rsid w:val="008A6E4D"/>
    <w:rsid w:val="008A793D"/>
    <w:rsid w:val="008B0017"/>
    <w:rsid w:val="008C3ED9"/>
    <w:rsid w:val="008E31F0"/>
    <w:rsid w:val="008E3652"/>
    <w:rsid w:val="008F6D58"/>
    <w:rsid w:val="009133B3"/>
    <w:rsid w:val="0093492C"/>
    <w:rsid w:val="009462BF"/>
    <w:rsid w:val="009561AC"/>
    <w:rsid w:val="00957043"/>
    <w:rsid w:val="00963987"/>
    <w:rsid w:val="0097169A"/>
    <w:rsid w:val="00977EC2"/>
    <w:rsid w:val="00990EEB"/>
    <w:rsid w:val="00997BE4"/>
    <w:rsid w:val="009A61FB"/>
    <w:rsid w:val="009D5D4C"/>
    <w:rsid w:val="009E787D"/>
    <w:rsid w:val="009F23C4"/>
    <w:rsid w:val="009F5A90"/>
    <w:rsid w:val="00A363B6"/>
    <w:rsid w:val="00A46BF5"/>
    <w:rsid w:val="00AB170C"/>
    <w:rsid w:val="00AC23A2"/>
    <w:rsid w:val="00AC4878"/>
    <w:rsid w:val="00AE6D64"/>
    <w:rsid w:val="00B01B01"/>
    <w:rsid w:val="00B146E2"/>
    <w:rsid w:val="00B5208D"/>
    <w:rsid w:val="00B56D2B"/>
    <w:rsid w:val="00B769A3"/>
    <w:rsid w:val="00B849EE"/>
    <w:rsid w:val="00B84D02"/>
    <w:rsid w:val="00B94C3A"/>
    <w:rsid w:val="00BA2940"/>
    <w:rsid w:val="00BB41E4"/>
    <w:rsid w:val="00BC2997"/>
    <w:rsid w:val="00BD3E18"/>
    <w:rsid w:val="00BE0699"/>
    <w:rsid w:val="00C123AB"/>
    <w:rsid w:val="00C16E53"/>
    <w:rsid w:val="00C3540D"/>
    <w:rsid w:val="00C431B4"/>
    <w:rsid w:val="00C4425E"/>
    <w:rsid w:val="00C86C59"/>
    <w:rsid w:val="00C91C5A"/>
    <w:rsid w:val="00CA539E"/>
    <w:rsid w:val="00CB0BDC"/>
    <w:rsid w:val="00CD1030"/>
    <w:rsid w:val="00CD6D9A"/>
    <w:rsid w:val="00CE2C72"/>
    <w:rsid w:val="00D00E92"/>
    <w:rsid w:val="00D055EC"/>
    <w:rsid w:val="00D24A37"/>
    <w:rsid w:val="00D43FBD"/>
    <w:rsid w:val="00D44728"/>
    <w:rsid w:val="00D562FF"/>
    <w:rsid w:val="00D660E0"/>
    <w:rsid w:val="00D80436"/>
    <w:rsid w:val="00DA4E31"/>
    <w:rsid w:val="00DC152D"/>
    <w:rsid w:val="00DD286C"/>
    <w:rsid w:val="00DF56C9"/>
    <w:rsid w:val="00E13A11"/>
    <w:rsid w:val="00E30318"/>
    <w:rsid w:val="00E32708"/>
    <w:rsid w:val="00E86EC7"/>
    <w:rsid w:val="00EA5418"/>
    <w:rsid w:val="00EB21F9"/>
    <w:rsid w:val="00EE46FB"/>
    <w:rsid w:val="00EF718C"/>
    <w:rsid w:val="00F17C0D"/>
    <w:rsid w:val="00F54B9A"/>
    <w:rsid w:val="00F5524D"/>
    <w:rsid w:val="00F57CA6"/>
    <w:rsid w:val="00F755D0"/>
    <w:rsid w:val="00F75D6E"/>
    <w:rsid w:val="00FA2F81"/>
    <w:rsid w:val="00FB1010"/>
    <w:rsid w:val="00FB2030"/>
    <w:rsid w:val="00FC44E9"/>
    <w:rsid w:val="00FC4F1C"/>
    <w:rsid w:val="00FD5A63"/>
    <w:rsid w:val="00FE3356"/>
    <w:rsid w:val="00FF6C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10.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70CB-E04E-4ABD-B87E-2FAE0E74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4431</Words>
  <Characters>24375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TSJ</cp:lastModifiedBy>
  <cp:revision>11</cp:revision>
  <cp:lastPrinted>2016-01-11T23:33:00Z</cp:lastPrinted>
  <dcterms:created xsi:type="dcterms:W3CDTF">2015-12-21T03:29:00Z</dcterms:created>
  <dcterms:modified xsi:type="dcterms:W3CDTF">2016-01-11T23:34:00Z</dcterms:modified>
</cp:coreProperties>
</file>