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E14C2F" w:rsidP="003D5DBF">
      <w:pPr>
        <w:jc w:val="center"/>
      </w:pPr>
      <w:r>
        <w:object w:dxaOrig="23548"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9pt;height:466.55pt" o:ole="">
            <v:imagedata r:id="rId8" o:title=""/>
          </v:shape>
          <o:OLEObject Type="Embed" ProgID="Excel.Sheet.12" ShapeID="_x0000_i1025" DrawAspect="Content" ObjectID="_1511963369" r:id="rId9"/>
        </w:object>
      </w:r>
    </w:p>
    <w:bookmarkStart w:id="0" w:name="_MON_1470805999"/>
    <w:bookmarkEnd w:id="0"/>
    <w:p w:rsidR="00EA5418" w:rsidRDefault="006B6A00" w:rsidP="0044253C">
      <w:pPr>
        <w:jc w:val="center"/>
      </w:pPr>
      <w:r>
        <w:object w:dxaOrig="25173" w:dyaOrig="19077">
          <v:shape id="_x0000_i1026" type="#_x0000_t75" style="width:635.9pt;height:465.4pt" o:ole="">
            <v:imagedata r:id="rId10" o:title=""/>
          </v:shape>
          <o:OLEObject Type="Embed" ProgID="Excel.Sheet.12" ShapeID="_x0000_i1026" DrawAspect="Content" ObjectID="_1511963370" r:id="rId11"/>
        </w:object>
      </w:r>
    </w:p>
    <w:bookmarkStart w:id="1" w:name="_MON_1470806992"/>
    <w:bookmarkEnd w:id="1"/>
    <w:p w:rsidR="00372F40" w:rsidRDefault="00F80C01" w:rsidP="008E3652">
      <w:pPr>
        <w:jc w:val="center"/>
      </w:pPr>
      <w:r>
        <w:object w:dxaOrig="22012" w:dyaOrig="15705">
          <v:shape id="_x0000_i1027" type="#_x0000_t75" style="width:649.15pt;height:462.55pt" o:ole="">
            <v:imagedata r:id="rId12" o:title=""/>
          </v:shape>
          <o:OLEObject Type="Embed" ProgID="Excel.Sheet.12" ShapeID="_x0000_i1027" DrawAspect="Content" ObjectID="_1511963371" r:id="rId13"/>
        </w:object>
      </w:r>
      <w:bookmarkStart w:id="2" w:name="_MON_1470807348"/>
      <w:bookmarkEnd w:id="2"/>
      <w:r>
        <w:object w:dxaOrig="17726" w:dyaOrig="12578">
          <v:shape id="_x0000_i1028" type="#_x0000_t75" style="width:645.1pt;height:457.35pt" o:ole="">
            <v:imagedata r:id="rId14" o:title=""/>
          </v:shape>
          <o:OLEObject Type="Embed" ProgID="Excel.Sheet.12" ShapeID="_x0000_i1028" DrawAspect="Content" ObjectID="_1511963372" r:id="rId15"/>
        </w:object>
      </w:r>
    </w:p>
    <w:bookmarkStart w:id="3" w:name="_MON_1470809138"/>
    <w:bookmarkEnd w:id="3"/>
    <w:p w:rsidR="00372F40" w:rsidRDefault="001D3E0A" w:rsidP="00522632">
      <w:pPr>
        <w:jc w:val="center"/>
      </w:pPr>
      <w:r>
        <w:object w:dxaOrig="18301" w:dyaOrig="12425">
          <v:shape id="_x0000_i1029" type="#_x0000_t75" style="width:668.75pt;height:439.5pt" o:ole="">
            <v:imagedata r:id="rId16" o:title=""/>
          </v:shape>
          <o:OLEObject Type="Embed" ProgID="Excel.Sheet.12" ShapeID="_x0000_i1029" DrawAspect="Content" ObjectID="_1511963373" r:id="rId17"/>
        </w:object>
      </w:r>
    </w:p>
    <w:bookmarkStart w:id="4" w:name="_MON_1470814596"/>
    <w:bookmarkEnd w:id="4"/>
    <w:p w:rsidR="00E32708" w:rsidRDefault="0058461A" w:rsidP="00110745">
      <w:pPr>
        <w:tabs>
          <w:tab w:val="left" w:pos="7235"/>
        </w:tabs>
        <w:jc w:val="center"/>
      </w:pPr>
      <w:r>
        <w:object w:dxaOrig="18354" w:dyaOrig="11655">
          <v:shape id="_x0000_i1031" type="#_x0000_t75" style="width:639.35pt;height:440.05pt" o:ole="">
            <v:imagedata r:id="rId18" o:title=""/>
          </v:shape>
          <o:OLEObject Type="Embed" ProgID="Excel.Sheet.12" ShapeID="_x0000_i1031" DrawAspect="Content" ObjectID="_1511963374" r:id="rId19"/>
        </w:object>
      </w:r>
    </w:p>
    <w:bookmarkStart w:id="5" w:name="_MON_1470810366"/>
    <w:bookmarkEnd w:id="5"/>
    <w:p w:rsidR="00372F40" w:rsidRDefault="00E5128A" w:rsidP="00553C7E">
      <w:pPr>
        <w:tabs>
          <w:tab w:val="left" w:pos="2430"/>
        </w:tabs>
        <w:jc w:val="center"/>
      </w:pPr>
      <w:r w:rsidRPr="000E6653">
        <w:rPr>
          <w:highlight w:val="yellow"/>
        </w:rPr>
        <w:object w:dxaOrig="25943" w:dyaOrig="16709">
          <v:shape id="_x0000_i1030" type="#_x0000_t75" style="width:691.2pt;height:446.4pt" o:ole="" filled="t" fillcolor="white [3212]">
            <v:imagedata r:id="rId20" o:title=""/>
          </v:shape>
          <o:OLEObject Type="Embed" ProgID="Excel.Sheet.12" ShapeID="_x0000_i1030" DrawAspect="Content" ObjectID="_1511963375"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745E89" w:rsidP="00553C7E">
      <w:pPr>
        <w:jc w:val="center"/>
        <w:rPr>
          <w:rFonts w:ascii="Arial" w:hAnsi="Arial" w:cs="Arial"/>
          <w:sz w:val="18"/>
          <w:szCs w:val="18"/>
        </w:rPr>
      </w:pPr>
      <w:r>
        <w:rPr>
          <w:rFonts w:ascii="Arial" w:hAnsi="Arial" w:cs="Arial"/>
          <w:sz w:val="18"/>
          <w:szCs w:val="18"/>
        </w:rPr>
        <w:t>2015</w:t>
      </w:r>
    </w:p>
    <w:p w:rsidR="004F2418" w:rsidRPr="00487785" w:rsidRDefault="004F2418" w:rsidP="004F2418">
      <w:pPr>
        <w:pStyle w:val="Prrafodelista"/>
        <w:numPr>
          <w:ilvl w:val="0"/>
          <w:numId w:val="4"/>
        </w:numPr>
        <w:rPr>
          <w:rFonts w:ascii="Arial" w:hAnsi="Arial" w:cs="Arial"/>
          <w:sz w:val="18"/>
          <w:szCs w:val="18"/>
        </w:rPr>
      </w:pPr>
      <w:r w:rsidRPr="00487785">
        <w:rPr>
          <w:rFonts w:ascii="Arial" w:hAnsi="Arial" w:cs="Arial"/>
          <w:sz w:val="18"/>
          <w:szCs w:val="18"/>
        </w:rPr>
        <w:t>Expediente Laboral 330/2011-C Promovido por MAIRA ROSAS NAVA en contra del Fondo de Protección a las Víctimas de los Delitos y Ayuda a los Indigentes Procesados en el Estado de Tlaxcala. El laudo puede ascen</w:t>
      </w:r>
      <w:r w:rsidR="00745E89">
        <w:rPr>
          <w:rFonts w:ascii="Arial" w:hAnsi="Arial" w:cs="Arial"/>
          <w:sz w:val="18"/>
          <w:szCs w:val="18"/>
        </w:rPr>
        <w:t>der a la cantidad de $12</w:t>
      </w:r>
      <w:r w:rsidR="00375869" w:rsidRPr="00487785">
        <w:rPr>
          <w:rFonts w:ascii="Arial" w:hAnsi="Arial" w:cs="Arial"/>
          <w:sz w:val="18"/>
          <w:szCs w:val="18"/>
        </w:rPr>
        <w:t>0,000</w:t>
      </w:r>
      <w:r w:rsidRPr="00487785">
        <w:rPr>
          <w:rFonts w:ascii="Arial" w:hAnsi="Arial" w:cs="Arial"/>
          <w:sz w:val="18"/>
          <w:szCs w:val="18"/>
        </w:rPr>
        <w:t xml:space="preserve"> (Cien</w:t>
      </w:r>
      <w:r w:rsidR="00745E89">
        <w:rPr>
          <w:rFonts w:ascii="Arial" w:hAnsi="Arial" w:cs="Arial"/>
          <w:sz w:val="18"/>
          <w:szCs w:val="18"/>
        </w:rPr>
        <w:t>to veinte</w:t>
      </w:r>
      <w:r w:rsidRPr="00487785">
        <w:rPr>
          <w:rFonts w:ascii="Arial" w:hAnsi="Arial" w:cs="Arial"/>
          <w:sz w:val="18"/>
          <w:szCs w:val="18"/>
        </w:rPr>
        <w:t xml:space="preserve"> mil 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3F7CA0" w:rsidP="00674EEE">
      <w:pPr>
        <w:jc w:val="both"/>
      </w:pPr>
      <w:r w:rsidRPr="003F7CA0">
        <w:rPr>
          <w:rFonts w:ascii="Soberana Sans Light" w:hAnsi="Soberana Sans Light"/>
          <w:noProof/>
          <w:lang w:eastAsia="es-MX"/>
        </w:rPr>
        <w:pict>
          <v:shape id="_x0000_s1062" type="#_x0000_t75" style="position:absolute;left:0;text-align:left;margin-left:60pt;margin-top:71pt;width:542.25pt;height:58.95pt;z-index:251683840">
            <v:imagedata r:id="rId22" o:title=""/>
            <w10:wrap type="topAndBottom"/>
          </v:shape>
          <o:OLEObject Type="Embed" ProgID="Excel.Sheet.12" ShapeID="_x0000_s1062" DrawAspect="Content" ObjectID="_1511963376" r:id="rId23"/>
        </w:pict>
      </w: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540418" w:rsidP="002E59E4">
      <w:pPr>
        <w:rPr>
          <w:rFonts w:ascii="Arial" w:hAnsi="Arial" w:cs="Arial"/>
          <w:b/>
          <w:sz w:val="18"/>
          <w:szCs w:val="18"/>
        </w:rPr>
      </w:pPr>
      <w:r>
        <w:rPr>
          <w:rFonts w:ascii="Soberana Sans Light" w:hAnsi="Soberana Sans Light"/>
        </w:rPr>
        <w:br w:type="page"/>
      </w:r>
      <w:r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071075" w:rsidRPr="00487785" w:rsidTr="009E2ED3">
        <w:trPr>
          <w:trHeight w:val="234"/>
        </w:trPr>
        <w:tc>
          <w:tcPr>
            <w:tcW w:w="3139"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NOMBRE DEL DEUDOR</w:t>
            </w:r>
          </w:p>
        </w:tc>
        <w:tc>
          <w:tcPr>
            <w:tcW w:w="4020"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IMPORTE</w:t>
            </w:r>
          </w:p>
        </w:tc>
      </w:tr>
      <w:tr w:rsidR="00071075" w:rsidRPr="00487785" w:rsidTr="009E2ED3">
        <w:trPr>
          <w:trHeight w:val="246"/>
        </w:trPr>
        <w:tc>
          <w:tcPr>
            <w:tcW w:w="3139" w:type="dxa"/>
            <w:tcBorders>
              <w:top w:val="single" w:sz="4" w:space="0" w:color="auto"/>
              <w:left w:val="nil"/>
              <w:bottom w:val="single" w:sz="4" w:space="0" w:color="auto"/>
              <w:right w:val="nil"/>
            </w:tcBorders>
            <w:shd w:val="clear" w:color="auto" w:fill="D9D9D9"/>
          </w:tcPr>
          <w:p w:rsidR="00071075" w:rsidRPr="009E2ED3" w:rsidRDefault="00925E2C" w:rsidP="00071075">
            <w:pPr>
              <w:pStyle w:val="ROMANOS"/>
              <w:spacing w:after="0" w:line="240" w:lineRule="exact"/>
              <w:ind w:left="0" w:firstLine="0"/>
              <w:jc w:val="center"/>
              <w:rPr>
                <w:bCs/>
                <w:lang w:val="es-MX"/>
              </w:rPr>
            </w:pPr>
            <w:r w:rsidRPr="009E2ED3">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071075" w:rsidRPr="00487785" w:rsidRDefault="00071075" w:rsidP="00CE5B7A">
            <w:pPr>
              <w:pStyle w:val="ROMANOS"/>
              <w:spacing w:after="0" w:line="240" w:lineRule="exact"/>
              <w:ind w:left="0" w:firstLine="0"/>
              <w:jc w:val="center"/>
              <w:rPr>
                <w:lang w:val="es-MX"/>
              </w:rPr>
            </w:pPr>
            <w:r>
              <w:rPr>
                <w:lang w:val="es-MX"/>
              </w:rPr>
              <w:t>Leonardo Adrián Luna Ramírez</w:t>
            </w:r>
          </w:p>
        </w:tc>
        <w:tc>
          <w:tcPr>
            <w:tcW w:w="4020" w:type="dxa"/>
            <w:tcBorders>
              <w:top w:val="single" w:sz="4" w:space="0" w:color="auto"/>
              <w:left w:val="nil"/>
              <w:bottom w:val="single" w:sz="4" w:space="0" w:color="auto"/>
              <w:right w:val="nil"/>
            </w:tcBorders>
            <w:shd w:val="clear" w:color="auto" w:fill="D9D9D9"/>
          </w:tcPr>
          <w:p w:rsidR="00925E2C" w:rsidRPr="00487785" w:rsidRDefault="00071D60" w:rsidP="00925E2C">
            <w:pPr>
              <w:pStyle w:val="ROMANOS"/>
              <w:spacing w:after="0" w:line="240" w:lineRule="exact"/>
              <w:ind w:left="0" w:firstLine="0"/>
              <w:jc w:val="center"/>
              <w:rPr>
                <w:lang w:val="es-MX"/>
              </w:rPr>
            </w:pPr>
            <w:r>
              <w:rPr>
                <w:lang w:val="es-MX"/>
              </w:rPr>
              <w:t xml:space="preserve">$   </w:t>
            </w:r>
            <w:r w:rsidR="00925E2C">
              <w:rPr>
                <w:lang w:val="es-MX"/>
              </w:rPr>
              <w:t>476</w:t>
            </w:r>
          </w:p>
        </w:tc>
      </w:tr>
      <w:tr w:rsidR="00925E2C" w:rsidRPr="00487785" w:rsidTr="009E2ED3">
        <w:trPr>
          <w:trHeight w:val="257"/>
        </w:trPr>
        <w:tc>
          <w:tcPr>
            <w:tcW w:w="3139" w:type="dxa"/>
            <w:tcBorders>
              <w:top w:val="single" w:sz="4" w:space="0" w:color="auto"/>
              <w:left w:val="nil"/>
              <w:bottom w:val="single" w:sz="4" w:space="0" w:color="auto"/>
              <w:right w:val="nil"/>
            </w:tcBorders>
            <w:shd w:val="clear" w:color="auto" w:fill="D9D9D9"/>
          </w:tcPr>
          <w:p w:rsidR="00925E2C" w:rsidRPr="009E2ED3" w:rsidRDefault="00925E2C" w:rsidP="00071075">
            <w:pPr>
              <w:pStyle w:val="ROMANOS"/>
              <w:spacing w:after="0" w:line="240" w:lineRule="exact"/>
              <w:ind w:left="0" w:firstLine="0"/>
              <w:jc w:val="center"/>
              <w:rPr>
                <w:bCs/>
                <w:lang w:val="es-MX"/>
              </w:rPr>
            </w:pPr>
            <w:r w:rsidRPr="009E2ED3">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925E2C" w:rsidRDefault="00925E2C" w:rsidP="00CE5B7A">
            <w:pPr>
              <w:pStyle w:val="ROMANOS"/>
              <w:spacing w:after="0" w:line="240" w:lineRule="exact"/>
              <w:ind w:left="0" w:firstLine="0"/>
              <w:jc w:val="center"/>
              <w:rPr>
                <w:lang w:val="es-MX"/>
              </w:rPr>
            </w:pPr>
            <w:r>
              <w:rPr>
                <w:lang w:val="es-MX"/>
              </w:rPr>
              <w:t>Leonardo Esteban Estevez Vázquez</w:t>
            </w:r>
          </w:p>
        </w:tc>
        <w:tc>
          <w:tcPr>
            <w:tcW w:w="4020" w:type="dxa"/>
            <w:tcBorders>
              <w:top w:val="single" w:sz="4" w:space="0" w:color="auto"/>
              <w:left w:val="nil"/>
              <w:bottom w:val="single" w:sz="4" w:space="0" w:color="auto"/>
              <w:right w:val="nil"/>
            </w:tcBorders>
            <w:shd w:val="clear" w:color="auto" w:fill="D9D9D9"/>
          </w:tcPr>
          <w:p w:rsidR="00925E2C" w:rsidRDefault="00925E2C" w:rsidP="00CE5B7A">
            <w:pPr>
              <w:pStyle w:val="ROMANOS"/>
              <w:spacing w:after="0" w:line="240" w:lineRule="exact"/>
              <w:ind w:left="0" w:firstLine="0"/>
              <w:jc w:val="center"/>
              <w:rPr>
                <w:lang w:val="es-MX"/>
              </w:rPr>
            </w:pPr>
            <w:r>
              <w:rPr>
                <w:lang w:val="es-MX"/>
              </w:rPr>
              <w:t xml:space="preserve">        4</w:t>
            </w:r>
          </w:p>
        </w:tc>
      </w:tr>
    </w:tbl>
    <w:p w:rsidR="00075299" w:rsidRDefault="00075299" w:rsidP="00075299">
      <w:pPr>
        <w:pStyle w:val="ROMANOS"/>
        <w:spacing w:after="0" w:line="240" w:lineRule="exact"/>
        <w:ind w:left="648"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046D55" w:rsidRDefault="00046D55" w:rsidP="00046D55">
      <w:pPr>
        <w:pStyle w:val="ROMANOS"/>
        <w:spacing w:after="0" w:line="240" w:lineRule="exact"/>
        <w:rPr>
          <w:lang w:val="es-MX"/>
        </w:rPr>
      </w:pPr>
    </w:p>
    <w:p w:rsidR="00487785" w:rsidRPr="00487785" w:rsidRDefault="00487785" w:rsidP="00046D55">
      <w:pPr>
        <w:pStyle w:val="ROMANOS"/>
        <w:spacing w:after="0" w:line="240" w:lineRule="exact"/>
        <w:rPr>
          <w:lang w:val="es-MX"/>
        </w:rPr>
      </w:pPr>
    </w:p>
    <w:p w:rsidR="00B91051" w:rsidRPr="00487785" w:rsidRDefault="00B91051" w:rsidP="00B91051">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Bienes Muebles, Inmuebles e Intangibles</w:t>
      </w:r>
    </w:p>
    <w:p w:rsidR="005234AA" w:rsidRPr="00487785" w:rsidRDefault="00540418" w:rsidP="00540418">
      <w:pPr>
        <w:pStyle w:val="ROMANOS"/>
        <w:spacing w:after="0" w:line="240" w:lineRule="exact"/>
        <w:rPr>
          <w:lang w:val="es-MX"/>
        </w:rPr>
      </w:pPr>
      <w:r w:rsidRPr="00487785">
        <w:rPr>
          <w:lang w:val="es-MX"/>
        </w:rPr>
        <w:t>8.</w:t>
      </w:r>
      <w:r w:rsidRPr="00487785">
        <w:rPr>
          <w:lang w:val="es-MX"/>
        </w:rPr>
        <w:tab/>
      </w:r>
    </w:p>
    <w:p w:rsidR="005234AA" w:rsidRPr="00487785" w:rsidRDefault="005234AA" w:rsidP="00540418">
      <w:pPr>
        <w:pStyle w:val="ROMANOS"/>
        <w:spacing w:after="0" w:line="240" w:lineRule="exact"/>
        <w:rPr>
          <w:lang w:val="es-MX"/>
        </w:rPr>
      </w:pP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303,486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A707CC" w:rsidP="006A74C4">
            <w:pPr>
              <w:pStyle w:val="ROMANOS"/>
              <w:spacing w:after="0" w:line="240" w:lineRule="exact"/>
              <w:ind w:left="0" w:firstLine="0"/>
              <w:jc w:val="right"/>
              <w:rPr>
                <w:lang w:val="es-MX"/>
              </w:rPr>
            </w:pPr>
            <w:r>
              <w:rPr>
                <w:lang w:val="es-MX"/>
              </w:rPr>
              <w:t>232</w:t>
            </w:r>
            <w:r w:rsidR="00375869" w:rsidRPr="00487785">
              <w:rPr>
                <w:lang w:val="es-MX"/>
              </w:rPr>
              <w:t>,942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399"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1C781E" w:rsidRPr="00487785" w:rsidRDefault="00540418" w:rsidP="00540418">
      <w:pPr>
        <w:pStyle w:val="ROMANOS"/>
        <w:spacing w:after="0" w:line="240" w:lineRule="exact"/>
        <w:ind w:left="432"/>
        <w:rPr>
          <w:b/>
          <w:lang w:val="es-MX"/>
        </w:rPr>
      </w:pPr>
      <w:r w:rsidRPr="00487785">
        <w:rPr>
          <w:b/>
          <w:lang w:val="es-MX"/>
        </w:rPr>
        <w:t>Pasivo</w:t>
      </w:r>
    </w:p>
    <w:p w:rsidR="0043789A" w:rsidRPr="00487785" w:rsidRDefault="0043789A" w:rsidP="00540418">
      <w:pPr>
        <w:pStyle w:val="ROMANOS"/>
        <w:spacing w:after="0" w:line="240" w:lineRule="exact"/>
        <w:ind w:left="432"/>
        <w:rPr>
          <w:b/>
          <w:lang w:val="es-MX"/>
        </w:rPr>
      </w:pPr>
    </w:p>
    <w:p w:rsidR="00C772E4" w:rsidRDefault="00C772E4" w:rsidP="00487785">
      <w:pPr>
        <w:pStyle w:val="ROMANOS"/>
        <w:numPr>
          <w:ilvl w:val="0"/>
          <w:numId w:val="16"/>
        </w:numPr>
        <w:spacing w:after="0" w:line="240" w:lineRule="exact"/>
        <w:rPr>
          <w:lang w:val="es-MX"/>
        </w:rPr>
      </w:pPr>
    </w:p>
    <w:tbl>
      <w:tblPr>
        <w:tblW w:w="0" w:type="auto"/>
        <w:tblInd w:w="817" w:type="dxa"/>
        <w:tblBorders>
          <w:top w:val="single" w:sz="8" w:space="0" w:color="C0504D"/>
          <w:bottom w:val="single" w:sz="8" w:space="0" w:color="C0504D"/>
        </w:tblBorders>
        <w:tblLook w:val="04A0"/>
      </w:tblPr>
      <w:tblGrid>
        <w:gridCol w:w="2232"/>
        <w:gridCol w:w="3659"/>
        <w:gridCol w:w="3828"/>
        <w:gridCol w:w="2634"/>
      </w:tblGrid>
      <w:tr w:rsidR="00C772E4" w:rsidRPr="00487785" w:rsidTr="009E2ED3">
        <w:trPr>
          <w:trHeight w:val="242"/>
        </w:trPr>
        <w:tc>
          <w:tcPr>
            <w:tcW w:w="2268"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CONCEPTO</w:t>
            </w:r>
          </w:p>
        </w:tc>
        <w:tc>
          <w:tcPr>
            <w:tcW w:w="3752"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 xml:space="preserve">NOMBRE </w:t>
            </w:r>
          </w:p>
        </w:tc>
        <w:tc>
          <w:tcPr>
            <w:tcW w:w="3905" w:type="dxa"/>
            <w:tcBorders>
              <w:top w:val="single" w:sz="4" w:space="0" w:color="auto"/>
              <w:left w:val="nil"/>
              <w:bottom w:val="single" w:sz="4" w:space="0" w:color="auto"/>
              <w:right w:val="nil"/>
            </w:tcBorders>
            <w:shd w:val="clear" w:color="auto" w:fill="D9D9D9" w:themeFill="background1" w:themeFillShade="D9"/>
          </w:tcPr>
          <w:p w:rsidR="00C772E4" w:rsidRDefault="00C772E4" w:rsidP="00CE5B7A">
            <w:pPr>
              <w:pStyle w:val="ROMANOS"/>
              <w:spacing w:after="0" w:line="240" w:lineRule="exact"/>
              <w:ind w:left="0" w:firstLine="0"/>
              <w:jc w:val="center"/>
              <w:rPr>
                <w:b/>
                <w:bCs/>
                <w:lang w:val="es-MX"/>
              </w:rPr>
            </w:pPr>
            <w:r>
              <w:rPr>
                <w:b/>
                <w:bCs/>
                <w:lang w:val="es-MX"/>
              </w:rPr>
              <w:t>OBERVACIONES</w:t>
            </w:r>
          </w:p>
        </w:tc>
        <w:tc>
          <w:tcPr>
            <w:tcW w:w="2691"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IMPORTE</w:t>
            </w:r>
          </w:p>
        </w:tc>
      </w:tr>
      <w:tr w:rsidR="00C772E4" w:rsidRPr="00487785" w:rsidTr="009E2ED3">
        <w:trPr>
          <w:trHeight w:val="495"/>
        </w:trPr>
        <w:tc>
          <w:tcPr>
            <w:tcW w:w="2268" w:type="dxa"/>
            <w:tcBorders>
              <w:top w:val="single" w:sz="4" w:space="0" w:color="auto"/>
              <w:left w:val="nil"/>
              <w:bottom w:val="single" w:sz="4" w:space="0" w:color="auto"/>
              <w:right w:val="nil"/>
            </w:tcBorders>
            <w:shd w:val="clear" w:color="auto" w:fill="FFFFFF" w:themeFill="background1"/>
          </w:tcPr>
          <w:p w:rsidR="00C772E4" w:rsidRDefault="00C772E4" w:rsidP="00CE5B7A">
            <w:pPr>
              <w:pStyle w:val="ROMANOS"/>
              <w:spacing w:after="0" w:line="240" w:lineRule="exact"/>
              <w:ind w:left="0" w:firstLine="0"/>
              <w:jc w:val="center"/>
              <w:rPr>
                <w:b/>
                <w:bCs/>
                <w:lang w:val="es-MX"/>
              </w:rPr>
            </w:pPr>
            <w:r>
              <w:rPr>
                <w:b/>
                <w:bCs/>
                <w:lang w:val="es-MX"/>
              </w:rPr>
              <w:t>Acreedor</w:t>
            </w:r>
          </w:p>
          <w:p w:rsidR="00CE5B7A" w:rsidRPr="00487785" w:rsidRDefault="00CE5B7A" w:rsidP="00CE5B7A">
            <w:pPr>
              <w:pStyle w:val="ROMANOS"/>
              <w:spacing w:after="0" w:line="240" w:lineRule="exact"/>
              <w:ind w:left="0" w:firstLine="0"/>
              <w:jc w:val="center"/>
              <w:rPr>
                <w:b/>
                <w:bCs/>
                <w:lang w:val="es-MX"/>
              </w:rPr>
            </w:pPr>
          </w:p>
        </w:tc>
        <w:tc>
          <w:tcPr>
            <w:tcW w:w="3752" w:type="dxa"/>
            <w:tcBorders>
              <w:top w:val="single" w:sz="4" w:space="0" w:color="auto"/>
              <w:left w:val="nil"/>
              <w:bottom w:val="single" w:sz="4" w:space="0" w:color="auto"/>
              <w:right w:val="nil"/>
            </w:tcBorders>
            <w:shd w:val="clear" w:color="auto" w:fill="FFFFFF" w:themeFill="background1"/>
          </w:tcPr>
          <w:p w:rsidR="00C772E4" w:rsidRPr="00487785" w:rsidRDefault="004679C1" w:rsidP="00CE5B7A">
            <w:pPr>
              <w:pStyle w:val="ROMANOS"/>
              <w:spacing w:after="0" w:line="240" w:lineRule="exact"/>
              <w:ind w:left="0" w:firstLine="0"/>
              <w:jc w:val="center"/>
              <w:rPr>
                <w:lang w:val="es-MX"/>
              </w:rPr>
            </w:pPr>
            <w:r>
              <w:rPr>
                <w:lang w:val="es-MX"/>
              </w:rPr>
              <w:t>Secretaría de Hacienda y Crédito Público</w:t>
            </w:r>
          </w:p>
        </w:tc>
        <w:tc>
          <w:tcPr>
            <w:tcW w:w="3905" w:type="dxa"/>
            <w:tcBorders>
              <w:top w:val="single" w:sz="4" w:space="0" w:color="auto"/>
              <w:left w:val="nil"/>
              <w:bottom w:val="single" w:sz="4" w:space="0" w:color="auto"/>
              <w:right w:val="nil"/>
            </w:tcBorders>
            <w:shd w:val="clear" w:color="auto" w:fill="FFFFFF" w:themeFill="background1"/>
          </w:tcPr>
          <w:p w:rsidR="00C772E4" w:rsidRPr="00487785" w:rsidRDefault="004679C1" w:rsidP="00CE5B7A">
            <w:pPr>
              <w:pStyle w:val="ROMANOS"/>
              <w:spacing w:after="0" w:line="240" w:lineRule="exact"/>
              <w:ind w:left="0" w:firstLine="0"/>
              <w:jc w:val="center"/>
              <w:rPr>
                <w:lang w:val="es-MX"/>
              </w:rPr>
            </w:pPr>
            <w:r>
              <w:rPr>
                <w:lang w:val="es-MX"/>
              </w:rPr>
              <w:t>Retención de I.S.R a los trabajadores</w:t>
            </w:r>
          </w:p>
        </w:tc>
        <w:tc>
          <w:tcPr>
            <w:tcW w:w="2691" w:type="dxa"/>
            <w:tcBorders>
              <w:top w:val="single" w:sz="4" w:space="0" w:color="auto"/>
              <w:left w:val="nil"/>
              <w:bottom w:val="single" w:sz="4" w:space="0" w:color="auto"/>
              <w:right w:val="nil"/>
            </w:tcBorders>
            <w:shd w:val="clear" w:color="auto" w:fill="FFFFFF" w:themeFill="background1"/>
          </w:tcPr>
          <w:p w:rsidR="00C772E4" w:rsidRPr="00487785" w:rsidRDefault="00CE1468" w:rsidP="00CE5B7A">
            <w:pPr>
              <w:pStyle w:val="ROMANOS"/>
              <w:spacing w:after="0" w:line="240" w:lineRule="exact"/>
              <w:ind w:left="0" w:firstLine="0"/>
              <w:jc w:val="center"/>
              <w:rPr>
                <w:lang w:val="es-MX"/>
              </w:rPr>
            </w:pPr>
            <w:r>
              <w:rPr>
                <w:lang w:val="es-MX"/>
              </w:rPr>
              <w:t>$ 21</w:t>
            </w:r>
            <w:r w:rsidR="0049653D">
              <w:rPr>
                <w:lang w:val="es-MX"/>
              </w:rPr>
              <w:t>,</w:t>
            </w:r>
            <w:r>
              <w:rPr>
                <w:lang w:val="es-MX"/>
              </w:rPr>
              <w:t>367</w:t>
            </w:r>
          </w:p>
        </w:tc>
      </w:tr>
    </w:tbl>
    <w:p w:rsidR="00487785" w:rsidRPr="00487785" w:rsidRDefault="00487785" w:rsidP="00F32C6A">
      <w:pPr>
        <w:pStyle w:val="ROMANOS"/>
        <w:spacing w:after="0" w:line="240" w:lineRule="exact"/>
        <w:ind w:left="0" w:firstLine="0"/>
        <w:rPr>
          <w:lang w:val="es-MX"/>
        </w:rPr>
      </w:pPr>
    </w:p>
    <w:p w:rsidR="00540418" w:rsidRDefault="00C331BB" w:rsidP="00487785">
      <w:pPr>
        <w:pStyle w:val="ROMANOS"/>
        <w:numPr>
          <w:ilvl w:val="0"/>
          <w:numId w:val="16"/>
        </w:numPr>
        <w:spacing w:after="0" w:line="240" w:lineRule="exact"/>
        <w:rPr>
          <w:lang w:val="es-MX"/>
        </w:rPr>
      </w:pPr>
      <w:r w:rsidRPr="00487785">
        <w:rPr>
          <w:lang w:val="es-MX"/>
        </w:rPr>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5423B6">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6"/>
        <w:gridCol w:w="3463"/>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F7F4E" w:rsidP="00CE1468">
            <w:pPr>
              <w:pStyle w:val="ROMANOS"/>
              <w:spacing w:after="0" w:line="240" w:lineRule="exact"/>
              <w:ind w:left="0" w:firstLine="0"/>
              <w:jc w:val="center"/>
              <w:rPr>
                <w:lang w:val="es-MX"/>
              </w:rPr>
            </w:pPr>
            <w:r>
              <w:rPr>
                <w:lang w:val="es-MX"/>
              </w:rPr>
              <w:t>$ 2</w:t>
            </w:r>
            <w:r w:rsidR="00344401">
              <w:rPr>
                <w:lang w:val="es-MX"/>
              </w:rPr>
              <w:t>,</w:t>
            </w:r>
            <w:r w:rsidR="00CE1468">
              <w:rPr>
                <w:lang w:val="es-MX"/>
              </w:rPr>
              <w:t>515</w:t>
            </w:r>
            <w:r w:rsidR="00344401">
              <w:rPr>
                <w:lang w:val="es-MX"/>
              </w:rPr>
              <w:t>,</w:t>
            </w:r>
            <w:r w:rsidR="00CE1468">
              <w:rPr>
                <w:lang w:val="es-MX"/>
              </w:rPr>
              <w:t>871</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CE1468" w:rsidP="00CE1468">
            <w:pPr>
              <w:pStyle w:val="ROMANOS"/>
              <w:spacing w:after="0" w:line="240" w:lineRule="exact"/>
              <w:ind w:left="0" w:firstLine="0"/>
              <w:jc w:val="center"/>
              <w:rPr>
                <w:lang w:val="es-MX"/>
              </w:rPr>
            </w:pPr>
            <w:r>
              <w:rPr>
                <w:lang w:val="es-MX"/>
              </w:rPr>
              <w:t xml:space="preserve">          2</w:t>
            </w:r>
            <w:r w:rsidR="00EF7F4E">
              <w:rPr>
                <w:lang w:val="es-MX"/>
              </w:rPr>
              <w:t>,3</w:t>
            </w:r>
            <w:r>
              <w:rPr>
                <w:lang w:val="es-MX"/>
              </w:rPr>
              <w:t>23</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lang w:val="es-MX"/>
              </w:rPr>
            </w:pPr>
            <w:r>
              <w:rPr>
                <w:lang w:val="es-MX"/>
              </w:rPr>
              <w:t>Ingresos Financieros de las cuentas bancarias del Fideicomiso.</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E1468" w:rsidP="00CE1468">
            <w:pPr>
              <w:pStyle w:val="ROMANOS"/>
              <w:spacing w:after="0" w:line="240" w:lineRule="exact"/>
              <w:ind w:left="0" w:firstLine="0"/>
              <w:jc w:val="center"/>
              <w:rPr>
                <w:lang w:val="es-MX"/>
              </w:rPr>
            </w:pPr>
            <w:r>
              <w:rPr>
                <w:lang w:val="es-MX"/>
              </w:rPr>
              <w:t>$ 2,518</w:t>
            </w:r>
            <w:r w:rsidR="00EF7F4E">
              <w:rPr>
                <w:lang w:val="es-MX"/>
              </w:rPr>
              <w:t>,</w:t>
            </w:r>
            <w:r>
              <w:rPr>
                <w:lang w:val="es-MX"/>
              </w:rPr>
              <w:t>194</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9E2ED3">
        <w:trPr>
          <w:trHeight w:val="232"/>
        </w:trPr>
        <w:tc>
          <w:tcPr>
            <w:tcW w:w="108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2"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6"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68"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8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68"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6"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89" w:type="dxa"/>
            <w:tcBorders>
              <w:top w:val="single" w:sz="4" w:space="0" w:color="auto"/>
              <w:left w:val="nil"/>
              <w:bottom w:val="single" w:sz="4" w:space="0" w:color="auto"/>
              <w:right w:val="nil"/>
            </w:tcBorders>
            <w:shd w:val="clear" w:color="auto" w:fill="FFFFFF" w:themeFill="background1"/>
          </w:tcPr>
          <w:p w:rsidR="008E5D14" w:rsidRDefault="008E5D14" w:rsidP="0026176C">
            <w:pPr>
              <w:pStyle w:val="ROMANOS"/>
              <w:spacing w:after="0" w:line="240" w:lineRule="exact"/>
              <w:ind w:left="0" w:firstLine="0"/>
              <w:jc w:val="center"/>
              <w:rPr>
                <w:lang w:val="es-MX"/>
              </w:rPr>
            </w:pPr>
            <w:r>
              <w:rPr>
                <w:lang w:val="es-MX"/>
              </w:rPr>
              <w:t xml:space="preserve">$ </w:t>
            </w:r>
            <w:r w:rsidR="0026176C">
              <w:rPr>
                <w:lang w:val="es-MX"/>
              </w:rPr>
              <w:t>968</w:t>
            </w:r>
            <w:r>
              <w:rPr>
                <w:lang w:val="es-MX"/>
              </w:rPr>
              <w:t>,</w:t>
            </w:r>
            <w:r w:rsidR="0026176C">
              <w:rPr>
                <w:lang w:val="es-MX"/>
              </w:rPr>
              <w:t>281</w:t>
            </w:r>
          </w:p>
        </w:tc>
      </w:tr>
      <w:tr w:rsidR="006B70BD" w:rsidRPr="00487785" w:rsidTr="009E2ED3">
        <w:trPr>
          <w:trHeight w:val="232"/>
        </w:trPr>
        <w:tc>
          <w:tcPr>
            <w:tcW w:w="108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6"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68"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6" w:type="dxa"/>
            <w:tcBorders>
              <w:top w:val="single" w:sz="4" w:space="0" w:color="auto"/>
              <w:left w:val="nil"/>
              <w:bottom w:val="single" w:sz="4" w:space="0" w:color="auto"/>
              <w:right w:val="nil"/>
            </w:tcBorders>
            <w:shd w:val="clear" w:color="auto" w:fill="D9D9D9"/>
          </w:tcPr>
          <w:p w:rsidR="006B70BD" w:rsidRPr="00487785" w:rsidRDefault="0026176C" w:rsidP="0026176C">
            <w:pPr>
              <w:pStyle w:val="ROMANOS"/>
              <w:spacing w:after="0" w:line="240" w:lineRule="exact"/>
              <w:ind w:left="0" w:firstLine="0"/>
              <w:jc w:val="center"/>
              <w:rPr>
                <w:lang w:val="es-MX"/>
              </w:rPr>
            </w:pPr>
            <w:r>
              <w:rPr>
                <w:lang w:val="es-MX"/>
              </w:rPr>
              <w:t>79</w:t>
            </w:r>
            <w:r w:rsidR="00001BAA">
              <w:rPr>
                <w:lang w:val="es-MX"/>
              </w:rPr>
              <w:t>5</w:t>
            </w:r>
            <w:r w:rsidR="008E5D14">
              <w:rPr>
                <w:lang w:val="es-MX"/>
              </w:rPr>
              <w:t>,</w:t>
            </w:r>
            <w:r>
              <w:rPr>
                <w:lang w:val="es-MX"/>
              </w:rPr>
              <w:t>519</w:t>
            </w:r>
          </w:p>
        </w:tc>
        <w:tc>
          <w:tcPr>
            <w:tcW w:w="168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1066"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3</w:t>
            </w:r>
          </w:p>
        </w:tc>
        <w:tc>
          <w:tcPr>
            <w:tcW w:w="5068"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Remuneraciones adicionales y especiales</w:t>
            </w:r>
          </w:p>
        </w:tc>
        <w:tc>
          <w:tcPr>
            <w:tcW w:w="1536" w:type="dxa"/>
            <w:tcBorders>
              <w:top w:val="single" w:sz="4" w:space="0" w:color="auto"/>
              <w:left w:val="nil"/>
              <w:bottom w:val="single" w:sz="4" w:space="0" w:color="auto"/>
              <w:right w:val="nil"/>
            </w:tcBorders>
            <w:shd w:val="clear" w:color="auto" w:fill="FFFFFF" w:themeFill="background1"/>
          </w:tcPr>
          <w:p w:rsidR="006B70BD" w:rsidRPr="00487785" w:rsidRDefault="0026176C" w:rsidP="00B04BFD">
            <w:pPr>
              <w:pStyle w:val="ROMANOS"/>
              <w:spacing w:after="0" w:line="240" w:lineRule="exact"/>
              <w:ind w:left="0" w:firstLine="0"/>
              <w:jc w:val="center"/>
              <w:rPr>
                <w:lang w:val="es-MX"/>
              </w:rPr>
            </w:pPr>
            <w:r>
              <w:rPr>
                <w:lang w:val="es-MX"/>
              </w:rPr>
              <w:t>147</w:t>
            </w:r>
            <w:r w:rsidR="008E5D14">
              <w:rPr>
                <w:lang w:val="es-MX"/>
              </w:rPr>
              <w:t>,</w:t>
            </w:r>
            <w:r>
              <w:rPr>
                <w:lang w:val="es-MX"/>
              </w:rPr>
              <w:t>037</w:t>
            </w:r>
          </w:p>
        </w:tc>
        <w:tc>
          <w:tcPr>
            <w:tcW w:w="168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487785" w:rsidTr="009E2ED3">
        <w:trPr>
          <w:trHeight w:val="244"/>
        </w:trPr>
        <w:tc>
          <w:tcPr>
            <w:tcW w:w="108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6"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6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6" w:type="dxa"/>
            <w:tcBorders>
              <w:top w:val="single" w:sz="4" w:space="0" w:color="auto"/>
              <w:left w:val="nil"/>
              <w:bottom w:val="single" w:sz="4" w:space="0" w:color="auto"/>
              <w:right w:val="nil"/>
            </w:tcBorders>
            <w:shd w:val="clear" w:color="auto" w:fill="D9D9D9" w:themeFill="background1" w:themeFillShade="D9"/>
          </w:tcPr>
          <w:p w:rsidR="000923F1" w:rsidRPr="00487785" w:rsidRDefault="0026176C" w:rsidP="0026176C">
            <w:pPr>
              <w:pStyle w:val="ROMANOS"/>
              <w:spacing w:after="0" w:line="240" w:lineRule="exact"/>
              <w:ind w:left="0" w:firstLine="0"/>
              <w:jc w:val="center"/>
              <w:rPr>
                <w:lang w:val="es-MX"/>
              </w:rPr>
            </w:pPr>
            <w:r>
              <w:rPr>
                <w:lang w:val="es-MX"/>
              </w:rPr>
              <w:t xml:space="preserve"> 2</w:t>
            </w:r>
            <w:r w:rsidR="00001BAA">
              <w:rPr>
                <w:lang w:val="es-MX"/>
              </w:rPr>
              <w:t>5</w:t>
            </w:r>
            <w:r w:rsidR="008E5D14">
              <w:rPr>
                <w:lang w:val="es-MX"/>
              </w:rPr>
              <w:t>,</w:t>
            </w:r>
            <w:r>
              <w:rPr>
                <w:lang w:val="es-MX"/>
              </w:rPr>
              <w:t>725</w:t>
            </w:r>
          </w:p>
        </w:tc>
        <w:tc>
          <w:tcPr>
            <w:tcW w:w="168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68"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6"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89" w:type="dxa"/>
            <w:tcBorders>
              <w:top w:val="single" w:sz="4" w:space="0" w:color="auto"/>
              <w:left w:val="nil"/>
              <w:bottom w:val="single" w:sz="4" w:space="0" w:color="auto"/>
              <w:right w:val="nil"/>
            </w:tcBorders>
            <w:shd w:val="clear" w:color="auto" w:fill="FFFFFF" w:themeFill="background1"/>
          </w:tcPr>
          <w:p w:rsidR="000923F1" w:rsidRDefault="00082107" w:rsidP="004140A1">
            <w:pPr>
              <w:pStyle w:val="ROMANOS"/>
              <w:spacing w:after="0" w:line="240" w:lineRule="exact"/>
              <w:ind w:left="0" w:firstLine="0"/>
              <w:jc w:val="center"/>
              <w:rPr>
                <w:lang w:val="es-MX"/>
              </w:rPr>
            </w:pPr>
            <w:r>
              <w:rPr>
                <w:lang w:val="es-MX"/>
              </w:rPr>
              <w:t xml:space="preserve">    </w:t>
            </w:r>
            <w:r w:rsidR="0026176C">
              <w:rPr>
                <w:lang w:val="es-MX"/>
              </w:rPr>
              <w:t>537</w:t>
            </w:r>
            <w:r w:rsidR="00F32C6A">
              <w:rPr>
                <w:lang w:val="es-MX"/>
              </w:rPr>
              <w:t>,</w:t>
            </w:r>
            <w:r w:rsidR="0026176C">
              <w:rPr>
                <w:lang w:val="es-MX"/>
              </w:rPr>
              <w:t>11</w:t>
            </w:r>
            <w:r w:rsidR="004140A1">
              <w:rPr>
                <w:lang w:val="es-MX"/>
              </w:rPr>
              <w:t>5</w:t>
            </w:r>
          </w:p>
        </w:tc>
      </w:tr>
      <w:tr w:rsidR="000923F1" w:rsidRPr="00487785" w:rsidTr="009E2ED3">
        <w:trPr>
          <w:trHeight w:val="487"/>
        </w:trPr>
        <w:tc>
          <w:tcPr>
            <w:tcW w:w="108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6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 xml:space="preserve">Materiales de Administración, emisión de documentos y artículos oficiales </w:t>
            </w:r>
          </w:p>
        </w:tc>
        <w:tc>
          <w:tcPr>
            <w:tcW w:w="1536"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95</w:t>
            </w:r>
            <w:r w:rsidR="008E5D14">
              <w:rPr>
                <w:lang w:val="es-MX"/>
              </w:rPr>
              <w:t>,</w:t>
            </w:r>
            <w:r w:rsidR="0026176C">
              <w:rPr>
                <w:lang w:val="es-MX"/>
              </w:rPr>
              <w:t>014</w:t>
            </w:r>
          </w:p>
        </w:tc>
        <w:tc>
          <w:tcPr>
            <w:tcW w:w="168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9E2ED3">
        <w:trPr>
          <w:trHeight w:val="232"/>
        </w:trPr>
        <w:tc>
          <w:tcPr>
            <w:tcW w:w="108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FFFFFF" w:themeFill="background1"/>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68"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6" w:type="dxa"/>
            <w:tcBorders>
              <w:top w:val="single" w:sz="4" w:space="0" w:color="auto"/>
              <w:left w:val="nil"/>
              <w:bottom w:val="single" w:sz="4" w:space="0" w:color="auto"/>
              <w:right w:val="nil"/>
            </w:tcBorders>
            <w:shd w:val="clear" w:color="auto" w:fill="FFFFFF" w:themeFill="background1"/>
          </w:tcPr>
          <w:p w:rsidR="000923F1" w:rsidRPr="00487785" w:rsidRDefault="0026176C" w:rsidP="0026176C">
            <w:pPr>
              <w:pStyle w:val="ROMANOS"/>
              <w:spacing w:after="0" w:line="240" w:lineRule="exact"/>
              <w:ind w:left="0" w:firstLine="0"/>
              <w:jc w:val="center"/>
              <w:rPr>
                <w:lang w:val="es-MX"/>
              </w:rPr>
            </w:pPr>
            <w:r>
              <w:rPr>
                <w:lang w:val="es-MX"/>
              </w:rPr>
              <w:t>318</w:t>
            </w:r>
            <w:r w:rsidR="008E5D14">
              <w:rPr>
                <w:lang w:val="es-MX"/>
              </w:rPr>
              <w:t>,</w:t>
            </w:r>
            <w:r w:rsidR="00001BAA">
              <w:rPr>
                <w:lang w:val="es-MX"/>
              </w:rPr>
              <w:t>72</w:t>
            </w:r>
            <w:r>
              <w:rPr>
                <w:lang w:val="es-MX"/>
              </w:rPr>
              <w:t>5</w:t>
            </w:r>
          </w:p>
        </w:tc>
        <w:tc>
          <w:tcPr>
            <w:tcW w:w="1689" w:type="dxa"/>
            <w:tcBorders>
              <w:top w:val="single" w:sz="4" w:space="0" w:color="auto"/>
              <w:left w:val="nil"/>
              <w:bottom w:val="single" w:sz="4" w:space="0" w:color="auto"/>
              <w:right w:val="nil"/>
            </w:tcBorders>
            <w:shd w:val="clear" w:color="auto" w:fill="FFFFFF" w:themeFill="background1"/>
          </w:tcPr>
          <w:p w:rsidR="000923F1" w:rsidRDefault="000923F1" w:rsidP="00C95AA6">
            <w:pPr>
              <w:pStyle w:val="ROMANOS"/>
              <w:spacing w:after="0" w:line="240" w:lineRule="exact"/>
              <w:ind w:left="0" w:firstLine="0"/>
              <w:jc w:val="center"/>
              <w:rPr>
                <w:lang w:val="es-MX"/>
              </w:rPr>
            </w:pPr>
          </w:p>
        </w:tc>
      </w:tr>
      <w:tr w:rsidR="000923F1" w:rsidRPr="00487785" w:rsidTr="009E2ED3">
        <w:trPr>
          <w:trHeight w:val="244"/>
        </w:trPr>
        <w:tc>
          <w:tcPr>
            <w:tcW w:w="108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68"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6"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B04BFD">
            <w:pPr>
              <w:pStyle w:val="ROMANOS"/>
              <w:spacing w:after="0" w:line="240" w:lineRule="exact"/>
              <w:ind w:left="0" w:firstLine="0"/>
              <w:jc w:val="center"/>
              <w:rPr>
                <w:lang w:val="es-MX"/>
              </w:rPr>
            </w:pPr>
            <w:r>
              <w:rPr>
                <w:lang w:val="es-MX"/>
              </w:rPr>
              <w:t xml:space="preserve">  </w:t>
            </w:r>
            <w:r w:rsidR="0026176C">
              <w:rPr>
                <w:lang w:val="es-MX"/>
              </w:rPr>
              <w:t>18</w:t>
            </w:r>
            <w:r w:rsidR="00001BAA">
              <w:rPr>
                <w:lang w:val="es-MX"/>
              </w:rPr>
              <w:t>,66</w:t>
            </w:r>
            <w:r w:rsidR="00E638A3">
              <w:rPr>
                <w:lang w:val="es-MX"/>
              </w:rPr>
              <w:t>5</w:t>
            </w:r>
          </w:p>
        </w:tc>
        <w:tc>
          <w:tcPr>
            <w:tcW w:w="1689"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68"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6" w:type="dxa"/>
            <w:tcBorders>
              <w:top w:val="single" w:sz="4" w:space="0" w:color="auto"/>
              <w:left w:val="nil"/>
              <w:bottom w:val="single" w:sz="4" w:space="0" w:color="auto"/>
              <w:right w:val="nil"/>
            </w:tcBorders>
            <w:shd w:val="clear" w:color="auto" w:fill="FFFFFF" w:themeFill="background1"/>
          </w:tcPr>
          <w:p w:rsidR="006B70BD"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99</w:t>
            </w:r>
            <w:r w:rsidR="008E5D14">
              <w:rPr>
                <w:lang w:val="es-MX"/>
              </w:rPr>
              <w:t>,0</w:t>
            </w:r>
            <w:r w:rsidR="0026176C">
              <w:rPr>
                <w:lang w:val="es-MX"/>
              </w:rPr>
              <w:t>25</w:t>
            </w:r>
          </w:p>
        </w:tc>
        <w:tc>
          <w:tcPr>
            <w:tcW w:w="168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6"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b/>
                <w:bCs/>
                <w:lang w:val="es-MX"/>
              </w:rPr>
            </w:pPr>
            <w:r>
              <w:rPr>
                <w:b/>
                <w:bCs/>
                <w:lang w:val="es-MX"/>
              </w:rPr>
              <w:t>9</w:t>
            </w:r>
          </w:p>
        </w:tc>
        <w:tc>
          <w:tcPr>
            <w:tcW w:w="5068" w:type="dxa"/>
            <w:tcBorders>
              <w:top w:val="single" w:sz="4" w:space="0" w:color="auto"/>
              <w:left w:val="nil"/>
              <w:bottom w:val="single" w:sz="4" w:space="0" w:color="auto"/>
              <w:right w:val="nil"/>
            </w:tcBorders>
            <w:shd w:val="clear" w:color="auto" w:fill="D9D9D9" w:themeFill="background1" w:themeFillShade="D9"/>
          </w:tcPr>
          <w:p w:rsidR="006B70BD" w:rsidRDefault="00F32C6A" w:rsidP="008E5D14">
            <w:pPr>
              <w:pStyle w:val="ROMANOS"/>
              <w:spacing w:after="0" w:line="240" w:lineRule="exact"/>
              <w:ind w:left="0" w:firstLine="0"/>
              <w:jc w:val="left"/>
              <w:rPr>
                <w:lang w:val="es-MX"/>
              </w:rPr>
            </w:pPr>
            <w:r>
              <w:rPr>
                <w:lang w:val="es-MX"/>
              </w:rPr>
              <w:t>Herramientas, Refacciones y Accesorios menores</w:t>
            </w:r>
          </w:p>
        </w:tc>
        <w:tc>
          <w:tcPr>
            <w:tcW w:w="1536"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5</w:t>
            </w:r>
            <w:r w:rsidR="00001BAA">
              <w:rPr>
                <w:lang w:val="es-MX"/>
              </w:rPr>
              <w:t>,</w:t>
            </w:r>
            <w:r w:rsidR="0026176C">
              <w:rPr>
                <w:lang w:val="es-MX"/>
              </w:rPr>
              <w:t>68</w:t>
            </w:r>
            <w:r w:rsidR="00E638A3">
              <w:rPr>
                <w:lang w:val="es-MX"/>
              </w:rPr>
              <w:t>6</w:t>
            </w:r>
          </w:p>
        </w:tc>
        <w:tc>
          <w:tcPr>
            <w:tcW w:w="1689"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68"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6"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89" w:type="dxa"/>
            <w:tcBorders>
              <w:top w:val="single" w:sz="4" w:space="0" w:color="auto"/>
              <w:left w:val="nil"/>
              <w:bottom w:val="single" w:sz="4" w:space="0" w:color="auto"/>
              <w:right w:val="nil"/>
            </w:tcBorders>
            <w:shd w:val="clear" w:color="auto" w:fill="FFFFFF" w:themeFill="background1"/>
          </w:tcPr>
          <w:p w:rsidR="006B70BD" w:rsidRDefault="00001BAA" w:rsidP="00001BAA">
            <w:pPr>
              <w:pStyle w:val="ROMANOS"/>
              <w:spacing w:after="0" w:line="240" w:lineRule="exact"/>
              <w:ind w:left="0" w:firstLine="0"/>
              <w:jc w:val="center"/>
              <w:rPr>
                <w:lang w:val="es-MX"/>
              </w:rPr>
            </w:pPr>
            <w:r>
              <w:rPr>
                <w:lang w:val="es-MX"/>
              </w:rPr>
              <w:t xml:space="preserve">  </w:t>
            </w:r>
            <w:r w:rsidR="00082107">
              <w:rPr>
                <w:lang w:val="es-MX"/>
              </w:rPr>
              <w:t xml:space="preserve">  </w:t>
            </w:r>
            <w:r w:rsidR="0026176C">
              <w:rPr>
                <w:lang w:val="es-MX"/>
              </w:rPr>
              <w:t>191</w:t>
            </w:r>
            <w:r w:rsidR="00CD66CE">
              <w:rPr>
                <w:lang w:val="es-MX"/>
              </w:rPr>
              <w:t>,</w:t>
            </w:r>
            <w:r>
              <w:rPr>
                <w:lang w:val="es-MX"/>
              </w:rPr>
              <w:t>6</w:t>
            </w:r>
            <w:r w:rsidR="0026176C">
              <w:rPr>
                <w:lang w:val="es-MX"/>
              </w:rPr>
              <w:t>99</w:t>
            </w: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68"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6" w:type="dxa"/>
            <w:tcBorders>
              <w:top w:val="single" w:sz="4" w:space="0" w:color="auto"/>
              <w:left w:val="nil"/>
              <w:bottom w:val="single" w:sz="4" w:space="0" w:color="auto"/>
              <w:right w:val="nil"/>
            </w:tcBorders>
            <w:shd w:val="clear" w:color="auto" w:fill="D9D9D9"/>
          </w:tcPr>
          <w:p w:rsidR="006B70BD"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134</w:t>
            </w:r>
            <w:r w:rsidR="00F32C6A">
              <w:rPr>
                <w:lang w:val="es-MX"/>
              </w:rPr>
              <w:t>,</w:t>
            </w:r>
            <w:r w:rsidR="0026176C">
              <w:rPr>
                <w:lang w:val="es-MX"/>
              </w:rPr>
              <w:t>522</w:t>
            </w:r>
          </w:p>
        </w:tc>
        <w:tc>
          <w:tcPr>
            <w:tcW w:w="168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6B70BD" w:rsidRPr="00487785" w:rsidTr="009E2ED3">
        <w:trPr>
          <w:trHeight w:val="487"/>
        </w:trPr>
        <w:tc>
          <w:tcPr>
            <w:tcW w:w="108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3</w:t>
            </w:r>
          </w:p>
        </w:tc>
        <w:tc>
          <w:tcPr>
            <w:tcW w:w="5068"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Profesionales, Científicos y Técnicos y otros servicios.</w:t>
            </w:r>
          </w:p>
        </w:tc>
        <w:tc>
          <w:tcPr>
            <w:tcW w:w="1536" w:type="dxa"/>
            <w:tcBorders>
              <w:top w:val="single" w:sz="4" w:space="0" w:color="auto"/>
              <w:left w:val="nil"/>
              <w:bottom w:val="single" w:sz="4" w:space="0" w:color="auto"/>
              <w:right w:val="nil"/>
            </w:tcBorders>
            <w:shd w:val="clear" w:color="auto" w:fill="FFFFFF" w:themeFill="background1"/>
          </w:tcPr>
          <w:p w:rsidR="006B70BD" w:rsidRPr="00487785" w:rsidRDefault="00B04BFD" w:rsidP="0026176C">
            <w:pPr>
              <w:pStyle w:val="ROMANOS"/>
              <w:spacing w:after="0" w:line="240" w:lineRule="exact"/>
              <w:ind w:left="0" w:firstLine="0"/>
              <w:jc w:val="center"/>
              <w:rPr>
                <w:lang w:val="es-MX"/>
              </w:rPr>
            </w:pPr>
            <w:r>
              <w:rPr>
                <w:lang w:val="es-MX"/>
              </w:rPr>
              <w:t xml:space="preserve">    </w:t>
            </w:r>
            <w:r w:rsidR="00E638A3">
              <w:rPr>
                <w:lang w:val="es-MX"/>
              </w:rPr>
              <w:t xml:space="preserve"> </w:t>
            </w:r>
            <w:r w:rsidR="0026176C">
              <w:rPr>
                <w:lang w:val="es-MX"/>
              </w:rPr>
              <w:t>8</w:t>
            </w:r>
            <w:r w:rsidR="00F32C6A">
              <w:rPr>
                <w:lang w:val="es-MX"/>
              </w:rPr>
              <w:t>,</w:t>
            </w:r>
            <w:r w:rsidR="0026176C">
              <w:rPr>
                <w:lang w:val="es-MX"/>
              </w:rPr>
              <w:t>049</w:t>
            </w:r>
          </w:p>
        </w:tc>
        <w:tc>
          <w:tcPr>
            <w:tcW w:w="168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F2250F" w:rsidRPr="00487785" w:rsidTr="009E2ED3">
        <w:trPr>
          <w:trHeight w:val="232"/>
        </w:trPr>
        <w:tc>
          <w:tcPr>
            <w:tcW w:w="108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68"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6" w:type="dxa"/>
            <w:tcBorders>
              <w:top w:val="single" w:sz="4" w:space="0" w:color="auto"/>
              <w:left w:val="nil"/>
              <w:bottom w:val="single" w:sz="4" w:space="0" w:color="auto"/>
              <w:right w:val="nil"/>
            </w:tcBorders>
            <w:shd w:val="clear" w:color="auto" w:fill="D9D9D9"/>
          </w:tcPr>
          <w:p w:rsidR="00F2250F"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28</w:t>
            </w:r>
            <w:r w:rsidR="00F32C6A">
              <w:rPr>
                <w:lang w:val="es-MX"/>
              </w:rPr>
              <w:t>,</w:t>
            </w:r>
            <w:r w:rsidR="00001BAA">
              <w:rPr>
                <w:lang w:val="es-MX"/>
              </w:rPr>
              <w:t>0</w:t>
            </w:r>
            <w:r w:rsidR="0026176C">
              <w:rPr>
                <w:lang w:val="es-MX"/>
              </w:rPr>
              <w:t>93</w:t>
            </w:r>
          </w:p>
        </w:tc>
        <w:tc>
          <w:tcPr>
            <w:tcW w:w="1689"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9E2ED3">
        <w:trPr>
          <w:trHeight w:val="244"/>
        </w:trPr>
        <w:tc>
          <w:tcPr>
            <w:tcW w:w="108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68" w:type="dxa"/>
            <w:tcBorders>
              <w:top w:val="single" w:sz="4" w:space="0" w:color="auto"/>
              <w:left w:val="nil"/>
              <w:bottom w:val="single" w:sz="4" w:space="0" w:color="auto"/>
              <w:right w:val="nil"/>
            </w:tcBorders>
            <w:shd w:val="clear" w:color="auto" w:fill="FFFFFF" w:themeFill="background1"/>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6" w:type="dxa"/>
            <w:tcBorders>
              <w:top w:val="single" w:sz="4" w:space="0" w:color="auto"/>
              <w:left w:val="nil"/>
              <w:bottom w:val="single" w:sz="4" w:space="0" w:color="auto"/>
              <w:right w:val="nil"/>
            </w:tcBorders>
            <w:shd w:val="clear" w:color="auto" w:fill="FFFFFF" w:themeFill="background1"/>
          </w:tcPr>
          <w:p w:rsidR="006B70BD" w:rsidRPr="00487785" w:rsidRDefault="00B04BFD" w:rsidP="0026176C">
            <w:pPr>
              <w:pStyle w:val="ROMANOS"/>
              <w:spacing w:after="0" w:line="240" w:lineRule="exact"/>
              <w:ind w:left="0" w:firstLine="0"/>
              <w:jc w:val="center"/>
              <w:rPr>
                <w:lang w:val="es-MX"/>
              </w:rPr>
            </w:pPr>
            <w:r>
              <w:rPr>
                <w:lang w:val="es-MX"/>
              </w:rPr>
              <w:t xml:space="preserve">   </w:t>
            </w:r>
            <w:r w:rsidR="0026176C">
              <w:rPr>
                <w:lang w:val="es-MX"/>
              </w:rPr>
              <w:t>15</w:t>
            </w:r>
            <w:r w:rsidR="00F32C6A">
              <w:rPr>
                <w:lang w:val="es-MX"/>
              </w:rPr>
              <w:t>,</w:t>
            </w:r>
            <w:r w:rsidR="0026176C">
              <w:rPr>
                <w:lang w:val="es-MX"/>
              </w:rPr>
              <w:t>9</w:t>
            </w:r>
            <w:r w:rsidR="00001BAA">
              <w:rPr>
                <w:lang w:val="es-MX"/>
              </w:rPr>
              <w:t>7</w:t>
            </w:r>
            <w:r w:rsidR="0026176C">
              <w:rPr>
                <w:lang w:val="es-MX"/>
              </w:rPr>
              <w:t>9</w:t>
            </w:r>
          </w:p>
        </w:tc>
        <w:tc>
          <w:tcPr>
            <w:tcW w:w="1689"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0923F1" w:rsidTr="009E2ED3">
        <w:trPr>
          <w:trHeight w:val="244"/>
        </w:trPr>
        <w:tc>
          <w:tcPr>
            <w:tcW w:w="108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2"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6"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68"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6" w:type="dxa"/>
            <w:tcBorders>
              <w:top w:val="single" w:sz="4" w:space="0" w:color="auto"/>
              <w:left w:val="nil"/>
              <w:bottom w:val="single" w:sz="4" w:space="0" w:color="auto"/>
              <w:right w:val="nil"/>
            </w:tcBorders>
            <w:shd w:val="clear" w:color="auto" w:fill="D9D9D9"/>
          </w:tcPr>
          <w:p w:rsidR="000923F1" w:rsidRPr="00F32C6A" w:rsidRDefault="00B04BFD" w:rsidP="0026176C">
            <w:pPr>
              <w:pStyle w:val="ROMANOS"/>
              <w:spacing w:after="0" w:line="240" w:lineRule="exact"/>
              <w:ind w:left="0" w:firstLine="0"/>
              <w:jc w:val="center"/>
              <w:rPr>
                <w:bCs/>
                <w:lang w:val="es-MX"/>
              </w:rPr>
            </w:pPr>
            <w:r>
              <w:rPr>
                <w:bCs/>
                <w:lang w:val="es-MX"/>
              </w:rPr>
              <w:t xml:space="preserve">     </w:t>
            </w:r>
            <w:r w:rsidR="0026176C">
              <w:rPr>
                <w:bCs/>
                <w:lang w:val="es-MX"/>
              </w:rPr>
              <w:t>5</w:t>
            </w:r>
            <w:r w:rsidR="00001BAA">
              <w:rPr>
                <w:bCs/>
                <w:lang w:val="es-MX"/>
              </w:rPr>
              <w:t>,05</w:t>
            </w:r>
            <w:r w:rsidR="0026176C">
              <w:rPr>
                <w:bCs/>
                <w:lang w:val="es-MX"/>
              </w:rPr>
              <w:t>6</w:t>
            </w:r>
            <w:r>
              <w:rPr>
                <w:bCs/>
                <w:lang w:val="es-MX"/>
              </w:rPr>
              <w:t xml:space="preserve"> </w:t>
            </w:r>
          </w:p>
        </w:tc>
        <w:tc>
          <w:tcPr>
            <w:tcW w:w="1689"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r w:rsidR="00001BAA" w:rsidRPr="000923F1" w:rsidTr="009E2ED3">
        <w:trPr>
          <w:trHeight w:val="244"/>
        </w:trPr>
        <w:tc>
          <w:tcPr>
            <w:tcW w:w="1080" w:type="dxa"/>
            <w:tcBorders>
              <w:top w:val="single" w:sz="4" w:space="0" w:color="auto"/>
              <w:left w:val="nil"/>
              <w:bottom w:val="single" w:sz="4" w:space="0" w:color="auto"/>
              <w:right w:val="nil"/>
            </w:tcBorders>
            <w:shd w:val="clear" w:color="auto" w:fill="D9D9D9"/>
          </w:tcPr>
          <w:p w:rsidR="00001BAA" w:rsidRDefault="00001BAA" w:rsidP="000923F1">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001BAA" w:rsidRDefault="00001BAA" w:rsidP="000923F1">
            <w:pPr>
              <w:pStyle w:val="ROMANOS"/>
              <w:spacing w:after="0" w:line="240" w:lineRule="exact"/>
              <w:ind w:left="0" w:firstLine="0"/>
              <w:jc w:val="center"/>
              <w:rPr>
                <w:b/>
                <w:bCs/>
                <w:lang w:val="es-MX"/>
              </w:rPr>
            </w:pPr>
            <w:r>
              <w:rPr>
                <w:b/>
                <w:bCs/>
                <w:lang w:val="es-MX"/>
              </w:rPr>
              <w:t>2</w:t>
            </w:r>
          </w:p>
        </w:tc>
        <w:tc>
          <w:tcPr>
            <w:tcW w:w="992" w:type="dxa"/>
            <w:tcBorders>
              <w:top w:val="single" w:sz="4" w:space="0" w:color="auto"/>
              <w:left w:val="nil"/>
              <w:bottom w:val="single" w:sz="4" w:space="0" w:color="auto"/>
              <w:right w:val="nil"/>
            </w:tcBorders>
            <w:shd w:val="clear" w:color="auto" w:fill="D9D9D9"/>
          </w:tcPr>
          <w:p w:rsidR="00001BAA" w:rsidRDefault="00001BAA" w:rsidP="000923F1">
            <w:pPr>
              <w:pStyle w:val="ROMANOS"/>
              <w:spacing w:after="0" w:line="240" w:lineRule="exact"/>
              <w:ind w:left="0" w:firstLine="0"/>
              <w:jc w:val="center"/>
              <w:rPr>
                <w:b/>
                <w:bCs/>
                <w:lang w:val="es-MX"/>
              </w:rPr>
            </w:pPr>
            <w:r>
              <w:rPr>
                <w:b/>
                <w:bCs/>
                <w:lang w:val="es-MX"/>
              </w:rPr>
              <w:t>4</w:t>
            </w:r>
          </w:p>
        </w:tc>
        <w:tc>
          <w:tcPr>
            <w:tcW w:w="1066" w:type="dxa"/>
            <w:tcBorders>
              <w:top w:val="single" w:sz="4" w:space="0" w:color="auto"/>
              <w:left w:val="nil"/>
              <w:bottom w:val="single" w:sz="4" w:space="0" w:color="auto"/>
              <w:right w:val="nil"/>
            </w:tcBorders>
            <w:shd w:val="clear" w:color="auto" w:fill="D9D9D9"/>
          </w:tcPr>
          <w:p w:rsidR="00001BAA" w:rsidRDefault="00001BAA" w:rsidP="000923F1">
            <w:pPr>
              <w:pStyle w:val="ROMANOS"/>
              <w:spacing w:after="0" w:line="240" w:lineRule="exact"/>
              <w:ind w:left="0" w:firstLine="0"/>
              <w:jc w:val="center"/>
              <w:rPr>
                <w:b/>
                <w:bCs/>
                <w:lang w:val="es-MX"/>
              </w:rPr>
            </w:pPr>
          </w:p>
        </w:tc>
        <w:tc>
          <w:tcPr>
            <w:tcW w:w="5068" w:type="dxa"/>
            <w:tcBorders>
              <w:top w:val="single" w:sz="4" w:space="0" w:color="auto"/>
              <w:left w:val="nil"/>
              <w:bottom w:val="single" w:sz="4" w:space="0" w:color="auto"/>
              <w:right w:val="nil"/>
            </w:tcBorders>
            <w:shd w:val="clear" w:color="auto" w:fill="D9D9D9"/>
          </w:tcPr>
          <w:p w:rsidR="00001BAA" w:rsidRDefault="004C2367" w:rsidP="00F32C6A">
            <w:pPr>
              <w:pStyle w:val="ROMANOS"/>
              <w:spacing w:after="0" w:line="240" w:lineRule="exact"/>
              <w:ind w:left="0" w:firstLine="0"/>
              <w:jc w:val="left"/>
              <w:rPr>
                <w:bCs/>
                <w:lang w:val="es-MX"/>
              </w:rPr>
            </w:pPr>
            <w:r>
              <w:rPr>
                <w:bCs/>
                <w:lang w:val="es-MX"/>
              </w:rPr>
              <w:t>AYUDAS SOCIALES</w:t>
            </w:r>
          </w:p>
        </w:tc>
        <w:tc>
          <w:tcPr>
            <w:tcW w:w="1536" w:type="dxa"/>
            <w:tcBorders>
              <w:top w:val="single" w:sz="4" w:space="0" w:color="auto"/>
              <w:left w:val="nil"/>
              <w:bottom w:val="single" w:sz="4" w:space="0" w:color="auto"/>
              <w:right w:val="nil"/>
            </w:tcBorders>
            <w:shd w:val="clear" w:color="auto" w:fill="D9D9D9"/>
          </w:tcPr>
          <w:p w:rsidR="00001BAA" w:rsidRDefault="00001BAA" w:rsidP="00B04BFD">
            <w:pPr>
              <w:pStyle w:val="ROMANOS"/>
              <w:spacing w:after="0" w:line="240" w:lineRule="exact"/>
              <w:ind w:left="0" w:firstLine="0"/>
              <w:jc w:val="center"/>
              <w:rPr>
                <w:bCs/>
                <w:lang w:val="es-MX"/>
              </w:rPr>
            </w:pPr>
          </w:p>
        </w:tc>
        <w:tc>
          <w:tcPr>
            <w:tcW w:w="1689" w:type="dxa"/>
            <w:tcBorders>
              <w:top w:val="single" w:sz="4" w:space="0" w:color="auto"/>
              <w:left w:val="nil"/>
              <w:bottom w:val="single" w:sz="4" w:space="0" w:color="auto"/>
              <w:right w:val="nil"/>
            </w:tcBorders>
            <w:shd w:val="clear" w:color="auto" w:fill="D9D9D9"/>
          </w:tcPr>
          <w:p w:rsidR="00001BAA" w:rsidRPr="004C2367" w:rsidRDefault="004C2367" w:rsidP="000923F1">
            <w:pPr>
              <w:pStyle w:val="ROMANOS"/>
              <w:spacing w:after="0" w:line="240" w:lineRule="exact"/>
              <w:ind w:left="0" w:firstLine="0"/>
              <w:jc w:val="center"/>
              <w:rPr>
                <w:bCs/>
                <w:lang w:val="es-MX"/>
              </w:rPr>
            </w:pPr>
            <w:r>
              <w:rPr>
                <w:bCs/>
                <w:lang w:val="es-MX"/>
              </w:rPr>
              <w:t xml:space="preserve">      </w:t>
            </w:r>
            <w:r w:rsidRPr="004C2367">
              <w:rPr>
                <w:bCs/>
                <w:lang w:val="es-MX"/>
              </w:rPr>
              <w:t>9,990</w:t>
            </w:r>
          </w:p>
        </w:tc>
      </w:tr>
      <w:tr w:rsidR="004C2367" w:rsidRPr="000923F1" w:rsidTr="009E2ED3">
        <w:trPr>
          <w:trHeight w:val="255"/>
        </w:trPr>
        <w:tc>
          <w:tcPr>
            <w:tcW w:w="1080" w:type="dxa"/>
            <w:tcBorders>
              <w:top w:val="single" w:sz="4" w:space="0" w:color="auto"/>
              <w:left w:val="nil"/>
              <w:bottom w:val="single" w:sz="4" w:space="0" w:color="auto"/>
              <w:right w:val="nil"/>
            </w:tcBorders>
            <w:shd w:val="clear" w:color="auto" w:fill="D9D9D9"/>
          </w:tcPr>
          <w:p w:rsidR="004C2367" w:rsidRDefault="004C2367" w:rsidP="000923F1">
            <w:pPr>
              <w:pStyle w:val="ROMANOS"/>
              <w:spacing w:after="0" w:line="240" w:lineRule="exact"/>
              <w:ind w:left="0" w:firstLine="0"/>
              <w:jc w:val="center"/>
              <w:rPr>
                <w:b/>
                <w:bCs/>
                <w:lang w:val="es-MX"/>
              </w:rPr>
            </w:pPr>
            <w:r>
              <w:rPr>
                <w:b/>
                <w:bCs/>
                <w:lang w:val="es-MX"/>
              </w:rPr>
              <w:t>5</w:t>
            </w:r>
          </w:p>
        </w:tc>
        <w:tc>
          <w:tcPr>
            <w:tcW w:w="1008" w:type="dxa"/>
            <w:tcBorders>
              <w:top w:val="single" w:sz="4" w:space="0" w:color="auto"/>
              <w:left w:val="nil"/>
              <w:bottom w:val="single" w:sz="4" w:space="0" w:color="auto"/>
              <w:right w:val="nil"/>
            </w:tcBorders>
            <w:shd w:val="clear" w:color="auto" w:fill="D9D9D9"/>
          </w:tcPr>
          <w:p w:rsidR="004C2367" w:rsidRDefault="004C2367" w:rsidP="000923F1">
            <w:pPr>
              <w:pStyle w:val="ROMANOS"/>
              <w:spacing w:after="0" w:line="240" w:lineRule="exact"/>
              <w:ind w:left="0" w:firstLine="0"/>
              <w:jc w:val="center"/>
              <w:rPr>
                <w:b/>
                <w:bCs/>
                <w:lang w:val="es-MX"/>
              </w:rPr>
            </w:pPr>
            <w:r>
              <w:rPr>
                <w:b/>
                <w:bCs/>
                <w:lang w:val="es-MX"/>
              </w:rPr>
              <w:t>2</w:t>
            </w:r>
          </w:p>
        </w:tc>
        <w:tc>
          <w:tcPr>
            <w:tcW w:w="992" w:type="dxa"/>
            <w:tcBorders>
              <w:top w:val="single" w:sz="4" w:space="0" w:color="auto"/>
              <w:left w:val="nil"/>
              <w:bottom w:val="single" w:sz="4" w:space="0" w:color="auto"/>
              <w:right w:val="nil"/>
            </w:tcBorders>
            <w:shd w:val="clear" w:color="auto" w:fill="D9D9D9"/>
          </w:tcPr>
          <w:p w:rsidR="004C2367" w:rsidRDefault="004C2367" w:rsidP="000923F1">
            <w:pPr>
              <w:pStyle w:val="ROMANOS"/>
              <w:spacing w:after="0" w:line="240" w:lineRule="exact"/>
              <w:ind w:left="0" w:firstLine="0"/>
              <w:jc w:val="center"/>
              <w:rPr>
                <w:b/>
                <w:bCs/>
                <w:lang w:val="es-MX"/>
              </w:rPr>
            </w:pPr>
            <w:r>
              <w:rPr>
                <w:b/>
                <w:bCs/>
                <w:lang w:val="es-MX"/>
              </w:rPr>
              <w:t>4</w:t>
            </w:r>
          </w:p>
        </w:tc>
        <w:tc>
          <w:tcPr>
            <w:tcW w:w="1066" w:type="dxa"/>
            <w:tcBorders>
              <w:top w:val="single" w:sz="4" w:space="0" w:color="auto"/>
              <w:left w:val="nil"/>
              <w:bottom w:val="single" w:sz="4" w:space="0" w:color="auto"/>
              <w:right w:val="nil"/>
            </w:tcBorders>
            <w:shd w:val="clear" w:color="auto" w:fill="D9D9D9"/>
          </w:tcPr>
          <w:p w:rsidR="004C2367" w:rsidRDefault="004C2367" w:rsidP="000923F1">
            <w:pPr>
              <w:pStyle w:val="ROMANOS"/>
              <w:spacing w:after="0" w:line="240" w:lineRule="exact"/>
              <w:ind w:left="0" w:firstLine="0"/>
              <w:jc w:val="center"/>
              <w:rPr>
                <w:b/>
                <w:bCs/>
                <w:lang w:val="es-MX"/>
              </w:rPr>
            </w:pPr>
            <w:r>
              <w:rPr>
                <w:b/>
                <w:bCs/>
                <w:lang w:val="es-MX"/>
              </w:rPr>
              <w:t>1</w:t>
            </w:r>
          </w:p>
        </w:tc>
        <w:tc>
          <w:tcPr>
            <w:tcW w:w="5068" w:type="dxa"/>
            <w:tcBorders>
              <w:top w:val="single" w:sz="4" w:space="0" w:color="auto"/>
              <w:left w:val="nil"/>
              <w:bottom w:val="single" w:sz="4" w:space="0" w:color="auto"/>
              <w:right w:val="nil"/>
            </w:tcBorders>
            <w:shd w:val="clear" w:color="auto" w:fill="D9D9D9"/>
          </w:tcPr>
          <w:p w:rsidR="004C2367" w:rsidRDefault="004C2367" w:rsidP="00F32C6A">
            <w:pPr>
              <w:pStyle w:val="ROMANOS"/>
              <w:spacing w:after="0" w:line="240" w:lineRule="exact"/>
              <w:ind w:left="0" w:firstLine="0"/>
              <w:jc w:val="left"/>
              <w:rPr>
                <w:bCs/>
                <w:lang w:val="es-MX"/>
              </w:rPr>
            </w:pPr>
            <w:r>
              <w:rPr>
                <w:bCs/>
                <w:lang w:val="es-MX"/>
              </w:rPr>
              <w:t>Ayudas sociales a personas</w:t>
            </w:r>
          </w:p>
        </w:tc>
        <w:tc>
          <w:tcPr>
            <w:tcW w:w="1536" w:type="dxa"/>
            <w:tcBorders>
              <w:top w:val="single" w:sz="4" w:space="0" w:color="auto"/>
              <w:left w:val="nil"/>
              <w:bottom w:val="single" w:sz="4" w:space="0" w:color="auto"/>
              <w:right w:val="nil"/>
            </w:tcBorders>
            <w:shd w:val="clear" w:color="auto" w:fill="D9D9D9"/>
          </w:tcPr>
          <w:p w:rsidR="004C2367" w:rsidRDefault="00B04BFD" w:rsidP="00B04BFD">
            <w:pPr>
              <w:pStyle w:val="ROMANOS"/>
              <w:spacing w:after="0" w:line="240" w:lineRule="exact"/>
              <w:ind w:left="0" w:firstLine="0"/>
              <w:jc w:val="center"/>
              <w:rPr>
                <w:bCs/>
                <w:lang w:val="es-MX"/>
              </w:rPr>
            </w:pPr>
            <w:r>
              <w:rPr>
                <w:bCs/>
                <w:lang w:val="es-MX"/>
              </w:rPr>
              <w:t xml:space="preserve">     </w:t>
            </w:r>
            <w:r w:rsidR="004C2367">
              <w:rPr>
                <w:bCs/>
                <w:lang w:val="es-MX"/>
              </w:rPr>
              <w:t>9,990</w:t>
            </w:r>
          </w:p>
        </w:tc>
        <w:tc>
          <w:tcPr>
            <w:tcW w:w="1689" w:type="dxa"/>
            <w:tcBorders>
              <w:top w:val="single" w:sz="4" w:space="0" w:color="auto"/>
              <w:left w:val="nil"/>
              <w:bottom w:val="single" w:sz="4" w:space="0" w:color="auto"/>
              <w:right w:val="nil"/>
            </w:tcBorders>
            <w:shd w:val="clear" w:color="auto" w:fill="D9D9D9"/>
          </w:tcPr>
          <w:p w:rsidR="004C2367" w:rsidRDefault="004C2367" w:rsidP="000923F1">
            <w:pPr>
              <w:pStyle w:val="ROMANOS"/>
              <w:spacing w:after="0" w:line="240" w:lineRule="exact"/>
              <w:ind w:left="0" w:firstLine="0"/>
              <w:jc w:val="center"/>
              <w:rPr>
                <w:bCs/>
                <w:lang w:val="es-MX"/>
              </w:rPr>
            </w:pPr>
          </w:p>
        </w:tc>
      </w:tr>
    </w:tbl>
    <w:p w:rsidR="00540418" w:rsidRPr="000923F1" w:rsidRDefault="00540418" w:rsidP="000923F1">
      <w:pPr>
        <w:pStyle w:val="ROMANOS"/>
        <w:spacing w:after="0" w:line="240" w:lineRule="exact"/>
        <w:ind w:left="0" w:firstLine="0"/>
        <w:jc w:val="center"/>
        <w:rPr>
          <w:b/>
          <w:bCs/>
          <w:lang w:val="es-MX"/>
        </w:rPr>
      </w:pPr>
    </w:p>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540418" w:rsidRPr="00487785" w:rsidRDefault="00540418" w:rsidP="00540418">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126"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560"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5423B6">
              <w:rPr>
                <w:bCs/>
                <w:lang w:val="es-MX"/>
              </w:rPr>
              <w:t>4</w:t>
            </w:r>
          </w:p>
        </w:tc>
        <w:tc>
          <w:tcPr>
            <w:tcW w:w="2551" w:type="dxa"/>
            <w:tcBorders>
              <w:top w:val="single" w:sz="4" w:space="0" w:color="auto"/>
              <w:left w:val="nil"/>
              <w:right w:val="nil"/>
            </w:tcBorders>
            <w:shd w:val="clear" w:color="auto" w:fill="D9D9D9"/>
          </w:tcPr>
          <w:p w:rsidR="002F3E1F" w:rsidRPr="00487785" w:rsidRDefault="000A55B3" w:rsidP="005B7D36">
            <w:pPr>
              <w:pStyle w:val="ROMANOS"/>
              <w:spacing w:after="0" w:line="240" w:lineRule="exact"/>
              <w:ind w:left="0" w:firstLine="0"/>
              <w:jc w:val="center"/>
              <w:rPr>
                <w:lang w:val="es-MX"/>
              </w:rPr>
            </w:pPr>
            <w:r>
              <w:rPr>
                <w:lang w:val="es-MX"/>
              </w:rPr>
              <w:t>4</w:t>
            </w:r>
            <w:r w:rsidR="002F3E1F">
              <w:rPr>
                <w:lang w:val="es-MX"/>
              </w:rPr>
              <w:t>,</w:t>
            </w:r>
            <w:r>
              <w:rPr>
                <w:lang w:val="es-MX"/>
              </w:rPr>
              <w:t>9</w:t>
            </w:r>
            <w:r w:rsidR="005B7D36">
              <w:rPr>
                <w:lang w:val="es-MX"/>
              </w:rPr>
              <w:t>59</w:t>
            </w:r>
            <w:r w:rsidR="002F3E1F" w:rsidRPr="00487785">
              <w:rPr>
                <w:lang w:val="es-MX"/>
              </w:rPr>
              <w:t>,</w:t>
            </w:r>
            <w:r w:rsidR="005B7D36">
              <w:rPr>
                <w:lang w:val="es-MX"/>
              </w:rPr>
              <w:t>353</w:t>
            </w:r>
          </w:p>
        </w:tc>
        <w:tc>
          <w:tcPr>
            <w:tcW w:w="2126" w:type="dxa"/>
            <w:tcBorders>
              <w:top w:val="single" w:sz="4" w:space="0" w:color="auto"/>
              <w:left w:val="nil"/>
              <w:right w:val="nil"/>
            </w:tcBorders>
            <w:shd w:val="clear" w:color="auto" w:fill="D9D9D9"/>
          </w:tcPr>
          <w:p w:rsidR="002F3E1F" w:rsidRPr="00487785" w:rsidRDefault="00411340" w:rsidP="002F3E1F">
            <w:pPr>
              <w:pStyle w:val="ROMANOS"/>
              <w:tabs>
                <w:tab w:val="clear" w:pos="720"/>
                <w:tab w:val="left" w:pos="-459"/>
              </w:tabs>
              <w:spacing w:after="0" w:line="240" w:lineRule="exact"/>
              <w:ind w:left="-108" w:firstLine="0"/>
              <w:jc w:val="center"/>
              <w:rPr>
                <w:lang w:val="es-MX"/>
              </w:rPr>
            </w:pPr>
            <w:r>
              <w:rPr>
                <w:lang w:val="es-MX"/>
              </w:rPr>
              <w:t xml:space="preserve">             0</w:t>
            </w:r>
          </w:p>
        </w:tc>
        <w:tc>
          <w:tcPr>
            <w:tcW w:w="1560" w:type="dxa"/>
            <w:tcBorders>
              <w:top w:val="single" w:sz="4" w:space="0" w:color="auto"/>
              <w:left w:val="nil"/>
              <w:right w:val="nil"/>
            </w:tcBorders>
            <w:shd w:val="clear" w:color="auto" w:fill="D9D9D9"/>
          </w:tcPr>
          <w:p w:rsidR="002F3E1F" w:rsidRPr="00487785" w:rsidRDefault="00411340" w:rsidP="000A55B3">
            <w:pPr>
              <w:pStyle w:val="ROMANOS"/>
              <w:tabs>
                <w:tab w:val="clear" w:pos="720"/>
                <w:tab w:val="left" w:pos="-459"/>
              </w:tabs>
              <w:spacing w:after="0" w:line="240" w:lineRule="exact"/>
              <w:ind w:left="-108" w:firstLine="0"/>
              <w:jc w:val="center"/>
              <w:rPr>
                <w:lang w:val="es-MX"/>
              </w:rPr>
            </w:pPr>
            <w:r>
              <w:rPr>
                <w:lang w:val="es-MX"/>
              </w:rPr>
              <w:t xml:space="preserve">    </w:t>
            </w:r>
            <w:r w:rsidR="000A55B3">
              <w:rPr>
                <w:lang w:val="es-MX"/>
              </w:rPr>
              <w:t>4</w:t>
            </w:r>
            <w:r w:rsidR="002F3E1F" w:rsidRPr="00487785">
              <w:rPr>
                <w:lang w:val="es-MX"/>
              </w:rPr>
              <w:t>,</w:t>
            </w:r>
            <w:r w:rsidR="005B7D36">
              <w:rPr>
                <w:lang w:val="es-MX"/>
              </w:rPr>
              <w:t>95</w:t>
            </w:r>
            <w:r w:rsidR="000A55B3">
              <w:rPr>
                <w:lang w:val="es-MX"/>
              </w:rPr>
              <w:t>9</w:t>
            </w:r>
            <w:r w:rsidR="002F3E1F" w:rsidRPr="00487785">
              <w:rPr>
                <w:lang w:val="es-MX"/>
              </w:rPr>
              <w:t>,</w:t>
            </w:r>
            <w:r w:rsidR="005B7D36">
              <w:rPr>
                <w:lang w:val="es-MX"/>
              </w:rPr>
              <w:t>353</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11340">
              <w:rPr>
                <w:bCs/>
                <w:lang w:val="es-MX"/>
              </w:rPr>
              <w:t>5</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trimonio Neto del Ejercicio 2015</w:t>
            </w:r>
            <w:r w:rsidRPr="00487785">
              <w:rPr>
                <w:bCs/>
                <w:lang w:val="es-MX"/>
              </w:rPr>
              <w:t>:</w:t>
            </w:r>
          </w:p>
        </w:tc>
        <w:tc>
          <w:tcPr>
            <w:tcW w:w="2551" w:type="dxa"/>
            <w:tcBorders>
              <w:left w:val="nil"/>
              <w:right w:val="nil"/>
            </w:tcBorders>
            <w:shd w:val="clear" w:color="auto" w:fill="D9D9D9"/>
          </w:tcPr>
          <w:p w:rsidR="002F3E1F" w:rsidRPr="00487785" w:rsidRDefault="00411340" w:rsidP="002F3E1F">
            <w:pPr>
              <w:pStyle w:val="ROMANOS"/>
              <w:spacing w:after="0" w:line="240" w:lineRule="exact"/>
              <w:ind w:left="0" w:firstLine="0"/>
              <w:jc w:val="center"/>
              <w:rPr>
                <w:lang w:val="es-MX"/>
              </w:rPr>
            </w:pPr>
            <w:r>
              <w:rPr>
                <w:lang w:val="es-MX"/>
              </w:rPr>
              <w:t xml:space="preserve">              0</w:t>
            </w:r>
          </w:p>
        </w:tc>
        <w:tc>
          <w:tcPr>
            <w:tcW w:w="2126" w:type="dxa"/>
            <w:tcBorders>
              <w:left w:val="nil"/>
              <w:right w:val="nil"/>
            </w:tcBorders>
            <w:shd w:val="clear" w:color="auto" w:fill="D9D9D9"/>
          </w:tcPr>
          <w:p w:rsidR="002F3E1F" w:rsidRPr="00487785" w:rsidRDefault="000A55B3" w:rsidP="005B7D36">
            <w:pPr>
              <w:pStyle w:val="ROMANOS"/>
              <w:tabs>
                <w:tab w:val="clear" w:pos="720"/>
                <w:tab w:val="left" w:pos="-108"/>
              </w:tabs>
              <w:spacing w:after="0" w:line="240" w:lineRule="exact"/>
              <w:ind w:left="6" w:hanging="114"/>
              <w:jc w:val="center"/>
              <w:rPr>
                <w:lang w:val="es-MX"/>
              </w:rPr>
            </w:pPr>
            <w:r>
              <w:rPr>
                <w:lang w:val="es-MX"/>
              </w:rPr>
              <w:t xml:space="preserve"> </w:t>
            </w:r>
            <w:r w:rsidR="005B7D36">
              <w:rPr>
                <w:lang w:val="es-MX"/>
              </w:rPr>
              <w:t xml:space="preserve"> 811</w:t>
            </w:r>
            <w:r w:rsidR="003D7877">
              <w:rPr>
                <w:lang w:val="es-MX"/>
              </w:rPr>
              <w:t>,</w:t>
            </w:r>
            <w:r w:rsidR="005B7D36">
              <w:rPr>
                <w:lang w:val="es-MX"/>
              </w:rPr>
              <w:t>109</w:t>
            </w:r>
          </w:p>
        </w:tc>
        <w:tc>
          <w:tcPr>
            <w:tcW w:w="1560" w:type="dxa"/>
            <w:tcBorders>
              <w:left w:val="nil"/>
              <w:right w:val="nil"/>
            </w:tcBorders>
            <w:shd w:val="clear" w:color="auto" w:fill="D9D9D9"/>
          </w:tcPr>
          <w:p w:rsidR="002F3E1F" w:rsidRPr="00487785" w:rsidRDefault="002F3E1F" w:rsidP="005B7D36">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Pr="00487785">
              <w:rPr>
                <w:lang w:val="es-MX"/>
              </w:rPr>
              <w:t xml:space="preserve"> </w:t>
            </w:r>
            <w:r w:rsidR="003D7877">
              <w:rPr>
                <w:lang w:val="es-MX"/>
              </w:rPr>
              <w:t xml:space="preserve"> 8</w:t>
            </w:r>
            <w:r w:rsidR="005B7D36">
              <w:rPr>
                <w:lang w:val="es-MX"/>
              </w:rPr>
              <w:t>11</w:t>
            </w:r>
            <w:r w:rsidR="000A55B3">
              <w:rPr>
                <w:lang w:val="es-MX"/>
              </w:rPr>
              <w:t>,</w:t>
            </w:r>
            <w:r w:rsidR="005B7D36">
              <w:rPr>
                <w:lang w:val="es-MX"/>
              </w:rPr>
              <w:t>1</w:t>
            </w:r>
            <w:r w:rsidR="003D7877">
              <w:rPr>
                <w:lang w:val="es-MX"/>
              </w:rPr>
              <w:t>0</w:t>
            </w:r>
            <w:r w:rsidR="005B7D36">
              <w:rPr>
                <w:lang w:val="es-MX"/>
              </w:rPr>
              <w:t>9</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5B7D36" w:rsidP="005B7D36">
            <w:pPr>
              <w:pStyle w:val="ROMANOS"/>
              <w:spacing w:after="0" w:line="240" w:lineRule="exact"/>
              <w:ind w:left="0" w:firstLine="0"/>
              <w:jc w:val="center"/>
              <w:rPr>
                <w:lang w:val="es-MX"/>
              </w:rPr>
            </w:pPr>
            <w:r>
              <w:rPr>
                <w:lang w:val="es-MX"/>
              </w:rPr>
              <w:t>811</w:t>
            </w:r>
            <w:r w:rsidR="000A55B3">
              <w:rPr>
                <w:lang w:val="es-MX"/>
              </w:rPr>
              <w:t>,</w:t>
            </w:r>
            <w:r>
              <w:rPr>
                <w:lang w:val="es-MX"/>
              </w:rPr>
              <w:t>109</w:t>
            </w:r>
          </w:p>
        </w:tc>
        <w:tc>
          <w:tcPr>
            <w:tcW w:w="1560" w:type="dxa"/>
          </w:tcPr>
          <w:p w:rsidR="002F3E1F" w:rsidRPr="00487785" w:rsidRDefault="002F3E1F" w:rsidP="005B7D36">
            <w:pPr>
              <w:pStyle w:val="ROMANOS"/>
              <w:spacing w:after="0" w:line="240" w:lineRule="exact"/>
              <w:ind w:left="0" w:firstLine="0"/>
              <w:jc w:val="center"/>
              <w:rPr>
                <w:lang w:val="es-MX"/>
              </w:rPr>
            </w:pPr>
            <w:r w:rsidRPr="00487785">
              <w:rPr>
                <w:lang w:val="es-MX"/>
              </w:rPr>
              <w:t xml:space="preserve">    </w:t>
            </w:r>
            <w:r w:rsidR="003D7877">
              <w:rPr>
                <w:lang w:val="es-MX"/>
              </w:rPr>
              <w:t>8</w:t>
            </w:r>
            <w:r w:rsidR="005B7D36">
              <w:rPr>
                <w:lang w:val="es-MX"/>
              </w:rPr>
              <w:t>11</w:t>
            </w:r>
            <w:r w:rsidR="003D7877">
              <w:rPr>
                <w:lang w:val="es-MX"/>
              </w:rPr>
              <w:t>,</w:t>
            </w:r>
            <w:r w:rsidR="005B7D36">
              <w:rPr>
                <w:lang w:val="es-MX"/>
              </w:rPr>
              <w:t>109</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11340" w:rsidP="006A74C4">
            <w:pPr>
              <w:pStyle w:val="ROMANOS"/>
              <w:spacing w:after="0" w:line="240" w:lineRule="exact"/>
              <w:ind w:left="0" w:firstLine="0"/>
              <w:jc w:val="center"/>
              <w:rPr>
                <w:lang w:val="es-MX"/>
              </w:rPr>
            </w:pPr>
            <w:r>
              <w:rPr>
                <w:lang w:val="es-MX"/>
              </w:rPr>
              <w:t xml:space="preserve">              0</w:t>
            </w:r>
          </w:p>
        </w:tc>
        <w:tc>
          <w:tcPr>
            <w:tcW w:w="2126"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560" w:type="dxa"/>
            <w:tcBorders>
              <w:left w:val="nil"/>
              <w:right w:val="nil"/>
            </w:tcBorders>
            <w:shd w:val="clear" w:color="auto" w:fill="D9D9D9"/>
          </w:tcPr>
          <w:p w:rsidR="002F3E1F" w:rsidRPr="00487785" w:rsidRDefault="00411340" w:rsidP="006A74C4">
            <w:pPr>
              <w:pStyle w:val="ROMANOS"/>
              <w:spacing w:after="0" w:line="240" w:lineRule="exact"/>
              <w:ind w:left="-108" w:firstLine="108"/>
              <w:jc w:val="center"/>
              <w:rPr>
                <w:lang w:val="es-MX"/>
              </w:rPr>
            </w:pPr>
            <w:r>
              <w:rPr>
                <w:lang w:val="es-MX"/>
              </w:rPr>
              <w:t xml:space="preserve">   </w:t>
            </w:r>
            <w:r w:rsidR="000A55B3">
              <w:rPr>
                <w:lang w:val="es-MX"/>
              </w:rPr>
              <w:t xml:space="preserve">           0</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11340">
              <w:rPr>
                <w:bCs/>
                <w:lang w:val="es-MX"/>
              </w:rPr>
              <w:t>5</w:t>
            </w:r>
          </w:p>
        </w:tc>
        <w:tc>
          <w:tcPr>
            <w:tcW w:w="2551" w:type="dxa"/>
            <w:tcBorders>
              <w:top w:val="nil"/>
              <w:left w:val="nil"/>
              <w:bottom w:val="single" w:sz="4" w:space="0" w:color="auto"/>
              <w:right w:val="nil"/>
            </w:tcBorders>
            <w:shd w:val="clear" w:color="auto" w:fill="D9D9D9"/>
          </w:tcPr>
          <w:p w:rsidR="002F3E1F" w:rsidRPr="00487785" w:rsidRDefault="000A55B3" w:rsidP="005B7D36">
            <w:pPr>
              <w:pStyle w:val="ROMANOS"/>
              <w:spacing w:after="0" w:line="240" w:lineRule="exact"/>
              <w:ind w:left="0" w:firstLine="0"/>
              <w:jc w:val="center"/>
              <w:rPr>
                <w:b/>
                <w:lang w:val="es-MX"/>
              </w:rPr>
            </w:pPr>
            <w:r>
              <w:rPr>
                <w:b/>
                <w:lang w:val="es-MX"/>
              </w:rPr>
              <w:t>4</w:t>
            </w:r>
            <w:r w:rsidR="002F3E1F" w:rsidRPr="00487785">
              <w:rPr>
                <w:b/>
                <w:lang w:val="es-MX"/>
              </w:rPr>
              <w:t>,</w:t>
            </w:r>
            <w:r w:rsidR="005B7D36">
              <w:rPr>
                <w:b/>
                <w:lang w:val="es-MX"/>
              </w:rPr>
              <w:t>95</w:t>
            </w:r>
            <w:r>
              <w:rPr>
                <w:b/>
                <w:lang w:val="es-MX"/>
              </w:rPr>
              <w:t>9</w:t>
            </w:r>
            <w:r w:rsidR="002F3E1F" w:rsidRPr="00487785">
              <w:rPr>
                <w:b/>
                <w:lang w:val="es-MX"/>
              </w:rPr>
              <w:t>,</w:t>
            </w:r>
            <w:r w:rsidR="005B7D36">
              <w:rPr>
                <w:b/>
                <w:lang w:val="es-MX"/>
              </w:rPr>
              <w:t>353</w:t>
            </w:r>
          </w:p>
        </w:tc>
        <w:tc>
          <w:tcPr>
            <w:tcW w:w="2126" w:type="dxa"/>
            <w:tcBorders>
              <w:top w:val="nil"/>
              <w:left w:val="nil"/>
              <w:bottom w:val="single" w:sz="4" w:space="0" w:color="auto"/>
              <w:right w:val="nil"/>
            </w:tcBorders>
            <w:shd w:val="clear" w:color="auto" w:fill="D9D9D9"/>
          </w:tcPr>
          <w:p w:rsidR="002F3E1F" w:rsidRPr="00487785" w:rsidRDefault="003D7877" w:rsidP="005B7D36">
            <w:pPr>
              <w:pStyle w:val="ROMANOS"/>
              <w:spacing w:after="0" w:line="240" w:lineRule="exact"/>
              <w:ind w:left="0" w:firstLine="0"/>
              <w:jc w:val="center"/>
              <w:rPr>
                <w:b/>
                <w:lang w:val="es-MX"/>
              </w:rPr>
            </w:pPr>
            <w:r>
              <w:rPr>
                <w:b/>
                <w:lang w:val="es-MX"/>
              </w:rPr>
              <w:t>8</w:t>
            </w:r>
            <w:r w:rsidR="005B7D36">
              <w:rPr>
                <w:b/>
                <w:lang w:val="es-MX"/>
              </w:rPr>
              <w:t>11</w:t>
            </w:r>
            <w:r w:rsidR="002F3E1F">
              <w:rPr>
                <w:b/>
                <w:lang w:val="es-MX"/>
              </w:rPr>
              <w:t>,</w:t>
            </w:r>
            <w:r w:rsidR="005B7D36">
              <w:rPr>
                <w:b/>
                <w:lang w:val="es-MX"/>
              </w:rPr>
              <w:t>1</w:t>
            </w:r>
            <w:r>
              <w:rPr>
                <w:b/>
                <w:lang w:val="es-MX"/>
              </w:rPr>
              <w:t>0</w:t>
            </w:r>
            <w:r w:rsidR="005B7D36">
              <w:rPr>
                <w:b/>
                <w:lang w:val="es-MX"/>
              </w:rPr>
              <w:t>9</w:t>
            </w:r>
          </w:p>
        </w:tc>
        <w:tc>
          <w:tcPr>
            <w:tcW w:w="1560" w:type="dxa"/>
            <w:tcBorders>
              <w:top w:val="nil"/>
              <w:left w:val="nil"/>
              <w:bottom w:val="single" w:sz="4" w:space="0" w:color="auto"/>
              <w:right w:val="nil"/>
            </w:tcBorders>
            <w:shd w:val="clear" w:color="auto" w:fill="D9D9D9"/>
          </w:tcPr>
          <w:p w:rsidR="002F3E1F" w:rsidRPr="00487785" w:rsidRDefault="000A55B3" w:rsidP="005B7D36">
            <w:pPr>
              <w:pStyle w:val="ROMANOS"/>
              <w:spacing w:after="0" w:line="240" w:lineRule="exact"/>
              <w:ind w:left="0" w:firstLine="0"/>
              <w:jc w:val="center"/>
              <w:rPr>
                <w:b/>
                <w:lang w:val="es-MX"/>
              </w:rPr>
            </w:pPr>
            <w:r>
              <w:rPr>
                <w:b/>
                <w:lang w:val="es-MX"/>
              </w:rPr>
              <w:t xml:space="preserve">  5</w:t>
            </w:r>
            <w:r w:rsidR="002F3E1F" w:rsidRPr="00487785">
              <w:rPr>
                <w:b/>
                <w:lang w:val="es-MX"/>
              </w:rPr>
              <w:t>,</w:t>
            </w:r>
            <w:r w:rsidR="005B7D36">
              <w:rPr>
                <w:b/>
                <w:lang w:val="es-MX"/>
              </w:rPr>
              <w:t>770</w:t>
            </w:r>
            <w:r w:rsidR="00411340">
              <w:rPr>
                <w:b/>
                <w:lang w:val="es-MX"/>
              </w:rPr>
              <w:t>,</w:t>
            </w:r>
            <w:r w:rsidR="005B7D36">
              <w:rPr>
                <w:b/>
                <w:lang w:val="es-MX"/>
              </w:rPr>
              <w:t>4</w:t>
            </w:r>
            <w:r w:rsidR="003D7877">
              <w:rPr>
                <w:b/>
                <w:lang w:val="es-MX"/>
              </w:rPr>
              <w:t>6</w:t>
            </w:r>
            <w:r w:rsidR="005B7D36">
              <w:rPr>
                <w:b/>
                <w:lang w:val="es-MX"/>
              </w:rPr>
              <w:t>2</w:t>
            </w:r>
          </w:p>
        </w:tc>
      </w:tr>
    </w:tbl>
    <w:p w:rsidR="00825999" w:rsidRPr="00487785" w:rsidRDefault="00825999" w:rsidP="00540418">
      <w:pPr>
        <w:pStyle w:val="INCISO"/>
        <w:spacing w:after="0" w:line="240" w:lineRule="exact"/>
        <w:ind w:left="360"/>
        <w:rPr>
          <w:b/>
          <w:smallCaps/>
        </w:rPr>
      </w:pPr>
    </w:p>
    <w:p w:rsidR="00AB222B" w:rsidRDefault="000654A0" w:rsidP="006A74C4">
      <w:pPr>
        <w:pStyle w:val="ROMANOS"/>
        <w:spacing w:after="0" w:line="240" w:lineRule="exact"/>
        <w:ind w:firstLine="0"/>
        <w:rPr>
          <w:lang w:val="es-MX"/>
        </w:rPr>
      </w:pPr>
      <w:r>
        <w:rPr>
          <w:lang w:val="es-MX"/>
        </w:rPr>
        <w:t>El saldo que presenta el patrimonio neto final del ejercicio 2014 representa el patrimonio del Fondo de Protección a las Víctimas de los Delitos y Ayuda a los Indigentes Procesados en el Estado de Tlaxcala</w:t>
      </w:r>
      <w:r w:rsidR="00AB222B">
        <w:rPr>
          <w:lang w:val="es-MX"/>
        </w:rPr>
        <w:t>, el cual se extinguió el 3 de mayo de 2014</w:t>
      </w:r>
      <w:r>
        <w:rPr>
          <w:lang w:val="es-MX"/>
        </w:rPr>
        <w:t xml:space="preserve"> y el resultado </w:t>
      </w:r>
      <w:r w:rsidR="00816E93">
        <w:rPr>
          <w:lang w:val="es-MX"/>
        </w:rPr>
        <w:t>del ejercicio de</w:t>
      </w:r>
      <w:r w:rsidR="00AB222B">
        <w:rPr>
          <w:lang w:val="es-MX"/>
        </w:rPr>
        <w:t xml:space="preserve"> 2015</w:t>
      </w:r>
      <w:r w:rsidR="00816E93">
        <w:rPr>
          <w:lang w:val="es-MX"/>
        </w:rPr>
        <w:t xml:space="preserve"> proviene de la operación del Fideicomiso Fondo de Ayuda, Asistencia y Reparación de Daño a las Víctimas y Ofendidos.</w:t>
      </w:r>
    </w:p>
    <w:p w:rsidR="00046D55" w:rsidRPr="00487785" w:rsidRDefault="000654A0" w:rsidP="006A74C4">
      <w:pPr>
        <w:pStyle w:val="ROMANOS"/>
        <w:spacing w:after="0" w:line="240" w:lineRule="exact"/>
        <w:ind w:firstLine="0"/>
        <w:rPr>
          <w:lang w:val="es-MX"/>
        </w:rPr>
      </w:pPr>
      <w:r w:rsidRPr="00487785">
        <w:rPr>
          <w:lang w:val="es-MX"/>
        </w:rPr>
        <w:t xml:space="preserve"> </w:t>
      </w: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122DFE">
              <w:rPr>
                <w:b/>
                <w:szCs w:val="18"/>
                <w:lang w:val="es-MX"/>
              </w:rPr>
              <w:t>5</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D07F07">
              <w:rPr>
                <w:b/>
                <w:szCs w:val="18"/>
                <w:lang w:val="es-MX"/>
              </w:rPr>
              <w:t>4</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2C17DF" w:rsidP="002C17DF">
            <w:pPr>
              <w:pStyle w:val="Texto"/>
              <w:spacing w:after="0" w:line="240" w:lineRule="exact"/>
              <w:ind w:firstLine="0"/>
              <w:jc w:val="right"/>
              <w:rPr>
                <w:szCs w:val="18"/>
                <w:lang w:val="es-MX"/>
              </w:rPr>
            </w:pPr>
            <w:r>
              <w:rPr>
                <w:szCs w:val="18"/>
                <w:lang w:val="es-MX"/>
              </w:rPr>
              <w:t>1,179</w:t>
            </w:r>
            <w:r w:rsidR="00D07F07">
              <w:rPr>
                <w:szCs w:val="18"/>
                <w:lang w:val="es-MX"/>
              </w:rPr>
              <w:t>,</w:t>
            </w:r>
            <w:r>
              <w:rPr>
                <w:szCs w:val="18"/>
                <w:lang w:val="es-MX"/>
              </w:rPr>
              <w:t>59</w:t>
            </w:r>
            <w:r w:rsidR="00371DA0">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6A74C4">
            <w:pPr>
              <w:pStyle w:val="Texto"/>
              <w:spacing w:after="0" w:line="240" w:lineRule="exact"/>
              <w:ind w:firstLine="0"/>
              <w:jc w:val="right"/>
              <w:rPr>
                <w:szCs w:val="18"/>
                <w:lang w:val="es-MX"/>
              </w:rPr>
            </w:pPr>
            <w:r>
              <w:rPr>
                <w:szCs w:val="18"/>
                <w:lang w:val="es-MX"/>
              </w:rPr>
              <w:t>0</w:t>
            </w:r>
          </w:p>
        </w:tc>
      </w:tr>
      <w:tr w:rsidR="006A74C4"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D07F07" w:rsidP="006A74C4">
            <w:pPr>
              <w:pStyle w:val="Texto"/>
              <w:spacing w:after="0" w:line="240" w:lineRule="exact"/>
              <w:ind w:firstLine="0"/>
              <w:jc w:val="right"/>
              <w:rPr>
                <w:szCs w:val="18"/>
                <w:lang w:val="es-MX"/>
              </w:rPr>
            </w:pPr>
            <w:r>
              <w:rPr>
                <w:szCs w:val="18"/>
                <w:lang w:val="es-MX"/>
              </w:rPr>
              <w:t>0</w:t>
            </w:r>
          </w:p>
        </w:tc>
      </w:tr>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2C17DF" w:rsidP="002C17DF">
            <w:pPr>
              <w:pStyle w:val="Texto"/>
              <w:spacing w:after="0" w:line="240" w:lineRule="exact"/>
              <w:ind w:firstLine="0"/>
              <w:jc w:val="right"/>
              <w:rPr>
                <w:szCs w:val="18"/>
                <w:lang w:val="es-MX"/>
              </w:rPr>
            </w:pPr>
            <w:r>
              <w:rPr>
                <w:szCs w:val="18"/>
                <w:lang w:val="es-MX"/>
              </w:rPr>
              <w:t>1,</w:t>
            </w:r>
            <w:r w:rsidR="00371DA0">
              <w:rPr>
                <w:szCs w:val="18"/>
                <w:lang w:val="es-MX"/>
              </w:rPr>
              <w:t>1</w:t>
            </w:r>
            <w:r>
              <w:rPr>
                <w:szCs w:val="18"/>
                <w:lang w:val="es-MX"/>
              </w:rPr>
              <w:t>79</w:t>
            </w:r>
            <w:r w:rsidR="00D07F07">
              <w:rPr>
                <w:szCs w:val="18"/>
                <w:lang w:val="es-MX"/>
              </w:rPr>
              <w:t>,</w:t>
            </w:r>
            <w:r>
              <w:rPr>
                <w:szCs w:val="18"/>
                <w:lang w:val="es-MX"/>
              </w:rPr>
              <w:t>59</w:t>
            </w:r>
            <w:r w:rsidR="00371DA0">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6A74C4">
            <w:pPr>
              <w:pStyle w:val="Texto"/>
              <w:spacing w:after="0" w:line="240" w:lineRule="exact"/>
              <w:ind w:firstLine="0"/>
              <w:jc w:val="right"/>
              <w:rPr>
                <w:szCs w:val="18"/>
                <w:lang w:val="es-MX"/>
              </w:rPr>
            </w:pPr>
            <w:r>
              <w:rPr>
                <w:szCs w:val="18"/>
                <w:lang w:val="es-MX"/>
              </w:rPr>
              <w:t>0</w:t>
            </w:r>
          </w:p>
        </w:tc>
      </w:tr>
    </w:tbl>
    <w:p w:rsidR="00DF05FD" w:rsidRDefault="00DF05FD" w:rsidP="009069BD">
      <w:pPr>
        <w:pStyle w:val="Prrafodelista"/>
        <w:ind w:left="0"/>
        <w:rPr>
          <w:rFonts w:ascii="Arial" w:hAnsi="Arial" w:cs="Arial"/>
          <w:sz w:val="18"/>
          <w:szCs w:val="18"/>
        </w:rPr>
      </w:pPr>
    </w:p>
    <w:p w:rsidR="00D07F07" w:rsidRPr="00487785" w:rsidRDefault="00D07F07" w:rsidP="009069BD">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lastRenderedPageBreak/>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1564" w:type="dxa"/>
        <w:tblInd w:w="817" w:type="dxa"/>
        <w:tblBorders>
          <w:top w:val="single" w:sz="8" w:space="0" w:color="C0504D"/>
          <w:bottom w:val="single" w:sz="8" w:space="0" w:color="C0504D"/>
        </w:tblBorders>
        <w:tblLook w:val="04A0"/>
      </w:tblPr>
      <w:tblGrid>
        <w:gridCol w:w="2613"/>
        <w:gridCol w:w="1498"/>
        <w:gridCol w:w="1843"/>
        <w:gridCol w:w="1914"/>
        <w:gridCol w:w="1848"/>
        <w:gridCol w:w="1848"/>
      </w:tblGrid>
      <w:tr w:rsidR="009069BD" w:rsidRPr="00487785" w:rsidTr="009069BD">
        <w:tc>
          <w:tcPr>
            <w:tcW w:w="261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TÍPO DE BIEN</w:t>
            </w:r>
          </w:p>
        </w:tc>
        <w:tc>
          <w:tcPr>
            <w:tcW w:w="1498" w:type="dxa"/>
            <w:tcBorders>
              <w:top w:val="single" w:sz="4" w:space="0" w:color="auto"/>
              <w:left w:val="nil"/>
              <w:bottom w:val="single" w:sz="4" w:space="0" w:color="auto"/>
              <w:right w:val="nil"/>
            </w:tcBorders>
          </w:tcPr>
          <w:p w:rsidR="009069BD" w:rsidRPr="00487785" w:rsidRDefault="009069BD" w:rsidP="009069BD">
            <w:pPr>
              <w:pStyle w:val="ROMANOS"/>
              <w:spacing w:after="0" w:line="240" w:lineRule="exact"/>
              <w:ind w:left="0" w:firstLine="0"/>
              <w:jc w:val="center"/>
              <w:rPr>
                <w:b/>
                <w:bCs/>
                <w:lang w:val="es-MX"/>
              </w:rPr>
            </w:pPr>
            <w:r>
              <w:rPr>
                <w:b/>
                <w:bCs/>
                <w:lang w:val="es-MX"/>
              </w:rPr>
              <w:t>IMPORTE</w:t>
            </w:r>
          </w:p>
        </w:tc>
        <w:tc>
          <w:tcPr>
            <w:tcW w:w="184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DEL EJERCICIO</w:t>
            </w:r>
          </w:p>
        </w:tc>
        <w:tc>
          <w:tcPr>
            <w:tcW w:w="1914"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ACUMULADA</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MÉTODO DE DEPRECIACIÓN</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TASA APLICADA</w:t>
            </w:r>
          </w:p>
        </w:tc>
      </w:tr>
      <w:tr w:rsidR="009069BD" w:rsidRPr="00487785" w:rsidTr="009069BD">
        <w:tc>
          <w:tcPr>
            <w:tcW w:w="2613"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r>
              <w:rPr>
                <w:bCs/>
                <w:lang w:val="es-MX"/>
              </w:rPr>
              <w:t>BIENES MUEBLES:</w:t>
            </w:r>
          </w:p>
        </w:tc>
        <w:tc>
          <w:tcPr>
            <w:tcW w:w="1498"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center"/>
              <w:rPr>
                <w:lang w:val="es-MX"/>
              </w:rPr>
            </w:pPr>
          </w:p>
        </w:tc>
        <w:tc>
          <w:tcPr>
            <w:tcW w:w="1843"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914"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r>
      <w:tr w:rsidR="009069BD" w:rsidRPr="00487785" w:rsidTr="009069BD">
        <w:tc>
          <w:tcPr>
            <w:tcW w:w="2613" w:type="dxa"/>
          </w:tcPr>
          <w:p w:rsidR="009069BD" w:rsidRPr="00487785" w:rsidRDefault="009069BD" w:rsidP="00C95AA6">
            <w:pPr>
              <w:pStyle w:val="ROMANOS"/>
              <w:spacing w:after="0" w:line="240" w:lineRule="exact"/>
              <w:ind w:left="0" w:firstLine="0"/>
              <w:jc w:val="left"/>
              <w:rPr>
                <w:bCs/>
                <w:lang w:val="es-MX"/>
              </w:rPr>
            </w:pPr>
            <w:r>
              <w:rPr>
                <w:bCs/>
                <w:lang w:val="es-MX"/>
              </w:rPr>
              <w:t>Equipo de Computo</w:t>
            </w:r>
          </w:p>
        </w:tc>
        <w:tc>
          <w:tcPr>
            <w:tcW w:w="1498" w:type="dxa"/>
          </w:tcPr>
          <w:p w:rsidR="009069BD" w:rsidRPr="00487785" w:rsidRDefault="00D07F07" w:rsidP="00C95AA6">
            <w:pPr>
              <w:pStyle w:val="ROMANOS"/>
              <w:spacing w:after="0" w:line="240" w:lineRule="exact"/>
              <w:ind w:left="0" w:firstLine="0"/>
              <w:jc w:val="center"/>
              <w:rPr>
                <w:lang w:val="es-MX"/>
              </w:rPr>
            </w:pPr>
            <w:r>
              <w:rPr>
                <w:lang w:val="es-MX"/>
              </w:rPr>
              <w:t>$ 2,000.00</w:t>
            </w:r>
          </w:p>
        </w:tc>
        <w:tc>
          <w:tcPr>
            <w:tcW w:w="1843" w:type="dxa"/>
          </w:tcPr>
          <w:p w:rsidR="009069BD" w:rsidRPr="00487785" w:rsidRDefault="009069BD" w:rsidP="00C95AA6">
            <w:pPr>
              <w:pStyle w:val="ROMANOS"/>
              <w:spacing w:after="0" w:line="240" w:lineRule="exact"/>
              <w:ind w:left="0" w:right="601" w:firstLine="0"/>
              <w:jc w:val="center"/>
              <w:rPr>
                <w:lang w:val="es-MX"/>
              </w:rPr>
            </w:pPr>
          </w:p>
        </w:tc>
        <w:tc>
          <w:tcPr>
            <w:tcW w:w="1914"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r>
      <w:tr w:rsidR="009069BD" w:rsidRPr="00487785" w:rsidTr="009069BD">
        <w:tc>
          <w:tcPr>
            <w:tcW w:w="261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p>
        </w:tc>
        <w:tc>
          <w:tcPr>
            <w:tcW w:w="1498"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914"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r>
    </w:tbl>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4</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110745" w:rsidP="00110745">
            <w:pPr>
              <w:pStyle w:val="Texto"/>
              <w:spacing w:after="0" w:line="240" w:lineRule="exact"/>
              <w:ind w:firstLine="0"/>
              <w:jc w:val="right"/>
              <w:rPr>
                <w:b/>
                <w:szCs w:val="18"/>
                <w:lang w:val="es-MX"/>
              </w:rPr>
            </w:pPr>
            <w:r>
              <w:rPr>
                <w:b/>
                <w:szCs w:val="18"/>
                <w:lang w:val="es-MX"/>
              </w:rPr>
              <w:t>811</w:t>
            </w:r>
            <w:r w:rsidR="00E35D51">
              <w:rPr>
                <w:b/>
                <w:szCs w:val="18"/>
                <w:lang w:val="es-MX"/>
              </w:rPr>
              <w:t>,</w:t>
            </w:r>
            <w:r>
              <w:rPr>
                <w:b/>
                <w:szCs w:val="18"/>
                <w:lang w:val="es-MX"/>
              </w:rPr>
              <w:t>109</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84E3B" w:rsidP="00884BA7">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801B7"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06471">
            <w:pPr>
              <w:pStyle w:val="Texto"/>
              <w:spacing w:after="0" w:line="240" w:lineRule="exact"/>
              <w:ind w:firstLine="0"/>
              <w:jc w:val="right"/>
              <w:rPr>
                <w:szCs w:val="18"/>
                <w:lang w:val="es-MX"/>
              </w:rPr>
            </w:pPr>
            <w:r>
              <w:rPr>
                <w:szCs w:val="18"/>
                <w:lang w:val="es-MX"/>
              </w:rPr>
              <w:t>-</w:t>
            </w:r>
            <w:r w:rsidR="00E35D51">
              <w:rPr>
                <w:szCs w:val="18"/>
                <w:lang w:val="es-MX"/>
              </w:rPr>
              <w:t>2,000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695C72" w:rsidP="00695C72">
            <w:pPr>
              <w:pStyle w:val="Texto"/>
              <w:spacing w:after="0" w:line="240" w:lineRule="exact"/>
              <w:ind w:firstLine="0"/>
              <w:jc w:val="right"/>
              <w:rPr>
                <w:szCs w:val="18"/>
                <w:lang w:val="es-MX"/>
              </w:rPr>
            </w:pPr>
            <w:r>
              <w:rPr>
                <w:szCs w:val="18"/>
                <w:lang w:val="es-MX"/>
              </w:rPr>
              <w:t>370</w:t>
            </w:r>
            <w:r w:rsidR="00E35D51">
              <w:rPr>
                <w:szCs w:val="18"/>
                <w:lang w:val="es-MX"/>
              </w:rPr>
              <w:t>,</w:t>
            </w:r>
            <w:r w:rsidR="002346E6">
              <w:rPr>
                <w:szCs w:val="18"/>
                <w:lang w:val="es-MX"/>
              </w:rPr>
              <w:t>96</w:t>
            </w:r>
            <w:r>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06471">
            <w:pPr>
              <w:pStyle w:val="Texto"/>
              <w:spacing w:after="0" w:line="240" w:lineRule="exact"/>
              <w:ind w:firstLine="0"/>
              <w:jc w:val="right"/>
              <w:rPr>
                <w:szCs w:val="18"/>
                <w:lang w:val="es-MX"/>
              </w:rPr>
            </w:pPr>
            <w:r>
              <w:rPr>
                <w:szCs w:val="18"/>
                <w:lang w:val="es-MX"/>
              </w:rPr>
              <w:t>-</w:t>
            </w:r>
            <w:r w:rsidR="00695C72">
              <w:rPr>
                <w:szCs w:val="18"/>
                <w:lang w:val="es-MX"/>
              </w:rPr>
              <w:t>480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695C72" w:rsidP="00695C72">
            <w:pPr>
              <w:pStyle w:val="Texto"/>
              <w:spacing w:after="0" w:line="240" w:lineRule="exact"/>
              <w:ind w:firstLine="0"/>
              <w:jc w:val="right"/>
              <w:rPr>
                <w:szCs w:val="18"/>
                <w:lang w:val="es-MX"/>
              </w:rPr>
            </w:pPr>
            <w:r>
              <w:rPr>
                <w:szCs w:val="18"/>
                <w:lang w:val="es-MX"/>
              </w:rPr>
              <w:t>1,</w:t>
            </w:r>
            <w:r w:rsidR="002346E6">
              <w:rPr>
                <w:szCs w:val="18"/>
                <w:lang w:val="es-MX"/>
              </w:rPr>
              <w:t>1</w:t>
            </w:r>
            <w:r>
              <w:rPr>
                <w:szCs w:val="18"/>
                <w:lang w:val="es-MX"/>
              </w:rPr>
              <w:t>79</w:t>
            </w:r>
            <w:r w:rsidR="00CF35F9">
              <w:rPr>
                <w:szCs w:val="18"/>
                <w:lang w:val="es-MX"/>
              </w:rPr>
              <w:t>,</w:t>
            </w:r>
            <w:r>
              <w:rPr>
                <w:szCs w:val="18"/>
                <w:lang w:val="es-MX"/>
              </w:rPr>
              <w:t>59</w:t>
            </w:r>
            <w:r w:rsidR="002346E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B0D55" w:rsidRDefault="00EB0D55"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540418" w:rsidRPr="00487785" w:rsidRDefault="003F7CA0" w:rsidP="002B1A82">
      <w:pPr>
        <w:pStyle w:val="INCISO"/>
        <w:spacing w:after="0" w:line="240" w:lineRule="exact"/>
        <w:ind w:left="360"/>
        <w:rPr>
          <w:b/>
          <w:smallCaps/>
        </w:rPr>
      </w:pPr>
      <w:r w:rsidRPr="003F7CA0">
        <w:rPr>
          <w:noProof/>
        </w:rPr>
        <w:lastRenderedPageBreak/>
        <w:pict>
          <v:shape id="_x0000_s1030" type="#_x0000_t75" style="position:absolute;left:0;text-align:left;margin-left:285.65pt;margin-top:20pt;width:343.35pt;height:340pt;z-index:251660288">
            <v:imagedata r:id="rId24" o:title=""/>
            <w10:wrap type="topAndBottom"/>
          </v:shape>
          <o:OLEObject Type="Embed" ProgID="Excel.Sheet.12" ShapeID="_x0000_s1030" DrawAspect="Content" ObjectID="_1511963377" r:id="rId25"/>
        </w:pict>
      </w:r>
      <w:r w:rsidRPr="003F7CA0">
        <w:rPr>
          <w:noProof/>
          <w:lang w:val="es-MX" w:eastAsia="es-MX"/>
        </w:rPr>
        <w:pict>
          <v:shape id="_x0000_s1028" type="#_x0000_t75" style="position:absolute;left:0;text-align:left;margin-left:17.2pt;margin-top:20pt;width:245pt;height:259.35pt;z-index:251658240">
            <v:imagedata r:id="rId26" o:title=""/>
            <w10:wrap type="topAndBottom"/>
          </v:shape>
          <o:OLEObject Type="Embed" ProgID="Excel.Sheet.12" ShapeID="_x0000_s1028" DrawAspect="Content" ObjectID="_1511963378" r:id="rId27"/>
        </w:pict>
      </w:r>
      <w:r w:rsidR="00540418" w:rsidRPr="00487785">
        <w:rPr>
          <w:b/>
          <w:smallCaps/>
        </w:rPr>
        <w:t>V) Conciliación entre los ingresos presupuestarios y contables, así como entre los egresos presupuestarios y los gastos contables</w:t>
      </w:r>
    </w:p>
    <w:p w:rsidR="00C95AA6" w:rsidRPr="00B979AE" w:rsidRDefault="003F7CA0" w:rsidP="00B979AE">
      <w:pPr>
        <w:pStyle w:val="Texto"/>
        <w:spacing w:after="0" w:line="240" w:lineRule="exact"/>
        <w:ind w:firstLine="0"/>
        <w:rPr>
          <w:szCs w:val="18"/>
          <w:lang w:val="es-MX"/>
        </w:rPr>
      </w:pPr>
      <w:r w:rsidRPr="003F7CA0">
        <w:rPr>
          <w:b/>
          <w:noProof/>
          <w:szCs w:val="18"/>
          <w:lang w:val="es-MX" w:eastAsia="es-MX"/>
        </w:rPr>
        <w:pict>
          <v:shape id="_x0000_s1085" type="#_x0000_t75" style="position:absolute;left:0;text-align:left;margin-left:59.4pt;margin-top:384.75pt;width:542.25pt;height:54.05pt;z-index:251699200">
            <v:imagedata r:id="rId22" o:title=""/>
            <w10:wrap type="topAndBottom"/>
          </v:shape>
          <o:OLEObject Type="Embed" ProgID="Excel.Sheet.12" ShapeID="_x0000_s1085" DrawAspect="Content" ObjectID="_1511963379" r:id="rId28"/>
        </w:pict>
      </w:r>
    </w:p>
    <w:p w:rsidR="00D21F34" w:rsidRDefault="00D21F34" w:rsidP="00540418">
      <w:pPr>
        <w:pStyle w:val="Texto"/>
        <w:spacing w:after="0" w:line="240" w:lineRule="exact"/>
        <w:ind w:firstLine="0"/>
        <w:jc w:val="center"/>
        <w:rPr>
          <w:b/>
          <w:szCs w:val="18"/>
        </w:rPr>
      </w:pPr>
    </w:p>
    <w:p w:rsidR="00571BE3" w:rsidRDefault="00571BE3" w:rsidP="00540418">
      <w:pPr>
        <w:pStyle w:val="Texto"/>
        <w:spacing w:after="0" w:line="240" w:lineRule="exact"/>
        <w:ind w:firstLine="0"/>
        <w:jc w:val="center"/>
        <w:rPr>
          <w:b/>
          <w:szCs w:val="18"/>
        </w:rPr>
      </w:pPr>
    </w:p>
    <w:p w:rsidR="00C54340" w:rsidRDefault="00C54340"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lastRenderedPageBreak/>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B979AE">
        <w:tc>
          <w:tcPr>
            <w:tcW w:w="2462"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b/>
                <w:bCs/>
                <w:szCs w:val="18"/>
              </w:rPr>
            </w:pPr>
          </w:p>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Default="009036A2" w:rsidP="00E028CA">
            <w:pPr>
              <w:pStyle w:val="Texto"/>
              <w:spacing w:after="0" w:line="240" w:lineRule="exact"/>
              <w:ind w:firstLine="0"/>
              <w:jc w:val="center"/>
              <w:rPr>
                <w:szCs w:val="18"/>
              </w:rPr>
            </w:pPr>
            <w:r>
              <w:rPr>
                <w:szCs w:val="18"/>
              </w:rPr>
              <w:t>$ 12</w:t>
            </w:r>
            <w:r w:rsidR="00ED04DA" w:rsidRPr="00487785">
              <w:rPr>
                <w:szCs w:val="18"/>
              </w:rPr>
              <w:t>0,000</w:t>
            </w:r>
          </w:p>
          <w:p w:rsidR="00755598" w:rsidRPr="00487785" w:rsidRDefault="00755598" w:rsidP="00E028CA">
            <w:pPr>
              <w:pStyle w:val="Texto"/>
              <w:spacing w:after="0" w:line="240" w:lineRule="exact"/>
              <w:ind w:firstLine="0"/>
              <w:jc w:val="center"/>
              <w:rPr>
                <w:szCs w:val="18"/>
              </w:rPr>
            </w:pPr>
          </w:p>
        </w:tc>
      </w:tr>
      <w:tr w:rsidR="00B979AE" w:rsidRPr="00487785" w:rsidTr="00B979AE">
        <w:tc>
          <w:tcPr>
            <w:tcW w:w="2462" w:type="dxa"/>
            <w:tcBorders>
              <w:top w:val="nil"/>
              <w:bottom w:val="nil"/>
            </w:tcBorders>
            <w:shd w:val="clear" w:color="auto" w:fill="FFFFFF" w:themeFill="background1"/>
          </w:tcPr>
          <w:p w:rsidR="00B979AE" w:rsidRPr="00487785" w:rsidRDefault="00B979AE" w:rsidP="00B979AE">
            <w:pPr>
              <w:pStyle w:val="Texto"/>
              <w:spacing w:after="0" w:line="240" w:lineRule="exact"/>
              <w:ind w:firstLine="0"/>
              <w:rPr>
                <w:b/>
                <w:bCs/>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243" w:type="dxa"/>
            <w:tcBorders>
              <w:top w:val="nil"/>
              <w:bottom w:val="nil"/>
            </w:tcBorders>
            <w:shd w:val="clear" w:color="auto" w:fill="FFFFFF" w:themeFill="background1"/>
          </w:tcPr>
          <w:p w:rsidR="00B979AE" w:rsidRDefault="00B979AE" w:rsidP="00E028CA">
            <w:pPr>
              <w:pStyle w:val="Texto"/>
              <w:spacing w:after="0" w:line="240" w:lineRule="exact"/>
              <w:ind w:firstLine="0"/>
              <w:jc w:val="center"/>
              <w:rPr>
                <w:szCs w:val="18"/>
              </w:rPr>
            </w:pPr>
          </w:p>
        </w:tc>
      </w:tr>
    </w:tbl>
    <w:p w:rsidR="00ED04DA" w:rsidRPr="00487785" w:rsidRDefault="00ED04DA" w:rsidP="00ED04DA">
      <w:pPr>
        <w:pStyle w:val="Texto"/>
        <w:spacing w:after="0" w:line="240" w:lineRule="exact"/>
        <w:ind w:left="2160" w:hanging="540"/>
        <w:jc w:val="center"/>
        <w:rPr>
          <w:i/>
          <w:szCs w:val="18"/>
        </w:rPr>
      </w:pPr>
    </w:p>
    <w:p w:rsidR="00ED04DA" w:rsidRDefault="00ED04DA" w:rsidP="00ED04DA">
      <w:pPr>
        <w:pStyle w:val="Texto"/>
        <w:spacing w:after="0" w:line="240" w:lineRule="exact"/>
        <w:rPr>
          <w:szCs w:val="18"/>
        </w:rPr>
      </w:pP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3F7CA0" w:rsidP="00784F56">
      <w:pPr>
        <w:pStyle w:val="Texto"/>
        <w:tabs>
          <w:tab w:val="left" w:pos="7817"/>
        </w:tabs>
        <w:spacing w:after="0" w:line="240" w:lineRule="exact"/>
        <w:rPr>
          <w:szCs w:val="18"/>
        </w:rPr>
      </w:pPr>
      <w:r>
        <w:rPr>
          <w:noProof/>
          <w:szCs w:val="18"/>
          <w:lang w:val="es-MX" w:eastAsia="es-MX"/>
        </w:rPr>
        <w:pict>
          <v:shape id="_x0000_s1086" type="#_x0000_t75" style="position:absolute;left:0;text-align:left;margin-left:85.4pt;margin-top:67.4pt;width:542.25pt;height:54.05pt;z-index:251700224">
            <v:imagedata r:id="rId22" o:title=""/>
            <w10:wrap type="topAndBottom"/>
          </v:shape>
          <o:OLEObject Type="Embed" ProgID="Excel.Sheet.12" ShapeID="_x0000_s1086" DrawAspect="Content" ObjectID="_1511963380" r:id="rId29"/>
        </w:pict>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Pr="00487785" w:rsidRDefault="00755598" w:rsidP="00784F56">
      <w:pPr>
        <w:pStyle w:val="Texto"/>
        <w:tabs>
          <w:tab w:val="left" w:pos="7817"/>
        </w:tabs>
        <w:spacing w:after="0" w:line="240" w:lineRule="exact"/>
        <w:rPr>
          <w:szCs w:val="18"/>
        </w:rPr>
      </w:pP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E25061">
        <w:rPr>
          <w:szCs w:val="18"/>
        </w:rPr>
        <w:t xml:space="preserve"> en el ejercicio 2015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lastRenderedPageBreak/>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D40349" w:rsidP="00487785">
      <w:pPr>
        <w:pStyle w:val="INCISO"/>
        <w:numPr>
          <w:ilvl w:val="0"/>
          <w:numId w:val="13"/>
        </w:numPr>
        <w:spacing w:after="0" w:line="276" w:lineRule="auto"/>
      </w:pPr>
      <w:r>
        <w:t>Ejercicio fiscal: 2015</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Default="00487785"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CD4690">
      <w:pPr>
        <w:pStyle w:val="INCISO"/>
        <w:numPr>
          <w:ilvl w:val="0"/>
          <w:numId w:val="13"/>
        </w:numPr>
        <w:spacing w:after="0" w:line="240" w:lineRule="exact"/>
      </w:pPr>
      <w:r w:rsidRPr="00487785">
        <w:t>Estructura organizacional básica:</w:t>
      </w:r>
    </w:p>
    <w:p w:rsidR="006B487B" w:rsidRDefault="006B487B" w:rsidP="006B487B">
      <w:pPr>
        <w:pStyle w:val="INCISO"/>
        <w:spacing w:after="0" w:line="240" w:lineRule="exact"/>
      </w:pPr>
    </w:p>
    <w:p w:rsidR="00BF1A69" w:rsidRPr="00755598" w:rsidRDefault="006B487B" w:rsidP="00755598">
      <w:pPr>
        <w:jc w:val="center"/>
        <w:rPr>
          <w:rFonts w:ascii="Arial" w:hAnsi="Arial" w:cs="Arial"/>
          <w:sz w:val="18"/>
          <w:szCs w:val="18"/>
        </w:rPr>
      </w:pPr>
      <w:r w:rsidRPr="006B487B">
        <w:rPr>
          <w:rFonts w:ascii="Arial" w:eastAsia="Times New Roman" w:hAnsi="Arial" w:cs="Arial"/>
          <w:noProof/>
          <w:sz w:val="18"/>
          <w:szCs w:val="18"/>
          <w:lang w:eastAsia="es-MX"/>
        </w:rPr>
        <w:lastRenderedPageBreak/>
        <w:drawing>
          <wp:inline distT="0" distB="0" distL="0" distR="0">
            <wp:extent cx="4154756" cy="6529869"/>
            <wp:effectExtent l="1200150" t="0" r="1179244"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srcRect l="6889" t="2303"/>
                    <a:stretch>
                      <a:fillRect/>
                    </a:stretch>
                  </pic:blipFill>
                  <pic:spPr bwMode="auto">
                    <a:xfrm rot="5400000">
                      <a:off x="0" y="0"/>
                      <a:ext cx="4157875" cy="6534771"/>
                    </a:xfrm>
                    <a:prstGeom prst="rect">
                      <a:avLst/>
                    </a:prstGeom>
                    <a:noFill/>
                    <a:ln w="9525">
                      <a:noFill/>
                      <a:miter lim="800000"/>
                      <a:headEnd/>
                      <a:tailEnd/>
                    </a:ln>
                  </pic:spPr>
                </pic:pic>
              </a:graphicData>
            </a:graphic>
          </wp:inline>
        </w:drawing>
      </w:r>
    </w:p>
    <w:p w:rsidR="007D7F38" w:rsidRDefault="00540418" w:rsidP="00941D42">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046D55" w:rsidRPr="00487785" w:rsidRDefault="00046D55" w:rsidP="007A480B">
      <w:pPr>
        <w:pStyle w:val="INCISO"/>
        <w:spacing w:after="0" w:line="276" w:lineRule="auto"/>
        <w:ind w:left="0" w:firstLine="0"/>
      </w:pPr>
    </w:p>
    <w:p w:rsidR="007D7F38" w:rsidRPr="00487785" w:rsidRDefault="007D7F38" w:rsidP="00487785">
      <w:pPr>
        <w:pStyle w:val="INCISO"/>
        <w:spacing w:after="0" w:line="276" w:lineRule="auto"/>
        <w:ind w:firstLine="54"/>
      </w:pPr>
      <w:r w:rsidRPr="00487785">
        <w:lastRenderedPageBreak/>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0B1EC3">
      <w:pPr>
        <w:pStyle w:val="INCISO"/>
        <w:spacing w:after="0" w:line="276" w:lineRule="auto"/>
        <w:ind w:left="709" w:hanging="283"/>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cancelación de saldos: NO APLICA.</w:t>
      </w: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Pr="00487785" w:rsidRDefault="00755598" w:rsidP="00755598">
      <w:pPr>
        <w:pStyle w:val="INCISO"/>
        <w:spacing w:after="0" w:line="276" w:lineRule="auto"/>
        <w:ind w:left="709" w:firstLine="11"/>
      </w:pPr>
      <w:r>
        <w:t>Se encuentra en trámite la contratación de un Fideicomiso de Administración y Pago, el cual otorgará apoyos económicos y reparará el daño a las víctimas y ofendidos.</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3F7CA0" w:rsidP="00540418">
      <w:pPr>
        <w:pStyle w:val="Texto"/>
        <w:spacing w:after="0" w:line="240" w:lineRule="exact"/>
        <w:rPr>
          <w:szCs w:val="18"/>
        </w:rPr>
      </w:pPr>
      <w:r>
        <w:rPr>
          <w:noProof/>
          <w:szCs w:val="18"/>
          <w:lang w:val="es-MX" w:eastAsia="es-MX"/>
        </w:rPr>
        <w:pict>
          <v:shape id="_x0000_s1077" type="#_x0000_t75" style="position:absolute;left:0;text-align:left;margin-left:31.85pt;margin-top:115.15pt;width:586.35pt;height:81.7pt;z-index:251698176">
            <v:imagedata r:id="rId31" o:title=""/>
            <w10:wrap type="topAndBottom"/>
          </v:shape>
          <o:OLEObject Type="Embed" ProgID="Excel.Sheet.12" ShapeID="_x0000_s1077" DrawAspect="Content" ObjectID="_1511963381" r:id="rId32"/>
        </w:pict>
      </w:r>
      <w:bookmarkStart w:id="6" w:name="_GoBack"/>
      <w:bookmarkEnd w:id="6"/>
    </w:p>
    <w:sectPr w:rsidR="004311BE" w:rsidRPr="00487785" w:rsidSect="009E2ED3">
      <w:headerReference w:type="even" r:id="rId33"/>
      <w:headerReference w:type="default" r:id="rId34"/>
      <w:footerReference w:type="even" r:id="rId35"/>
      <w:footerReference w:type="default" r:id="rId36"/>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CA" w:rsidRDefault="00D333CA" w:rsidP="00EA5418">
      <w:pPr>
        <w:spacing w:after="0" w:line="240" w:lineRule="auto"/>
      </w:pPr>
      <w:r>
        <w:separator/>
      </w:r>
    </w:p>
  </w:endnote>
  <w:endnote w:type="continuationSeparator" w:id="1">
    <w:p w:rsidR="00D333CA" w:rsidRDefault="00D333C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A" w:rsidRPr="0013011C" w:rsidRDefault="0058461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23818" w:rsidRPr="00B23818">
          <w:rPr>
            <w:rFonts w:ascii="Soberana Sans Light" w:hAnsi="Soberana Sans Light"/>
            <w:noProof/>
            <w:lang w:val="es-ES"/>
          </w:rPr>
          <w:t>8</w:t>
        </w:r>
        <w:r w:rsidRPr="0013011C">
          <w:rPr>
            <w:rFonts w:ascii="Soberana Sans Light" w:hAnsi="Soberana Sans Light"/>
          </w:rPr>
          <w:fldChar w:fldCharType="end"/>
        </w:r>
      </w:sdtContent>
    </w:sdt>
  </w:p>
  <w:p w:rsidR="0058461A" w:rsidRDefault="005846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A" w:rsidRPr="008E3652" w:rsidRDefault="0058461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23818" w:rsidRPr="00B23818">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CA" w:rsidRDefault="00D333CA" w:rsidP="00EA5418">
      <w:pPr>
        <w:spacing w:after="0" w:line="240" w:lineRule="auto"/>
      </w:pPr>
      <w:r>
        <w:separator/>
      </w:r>
    </w:p>
  </w:footnote>
  <w:footnote w:type="continuationSeparator" w:id="1">
    <w:p w:rsidR="00D333CA" w:rsidRDefault="00D333C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A" w:rsidRDefault="0058461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8461A" w:rsidRDefault="0058461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8461A" w:rsidRDefault="0058461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8461A" w:rsidRPr="00275FC6" w:rsidRDefault="0058461A"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8461A" w:rsidRDefault="0058461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58461A" w:rsidRDefault="0058461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8461A" w:rsidRPr="00275FC6" w:rsidRDefault="0058461A" w:rsidP="00040466">
                    <w:pPr>
                      <w:jc w:val="both"/>
                      <w:rPr>
                        <w:rFonts w:ascii="Soberana Titular" w:hAnsi="Soberana Titular" w:cs="Arial"/>
                        <w:color w:val="808080" w:themeColor="background1" w:themeShade="80"/>
                        <w:sz w:val="42"/>
                        <w:szCs w:val="42"/>
                      </w:rPr>
                    </w:pPr>
                  </w:p>
                </w:txbxContent>
              </v:textbox>
            </v:shape>
          </v:group>
        </v:group>
      </w:pict>
    </w:r>
    <w:r w:rsidRPr="003F7CA0">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A" w:rsidRPr="0013011C" w:rsidRDefault="0058461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EA5418"/>
    <w:rsid w:val="00001107"/>
    <w:rsid w:val="00001BAA"/>
    <w:rsid w:val="0000665B"/>
    <w:rsid w:val="00006A98"/>
    <w:rsid w:val="0002008B"/>
    <w:rsid w:val="00027713"/>
    <w:rsid w:val="0003369B"/>
    <w:rsid w:val="00040466"/>
    <w:rsid w:val="00045A10"/>
    <w:rsid w:val="00045C8F"/>
    <w:rsid w:val="00046D55"/>
    <w:rsid w:val="00057812"/>
    <w:rsid w:val="000654A0"/>
    <w:rsid w:val="00065BD0"/>
    <w:rsid w:val="00067004"/>
    <w:rsid w:val="00071075"/>
    <w:rsid w:val="00071D60"/>
    <w:rsid w:val="00075299"/>
    <w:rsid w:val="00082107"/>
    <w:rsid w:val="00082314"/>
    <w:rsid w:val="000874F0"/>
    <w:rsid w:val="00090BA5"/>
    <w:rsid w:val="000923F1"/>
    <w:rsid w:val="000A0474"/>
    <w:rsid w:val="000A55B3"/>
    <w:rsid w:val="000A5C0F"/>
    <w:rsid w:val="000B14F6"/>
    <w:rsid w:val="000B1EC3"/>
    <w:rsid w:val="000E26D8"/>
    <w:rsid w:val="000E6653"/>
    <w:rsid w:val="001010D6"/>
    <w:rsid w:val="00102656"/>
    <w:rsid w:val="00110745"/>
    <w:rsid w:val="00122DFE"/>
    <w:rsid w:val="00125C4B"/>
    <w:rsid w:val="0013011C"/>
    <w:rsid w:val="001534FD"/>
    <w:rsid w:val="00157FF1"/>
    <w:rsid w:val="00165BB4"/>
    <w:rsid w:val="00167AA8"/>
    <w:rsid w:val="0017037F"/>
    <w:rsid w:val="001833BE"/>
    <w:rsid w:val="00195936"/>
    <w:rsid w:val="001A4655"/>
    <w:rsid w:val="001B05C9"/>
    <w:rsid w:val="001B1B72"/>
    <w:rsid w:val="001C6FD8"/>
    <w:rsid w:val="001C781E"/>
    <w:rsid w:val="001D3E0A"/>
    <w:rsid w:val="001E7072"/>
    <w:rsid w:val="001F22A3"/>
    <w:rsid w:val="00204C86"/>
    <w:rsid w:val="002165E5"/>
    <w:rsid w:val="00221682"/>
    <w:rsid w:val="002300D9"/>
    <w:rsid w:val="002346E6"/>
    <w:rsid w:val="00241EF5"/>
    <w:rsid w:val="0026176C"/>
    <w:rsid w:val="00264426"/>
    <w:rsid w:val="002922CB"/>
    <w:rsid w:val="0029550F"/>
    <w:rsid w:val="002A252D"/>
    <w:rsid w:val="002A6F97"/>
    <w:rsid w:val="002A70B3"/>
    <w:rsid w:val="002B1A82"/>
    <w:rsid w:val="002C0914"/>
    <w:rsid w:val="002C17DF"/>
    <w:rsid w:val="002E59E4"/>
    <w:rsid w:val="002F3E1F"/>
    <w:rsid w:val="00306FAE"/>
    <w:rsid w:val="003110BD"/>
    <w:rsid w:val="00332C4A"/>
    <w:rsid w:val="00344401"/>
    <w:rsid w:val="003614D7"/>
    <w:rsid w:val="00371DA0"/>
    <w:rsid w:val="003721DE"/>
    <w:rsid w:val="00372F40"/>
    <w:rsid w:val="00375869"/>
    <w:rsid w:val="00396C2B"/>
    <w:rsid w:val="00397C6C"/>
    <w:rsid w:val="003A0303"/>
    <w:rsid w:val="003B41FB"/>
    <w:rsid w:val="003C70B1"/>
    <w:rsid w:val="003D2A06"/>
    <w:rsid w:val="003D5DBF"/>
    <w:rsid w:val="003D7877"/>
    <w:rsid w:val="003E42E6"/>
    <w:rsid w:val="003E7FD0"/>
    <w:rsid w:val="003F0EA4"/>
    <w:rsid w:val="003F7CA0"/>
    <w:rsid w:val="00403BE9"/>
    <w:rsid w:val="00406471"/>
    <w:rsid w:val="00411340"/>
    <w:rsid w:val="004119F0"/>
    <w:rsid w:val="004140A1"/>
    <w:rsid w:val="004311BE"/>
    <w:rsid w:val="0043789A"/>
    <w:rsid w:val="00437F5B"/>
    <w:rsid w:val="0044253C"/>
    <w:rsid w:val="00462CFB"/>
    <w:rsid w:val="004679C1"/>
    <w:rsid w:val="004714CF"/>
    <w:rsid w:val="00481AC1"/>
    <w:rsid w:val="00484C0D"/>
    <w:rsid w:val="00487785"/>
    <w:rsid w:val="00492415"/>
    <w:rsid w:val="0049653D"/>
    <w:rsid w:val="00497D8B"/>
    <w:rsid w:val="004A20C8"/>
    <w:rsid w:val="004A4F0E"/>
    <w:rsid w:val="004B4344"/>
    <w:rsid w:val="004C2367"/>
    <w:rsid w:val="004D0281"/>
    <w:rsid w:val="004D41B8"/>
    <w:rsid w:val="004E3F7F"/>
    <w:rsid w:val="004F2418"/>
    <w:rsid w:val="004F5641"/>
    <w:rsid w:val="004F65E7"/>
    <w:rsid w:val="00507117"/>
    <w:rsid w:val="00510221"/>
    <w:rsid w:val="0051084E"/>
    <w:rsid w:val="005146C5"/>
    <w:rsid w:val="00522632"/>
    <w:rsid w:val="00522EF3"/>
    <w:rsid w:val="005234AA"/>
    <w:rsid w:val="00531FCE"/>
    <w:rsid w:val="00540418"/>
    <w:rsid w:val="005423B6"/>
    <w:rsid w:val="00553C7E"/>
    <w:rsid w:val="0056091E"/>
    <w:rsid w:val="00571BE3"/>
    <w:rsid w:val="00574266"/>
    <w:rsid w:val="00576397"/>
    <w:rsid w:val="0058461A"/>
    <w:rsid w:val="005B45CF"/>
    <w:rsid w:val="005B4FD5"/>
    <w:rsid w:val="005B7D36"/>
    <w:rsid w:val="005C563D"/>
    <w:rsid w:val="005C7F67"/>
    <w:rsid w:val="005D3D25"/>
    <w:rsid w:val="005F4890"/>
    <w:rsid w:val="006249AD"/>
    <w:rsid w:val="00630681"/>
    <w:rsid w:val="006475C6"/>
    <w:rsid w:val="00671116"/>
    <w:rsid w:val="00674EEE"/>
    <w:rsid w:val="00677707"/>
    <w:rsid w:val="00695C72"/>
    <w:rsid w:val="006A3DE9"/>
    <w:rsid w:val="006A74C4"/>
    <w:rsid w:val="006B1FE7"/>
    <w:rsid w:val="006B487B"/>
    <w:rsid w:val="006B4A69"/>
    <w:rsid w:val="006B6A00"/>
    <w:rsid w:val="006B70BD"/>
    <w:rsid w:val="006C6ADD"/>
    <w:rsid w:val="006E0377"/>
    <w:rsid w:val="006E5D54"/>
    <w:rsid w:val="006E77DD"/>
    <w:rsid w:val="00702A73"/>
    <w:rsid w:val="007259C3"/>
    <w:rsid w:val="00745E89"/>
    <w:rsid w:val="00753565"/>
    <w:rsid w:val="00753EF8"/>
    <w:rsid w:val="00755598"/>
    <w:rsid w:val="00760146"/>
    <w:rsid w:val="00763CC7"/>
    <w:rsid w:val="00764302"/>
    <w:rsid w:val="007738A0"/>
    <w:rsid w:val="00784F56"/>
    <w:rsid w:val="00792CF7"/>
    <w:rsid w:val="0079582C"/>
    <w:rsid w:val="00797C74"/>
    <w:rsid w:val="007A480B"/>
    <w:rsid w:val="007D6E9A"/>
    <w:rsid w:val="007D7F38"/>
    <w:rsid w:val="007E23A3"/>
    <w:rsid w:val="00811BC4"/>
    <w:rsid w:val="00811DAC"/>
    <w:rsid w:val="0081685D"/>
    <w:rsid w:val="00816E93"/>
    <w:rsid w:val="00825999"/>
    <w:rsid w:val="0086671F"/>
    <w:rsid w:val="008750A9"/>
    <w:rsid w:val="00884BA7"/>
    <w:rsid w:val="0089054E"/>
    <w:rsid w:val="008A6E4D"/>
    <w:rsid w:val="008A793D"/>
    <w:rsid w:val="008B0017"/>
    <w:rsid w:val="008C5A66"/>
    <w:rsid w:val="008D5942"/>
    <w:rsid w:val="008E3652"/>
    <w:rsid w:val="008E5D14"/>
    <w:rsid w:val="008F6D58"/>
    <w:rsid w:val="009036A2"/>
    <w:rsid w:val="009069BD"/>
    <w:rsid w:val="00925E2C"/>
    <w:rsid w:val="0093492C"/>
    <w:rsid w:val="00941D42"/>
    <w:rsid w:val="00957043"/>
    <w:rsid w:val="00987407"/>
    <w:rsid w:val="00990DAF"/>
    <w:rsid w:val="009D1565"/>
    <w:rsid w:val="009D1BD6"/>
    <w:rsid w:val="009D336C"/>
    <w:rsid w:val="009D3CD3"/>
    <w:rsid w:val="009D5D4C"/>
    <w:rsid w:val="009E2ED3"/>
    <w:rsid w:val="009E40AD"/>
    <w:rsid w:val="009F23C4"/>
    <w:rsid w:val="00A053A0"/>
    <w:rsid w:val="00A111C4"/>
    <w:rsid w:val="00A11543"/>
    <w:rsid w:val="00A21819"/>
    <w:rsid w:val="00A26E8E"/>
    <w:rsid w:val="00A320EB"/>
    <w:rsid w:val="00A363B6"/>
    <w:rsid w:val="00A36932"/>
    <w:rsid w:val="00A4081B"/>
    <w:rsid w:val="00A418F9"/>
    <w:rsid w:val="00A46BF5"/>
    <w:rsid w:val="00A5086C"/>
    <w:rsid w:val="00A52FBD"/>
    <w:rsid w:val="00A707CC"/>
    <w:rsid w:val="00A84E3B"/>
    <w:rsid w:val="00AA2579"/>
    <w:rsid w:val="00AB222B"/>
    <w:rsid w:val="00AB6EB6"/>
    <w:rsid w:val="00AC431A"/>
    <w:rsid w:val="00AC728F"/>
    <w:rsid w:val="00AD6030"/>
    <w:rsid w:val="00AD766D"/>
    <w:rsid w:val="00AE0E85"/>
    <w:rsid w:val="00AE2BB1"/>
    <w:rsid w:val="00B0124E"/>
    <w:rsid w:val="00B04BFD"/>
    <w:rsid w:val="00B146E2"/>
    <w:rsid w:val="00B1600F"/>
    <w:rsid w:val="00B20407"/>
    <w:rsid w:val="00B228E0"/>
    <w:rsid w:val="00B23818"/>
    <w:rsid w:val="00B35B73"/>
    <w:rsid w:val="00B37099"/>
    <w:rsid w:val="00B54A7F"/>
    <w:rsid w:val="00B77C3B"/>
    <w:rsid w:val="00B80AB0"/>
    <w:rsid w:val="00B838B5"/>
    <w:rsid w:val="00B849EE"/>
    <w:rsid w:val="00B84D02"/>
    <w:rsid w:val="00B91051"/>
    <w:rsid w:val="00B979AE"/>
    <w:rsid w:val="00BA2940"/>
    <w:rsid w:val="00BB415C"/>
    <w:rsid w:val="00BB6D5A"/>
    <w:rsid w:val="00BD5BBE"/>
    <w:rsid w:val="00BD5E1B"/>
    <w:rsid w:val="00BF1A69"/>
    <w:rsid w:val="00C0539F"/>
    <w:rsid w:val="00C12453"/>
    <w:rsid w:val="00C16E53"/>
    <w:rsid w:val="00C20EDD"/>
    <w:rsid w:val="00C239C9"/>
    <w:rsid w:val="00C331BB"/>
    <w:rsid w:val="00C431B4"/>
    <w:rsid w:val="00C54340"/>
    <w:rsid w:val="00C55CF3"/>
    <w:rsid w:val="00C5609F"/>
    <w:rsid w:val="00C60653"/>
    <w:rsid w:val="00C612DC"/>
    <w:rsid w:val="00C71943"/>
    <w:rsid w:val="00C772E4"/>
    <w:rsid w:val="00C801B7"/>
    <w:rsid w:val="00C84897"/>
    <w:rsid w:val="00C863FC"/>
    <w:rsid w:val="00C86C59"/>
    <w:rsid w:val="00C91C5A"/>
    <w:rsid w:val="00C95AA6"/>
    <w:rsid w:val="00CA62C3"/>
    <w:rsid w:val="00CD02DE"/>
    <w:rsid w:val="00CD1DD9"/>
    <w:rsid w:val="00CD4690"/>
    <w:rsid w:val="00CD56BF"/>
    <w:rsid w:val="00CD66CE"/>
    <w:rsid w:val="00CD6D9A"/>
    <w:rsid w:val="00CE1468"/>
    <w:rsid w:val="00CE5B7A"/>
    <w:rsid w:val="00CE7F79"/>
    <w:rsid w:val="00CF35F9"/>
    <w:rsid w:val="00CF4DA0"/>
    <w:rsid w:val="00D00E92"/>
    <w:rsid w:val="00D055EC"/>
    <w:rsid w:val="00D07F07"/>
    <w:rsid w:val="00D21A17"/>
    <w:rsid w:val="00D21F34"/>
    <w:rsid w:val="00D333CA"/>
    <w:rsid w:val="00D40349"/>
    <w:rsid w:val="00D44728"/>
    <w:rsid w:val="00D46080"/>
    <w:rsid w:val="00D562FF"/>
    <w:rsid w:val="00D81FE7"/>
    <w:rsid w:val="00D85DFA"/>
    <w:rsid w:val="00DA5BF1"/>
    <w:rsid w:val="00DB395D"/>
    <w:rsid w:val="00DB68AA"/>
    <w:rsid w:val="00DD66D7"/>
    <w:rsid w:val="00DE2F0B"/>
    <w:rsid w:val="00DF05FD"/>
    <w:rsid w:val="00DF0AC8"/>
    <w:rsid w:val="00DF56C9"/>
    <w:rsid w:val="00E028CA"/>
    <w:rsid w:val="00E14C2F"/>
    <w:rsid w:val="00E22FA5"/>
    <w:rsid w:val="00E25061"/>
    <w:rsid w:val="00E30318"/>
    <w:rsid w:val="00E32708"/>
    <w:rsid w:val="00E35D51"/>
    <w:rsid w:val="00E5128A"/>
    <w:rsid w:val="00E537E5"/>
    <w:rsid w:val="00E638A3"/>
    <w:rsid w:val="00E77FF7"/>
    <w:rsid w:val="00EA5418"/>
    <w:rsid w:val="00EA5A32"/>
    <w:rsid w:val="00EB0D55"/>
    <w:rsid w:val="00EC233B"/>
    <w:rsid w:val="00ED04DA"/>
    <w:rsid w:val="00ED25BC"/>
    <w:rsid w:val="00ED4A34"/>
    <w:rsid w:val="00EE46FB"/>
    <w:rsid w:val="00EF7F4E"/>
    <w:rsid w:val="00F02641"/>
    <w:rsid w:val="00F04DE0"/>
    <w:rsid w:val="00F10414"/>
    <w:rsid w:val="00F174A9"/>
    <w:rsid w:val="00F17C0D"/>
    <w:rsid w:val="00F17FF3"/>
    <w:rsid w:val="00F2250F"/>
    <w:rsid w:val="00F32C6A"/>
    <w:rsid w:val="00F41D4F"/>
    <w:rsid w:val="00F54816"/>
    <w:rsid w:val="00F5606F"/>
    <w:rsid w:val="00F621D7"/>
    <w:rsid w:val="00F6486E"/>
    <w:rsid w:val="00F755D0"/>
    <w:rsid w:val="00F80C01"/>
    <w:rsid w:val="00FA3F4F"/>
    <w:rsid w:val="00FB1010"/>
    <w:rsid w:val="00FC0AE9"/>
    <w:rsid w:val="00FC6B0D"/>
    <w:rsid w:val="00FC7CA0"/>
    <w:rsid w:val="00FC7D20"/>
    <w:rsid w:val="00FD1516"/>
    <w:rsid w:val="00FD5A63"/>
    <w:rsid w:val="00FE0D2E"/>
    <w:rsid w:val="00FE3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1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package" Target="embeddings/Hoja_de_c_lculo_de_Microsoft_Office_Excel13.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1.xlsx"/><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A45-DF6B-4C7A-9DC6-AFE47317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FLOR</cp:lastModifiedBy>
  <cp:revision>198</cp:revision>
  <cp:lastPrinted>2015-12-18T22:18:00Z</cp:lastPrinted>
  <dcterms:created xsi:type="dcterms:W3CDTF">2014-12-22T15:46:00Z</dcterms:created>
  <dcterms:modified xsi:type="dcterms:W3CDTF">2015-12-18T23:03:00Z</dcterms:modified>
</cp:coreProperties>
</file>