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0806605"/>
    <w:bookmarkEnd w:id="0"/>
    <w:p w:rsidR="007D6E9A" w:rsidRDefault="00743736" w:rsidP="003D5DBF">
      <w:pPr>
        <w:jc w:val="center"/>
      </w:pPr>
      <w:r>
        <w:object w:dxaOrig="23634" w:dyaOrig="15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638.25pt;height:417.75pt" o:ole="">
            <v:imagedata r:id="rId8" o:title=""/>
          </v:shape>
          <o:OLEObject Type="Embed" ProgID="Excel.Sheet.12" ShapeID="_x0000_i1037" DrawAspect="Content" ObjectID="_1521530804" r:id="rId9"/>
        </w:object>
      </w:r>
      <w:bookmarkStart w:id="1" w:name="_GoBack"/>
      <w:bookmarkEnd w:id="1"/>
    </w:p>
    <w:p w:rsidR="00EA5418" w:rsidRDefault="00EA5418" w:rsidP="00372F40">
      <w:pPr>
        <w:jc w:val="center"/>
      </w:pPr>
    </w:p>
    <w:bookmarkStart w:id="2" w:name="_MON_1470805999"/>
    <w:bookmarkEnd w:id="2"/>
    <w:p w:rsidR="00EA5418" w:rsidRDefault="00170378" w:rsidP="0044253C">
      <w:pPr>
        <w:jc w:val="center"/>
      </w:pPr>
      <w:r>
        <w:object w:dxaOrig="25267" w:dyaOrig="18960">
          <v:shape id="_x0000_i1026" type="#_x0000_t75" style="width:587.25pt;height:439.5pt" o:ole="">
            <v:imagedata r:id="rId10" o:title=""/>
          </v:shape>
          <o:OLEObject Type="Embed" ProgID="Excel.Sheet.12" ShapeID="_x0000_i1026" DrawAspect="Content" ObjectID="_1521530805" r:id="rId11"/>
        </w:object>
      </w:r>
    </w:p>
    <w:bookmarkStart w:id="3" w:name="_MON_1470806992"/>
    <w:bookmarkEnd w:id="3"/>
    <w:p w:rsidR="00372F40" w:rsidRDefault="00170378" w:rsidP="003E7FD0">
      <w:pPr>
        <w:jc w:val="center"/>
      </w:pPr>
      <w:r>
        <w:object w:dxaOrig="22094" w:dyaOrig="15505">
          <v:shape id="_x0000_i1027" type="#_x0000_t75" style="width:651.75pt;height:457.5pt" o:ole="">
            <v:imagedata r:id="rId12" o:title=""/>
          </v:shape>
          <o:OLEObject Type="Embed" ProgID="Excel.Sheet.12" ShapeID="_x0000_i1027" DrawAspect="Content" ObjectID="_1521530806" r:id="rId13"/>
        </w:object>
      </w:r>
    </w:p>
    <w:bookmarkStart w:id="4" w:name="_MON_1470807348"/>
    <w:bookmarkEnd w:id="4"/>
    <w:p w:rsidR="00372F40" w:rsidRDefault="00170378" w:rsidP="008E3652">
      <w:pPr>
        <w:jc w:val="center"/>
      </w:pPr>
      <w:r>
        <w:object w:dxaOrig="18954" w:dyaOrig="12423">
          <v:shape id="_x0000_i1028" type="#_x0000_t75" style="width:690pt;height:452.25pt" o:ole="">
            <v:imagedata r:id="rId14" o:title=""/>
          </v:shape>
          <o:OLEObject Type="Embed" ProgID="Excel.Sheet.12" ShapeID="_x0000_i1028" DrawAspect="Content" ObjectID="_1521530807" r:id="rId15"/>
        </w:object>
      </w:r>
    </w:p>
    <w:bookmarkStart w:id="5" w:name="_MON_1470809138"/>
    <w:bookmarkEnd w:id="5"/>
    <w:p w:rsidR="00372F40" w:rsidRDefault="00170378" w:rsidP="00522632">
      <w:pPr>
        <w:jc w:val="center"/>
      </w:pPr>
      <w:r>
        <w:object w:dxaOrig="17886" w:dyaOrig="12269">
          <v:shape id="_x0000_i1029" type="#_x0000_t75" style="width:635.25pt;height:434.25pt" o:ole="">
            <v:imagedata r:id="rId16" o:title=""/>
          </v:shape>
          <o:OLEObject Type="Embed" ProgID="Excel.Sheet.12" ShapeID="_x0000_i1029" DrawAspect="Content" ObjectID="_1521530808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14596"/>
    <w:bookmarkEnd w:id="6"/>
    <w:p w:rsidR="00E32708" w:rsidRDefault="00170378" w:rsidP="00E32708">
      <w:pPr>
        <w:tabs>
          <w:tab w:val="left" w:pos="2430"/>
        </w:tabs>
        <w:jc w:val="center"/>
      </w:pPr>
      <w:r>
        <w:object w:dxaOrig="18312" w:dyaOrig="11218">
          <v:shape id="_x0000_i1030" type="#_x0000_t75" style="width:638.25pt;height:391.5pt" o:ole="">
            <v:imagedata r:id="rId18" o:title=""/>
          </v:shape>
          <o:OLEObject Type="Embed" ProgID="Excel.Sheet.12" ShapeID="_x0000_i1030" DrawAspect="Content" ObjectID="_1521530809" r:id="rId19"/>
        </w:object>
      </w:r>
    </w:p>
    <w:bookmarkStart w:id="7" w:name="_MON_1470810366"/>
    <w:bookmarkEnd w:id="7"/>
    <w:p w:rsidR="00E32708" w:rsidRDefault="00170378" w:rsidP="00E32708">
      <w:pPr>
        <w:tabs>
          <w:tab w:val="left" w:pos="2430"/>
        </w:tabs>
        <w:jc w:val="center"/>
      </w:pPr>
      <w:r>
        <w:object w:dxaOrig="26040" w:dyaOrig="16796">
          <v:shape id="_x0000_i1031" type="#_x0000_t75" style="width:693.75pt;height:448.5pt" o:ole="">
            <v:imagedata r:id="rId20" o:title=""/>
          </v:shape>
          <o:OLEObject Type="Embed" ProgID="Excel.Sheet.12" ShapeID="_x0000_i1031" DrawAspect="Content" ObjectID="_1521530810" r:id="rId21"/>
        </w:object>
      </w:r>
    </w:p>
    <w:p w:rsidR="00372F40" w:rsidRPr="004219A4" w:rsidRDefault="00372F40">
      <w:pPr>
        <w:rPr>
          <w:rFonts w:ascii="Arial" w:hAnsi="Arial" w:cs="Arial"/>
          <w:sz w:val="18"/>
          <w:szCs w:val="18"/>
        </w:rPr>
      </w:pPr>
    </w:p>
    <w:p w:rsidR="00372F40" w:rsidRPr="004219A4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4219A4">
        <w:rPr>
          <w:rFonts w:ascii="Arial" w:hAnsi="Arial" w:cs="Arial"/>
          <w:sz w:val="18"/>
          <w:szCs w:val="18"/>
        </w:rPr>
        <w:t>Informe de Pasivos Contingentes</w:t>
      </w:r>
    </w:p>
    <w:p w:rsidR="00540418" w:rsidRDefault="00E6584A" w:rsidP="00E6584A">
      <w:pPr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Por política y operatividad  el Instituto de Catastro al 31 de </w:t>
      </w:r>
      <w:r w:rsidR="00170378">
        <w:rPr>
          <w:rFonts w:ascii="Arial" w:hAnsi="Arial" w:cs="Arial"/>
          <w:sz w:val="18"/>
          <w:szCs w:val="18"/>
        </w:rPr>
        <w:t>Marzo del Ejercicio Fiscal 2016</w:t>
      </w:r>
      <w:r>
        <w:rPr>
          <w:rFonts w:ascii="Arial" w:hAnsi="Arial" w:cs="Arial"/>
          <w:sz w:val="18"/>
          <w:szCs w:val="18"/>
        </w:rPr>
        <w:t>, no</w:t>
      </w:r>
      <w:r w:rsidR="00A849F2">
        <w:rPr>
          <w:rFonts w:ascii="Arial" w:hAnsi="Arial" w:cs="Arial"/>
          <w:sz w:val="18"/>
          <w:szCs w:val="18"/>
        </w:rPr>
        <w:t xml:space="preserve"> cuenta con saldos en Pasivos Contingentes, ya que </w:t>
      </w:r>
      <w:r>
        <w:rPr>
          <w:rFonts w:ascii="Arial" w:hAnsi="Arial" w:cs="Arial"/>
          <w:sz w:val="18"/>
          <w:szCs w:val="18"/>
        </w:rPr>
        <w:t>se trata de un ente descentralizado tal y como lo es</w:t>
      </w:r>
      <w:r w:rsidR="00A849F2">
        <w:rPr>
          <w:rFonts w:ascii="Arial" w:hAnsi="Arial" w:cs="Arial"/>
          <w:sz w:val="18"/>
          <w:szCs w:val="18"/>
        </w:rPr>
        <w:t xml:space="preserve">tablece el Decreto de Creación, sin embargo no se omite mencionar que cabe la posibilidad  que se presente alguna situación de esta naturaleza, misma que será reconocida e informada en los Estados Financieros en el momento en que nazca dicha probabilidad. </w:t>
      </w:r>
      <w:r w:rsidR="00540418">
        <w:rPr>
          <w:rFonts w:ascii="Soberana Sans Light" w:hAnsi="Soberana Sans Light"/>
        </w:rPr>
        <w:br w:type="page"/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lastRenderedPageBreak/>
        <w:t>NOTAS A LOS ESTADOS FINANCIEROS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147276" w:rsidRPr="000F6B3C" w:rsidRDefault="00147276" w:rsidP="00147276">
      <w:pPr>
        <w:pStyle w:val="Texto"/>
        <w:spacing w:after="0" w:line="240" w:lineRule="exact"/>
        <w:jc w:val="center"/>
        <w:rPr>
          <w:szCs w:val="18"/>
        </w:rPr>
      </w:pPr>
      <w:r w:rsidRPr="000F6B3C">
        <w:rPr>
          <w:b/>
          <w:szCs w:val="18"/>
        </w:rPr>
        <w:t>a) NOTAS DE DESGLOSE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147276" w:rsidRPr="000F6B3C" w:rsidRDefault="00147276" w:rsidP="00147276">
      <w:pPr>
        <w:pStyle w:val="INCISO"/>
        <w:spacing w:after="0" w:line="240" w:lineRule="exact"/>
        <w:ind w:left="648"/>
        <w:rPr>
          <w:b/>
          <w:smallCaps/>
        </w:rPr>
      </w:pPr>
      <w:r w:rsidRPr="000F6B3C">
        <w:rPr>
          <w:b/>
          <w:smallCaps/>
        </w:rPr>
        <w:t>I)</w:t>
      </w:r>
      <w:r w:rsidRPr="000F6B3C">
        <w:rPr>
          <w:b/>
          <w:smallCaps/>
        </w:rPr>
        <w:tab/>
        <w:t>Notas al Estado de Situación Financiera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Activo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Efectivo y Equivalentes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1.</w:t>
      </w:r>
      <w:r w:rsidRPr="000F6B3C">
        <w:rPr>
          <w:lang w:val="es-MX"/>
        </w:rPr>
        <w:tab/>
        <w:t>El saldo por $</w:t>
      </w:r>
      <w:r w:rsidR="002A4338">
        <w:rPr>
          <w:lang w:val="es-MX"/>
        </w:rPr>
        <w:t>1</w:t>
      </w:r>
      <w:r w:rsidR="00170378">
        <w:rPr>
          <w:lang w:val="es-MX"/>
        </w:rPr>
        <w:t>11,292.000</w:t>
      </w:r>
      <w:r w:rsidRPr="000F6B3C">
        <w:rPr>
          <w:lang w:val="es-MX"/>
        </w:rPr>
        <w:t xml:space="preserve"> corresponde a participaciones recibidas.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Derechos a recibir Efectivo y Equivalentes y Bienes o Servicios a Recibir</w:t>
      </w:r>
    </w:p>
    <w:p w:rsidR="00170378" w:rsidRPr="000F6B3C" w:rsidRDefault="00147276" w:rsidP="00170378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</w:t>
      </w:r>
      <w:r w:rsidRPr="000F6B3C">
        <w:rPr>
          <w:lang w:val="es-MX"/>
        </w:rPr>
        <w:tab/>
        <w:t>Se informa que el IDC cuenta derechos a recib</w:t>
      </w:r>
      <w:r w:rsidR="00170378">
        <w:rPr>
          <w:lang w:val="es-MX"/>
        </w:rPr>
        <w:t>ir efectivo y equivalentes por $</w:t>
      </w:r>
      <w:r w:rsidR="002A4338">
        <w:rPr>
          <w:lang w:val="es-MX"/>
        </w:rPr>
        <w:t>5,069.00</w:t>
      </w:r>
      <w:r w:rsidRPr="000F6B3C">
        <w:rPr>
          <w:lang w:val="es-MX"/>
        </w:rPr>
        <w:t xml:space="preserve"> se estima que la factibilidad de cobro y/o cancelación sea a corto plazo, derivado</w:t>
      </w:r>
      <w:r w:rsidR="002A4338">
        <w:rPr>
          <w:lang w:val="es-MX"/>
        </w:rPr>
        <w:t xml:space="preserve"> a un depósito que está pendiente por realizarse por parte del Ex Administrativo del I.D.C.</w:t>
      </w:r>
      <w:r w:rsidR="00170378">
        <w:rPr>
          <w:lang w:val="es-MX"/>
        </w:rPr>
        <w:t xml:space="preserve"> y $1,600.00 que corresponden a un gasto a comprobar para pagos de verificaciones y tenencias del parque vehicular, dando un total de $6,669.00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Bienes Disponibles para su Transformación o Consumo (inventarios)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4.</w:t>
      </w:r>
      <w:r w:rsidRPr="000F6B3C">
        <w:rPr>
          <w:lang w:val="es-MX"/>
        </w:rPr>
        <w:tab/>
        <w:t>No existen bienes disponibles para su transformación, por lo que no aplica revelar información alguna.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5.</w:t>
      </w:r>
      <w:r w:rsidRPr="000F6B3C">
        <w:rPr>
          <w:lang w:val="es-MX"/>
        </w:rPr>
        <w:tab/>
        <w:t>No se tiene la cuenta de Almacén.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Inversiones Financieras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6.</w:t>
      </w:r>
      <w:r w:rsidRPr="000F6B3C">
        <w:rPr>
          <w:lang w:val="es-MX"/>
        </w:rPr>
        <w:tab/>
        <w:t>No se cuenta con Inversiones financieras, por lo que no aplica.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7.</w:t>
      </w:r>
      <w:r w:rsidRPr="000F6B3C">
        <w:rPr>
          <w:lang w:val="es-MX"/>
        </w:rPr>
        <w:tab/>
        <w:t>No aplica presentar información de las inversiones financieras, ni saldos de las participaciones y aportaciones de capital.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Bienes Muebles, Inmuebles e Intangibles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8.</w:t>
      </w:r>
      <w:r w:rsidRPr="000F6B3C">
        <w:rPr>
          <w:lang w:val="es-MX"/>
        </w:rPr>
        <w:tab/>
        <w:t>El rubro de Bienes Muebles se integra de la siguiente manera:</w:t>
      </w:r>
    </w:p>
    <w:p w:rsidR="00DF3429" w:rsidRPr="000F6B3C" w:rsidRDefault="00DF3429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Equipo de transporte</w:t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  <w:t xml:space="preserve">    $</w:t>
      </w:r>
      <w:r>
        <w:rPr>
          <w:lang w:val="es-MX"/>
        </w:rPr>
        <w:t>673,572.</w:t>
      </w:r>
      <w:r w:rsidRPr="000F6B3C">
        <w:rPr>
          <w:lang w:val="es-MX"/>
        </w:rPr>
        <w:t>00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Equipo de cómputo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</w:t>
      </w:r>
      <w:r w:rsidRPr="000F6B3C">
        <w:rPr>
          <w:lang w:val="es-MX"/>
        </w:rPr>
        <w:t xml:space="preserve">  </w:t>
      </w:r>
      <w:r>
        <w:rPr>
          <w:lang w:val="es-MX"/>
        </w:rPr>
        <w:t>3</w:t>
      </w:r>
      <w:proofErr w:type="gramStart"/>
      <w:r>
        <w:rPr>
          <w:lang w:val="es-MX"/>
        </w:rPr>
        <w:t>,999,960.00</w:t>
      </w:r>
      <w:proofErr w:type="gramEnd"/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</w:r>
      <w:r>
        <w:rPr>
          <w:lang w:val="es-MX"/>
        </w:rPr>
        <w:t>M</w:t>
      </w:r>
      <w:r w:rsidRPr="000F6B3C">
        <w:rPr>
          <w:lang w:val="es-MX"/>
        </w:rPr>
        <w:t>uebles de oficina y estantería</w:t>
      </w:r>
      <w:r w:rsidRPr="000F6B3C">
        <w:rPr>
          <w:lang w:val="es-MX"/>
        </w:rPr>
        <w:tab/>
      </w:r>
      <w:r w:rsidRPr="000F6B3C">
        <w:rPr>
          <w:lang w:val="es-MX"/>
        </w:rPr>
        <w:tab/>
        <w:t xml:space="preserve">      </w:t>
      </w:r>
      <w:r w:rsidR="00907AB2">
        <w:rPr>
          <w:lang w:val="es-MX"/>
        </w:rPr>
        <w:t>263,242.00</w:t>
      </w:r>
    </w:p>
    <w:p w:rsidR="00DF3429" w:rsidRPr="000F6B3C" w:rsidRDefault="00DF3429" w:rsidP="00DF3429">
      <w:pPr>
        <w:pStyle w:val="ROMANOS"/>
        <w:spacing w:after="0" w:line="240" w:lineRule="exact"/>
        <w:rPr>
          <w:u w:val="single"/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Equip</w:t>
      </w:r>
      <w:r>
        <w:rPr>
          <w:lang w:val="es-MX"/>
        </w:rPr>
        <w:t>os de generación eléctrica</w:t>
      </w:r>
      <w:r>
        <w:rPr>
          <w:lang w:val="es-MX"/>
        </w:rPr>
        <w:tab/>
      </w:r>
      <w:r>
        <w:rPr>
          <w:lang w:val="es-MX"/>
        </w:rPr>
        <w:tab/>
        <w:t xml:space="preserve">   </w:t>
      </w:r>
      <w:r w:rsidRPr="000F6B3C">
        <w:rPr>
          <w:lang w:val="es-MX"/>
        </w:rPr>
        <w:t xml:space="preserve"> </w:t>
      </w:r>
      <w:r w:rsidRPr="000F6B3C">
        <w:rPr>
          <w:u w:val="single"/>
          <w:lang w:val="es-MX"/>
        </w:rPr>
        <w:t xml:space="preserve">  </w:t>
      </w:r>
      <w:r>
        <w:rPr>
          <w:u w:val="single"/>
          <w:lang w:val="es-MX"/>
        </w:rPr>
        <w:t>298,600.00</w:t>
      </w: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Total</w:t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b/>
          <w:lang w:val="es-MX"/>
        </w:rPr>
        <w:t>$</w:t>
      </w:r>
      <w:r>
        <w:rPr>
          <w:b/>
          <w:lang w:val="es-MX"/>
        </w:rPr>
        <w:t>5</w:t>
      </w:r>
      <w:proofErr w:type="gramStart"/>
      <w:r>
        <w:rPr>
          <w:b/>
          <w:lang w:val="es-MX"/>
        </w:rPr>
        <w:t>,</w:t>
      </w:r>
      <w:r w:rsidR="00907AB2">
        <w:rPr>
          <w:b/>
          <w:lang w:val="es-MX"/>
        </w:rPr>
        <w:t>235,374.00</w:t>
      </w:r>
      <w:proofErr w:type="gramEnd"/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Es importante aclarar que el imp</w:t>
      </w:r>
      <w:r>
        <w:rPr>
          <w:lang w:val="es-MX"/>
        </w:rPr>
        <w:t>orte que se refleja en libros</w:t>
      </w:r>
      <w:r w:rsidRPr="000F6B3C">
        <w:rPr>
          <w:lang w:val="es-MX"/>
        </w:rPr>
        <w:t xml:space="preserve"> </w:t>
      </w:r>
      <w:r w:rsidR="00907AB2">
        <w:rPr>
          <w:lang w:val="es-MX"/>
        </w:rPr>
        <w:t xml:space="preserve">no </w:t>
      </w:r>
      <w:r w:rsidRPr="000F6B3C">
        <w:rPr>
          <w:lang w:val="es-MX"/>
        </w:rPr>
        <w:t>es el mismo al que se muestra</w:t>
      </w:r>
      <w:r>
        <w:rPr>
          <w:lang w:val="es-MX"/>
        </w:rPr>
        <w:t xml:space="preserve"> en el anexo de bienes muebles</w:t>
      </w:r>
      <w:r w:rsidR="00907AB2">
        <w:rPr>
          <w:lang w:val="es-MX"/>
        </w:rPr>
        <w:t>; ya que derivado del proyecto de modernización, la Dirección de Recursos Materiales cargó al sistema de bienes muebles del Instituto de Catastro del Estado de Tlaxcala, equipos de cómputo; mismos que están en proceso de reconocimiento contablemente ya que aún no se cuenta con los documentos legales que amparen su registro.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A la fecha de los estados financieros, no se ha calculado depreciación de bienes muebles.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De manera general, los bienes muebles se encuentran en buen y regular estado.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No se cuenta con bienes inmuebles.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lastRenderedPageBreak/>
        <w:t>9.</w:t>
      </w:r>
      <w:r w:rsidRPr="000F6B3C">
        <w:rPr>
          <w:lang w:val="es-MX"/>
        </w:rPr>
        <w:tab/>
      </w:r>
      <w:r>
        <w:rPr>
          <w:lang w:val="es-MX"/>
        </w:rPr>
        <w:t>No s</w:t>
      </w:r>
      <w:r w:rsidR="00907AB2">
        <w:rPr>
          <w:lang w:val="es-MX"/>
        </w:rPr>
        <w:t>e cuenta con cuenta con activos intangibles.</w:t>
      </w:r>
    </w:p>
    <w:p w:rsidR="00C878E1" w:rsidRDefault="00C878E1" w:rsidP="00907AB2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Estimaciones y Deterioros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10.</w:t>
      </w:r>
      <w:r w:rsidRPr="000F6B3C">
        <w:rPr>
          <w:lang w:val="es-MX"/>
        </w:rPr>
        <w:tab/>
        <w:t>No se han elaborado estimaciones ni deterioros.</w:t>
      </w: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Otros Activos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11.</w:t>
      </w:r>
      <w:r w:rsidRPr="000F6B3C">
        <w:rPr>
          <w:lang w:val="es-MX"/>
        </w:rPr>
        <w:tab/>
        <w:t>No se tienen cuentas de Otros activos.</w:t>
      </w:r>
    </w:p>
    <w:p w:rsidR="00DF3429" w:rsidRPr="000F6B3C" w:rsidRDefault="00DF3429" w:rsidP="00DF3429">
      <w:pPr>
        <w:pStyle w:val="ROMANOS"/>
        <w:spacing w:after="0" w:line="240" w:lineRule="exact"/>
        <w:ind w:left="432"/>
        <w:rPr>
          <w:b/>
          <w:lang w:val="es-MX"/>
        </w:rPr>
      </w:pPr>
      <w:r w:rsidRPr="000F6B3C">
        <w:rPr>
          <w:b/>
          <w:lang w:val="es-MX"/>
        </w:rPr>
        <w:t>Pasivo</w:t>
      </w:r>
    </w:p>
    <w:p w:rsidR="00DF3429" w:rsidRDefault="002A4338" w:rsidP="002A4338">
      <w:pPr>
        <w:pStyle w:val="ROMANOS"/>
        <w:numPr>
          <w:ilvl w:val="0"/>
          <w:numId w:val="6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No </w:t>
      </w:r>
      <w:r w:rsidR="00DF3429">
        <w:rPr>
          <w:lang w:val="es-MX"/>
        </w:rPr>
        <w:t>Existen pasivos</w:t>
      </w:r>
      <w:r>
        <w:rPr>
          <w:lang w:val="es-MX"/>
        </w:rPr>
        <w:t>.</w:t>
      </w:r>
    </w:p>
    <w:p w:rsidR="002A4338" w:rsidRPr="000F6B3C" w:rsidRDefault="002A4338" w:rsidP="002A4338">
      <w:pPr>
        <w:pStyle w:val="ROMANOS"/>
        <w:spacing w:after="0" w:line="240" w:lineRule="exact"/>
        <w:ind w:left="723" w:firstLine="0"/>
        <w:rPr>
          <w:lang w:val="es-MX"/>
        </w:rPr>
      </w:pP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II)</w:t>
      </w:r>
      <w:r w:rsidRPr="000F6B3C">
        <w:rPr>
          <w:b/>
          <w:smallCaps/>
        </w:rPr>
        <w:tab/>
        <w:t>Notas al Estado de Actividades</w:t>
      </w: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Ingresos de Gestión</w:t>
      </w:r>
    </w:p>
    <w:p w:rsidR="00DF3429" w:rsidRPr="000F6B3C" w:rsidRDefault="00DF3429" w:rsidP="00DF3429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Se registraron ingresos por Participaciones en cantidad de $</w:t>
      </w:r>
      <w:r w:rsidR="00907AB2">
        <w:rPr>
          <w:lang w:val="es-MX"/>
        </w:rPr>
        <w:t>1</w:t>
      </w:r>
      <w:proofErr w:type="gramStart"/>
      <w:r w:rsidR="00907AB2">
        <w:rPr>
          <w:lang w:val="es-MX"/>
        </w:rPr>
        <w:t>,085,488.00</w:t>
      </w:r>
      <w:proofErr w:type="gramEnd"/>
      <w:r w:rsidR="002A4338">
        <w:rPr>
          <w:lang w:val="es-MX"/>
        </w:rPr>
        <w:t xml:space="preserve"> </w:t>
      </w:r>
      <w:r w:rsidRPr="000F6B3C">
        <w:rPr>
          <w:lang w:val="es-MX"/>
        </w:rPr>
        <w:t>Cabe señalar que de éste importe, únicamente se recibieron efectivamente $</w:t>
      </w:r>
      <w:r w:rsidR="00907AB2">
        <w:rPr>
          <w:lang w:val="es-MX"/>
        </w:rPr>
        <w:t>206,360.00</w:t>
      </w:r>
      <w:r w:rsidRPr="000F6B3C">
        <w:rPr>
          <w:lang w:val="es-MX"/>
        </w:rPr>
        <w:t xml:space="preserve"> el resto corresponde a cargos</w:t>
      </w:r>
      <w:r w:rsidR="00907AB2">
        <w:rPr>
          <w:lang w:val="es-MX"/>
        </w:rPr>
        <w:t xml:space="preserve"> presupuestales </w:t>
      </w:r>
      <w:r w:rsidRPr="000F6B3C">
        <w:rPr>
          <w:lang w:val="es-MX"/>
        </w:rPr>
        <w:t>por concepto de nómina, y que no se recibieron, ya que son directamente cubiertos por el Gobierno del Estado de Tlaxcala.</w:t>
      </w:r>
    </w:p>
    <w:p w:rsidR="00DF3429" w:rsidRPr="000F6B3C" w:rsidRDefault="00DF3429" w:rsidP="00DF3429">
      <w:pPr>
        <w:pStyle w:val="ROMANOS"/>
        <w:numPr>
          <w:ilvl w:val="0"/>
          <w:numId w:val="2"/>
        </w:numPr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Gastos y Otras Pérdidas:</w:t>
      </w:r>
    </w:p>
    <w:p w:rsidR="00DF3429" w:rsidRDefault="00DF3429" w:rsidP="00DF3429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Los gastos por concepto de Servicios Personales ascienden a $</w:t>
      </w:r>
      <w:r w:rsidR="00907AB2">
        <w:rPr>
          <w:lang w:val="es-MX"/>
        </w:rPr>
        <w:t>914,535.00</w:t>
      </w:r>
      <w:r w:rsidR="000B062C">
        <w:rPr>
          <w:lang w:val="es-MX"/>
        </w:rPr>
        <w:t xml:space="preserve"> </w:t>
      </w:r>
      <w:r w:rsidRPr="000F6B3C">
        <w:rPr>
          <w:lang w:val="es-MX"/>
        </w:rPr>
        <w:t>mismos que incluyen remuneraciones al personal de carácter permanente, remuneraciones adicionales y especiales (aguinaldo y prima vacacional), otras compensaciones (cuotas despensa, servicio médico, aportaciones a pensiones).</w:t>
      </w:r>
    </w:p>
    <w:p w:rsidR="00DF3429" w:rsidRPr="000F6B3C" w:rsidRDefault="00DF3429" w:rsidP="00DF3429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>
        <w:rPr>
          <w:lang w:val="es-MX"/>
        </w:rPr>
        <w:t>Los materiales y suministros se registraron erogaciones por $</w:t>
      </w:r>
      <w:r w:rsidR="00907AB2">
        <w:rPr>
          <w:lang w:val="es-MX"/>
        </w:rPr>
        <w:t>116,168.00</w:t>
      </w:r>
    </w:p>
    <w:p w:rsidR="00DF3429" w:rsidRPr="00907AB2" w:rsidRDefault="00DF3429" w:rsidP="00E11093">
      <w:pPr>
        <w:pStyle w:val="ROMANOS"/>
        <w:numPr>
          <w:ilvl w:val="0"/>
          <w:numId w:val="1"/>
        </w:numPr>
        <w:spacing w:after="0" w:line="240" w:lineRule="exact"/>
        <w:ind w:left="0" w:firstLine="0"/>
        <w:rPr>
          <w:lang w:val="es-MX"/>
        </w:rPr>
      </w:pPr>
      <w:r w:rsidRPr="00907AB2">
        <w:rPr>
          <w:lang w:val="es-MX"/>
        </w:rPr>
        <w:t>En Servicios Generales se registraron erogaciones por $</w:t>
      </w:r>
      <w:r w:rsidR="00907AB2">
        <w:rPr>
          <w:lang w:val="es-MX"/>
        </w:rPr>
        <w:t>44,052.00</w:t>
      </w: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III)</w:t>
      </w:r>
      <w:r w:rsidRPr="000F6B3C">
        <w:rPr>
          <w:b/>
          <w:smallCaps/>
        </w:rPr>
        <w:tab/>
        <w:t>Notas al Estado de Variación en la Hacienda Pública</w:t>
      </w:r>
    </w:p>
    <w:p w:rsidR="00DF3429" w:rsidRDefault="00DF3429" w:rsidP="00DF3429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Se informa que el pat</w:t>
      </w:r>
      <w:r w:rsidR="00907AB2">
        <w:rPr>
          <w:lang w:val="es-MX"/>
        </w:rPr>
        <w:t>rimonio contribuido se modificó, debido a que al 31 de diciembre del ejercicio fiscal de 2015</w:t>
      </w:r>
      <w:r w:rsidR="00C91524">
        <w:rPr>
          <w:lang w:val="es-MX"/>
        </w:rPr>
        <w:t xml:space="preserve"> se etiquetó un recurso para el pago de Gasto Médico a proveedores y del 2% sobre nómina a favor del Gobierno del Estado, mismos que fueron pagados a partir del enero de 2016 por el importe de $46,892.00, no se omite mencionar que se han realizado reintegros a la cuenta de resultados $391.00, </w:t>
      </w:r>
      <w:r w:rsidR="002A4338">
        <w:rPr>
          <w:lang w:val="es-MX"/>
        </w:rPr>
        <w:t xml:space="preserve">reflejando así un saldo </w:t>
      </w:r>
      <w:r w:rsidR="00C91524">
        <w:rPr>
          <w:lang w:val="es-MX"/>
        </w:rPr>
        <w:t xml:space="preserve">al 31 de marzo </w:t>
      </w:r>
      <w:r w:rsidR="002A4338">
        <w:rPr>
          <w:lang w:val="es-MX"/>
        </w:rPr>
        <w:t xml:space="preserve">de </w:t>
      </w:r>
      <w:r w:rsidR="00C91524">
        <w:rPr>
          <w:lang w:val="es-MX"/>
        </w:rPr>
        <w:t>$107,224.00</w:t>
      </w:r>
    </w:p>
    <w:p w:rsidR="00DF3429" w:rsidRDefault="00DF3429" w:rsidP="00DF3429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Se informa </w:t>
      </w:r>
      <w:r w:rsidRPr="000F6B3C">
        <w:rPr>
          <w:lang w:val="es-MX"/>
        </w:rPr>
        <w:t xml:space="preserve">que el patrimonio generado en el ejercicio (resultado del ejercicio) </w:t>
      </w:r>
      <w:r w:rsidR="002A4338">
        <w:rPr>
          <w:lang w:val="es-MX"/>
        </w:rPr>
        <w:t>es de $</w:t>
      </w:r>
      <w:r w:rsidR="00C91524">
        <w:rPr>
          <w:lang w:val="es-MX"/>
        </w:rPr>
        <w:t>10,737.00</w:t>
      </w:r>
    </w:p>
    <w:p w:rsidR="00DF3429" w:rsidRPr="000F6B3C" w:rsidRDefault="00DF3429" w:rsidP="00DF3429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>
        <w:rPr>
          <w:lang w:val="es-MX"/>
        </w:rPr>
        <w:t>Hubo modificaciones en el patrimonio Bienes muebles por -$</w:t>
      </w:r>
      <w:r w:rsidR="00C91524">
        <w:rPr>
          <w:lang w:val="es-MX"/>
        </w:rPr>
        <w:t>243,130.00</w:t>
      </w:r>
      <w:r>
        <w:rPr>
          <w:lang w:val="es-MX"/>
        </w:rPr>
        <w:t xml:space="preserve"> por concepto de bajas,</w:t>
      </w:r>
      <w:r w:rsidR="00C91524">
        <w:rPr>
          <w:lang w:val="es-MX"/>
        </w:rPr>
        <w:t xml:space="preserve"> de bienes que no cumplen con los requisitos que establece los lineamientos de CONAC, y por estar en condiciones de obsolescencia; por lo que al 31 de </w:t>
      </w:r>
      <w:r w:rsidR="00743736">
        <w:rPr>
          <w:lang w:val="es-MX"/>
        </w:rPr>
        <w:t>Marzo</w:t>
      </w:r>
      <w:r w:rsidR="00C91524">
        <w:rPr>
          <w:lang w:val="es-MX"/>
        </w:rPr>
        <w:t xml:space="preserve"> se cuenta con un patrimonio de bienes muebles de $5</w:t>
      </w:r>
      <w:proofErr w:type="gramStart"/>
      <w:r w:rsidR="00C91524">
        <w:rPr>
          <w:lang w:val="es-MX"/>
        </w:rPr>
        <w:t>,235,374.00</w:t>
      </w:r>
      <w:proofErr w:type="gramEnd"/>
      <w:r w:rsidR="00C91524">
        <w:rPr>
          <w:lang w:val="es-MX"/>
        </w:rPr>
        <w:t xml:space="preserve">. </w:t>
      </w:r>
    </w:p>
    <w:p w:rsidR="00DF3429" w:rsidRDefault="00DF3429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C91524" w:rsidRDefault="00C91524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C91524" w:rsidRDefault="00C91524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C91524" w:rsidRDefault="00C91524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C91524" w:rsidRDefault="00C91524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C91524" w:rsidRDefault="00C91524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C91524" w:rsidRDefault="00C91524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C91524" w:rsidRDefault="00C91524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C91524" w:rsidRDefault="00C91524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C91524" w:rsidRDefault="00C91524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C91524" w:rsidRPr="000F6B3C" w:rsidRDefault="00C91524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lastRenderedPageBreak/>
        <w:t>IV)</w:t>
      </w:r>
      <w:r w:rsidRPr="000F6B3C">
        <w:rPr>
          <w:b/>
          <w:smallCaps/>
        </w:rPr>
        <w:tab/>
        <w:t xml:space="preserve">Notas al Estado de Flujos de Efectivo </w:t>
      </w: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Efectivo y equivalentes</w:t>
      </w:r>
    </w:p>
    <w:p w:rsidR="00DF3429" w:rsidRPr="000F6B3C" w:rsidRDefault="00DF3429" w:rsidP="00DF3429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147276" w:rsidRPr="000F6B3C" w:rsidRDefault="00147276" w:rsidP="00147276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/>
      </w:tblPr>
      <w:tblGrid>
        <w:gridCol w:w="4245"/>
        <w:gridCol w:w="1300"/>
        <w:gridCol w:w="1251"/>
      </w:tblGrid>
      <w:tr w:rsidR="00147276" w:rsidRPr="000F6B3C" w:rsidTr="00C91524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201</w:t>
            </w:r>
            <w:r w:rsidR="00C91524">
              <w:rPr>
                <w:szCs w:val="18"/>
                <w:lang w:val="es-MX"/>
              </w:rPr>
              <w:t>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C91524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2015</w:t>
            </w:r>
          </w:p>
        </w:tc>
      </w:tr>
      <w:tr w:rsidR="00147276" w:rsidRPr="000F6B3C" w:rsidTr="00C91524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C91524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111,292.00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C91524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148,656.00</w:t>
            </w:r>
          </w:p>
        </w:tc>
      </w:tr>
      <w:tr w:rsidR="00147276" w:rsidRPr="000F6B3C" w:rsidTr="00C91524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C91524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C91524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C91524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C91524" w:rsidRPr="000F6B3C" w:rsidTr="00C91524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24" w:rsidRPr="000F6B3C" w:rsidRDefault="00C91524" w:rsidP="00C91524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24" w:rsidRPr="000F6B3C" w:rsidRDefault="00C91524" w:rsidP="00C9152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111,292.00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24" w:rsidRPr="000F6B3C" w:rsidRDefault="00C91524" w:rsidP="00C9152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148,656.00</w:t>
            </w:r>
          </w:p>
        </w:tc>
      </w:tr>
    </w:tbl>
    <w:p w:rsidR="00147276" w:rsidRPr="000F6B3C" w:rsidRDefault="00147276" w:rsidP="000416C6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:rsidR="00147276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</w:t>
      </w:r>
      <w:r w:rsidRPr="000F6B3C">
        <w:rPr>
          <w:lang w:val="es-MX"/>
        </w:rPr>
        <w:tab/>
        <w:t>No se adquirieron bi</w:t>
      </w:r>
      <w:r>
        <w:rPr>
          <w:lang w:val="es-MX"/>
        </w:rPr>
        <w:t>enes muebles e inmuebles.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3.</w:t>
      </w:r>
      <w:r w:rsidRPr="000F6B3C">
        <w:rPr>
          <w:lang w:val="es-MX"/>
        </w:rPr>
        <w:tab/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Layout w:type="fixed"/>
        <w:tblLook w:val="0000"/>
      </w:tblPr>
      <w:tblGrid>
        <w:gridCol w:w="6677"/>
        <w:gridCol w:w="1148"/>
        <w:gridCol w:w="1134"/>
      </w:tblGrid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C91524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C9152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201</w:t>
            </w:r>
            <w:r w:rsidR="00C91524">
              <w:rPr>
                <w:szCs w:val="18"/>
                <w:lang w:val="es-MX"/>
              </w:rPr>
              <w:t>5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0F6B3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C91524" w:rsidP="000416C6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10,737.00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C91524" w:rsidP="00856D32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179,222.00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0F6B3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147276" w:rsidRPr="000F6B3C" w:rsidTr="00856D32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</w:tbl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147276" w:rsidRDefault="00147276" w:rsidP="00C91524">
      <w:pPr>
        <w:pStyle w:val="Texto"/>
        <w:spacing w:after="0" w:line="240" w:lineRule="exact"/>
        <w:rPr>
          <w:szCs w:val="18"/>
          <w:lang w:val="es-MX"/>
        </w:rPr>
      </w:pPr>
      <w:r w:rsidRPr="000F6B3C">
        <w:rPr>
          <w:szCs w:val="18"/>
          <w:lang w:val="es-MX"/>
        </w:rPr>
        <w:t>Se informa que el Instituto de Catastro tuvo una variación en flu</w:t>
      </w:r>
      <w:r>
        <w:rPr>
          <w:szCs w:val="18"/>
          <w:lang w:val="es-MX"/>
        </w:rPr>
        <w:t>j</w:t>
      </w:r>
      <w:r w:rsidR="000B062C">
        <w:rPr>
          <w:szCs w:val="18"/>
          <w:lang w:val="es-MX"/>
        </w:rPr>
        <w:t xml:space="preserve">os de efectivo </w:t>
      </w:r>
      <w:r w:rsidR="000416C6">
        <w:rPr>
          <w:szCs w:val="18"/>
          <w:lang w:val="es-MX"/>
        </w:rPr>
        <w:t xml:space="preserve">por el importe </w:t>
      </w:r>
      <w:r w:rsidR="00C91524">
        <w:rPr>
          <w:szCs w:val="18"/>
          <w:lang w:val="es-MX"/>
        </w:rPr>
        <w:t>-</w:t>
      </w:r>
      <w:r w:rsidR="000416C6">
        <w:rPr>
          <w:szCs w:val="18"/>
          <w:lang w:val="es-MX"/>
        </w:rPr>
        <w:t>$</w:t>
      </w:r>
      <w:r w:rsidR="00C91524">
        <w:rPr>
          <w:szCs w:val="18"/>
          <w:lang w:val="es-MX"/>
        </w:rPr>
        <w:t>37,364.00</w:t>
      </w:r>
    </w:p>
    <w:p w:rsidR="00C91524" w:rsidRPr="000F6B3C" w:rsidRDefault="00C91524" w:rsidP="00C91524">
      <w:pPr>
        <w:pStyle w:val="Texto"/>
        <w:spacing w:after="0" w:line="240" w:lineRule="exact"/>
        <w:rPr>
          <w:szCs w:val="18"/>
          <w:lang w:val="es-MX"/>
        </w:rPr>
      </w:pPr>
    </w:p>
    <w:p w:rsidR="00147276" w:rsidRPr="000F6B3C" w:rsidRDefault="00147276" w:rsidP="00147276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V) Conciliación entre los ingresos presupuestarios y contables, así como entre los egresos presupuestarios y los gastos contables</w:t>
      </w:r>
    </w:p>
    <w:p w:rsidR="00147276" w:rsidRPr="000F6B3C" w:rsidRDefault="00147276" w:rsidP="00147276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  <w:r w:rsidRPr="000F6B3C">
        <w:rPr>
          <w:szCs w:val="18"/>
          <w:lang w:val="es-MX"/>
        </w:rPr>
        <w:t>La conciliación se presentará atendiendo a lo dispuesto por el Acuerdo por el que se emite el formato de conciliación entre los ingresos presupuestarios y contables, así como entre los egresos presupuestarios y los gastos contables.</w:t>
      </w:r>
    </w:p>
    <w:p w:rsidR="00147276" w:rsidRPr="000F6B3C" w:rsidRDefault="001A3F21" w:rsidP="00147276">
      <w:pPr>
        <w:pStyle w:val="Texto"/>
        <w:spacing w:after="0" w:line="240" w:lineRule="exact"/>
        <w:ind w:firstLine="0"/>
        <w:rPr>
          <w:szCs w:val="18"/>
          <w:lang w:val="es-MX"/>
        </w:rPr>
      </w:pPr>
      <w:r w:rsidRPr="001A3F21">
        <w:rPr>
          <w:noProof/>
          <w:szCs w:val="18"/>
        </w:rPr>
        <w:lastRenderedPageBreak/>
        <w:pict>
          <v:shape id="_x0000_s1047" type="#_x0000_t75" style="position:absolute;left:0;text-align:left;margin-left:305pt;margin-top:10pt;width:360.2pt;height:240pt;z-index:251665408">
            <v:imagedata r:id="rId22" o:title=""/>
            <w10:wrap type="topAndBottom"/>
          </v:shape>
          <o:OLEObject Type="Embed" ProgID="Excel.Sheet.12" ShapeID="_x0000_s1047" DrawAspect="Content" ObjectID="_1521530811" r:id="rId23"/>
        </w:pict>
      </w:r>
      <w:r>
        <w:rPr>
          <w:noProof/>
          <w:szCs w:val="18"/>
          <w:lang w:val="es-MX" w:eastAsia="es-MX"/>
        </w:rPr>
        <w:pict>
          <v:shape id="_x0000_s1046" type="#_x0000_t75" style="position:absolute;left:0;text-align:left;margin-left:-9.8pt;margin-top:15.6pt;width:311.1pt;height:218.9pt;z-index:251664384">
            <v:imagedata r:id="rId24" o:title=""/>
            <w10:wrap type="topAndBottom"/>
          </v:shape>
          <o:OLEObject Type="Embed" ProgID="Excel.Sheet.12" ShapeID="_x0000_s1046" DrawAspect="Content" ObjectID="_1521530812" r:id="rId25"/>
        </w:pict>
      </w:r>
    </w:p>
    <w:p w:rsidR="00147276" w:rsidRPr="000F6B3C" w:rsidRDefault="00147276" w:rsidP="00147276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F6B3C">
        <w:rPr>
          <w:szCs w:val="18"/>
        </w:rPr>
        <w:t xml:space="preserve"> </w:t>
      </w:r>
      <w:r w:rsidRPr="000F6B3C">
        <w:rPr>
          <w:b/>
          <w:szCs w:val="18"/>
        </w:rPr>
        <w:t>b)</w:t>
      </w:r>
      <w:r w:rsidRPr="000F6B3C">
        <w:rPr>
          <w:szCs w:val="18"/>
        </w:rPr>
        <w:t xml:space="preserve"> </w:t>
      </w:r>
      <w:r w:rsidRPr="000F6B3C">
        <w:rPr>
          <w:b/>
          <w:szCs w:val="18"/>
          <w:lang w:val="es-MX"/>
        </w:rPr>
        <w:t>NOTAS DE MEMORIA (CUENTAS DE ORDEN)</w:t>
      </w:r>
    </w:p>
    <w:p w:rsidR="00147276" w:rsidRPr="000F6B3C" w:rsidRDefault="00147276" w:rsidP="00147276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856D32" w:rsidRDefault="00856D32" w:rsidP="00856D32">
      <w:pPr>
        <w:pStyle w:val="Texto"/>
        <w:spacing w:after="0" w:line="240" w:lineRule="exact"/>
        <w:ind w:firstLine="0"/>
        <w:rPr>
          <w:szCs w:val="18"/>
        </w:rPr>
      </w:pPr>
      <w:r>
        <w:rPr>
          <w:szCs w:val="18"/>
        </w:rPr>
        <w:t>No se registraron movimientos en las cuentas de orden Contables</w:t>
      </w:r>
      <w:r w:rsidR="004219A4">
        <w:rPr>
          <w:szCs w:val="18"/>
        </w:rPr>
        <w:t xml:space="preserve"> ya que son cuentas que no maneja el IDC</w:t>
      </w:r>
      <w:r>
        <w:rPr>
          <w:szCs w:val="18"/>
        </w:rPr>
        <w:t xml:space="preserve">: </w:t>
      </w:r>
    </w:p>
    <w:p w:rsidR="00856D32" w:rsidRPr="00856D32" w:rsidRDefault="00856D32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</w:rPr>
      </w:pPr>
      <w:r w:rsidRPr="000F6B3C">
        <w:rPr>
          <w:b/>
          <w:szCs w:val="18"/>
        </w:rPr>
        <w:t>Cuentas de Orden Contables: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0F6B3C">
        <w:rPr>
          <w:i/>
          <w:szCs w:val="18"/>
        </w:rPr>
        <w:t>Contables: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Valores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Emisión de obligaciones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Avales y garantías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Juicios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Contratos para Inversión Mediante Proyectos para Prestación de Servicios (PPS) y Similares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Bienes concesionados o en comodato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</w:p>
    <w:p w:rsidR="00856D32" w:rsidRPr="00856D32" w:rsidRDefault="00856D32" w:rsidP="00856D32">
      <w:pPr>
        <w:pStyle w:val="Texto"/>
        <w:spacing w:after="0" w:line="240" w:lineRule="exact"/>
        <w:ind w:firstLine="0"/>
        <w:rPr>
          <w:i/>
          <w:szCs w:val="18"/>
        </w:rPr>
      </w:pPr>
      <w:r w:rsidRPr="00856D32">
        <w:rPr>
          <w:szCs w:val="18"/>
        </w:rPr>
        <w:lastRenderedPageBreak/>
        <w:t xml:space="preserve">Y con lo que respecta a las cuentas de orden </w:t>
      </w:r>
      <w:r w:rsidRPr="00856D32">
        <w:rPr>
          <w:b/>
          <w:szCs w:val="18"/>
        </w:rPr>
        <w:t>Presupuestarias</w:t>
      </w:r>
      <w:r w:rsidRPr="00856D32">
        <w:rPr>
          <w:szCs w:val="18"/>
        </w:rPr>
        <w:t>,  se informa que quedaron salda</w:t>
      </w:r>
      <w:r w:rsidR="004219A4">
        <w:rPr>
          <w:szCs w:val="18"/>
        </w:rPr>
        <w:t>da</w:t>
      </w:r>
      <w:r w:rsidRPr="00856D32">
        <w:rPr>
          <w:szCs w:val="18"/>
        </w:rPr>
        <w:t>s ya que se trata del cierre del ejercicio fiscal, por lo que no hay información a revelar.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0F6B3C">
        <w:rPr>
          <w:i/>
          <w:szCs w:val="18"/>
        </w:rPr>
        <w:t>Presupuestarias: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Cuentas de ingresos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Cuentas de egresos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  <w:r w:rsidRPr="000F6B3C">
        <w:rPr>
          <w:szCs w:val="18"/>
        </w:rPr>
        <w:t>Se informará,</w:t>
      </w:r>
      <w:r w:rsidRPr="000F6B3C">
        <w:rPr>
          <w:szCs w:val="18"/>
          <w:lang w:val="es-MX"/>
        </w:rPr>
        <w:t xml:space="preserve"> de manera agrupada, en las notas a los Estados Financieros las cuentas de orden contables y cuentas de orden presupuestario: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1. Los valores en custodia de instrumentos prestados a formadores de mercado e instrumentos de crédito recibidos en garantía de los formadores de mercado u otros.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 Por tipo de emisión de instrumento: monto, tasa y vencimiento.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3. Los contratos firmados de construcciones por tipo de contrato.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c) NOTAS DE GESTIÓN ADMINISTRATIVA</w:t>
      </w:r>
    </w:p>
    <w:p w:rsidR="00147276" w:rsidRPr="000F6B3C" w:rsidRDefault="00147276" w:rsidP="00147276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0B062C" w:rsidRPr="000F6B3C" w:rsidRDefault="00147276" w:rsidP="000B062C">
      <w:pPr>
        <w:pStyle w:val="Texto"/>
        <w:spacing w:after="0" w:line="240" w:lineRule="exact"/>
        <w:rPr>
          <w:b/>
          <w:szCs w:val="18"/>
        </w:rPr>
      </w:pPr>
      <w:r w:rsidRPr="000F6B3C">
        <w:rPr>
          <w:b/>
          <w:szCs w:val="18"/>
          <w:lang w:val="es-MX"/>
        </w:rPr>
        <w:t>1.</w:t>
      </w:r>
      <w:r w:rsidRPr="000F6B3C">
        <w:rPr>
          <w:b/>
          <w:szCs w:val="18"/>
          <w:lang w:val="es-MX"/>
        </w:rPr>
        <w:tab/>
      </w:r>
      <w:r w:rsidR="000B062C" w:rsidRPr="000F6B3C">
        <w:rPr>
          <w:b/>
          <w:szCs w:val="18"/>
          <w:lang w:val="es-MX"/>
        </w:rPr>
        <w:t>Introducción</w:t>
      </w: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Los Estados Financieros del Instituto de Catastro del Estado de Tlaxcala, proveen de información financiera a los principales usuarios de la misma, al Congreso y a los ciudadanos.</w:t>
      </w: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El objetivo del presente documento es proporcionar información relevante de los aspectos económicos-financieros que influyeron en las deci</w:t>
      </w:r>
      <w:r>
        <w:rPr>
          <w:szCs w:val="18"/>
        </w:rPr>
        <w:t>siones del ejercicio fiscal 201</w:t>
      </w:r>
      <w:r w:rsidR="00EA12F8">
        <w:rPr>
          <w:szCs w:val="18"/>
        </w:rPr>
        <w:t>6</w:t>
      </w:r>
      <w:r w:rsidRPr="000F6B3C">
        <w:rPr>
          <w:szCs w:val="18"/>
        </w:rPr>
        <w:t xml:space="preserve"> y que fueron considerados en la elaboración de los estados financieros para la mayor comprensión de los mismos y sus particularidades.</w:t>
      </w:r>
    </w:p>
    <w:p w:rsidR="00856D32" w:rsidRDefault="00856D32" w:rsidP="000B062C">
      <w:pPr>
        <w:pStyle w:val="Texto"/>
        <w:spacing w:after="0" w:line="240" w:lineRule="exact"/>
        <w:rPr>
          <w:szCs w:val="18"/>
        </w:rPr>
      </w:pP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Para el Instituto de Catastro del Estado de Tlaxcala, la elaboración de los estados financieros ha sido un gran reto, ya que la migración de la contabilidad tradicional a la contabilidad armonizada, implicó la incorporaron de los lineamientos que fueron publicados a través del  CONAC, para dar cumplimiento a la Ley General de Contabilidad Gubernamental, por lo que dicha adaptación no afectará la toma de decisiones en los periodos posteriores.</w:t>
      </w: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</w:p>
    <w:p w:rsidR="000B062C" w:rsidRPr="000F6B3C" w:rsidRDefault="000B062C" w:rsidP="000B062C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2.</w:t>
      </w:r>
      <w:r w:rsidRPr="000F6B3C">
        <w:rPr>
          <w:b/>
          <w:szCs w:val="18"/>
          <w:lang w:val="es-MX"/>
        </w:rPr>
        <w:tab/>
        <w:t>Panorama Económico y Financiero</w:t>
      </w:r>
    </w:p>
    <w:p w:rsidR="000B062C" w:rsidRPr="003A2603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El Instituto de Catastro del Estado de Tlaxcala contó con un presupuesto autorizado y publicado en el periódico oficial del Gobierno del Estado de Tlaxcala, de</w:t>
      </w:r>
      <w:r w:rsidR="00EA12F8">
        <w:rPr>
          <w:szCs w:val="18"/>
        </w:rPr>
        <w:t xml:space="preserve"> $4</w:t>
      </w:r>
      <w:proofErr w:type="gramStart"/>
      <w:r w:rsidR="00EA12F8">
        <w:rPr>
          <w:szCs w:val="18"/>
        </w:rPr>
        <w:t>,817,000.00</w:t>
      </w:r>
      <w:proofErr w:type="gramEnd"/>
      <w:r w:rsidRPr="000F6B3C">
        <w:rPr>
          <w:szCs w:val="18"/>
        </w:rPr>
        <w:t>,</w:t>
      </w:r>
      <w:r>
        <w:rPr>
          <w:szCs w:val="18"/>
        </w:rPr>
        <w:t xml:space="preserve"> </w:t>
      </w:r>
      <w:r w:rsidRPr="00962FC4">
        <w:t>publica</w:t>
      </w:r>
      <w:r w:rsidR="00EA12F8">
        <w:t>do en el periódico oficial el 31</w:t>
      </w:r>
      <w:r w:rsidRPr="00962FC4">
        <w:t xml:space="preserve"> de diciembre de 201</w:t>
      </w:r>
      <w:r w:rsidR="00EA12F8">
        <w:t>5</w:t>
      </w:r>
      <w:r w:rsidRPr="000F6B3C">
        <w:rPr>
          <w:szCs w:val="18"/>
        </w:rPr>
        <w:t xml:space="preserve"> sin embargo derivado de </w:t>
      </w:r>
      <w:r>
        <w:rPr>
          <w:szCs w:val="18"/>
        </w:rPr>
        <w:t xml:space="preserve">las medidas de austeridad y racionalidad del gasto se vio en la necesidad de reducir el presupuesto anual autorizado </w:t>
      </w:r>
      <w:r w:rsidR="00EA12F8">
        <w:rPr>
          <w:szCs w:val="18"/>
        </w:rPr>
        <w:t xml:space="preserve">el 5%, correspondiendo al importe de </w:t>
      </w:r>
      <w:r>
        <w:rPr>
          <w:szCs w:val="18"/>
        </w:rPr>
        <w:t>$</w:t>
      </w:r>
      <w:r w:rsidR="00EA12F8">
        <w:rPr>
          <w:szCs w:val="18"/>
        </w:rPr>
        <w:t>240,850.00</w:t>
      </w:r>
      <w:r>
        <w:rPr>
          <w:szCs w:val="18"/>
        </w:rPr>
        <w:t xml:space="preserve">, dicha reducción surtió efectos a partir del mes de </w:t>
      </w:r>
      <w:r w:rsidR="00EA12F8">
        <w:rPr>
          <w:szCs w:val="18"/>
        </w:rPr>
        <w:t>enero</w:t>
      </w:r>
      <w:r>
        <w:rPr>
          <w:szCs w:val="18"/>
        </w:rPr>
        <w:t xml:space="preserve"> de 201</w:t>
      </w:r>
      <w:r w:rsidR="00EA12F8">
        <w:rPr>
          <w:szCs w:val="18"/>
        </w:rPr>
        <w:t>6.</w:t>
      </w:r>
    </w:p>
    <w:p w:rsidR="00147276" w:rsidRPr="000B062C" w:rsidRDefault="00147276" w:rsidP="003A2603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3.</w:t>
      </w:r>
      <w:r w:rsidRPr="000F6B3C">
        <w:rPr>
          <w:b/>
          <w:szCs w:val="18"/>
          <w:lang w:val="es-MX"/>
        </w:rPr>
        <w:tab/>
        <w:t>Autorización e Historia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informará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El Instituto de Catastro fu</w:t>
      </w:r>
      <w:r w:rsidR="00EA12F8">
        <w:t>e creado el 30 de enero de 2005</w:t>
      </w:r>
      <w:r w:rsidRPr="000F6B3C">
        <w:t>, tal y como lo establece el Decreto que crea el Instituto de Catastro del Estado de Tlaxcala, publicado en el Periódico Oficial del Gobierno del Estado de Tlaxcala.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No ha presentado cambios en su estructura.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4.</w:t>
      </w:r>
      <w:r w:rsidRPr="000F6B3C">
        <w:rPr>
          <w:b/>
          <w:szCs w:val="18"/>
          <w:lang w:val="es-MX"/>
        </w:rPr>
        <w:tab/>
        <w:t>Organización y Objeto Social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informará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Objeto social: Coadyuvar al fortalecimiento de las haciendas públicas estatales, municipales a través de la modernización del catastro de la entidad.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lastRenderedPageBreak/>
        <w:t>b)</w:t>
      </w:r>
      <w:r w:rsidRPr="000F6B3C">
        <w:tab/>
        <w:t>Principal actividad: Mantener actualizado el inventario de los bienes Inmuebles del Estado.</w:t>
      </w:r>
    </w:p>
    <w:p w:rsidR="00147276" w:rsidRPr="000F6B3C" w:rsidRDefault="00147276" w:rsidP="00147276">
      <w:pPr>
        <w:pStyle w:val="INCISO"/>
        <w:spacing w:after="0" w:line="240" w:lineRule="exact"/>
      </w:pPr>
      <w:r>
        <w:t>c)</w:t>
      </w:r>
      <w:r>
        <w:tab/>
        <w:t>Ejercicio fiscal: 201</w:t>
      </w:r>
      <w:r w:rsidR="00EA12F8">
        <w:t>6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>Régimen jurídico: Organismo público desconcentrado.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e)</w:t>
      </w:r>
      <w:r w:rsidRPr="000F6B3C">
        <w:tab/>
        <w:t>Consideraciones fiscales del ente: El Instituto de Catastro no está obligado a pagar  ningún tipo de contribución, sin embargo en caso de la prestación de servicios personales independientes (honorarios), está obligado a realizar la retención y entero del ISR.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f)</w:t>
      </w:r>
      <w:r w:rsidRPr="000F6B3C">
        <w:tab/>
        <w:t xml:space="preserve">Estructura organizacional básica: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1 Director General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4 Jefes de departamento (Administrativo, valuación, topografía y gestión y coordinación).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2 Jefes de Oficina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4 analistas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1 auxiliar de mantenimiento</w:t>
      </w:r>
    </w:p>
    <w:p w:rsidR="00147276" w:rsidRDefault="00147276" w:rsidP="00147276">
      <w:pPr>
        <w:pStyle w:val="INCISO"/>
        <w:spacing w:after="0" w:line="240" w:lineRule="exact"/>
      </w:pPr>
      <w:r>
        <w:t>1 Auxiliar administrativo</w:t>
      </w:r>
    </w:p>
    <w:p w:rsidR="00147276" w:rsidRDefault="00147276" w:rsidP="00147276">
      <w:pPr>
        <w:pStyle w:val="INCISO"/>
        <w:spacing w:after="0" w:line="240" w:lineRule="exact"/>
      </w:pPr>
      <w:r>
        <w:t>1 Auxiliar de archivo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g)   El Instituto de Catastro no tiene ni forma parte de Fideicomisos, mandatos y análogos de los cuales es fideicomitente o fiduciario, por lo que no hay información a revelar.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5.</w:t>
      </w:r>
      <w:r w:rsidRPr="000F6B3C">
        <w:rPr>
          <w:b/>
          <w:szCs w:val="18"/>
          <w:lang w:val="es-MX"/>
        </w:rPr>
        <w:tab/>
        <w:t>Bases de Preparación de los Estados Financieros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Los Estado Financieros se han elaborado en base a la normatividad emitida por el CONAC y las disposiciones legales aplicables.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   El reconocimiento y valuación de los diferentes rubros de la información financiera, ha sido en base a costo histórico.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Se han observado los Postulados básicos emitidos por el CONAC para la elaboración y presentación de la información financiera.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 xml:space="preserve">No se aplica Normatividad supletoria.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e)</w:t>
      </w:r>
      <w:r w:rsidRPr="000F6B3C">
        <w:tab/>
        <w:t>El Instituto de Catastro ha venido implementando la base devengado de acuerdo a la Ley General de Contabilidad Gubernamental.</w:t>
      </w:r>
    </w:p>
    <w:p w:rsidR="00147276" w:rsidRPr="000F6B3C" w:rsidRDefault="00147276" w:rsidP="00147276">
      <w:pPr>
        <w:pStyle w:val="Texto"/>
        <w:spacing w:after="0" w:line="240" w:lineRule="exact"/>
        <w:ind w:left="1440" w:hanging="360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6.</w:t>
      </w:r>
      <w:r w:rsidRPr="000F6B3C">
        <w:rPr>
          <w:b/>
          <w:szCs w:val="18"/>
          <w:lang w:val="es-MX"/>
        </w:rPr>
        <w:tab/>
        <w:t>Políticas de Contabilidad Significativas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 xml:space="preserve">No se ha implementado algún método de Actualización del valor de los activos, pasivos y Hacienda Pública y/o patrimonio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No se realizan operaciones en el extranjero por lo que no afecta la información financiera del IDC.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No se tienen inversiones en acciones en el Sector Paraestatal.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>No se implementa ningún Sistema y método de valuación de inventarios, en virtud de que no se utiliza esta cuenta.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e)</w:t>
      </w:r>
      <w:r w:rsidRPr="000F6B3C">
        <w:tab/>
        <w:t>No se manejan Beneficios a empleados, toda vez que la nómina es calculada y pagada por el Gobierno del Estado a través de la Dirección de Recursos Humanos.</w:t>
      </w:r>
    </w:p>
    <w:p w:rsidR="00147276" w:rsidRPr="000F6B3C" w:rsidRDefault="00EA12F8" w:rsidP="00147276">
      <w:pPr>
        <w:pStyle w:val="INCISO"/>
        <w:spacing w:after="0" w:line="240" w:lineRule="exact"/>
      </w:pPr>
      <w:r>
        <w:t>f)</w:t>
      </w:r>
      <w:r>
        <w:tab/>
        <w:t>No</w:t>
      </w:r>
      <w:r w:rsidR="00147276" w:rsidRPr="000F6B3C">
        <w:t xml:space="preserve"> cuenta con pasivos por concepto de Provisiones</w:t>
      </w:r>
      <w:r w:rsidR="00147276">
        <w:t xml:space="preserve"> de gasto médico</w:t>
      </w:r>
      <w:r w:rsidR="00147276" w:rsidRPr="000F6B3C">
        <w:t>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g)</w:t>
      </w:r>
      <w:r w:rsidRPr="000F6B3C">
        <w:tab/>
        <w:t>No se cuenta con Reservas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h)</w:t>
      </w:r>
      <w:r w:rsidRPr="000F6B3C">
        <w:tab/>
        <w:t xml:space="preserve">No existieron Cambios en políticas contables ni corrección de errores.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i)</w:t>
      </w:r>
      <w:r w:rsidRPr="000F6B3C">
        <w:tab/>
        <w:t xml:space="preserve">No se registraron reclasificaciones </w:t>
      </w:r>
      <w:r>
        <w:t>durante el ejercicio fi</w:t>
      </w:r>
      <w:r w:rsidR="00EA12F8">
        <w:t>scal 2016</w:t>
      </w:r>
      <w:r w:rsidRPr="000F6B3C">
        <w:t>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j)</w:t>
      </w:r>
      <w:r w:rsidRPr="000F6B3C">
        <w:tab/>
        <w:t>No fue necesario depuración y cancelación de saldos.</w:t>
      </w:r>
    </w:p>
    <w:p w:rsidR="00147276" w:rsidRPr="000F6B3C" w:rsidRDefault="00147276" w:rsidP="00147276">
      <w:pPr>
        <w:pStyle w:val="INCISO"/>
        <w:spacing w:after="0" w:line="240" w:lineRule="exact"/>
        <w:ind w:left="0" w:firstLine="0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lastRenderedPageBreak/>
        <w:t>7.</w:t>
      </w:r>
      <w:r w:rsidRPr="000F6B3C">
        <w:rPr>
          <w:b/>
          <w:szCs w:val="18"/>
          <w:lang w:val="es-MX"/>
        </w:rPr>
        <w:tab/>
        <w:t>Posición en Moneda Extranjera y Protección por Riesgo Cambiario</w:t>
      </w:r>
    </w:p>
    <w:p w:rsidR="00856D32" w:rsidRDefault="00856D32" w:rsidP="00147276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Las operaciones que realiza el Instituto de Catastro, son en Moneda Nacional, por lo que no hay información a revelar con respecto a Moneda Extranjera.</w:t>
      </w:r>
    </w:p>
    <w:p w:rsidR="00147276" w:rsidRPr="000F6B3C" w:rsidRDefault="00856D32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 xml:space="preserve"> 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8. Reporte Analítico del Activo</w:t>
      </w:r>
    </w:p>
    <w:p w:rsidR="00147276" w:rsidRPr="000F6B3C" w:rsidRDefault="00147276" w:rsidP="00147276">
      <w:pPr>
        <w:pStyle w:val="Texto"/>
        <w:spacing w:after="0" w:line="240" w:lineRule="exact"/>
        <w:ind w:left="288"/>
        <w:rPr>
          <w:szCs w:val="18"/>
        </w:rPr>
      </w:pPr>
      <w:r w:rsidRPr="000F6B3C">
        <w:rPr>
          <w:szCs w:val="18"/>
        </w:rPr>
        <w:t>Se informa lo siguiente: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No se ha aplicado un método de depreciación ni amortización en los diferentes tipos de activos.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No aplica cambios en el porcentaje de depreciación o valor residual de los activos.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No se realizan gastos capitalizados en el ejercicio, tanto financieros como de investigación y desarrollo.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>No se registran inversiones financieras.</w:t>
      </w:r>
    </w:p>
    <w:p w:rsidR="00EA12F8" w:rsidRDefault="00147276" w:rsidP="00147276">
      <w:pPr>
        <w:pStyle w:val="INCISO"/>
        <w:spacing w:after="0" w:line="240" w:lineRule="exact"/>
      </w:pPr>
      <w:r>
        <w:t>e)</w:t>
      </w:r>
      <w:r>
        <w:tab/>
        <w:t xml:space="preserve">Se dieron de baja en saldos de bienes muebles por actualización de inventario con respecto al inventario físico, por el importe de </w:t>
      </w:r>
      <w:r w:rsidR="00EA12F8">
        <w:t>-</w:t>
      </w:r>
      <w:r>
        <w:t>$</w:t>
      </w:r>
      <w:r w:rsidR="00EA12F8">
        <w:t>243,130.00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f)</w:t>
      </w:r>
      <w:r w:rsidRPr="000F6B3C">
        <w:tab/>
        <w:t>No se tiene bienes en garantía, señalados en embargos, litigios, títulos de inversiones entregados en garantías, baja significativa del valor de inversiones financieras, etc.</w:t>
      </w:r>
    </w:p>
    <w:p w:rsidR="00147276" w:rsidRPr="000F6B3C" w:rsidRDefault="004219A4" w:rsidP="00147276">
      <w:pPr>
        <w:pStyle w:val="INCISO"/>
        <w:spacing w:after="0" w:line="240" w:lineRule="exact"/>
      </w:pPr>
      <w:r>
        <w:t>g)</w:t>
      </w:r>
      <w:r>
        <w:tab/>
        <w:t xml:space="preserve">No se realizaron </w:t>
      </w:r>
      <w:r w:rsidR="00147276" w:rsidRPr="000F6B3C">
        <w:t>el Desmantelamiento de Activos, procedimientos, implicaciones, efectos contables</w:t>
      </w:r>
    </w:p>
    <w:p w:rsidR="00147276" w:rsidRPr="000F6B3C" w:rsidRDefault="00147276" w:rsidP="00147276">
      <w:pPr>
        <w:pStyle w:val="Texto"/>
        <w:spacing w:after="0" w:line="240" w:lineRule="exact"/>
        <w:ind w:firstLine="706"/>
        <w:rPr>
          <w:szCs w:val="18"/>
          <w:lang w:val="es-MX"/>
        </w:rPr>
      </w:pPr>
      <w:r w:rsidRPr="000F6B3C">
        <w:rPr>
          <w:szCs w:val="18"/>
        </w:rPr>
        <w:t xml:space="preserve">h)   El IDC cuenta con activos como </w:t>
      </w:r>
      <w:r w:rsidRPr="000F6B3C">
        <w:rPr>
          <w:szCs w:val="18"/>
          <w:lang w:val="es-MX"/>
        </w:rPr>
        <w:t>Efectivo y Equivalentes, mismos que serán utilizados de manera eficiente para la operación del Instituto.</w:t>
      </w:r>
    </w:p>
    <w:p w:rsidR="00147276" w:rsidRPr="000F6B3C" w:rsidRDefault="00147276" w:rsidP="00147276">
      <w:pPr>
        <w:pStyle w:val="INCISO"/>
        <w:spacing w:after="0" w:line="240" w:lineRule="exact"/>
        <w:ind w:left="0" w:firstLine="0"/>
      </w:pP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Adicionalmente, se deben incluir las explicaciones de las principales variaciones en el activo, en cuadros comparativos como sigue: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No se registraron Inversiones en valores.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 xml:space="preserve">El Patrimonio del IDC se modifico por afectación resultados de ejercicios anteriores por el importe de </w:t>
      </w:r>
      <w:r w:rsidR="00EA12F8">
        <w:t>-</w:t>
      </w:r>
      <w:r w:rsidRPr="000F6B3C">
        <w:t>$</w:t>
      </w:r>
      <w:r w:rsidR="00EA12F8">
        <w:t>46,501.00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No se tienen inversiones en empresas de participación mayoritaria.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>No se tienen inversiones en empresas de participación minoritaria.</w:t>
      </w:r>
    </w:p>
    <w:p w:rsidR="00147276" w:rsidRPr="000F6B3C" w:rsidRDefault="00147276" w:rsidP="00147276">
      <w:pPr>
        <w:pStyle w:val="INCISO"/>
        <w:spacing w:after="0" w:line="240" w:lineRule="exact"/>
        <w:ind w:left="0" w:firstLine="0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9.</w:t>
      </w:r>
      <w:r w:rsidRPr="000F6B3C">
        <w:rPr>
          <w:b/>
          <w:szCs w:val="18"/>
          <w:lang w:val="es-MX"/>
        </w:rPr>
        <w:tab/>
        <w:t>Fideicomisos, Mandatos y Análogos</w:t>
      </w:r>
    </w:p>
    <w:p w:rsidR="00147276" w:rsidRPr="000F6B3C" w:rsidRDefault="0053035D" w:rsidP="00147276">
      <w:pPr>
        <w:pStyle w:val="INCISO"/>
        <w:spacing w:after="0" w:line="240" w:lineRule="exact"/>
      </w:pPr>
      <w:r>
        <w:t xml:space="preserve">No se cuentan con Fideicomisos, Mandatos y Análogos. 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10.</w:t>
      </w:r>
      <w:r w:rsidRPr="000F6B3C">
        <w:rPr>
          <w:b/>
          <w:szCs w:val="18"/>
          <w:lang w:val="es-MX"/>
        </w:rPr>
        <w:tab/>
        <w:t>Reporte de la Recaudación</w:t>
      </w:r>
    </w:p>
    <w:p w:rsidR="00147276" w:rsidRPr="000F6B3C" w:rsidRDefault="0053035D" w:rsidP="00147276">
      <w:pPr>
        <w:pStyle w:val="INCISO"/>
        <w:spacing w:after="0" w:line="240" w:lineRule="exact"/>
      </w:pPr>
      <w:r>
        <w:t>El Instituto de Catastro no registra recaudación.</w:t>
      </w:r>
    </w:p>
    <w:p w:rsidR="00147276" w:rsidRPr="000F6B3C" w:rsidRDefault="00147276" w:rsidP="00147276">
      <w:pPr>
        <w:pStyle w:val="INCISO"/>
        <w:spacing w:after="0" w:line="240" w:lineRule="exact"/>
        <w:ind w:left="0" w:firstLine="0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11.</w:t>
      </w:r>
      <w:r w:rsidRPr="000F6B3C">
        <w:rPr>
          <w:b/>
          <w:szCs w:val="18"/>
          <w:lang w:val="es-MX"/>
        </w:rPr>
        <w:tab/>
        <w:t>Información sobre la Deuda y el Reporte Analítico de la Deuda</w:t>
      </w:r>
    </w:p>
    <w:p w:rsidR="00147276" w:rsidRDefault="0053035D" w:rsidP="00147276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>No se cuenta con Deuda.</w:t>
      </w:r>
    </w:p>
    <w:p w:rsidR="0053035D" w:rsidRPr="000F6B3C" w:rsidRDefault="0053035D" w:rsidP="00147276">
      <w:pPr>
        <w:pStyle w:val="INCISO"/>
        <w:spacing w:after="0" w:line="240" w:lineRule="exact"/>
        <w:rPr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12. Calificaciones otorgadas</w:t>
      </w:r>
    </w:p>
    <w:p w:rsidR="00147276" w:rsidRPr="000F6B3C" w:rsidRDefault="0053035D" w:rsidP="00147276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        </w:t>
      </w:r>
      <w:r w:rsidR="00147276" w:rsidRPr="000F6B3C">
        <w:rPr>
          <w:szCs w:val="18"/>
        </w:rPr>
        <w:t>El Instituto de Catastro no ha sido sujeto a una calificación crediticia.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13.</w:t>
      </w:r>
      <w:r w:rsidRPr="000F6B3C">
        <w:rPr>
          <w:b/>
          <w:szCs w:val="18"/>
          <w:lang w:val="es-MX"/>
        </w:rPr>
        <w:tab/>
        <w:t>Proceso de Mejora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de: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Principales Políticas de control interno son las que establece el Reglamento interior del IDC</w:t>
      </w:r>
    </w:p>
    <w:p w:rsidR="00147276" w:rsidRPr="000F6B3C" w:rsidRDefault="0053035D" w:rsidP="00147276">
      <w:pPr>
        <w:pStyle w:val="INCISO"/>
        <w:spacing w:after="0" w:line="240" w:lineRule="exact"/>
      </w:pPr>
      <w:r>
        <w:t>b)</w:t>
      </w:r>
      <w:r>
        <w:tab/>
        <w:t>Indicadores presupuestales que revela las m</w:t>
      </w:r>
      <w:r w:rsidR="00147276" w:rsidRPr="000F6B3C">
        <w:t>edidas de desempeño financiero,</w:t>
      </w:r>
      <w:r>
        <w:t xml:space="preserve"> e indicadores programáticos que revela el cumplimiento de</w:t>
      </w:r>
      <w:r w:rsidR="00147276" w:rsidRPr="000F6B3C">
        <w:t xml:space="preserve"> metas y alcance.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14.</w:t>
      </w:r>
      <w:r w:rsidRPr="000F6B3C">
        <w:rPr>
          <w:b/>
          <w:szCs w:val="18"/>
          <w:lang w:val="es-MX"/>
        </w:rPr>
        <w:tab/>
        <w:t>Información por Segmentos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  <w:r w:rsidRPr="000F6B3C">
        <w:rPr>
          <w:szCs w:val="18"/>
          <w:lang w:val="es-MX"/>
        </w:rPr>
        <w:lastRenderedPageBreak/>
        <w:t>Cuando  es necesario revelar la información financiera de manera segmentada.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15.</w:t>
      </w:r>
      <w:r w:rsidRPr="000F6B3C">
        <w:rPr>
          <w:b/>
          <w:szCs w:val="18"/>
          <w:lang w:val="es-MX"/>
        </w:rPr>
        <w:tab/>
        <w:t>Eventos Posteriores al Cierre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No hay hechos a revelar del período posterior al que informa.</w:t>
      </w:r>
    </w:p>
    <w:p w:rsidR="00147276" w:rsidRPr="000F6B3C" w:rsidRDefault="00147276" w:rsidP="00147276">
      <w:pPr>
        <w:pStyle w:val="Texto"/>
        <w:spacing w:after="0" w:line="240" w:lineRule="exact"/>
        <w:ind w:firstLine="0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16.</w:t>
      </w:r>
      <w:r w:rsidRPr="000F6B3C">
        <w:rPr>
          <w:b/>
          <w:szCs w:val="18"/>
          <w:lang w:val="es-MX"/>
        </w:rPr>
        <w:tab/>
        <w:t>Partes Relacionadas</w:t>
      </w:r>
    </w:p>
    <w:p w:rsidR="00147276" w:rsidRPr="000F6B3C" w:rsidRDefault="0053035D" w:rsidP="0053035D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El Instituto de Catastro no tiene operaciones con Partes Relacionadas</w:t>
      </w:r>
      <w:r w:rsidR="00147276" w:rsidRPr="000F6B3C">
        <w:rPr>
          <w:szCs w:val="18"/>
        </w:rPr>
        <w:t>.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auto"/>
        <w:ind w:firstLine="289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17.</w:t>
      </w:r>
      <w:r w:rsidRPr="000F6B3C">
        <w:rPr>
          <w:b/>
          <w:szCs w:val="18"/>
          <w:lang w:val="es-MX"/>
        </w:rPr>
        <w:tab/>
        <w:t>Responsabilidad Sobre la Presentación Razonable de la Información Contable</w:t>
      </w:r>
    </w:p>
    <w:p w:rsidR="00147276" w:rsidRPr="00367222" w:rsidRDefault="001A3F21" w:rsidP="00147276">
      <w:pPr>
        <w:pStyle w:val="Texto"/>
        <w:spacing w:line="240" w:lineRule="auto"/>
      </w:pPr>
      <w:r w:rsidRPr="001A3F21">
        <w:rPr>
          <w:noProof/>
        </w:rPr>
        <w:pict>
          <v:shape id="_x0000_s1048" type="#_x0000_t75" style="position:absolute;left:0;text-align:left;margin-left:9.55pt;margin-top:72.35pt;width:728.45pt;height:94.35pt;z-index:251666432">
            <v:imagedata r:id="rId26" o:title=""/>
            <w10:wrap type="topAndBottom"/>
          </v:shape>
          <o:OLEObject Type="Embed" ProgID="Excel.Sheet.12" ShapeID="_x0000_s1048" DrawAspect="Content" ObjectID="_1521530813" r:id="rId27"/>
        </w:pict>
      </w:r>
      <w:r w:rsidR="00147276" w:rsidRPr="000F6B3C">
        <w:rPr>
          <w:szCs w:val="18"/>
        </w:rPr>
        <w:t>La Información Contable está firmada en cada página de la misma e incluye al final la siguiente leyenda: “Bajo protesta de decir verdad declaramos que los Estados Financieros y sus notas, son razonablemente correctos y son responsabilidad del emisor”. Lo anterior, no será aplicable para la información contable consolidada.</w:t>
      </w:r>
    </w:p>
    <w:sectPr w:rsidR="00147276" w:rsidRPr="00367222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6BF" w:rsidRDefault="002C06BF" w:rsidP="00EA5418">
      <w:pPr>
        <w:spacing w:after="0" w:line="240" w:lineRule="auto"/>
      </w:pPr>
      <w:r>
        <w:separator/>
      </w:r>
    </w:p>
  </w:endnote>
  <w:endnote w:type="continuationSeparator" w:id="0">
    <w:p w:rsidR="002C06BF" w:rsidRDefault="002C06B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84A" w:rsidRPr="0013011C" w:rsidRDefault="001A3F2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E6584A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E6584A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43736" w:rsidRPr="00743736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6584A" w:rsidRDefault="00E658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84A" w:rsidRPr="008E3652" w:rsidRDefault="001A3F2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E6584A"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="00E6584A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43736" w:rsidRPr="00743736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6BF" w:rsidRDefault="002C06BF" w:rsidP="00EA5418">
      <w:pPr>
        <w:spacing w:after="0" w:line="240" w:lineRule="auto"/>
      </w:pPr>
      <w:r>
        <w:separator/>
      </w:r>
    </w:p>
  </w:footnote>
  <w:footnote w:type="continuationSeparator" w:id="0">
    <w:p w:rsidR="002C06BF" w:rsidRDefault="002C06B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84A" w:rsidRDefault="001A3F21">
    <w:pPr>
      <w:pStyle w:val="Encabezado"/>
    </w:pPr>
    <w:r>
      <w:rPr>
        <w:noProof/>
        <w:lang w:eastAsia="es-MX"/>
      </w:rPr>
      <w:pict>
        <v:group id="6 Grupo" o:spid="_x0000_s2053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E6584A" w:rsidRDefault="00E6584A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E6584A" w:rsidRDefault="00E6584A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E6584A" w:rsidRPr="00275FC6" w:rsidRDefault="00E6584A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E6584A" w:rsidRDefault="00E6584A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AF318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E6584A" w:rsidRDefault="00E6584A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E6584A" w:rsidRPr="00275FC6" w:rsidRDefault="00E6584A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1A3F21"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84A" w:rsidRPr="0013011C" w:rsidRDefault="001A3F2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E6584A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9867AE3"/>
    <w:multiLevelType w:val="hybridMultilevel"/>
    <w:tmpl w:val="4FC2295E"/>
    <w:lvl w:ilvl="0" w:tplc="4690738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784835DA"/>
    <w:multiLevelType w:val="hybridMultilevel"/>
    <w:tmpl w:val="8C10E58A"/>
    <w:lvl w:ilvl="0" w:tplc="F1AA929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1107"/>
    <w:rsid w:val="0002384B"/>
    <w:rsid w:val="00040466"/>
    <w:rsid w:val="000416C6"/>
    <w:rsid w:val="00045A10"/>
    <w:rsid w:val="00071922"/>
    <w:rsid w:val="00090084"/>
    <w:rsid w:val="0009691F"/>
    <w:rsid w:val="00097FBC"/>
    <w:rsid w:val="000B062C"/>
    <w:rsid w:val="00100260"/>
    <w:rsid w:val="0013011C"/>
    <w:rsid w:val="00147276"/>
    <w:rsid w:val="00165BB4"/>
    <w:rsid w:val="00170378"/>
    <w:rsid w:val="001863DF"/>
    <w:rsid w:val="001A3F21"/>
    <w:rsid w:val="001B1B72"/>
    <w:rsid w:val="001C6FD8"/>
    <w:rsid w:val="001E7072"/>
    <w:rsid w:val="001F2842"/>
    <w:rsid w:val="00204C86"/>
    <w:rsid w:val="00207C91"/>
    <w:rsid w:val="002564E7"/>
    <w:rsid w:val="00264426"/>
    <w:rsid w:val="00287CAC"/>
    <w:rsid w:val="00295745"/>
    <w:rsid w:val="002A4338"/>
    <w:rsid w:val="002A70B3"/>
    <w:rsid w:val="002B704C"/>
    <w:rsid w:val="002B7271"/>
    <w:rsid w:val="002C06BF"/>
    <w:rsid w:val="002F0052"/>
    <w:rsid w:val="00331410"/>
    <w:rsid w:val="00372E75"/>
    <w:rsid w:val="00372F40"/>
    <w:rsid w:val="00384036"/>
    <w:rsid w:val="0039043D"/>
    <w:rsid w:val="00396C2B"/>
    <w:rsid w:val="003A0303"/>
    <w:rsid w:val="003A2603"/>
    <w:rsid w:val="003A2F8C"/>
    <w:rsid w:val="003C47D7"/>
    <w:rsid w:val="003D5DBF"/>
    <w:rsid w:val="003E7FD0"/>
    <w:rsid w:val="003F0EA4"/>
    <w:rsid w:val="004210B9"/>
    <w:rsid w:val="004219A4"/>
    <w:rsid w:val="004311BE"/>
    <w:rsid w:val="00441451"/>
    <w:rsid w:val="0044253C"/>
    <w:rsid w:val="004578C7"/>
    <w:rsid w:val="004714CF"/>
    <w:rsid w:val="00484C0D"/>
    <w:rsid w:val="00497D8B"/>
    <w:rsid w:val="004D41B8"/>
    <w:rsid w:val="004F5641"/>
    <w:rsid w:val="005171E2"/>
    <w:rsid w:val="00520D68"/>
    <w:rsid w:val="00522632"/>
    <w:rsid w:val="00522EF3"/>
    <w:rsid w:val="0053035D"/>
    <w:rsid w:val="00540418"/>
    <w:rsid w:val="0055694A"/>
    <w:rsid w:val="005675AB"/>
    <w:rsid w:val="00567C26"/>
    <w:rsid w:val="00573514"/>
    <w:rsid w:val="00574266"/>
    <w:rsid w:val="005C2176"/>
    <w:rsid w:val="005D3D25"/>
    <w:rsid w:val="005E7B8D"/>
    <w:rsid w:val="005F77E1"/>
    <w:rsid w:val="00621476"/>
    <w:rsid w:val="00662A7E"/>
    <w:rsid w:val="00670998"/>
    <w:rsid w:val="00682E19"/>
    <w:rsid w:val="00692C68"/>
    <w:rsid w:val="006B1FE7"/>
    <w:rsid w:val="006B31C0"/>
    <w:rsid w:val="006E0AB1"/>
    <w:rsid w:val="006E77DD"/>
    <w:rsid w:val="006E7FBC"/>
    <w:rsid w:val="006F2FEA"/>
    <w:rsid w:val="007057E1"/>
    <w:rsid w:val="00732B25"/>
    <w:rsid w:val="00743736"/>
    <w:rsid w:val="00777F0F"/>
    <w:rsid w:val="0079582C"/>
    <w:rsid w:val="007A5654"/>
    <w:rsid w:val="007A5986"/>
    <w:rsid w:val="007B1102"/>
    <w:rsid w:val="007D6E9A"/>
    <w:rsid w:val="00811DAC"/>
    <w:rsid w:val="00856D32"/>
    <w:rsid w:val="0089054E"/>
    <w:rsid w:val="00890785"/>
    <w:rsid w:val="008A6E4D"/>
    <w:rsid w:val="008A793D"/>
    <w:rsid w:val="008B0017"/>
    <w:rsid w:val="008E3652"/>
    <w:rsid w:val="008F5851"/>
    <w:rsid w:val="008F6D58"/>
    <w:rsid w:val="00907AB2"/>
    <w:rsid w:val="0093222B"/>
    <w:rsid w:val="0093492C"/>
    <w:rsid w:val="00957043"/>
    <w:rsid w:val="009745C4"/>
    <w:rsid w:val="009D5D4C"/>
    <w:rsid w:val="009F23C4"/>
    <w:rsid w:val="009F4700"/>
    <w:rsid w:val="00A016C8"/>
    <w:rsid w:val="00A14109"/>
    <w:rsid w:val="00A15F01"/>
    <w:rsid w:val="00A279AB"/>
    <w:rsid w:val="00A36182"/>
    <w:rsid w:val="00A363B6"/>
    <w:rsid w:val="00A46BF5"/>
    <w:rsid w:val="00A51B25"/>
    <w:rsid w:val="00A70CB9"/>
    <w:rsid w:val="00A72B79"/>
    <w:rsid w:val="00A817F4"/>
    <w:rsid w:val="00A82FDE"/>
    <w:rsid w:val="00A849F2"/>
    <w:rsid w:val="00AF3185"/>
    <w:rsid w:val="00B03176"/>
    <w:rsid w:val="00B146E2"/>
    <w:rsid w:val="00B25AC3"/>
    <w:rsid w:val="00B54CCA"/>
    <w:rsid w:val="00B63D24"/>
    <w:rsid w:val="00B849EE"/>
    <w:rsid w:val="00B84D02"/>
    <w:rsid w:val="00B90138"/>
    <w:rsid w:val="00BA2940"/>
    <w:rsid w:val="00BD06DC"/>
    <w:rsid w:val="00BE4B24"/>
    <w:rsid w:val="00BF12F0"/>
    <w:rsid w:val="00C16E53"/>
    <w:rsid w:val="00C35E58"/>
    <w:rsid w:val="00C431B4"/>
    <w:rsid w:val="00C65551"/>
    <w:rsid w:val="00C815E8"/>
    <w:rsid w:val="00C86C59"/>
    <w:rsid w:val="00C878E1"/>
    <w:rsid w:val="00C91524"/>
    <w:rsid w:val="00C91C5A"/>
    <w:rsid w:val="00CC3367"/>
    <w:rsid w:val="00CD6D9A"/>
    <w:rsid w:val="00CF46CD"/>
    <w:rsid w:val="00D00E92"/>
    <w:rsid w:val="00D055EC"/>
    <w:rsid w:val="00D44728"/>
    <w:rsid w:val="00D562FF"/>
    <w:rsid w:val="00D741F9"/>
    <w:rsid w:val="00D775F5"/>
    <w:rsid w:val="00DC2B37"/>
    <w:rsid w:val="00DC57E2"/>
    <w:rsid w:val="00DF3429"/>
    <w:rsid w:val="00DF3E28"/>
    <w:rsid w:val="00DF56C9"/>
    <w:rsid w:val="00E232EF"/>
    <w:rsid w:val="00E30177"/>
    <w:rsid w:val="00E30318"/>
    <w:rsid w:val="00E32708"/>
    <w:rsid w:val="00E37B0C"/>
    <w:rsid w:val="00E6584A"/>
    <w:rsid w:val="00E8526F"/>
    <w:rsid w:val="00EA12F8"/>
    <w:rsid w:val="00EA5418"/>
    <w:rsid w:val="00EC7775"/>
    <w:rsid w:val="00EE46FB"/>
    <w:rsid w:val="00F17C0D"/>
    <w:rsid w:val="00F27F57"/>
    <w:rsid w:val="00F42F50"/>
    <w:rsid w:val="00F46300"/>
    <w:rsid w:val="00F755D0"/>
    <w:rsid w:val="00F953EE"/>
    <w:rsid w:val="00FA45D3"/>
    <w:rsid w:val="00FB1010"/>
    <w:rsid w:val="00FC5A5D"/>
    <w:rsid w:val="00FD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4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68887-6001-45AE-9029-1F88D766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16</Pages>
  <Words>2316</Words>
  <Characters>12738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Informatica</cp:lastModifiedBy>
  <cp:revision>23</cp:revision>
  <cp:lastPrinted>2016-04-07T15:36:00Z</cp:lastPrinted>
  <dcterms:created xsi:type="dcterms:W3CDTF">2015-10-05T19:45:00Z</dcterms:created>
  <dcterms:modified xsi:type="dcterms:W3CDTF">2016-04-07T15:40:00Z</dcterms:modified>
</cp:coreProperties>
</file>