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22679983"/>
    <w:bookmarkEnd w:id="0"/>
    <w:p w:rsidR="007D6E9A" w:rsidRDefault="00F31D87" w:rsidP="003D5DBF">
      <w:pPr>
        <w:jc w:val="center"/>
      </w:pPr>
      <w:r>
        <w:object w:dxaOrig="23529" w:dyaOrig="15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75pt;height:6in" o:ole="">
            <v:imagedata r:id="rId8" o:title=""/>
          </v:shape>
          <o:OLEObject Type="Embed" ProgID="Excel.Sheet.12" ShapeID="_x0000_i1025" DrawAspect="Content" ObjectID="_1554031398" r:id="rId9"/>
        </w:object>
      </w:r>
    </w:p>
    <w:p w:rsidR="00EA5418" w:rsidRDefault="00EA5418" w:rsidP="00372F40">
      <w:pPr>
        <w:jc w:val="center"/>
      </w:pPr>
    </w:p>
    <w:bookmarkStart w:id="1" w:name="_MON_1470805999"/>
    <w:bookmarkEnd w:id="1"/>
    <w:p w:rsidR="00EA5418" w:rsidRDefault="00104C81" w:rsidP="008D038C">
      <w:pPr>
        <w:tabs>
          <w:tab w:val="left" w:pos="4395"/>
        </w:tabs>
        <w:jc w:val="center"/>
      </w:pPr>
      <w:r>
        <w:object w:dxaOrig="25181" w:dyaOrig="18946">
          <v:shape id="_x0000_i1026" type="#_x0000_t75" style="width:619.5pt;height:471.75pt" o:ole="">
            <v:imagedata r:id="rId10" o:title=""/>
          </v:shape>
          <o:OLEObject Type="Embed" ProgID="Excel.Sheet.12" ShapeID="_x0000_i1026" DrawAspect="Content" ObjectID="_1554031399" r:id="rId11"/>
        </w:object>
      </w:r>
    </w:p>
    <w:bookmarkStart w:id="2" w:name="_MON_1470806992"/>
    <w:bookmarkEnd w:id="2"/>
    <w:p w:rsidR="00372F40" w:rsidRDefault="007E7962" w:rsidP="000C0AB9">
      <w:r>
        <w:object w:dxaOrig="21993" w:dyaOrig="15482">
          <v:shape id="_x0000_i1027" type="#_x0000_t75" style="width:654pt;height:474pt" o:ole="">
            <v:imagedata r:id="rId12" o:title=""/>
          </v:shape>
          <o:OLEObject Type="Embed" ProgID="Excel.Sheet.12" ShapeID="_x0000_i1027" DrawAspect="Content" ObjectID="_1554031400" r:id="rId13"/>
        </w:object>
      </w:r>
    </w:p>
    <w:p w:rsidR="00A2095F" w:rsidRDefault="00F06364" w:rsidP="00A2095F">
      <w:r>
        <w:rPr>
          <w:noProof/>
        </w:rPr>
        <w:lastRenderedPageBreak/>
        <w:object w:dxaOrig="23529" w:dyaOrig="15096">
          <v:shape id="_x0000_s1067" type="#_x0000_t75" style="position:absolute;margin-left:30pt;margin-top:0;width:644.7pt;height:448.85pt;z-index:251667456;mso-position-horizontal:absolute;mso-position-horizontal-relative:text;mso-position-vertical-relative:text">
            <v:imagedata r:id="rId14" o:title=""/>
            <w10:wrap type="square" side="left"/>
          </v:shape>
          <o:OLEObject Type="Embed" ProgID="Excel.Sheet.12" ShapeID="_x0000_s1067" DrawAspect="Content" ObjectID="_1554031402" r:id="rId15"/>
        </w:object>
      </w:r>
    </w:p>
    <w:p w:rsidR="00A2095F" w:rsidRPr="00A2095F" w:rsidRDefault="00A2095F" w:rsidP="00A2095F"/>
    <w:p w:rsidR="00A2095F" w:rsidRPr="00A2095F" w:rsidRDefault="00A2095F" w:rsidP="00A2095F"/>
    <w:p w:rsidR="00A2095F" w:rsidRPr="00A2095F" w:rsidRDefault="00A2095F" w:rsidP="00A2095F"/>
    <w:p w:rsidR="00A2095F" w:rsidRPr="00A2095F" w:rsidRDefault="00A2095F" w:rsidP="00A2095F"/>
    <w:p w:rsidR="00A2095F" w:rsidRDefault="00A2095F" w:rsidP="00A2095F"/>
    <w:p w:rsidR="00A2095F" w:rsidRDefault="00A2095F" w:rsidP="00A2095F"/>
    <w:p w:rsidR="00A2095F" w:rsidRPr="00A2095F" w:rsidRDefault="00A2095F" w:rsidP="00A2095F"/>
    <w:p w:rsidR="00372F40" w:rsidRDefault="00A2095F" w:rsidP="00A2095F">
      <w:r>
        <w:br w:type="textWrapping" w:clear="all"/>
      </w:r>
    </w:p>
    <w:p w:rsidR="00195C51" w:rsidRDefault="00F06364" w:rsidP="00195C51">
      <w:r>
        <w:rPr>
          <w:noProof/>
        </w:rPr>
        <w:lastRenderedPageBreak/>
        <w:object w:dxaOrig="23529" w:dyaOrig="15096">
          <v:shape id="_x0000_s1056" type="#_x0000_t75" style="position:absolute;margin-left:5.05pt;margin-top:0;width:684.95pt;height:448.6pt;z-index:251663360">
            <v:imagedata r:id="rId16" o:title=""/>
            <w10:wrap type="square" side="right"/>
          </v:shape>
          <o:OLEObject Type="Embed" ProgID="Excel.Sheet.12" ShapeID="_x0000_s1056" DrawAspect="Content" ObjectID="_1554031403" r:id="rId17"/>
        </w:object>
      </w:r>
    </w:p>
    <w:p w:rsidR="00195C51" w:rsidRPr="00195C51" w:rsidRDefault="00195C51" w:rsidP="00195C51"/>
    <w:p w:rsidR="00195C51" w:rsidRPr="00195C51" w:rsidRDefault="00195C51" w:rsidP="007E7962">
      <w:pPr>
        <w:tabs>
          <w:tab w:val="left" w:pos="5437"/>
        </w:tabs>
      </w:pPr>
    </w:p>
    <w:bookmarkStart w:id="3" w:name="_MON_1470814596"/>
    <w:bookmarkEnd w:id="3"/>
    <w:p w:rsidR="00E32708" w:rsidRDefault="00104C81" w:rsidP="00104C81">
      <w:r w:rsidRPr="00104C81">
        <w:object w:dxaOrig="18229" w:dyaOrig="11117">
          <v:shape id="_x0000_i1030" type="#_x0000_t75" style="width:635.25pt;height:397.5pt" o:ole="">
            <v:imagedata r:id="rId18" o:title=""/>
          </v:shape>
          <o:OLEObject Type="Embed" ProgID="Excel.Sheet.12" ShapeID="_x0000_i1030" DrawAspect="Content" ObjectID="_1554031401" r:id="rId19"/>
        </w:object>
      </w:r>
    </w:p>
    <w:p w:rsidR="00E32708" w:rsidRDefault="00F06364" w:rsidP="00A40EC4">
      <w:pPr>
        <w:tabs>
          <w:tab w:val="left" w:pos="2430"/>
        </w:tabs>
      </w:pPr>
      <w:r>
        <w:rPr>
          <w:noProof/>
        </w:rPr>
        <w:lastRenderedPageBreak/>
        <w:object w:dxaOrig="23529" w:dyaOrig="15096">
          <v:shape id="_x0000_s1062" type="#_x0000_t75" style="position:absolute;margin-left:0;margin-top:7.25pt;width:710.6pt;height:458.9pt;z-index:251665408;mso-position-horizontal-relative:text;mso-position-vertical-relative:text">
            <v:imagedata r:id="rId20" o:title=""/>
            <w10:wrap type="square" side="left"/>
          </v:shape>
          <o:OLEObject Type="Embed" ProgID="Excel.Sheet.12" ShapeID="_x0000_s1062" DrawAspect="Content" ObjectID="_1554031404" r:id="rId21"/>
        </w:object>
      </w:r>
      <w:r w:rsidR="00A40EC4">
        <w:br w:type="textWrapping" w:clear="all"/>
      </w:r>
    </w:p>
    <w:p w:rsidR="00372F40" w:rsidRDefault="00372F40"/>
    <w:p w:rsidR="00620DEF" w:rsidRDefault="00620DEF"/>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A40EC4">
        <w:rPr>
          <w:rFonts w:ascii="Soberana Sans Light" w:hAnsi="Soberana Sans Light"/>
        </w:rPr>
        <w:t>7</w:t>
      </w:r>
    </w:p>
    <w:p w:rsidR="000000AB" w:rsidRDefault="00536CF7" w:rsidP="00A40EC4">
      <w:pPr>
        <w:tabs>
          <w:tab w:val="left" w:pos="5651"/>
        </w:tabs>
        <w:jc w:val="center"/>
        <w:rPr>
          <w:rFonts w:ascii="Soberana Sans Light" w:hAnsi="Soberana Sans Light"/>
        </w:rPr>
      </w:pPr>
      <w:r>
        <w:rPr>
          <w:rFonts w:ascii="Soberana Sans Light" w:hAnsi="Soberana Sans Light"/>
        </w:rPr>
        <w:t xml:space="preserve">del 01 de enero al 31 de </w:t>
      </w:r>
      <w:r w:rsidR="00A40EC4">
        <w:rPr>
          <w:rFonts w:ascii="Soberana Sans Light" w:hAnsi="Soberana Sans Light"/>
        </w:rPr>
        <w:t>marzo de 2017</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Del 01 de enero al 31 de marzo de 2017</w:t>
      </w:r>
    </w:p>
    <w:p w:rsidR="008E4707" w:rsidRPr="00B94587" w:rsidRDefault="008E4707" w:rsidP="008E4707">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w:t>
      </w:r>
      <w:r>
        <w:rPr>
          <w:rFonts w:ascii="Arial Narrow" w:hAnsi="Arial Narrow"/>
        </w:rPr>
        <w:t xml:space="preserve"> </w:t>
      </w:r>
      <w:r w:rsidRPr="00917741">
        <w:rPr>
          <w:rFonts w:ascii="Arial Narrow" w:hAnsi="Arial Narrow"/>
        </w:rPr>
        <w:t>, tomando en cuenta lo postulados de revelación suficiente e importancia relativa con la finalidad de que la información sea transparente. En este apartado son reveladas las cuentas que tuvieron movimie</w:t>
      </w:r>
      <w:r>
        <w:rPr>
          <w:rFonts w:ascii="Arial Narrow" w:hAnsi="Arial Narrow"/>
        </w:rPr>
        <w:t>ntos durante el periodo de enero a marzo  de  2017</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8E4707" w:rsidRPr="00B94587" w:rsidRDefault="008E4707" w:rsidP="008E4707">
      <w:pPr>
        <w:jc w:val="both"/>
        <w:rPr>
          <w:rFonts w:ascii="Arial Narrow" w:hAnsi="Arial Narrow"/>
          <w:b/>
          <w:u w:val="single"/>
        </w:rPr>
      </w:pPr>
      <w:r w:rsidRPr="00B94587">
        <w:rPr>
          <w:rFonts w:ascii="Arial Narrow" w:hAnsi="Arial Narrow"/>
          <w:b/>
          <w:u w:val="single"/>
        </w:rPr>
        <w:t>ACTIVO</w:t>
      </w:r>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12,000.02</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Pr>
                <w:rFonts w:ascii="Arial Narrow" w:hAnsi="Arial Narrow"/>
                <w:b/>
                <w:sz w:val="18"/>
                <w:szCs w:val="18"/>
              </w:rPr>
              <w:t>4,594,766.95</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42,618,460.53</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47,330,540.50</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La cuenta de efectivo está constituida por los fondos fijos revolventes que fueron creados a efecto de cubrir gastos menores de operación en áreas principalmente administrativas.</w:t>
      </w:r>
    </w:p>
    <w:p w:rsidR="008E4707" w:rsidRDefault="008E4707"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 En la cuenta productiva de bancos   refleja al 31 de marzo la cantidad de $4,594,766.95 según saldos conciliados, cabe mencionar que contra este importe se encuentran en circulación cheques por concepto de prestaciones al 31 de marzo de 2017 y demás pagos a prestadores de bienes y servicios (pasivos).</w:t>
      </w:r>
    </w:p>
    <w:p w:rsidR="008E4707" w:rsidRDefault="008E4707" w:rsidP="008E4707">
      <w:pPr>
        <w:spacing w:after="0"/>
        <w:jc w:val="both"/>
        <w:rPr>
          <w:rFonts w:ascii="Arial Narrow" w:hAnsi="Arial Narrow"/>
          <w:sz w:val="20"/>
          <w:szCs w:val="20"/>
        </w:rPr>
      </w:pPr>
      <w:r>
        <w:rPr>
          <w:rFonts w:ascii="Arial Narrow" w:hAnsi="Arial Narrow"/>
          <w:sz w:val="20"/>
          <w:szCs w:val="20"/>
        </w:rPr>
        <w:t>**</w:t>
      </w:r>
      <w:r w:rsidRPr="004F2ADF">
        <w:rPr>
          <w:rFonts w:ascii="Arial Narrow" w:hAnsi="Arial Narrow"/>
          <w:sz w:val="20"/>
          <w:szCs w:val="20"/>
        </w:rPr>
        <w:t xml:space="preserve">La inversión temporal que se tienen es </w:t>
      </w:r>
      <w:r>
        <w:rPr>
          <w:rFonts w:ascii="Arial Narrow" w:hAnsi="Arial Narrow"/>
          <w:sz w:val="20"/>
          <w:szCs w:val="20"/>
        </w:rPr>
        <w:t>con vencimiento menor a 3 meses, comprende los fondos invertidos en Contratos con bancos cuyo riesgo de mercado de valores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p>
    <w:p w:rsidR="008E4707" w:rsidRPr="00B94587" w:rsidRDefault="008E4707" w:rsidP="008E4707">
      <w:pPr>
        <w:spacing w:after="0"/>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lastRenderedPageBreak/>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243" w:type="dxa"/>
          </w:tcPr>
          <w:p w:rsidR="008E4707" w:rsidRPr="00E36D26"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169,071.11</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5,941.69</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p>
        </w:tc>
        <w:tc>
          <w:tcPr>
            <w:tcW w:w="1243" w:type="dxa"/>
          </w:tcPr>
          <w:p w:rsidR="008E4707" w:rsidRPr="00143568"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 xml:space="preserve">$            793.00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r w:rsidR="001800E2">
              <w:rPr>
                <w:rFonts w:ascii="Arial Narrow" w:hAnsi="Arial Narrow"/>
                <w:b w:val="0"/>
                <w:sz w:val="18"/>
                <w:szCs w:val="18"/>
              </w:rPr>
              <w:t>*</w:t>
            </w:r>
          </w:p>
        </w:tc>
        <w:tc>
          <w:tcPr>
            <w:tcW w:w="1243" w:type="dxa"/>
          </w:tcPr>
          <w:p w:rsidR="008E4707" w:rsidRPr="00143568"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$10,569,265.56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10,778,404.69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0B21CF" w:rsidP="000B21CF">
      <w:pPr>
        <w:jc w:val="both"/>
        <w:rPr>
          <w:rFonts w:ascii="Arial Narrow" w:hAnsi="Arial Narrow"/>
          <w:b/>
        </w:rPr>
      </w:pPr>
    </w:p>
    <w:p w:rsidR="000B21CF" w:rsidRPr="000B21CF" w:rsidRDefault="000B21CF" w:rsidP="000B21CF">
      <w:pPr>
        <w:jc w:val="both"/>
        <w:rPr>
          <w:rFonts w:ascii="Arial Narrow" w:hAnsi="Arial Narrow"/>
        </w:rPr>
      </w:pPr>
      <w:r>
        <w:rPr>
          <w:rFonts w:ascii="Arial Narrow" w:hAnsi="Arial Narrow"/>
          <w:b/>
        </w:rPr>
        <w:t xml:space="preserve">*Préstamo entre programas. </w:t>
      </w:r>
      <w:r w:rsidRPr="000B21CF">
        <w:rPr>
          <w:rFonts w:ascii="Arial Narrow" w:hAnsi="Arial Narrow"/>
        </w:rPr>
        <w:t xml:space="preserve">En ejercicios anteriores se recibieron </w:t>
      </w:r>
      <w:r w:rsidR="00813852" w:rsidRPr="000B21CF">
        <w:rPr>
          <w:rFonts w:ascii="Arial Narrow" w:hAnsi="Arial Narrow"/>
        </w:rPr>
        <w:t>préstamos</w:t>
      </w:r>
      <w:r w:rsidR="00813852">
        <w:rPr>
          <w:rFonts w:ascii="Arial Narrow" w:hAnsi="Arial Narrow"/>
        </w:rPr>
        <w:t xml:space="preserve"> para cubrir prestaciones de fin de año</w:t>
      </w:r>
      <w:r w:rsidRPr="000B21CF">
        <w:rPr>
          <w:rFonts w:ascii="Arial Narrow" w:hAnsi="Arial Narrow"/>
        </w:rPr>
        <w:t xml:space="preserve"> del Fondo Auxiliar para la impartición de justicia por $10,569,265.56</w:t>
      </w:r>
      <w:r w:rsidR="00813852">
        <w:rPr>
          <w:rFonts w:ascii="Arial Narrow" w:hAnsi="Arial Narrow"/>
        </w:rPr>
        <w:t xml:space="preserve"> </w:t>
      </w:r>
      <w:r w:rsidRPr="000B21CF">
        <w:rPr>
          <w:rFonts w:ascii="Arial Narrow" w:hAnsi="Arial Narrow"/>
        </w:rPr>
        <w:t xml:space="preserve"> del cual no grava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p>
    <w:p w:rsidR="008E4707" w:rsidRPr="00B94587" w:rsidRDefault="008E4707" w:rsidP="008E4707">
      <w:pPr>
        <w:jc w:val="both"/>
        <w:rPr>
          <w:rFonts w:ascii="Arial Narrow" w:hAnsi="Arial Narrow"/>
        </w:rPr>
      </w:pPr>
      <w:r w:rsidRPr="00B94587">
        <w:rPr>
          <w:rFonts w:ascii="Arial Narrow" w:hAnsi="Arial Narrow"/>
        </w:rPr>
        <w:t>No aplica</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p>
    <w:p w:rsidR="008E4707" w:rsidRPr="00B94587" w:rsidRDefault="008E4707" w:rsidP="008E4707">
      <w:pPr>
        <w:jc w:val="both"/>
        <w:rPr>
          <w:rFonts w:ascii="Arial Narrow" w:hAnsi="Arial Narrow"/>
          <w:u w:val="single"/>
        </w:rPr>
      </w:pPr>
      <w:r w:rsidRPr="00B94587">
        <w:rPr>
          <w:rFonts w:ascii="Arial Narrow" w:hAnsi="Arial Narrow"/>
          <w:u w:val="single"/>
        </w:rPr>
        <w:t>No aplica</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7,557,480.09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$ 10,660,670.11</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83,051.78</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45,134.39</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lastRenderedPageBreak/>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14,261.20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2,711,786.25</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72,501.60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11,502.57</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567,230.08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 xml:space="preserve">Otros muebles </w:t>
            </w: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4,499.00</w:t>
            </w: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Software</w:t>
            </w:r>
          </w:p>
        </w:tc>
        <w:tc>
          <w:tcPr>
            <w:tcW w:w="1559" w:type="dxa"/>
          </w:tcPr>
          <w:p w:rsidR="008E4707" w:rsidRPr="00755FB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50,116.64</w:t>
            </w:r>
          </w:p>
        </w:tc>
        <w:tc>
          <w:tcPr>
            <w:tcW w:w="1412"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sz w:val="18"/>
                <w:szCs w:val="18"/>
              </w:rPr>
            </w:pPr>
            <w:r>
              <w:rPr>
                <w:rFonts w:ascii="Arial Narrow" w:hAnsi="Arial Narrow"/>
                <w:sz w:val="18"/>
                <w:szCs w:val="18"/>
              </w:rPr>
              <w:t>Licencias</w:t>
            </w:r>
          </w:p>
        </w:tc>
        <w:tc>
          <w:tcPr>
            <w:tcW w:w="1559" w:type="dxa"/>
          </w:tcPr>
          <w:p w:rsidR="008E4707" w:rsidRPr="00755FB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1,078,173.60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$ 22,878,995.41</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egular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7B2AC1" w:rsidRDefault="008E4707" w:rsidP="008E4707">
            <w:pPr>
              <w:jc w:val="both"/>
              <w:rPr>
                <w:rFonts w:ascii="Arial Narrow" w:hAnsi="Arial Narrow"/>
                <w:color w:val="auto"/>
                <w:sz w:val="16"/>
                <w:szCs w:val="16"/>
              </w:rPr>
            </w:pPr>
            <w:r>
              <w:rPr>
                <w:rFonts w:ascii="Arial Narrow" w:hAnsi="Arial Narrow"/>
                <w:color w:val="auto"/>
                <w:sz w:val="16"/>
                <w:szCs w:val="16"/>
              </w:rPr>
              <w:t>TOTAL   MUEBLES E</w:t>
            </w:r>
            <w:r w:rsidRPr="007B2AC1">
              <w:rPr>
                <w:rFonts w:ascii="Arial Narrow" w:hAnsi="Arial Narrow"/>
                <w:color w:val="auto"/>
                <w:sz w:val="16"/>
                <w:szCs w:val="16"/>
              </w:rPr>
              <w:t xml:space="preserve"> INMUEBLES</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$ 24,341,513.24</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rPr>
      </w:pPr>
      <w:r>
        <w:rPr>
          <w:rFonts w:ascii="Arial Narrow" w:hAnsi="Arial Narrow"/>
        </w:rPr>
        <w:t xml:space="preserve">EN BIENES MUEBLES </w:t>
      </w:r>
    </w:p>
    <w:p w:rsidR="008E4707" w:rsidRPr="00B94587" w:rsidRDefault="008E4707" w:rsidP="008E4707">
      <w:pPr>
        <w:jc w:val="both"/>
        <w:rPr>
          <w:rFonts w:ascii="Arial Narrow" w:hAnsi="Arial Narrow"/>
        </w:rPr>
      </w:pPr>
      <w:r>
        <w:rPr>
          <w:rFonts w:ascii="Arial Narrow" w:hAnsi="Arial Narrow"/>
        </w:rPr>
        <w:t>En el 2017</w:t>
      </w:r>
      <w:r w:rsidRPr="00A35179">
        <w:rPr>
          <w:rFonts w:ascii="Arial Narrow" w:hAnsi="Arial Narrow"/>
        </w:rPr>
        <w:t>, s</w:t>
      </w:r>
      <w:r>
        <w:rPr>
          <w:rFonts w:ascii="Arial Narrow" w:hAnsi="Arial Narrow"/>
        </w:rPr>
        <w:t xml:space="preserve">e adquirieron: </w:t>
      </w:r>
    </w:p>
    <w:tbl>
      <w:tblPr>
        <w:tblStyle w:val="Sombreadoclaro-nfasis11"/>
        <w:tblW w:w="0" w:type="auto"/>
        <w:tblLayout w:type="fixed"/>
        <w:tblLook w:val="04A0" w:firstRow="1" w:lastRow="0" w:firstColumn="1" w:lastColumn="0" w:noHBand="0" w:noVBand="1"/>
      </w:tblPr>
      <w:tblGrid>
        <w:gridCol w:w="6204"/>
        <w:gridCol w:w="1370"/>
        <w:gridCol w:w="236"/>
      </w:tblGrid>
      <w:tr w:rsidR="008E4707"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BIENES:</w:t>
            </w:r>
          </w:p>
        </w:tc>
        <w:tc>
          <w:tcPr>
            <w:tcW w:w="1370" w:type="dxa"/>
          </w:tcPr>
          <w:p w:rsidR="008E4707"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236" w:type="dxa"/>
          </w:tcPr>
          <w:p w:rsidR="008E470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8E470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muebles</w:t>
            </w:r>
          </w:p>
        </w:tc>
        <w:tc>
          <w:tcPr>
            <w:tcW w:w="1370"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4,499.00</w:t>
            </w:r>
          </w:p>
        </w:tc>
        <w:tc>
          <w:tcPr>
            <w:tcW w:w="236"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Mobiliario y equipo de administración equipo de cómputo y de tecnologías de la información</w:t>
            </w:r>
          </w:p>
        </w:tc>
        <w:tc>
          <w:tcPr>
            <w:tcW w:w="1370"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33,640.00</w:t>
            </w:r>
          </w:p>
        </w:tc>
        <w:tc>
          <w:tcPr>
            <w:tcW w:w="236"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mobiliarios y equipos</w:t>
            </w:r>
          </w:p>
        </w:tc>
        <w:tc>
          <w:tcPr>
            <w:tcW w:w="1370"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42,999.99</w:t>
            </w:r>
          </w:p>
        </w:tc>
        <w:tc>
          <w:tcPr>
            <w:tcW w:w="236"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Herramientas</w:t>
            </w:r>
          </w:p>
        </w:tc>
        <w:tc>
          <w:tcPr>
            <w:tcW w:w="1370"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3,729.03</w:t>
            </w:r>
          </w:p>
        </w:tc>
        <w:tc>
          <w:tcPr>
            <w:tcW w:w="236"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Equipos y aparatos audiovisuales</w:t>
            </w:r>
          </w:p>
        </w:tc>
        <w:tc>
          <w:tcPr>
            <w:tcW w:w="1370"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7,489.87</w:t>
            </w:r>
          </w:p>
        </w:tc>
        <w:tc>
          <w:tcPr>
            <w:tcW w:w="236"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Licencias informáticas</w:t>
            </w:r>
          </w:p>
        </w:tc>
        <w:tc>
          <w:tcPr>
            <w:tcW w:w="1370"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$1,060,356.00</w:t>
            </w:r>
          </w:p>
        </w:tc>
        <w:tc>
          <w:tcPr>
            <w:tcW w:w="236"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tabs>
                <w:tab w:val="left" w:pos="4165"/>
              </w:tabs>
              <w:jc w:val="both"/>
              <w:rPr>
                <w:rFonts w:ascii="Arial Narrow" w:hAnsi="Arial Narrow"/>
              </w:rPr>
            </w:pPr>
            <w:r>
              <w:rPr>
                <w:rFonts w:ascii="Arial Narrow" w:hAnsi="Arial Narrow"/>
              </w:rPr>
              <w:tab/>
              <w:t>TOTAL</w:t>
            </w:r>
          </w:p>
        </w:tc>
        <w:tc>
          <w:tcPr>
            <w:tcW w:w="1370"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$1,152,713.89</w:t>
            </w:r>
          </w:p>
        </w:tc>
        <w:tc>
          <w:tcPr>
            <w:tcW w:w="236"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8E4707" w:rsidRDefault="008E4707"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6. Estimaciones y Deterioros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E4707" w:rsidRDefault="008E4707" w:rsidP="008E4707">
      <w:pPr>
        <w:jc w:val="both"/>
        <w:rPr>
          <w:rFonts w:ascii="Arial Narrow" w:hAnsi="Arial Narrow"/>
        </w:rPr>
      </w:pPr>
    </w:p>
    <w:p w:rsidR="008E4707" w:rsidRDefault="008E4707" w:rsidP="008E4707">
      <w:pPr>
        <w:jc w:val="both"/>
        <w:rPr>
          <w:rFonts w:ascii="Arial Narrow" w:hAnsi="Arial Narrow"/>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rPr>
      </w:pP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Nóminas y otros servicios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9,607.32</w:t>
            </w: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Pr>
                <w:rFonts w:ascii="Arial Narrow" w:hAnsi="Arial Narrow"/>
                <w:sz w:val="18"/>
                <w:szCs w:val="18"/>
              </w:rPr>
              <w:t xml:space="preserve">  4,852,410.41</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Arrendamientos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24,601.55</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1,170,116.65</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Retenciones  de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1,509,218.76</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3,703.39</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2,683.60</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2,388.51</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2% sobre nóminas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328,552</w:t>
            </w:r>
            <w:r w:rsidRPr="00E570D4">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1</w:t>
            </w:r>
            <w:r>
              <w:rPr>
                <w:rFonts w:ascii="Arial Narrow" w:hAnsi="Arial Narrow"/>
                <w:sz w:val="18"/>
                <w:szCs w:val="18"/>
              </w:rPr>
              <w:t>0</w:t>
            </w:r>
            <w:r w:rsidRPr="00E570D4">
              <w:rPr>
                <w:rFonts w:ascii="Arial Narrow" w:hAnsi="Arial Narrow"/>
                <w:sz w:val="18"/>
                <w:szCs w:val="18"/>
              </w:rPr>
              <w:t>,</w:t>
            </w:r>
            <w:r>
              <w:rPr>
                <w:rFonts w:ascii="Arial Narrow" w:hAnsi="Arial Narrow"/>
                <w:sz w:val="18"/>
                <w:szCs w:val="18"/>
              </w:rPr>
              <w:t>845.5</w:t>
            </w:r>
            <w:r w:rsidRPr="00E570D4">
              <w:rPr>
                <w:rFonts w:ascii="Arial Narrow" w:hAnsi="Arial Narrow"/>
                <w:sz w:val="18"/>
                <w:szCs w:val="18"/>
              </w:rPr>
              <w:t>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Metlife México</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1</w:t>
            </w:r>
            <w:r>
              <w:rPr>
                <w:rFonts w:ascii="Arial Narrow" w:hAnsi="Arial Narrow"/>
                <w:sz w:val="18"/>
                <w:szCs w:val="18"/>
              </w:rPr>
              <w:t>99,944.83</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61,321.88</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3,025,965.92</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$11,201,360.32</w:t>
            </w:r>
            <w:r w:rsidRPr="00E570D4">
              <w:rPr>
                <w:rFonts w:ascii="Arial Narrow" w:hAnsi="Arial Narrow"/>
                <w:sz w:val="18"/>
                <w:szCs w:val="18"/>
              </w:rPr>
              <w:fldChar w:fldCharType="begin"/>
            </w:r>
            <w:r w:rsidRPr="00E570D4">
              <w:rPr>
                <w:rFonts w:ascii="Arial Narrow" w:hAnsi="Arial Narrow"/>
                <w:sz w:val="18"/>
                <w:szCs w:val="18"/>
              </w:rPr>
              <w:instrText xml:space="preserve"> =SUM(ABOVE) </w:instrText>
            </w:r>
            <w:r w:rsidRPr="00E570D4">
              <w:rPr>
                <w:rFonts w:ascii="Arial Narrow" w:hAnsi="Arial Narrow"/>
                <w:sz w:val="18"/>
                <w:szCs w:val="18"/>
              </w:rPr>
              <w:fldChar w:fldCharType="end"/>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
        </w:tc>
        <w:tc>
          <w:tcPr>
            <w:tcW w:w="1615"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Documentos por pagar a corto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509,608.00</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w:t>
            </w:r>
            <w:r w:rsidRPr="00917741">
              <w:rPr>
                <w:rFonts w:ascii="Arial Narrow" w:hAnsi="Arial Narrow"/>
                <w:color w:val="auto"/>
                <w:sz w:val="18"/>
                <w:szCs w:val="18"/>
              </w:rPr>
              <w:t>or de 365 días</w:t>
            </w:r>
          </w:p>
        </w:tc>
      </w:tr>
    </w:tbl>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rPr>
      </w:pPr>
      <w:r w:rsidRPr="004C1E73">
        <w:rPr>
          <w:rFonts w:ascii="Arial Narrow" w:hAnsi="Arial Narrow"/>
        </w:rPr>
        <w:lastRenderedPageBreak/>
        <w:t xml:space="preserve">El ente tiene adeudo con el fondo auxiliar por préstamo recibido en el ejercicio de </w:t>
      </w:r>
      <w:r>
        <w:rPr>
          <w:rFonts w:ascii="Arial Narrow" w:hAnsi="Arial Narrow"/>
        </w:rPr>
        <w:t>2014 y</w:t>
      </w:r>
      <w:r w:rsidRPr="004C1E73">
        <w:rPr>
          <w:rFonts w:ascii="Arial Narrow" w:hAnsi="Arial Narrow"/>
        </w:rPr>
        <w:t xml:space="preserve"> fue utilizado para el pago de prestaciones de fin de año</w:t>
      </w:r>
      <w:r>
        <w:rPr>
          <w:rFonts w:ascii="Arial Narrow" w:hAnsi="Arial Narrow"/>
        </w:rPr>
        <w:t xml:space="preserve"> del mismo ejercicio 2014</w:t>
      </w:r>
      <w:r w:rsidRPr="004C1E73">
        <w:rPr>
          <w:rFonts w:ascii="Arial Narrow" w:hAnsi="Arial Narrow"/>
        </w:rPr>
        <w:t>, e</w:t>
      </w:r>
      <w:r>
        <w:rPr>
          <w:rFonts w:ascii="Arial Narrow" w:hAnsi="Arial Narrow"/>
        </w:rPr>
        <w:t>ste importe no genera intereses</w:t>
      </w:r>
      <w:r w:rsidRPr="004C1E73">
        <w:rPr>
          <w:rFonts w:ascii="Arial Narrow" w:hAnsi="Arial Narrow"/>
        </w:rPr>
        <w:t xml:space="preserve"> y no tiene fecha límite de pago.</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8E4707" w:rsidRPr="003D3224" w:rsidRDefault="008E4707" w:rsidP="008E4707">
      <w:pPr>
        <w:jc w:val="both"/>
        <w:rPr>
          <w:rFonts w:ascii="Arial Narrow" w:hAnsi="Arial Narrow"/>
        </w:rPr>
      </w:pPr>
      <w:r w:rsidRPr="003D3224">
        <w:rPr>
          <w:rFonts w:ascii="Arial Narrow" w:hAnsi="Arial Narrow"/>
        </w:rPr>
        <w:t>El ente tiene adeudo con el fondo auxiliar por prestamos recibidos en ejercicios anteriores los cuales fueron utilizados para el pago de prestaciones de fin de año, e</w:t>
      </w:r>
      <w:r>
        <w:rPr>
          <w:rFonts w:ascii="Arial Narrow" w:hAnsi="Arial Narrow"/>
        </w:rPr>
        <w:t>ste importe no genera intereses</w:t>
      </w:r>
      <w:r w:rsidRPr="003D3224">
        <w:rPr>
          <w:rFonts w:ascii="Arial Narrow" w:hAnsi="Arial Narrow"/>
        </w:rPr>
        <w:t xml:space="preserve"> y no tiene fecha límite de pago. </w:t>
      </w: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p>
    <w:p w:rsidR="008E4707" w:rsidRDefault="008E4707" w:rsidP="008E4707">
      <w:pPr>
        <w:jc w:val="both"/>
        <w:rPr>
          <w:rFonts w:ascii="Arial Narrow" w:hAnsi="Arial Narrow"/>
          <w:b/>
          <w:sz w:val="24"/>
          <w:szCs w:val="24"/>
        </w:rPr>
      </w:pPr>
      <w:r>
        <w:rPr>
          <w:rFonts w:ascii="Arial Narrow" w:hAnsi="Arial Narrow"/>
          <w:b/>
          <w:sz w:val="24"/>
          <w:szCs w:val="24"/>
        </w:rPr>
        <w:t>El Fondo Auxiliar Para la Impartición de Justicia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5,762,630.31</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8,276,310.34</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6,006,380.07</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1,273,165.34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5,983,473.52</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2,170,313.56</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Diversos varios</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1,175,845.24</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2,091,144.54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1,731,228.28</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Justiciables 2013</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920,071.82</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Justiciables 2014</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349,410.31</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Justiciables 2015</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10,797.07</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Justiciables 7645</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492,101.11</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lastRenderedPageBreak/>
              <w:t>Justiciables 772616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479,894.22</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Justiciables 764516</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3,827,687.28</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sidRPr="00803673">
              <w:rPr>
                <w:rFonts w:ascii="Arial Narrow" w:hAnsi="Arial Narrow"/>
                <w:b/>
                <w:color w:val="auto"/>
                <w:sz w:val="24"/>
                <w:szCs w:val="24"/>
              </w:rPr>
              <w:t>$40,550,753.01</w:t>
            </w:r>
          </w:p>
        </w:tc>
      </w:tr>
    </w:tbl>
    <w:p w:rsidR="008E4707" w:rsidRPr="004A4D82" w:rsidRDefault="008E4707" w:rsidP="008E4707">
      <w:pPr>
        <w:jc w:val="both"/>
        <w:rPr>
          <w:rFonts w:ascii="Arial Narrow" w:hAnsi="Arial Narrow"/>
          <w:b/>
          <w:sz w:val="24"/>
          <w:szCs w:val="24"/>
        </w:rPr>
      </w:pP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Ingresos de Gestión</w:t>
      </w:r>
    </w:p>
    <w:p w:rsidR="008E4707" w:rsidRPr="00B94587" w:rsidRDefault="008E4707" w:rsidP="008E4707">
      <w:pPr>
        <w:pStyle w:val="Prrafodelista"/>
        <w:jc w:val="both"/>
        <w:rPr>
          <w:rFonts w:ascii="Arial Narrow" w:hAnsi="Arial Narrow"/>
        </w:rPr>
      </w:pPr>
      <w:r>
        <w:rPr>
          <w:rFonts w:ascii="Arial Narrow" w:hAnsi="Arial Narrow"/>
        </w:rPr>
        <w:t>Los ingresos del Honorable</w:t>
      </w:r>
      <w:r w:rsidRPr="00B94587">
        <w:rPr>
          <w:rFonts w:ascii="Arial Narrow" w:hAnsi="Arial Narrow"/>
        </w:rPr>
        <w:t xml:space="preserve"> Tribunal</w:t>
      </w:r>
      <w:r>
        <w:rPr>
          <w:rFonts w:ascii="Arial Narrow" w:hAnsi="Arial Narrow"/>
        </w:rPr>
        <w:t xml:space="preserve"> Superior</w:t>
      </w:r>
      <w:r w:rsidRPr="00B94587">
        <w:rPr>
          <w:rFonts w:ascii="Arial Narrow" w:hAnsi="Arial Narrow"/>
        </w:rPr>
        <w:t xml:space="preserve"> d</w:t>
      </w:r>
      <w:r>
        <w:rPr>
          <w:rFonts w:ascii="Arial Narrow" w:hAnsi="Arial Narrow"/>
        </w:rPr>
        <w:t>e Justicia del Estado por el periodo de enero a marzo de 2017</w:t>
      </w:r>
      <w:r w:rsidRPr="00B94587">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785,823.50</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8E4707" w:rsidP="008E470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            711,038.01</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38,764.43</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Participaciones y aportaciones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49,881,650.53</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E6525">
              <w:rPr>
                <w:rFonts w:ascii="Arial Narrow" w:hAnsi="Arial Narrow"/>
                <w:color w:val="auto"/>
                <w:sz w:val="18"/>
                <w:szCs w:val="18"/>
              </w:rPr>
              <w:t>TOTAL DE INGRESOS DE GESTIÓN</w:t>
            </w:r>
          </w:p>
        </w:tc>
        <w:tc>
          <w:tcPr>
            <w:tcW w:w="2433" w:type="dxa"/>
          </w:tcPr>
          <w:p w:rsidR="008E4707"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Pr>
                <w:rFonts w:ascii="Arial Narrow" w:hAnsi="Arial Narrow"/>
                <w:b/>
                <w:color w:val="auto"/>
                <w:sz w:val="18"/>
                <w:szCs w:val="18"/>
              </w:rPr>
              <w:t>51,417,276.47</w:t>
            </w:r>
          </w:p>
        </w:tc>
      </w:tr>
    </w:tbl>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E4707" w:rsidRPr="00B94587" w:rsidRDefault="008E4707" w:rsidP="008E4707">
      <w:pPr>
        <w:ind w:left="360"/>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s recibidos y durante el periodo de enero a marzo de 2017 es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$43,915,523.01</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892C99" w:rsidRDefault="008E4707" w:rsidP="008E4707">
      <w:pPr>
        <w:jc w:val="both"/>
        <w:rPr>
          <w:rFonts w:ascii="Arial Narrow" w:hAnsi="Arial Narrow"/>
        </w:rPr>
      </w:pPr>
    </w:p>
    <w:p w:rsidR="008E4707" w:rsidRPr="00B94587" w:rsidRDefault="008E4707" w:rsidP="008E4707">
      <w:pPr>
        <w:pStyle w:val="Prrafodelista"/>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8E4707">
      <w:pPr>
        <w:pStyle w:val="Default"/>
        <w:ind w:left="360"/>
        <w:jc w:val="both"/>
        <w:rPr>
          <w:rFonts w:ascii="Arial Narrow" w:hAnsi="Arial Narrow"/>
          <w:sz w:val="22"/>
          <w:szCs w:val="22"/>
        </w:rPr>
      </w:pPr>
      <w:r w:rsidRPr="00B94587">
        <w:rPr>
          <w:rFonts w:ascii="Arial Narrow" w:hAnsi="Arial Narrow"/>
          <w:sz w:val="22"/>
          <w:szCs w:val="22"/>
        </w:rPr>
        <w:t>Al t</w:t>
      </w:r>
      <w:r>
        <w:rPr>
          <w:rFonts w:ascii="Arial Narrow" w:hAnsi="Arial Narrow"/>
          <w:sz w:val="22"/>
          <w:szCs w:val="22"/>
        </w:rPr>
        <w:t>erminar el período de enero a marzo</w:t>
      </w:r>
      <w:r w:rsidRPr="00B94587">
        <w:rPr>
          <w:rFonts w:ascii="Arial Narrow" w:hAnsi="Arial Narrow"/>
          <w:sz w:val="22"/>
          <w:szCs w:val="22"/>
        </w:rPr>
        <w:t xml:space="preserve"> de</w:t>
      </w:r>
      <w:r>
        <w:rPr>
          <w:rFonts w:ascii="Arial Narrow" w:hAnsi="Arial Narrow"/>
          <w:sz w:val="22"/>
          <w:szCs w:val="22"/>
        </w:rPr>
        <w:t>l</w:t>
      </w:r>
      <w:r w:rsidRPr="00B94587">
        <w:rPr>
          <w:rFonts w:ascii="Arial Narrow" w:hAnsi="Arial Narrow"/>
          <w:sz w:val="22"/>
          <w:szCs w:val="22"/>
        </w:rPr>
        <w:t xml:space="preserve"> ejerc</w:t>
      </w:r>
      <w:r>
        <w:rPr>
          <w:rFonts w:ascii="Arial Narrow" w:hAnsi="Arial Narrow"/>
          <w:sz w:val="22"/>
          <w:szCs w:val="22"/>
        </w:rPr>
        <w:t xml:space="preserve">icio fiscal 2017 se tiene un </w:t>
      </w:r>
      <w:r w:rsidRPr="00B94587">
        <w:rPr>
          <w:rFonts w:ascii="Arial Narrow" w:hAnsi="Arial Narrow"/>
          <w:sz w:val="22"/>
          <w:szCs w:val="22"/>
        </w:rPr>
        <w:t xml:space="preserve">ahorro de </w:t>
      </w:r>
      <w:r>
        <w:rPr>
          <w:rFonts w:ascii="Arial Narrow" w:hAnsi="Arial Narrow"/>
          <w:b/>
          <w:sz w:val="22"/>
          <w:szCs w:val="22"/>
        </w:rPr>
        <w:t xml:space="preserve">$2,315,677.31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cambios por errores contables en cantidad de $37,167.44, provenientes de 2014 y 2015 por errores en registro en viajes y provisión duplicada de ISR 2014. Así también se afectó al resultado del Ejercicio Fiscal 2016 por la cantidad de $94,853.36 derivado de la devolución parcial del depósito por aportación al INFONAVIT y viático no registrado en el mismo ejercicio.</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jc w:val="both"/>
        <w:rPr>
          <w:rFonts w:ascii="Arial Narrow" w:hAnsi="Arial Narrow"/>
          <w:sz w:val="22"/>
          <w:szCs w:val="22"/>
        </w:rPr>
      </w:pPr>
      <w:r>
        <w:rPr>
          <w:rFonts w:ascii="Arial Narrow" w:hAnsi="Arial Narrow"/>
          <w:sz w:val="22"/>
          <w:szCs w:val="22"/>
        </w:rPr>
        <w:t xml:space="preserve">Debido a que el Ente maneja un gasto en 2017 </w:t>
      </w:r>
      <w:r w:rsidRPr="00B94587">
        <w:rPr>
          <w:rFonts w:ascii="Arial Narrow" w:hAnsi="Arial Narrow"/>
          <w:sz w:val="22"/>
          <w:szCs w:val="22"/>
        </w:rPr>
        <w:t>del 91.59%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presupuesto 201</w:t>
      </w:r>
      <w:r>
        <w:rPr>
          <w:rFonts w:ascii="Arial Narrow" w:hAnsi="Arial Narrow"/>
          <w:sz w:val="22"/>
          <w:szCs w:val="22"/>
        </w:rPr>
        <w:t>6</w:t>
      </w:r>
      <w:r w:rsidRPr="00B94587">
        <w:rPr>
          <w:rFonts w:ascii="Arial Narrow" w:hAnsi="Arial Narrow"/>
          <w:sz w:val="22"/>
          <w:szCs w:val="22"/>
        </w:rPr>
        <w:t>,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$ 10,778,404.69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$10,809,851.44</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$ 10,778,404.69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$ 10,809,851.44</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tblInd w:w="2832" w:type="dxa"/>
        <w:tblLayout w:type="fixed"/>
        <w:tblLook w:val="04A0" w:firstRow="1" w:lastRow="0" w:firstColumn="1" w:lastColumn="0" w:noHBand="0" w:noVBand="1"/>
      </w:tblPr>
      <w:tblGrid>
        <w:gridCol w:w="6204"/>
        <w:gridCol w:w="1370"/>
        <w:gridCol w:w="236"/>
      </w:tblGrid>
      <w:tr w:rsidR="008E4707" w:rsidRPr="009E71F9"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BIENES:</w:t>
            </w:r>
          </w:p>
        </w:tc>
        <w:tc>
          <w:tcPr>
            <w:tcW w:w="1370" w:type="dxa"/>
          </w:tcPr>
          <w:p w:rsidR="008E4707" w:rsidRPr="009E71F9"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9E71F9">
              <w:rPr>
                <w:rFonts w:ascii="Arial Narrow" w:hAnsi="Arial Narrow"/>
                <w:color w:val="auto"/>
              </w:rPr>
              <w:t>Importe</w:t>
            </w:r>
          </w:p>
        </w:tc>
        <w:tc>
          <w:tcPr>
            <w:tcW w:w="236" w:type="dxa"/>
          </w:tcPr>
          <w:p w:rsidR="008E4707" w:rsidRPr="009E71F9"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p>
        </w:tc>
      </w:tr>
      <w:tr w:rsidR="008E4707" w:rsidRPr="009E71F9"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Otros muebles</w:t>
            </w:r>
          </w:p>
        </w:tc>
        <w:tc>
          <w:tcPr>
            <w:tcW w:w="1370" w:type="dxa"/>
          </w:tcPr>
          <w:p w:rsidR="008E4707" w:rsidRPr="009E71F9"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9E71F9">
              <w:rPr>
                <w:rFonts w:ascii="Arial Narrow" w:hAnsi="Arial Narrow"/>
                <w:color w:val="auto"/>
              </w:rPr>
              <w:t>$       4,499.00</w:t>
            </w:r>
          </w:p>
        </w:tc>
        <w:tc>
          <w:tcPr>
            <w:tcW w:w="236" w:type="dxa"/>
          </w:tcPr>
          <w:p w:rsidR="008E4707" w:rsidRPr="009E71F9"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p>
        </w:tc>
      </w:tr>
      <w:tr w:rsidR="008E4707" w:rsidRPr="009E71F9"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Mobiliario y equipo de administración equipo de cómputo y de tecnologías de la información</w:t>
            </w:r>
          </w:p>
        </w:tc>
        <w:tc>
          <w:tcPr>
            <w:tcW w:w="1370" w:type="dxa"/>
          </w:tcPr>
          <w:p w:rsidR="008E4707" w:rsidRPr="009E71F9"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9E71F9">
              <w:rPr>
                <w:rFonts w:ascii="Arial Narrow" w:hAnsi="Arial Narrow"/>
                <w:color w:val="auto"/>
              </w:rPr>
              <w:t>$     33,640.00</w:t>
            </w:r>
          </w:p>
        </w:tc>
        <w:tc>
          <w:tcPr>
            <w:tcW w:w="236" w:type="dxa"/>
          </w:tcPr>
          <w:p w:rsidR="008E4707" w:rsidRPr="009E71F9"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p>
        </w:tc>
      </w:tr>
      <w:tr w:rsidR="008E4707" w:rsidRPr="009E71F9"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Otros mobiliarios y equipos</w:t>
            </w:r>
          </w:p>
        </w:tc>
        <w:tc>
          <w:tcPr>
            <w:tcW w:w="1370" w:type="dxa"/>
          </w:tcPr>
          <w:p w:rsidR="008E4707" w:rsidRPr="009E71F9"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9E71F9">
              <w:rPr>
                <w:rFonts w:ascii="Arial Narrow" w:hAnsi="Arial Narrow"/>
                <w:color w:val="auto"/>
              </w:rPr>
              <w:t>$     42,999.99</w:t>
            </w:r>
          </w:p>
        </w:tc>
        <w:tc>
          <w:tcPr>
            <w:tcW w:w="236" w:type="dxa"/>
          </w:tcPr>
          <w:p w:rsidR="008E4707" w:rsidRPr="009E71F9"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p>
        </w:tc>
      </w:tr>
      <w:tr w:rsidR="008E4707" w:rsidRPr="009E71F9"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Herramientas</w:t>
            </w:r>
          </w:p>
        </w:tc>
        <w:tc>
          <w:tcPr>
            <w:tcW w:w="1370" w:type="dxa"/>
          </w:tcPr>
          <w:p w:rsidR="008E4707" w:rsidRPr="009E71F9"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9E71F9">
              <w:rPr>
                <w:rFonts w:ascii="Arial Narrow" w:hAnsi="Arial Narrow"/>
                <w:color w:val="auto"/>
              </w:rPr>
              <w:t>$       3,729.03</w:t>
            </w:r>
          </w:p>
        </w:tc>
        <w:tc>
          <w:tcPr>
            <w:tcW w:w="236" w:type="dxa"/>
          </w:tcPr>
          <w:p w:rsidR="008E4707" w:rsidRPr="009E71F9"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p>
        </w:tc>
      </w:tr>
      <w:tr w:rsidR="008E4707" w:rsidRPr="009E71F9"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jc w:val="both"/>
              <w:rPr>
                <w:rFonts w:ascii="Arial Narrow" w:hAnsi="Arial Narrow"/>
                <w:color w:val="auto"/>
              </w:rPr>
            </w:pPr>
            <w:r w:rsidRPr="009E71F9">
              <w:rPr>
                <w:rFonts w:ascii="Arial Narrow" w:hAnsi="Arial Narrow"/>
                <w:color w:val="auto"/>
              </w:rPr>
              <w:t>Equipos y aparatos audiovisuales</w:t>
            </w:r>
          </w:p>
        </w:tc>
        <w:tc>
          <w:tcPr>
            <w:tcW w:w="1370" w:type="dxa"/>
          </w:tcPr>
          <w:p w:rsidR="008E4707" w:rsidRPr="009E71F9"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9E71F9">
              <w:rPr>
                <w:rFonts w:ascii="Arial Narrow" w:hAnsi="Arial Narrow"/>
                <w:color w:val="auto"/>
              </w:rPr>
              <w:t>$       7,489.87</w:t>
            </w:r>
          </w:p>
        </w:tc>
        <w:tc>
          <w:tcPr>
            <w:tcW w:w="236" w:type="dxa"/>
          </w:tcPr>
          <w:p w:rsidR="008E4707" w:rsidRPr="009E71F9"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p>
        </w:tc>
      </w:tr>
      <w:tr w:rsidR="008E4707" w:rsidRPr="009E71F9" w:rsidTr="008E4707">
        <w:tc>
          <w:tcPr>
            <w:cnfStyle w:val="001000000000" w:firstRow="0" w:lastRow="0" w:firstColumn="1" w:lastColumn="0" w:oddVBand="0" w:evenVBand="0" w:oddHBand="0" w:evenHBand="0" w:firstRowFirstColumn="0" w:firstRowLastColumn="0" w:lastRowFirstColumn="0" w:lastRowLastColumn="0"/>
            <w:tcW w:w="6204" w:type="dxa"/>
          </w:tcPr>
          <w:p w:rsidR="008E4707" w:rsidRPr="009E71F9" w:rsidRDefault="008E4707" w:rsidP="008E4707">
            <w:pPr>
              <w:tabs>
                <w:tab w:val="left" w:pos="4165"/>
              </w:tabs>
              <w:jc w:val="both"/>
              <w:rPr>
                <w:rFonts w:ascii="Arial Narrow" w:hAnsi="Arial Narrow"/>
                <w:color w:val="auto"/>
              </w:rPr>
            </w:pPr>
            <w:r w:rsidRPr="009E71F9">
              <w:rPr>
                <w:rFonts w:ascii="Arial Narrow" w:hAnsi="Arial Narrow"/>
                <w:color w:val="auto"/>
              </w:rPr>
              <w:tab/>
              <w:t>TOTAL</w:t>
            </w:r>
          </w:p>
        </w:tc>
        <w:tc>
          <w:tcPr>
            <w:tcW w:w="1370" w:type="dxa"/>
          </w:tcPr>
          <w:p w:rsidR="008E4707" w:rsidRPr="009E71F9"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rPr>
            </w:pPr>
            <w:r w:rsidRPr="009E71F9">
              <w:rPr>
                <w:rFonts w:ascii="Arial Narrow" w:hAnsi="Arial Narrow"/>
                <w:b/>
                <w:color w:val="auto"/>
              </w:rPr>
              <w:t>$</w:t>
            </w:r>
            <w:r>
              <w:rPr>
                <w:rFonts w:ascii="Arial Narrow" w:hAnsi="Arial Narrow"/>
                <w:b/>
                <w:color w:val="auto"/>
              </w:rPr>
              <w:t xml:space="preserve">     92,357.89</w:t>
            </w:r>
          </w:p>
        </w:tc>
        <w:tc>
          <w:tcPr>
            <w:tcW w:w="236" w:type="dxa"/>
          </w:tcPr>
          <w:p w:rsidR="008E4707" w:rsidRPr="009E71F9"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8E4707" w:rsidRPr="00B94587" w:rsidRDefault="008E4707" w:rsidP="008E4707">
      <w:pPr>
        <w:pStyle w:val="Default"/>
        <w:ind w:firstLine="708"/>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8E4707" w:rsidRDefault="008E4707" w:rsidP="008E4707">
      <w:pPr>
        <w:pStyle w:val="Default"/>
        <w:rPr>
          <w:rFonts w:ascii="Arial Narrow" w:hAnsi="Arial Narrow"/>
          <w:sz w:val="22"/>
          <w:szCs w:val="22"/>
        </w:rPr>
      </w:pPr>
    </w:p>
    <w:p w:rsidR="008E4707" w:rsidRPr="00B94587" w:rsidRDefault="00A21484" w:rsidP="008E4707">
      <w:pPr>
        <w:ind w:firstLine="708"/>
        <w:jc w:val="both"/>
        <w:rPr>
          <w:rFonts w:ascii="Arial Narrow" w:hAnsi="Arial Narrow"/>
        </w:rPr>
      </w:pPr>
      <w:r>
        <w:rPr>
          <w:rFonts w:ascii="Arial Narrow" w:hAnsi="Arial Narrow"/>
        </w:rPr>
        <w:t>En este periodo de enero a marzo de 2017</w:t>
      </w:r>
      <w:r w:rsidR="008E4707">
        <w:rPr>
          <w:rFonts w:ascii="Arial Narrow" w:hAnsi="Arial Narrow"/>
        </w:rPr>
        <w:t>, Se adquirieron: $1,060</w:t>
      </w:r>
      <w:r w:rsidR="008E4707" w:rsidRPr="009E71F9">
        <w:rPr>
          <w:rFonts w:ascii="Arial Narrow" w:hAnsi="Arial Narrow"/>
        </w:rPr>
        <w:t>,356.00</w:t>
      </w:r>
      <w:r w:rsidR="008E4707">
        <w:rPr>
          <w:rFonts w:ascii="Arial Narrow" w:hAnsi="Arial Narrow"/>
        </w:rPr>
        <w:t xml:space="preserve"> de licencias de software.</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$ 2,315,677.31</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lastRenderedPageBreak/>
              <w:t xml:space="preserve"> Corres</w:t>
            </w:r>
            <w:r>
              <w:rPr>
                <w:rFonts w:ascii="Arial Narrow" w:hAnsi="Arial Narrow"/>
                <w:sz w:val="22"/>
                <w:szCs w:val="22"/>
              </w:rPr>
              <w:t>pondientes del 01 de enero al 31 de marzo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$ 51,417,276.47</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Pr>
                <w:rFonts w:ascii="Arial Narrow" w:hAnsi="Arial Narrow"/>
                <w:sz w:val="22"/>
                <w:szCs w:val="22"/>
              </w:rPr>
              <w:t xml:space="preserve">                0.00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Total otros ingresos no presupuestarios</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8E4707" w:rsidRPr="00917741" w:rsidRDefault="008E4707" w:rsidP="008E4707">
            <w:pPr>
              <w:pStyle w:val="Default"/>
              <w:jc w:val="right"/>
              <w:rPr>
                <w:rFonts w:ascii="Arial Narrow" w:hAnsi="Arial Narrow"/>
                <w:b/>
                <w:sz w:val="22"/>
                <w:szCs w:val="22"/>
              </w:rPr>
            </w:pPr>
            <w:r>
              <w:rPr>
                <w:rFonts w:ascii="Arial Narrow" w:hAnsi="Arial Narrow"/>
                <w:b/>
                <w:sz w:val="22"/>
                <w:szCs w:val="22"/>
              </w:rPr>
              <w:t>$ 51,417,276.47</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w:t>
            </w:r>
            <w:r>
              <w:rPr>
                <w:rFonts w:ascii="Arial Narrow" w:hAnsi="Arial Narrow"/>
                <w:sz w:val="22"/>
                <w:szCs w:val="22"/>
              </w:rPr>
              <w:t>s</w:t>
            </w:r>
            <w:r w:rsidRPr="00B94587">
              <w:rPr>
                <w:rFonts w:ascii="Arial Narrow" w:hAnsi="Arial Narrow"/>
                <w:sz w:val="22"/>
                <w:szCs w:val="22"/>
              </w:rPr>
              <w:t xml:space="preserve"> Gastos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 31 marzo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lastRenderedPageBreak/>
              <w:t>1.- Total Egresos (Presupuestarios)</w:t>
            </w:r>
          </w:p>
        </w:tc>
        <w:tc>
          <w:tcPr>
            <w:tcW w:w="1924" w:type="dxa"/>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$ 49,101,599.16</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8E4707" w:rsidRPr="00917741" w:rsidRDefault="008E4707" w:rsidP="008E4707">
            <w:pPr>
              <w:pStyle w:val="Default"/>
              <w:rPr>
                <w:rFonts w:ascii="Arial Narrow" w:hAnsi="Arial Narrow"/>
                <w:sz w:val="22"/>
                <w:szCs w:val="22"/>
              </w:rPr>
            </w:pPr>
          </w:p>
        </w:tc>
        <w:tc>
          <w:tcPr>
            <w:tcW w:w="2000" w:type="dxa"/>
          </w:tcPr>
          <w:p w:rsidR="008E4707" w:rsidRPr="00917741" w:rsidRDefault="008E4707" w:rsidP="008E4707">
            <w:pPr>
              <w:pStyle w:val="Default"/>
              <w:jc w:val="right"/>
              <w:rPr>
                <w:rFonts w:ascii="Arial Narrow" w:hAnsi="Arial Narrow"/>
                <w:sz w:val="22"/>
                <w:szCs w:val="22"/>
              </w:rPr>
            </w:pPr>
            <w:r>
              <w:rPr>
                <w:rFonts w:ascii="Arial Narrow" w:hAnsi="Arial Narrow"/>
                <w:sz w:val="22"/>
                <w:szCs w:val="22"/>
              </w:rPr>
              <w:t>$                 0.00</w:t>
            </w: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Pr>
                <w:rFonts w:ascii="Arial Narrow" w:hAnsi="Arial Narrow"/>
                <w:sz w:val="18"/>
                <w:szCs w:val="18"/>
              </w:rPr>
              <w:t xml:space="preserve"> (Corrección al ejercicio 2014)</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                  0.00      </w:t>
            </w:r>
          </w:p>
        </w:tc>
        <w:tc>
          <w:tcPr>
            <w:tcW w:w="2000"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$ 49,101,599.16</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omo del Poder Judicial se integra a su vez por los Estados Financieros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Pr>
          <w:rFonts w:ascii="Arial Narrow" w:hAnsi="Arial Narrow"/>
          <w:lang w:val="es-ES"/>
        </w:rPr>
        <w:t xml:space="preserve">  al 31 de marzo 2017</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2017 autorizado fue de sólo el 5.36</w:t>
      </w:r>
      <w:r w:rsidRPr="00B94587">
        <w:rPr>
          <w:rFonts w:ascii="Arial Narrow" w:hAnsi="Arial Narrow"/>
        </w:rPr>
        <w:t xml:space="preserve">% </w:t>
      </w:r>
      <w:r>
        <w:rPr>
          <w:rFonts w:ascii="Arial Narrow" w:hAnsi="Arial Narrow"/>
        </w:rPr>
        <w:t>con respecto al ejercicio fiscal dos mil dieciséis,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Constitucionales que fueron publicadas e</w:t>
      </w:r>
      <w:r w:rsidRPr="00B94587">
        <w:rPr>
          <w:rFonts w:ascii="Arial Narrow" w:hAnsi="Arial Narrow" w:cs="AGaramondPro-Regular"/>
        </w:rPr>
        <w:t xml:space="preserve">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08"/>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20"/>
        <w:jc w:val="both"/>
        <w:rPr>
          <w:rFonts w:ascii="Arial Narrow" w:hAnsi="Arial Narrow"/>
          <w:bCs/>
          <w:sz w:val="22"/>
          <w:szCs w:val="22"/>
        </w:rPr>
      </w:pPr>
      <w:r>
        <w:rPr>
          <w:rFonts w:ascii="Arial Narrow" w:hAnsi="Arial Narrow"/>
          <w:bCs/>
          <w:sz w:val="22"/>
          <w:szCs w:val="22"/>
        </w:rPr>
        <w:t>El Poder Judicial e</w:t>
      </w:r>
      <w:r w:rsidRPr="00B94587">
        <w:rPr>
          <w:rFonts w:ascii="Arial Narrow" w:hAnsi="Arial Narrow"/>
          <w:bCs/>
          <w:sz w:val="22"/>
          <w:szCs w:val="22"/>
        </w:rPr>
        <w:t>man</w:t>
      </w:r>
      <w:r>
        <w:rPr>
          <w:rFonts w:ascii="Arial Narrow" w:hAnsi="Arial Narrow"/>
          <w:bCs/>
          <w:sz w:val="22"/>
          <w:szCs w:val="22"/>
        </w:rPr>
        <w:t xml:space="preserve">a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 xml:space="preserve">de Tlaxcala, bajo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ículo 56 y</w:t>
      </w:r>
      <w:r w:rsidRPr="00B94587">
        <w:rPr>
          <w:rFonts w:ascii="Arial Narrow" w:hAnsi="Arial Narrow"/>
          <w:bCs/>
          <w:sz w:val="22"/>
          <w:szCs w:val="22"/>
        </w:rPr>
        <w:t xml:space="preserve"> dice</w:t>
      </w:r>
      <w:r>
        <w:rPr>
          <w:rFonts w:ascii="Arial Narrow" w:hAnsi="Arial Narrow"/>
          <w:bCs/>
          <w:sz w:val="22"/>
          <w:szCs w:val="22"/>
        </w:rPr>
        <w:t>: “E</w:t>
      </w:r>
      <w:r w:rsidRPr="00B94587">
        <w:rPr>
          <w:rFonts w:ascii="Arial Narrow" w:hAnsi="Arial Narrow"/>
          <w:bCs/>
          <w:sz w:val="22"/>
          <w:szCs w:val="22"/>
        </w:rPr>
        <w:t xml:space="preserve">l ejercicio </w:t>
      </w:r>
      <w:r>
        <w:rPr>
          <w:rFonts w:ascii="Arial Narrow" w:hAnsi="Arial Narrow"/>
          <w:bCs/>
          <w:sz w:val="22"/>
          <w:szCs w:val="22"/>
        </w:rPr>
        <w:t xml:space="preserve">del Poder Judicial se encomienda </w:t>
      </w:r>
      <w:r w:rsidRPr="00B94587">
        <w:rPr>
          <w:rFonts w:ascii="Arial Narrow" w:hAnsi="Arial Narrow"/>
          <w:bCs/>
          <w:sz w:val="22"/>
          <w:szCs w:val="22"/>
        </w:rPr>
        <w:t xml:space="preserve"> al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Default="008E4707" w:rsidP="008E4707">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Tlaxcala en su Art</w:t>
      </w:r>
      <w:r>
        <w:rPr>
          <w:rFonts w:ascii="Arial Narrow" w:hAnsi="Arial Narrow"/>
          <w:bCs/>
          <w:sz w:val="22"/>
          <w:szCs w:val="22"/>
        </w:rPr>
        <w:t>ículo</w:t>
      </w:r>
      <w:r w:rsidRPr="00B94587">
        <w:rPr>
          <w:rFonts w:ascii="Arial Narrow" w:hAnsi="Arial Narrow"/>
          <w:bCs/>
          <w:sz w:val="22"/>
          <w:szCs w:val="22"/>
        </w:rPr>
        <w:t xml:space="preserve"> 1</w:t>
      </w:r>
      <w:r>
        <w:rPr>
          <w:rFonts w:ascii="Arial Narrow" w:hAnsi="Arial Narrow"/>
          <w:bCs/>
          <w:sz w:val="22"/>
          <w:szCs w:val="22"/>
        </w:rPr>
        <w:t>.</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8E4707" w:rsidP="008E4707">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aunado a ello los inicios del Nuevo Sistema de Justicia Penal Acusatorio.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Consejeros,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8E4707">
      <w:pPr>
        <w:pStyle w:val="Default"/>
        <w:ind w:left="705"/>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8E4707">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8E4707" w:rsidRPr="00B94587" w:rsidRDefault="008E4707" w:rsidP="008E4707">
      <w:pPr>
        <w:pStyle w:val="Default"/>
        <w:ind w:left="708"/>
        <w:jc w:val="both"/>
        <w:rPr>
          <w:rFonts w:ascii="Arial Narrow" w:hAnsi="Arial Narrow"/>
          <w:b/>
          <w:bCs/>
          <w:sz w:val="22"/>
          <w:szCs w:val="22"/>
        </w:rPr>
      </w:pPr>
    </w:p>
    <w:p w:rsidR="008E4707" w:rsidRDefault="008E4707" w:rsidP="008E4707">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 Por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el </w:t>
      </w:r>
      <w:r w:rsidRPr="00B94587">
        <w:rPr>
          <w:rFonts w:ascii="Arial Narrow" w:hAnsi="Arial Narrow"/>
          <w:sz w:val="22"/>
          <w:szCs w:val="22"/>
        </w:rPr>
        <w:t xml:space="preserve"> pago</w:t>
      </w:r>
      <w:r>
        <w:rPr>
          <w:rFonts w:ascii="Arial Narrow" w:hAnsi="Arial Narrow"/>
          <w:sz w:val="22"/>
          <w:szCs w:val="22"/>
        </w:rPr>
        <w:t xml:space="preserve"> a personas que se encuentra </w:t>
      </w:r>
      <w:r w:rsidRPr="00B94587">
        <w:rPr>
          <w:rFonts w:ascii="Arial Narrow" w:hAnsi="Arial Narrow"/>
          <w:sz w:val="22"/>
          <w:szCs w:val="22"/>
        </w:rPr>
        <w:t xml:space="preserve"> </w:t>
      </w:r>
      <w:r>
        <w:rPr>
          <w:rFonts w:ascii="Arial Narrow" w:hAnsi="Arial Narrow"/>
          <w:sz w:val="22"/>
          <w:szCs w:val="22"/>
        </w:rPr>
        <w:t xml:space="preserve">bajo el régimen </w:t>
      </w:r>
      <w:r w:rsidRPr="00B94587">
        <w:rPr>
          <w:rFonts w:ascii="Arial Narrow" w:hAnsi="Arial Narrow"/>
          <w:sz w:val="22"/>
          <w:szCs w:val="22"/>
        </w:rPr>
        <w:t>de honorarios a personas físi</w:t>
      </w:r>
      <w:r>
        <w:rPr>
          <w:rFonts w:ascii="Arial Narrow" w:hAnsi="Arial Narrow"/>
          <w:sz w:val="22"/>
          <w:szCs w:val="22"/>
        </w:rPr>
        <w:t>cas por servicios profesionales y/o arrendamiento.</w:t>
      </w:r>
      <w:r w:rsidRPr="00B94587">
        <w:rPr>
          <w:rFonts w:ascii="Arial Narrow" w:hAnsi="Arial Narrow"/>
          <w:sz w:val="22"/>
          <w:szCs w:val="22"/>
        </w:rPr>
        <w:t xml:space="preserve"> </w:t>
      </w:r>
    </w:p>
    <w:p w:rsidR="008E4707" w:rsidRDefault="008E4707" w:rsidP="008E4707">
      <w:pPr>
        <w:pStyle w:val="Default"/>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8E4707" w:rsidRDefault="008E4707" w:rsidP="008E4707">
      <w:pPr>
        <w:pStyle w:val="Default"/>
        <w:jc w:val="both"/>
        <w:rPr>
          <w:rFonts w:ascii="Arial Narrow" w:hAnsi="Arial Narrow"/>
          <w:b/>
          <w:bCs/>
          <w:noProof/>
          <w:lang w:eastAsia="es-MX"/>
        </w:rPr>
      </w:pPr>
    </w:p>
    <w:p w:rsidR="008E4707" w:rsidRDefault="008E4707" w:rsidP="008E4707">
      <w:pPr>
        <w:pStyle w:val="Default"/>
        <w:jc w:val="both"/>
        <w:rPr>
          <w:rFonts w:ascii="Arial Narrow" w:hAnsi="Arial Narrow"/>
          <w:b/>
          <w:bCs/>
          <w:noProof/>
          <w:lang w:eastAsia="es-MX"/>
        </w:rPr>
      </w:pPr>
      <w:r>
        <w:rPr>
          <w:rFonts w:ascii="Arial Narrow" w:hAnsi="Arial Narrow"/>
          <w:b/>
          <w:bCs/>
          <w:noProof/>
          <w:lang w:eastAsia="es-MX"/>
        </w:rPr>
        <w:lastRenderedPageBreak/>
        <w:drawing>
          <wp:inline distT="0" distB="0" distL="0" distR="0" wp14:anchorId="56938CDD" wp14:editId="758FD924">
            <wp:extent cx="7466747" cy="5717414"/>
            <wp:effectExtent l="19050" t="0" r="853"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l="31435" t="20896" r="16390" b="8005"/>
                    <a:stretch>
                      <a:fillRect/>
                    </a:stretch>
                  </pic:blipFill>
                  <pic:spPr bwMode="auto">
                    <a:xfrm>
                      <a:off x="0" y="0"/>
                      <a:ext cx="7468786" cy="5718975"/>
                    </a:xfrm>
                    <a:prstGeom prst="rect">
                      <a:avLst/>
                    </a:prstGeom>
                    <a:noFill/>
                    <a:ln w="9525">
                      <a:noFill/>
                      <a:miter lim="800000"/>
                      <a:headEnd/>
                      <a:tailEnd/>
                    </a:ln>
                  </pic:spPr>
                </pic:pic>
              </a:graphicData>
            </a:graphic>
          </wp:inline>
        </w:drawing>
      </w:r>
    </w:p>
    <w:p w:rsidR="00DF671C" w:rsidRDefault="00DF671C"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lastRenderedPageBreak/>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Estados Financieros  adjuntos han sido </w:t>
      </w:r>
      <w:r>
        <w:rPr>
          <w:rFonts w:ascii="Arial Narrow" w:hAnsi="Arial Narrow"/>
          <w:sz w:val="22"/>
          <w:szCs w:val="22"/>
        </w:rPr>
        <w:t xml:space="preserve">parcialmente </w:t>
      </w:r>
      <w:r w:rsidRPr="005436A2">
        <w:rPr>
          <w:rFonts w:ascii="Arial Narrow" w:hAnsi="Arial Narrow"/>
          <w:sz w:val="22"/>
          <w:szCs w:val="22"/>
        </w:rPr>
        <w:t>preparados de acuerdo con la Norma Internacional de Contabilidad (NIC) 34, Información financiera intermedia cumpliendo con 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701F5D" w:rsidRDefault="008E4707" w:rsidP="008E4707">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 Las partidas de inmuebles, maquinaria y equipo registradas a su costo histórico asumido a la fecha de transición a NIIF, el cual corresponde a los valores contables</w:t>
      </w:r>
      <w:r>
        <w:rPr>
          <w:rFonts w:ascii="Arial Narrow" w:hAnsi="Arial Narrow"/>
          <w:color w:val="auto"/>
          <w:sz w:val="22"/>
          <w:szCs w:val="22"/>
        </w:rPr>
        <w:t>,</w:t>
      </w:r>
      <w:r w:rsidRPr="00B94587">
        <w:rPr>
          <w:rFonts w:ascii="Arial Narrow" w:hAnsi="Arial Narrow"/>
          <w:color w:val="auto"/>
          <w:sz w:val="22"/>
          <w:szCs w:val="22"/>
        </w:rPr>
        <w:t xml:space="preserve">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8E4707" w:rsidP="008E4707">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w:t>
      </w:r>
      <w:r w:rsidRPr="00B94587">
        <w:rPr>
          <w:rFonts w:ascii="Arial Narrow" w:hAnsi="Arial Narrow"/>
          <w:color w:val="auto"/>
          <w:sz w:val="22"/>
          <w:szCs w:val="22"/>
        </w:rPr>
        <w:lastRenderedPageBreak/>
        <w:t>mercado, la ente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período de los activos del plan, se reconocen dentro del resultado de financiamiento. Un beneficio económico está disponible para el ente si es realiza</w:t>
      </w:r>
      <w:r>
        <w:rPr>
          <w:rFonts w:ascii="Arial Narrow" w:hAnsi="Arial Narrow"/>
          <w:color w:val="auto"/>
          <w:sz w:val="22"/>
          <w:szCs w:val="22"/>
        </w:rPr>
        <w:t xml:space="preserve">ble en la duración del plan, o </w:t>
      </w:r>
      <w:r w:rsidRPr="00B94587">
        <w:rPr>
          <w:rFonts w:ascii="Arial Narrow" w:hAnsi="Arial Narrow"/>
          <w:color w:val="auto"/>
          <w:sz w:val="22"/>
          <w:szCs w:val="22"/>
        </w:rPr>
        <w:t xml:space="preserve">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Pr="00B94587" w:rsidRDefault="008E4707" w:rsidP="008E4707">
      <w:pPr>
        <w:pStyle w:val="Default"/>
        <w:ind w:left="1416"/>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Financieros no reconocen</w:t>
      </w:r>
      <w:r w:rsidRPr="00B94587">
        <w:rPr>
          <w:rFonts w:ascii="Arial Narrow" w:hAnsi="Arial Narrow"/>
          <w:color w:val="auto"/>
          <w:sz w:val="22"/>
          <w:szCs w:val="22"/>
        </w:rPr>
        <w:t xml:space="preserve"> los efectos de la inflación. Por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 Se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lastRenderedPageBreak/>
        <w:t>Beneficios a empleados.</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El terreno no se deprecia.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701"/>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Saldo en libros</w:t>
            </w:r>
          </w:p>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al 31 de diciembre 2016</w:t>
            </w:r>
          </w:p>
        </w:tc>
        <w:tc>
          <w:tcPr>
            <w:tcW w:w="170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Diferencias</w:t>
            </w:r>
          </w:p>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En existencias físicas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2,711,786.25</w:t>
            </w:r>
          </w:p>
        </w:tc>
        <w:tc>
          <w:tcPr>
            <w:tcW w:w="1701"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Pr>
                <w:rFonts w:ascii="Arial Narrow" w:hAnsi="Arial Narrow"/>
                <w:sz w:val="18"/>
                <w:szCs w:val="18"/>
              </w:rPr>
              <w:t xml:space="preserve"> </w:t>
            </w:r>
            <w:r w:rsidRPr="00917741">
              <w:rPr>
                <w:rFonts w:ascii="Arial Narrow" w:hAnsi="Arial Narrow"/>
                <w:sz w:val="18"/>
                <w:szCs w:val="18"/>
              </w:rPr>
              <w:t>2,474,358.00</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w:t>
            </w:r>
            <w:r>
              <w:rPr>
                <w:rFonts w:ascii="Arial Narrow" w:hAnsi="Arial Narrow"/>
                <w:sz w:val="18"/>
                <w:szCs w:val="18"/>
              </w:rPr>
              <w:t xml:space="preserve">   </w:t>
            </w:r>
            <w:r w:rsidRPr="00F2639F">
              <w:rPr>
                <w:rFonts w:ascii="Arial Narrow" w:hAnsi="Arial Narrow"/>
                <w:sz w:val="18"/>
                <w:szCs w:val="18"/>
              </w:rPr>
              <w:t xml:space="preserve">    </w:t>
            </w:r>
            <w:r>
              <w:rPr>
                <w:rFonts w:ascii="Arial Narrow" w:hAnsi="Arial Narrow"/>
                <w:sz w:val="18"/>
                <w:szCs w:val="18"/>
              </w:rPr>
              <w:t>237,428.25</w:t>
            </w:r>
            <w:r w:rsidRPr="00F2639F">
              <w:rPr>
                <w:rFonts w:ascii="Arial Narrow" w:hAnsi="Arial Narrow"/>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$ 10,660,670.11</w:t>
            </w:r>
          </w:p>
        </w:tc>
        <w:tc>
          <w:tcPr>
            <w:tcW w:w="1701"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$ 1,857,031.39</w:t>
            </w:r>
          </w:p>
        </w:tc>
        <w:tc>
          <w:tcPr>
            <w:tcW w:w="1559" w:type="dxa"/>
          </w:tcPr>
          <w:p w:rsidR="008E4707" w:rsidRPr="00F2639F"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Pr>
                <w:rFonts w:ascii="Arial Narrow" w:hAnsi="Arial Narrow"/>
                <w:sz w:val="18"/>
                <w:szCs w:val="18"/>
              </w:rPr>
              <w:t>8,803,638.72</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72,501.60</w:t>
            </w:r>
          </w:p>
        </w:tc>
        <w:tc>
          <w:tcPr>
            <w:tcW w:w="1701"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0.00</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72,501.60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7,557,480.09</w:t>
            </w:r>
          </w:p>
        </w:tc>
        <w:tc>
          <w:tcPr>
            <w:tcW w:w="1701"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Pr>
                <w:rFonts w:ascii="Arial Narrow" w:hAnsi="Arial Narrow"/>
                <w:sz w:val="18"/>
                <w:szCs w:val="18"/>
              </w:rPr>
              <w:t xml:space="preserve"> </w:t>
            </w:r>
            <w:r w:rsidRPr="00917741">
              <w:rPr>
                <w:rFonts w:ascii="Arial Narrow" w:hAnsi="Arial Narrow"/>
                <w:sz w:val="18"/>
                <w:szCs w:val="18"/>
              </w:rPr>
              <w:t>1,825,264.25</w:t>
            </w:r>
          </w:p>
        </w:tc>
        <w:tc>
          <w:tcPr>
            <w:tcW w:w="1559" w:type="dxa"/>
          </w:tcPr>
          <w:p w:rsidR="008E4707" w:rsidRPr="00F2639F"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    </w:t>
            </w:r>
            <w:r>
              <w:rPr>
                <w:rFonts w:ascii="Arial Narrow" w:hAnsi="Arial Narrow"/>
                <w:sz w:val="18"/>
                <w:szCs w:val="18"/>
              </w:rPr>
              <w:t>5,732,215.84</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14,261.20</w:t>
            </w:r>
          </w:p>
        </w:tc>
        <w:tc>
          <w:tcPr>
            <w:tcW w:w="1701"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13.00</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Pr>
                <w:rFonts w:ascii="Arial Narrow" w:hAnsi="Arial Narrow"/>
                <w:sz w:val="18"/>
                <w:szCs w:val="18"/>
              </w:rPr>
              <w:t>14,248.20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83,051.78</w:t>
            </w:r>
          </w:p>
        </w:tc>
        <w:tc>
          <w:tcPr>
            <w:tcW w:w="1701"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w:t>
            </w:r>
            <w:r>
              <w:rPr>
                <w:rFonts w:ascii="Arial Narrow" w:hAnsi="Arial Narrow"/>
                <w:sz w:val="18"/>
                <w:szCs w:val="18"/>
              </w:rPr>
              <w:t xml:space="preserve"> </w:t>
            </w:r>
            <w:r w:rsidRPr="00917741">
              <w:rPr>
                <w:rFonts w:ascii="Arial Narrow" w:hAnsi="Arial Narrow"/>
                <w:sz w:val="18"/>
                <w:szCs w:val="18"/>
              </w:rPr>
              <w:t>0,153.50</w:t>
            </w:r>
          </w:p>
        </w:tc>
        <w:tc>
          <w:tcPr>
            <w:tcW w:w="1559" w:type="dxa"/>
          </w:tcPr>
          <w:p w:rsidR="008E4707" w:rsidRPr="00F2639F"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Pr>
                <w:rFonts w:ascii="Arial Narrow" w:hAnsi="Arial Narrow"/>
                <w:sz w:val="18"/>
                <w:szCs w:val="18"/>
              </w:rPr>
              <w:t>62,898.28</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Pr>
                <w:rFonts w:ascii="Arial Narrow" w:hAnsi="Arial Narrow"/>
                <w:b w:val="0"/>
                <w:sz w:val="18"/>
                <w:szCs w:val="18"/>
              </w:rPr>
              <w:t xml:space="preserve"> Aparatos y accesorios eléctricos</w:t>
            </w:r>
          </w:p>
        </w:tc>
        <w:tc>
          <w:tcPr>
            <w:tcW w:w="1559" w:type="dxa"/>
          </w:tcPr>
          <w:p w:rsidR="008E470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11,502.57</w:t>
            </w:r>
          </w:p>
        </w:tc>
        <w:tc>
          <w:tcPr>
            <w:tcW w:w="1701"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Pr>
                <w:rFonts w:ascii="Arial Narrow" w:hAnsi="Arial Narrow"/>
                <w:sz w:val="18"/>
                <w:szCs w:val="18"/>
              </w:rPr>
              <w:t>11,502.57</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Default="008E4707" w:rsidP="008E4707">
            <w:pPr>
              <w:pStyle w:val="Default"/>
              <w:rPr>
                <w:rFonts w:ascii="Arial Narrow" w:hAnsi="Arial Narrow"/>
                <w:b w:val="0"/>
                <w:sz w:val="18"/>
                <w:szCs w:val="18"/>
              </w:rPr>
            </w:pPr>
            <w:r>
              <w:rPr>
                <w:rFonts w:ascii="Arial Narrow" w:hAnsi="Arial Narrow"/>
                <w:b w:val="0"/>
                <w:sz w:val="18"/>
                <w:szCs w:val="18"/>
              </w:rPr>
              <w:t>Otros mobiliariios y equipos de administración</w:t>
            </w:r>
          </w:p>
        </w:tc>
        <w:tc>
          <w:tcPr>
            <w:tcW w:w="1559" w:type="dxa"/>
          </w:tcPr>
          <w:p w:rsidR="008E470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45,134.39</w:t>
            </w:r>
          </w:p>
        </w:tc>
        <w:tc>
          <w:tcPr>
            <w:tcW w:w="1701" w:type="dxa"/>
          </w:tcPr>
          <w:p w:rsidR="008E470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45,134.39</w:t>
            </w:r>
          </w:p>
        </w:tc>
        <w:tc>
          <w:tcPr>
            <w:tcW w:w="1559" w:type="dxa"/>
          </w:tcPr>
          <w:p w:rsidR="008E4707" w:rsidRPr="00F2639F"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Default="008E4707" w:rsidP="008E4707">
            <w:pPr>
              <w:pStyle w:val="Default"/>
              <w:rPr>
                <w:rFonts w:ascii="Arial Narrow" w:hAnsi="Arial Narrow"/>
                <w:b w:val="0"/>
                <w:sz w:val="18"/>
                <w:szCs w:val="18"/>
              </w:rPr>
            </w:pPr>
            <w:r>
              <w:rPr>
                <w:rFonts w:ascii="Arial Narrow" w:hAnsi="Arial Narrow"/>
                <w:b w:val="0"/>
                <w:sz w:val="18"/>
                <w:szCs w:val="18"/>
              </w:rPr>
              <w:t>Cámaras fotográficas y de video</w:t>
            </w:r>
          </w:p>
        </w:tc>
        <w:tc>
          <w:tcPr>
            <w:tcW w:w="1559" w:type="dxa"/>
          </w:tcPr>
          <w:p w:rsidR="008E470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22,588.10</w:t>
            </w:r>
          </w:p>
        </w:tc>
        <w:tc>
          <w:tcPr>
            <w:tcW w:w="1701" w:type="dxa"/>
          </w:tcPr>
          <w:p w:rsidR="008E470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22,588.10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567,230.08      </w:t>
            </w:r>
          </w:p>
        </w:tc>
        <w:tc>
          <w:tcPr>
            <w:tcW w:w="1701"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Pr>
                <w:rFonts w:ascii="Arial Narrow" w:hAnsi="Arial Narrow"/>
                <w:sz w:val="18"/>
                <w:szCs w:val="18"/>
              </w:rPr>
              <w:t xml:space="preserve"> </w:t>
            </w:r>
            <w:r w:rsidRPr="00917741">
              <w:rPr>
                <w:rFonts w:ascii="Arial Narrow" w:hAnsi="Arial Narrow"/>
                <w:sz w:val="18"/>
                <w:szCs w:val="18"/>
              </w:rPr>
              <w:t xml:space="preserve">     51,100.76</w:t>
            </w:r>
          </w:p>
        </w:tc>
        <w:tc>
          <w:tcPr>
            <w:tcW w:w="1559" w:type="dxa"/>
          </w:tcPr>
          <w:p w:rsidR="008E4707" w:rsidRPr="00F2639F"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Pr>
                <w:rFonts w:ascii="Arial Narrow" w:hAnsi="Arial Narrow"/>
                <w:sz w:val="18"/>
                <w:szCs w:val="18"/>
              </w:rPr>
              <w:t>516,129.32</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$ 21,746,206.17</w:t>
            </w:r>
          </w:p>
        </w:tc>
        <w:tc>
          <w:tcPr>
            <w:tcW w:w="1701"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Pr>
                <w:rFonts w:ascii="Arial Narrow" w:hAnsi="Arial Narrow"/>
                <w:b/>
                <w:sz w:val="18"/>
                <w:szCs w:val="18"/>
              </w:rPr>
              <w:t>$ 6,273,055.29</w:t>
            </w:r>
          </w:p>
        </w:tc>
        <w:tc>
          <w:tcPr>
            <w:tcW w:w="1559" w:type="dxa"/>
          </w:tcPr>
          <w:p w:rsidR="008E4707" w:rsidRPr="00F2639F"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fldChar w:fldCharType="begin"/>
            </w:r>
            <w:r w:rsidRPr="00F2639F">
              <w:rPr>
                <w:rFonts w:ascii="Arial Narrow" w:hAnsi="Arial Narrow"/>
                <w:sz w:val="18"/>
                <w:szCs w:val="18"/>
              </w:rPr>
              <w:instrText xml:space="preserve"> =SUM(ABOVE) </w:instrText>
            </w:r>
            <w:r w:rsidRPr="00F2639F">
              <w:rPr>
                <w:rFonts w:ascii="Arial Narrow" w:hAnsi="Arial Narrow"/>
                <w:sz w:val="18"/>
                <w:szCs w:val="18"/>
              </w:rPr>
              <w:fldChar w:fldCharType="end"/>
            </w:r>
            <w:r w:rsidRPr="00F2639F">
              <w:rPr>
                <w:rFonts w:ascii="Arial Narrow" w:hAnsi="Arial Narrow"/>
                <w:sz w:val="18"/>
                <w:szCs w:val="18"/>
              </w:rPr>
              <w:t xml:space="preserve">$  </w:t>
            </w:r>
            <w:r>
              <w:rPr>
                <w:rFonts w:ascii="Arial Narrow" w:hAnsi="Arial Narrow"/>
                <w:sz w:val="18"/>
                <w:szCs w:val="18"/>
              </w:rPr>
              <w:t>15,473,150.88</w:t>
            </w:r>
          </w:p>
        </w:tc>
      </w:tr>
    </w:tbl>
    <w:p w:rsidR="008E4707" w:rsidRPr="00B94587" w:rsidRDefault="008E4707" w:rsidP="008E4707">
      <w:pPr>
        <w:rPr>
          <w:rFonts w:ascii="Arial Narrow" w:hAnsi="Arial Narrow"/>
        </w:rPr>
      </w:pPr>
    </w:p>
    <w:tbl>
      <w:tblPr>
        <w:tblW w:w="1080" w:type="dxa"/>
        <w:tblInd w:w="55" w:type="dxa"/>
        <w:tblCellMar>
          <w:left w:w="70" w:type="dxa"/>
          <w:right w:w="70" w:type="dxa"/>
        </w:tblCellMar>
        <w:tblLook w:val="04A0" w:firstRow="1" w:lastRow="0" w:firstColumn="1" w:lastColumn="0" w:noHBand="0" w:noVBand="1"/>
      </w:tblPr>
      <w:tblGrid>
        <w:gridCol w:w="1080"/>
      </w:tblGrid>
      <w:tr w:rsidR="008E4707" w:rsidRPr="00451204" w:rsidTr="008E4707">
        <w:trPr>
          <w:trHeight w:val="285"/>
        </w:trPr>
        <w:tc>
          <w:tcPr>
            <w:tcW w:w="1080" w:type="dxa"/>
            <w:tcBorders>
              <w:top w:val="nil"/>
              <w:left w:val="nil"/>
              <w:bottom w:val="nil"/>
              <w:right w:val="nil"/>
            </w:tcBorders>
            <w:shd w:val="clear" w:color="auto" w:fill="auto"/>
            <w:noWrap/>
            <w:vAlign w:val="bottom"/>
            <w:hideMark/>
          </w:tcPr>
          <w:p w:rsidR="008E4707" w:rsidRPr="00451204" w:rsidRDefault="008E4707" w:rsidP="008E4707">
            <w:pPr>
              <w:spacing w:after="0" w:line="240" w:lineRule="auto"/>
              <w:jc w:val="right"/>
              <w:rPr>
                <w:rFonts w:ascii="Arial Narrow" w:eastAsia="Times New Roman" w:hAnsi="Arial Narrow" w:cs="Times New Roman"/>
                <w:color w:val="000000"/>
                <w:sz w:val="20"/>
                <w:szCs w:val="20"/>
                <w:lang w:eastAsia="es-MX"/>
              </w:rPr>
            </w:pPr>
          </w:p>
        </w:tc>
      </w:tr>
    </w:tbl>
    <w:p w:rsidR="008E4707" w:rsidRPr="00B94587" w:rsidRDefault="008E4707" w:rsidP="008E4707">
      <w:pPr>
        <w:spacing w:after="0" w:line="240" w:lineRule="auto"/>
        <w:rPr>
          <w:rFonts w:ascii="Arial Narrow" w:hAnsi="Arial Narrow"/>
        </w:rPr>
      </w:pPr>
      <w:r>
        <w:rPr>
          <w:rFonts w:ascii="Arial Narrow" w:hAnsi="Arial Narrow"/>
        </w:rPr>
        <w:t>Bienes muebles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  21,746,206.17</w:t>
      </w:r>
    </w:p>
    <w:p w:rsidR="008E4707" w:rsidRDefault="008E4707" w:rsidP="008E4707">
      <w:pPr>
        <w:spacing w:after="0" w:line="240" w:lineRule="auto"/>
        <w:rPr>
          <w:rFonts w:ascii="Arial Narrow" w:hAnsi="Arial Narrow"/>
        </w:rPr>
      </w:pPr>
      <w:r>
        <w:rPr>
          <w:rFonts w:ascii="Arial Narrow" w:hAnsi="Arial Narrow"/>
        </w:rPr>
        <w:t>Otros bienes muebles                                          $            4,499.00</w:t>
      </w:r>
    </w:p>
    <w:p w:rsidR="008E4707" w:rsidRPr="00B94587" w:rsidRDefault="008E4707" w:rsidP="008E4707">
      <w:pPr>
        <w:spacing w:after="0" w:line="240" w:lineRule="auto"/>
        <w:rPr>
          <w:rFonts w:ascii="Arial Narrow" w:hAnsi="Arial Narrow"/>
          <w:u w:val="single"/>
        </w:rPr>
      </w:pPr>
      <w:r w:rsidRPr="00B94587">
        <w:rPr>
          <w:rFonts w:ascii="Arial Narrow" w:hAnsi="Arial Narrow"/>
        </w:rPr>
        <w:t xml:space="preserve">Edificios                                                                </w:t>
      </w:r>
      <w:r w:rsidRPr="00C57429">
        <w:rPr>
          <w:rFonts w:ascii="Arial Narrow" w:hAnsi="Arial Narrow"/>
        </w:rPr>
        <w:t xml:space="preserve">$   </w:t>
      </w:r>
      <w:r>
        <w:rPr>
          <w:rFonts w:ascii="Arial Narrow" w:hAnsi="Arial Narrow"/>
        </w:rPr>
        <w:t xml:space="preserve"> </w:t>
      </w:r>
      <w:r w:rsidRPr="00C57429">
        <w:rPr>
          <w:rFonts w:ascii="Arial Narrow" w:hAnsi="Arial Narrow"/>
        </w:rPr>
        <w:t xml:space="preserve"> 1,462,517.83</w:t>
      </w:r>
    </w:p>
    <w:p w:rsidR="008E4707" w:rsidRPr="00C57429" w:rsidRDefault="008E4707" w:rsidP="008E4707">
      <w:pPr>
        <w:spacing w:after="0" w:line="240" w:lineRule="auto"/>
        <w:rPr>
          <w:rFonts w:ascii="Arial Narrow" w:hAnsi="Arial Narrow"/>
        </w:rPr>
      </w:pPr>
      <w:r w:rsidRPr="00C57429">
        <w:rPr>
          <w:rFonts w:ascii="Arial Narrow" w:hAnsi="Arial Narrow"/>
        </w:rPr>
        <w:t>Licencias de software</w:t>
      </w:r>
      <w:r>
        <w:rPr>
          <w:rFonts w:ascii="Arial Narrow" w:hAnsi="Arial Narrow"/>
        </w:rPr>
        <w:tab/>
      </w:r>
      <w:r>
        <w:rPr>
          <w:rFonts w:ascii="Arial Narrow" w:hAnsi="Arial Narrow"/>
        </w:rPr>
        <w:tab/>
      </w:r>
      <w:r>
        <w:rPr>
          <w:rFonts w:ascii="Arial Narrow" w:hAnsi="Arial Narrow"/>
        </w:rPr>
        <w:tab/>
        <w:t xml:space="preserve">       </w:t>
      </w:r>
      <w:r w:rsidRPr="000B146C">
        <w:rPr>
          <w:rFonts w:ascii="Arial Narrow" w:hAnsi="Arial Narrow"/>
          <w:u w:val="single"/>
        </w:rPr>
        <w:t>$</w:t>
      </w:r>
      <w:r>
        <w:rPr>
          <w:rFonts w:ascii="Arial Narrow" w:hAnsi="Arial Narrow"/>
          <w:u w:val="single"/>
        </w:rPr>
        <w:t xml:space="preserve">   </w:t>
      </w:r>
      <w:r w:rsidRPr="000B146C">
        <w:rPr>
          <w:rFonts w:ascii="Arial Narrow" w:hAnsi="Arial Narrow"/>
          <w:u w:val="single"/>
        </w:rPr>
        <w:t xml:space="preserve">  </w:t>
      </w:r>
      <w:r>
        <w:rPr>
          <w:rFonts w:ascii="Arial Narrow" w:hAnsi="Arial Narrow"/>
          <w:u w:val="single"/>
        </w:rPr>
        <w:t>1,128,290</w:t>
      </w:r>
      <w:r w:rsidRPr="000B146C">
        <w:rPr>
          <w:rFonts w:ascii="Arial Narrow" w:hAnsi="Arial Narrow"/>
          <w:u w:val="single"/>
        </w:rPr>
        <w:t>.24</w:t>
      </w:r>
    </w:p>
    <w:p w:rsidR="008E4707" w:rsidRPr="00B94587" w:rsidRDefault="008E4707" w:rsidP="008E4707">
      <w:pPr>
        <w:spacing w:after="0" w:line="240" w:lineRule="auto"/>
        <w:rPr>
          <w:rFonts w:ascii="Arial Narrow" w:hAnsi="Arial Narrow"/>
          <w:b/>
        </w:rPr>
      </w:pPr>
      <w:r w:rsidRPr="00B94587">
        <w:rPr>
          <w:rFonts w:ascii="Arial Narrow" w:hAnsi="Arial Narrow"/>
          <w:b/>
        </w:rPr>
        <w:t>Tot</w:t>
      </w:r>
      <w:r>
        <w:rPr>
          <w:rFonts w:ascii="Arial Narrow" w:hAnsi="Arial Narrow"/>
          <w:b/>
        </w:rPr>
        <w:t>al activo no circulante</w:t>
      </w:r>
      <w:r>
        <w:rPr>
          <w:rFonts w:ascii="Arial Narrow" w:hAnsi="Arial Narrow"/>
          <w:b/>
        </w:rPr>
        <w:tab/>
      </w:r>
      <w:r>
        <w:rPr>
          <w:rFonts w:ascii="Arial Narrow" w:hAnsi="Arial Narrow"/>
          <w:b/>
        </w:rPr>
        <w:tab/>
        <w:t xml:space="preserve">      </w:t>
      </w:r>
      <w:r w:rsidRPr="00B94587">
        <w:rPr>
          <w:rFonts w:ascii="Arial Narrow" w:hAnsi="Arial Narrow"/>
          <w:b/>
        </w:rPr>
        <w:t xml:space="preserve"> $ </w:t>
      </w:r>
      <w:r>
        <w:rPr>
          <w:rFonts w:ascii="Arial Narrow" w:hAnsi="Arial Narrow"/>
          <w:b/>
        </w:rPr>
        <w:t xml:space="preserve">  24,341,513.24</w:t>
      </w:r>
    </w:p>
    <w:p w:rsidR="008E4707" w:rsidRPr="00B94587" w:rsidRDefault="008E4707" w:rsidP="008E4707">
      <w:pPr>
        <w:spacing w:after="0" w:line="240" w:lineRule="auto"/>
        <w:rPr>
          <w:rFonts w:ascii="Arial Narrow" w:hAnsi="Arial Narrow"/>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Default="008E4707" w:rsidP="008E4707">
      <w:pPr>
        <w:jc w:val="both"/>
        <w:rPr>
          <w:rFonts w:ascii="Arial Narrow" w:hAnsi="Arial Narrow"/>
        </w:rPr>
      </w:pPr>
    </w:p>
    <w:p w:rsidR="008E4707" w:rsidRDefault="008E4707" w:rsidP="008E4707">
      <w:pPr>
        <w:jc w:val="both"/>
        <w:rPr>
          <w:rFonts w:ascii="Arial Narrow" w:hAnsi="Arial Narrow"/>
        </w:rPr>
      </w:pP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lastRenderedPageBreak/>
        <w:t>9. Fideicomisos, Mandatos y Análogos.</w:t>
      </w:r>
    </w:p>
    <w:p w:rsidR="00DF671C" w:rsidRPr="00701F5D" w:rsidRDefault="00DF671C" w:rsidP="008E4707">
      <w:pPr>
        <w:rPr>
          <w:rFonts w:ascii="Arial Narrow" w:hAnsi="Arial Narrow"/>
          <w:b/>
          <w:u w:val="single"/>
        </w:rPr>
      </w:pPr>
      <w:r>
        <w:rPr>
          <w:rFonts w:ascii="Arial Narrow" w:hAnsi="Arial Narrow"/>
          <w:b/>
          <w:u w:val="single"/>
        </w:rPr>
        <w:t>No a plica</w:t>
      </w: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portamiento de recaudación del E</w:t>
      </w:r>
      <w:r w:rsidRPr="00B94587">
        <w:rPr>
          <w:rFonts w:ascii="Arial Narrow" w:hAnsi="Arial Narrow"/>
        </w:rPr>
        <w:t>nte en comento está supeditado por las participacio</w:t>
      </w:r>
      <w:r>
        <w:rPr>
          <w:rFonts w:ascii="Arial Narrow" w:hAnsi="Arial Narrow"/>
        </w:rPr>
        <w:t>nes estatales provenientes del Gobierno del Estado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 y por otros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plazo.</w:t>
      </w:r>
    </w:p>
    <w:p w:rsidR="008E4707" w:rsidRPr="00B94587" w:rsidRDefault="008E4707" w:rsidP="008E4707">
      <w:pPr>
        <w:jc w:val="both"/>
        <w:rPr>
          <w:rFonts w:ascii="Arial Narrow" w:hAnsi="Arial Narrow"/>
        </w:rPr>
      </w:pPr>
      <w:r>
        <w:rPr>
          <w:rFonts w:ascii="Arial Narrow" w:hAnsi="Arial Narrow"/>
        </w:rPr>
        <w:t>El ente cuenta con una dependencia presupuestalmente de l</w:t>
      </w:r>
      <w:r w:rsidRPr="00B94587">
        <w:rPr>
          <w:rFonts w:ascii="Arial Narrow" w:hAnsi="Arial Narrow"/>
        </w:rPr>
        <w:t xml:space="preserve">a Secretaria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Gobierno </w:t>
      </w:r>
      <w:r w:rsidRPr="00B94587">
        <w:rPr>
          <w:rFonts w:ascii="Arial Narrow" w:hAnsi="Arial Narrow"/>
        </w:rPr>
        <w:t xml:space="preserve"> Estado de Tlaxcala</w:t>
      </w:r>
      <w:r>
        <w:rPr>
          <w:rFonts w:ascii="Arial Narrow" w:hAnsi="Arial Narrow"/>
        </w:rPr>
        <w:t xml:space="preserve"> en un 97%</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Pr>
          <w:rFonts w:ascii="Arial Narrow" w:hAnsi="Arial Narrow"/>
        </w:rPr>
        <w:t xml:space="preserve"> que esta Secretaria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y</w:t>
      </w:r>
      <w:r>
        <w:rPr>
          <w:rFonts w:ascii="Arial Narrow" w:hAnsi="Arial Narrow"/>
        </w:rPr>
        <w:t xml:space="preserve"> </w:t>
      </w:r>
      <w:r w:rsidRPr="00B94587">
        <w:rPr>
          <w:rFonts w:ascii="Arial Narrow" w:hAnsi="Arial Narrow"/>
        </w:rPr>
        <w:t xml:space="preserve"> aprobado por el Congreso del Estado.   </w:t>
      </w: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a) Deuda re</w:t>
      </w:r>
      <w:bookmarkStart w:id="4" w:name="_GoBack"/>
      <w:bookmarkEnd w:id="4"/>
      <w:r w:rsidRPr="00B94587">
        <w:rPr>
          <w:rFonts w:ascii="Arial Narrow" w:hAnsi="Arial Narrow"/>
        </w:rPr>
        <w:t xml:space="preserve">specto al PIB. </w:t>
      </w:r>
    </w:p>
    <w:p w:rsidR="008E4707" w:rsidRPr="00B94587" w:rsidRDefault="008E4707" w:rsidP="008E4707">
      <w:pPr>
        <w:jc w:val="both"/>
        <w:rPr>
          <w:rFonts w:ascii="Arial Narrow" w:hAnsi="Arial Narrow"/>
        </w:rPr>
      </w:pPr>
      <w:r w:rsidRPr="00B94587">
        <w:rPr>
          <w:rFonts w:ascii="Arial Narrow" w:hAnsi="Arial Narrow"/>
        </w:rPr>
        <w:t>Al cierre del balance, el ente público tiene un adeudo con el Fondo Auxiliar para la Impartición de Justic</w:t>
      </w:r>
      <w:r>
        <w:rPr>
          <w:rFonts w:ascii="Arial Narrow" w:hAnsi="Arial Narrow"/>
        </w:rPr>
        <w:t>ia organismo interno del mismo Ente,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 xml:space="preserve">o plazo de $10, 084,758.13 sin vencimiento y $509,608.00 a 92 </w:t>
      </w:r>
      <w:r w:rsidRPr="00B94587">
        <w:rPr>
          <w:rFonts w:ascii="Arial Narrow" w:hAnsi="Arial Narrow"/>
        </w:rPr>
        <w:t xml:space="preserve">días.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ante el ejercicio fiscal de 2016</w:t>
      </w:r>
      <w:r w:rsidRPr="00B94587">
        <w:rPr>
          <w:rFonts w:ascii="Arial Narrow" w:hAnsi="Arial Narrow"/>
        </w:rPr>
        <w:t>. No se realizaron inversiones en valores e instrumentos financieros.</w:t>
      </w: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Default="008E4707" w:rsidP="008E4707">
      <w:pPr>
        <w:jc w:val="both"/>
        <w:rPr>
          <w:rFonts w:ascii="Arial Narrow" w:hAnsi="Arial Narrow"/>
        </w:rPr>
      </w:pPr>
      <w:r>
        <w:rPr>
          <w:rFonts w:ascii="Arial Narrow" w:hAnsi="Arial Narrow"/>
        </w:rPr>
        <w:t>El Instituto</w:t>
      </w:r>
      <w:r w:rsidRPr="00A2551D">
        <w:rPr>
          <w:rFonts w:ascii="Arial Narrow" w:hAnsi="Arial Narrow"/>
        </w:rPr>
        <w:t xml:space="preserve"> de Acceso a la Información Pública y Prevención de datos personales </w:t>
      </w:r>
      <w:r>
        <w:rPr>
          <w:rFonts w:ascii="Arial Narrow" w:hAnsi="Arial Narrow"/>
        </w:rPr>
        <w:t>del Estado de Tlaxcala (IAIPTLAX), p</w:t>
      </w:r>
      <w:r w:rsidRPr="00A2551D">
        <w:rPr>
          <w:rFonts w:ascii="Arial Narrow" w:hAnsi="Arial Narrow"/>
        </w:rPr>
        <w:t>úblico los resultados en su página oficial de las evaluacione</w:t>
      </w:r>
      <w:r>
        <w:rPr>
          <w:rFonts w:ascii="Arial Narrow" w:hAnsi="Arial Narrow"/>
        </w:rPr>
        <w:t>s a los 142 entes públicos del E</w:t>
      </w:r>
      <w:r w:rsidRPr="00A2551D">
        <w:rPr>
          <w:rFonts w:ascii="Arial Narrow" w:hAnsi="Arial Narrow"/>
        </w:rPr>
        <w:t>stado de Tlaxcala, conforme a los artículos 8,9,10,11, 12 y 13 de la Ley de Acceso a la Información Pública del E</w:t>
      </w:r>
      <w:r>
        <w:rPr>
          <w:rFonts w:ascii="Arial Narrow" w:hAnsi="Arial Narrow"/>
        </w:rPr>
        <w:t>stado de Tlaxcala (LAIPET) y el articulo 47 fracciones XI Y XV y en cumplimiento del acuerdo CG/ORD/03-28-10-16 tomado en la 47° Sesión Ordinaria del Consejo General  de Acceso a la Información Pública. Obteniendo lo siguiente:</w:t>
      </w:r>
    </w:p>
    <w:p w:rsidR="008E4707" w:rsidRPr="00A2551D" w:rsidRDefault="008E4707" w:rsidP="008E4707">
      <w:pPr>
        <w:jc w:val="both"/>
        <w:rPr>
          <w:rFonts w:ascii="Arial Narrow" w:hAnsi="Arial Narrow"/>
        </w:rPr>
      </w:pPr>
      <w:r>
        <w:rPr>
          <w:rFonts w:ascii="Arial Narrow" w:hAnsi="Arial Narrow"/>
        </w:rPr>
        <w:t>El resultado de la evaluación anual de 2016 que elaboro esta dependencia es del 100%  en el índice General de Cumplimiento del Poder Judicial.</w:t>
      </w:r>
    </w:p>
    <w:p w:rsidR="008E4707" w:rsidRPr="000B32EB" w:rsidRDefault="008E4707" w:rsidP="008E4707">
      <w:pPr>
        <w:rPr>
          <w:rFonts w:ascii="Arial Narrow" w:hAnsi="Arial Narrow"/>
          <w:b/>
          <w:u w:val="single"/>
        </w:rPr>
      </w:pPr>
      <w:r w:rsidRPr="000B32EB">
        <w:rPr>
          <w:rFonts w:ascii="Arial Narrow" w:hAnsi="Arial Narrow"/>
          <w:b/>
          <w:u w:val="single"/>
        </w:rPr>
        <w:lastRenderedPageBreak/>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Se cuenta con manuales de procedimientos, lineamientos de racionalidad, austeridad y disciplina presupuestal interno, Lineamientos de adquisiciones, arrendamientos, servicio y obra pública del Consejo de la Judicatura del Poder Judicial del Estado de Tlaxcala</w:t>
      </w:r>
      <w:r>
        <w:rPr>
          <w:rFonts w:ascii="Arial Narrow" w:hAnsi="Arial Narrow"/>
        </w:rPr>
        <w:t>, Lineamientos para el pago de s</w:t>
      </w:r>
      <w:r w:rsidRPr="00B94587">
        <w:rPr>
          <w:rFonts w:ascii="Arial Narrow" w:hAnsi="Arial Narrow"/>
        </w:rPr>
        <w:t xml:space="preserve">ervicios </w:t>
      </w:r>
      <w:r>
        <w:rPr>
          <w:rFonts w:ascii="Arial Narrow" w:hAnsi="Arial Narrow"/>
        </w:rPr>
        <w:t>médicos del mismo Ente, a</w:t>
      </w:r>
      <w:r w:rsidRPr="00B94587">
        <w:rPr>
          <w:rFonts w:ascii="Arial Narrow" w:hAnsi="Arial Narrow"/>
        </w:rPr>
        <w:t>sí como la normatividad vigente para los registros contables emitidos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Pr="00B94587" w:rsidRDefault="008E4707" w:rsidP="008E4707">
      <w:pPr>
        <w:rPr>
          <w:rFonts w:ascii="Arial Narrow" w:hAnsi="Arial Narrow"/>
        </w:rPr>
      </w:pPr>
      <w:r w:rsidRPr="00B94587">
        <w:rPr>
          <w:rFonts w:ascii="Arial Narrow" w:hAnsi="Arial Narrow"/>
        </w:rPr>
        <w:t>Se llevan a cabo un estudio de actividades por área administrativa a fin de evaluar el desempeño de acuerdo a lo Programado y Presup</w:t>
      </w:r>
      <w:r w:rsidR="00DF671C">
        <w:rPr>
          <w:rFonts w:ascii="Arial Narrow" w:hAnsi="Arial Narrow"/>
        </w:rPr>
        <w:t>uestado (PbR) del ejercicio 2017</w:t>
      </w:r>
      <w:r w:rsidRPr="00B94587">
        <w:rPr>
          <w:rFonts w:ascii="Arial Narrow" w:hAnsi="Arial Narrow"/>
        </w:rPr>
        <w:t>.</w:t>
      </w: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 la Presidenta</w:t>
      </w:r>
      <w:r w:rsidRPr="00B94587">
        <w:rPr>
          <w:rFonts w:ascii="Arial Narrow" w:hAnsi="Arial Narrow"/>
        </w:rPr>
        <w:t xml:space="preserve"> del poder Judicial (máxima autoridad en la toma de decisiones de operación</w:t>
      </w:r>
      <w:r>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 xml:space="preserve">Los desembolsos posteriores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8E4707" w:rsidRPr="000B32EB" w:rsidRDefault="008E4707" w:rsidP="008E4707">
      <w:pPr>
        <w:rPr>
          <w:rFonts w:ascii="Arial Narrow" w:hAnsi="Arial Narrow"/>
          <w:b/>
          <w:u w:val="single"/>
        </w:rPr>
      </w:pPr>
      <w:r w:rsidRPr="000B32EB">
        <w:rPr>
          <w:rFonts w:ascii="Arial Narrow" w:hAnsi="Arial Narrow"/>
          <w:b/>
          <w:u w:val="single"/>
        </w:rPr>
        <w:t>16. Partes Relacionadas.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8E4707" w:rsidRDefault="008E4707" w:rsidP="008E4707">
      <w:pPr>
        <w:rPr>
          <w:rFonts w:ascii="Arial Narrow" w:hAnsi="Arial Narrow"/>
          <w:b/>
          <w:u w:val="single"/>
        </w:rPr>
      </w:pPr>
      <w:r w:rsidRPr="000B32EB">
        <w:rPr>
          <w:rFonts w:ascii="Arial Narrow" w:hAnsi="Arial Narrow"/>
          <w:b/>
          <w:u w:val="single"/>
        </w:rPr>
        <w:t>17. Responsabilidad sobre la presentación Razonable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F06364" w:rsidRPr="00D775E3" w:rsidRDefault="00F06364"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Gs40AV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F06364" w:rsidRPr="00D775E3" w:rsidRDefault="00F06364"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nFnYY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F06364" w:rsidRPr="00D775E3" w:rsidRDefault="00F06364"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64" w:rsidRDefault="00F06364" w:rsidP="00EA5418">
      <w:pPr>
        <w:spacing w:after="0" w:line="240" w:lineRule="auto"/>
      </w:pPr>
      <w:r>
        <w:separator/>
      </w:r>
    </w:p>
  </w:endnote>
  <w:endnote w:type="continuationSeparator" w:id="0">
    <w:p w:rsidR="00F06364" w:rsidRDefault="00F0636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64" w:rsidRPr="0013011C" w:rsidRDefault="00F0636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CA61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671C" w:rsidRPr="00DF671C">
          <w:rPr>
            <w:rFonts w:ascii="Soberana Sans Light" w:hAnsi="Soberana Sans Light"/>
            <w:noProof/>
            <w:lang w:val="es-ES"/>
          </w:rPr>
          <w:t>24</w:t>
        </w:r>
        <w:r w:rsidRPr="0013011C">
          <w:rPr>
            <w:rFonts w:ascii="Soberana Sans Light" w:hAnsi="Soberana Sans Light"/>
          </w:rPr>
          <w:fldChar w:fldCharType="end"/>
        </w:r>
      </w:sdtContent>
    </w:sdt>
  </w:p>
  <w:p w:rsidR="00F06364" w:rsidRDefault="00F063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64" w:rsidRPr="008E3652" w:rsidRDefault="00F0636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DCC9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671C" w:rsidRPr="00DF671C">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64" w:rsidRDefault="00F06364" w:rsidP="00EA5418">
      <w:pPr>
        <w:spacing w:after="0" w:line="240" w:lineRule="auto"/>
      </w:pPr>
      <w:r>
        <w:separator/>
      </w:r>
    </w:p>
  </w:footnote>
  <w:footnote w:type="continuationSeparator" w:id="0">
    <w:p w:rsidR="00F06364" w:rsidRDefault="00F0636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64" w:rsidRDefault="00F06364"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540BF"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F06364" w:rsidRDefault="00F063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64" w:rsidRDefault="00F0636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DBFF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F06364" w:rsidRDefault="00F06364" w:rsidP="001B610A">
    <w:pPr>
      <w:pStyle w:val="Encabezado"/>
      <w:rPr>
        <w:rFonts w:ascii="Soberana Sans Light" w:hAnsi="Soberana Sans Light"/>
      </w:rPr>
    </w:pPr>
  </w:p>
  <w:p w:rsidR="00F06364" w:rsidRPr="0013011C" w:rsidRDefault="00F06364"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10"/>
  </w:num>
  <w:num w:numId="5">
    <w:abstractNumId w:val="7"/>
  </w:num>
  <w:num w:numId="6">
    <w:abstractNumId w:val="18"/>
  </w:num>
  <w:num w:numId="7">
    <w:abstractNumId w:val="12"/>
  </w:num>
  <w:num w:numId="8">
    <w:abstractNumId w:val="13"/>
  </w:num>
  <w:num w:numId="9">
    <w:abstractNumId w:val="6"/>
  </w:num>
  <w:num w:numId="10">
    <w:abstractNumId w:val="21"/>
  </w:num>
  <w:num w:numId="11">
    <w:abstractNumId w:val="16"/>
  </w:num>
  <w:num w:numId="12">
    <w:abstractNumId w:val="19"/>
  </w:num>
  <w:num w:numId="13">
    <w:abstractNumId w:val="2"/>
  </w:num>
  <w:num w:numId="14">
    <w:abstractNumId w:val="4"/>
  </w:num>
  <w:num w:numId="15">
    <w:abstractNumId w:val="22"/>
  </w:num>
  <w:num w:numId="16">
    <w:abstractNumId w:val="5"/>
  </w:num>
  <w:num w:numId="17">
    <w:abstractNumId w:val="9"/>
  </w:num>
  <w:num w:numId="18">
    <w:abstractNumId w:val="15"/>
  </w:num>
  <w:num w:numId="19">
    <w:abstractNumId w:val="8"/>
  </w:num>
  <w:num w:numId="20">
    <w:abstractNumId w:val="20"/>
  </w:num>
  <w:num w:numId="21">
    <w:abstractNumId w:val="17"/>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0AB"/>
    <w:rsid w:val="00000631"/>
    <w:rsid w:val="00001107"/>
    <w:rsid w:val="000125E3"/>
    <w:rsid w:val="00040466"/>
    <w:rsid w:val="00045159"/>
    <w:rsid w:val="00045A10"/>
    <w:rsid w:val="00046DF2"/>
    <w:rsid w:val="0007084B"/>
    <w:rsid w:val="000720B8"/>
    <w:rsid w:val="000729C6"/>
    <w:rsid w:val="000965FB"/>
    <w:rsid w:val="000974D0"/>
    <w:rsid w:val="000A48EB"/>
    <w:rsid w:val="000B146C"/>
    <w:rsid w:val="000B21CF"/>
    <w:rsid w:val="000B32EB"/>
    <w:rsid w:val="000B3F93"/>
    <w:rsid w:val="000C0AB9"/>
    <w:rsid w:val="000C503F"/>
    <w:rsid w:val="000C69CE"/>
    <w:rsid w:val="000C7E46"/>
    <w:rsid w:val="000D54A0"/>
    <w:rsid w:val="000E3DE4"/>
    <w:rsid w:val="000E4AE0"/>
    <w:rsid w:val="000E723D"/>
    <w:rsid w:val="000F1388"/>
    <w:rsid w:val="000F348C"/>
    <w:rsid w:val="000F6AF8"/>
    <w:rsid w:val="000F7670"/>
    <w:rsid w:val="0010133A"/>
    <w:rsid w:val="00104C81"/>
    <w:rsid w:val="00112796"/>
    <w:rsid w:val="0012707A"/>
    <w:rsid w:val="0013011C"/>
    <w:rsid w:val="00132314"/>
    <w:rsid w:val="00136556"/>
    <w:rsid w:val="00145AAB"/>
    <w:rsid w:val="00147417"/>
    <w:rsid w:val="00147AFC"/>
    <w:rsid w:val="001512A6"/>
    <w:rsid w:val="00165BB4"/>
    <w:rsid w:val="00166C6F"/>
    <w:rsid w:val="00172790"/>
    <w:rsid w:val="001800E2"/>
    <w:rsid w:val="00195C51"/>
    <w:rsid w:val="001A7B0A"/>
    <w:rsid w:val="001B1B72"/>
    <w:rsid w:val="001B2167"/>
    <w:rsid w:val="001B610A"/>
    <w:rsid w:val="001B7A1F"/>
    <w:rsid w:val="001C2759"/>
    <w:rsid w:val="001C48AC"/>
    <w:rsid w:val="001C6FD8"/>
    <w:rsid w:val="001D50F7"/>
    <w:rsid w:val="001E38DD"/>
    <w:rsid w:val="001E7072"/>
    <w:rsid w:val="001F5A4E"/>
    <w:rsid w:val="001F6FA1"/>
    <w:rsid w:val="00203BA1"/>
    <w:rsid w:val="00204C86"/>
    <w:rsid w:val="00205547"/>
    <w:rsid w:val="00206BF9"/>
    <w:rsid w:val="00207D1D"/>
    <w:rsid w:val="00243AD2"/>
    <w:rsid w:val="00247742"/>
    <w:rsid w:val="00251B24"/>
    <w:rsid w:val="00252D6D"/>
    <w:rsid w:val="00264426"/>
    <w:rsid w:val="00270A4D"/>
    <w:rsid w:val="00276850"/>
    <w:rsid w:val="002809E7"/>
    <w:rsid w:val="002837BF"/>
    <w:rsid w:val="002843B4"/>
    <w:rsid w:val="00286DD2"/>
    <w:rsid w:val="00287B92"/>
    <w:rsid w:val="00294BA1"/>
    <w:rsid w:val="002A46FD"/>
    <w:rsid w:val="002A70B3"/>
    <w:rsid w:val="002A77C8"/>
    <w:rsid w:val="002C116F"/>
    <w:rsid w:val="002D26F1"/>
    <w:rsid w:val="002D47A8"/>
    <w:rsid w:val="002E2134"/>
    <w:rsid w:val="002E2E50"/>
    <w:rsid w:val="002F42CC"/>
    <w:rsid w:val="00304644"/>
    <w:rsid w:val="003072D8"/>
    <w:rsid w:val="00310A35"/>
    <w:rsid w:val="00320C01"/>
    <w:rsid w:val="00325D13"/>
    <w:rsid w:val="0034417F"/>
    <w:rsid w:val="003477BE"/>
    <w:rsid w:val="00364422"/>
    <w:rsid w:val="00370B12"/>
    <w:rsid w:val="00372193"/>
    <w:rsid w:val="00372F40"/>
    <w:rsid w:val="00396C2B"/>
    <w:rsid w:val="003A0303"/>
    <w:rsid w:val="003C3082"/>
    <w:rsid w:val="003C418C"/>
    <w:rsid w:val="003C4222"/>
    <w:rsid w:val="003C73B5"/>
    <w:rsid w:val="003D3224"/>
    <w:rsid w:val="003D5DBF"/>
    <w:rsid w:val="003E21AD"/>
    <w:rsid w:val="003E2351"/>
    <w:rsid w:val="003E2C61"/>
    <w:rsid w:val="003E61F6"/>
    <w:rsid w:val="003E6BE7"/>
    <w:rsid w:val="003E7FD0"/>
    <w:rsid w:val="003F0EA4"/>
    <w:rsid w:val="00401EDE"/>
    <w:rsid w:val="00406659"/>
    <w:rsid w:val="0040690D"/>
    <w:rsid w:val="00412470"/>
    <w:rsid w:val="004208AB"/>
    <w:rsid w:val="004311BE"/>
    <w:rsid w:val="0044253C"/>
    <w:rsid w:val="00444E6C"/>
    <w:rsid w:val="004464B1"/>
    <w:rsid w:val="00446B28"/>
    <w:rsid w:val="00454C7E"/>
    <w:rsid w:val="004615D7"/>
    <w:rsid w:val="00462C79"/>
    <w:rsid w:val="004662C2"/>
    <w:rsid w:val="004714CF"/>
    <w:rsid w:val="00477421"/>
    <w:rsid w:val="00480F7A"/>
    <w:rsid w:val="00484C0D"/>
    <w:rsid w:val="0049230F"/>
    <w:rsid w:val="00497D8B"/>
    <w:rsid w:val="004A6522"/>
    <w:rsid w:val="004B2513"/>
    <w:rsid w:val="004B285C"/>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E1D"/>
    <w:rsid w:val="00533EDA"/>
    <w:rsid w:val="00535B0A"/>
    <w:rsid w:val="00536CF7"/>
    <w:rsid w:val="00540418"/>
    <w:rsid w:val="00540A29"/>
    <w:rsid w:val="005426C4"/>
    <w:rsid w:val="00543222"/>
    <w:rsid w:val="00546F27"/>
    <w:rsid w:val="005548C1"/>
    <w:rsid w:val="005575DF"/>
    <w:rsid w:val="00561B68"/>
    <w:rsid w:val="00561B77"/>
    <w:rsid w:val="00562BF2"/>
    <w:rsid w:val="00563359"/>
    <w:rsid w:val="00563B25"/>
    <w:rsid w:val="005729CC"/>
    <w:rsid w:val="00574266"/>
    <w:rsid w:val="005805E2"/>
    <w:rsid w:val="0058194C"/>
    <w:rsid w:val="00581DDD"/>
    <w:rsid w:val="00590FCD"/>
    <w:rsid w:val="00595D0F"/>
    <w:rsid w:val="005A7085"/>
    <w:rsid w:val="005B2F04"/>
    <w:rsid w:val="005C3CF0"/>
    <w:rsid w:val="005D0287"/>
    <w:rsid w:val="005D3D25"/>
    <w:rsid w:val="005D5F4B"/>
    <w:rsid w:val="005F08D7"/>
    <w:rsid w:val="005F524C"/>
    <w:rsid w:val="00613BBE"/>
    <w:rsid w:val="00620DEF"/>
    <w:rsid w:val="006234BA"/>
    <w:rsid w:val="0062557C"/>
    <w:rsid w:val="00643CB5"/>
    <w:rsid w:val="00650405"/>
    <w:rsid w:val="006545D8"/>
    <w:rsid w:val="00655DBB"/>
    <w:rsid w:val="00681A0A"/>
    <w:rsid w:val="00684994"/>
    <w:rsid w:val="006A34EC"/>
    <w:rsid w:val="006B0801"/>
    <w:rsid w:val="006B1FE7"/>
    <w:rsid w:val="006B5BD5"/>
    <w:rsid w:val="006C06BB"/>
    <w:rsid w:val="006C7B60"/>
    <w:rsid w:val="006E77DD"/>
    <w:rsid w:val="006F102E"/>
    <w:rsid w:val="006F1077"/>
    <w:rsid w:val="006F4A6F"/>
    <w:rsid w:val="006F5099"/>
    <w:rsid w:val="006F54E5"/>
    <w:rsid w:val="00701F5D"/>
    <w:rsid w:val="00712010"/>
    <w:rsid w:val="00717F82"/>
    <w:rsid w:val="00721547"/>
    <w:rsid w:val="007246AF"/>
    <w:rsid w:val="0073369C"/>
    <w:rsid w:val="00735748"/>
    <w:rsid w:val="00736CAD"/>
    <w:rsid w:val="00742590"/>
    <w:rsid w:val="0074759F"/>
    <w:rsid w:val="0075320C"/>
    <w:rsid w:val="00755FB7"/>
    <w:rsid w:val="00760F7B"/>
    <w:rsid w:val="00766344"/>
    <w:rsid w:val="00780059"/>
    <w:rsid w:val="0078200B"/>
    <w:rsid w:val="0079582C"/>
    <w:rsid w:val="007A70CF"/>
    <w:rsid w:val="007B2AC1"/>
    <w:rsid w:val="007C22F0"/>
    <w:rsid w:val="007C506E"/>
    <w:rsid w:val="007D10C3"/>
    <w:rsid w:val="007D6E9A"/>
    <w:rsid w:val="007E58E9"/>
    <w:rsid w:val="007E7962"/>
    <w:rsid w:val="007F3220"/>
    <w:rsid w:val="007F6B48"/>
    <w:rsid w:val="00800613"/>
    <w:rsid w:val="00811DAC"/>
    <w:rsid w:val="00813852"/>
    <w:rsid w:val="00823137"/>
    <w:rsid w:val="0082655E"/>
    <w:rsid w:val="008324A3"/>
    <w:rsid w:val="008355C1"/>
    <w:rsid w:val="00835F30"/>
    <w:rsid w:val="00837B9B"/>
    <w:rsid w:val="008401CC"/>
    <w:rsid w:val="008510E9"/>
    <w:rsid w:val="00856185"/>
    <w:rsid w:val="00856B1C"/>
    <w:rsid w:val="00862A98"/>
    <w:rsid w:val="008651F4"/>
    <w:rsid w:val="00887A2D"/>
    <w:rsid w:val="0089054E"/>
    <w:rsid w:val="00892C99"/>
    <w:rsid w:val="008A400B"/>
    <w:rsid w:val="008A6E4D"/>
    <w:rsid w:val="008A793D"/>
    <w:rsid w:val="008B0017"/>
    <w:rsid w:val="008B726B"/>
    <w:rsid w:val="008C2915"/>
    <w:rsid w:val="008C3ED9"/>
    <w:rsid w:val="008C6308"/>
    <w:rsid w:val="008D038C"/>
    <w:rsid w:val="008D400F"/>
    <w:rsid w:val="008E31F0"/>
    <w:rsid w:val="008E3652"/>
    <w:rsid w:val="008E4707"/>
    <w:rsid w:val="008F3472"/>
    <w:rsid w:val="008F6D58"/>
    <w:rsid w:val="009025D2"/>
    <w:rsid w:val="00910B4E"/>
    <w:rsid w:val="009133B3"/>
    <w:rsid w:val="00930D19"/>
    <w:rsid w:val="0093492C"/>
    <w:rsid w:val="009462BF"/>
    <w:rsid w:val="009514EC"/>
    <w:rsid w:val="009561AC"/>
    <w:rsid w:val="00957043"/>
    <w:rsid w:val="00957EE7"/>
    <w:rsid w:val="00963987"/>
    <w:rsid w:val="0097169A"/>
    <w:rsid w:val="00977EC2"/>
    <w:rsid w:val="00990EEB"/>
    <w:rsid w:val="00997660"/>
    <w:rsid w:val="00997BE4"/>
    <w:rsid w:val="009A0556"/>
    <w:rsid w:val="009A61FB"/>
    <w:rsid w:val="009A6AB1"/>
    <w:rsid w:val="009B7EED"/>
    <w:rsid w:val="009C2965"/>
    <w:rsid w:val="009C7B7B"/>
    <w:rsid w:val="009D5D4C"/>
    <w:rsid w:val="009D6524"/>
    <w:rsid w:val="009E15A2"/>
    <w:rsid w:val="009E35EB"/>
    <w:rsid w:val="009E787D"/>
    <w:rsid w:val="009F23C4"/>
    <w:rsid w:val="009F2623"/>
    <w:rsid w:val="009F5A90"/>
    <w:rsid w:val="00A2095F"/>
    <w:rsid w:val="00A21484"/>
    <w:rsid w:val="00A32D3E"/>
    <w:rsid w:val="00A34D55"/>
    <w:rsid w:val="00A35179"/>
    <w:rsid w:val="00A363B6"/>
    <w:rsid w:val="00A40EC4"/>
    <w:rsid w:val="00A46BF5"/>
    <w:rsid w:val="00A56735"/>
    <w:rsid w:val="00A667D0"/>
    <w:rsid w:val="00A765C9"/>
    <w:rsid w:val="00A87FC5"/>
    <w:rsid w:val="00A90594"/>
    <w:rsid w:val="00A96D88"/>
    <w:rsid w:val="00AA0760"/>
    <w:rsid w:val="00AA238B"/>
    <w:rsid w:val="00AB170C"/>
    <w:rsid w:val="00AB53EC"/>
    <w:rsid w:val="00AC01A6"/>
    <w:rsid w:val="00AC23A2"/>
    <w:rsid w:val="00AC4878"/>
    <w:rsid w:val="00AD23E5"/>
    <w:rsid w:val="00AD37D2"/>
    <w:rsid w:val="00AE6D64"/>
    <w:rsid w:val="00B01B01"/>
    <w:rsid w:val="00B14261"/>
    <w:rsid w:val="00B146E2"/>
    <w:rsid w:val="00B501B3"/>
    <w:rsid w:val="00B5208D"/>
    <w:rsid w:val="00B56D2B"/>
    <w:rsid w:val="00B769A3"/>
    <w:rsid w:val="00B849EE"/>
    <w:rsid w:val="00B84D02"/>
    <w:rsid w:val="00B84EB5"/>
    <w:rsid w:val="00B87B26"/>
    <w:rsid w:val="00B909A5"/>
    <w:rsid w:val="00B923D3"/>
    <w:rsid w:val="00B94C3A"/>
    <w:rsid w:val="00BA1373"/>
    <w:rsid w:val="00BA17C7"/>
    <w:rsid w:val="00BA2940"/>
    <w:rsid w:val="00BB41E4"/>
    <w:rsid w:val="00BC2997"/>
    <w:rsid w:val="00BD3E18"/>
    <w:rsid w:val="00BE0699"/>
    <w:rsid w:val="00BE16A4"/>
    <w:rsid w:val="00BE1D86"/>
    <w:rsid w:val="00BF06D2"/>
    <w:rsid w:val="00C07B37"/>
    <w:rsid w:val="00C123AB"/>
    <w:rsid w:val="00C16E53"/>
    <w:rsid w:val="00C255EE"/>
    <w:rsid w:val="00C27511"/>
    <w:rsid w:val="00C27FD2"/>
    <w:rsid w:val="00C3051E"/>
    <w:rsid w:val="00C3540D"/>
    <w:rsid w:val="00C37CAB"/>
    <w:rsid w:val="00C431B4"/>
    <w:rsid w:val="00C4425E"/>
    <w:rsid w:val="00C45CCE"/>
    <w:rsid w:val="00C56577"/>
    <w:rsid w:val="00C636FC"/>
    <w:rsid w:val="00C71F9D"/>
    <w:rsid w:val="00C73EC0"/>
    <w:rsid w:val="00C74F97"/>
    <w:rsid w:val="00C86C59"/>
    <w:rsid w:val="00C91C5A"/>
    <w:rsid w:val="00CA539E"/>
    <w:rsid w:val="00CA7D33"/>
    <w:rsid w:val="00CB0BDC"/>
    <w:rsid w:val="00CB489F"/>
    <w:rsid w:val="00CD1030"/>
    <w:rsid w:val="00CD61E6"/>
    <w:rsid w:val="00CD6D9A"/>
    <w:rsid w:val="00CE2C72"/>
    <w:rsid w:val="00D00E92"/>
    <w:rsid w:val="00D03CA9"/>
    <w:rsid w:val="00D05286"/>
    <w:rsid w:val="00D055EC"/>
    <w:rsid w:val="00D24A37"/>
    <w:rsid w:val="00D3357F"/>
    <w:rsid w:val="00D43FBD"/>
    <w:rsid w:val="00D44728"/>
    <w:rsid w:val="00D562FF"/>
    <w:rsid w:val="00D660E0"/>
    <w:rsid w:val="00D75DE0"/>
    <w:rsid w:val="00D775E3"/>
    <w:rsid w:val="00D80436"/>
    <w:rsid w:val="00D85843"/>
    <w:rsid w:val="00D934CB"/>
    <w:rsid w:val="00D95A35"/>
    <w:rsid w:val="00DA23C6"/>
    <w:rsid w:val="00DA4E31"/>
    <w:rsid w:val="00DB19D1"/>
    <w:rsid w:val="00DB2BA4"/>
    <w:rsid w:val="00DC152D"/>
    <w:rsid w:val="00DD286C"/>
    <w:rsid w:val="00DE2A8F"/>
    <w:rsid w:val="00DF1A70"/>
    <w:rsid w:val="00DF545E"/>
    <w:rsid w:val="00DF56C9"/>
    <w:rsid w:val="00DF671C"/>
    <w:rsid w:val="00E13A11"/>
    <w:rsid w:val="00E16D32"/>
    <w:rsid w:val="00E242A1"/>
    <w:rsid w:val="00E24AF7"/>
    <w:rsid w:val="00E30318"/>
    <w:rsid w:val="00E32708"/>
    <w:rsid w:val="00E345BA"/>
    <w:rsid w:val="00E36539"/>
    <w:rsid w:val="00E36D26"/>
    <w:rsid w:val="00E50AE9"/>
    <w:rsid w:val="00E570D4"/>
    <w:rsid w:val="00E611A4"/>
    <w:rsid w:val="00E61C14"/>
    <w:rsid w:val="00E67118"/>
    <w:rsid w:val="00E8619D"/>
    <w:rsid w:val="00E86EC7"/>
    <w:rsid w:val="00EA13AE"/>
    <w:rsid w:val="00EA5418"/>
    <w:rsid w:val="00EB0118"/>
    <w:rsid w:val="00EB21F9"/>
    <w:rsid w:val="00EB2D47"/>
    <w:rsid w:val="00EC4BF6"/>
    <w:rsid w:val="00ED47AE"/>
    <w:rsid w:val="00ED5863"/>
    <w:rsid w:val="00EE2F6A"/>
    <w:rsid w:val="00EE33F5"/>
    <w:rsid w:val="00EE46FB"/>
    <w:rsid w:val="00EF3D5B"/>
    <w:rsid w:val="00EF718C"/>
    <w:rsid w:val="00F06364"/>
    <w:rsid w:val="00F17C0D"/>
    <w:rsid w:val="00F25985"/>
    <w:rsid w:val="00F25E1C"/>
    <w:rsid w:val="00F2639F"/>
    <w:rsid w:val="00F3017D"/>
    <w:rsid w:val="00F31B8B"/>
    <w:rsid w:val="00F31D87"/>
    <w:rsid w:val="00F33C9C"/>
    <w:rsid w:val="00F54B9A"/>
    <w:rsid w:val="00F5524D"/>
    <w:rsid w:val="00F57CA6"/>
    <w:rsid w:val="00F755D0"/>
    <w:rsid w:val="00F75D6E"/>
    <w:rsid w:val="00F81D6E"/>
    <w:rsid w:val="00F966D5"/>
    <w:rsid w:val="00F974CB"/>
    <w:rsid w:val="00FA29AF"/>
    <w:rsid w:val="00FA2F81"/>
    <w:rsid w:val="00FB0C37"/>
    <w:rsid w:val="00FB1010"/>
    <w:rsid w:val="00FB2030"/>
    <w:rsid w:val="00FC44E9"/>
    <w:rsid w:val="00FC4F1C"/>
    <w:rsid w:val="00FD5A63"/>
    <w:rsid w:val="00FE3356"/>
    <w:rsid w:val="00FE3690"/>
    <w:rsid w:val="00FE4256"/>
    <w:rsid w:val="00FE6695"/>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D9AC3"/>
  <w15:docId w15:val="{E2D144D7-F33A-47CB-980A-19C3A70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semiHidden/>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219C-847B-4AB5-9B3F-CE27FCA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3662</TotalTime>
  <Pages>28</Pages>
  <Words>4916</Words>
  <Characters>27043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15</cp:revision>
  <cp:lastPrinted>2017-04-18T19:23:00Z</cp:lastPrinted>
  <dcterms:created xsi:type="dcterms:W3CDTF">2015-12-21T03:29:00Z</dcterms:created>
  <dcterms:modified xsi:type="dcterms:W3CDTF">2017-04-18T19:36:00Z</dcterms:modified>
</cp:coreProperties>
</file>