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99251814"/>
    <w:bookmarkEnd w:id="0"/>
    <w:p w:rsidR="007D6E9A" w:rsidRDefault="0009604B" w:rsidP="003D5DBF">
      <w:pPr>
        <w:jc w:val="center"/>
      </w:pPr>
      <w:r>
        <w:object w:dxaOrig="23113" w:dyaOrig="1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75pt;height:450.75pt" o:ole="">
            <v:imagedata r:id="rId8" o:title=""/>
          </v:shape>
          <o:OLEObject Type="Embed" ProgID="Excel.Sheet.12" ShapeID="_x0000_i1025" DrawAspect="Content" ObjectID="_1609766842" r:id="rId9"/>
        </w:object>
      </w:r>
    </w:p>
    <w:p w:rsidR="009B64AA" w:rsidRDefault="00BE3CB3" w:rsidP="003D5DBF">
      <w:pPr>
        <w:jc w:val="center"/>
      </w:pPr>
      <w:bookmarkStart w:id="1" w:name="_GoBack"/>
      <w:bookmarkEnd w:id="1"/>
      <w:r>
        <w:rPr>
          <w:noProof/>
        </w:rPr>
        <w:lastRenderedPageBreak/>
        <w:object w:dxaOrig="1440" w:dyaOrig="1440">
          <v:shape id="_x0000_s1056" type="#_x0000_t75" style="position:absolute;left:0;text-align:left;margin-left:-25.95pt;margin-top:25.45pt;width:763.7pt;height:416.45pt;z-index:251670528;mso-position-horizontal-relative:text;mso-position-vertical-relative:text">
            <v:imagedata r:id="rId10" o:title=""/>
            <w10:wrap type="square" side="right"/>
          </v:shape>
          <o:OLEObject Type="Embed" ProgID="Excel.Sheet.12" ShapeID="_x0000_s1056" DrawAspect="Content" ObjectID="_1609766847" r:id="rId11"/>
        </w:object>
      </w:r>
    </w:p>
    <w:p w:rsidR="00EA5418" w:rsidRDefault="00EA5418" w:rsidP="001F0C04">
      <w:pPr>
        <w:jc w:val="center"/>
      </w:pPr>
    </w:p>
    <w:bookmarkStart w:id="2" w:name="_MON_1470806992"/>
    <w:bookmarkEnd w:id="2"/>
    <w:p w:rsidR="00372F40" w:rsidRDefault="004213BC" w:rsidP="003E7FD0">
      <w:pPr>
        <w:jc w:val="center"/>
      </w:pPr>
      <w:r>
        <w:object w:dxaOrig="21537" w:dyaOrig="15990">
          <v:shape id="_x0000_i1026" type="#_x0000_t75" style="width:632.25pt;height:468.75pt" o:ole="">
            <v:imagedata r:id="rId12" o:title=""/>
          </v:shape>
          <o:OLEObject Type="Embed" ProgID="Excel.Sheet.12" ShapeID="_x0000_i1026" DrawAspect="Content" ObjectID="_1609766843" r:id="rId13"/>
        </w:object>
      </w:r>
    </w:p>
    <w:p w:rsidR="00372F40" w:rsidRDefault="00BE3CB3" w:rsidP="007769DF">
      <w:r>
        <w:rPr>
          <w:noProof/>
        </w:rPr>
        <w:lastRenderedPageBreak/>
        <w:object w:dxaOrig="1440" w:dyaOrig="1440">
          <v:shape id="_x0000_s1071" type="#_x0000_t75" style="position:absolute;margin-left:19.8pt;margin-top:0;width:676.05pt;height:470.4pt;z-index:251683840;mso-position-horizontal:absolute;mso-position-horizontal-relative:text;mso-position-vertical-relative:text">
            <v:imagedata r:id="rId14" o:title=""/>
            <w10:wrap type="square" side="right"/>
          </v:shape>
          <o:OLEObject Type="Embed" ProgID="Excel.Sheet.12" ShapeID="_x0000_s1071" DrawAspect="Content" ObjectID="_1609766848" r:id="rId15"/>
        </w:object>
      </w:r>
      <w:r w:rsidR="000B54AD">
        <w:br w:type="textWrapping" w:clear="all"/>
      </w:r>
      <w:bookmarkStart w:id="3" w:name="_MON_1470809138"/>
      <w:bookmarkEnd w:id="3"/>
      <w:r w:rsidR="004213BC">
        <w:object w:dxaOrig="17470" w:dyaOrig="12829">
          <v:shape id="_x0000_i1027" type="#_x0000_t75" style="width:618.75pt;height:453pt" o:ole="">
            <v:imagedata r:id="rId16" o:title=""/>
          </v:shape>
          <o:OLEObject Type="Embed" ProgID="Excel.Sheet.12" ShapeID="_x0000_i1027" DrawAspect="Content" ObjectID="_1609766844" r:id="rId17"/>
        </w:object>
      </w:r>
    </w:p>
    <w:p w:rsidR="00E32708" w:rsidRDefault="00BE3CB3" w:rsidP="00927BA4">
      <w:pPr>
        <w:tabs>
          <w:tab w:val="left" w:pos="2430"/>
        </w:tabs>
      </w:pPr>
      <w:r>
        <w:rPr>
          <w:noProof/>
        </w:rPr>
        <w:lastRenderedPageBreak/>
        <w:object w:dxaOrig="1440" w:dyaOrig="1440">
          <v:shape id="_x0000_s1064" type="#_x0000_t75" style="position:absolute;margin-left:-25.8pt;margin-top:.25pt;width:746.55pt;height:439.45pt;z-index:251679744;mso-position-horizontal:absolute;mso-position-horizontal-relative:text;mso-position-vertical-relative:text">
            <v:imagedata r:id="rId18" o:title=""/>
            <w10:wrap type="square" side="right"/>
          </v:shape>
          <o:OLEObject Type="Embed" ProgID="Excel.Sheet.12" ShapeID="_x0000_s1064" DrawAspect="Content" ObjectID="_1609766849" r:id="rId19"/>
        </w:object>
      </w:r>
      <w:r w:rsidR="00DE2F50">
        <w:br w:type="textWrapping" w:clear="all"/>
      </w:r>
      <w:bookmarkStart w:id="4" w:name="_MON_1470810366"/>
      <w:bookmarkEnd w:id="4"/>
      <w:r w:rsidR="0009604B">
        <w:object w:dxaOrig="25362" w:dyaOrig="17222">
          <v:shape id="_x0000_i1028" type="#_x0000_t75" style="width:675pt;height:459pt" o:ole="">
            <v:imagedata r:id="rId20" o:title=""/>
          </v:shape>
          <o:OLEObject Type="Embed" ProgID="Excel.Sheet.12" ShapeID="_x0000_i1028" DrawAspect="Content" ObjectID="_1609766845"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35405F">
        <w:rPr>
          <w:rFonts w:ascii="Arial" w:hAnsi="Arial" w:cs="Arial"/>
          <w:sz w:val="18"/>
          <w:szCs w:val="18"/>
        </w:rPr>
        <w:t>dic</w:t>
      </w:r>
      <w:r w:rsidR="0096610B">
        <w:rPr>
          <w:rFonts w:ascii="Arial" w:hAnsi="Arial" w:cs="Arial"/>
          <w:sz w:val="18"/>
          <w:szCs w:val="18"/>
        </w:rPr>
        <w:t>iembre</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4,083,437,481</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l Cuarto Ajuste Trimestral 2018;</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31</w:t>
      </w:r>
      <w:proofErr w:type="gramStart"/>
      <w:r>
        <w:rPr>
          <w:rFonts w:ascii="Arial" w:hAnsi="Arial" w:cs="Arial"/>
          <w:sz w:val="18"/>
          <w:szCs w:val="18"/>
        </w:rPr>
        <w:t>,801,758</w:t>
      </w:r>
      <w:proofErr w:type="gramEnd"/>
      <w:r w:rsidRPr="0073056A">
        <w:rPr>
          <w:rFonts w:ascii="Arial" w:hAnsi="Arial" w:cs="Arial"/>
          <w:sz w:val="18"/>
          <w:szCs w:val="18"/>
        </w:rPr>
        <w:t xml:space="preserve"> que se tiene al cierre del </w:t>
      </w:r>
      <w:r>
        <w:rPr>
          <w:rFonts w:ascii="Arial" w:hAnsi="Arial" w:cs="Arial"/>
          <w:sz w:val="18"/>
          <w:szCs w:val="18"/>
        </w:rPr>
        <w:t xml:space="preserve">ejercicio 2018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00807FF7">
        <w:rPr>
          <w:rFonts w:ascii="Arial" w:hAnsi="Arial" w:cs="Arial"/>
          <w:sz w:val="18"/>
          <w:szCs w:val="18"/>
        </w:rPr>
        <w:t>;</w:t>
      </w:r>
      <w:r w:rsidR="007F00B0">
        <w:rPr>
          <w:rFonts w:ascii="Arial" w:hAnsi="Arial" w:cs="Arial"/>
          <w:sz w:val="18"/>
          <w:szCs w:val="18"/>
        </w:rPr>
        <w:t xml:space="preserve"> al cierre del </w:t>
      </w:r>
      <w:r w:rsidR="00556D2F">
        <w:rPr>
          <w:rFonts w:ascii="Arial" w:hAnsi="Arial" w:cs="Arial"/>
          <w:sz w:val="18"/>
          <w:szCs w:val="18"/>
        </w:rPr>
        <w:t>tercer</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Al cierre del ejercicio 2018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Al cierre del ejercicio 2018 el Poder Ejecutivo cuenta con Inversiones Financieras a Largo Plazo por un importe de $ 235</w:t>
      </w:r>
      <w:proofErr w:type="gramStart"/>
      <w:r>
        <w:rPr>
          <w:rFonts w:ascii="Arial" w:hAnsi="Arial" w:cs="Arial"/>
          <w:sz w:val="18"/>
          <w:szCs w:val="18"/>
        </w:rPr>
        <w:t>,186,168</w:t>
      </w:r>
      <w:proofErr w:type="gramEnd"/>
      <w:r>
        <w:rPr>
          <w:rFonts w:ascii="Arial" w:hAnsi="Arial" w:cs="Arial"/>
          <w:sz w:val="18"/>
          <w:szCs w:val="18"/>
        </w:rPr>
        <w:t>,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Al cierre del ejercicio 2018</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proofErr w:type="gramStart"/>
      <w:r>
        <w:rPr>
          <w:rFonts w:ascii="Arial" w:hAnsi="Arial" w:cs="Arial"/>
          <w:sz w:val="18"/>
          <w:szCs w:val="18"/>
        </w:rPr>
        <w:t>,399,033,444</w:t>
      </w:r>
      <w:proofErr w:type="gramEnd"/>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la cuenta de bienes inmuebles es</w:t>
      </w:r>
      <w:r w:rsidRPr="0073056A">
        <w:rPr>
          <w:rFonts w:ascii="Arial" w:hAnsi="Arial" w:cs="Arial"/>
          <w:sz w:val="18"/>
          <w:szCs w:val="18"/>
        </w:rPr>
        <w:t xml:space="preserve"> de $</w:t>
      </w:r>
      <w:r>
        <w:rPr>
          <w:rFonts w:ascii="Arial" w:hAnsi="Arial" w:cs="Arial"/>
          <w:sz w:val="18"/>
          <w:szCs w:val="18"/>
        </w:rPr>
        <w:t xml:space="preserve"> 7,683,929,200, y</w:t>
      </w:r>
      <w:r w:rsidRPr="0073056A">
        <w:rPr>
          <w:rFonts w:ascii="Arial" w:hAnsi="Arial" w:cs="Arial"/>
          <w:sz w:val="18"/>
          <w:szCs w:val="18"/>
        </w:rPr>
        <w:t xml:space="preserve"> </w:t>
      </w:r>
      <w:r>
        <w:rPr>
          <w:rFonts w:ascii="Arial" w:hAnsi="Arial" w:cs="Arial"/>
          <w:sz w:val="18"/>
          <w:szCs w:val="18"/>
        </w:rPr>
        <w:t xml:space="preserve">está </w:t>
      </w:r>
      <w:r w:rsidRPr="0073056A">
        <w:rPr>
          <w:rFonts w:ascii="Arial" w:hAnsi="Arial" w:cs="Arial"/>
          <w:sz w:val="18"/>
          <w:szCs w:val="18"/>
        </w:rPr>
        <w:t>representa</w:t>
      </w:r>
      <w:r>
        <w:rPr>
          <w:rFonts w:ascii="Arial" w:hAnsi="Arial" w:cs="Arial"/>
          <w:sz w:val="18"/>
          <w:szCs w:val="18"/>
        </w:rPr>
        <w:t xml:space="preserve">do por </w:t>
      </w:r>
      <w:r w:rsidRPr="0073056A">
        <w:rPr>
          <w:rFonts w:ascii="Arial" w:hAnsi="Arial" w:cs="Arial"/>
          <w:sz w:val="18"/>
          <w:szCs w:val="18"/>
        </w:rPr>
        <w:t>terrenos,</w:t>
      </w:r>
      <w:r>
        <w:rPr>
          <w:rFonts w:ascii="Arial" w:hAnsi="Arial" w:cs="Arial"/>
          <w:sz w:val="18"/>
          <w:szCs w:val="18"/>
        </w:rPr>
        <w:t xml:space="preserve"> viviendas y</w:t>
      </w:r>
      <w:r w:rsidRPr="0073056A">
        <w:rPr>
          <w:rFonts w:ascii="Arial" w:hAnsi="Arial" w:cs="Arial"/>
          <w:sz w:val="18"/>
          <w:szCs w:val="18"/>
        </w:rPr>
        <w:t xml:space="preserve"> edificios no habitacionales</w:t>
      </w:r>
      <w:r>
        <w:rPr>
          <w:rFonts w:ascii="Arial" w:hAnsi="Arial" w:cs="Arial"/>
          <w:sz w:val="18"/>
          <w:szCs w:val="18"/>
        </w:rPr>
        <w:t xml:space="preserve">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83</w:t>
      </w:r>
      <w:proofErr w:type="gramStart"/>
      <w:r>
        <w:rPr>
          <w:rFonts w:ascii="Arial" w:hAnsi="Arial" w:cs="Arial"/>
          <w:sz w:val="18"/>
          <w:szCs w:val="18"/>
        </w:rPr>
        <w:t>,106,062</w:t>
      </w:r>
      <w:proofErr w:type="gramEnd"/>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w:t>
      </w:r>
      <w:proofErr w:type="gramStart"/>
      <w:r w:rsidRPr="00FB6E0E">
        <w:rPr>
          <w:rFonts w:ascii="Arial" w:hAnsi="Arial" w:cs="Arial"/>
          <w:sz w:val="18"/>
          <w:szCs w:val="18"/>
        </w:rPr>
        <w:t>,805,338</w:t>
      </w:r>
      <w:proofErr w:type="gramEnd"/>
      <w:r w:rsidRPr="00FB6E0E">
        <w:rPr>
          <w:rFonts w:ascii="Arial" w:hAnsi="Arial" w:cs="Arial"/>
          <w:sz w:val="18"/>
          <w:szCs w:val="18"/>
        </w:rPr>
        <w:t xml:space="preserve">.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Al mes de diciembre del ejercicio 2018,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El saldo de $ 4</w:t>
      </w:r>
      <w:proofErr w:type="gramStart"/>
      <w:r>
        <w:rPr>
          <w:rFonts w:ascii="Arial" w:hAnsi="Arial" w:cs="Arial"/>
          <w:sz w:val="18"/>
          <w:szCs w:val="18"/>
        </w:rPr>
        <w:t>,078,054,594</w:t>
      </w:r>
      <w:proofErr w:type="gramEnd"/>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Al mes de diciembre</w:t>
      </w:r>
      <w:r>
        <w:rPr>
          <w:rFonts w:ascii="Arial" w:hAnsi="Arial" w:cs="Arial"/>
          <w:sz w:val="18"/>
          <w:szCs w:val="18"/>
        </w:rPr>
        <w:t xml:space="preserve"> del ejercicio 2018</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23,180,542,055</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21,468,486,683;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1,712,055,372</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de origen estatal. Al mes de diciembre de 2018</w:t>
      </w:r>
      <w:r w:rsidRPr="0073056A">
        <w:rPr>
          <w:rFonts w:ascii="Arial" w:hAnsi="Arial" w:cs="Arial"/>
          <w:sz w:val="18"/>
          <w:szCs w:val="18"/>
        </w:rPr>
        <w:t xml:space="preserve"> se recaudó la cantidad de $</w:t>
      </w:r>
      <w:r>
        <w:rPr>
          <w:rFonts w:ascii="Arial" w:hAnsi="Arial" w:cs="Arial"/>
          <w:sz w:val="18"/>
          <w:szCs w:val="18"/>
        </w:rPr>
        <w:t xml:space="preserve"> 536,385,630</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509,007,935; sobre la Producción, el Consumo y las transacciones por un importe de $ 20,128,701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2,914,089.</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al mes de diciembre es por</w:t>
      </w:r>
      <w:r w:rsidRPr="0073056A">
        <w:rPr>
          <w:rFonts w:ascii="Arial" w:hAnsi="Arial" w:cs="Arial"/>
          <w:sz w:val="18"/>
          <w:szCs w:val="18"/>
        </w:rPr>
        <w:t xml:space="preserve"> un monto de $</w:t>
      </w:r>
      <w:r>
        <w:rPr>
          <w:rFonts w:ascii="Arial" w:hAnsi="Arial" w:cs="Arial"/>
          <w:sz w:val="18"/>
          <w:szCs w:val="18"/>
        </w:rPr>
        <w:t xml:space="preserve"> 428</w:t>
      </w:r>
      <w:proofErr w:type="gramStart"/>
      <w:r>
        <w:rPr>
          <w:rFonts w:ascii="Arial" w:hAnsi="Arial" w:cs="Arial"/>
          <w:sz w:val="18"/>
          <w:szCs w:val="18"/>
        </w:rPr>
        <w:t>,992,840</w:t>
      </w:r>
      <w:proofErr w:type="gramEnd"/>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diciembre es</w:t>
      </w:r>
      <w:r w:rsidRPr="0073056A">
        <w:rPr>
          <w:rFonts w:ascii="Arial" w:hAnsi="Arial" w:cs="Arial"/>
          <w:sz w:val="18"/>
          <w:szCs w:val="18"/>
        </w:rPr>
        <w:t xml:space="preserve"> de $</w:t>
      </w:r>
      <w:r w:rsidRPr="00502DDD">
        <w:rPr>
          <w:rFonts w:ascii="Arial" w:hAnsi="Arial" w:cs="Arial"/>
          <w:sz w:val="18"/>
          <w:szCs w:val="18"/>
        </w:rPr>
        <w:t xml:space="preserve"> </w:t>
      </w:r>
      <w:r>
        <w:rPr>
          <w:rFonts w:ascii="Arial" w:hAnsi="Arial" w:cs="Arial"/>
          <w:sz w:val="18"/>
          <w:szCs w:val="18"/>
        </w:rPr>
        <w:t>307</w:t>
      </w:r>
      <w:r w:rsidRPr="00502DDD">
        <w:rPr>
          <w:rFonts w:ascii="Arial" w:hAnsi="Arial" w:cs="Arial"/>
          <w:sz w:val="18"/>
          <w:szCs w:val="18"/>
        </w:rPr>
        <w:t>,</w:t>
      </w:r>
      <w:r>
        <w:rPr>
          <w:rFonts w:ascii="Arial" w:hAnsi="Arial" w:cs="Arial"/>
          <w:sz w:val="18"/>
          <w:szCs w:val="18"/>
        </w:rPr>
        <w:t>351</w:t>
      </w:r>
      <w:r w:rsidRPr="00502DDD">
        <w:rPr>
          <w:rFonts w:ascii="Arial" w:hAnsi="Arial" w:cs="Arial"/>
          <w:sz w:val="18"/>
          <w:szCs w:val="18"/>
        </w:rPr>
        <w:t>,</w:t>
      </w:r>
      <w:r>
        <w:rPr>
          <w:rFonts w:ascii="Arial" w:hAnsi="Arial" w:cs="Arial"/>
          <w:sz w:val="18"/>
          <w:szCs w:val="18"/>
        </w:rPr>
        <w:t>596,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diciembre del </w:t>
      </w:r>
      <w:r w:rsidRPr="0073056A">
        <w:rPr>
          <w:rFonts w:ascii="Arial" w:hAnsi="Arial" w:cs="Arial"/>
          <w:sz w:val="18"/>
          <w:szCs w:val="18"/>
        </w:rPr>
        <w:t>eje</w:t>
      </w:r>
      <w:r>
        <w:rPr>
          <w:rFonts w:ascii="Arial" w:hAnsi="Arial" w:cs="Arial"/>
          <w:sz w:val="18"/>
          <w:szCs w:val="18"/>
        </w:rPr>
        <w:t>rcicio 2018</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16</w:t>
      </w:r>
      <w:proofErr w:type="gramStart"/>
      <w:r>
        <w:rPr>
          <w:rFonts w:ascii="Arial" w:hAnsi="Arial" w:cs="Arial"/>
          <w:sz w:val="18"/>
          <w:szCs w:val="18"/>
        </w:rPr>
        <w:t>,299,683</w:t>
      </w:r>
      <w:proofErr w:type="gramEnd"/>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Pr>
          <w:rFonts w:ascii="Arial" w:hAnsi="Arial" w:cs="Arial"/>
          <w:sz w:val="18"/>
          <w:szCs w:val="18"/>
        </w:rPr>
        <w:t>140</w:t>
      </w:r>
      <w:proofErr w:type="gramStart"/>
      <w:r>
        <w:rPr>
          <w:rFonts w:ascii="Arial" w:hAnsi="Arial" w:cs="Arial"/>
          <w:sz w:val="18"/>
          <w:szCs w:val="18"/>
        </w:rPr>
        <w:t>,836,830</w:t>
      </w:r>
      <w:proofErr w:type="gramEnd"/>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21,750,675,476 al mes de diciembre del </w:t>
      </w:r>
      <w:r w:rsidRPr="0073056A">
        <w:rPr>
          <w:rFonts w:ascii="Arial" w:hAnsi="Arial" w:cs="Arial"/>
          <w:sz w:val="18"/>
          <w:szCs w:val="18"/>
        </w:rPr>
        <w:t>e</w:t>
      </w:r>
      <w:r>
        <w:rPr>
          <w:rFonts w:ascii="Arial" w:hAnsi="Arial" w:cs="Arial"/>
          <w:sz w:val="18"/>
          <w:szCs w:val="18"/>
        </w:rPr>
        <w:t>jercicio 2018, sin incluir los rendimientos generados</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lastRenderedPageBreak/>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El saldo por concepto de participaciones asciende a un monto de $ 8</w:t>
      </w:r>
      <w:proofErr w:type="gramStart"/>
      <w:r>
        <w:rPr>
          <w:rFonts w:ascii="Arial" w:hAnsi="Arial" w:cs="Arial"/>
          <w:sz w:val="18"/>
          <w:szCs w:val="18"/>
        </w:rPr>
        <w:t>,236,696,722</w:t>
      </w:r>
      <w:proofErr w:type="gramEnd"/>
      <w:r>
        <w:rPr>
          <w:rFonts w:ascii="Arial" w:hAnsi="Arial" w:cs="Arial"/>
          <w:sz w:val="18"/>
          <w:szCs w:val="18"/>
        </w:rPr>
        <w:t>, siendo el rubro más importante el Fondo General de Participaciones ya que representa el 73 %.</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 XXXIII, los cuales al mes de diciembre de 2018 reflejan los siguientes saldos:</w:t>
      </w:r>
    </w:p>
    <w:p w:rsidR="00134F21" w:rsidRDefault="00134F21" w:rsidP="00134F21">
      <w:pPr>
        <w:tabs>
          <w:tab w:val="left" w:pos="284"/>
        </w:tabs>
        <w:spacing w:after="0"/>
        <w:ind w:left="284"/>
        <w:jc w:val="both"/>
        <w:rPr>
          <w:rFonts w:ascii="Arial" w:hAnsi="Arial" w:cs="Arial"/>
          <w:sz w:val="18"/>
          <w:szCs w:val="18"/>
        </w:rPr>
      </w:pPr>
    </w:p>
    <w:tbl>
      <w:tblPr>
        <w:tblW w:w="9795" w:type="dxa"/>
        <w:tblInd w:w="1937" w:type="dxa"/>
        <w:tblCellMar>
          <w:left w:w="70" w:type="dxa"/>
          <w:right w:w="70" w:type="dxa"/>
        </w:tblCellMar>
        <w:tblLook w:val="04A0" w:firstRow="1" w:lastRow="0" w:firstColumn="1" w:lastColumn="0" w:noHBand="0" w:noVBand="1"/>
      </w:tblPr>
      <w:tblGrid>
        <w:gridCol w:w="6138"/>
        <w:gridCol w:w="1985"/>
        <w:gridCol w:w="1672"/>
      </w:tblGrid>
      <w:tr w:rsidR="00134F21" w:rsidRPr="00251F0D" w:rsidTr="00846171">
        <w:trPr>
          <w:trHeight w:val="300"/>
        </w:trPr>
        <w:tc>
          <w:tcPr>
            <w:tcW w:w="6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CONCEPTO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IMPORTE</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PORCENTAJE</w:t>
            </w:r>
          </w:p>
        </w:tc>
      </w:tr>
      <w:tr w:rsidR="00134F21" w:rsidRPr="00251F0D" w:rsidTr="00846171">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DE APORTACIONES PARA LA NOMINA EDUCATIVA</w:t>
            </w:r>
          </w:p>
        </w:tc>
        <w:tc>
          <w:tcPr>
            <w:tcW w:w="1985" w:type="dxa"/>
            <w:tcBorders>
              <w:top w:val="nil"/>
              <w:left w:val="nil"/>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5,349,957,285</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56.3</w:t>
            </w:r>
          </w:p>
        </w:tc>
      </w:tr>
      <w:tr w:rsidR="00134F21" w:rsidRPr="00251F0D" w:rsidTr="00846171">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LOS SERVICIOS DE SALUD</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1,666,263,766</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17.5</w:t>
            </w:r>
          </w:p>
        </w:tc>
      </w:tr>
      <w:tr w:rsidR="00134F21" w:rsidRPr="00251F0D" w:rsidTr="00846171">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ESTATAL)</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83,116,132</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0.9</w:t>
            </w:r>
          </w:p>
        </w:tc>
      </w:tr>
      <w:tr w:rsidR="00134F21" w:rsidRPr="00251F0D" w:rsidTr="00846171">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MUNICIPAL)</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602,578,395</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6.3</w:t>
            </w:r>
          </w:p>
        </w:tc>
      </w:tr>
      <w:tr w:rsidR="00134F21" w:rsidRPr="00251F0D" w:rsidTr="00846171">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FORTAMUN</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779,901,083</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8.2</w:t>
            </w:r>
          </w:p>
        </w:tc>
      </w:tr>
      <w:tr w:rsidR="00134F21" w:rsidRPr="00251F0D" w:rsidTr="00846171">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FAM</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298,858,705</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w:t>
            </w:r>
          </w:p>
        </w:tc>
      </w:tr>
      <w:tr w:rsidR="00134F21" w:rsidRPr="00251F0D" w:rsidTr="00846171">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TECNOLOGICA)</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42,775,668</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0.5</w:t>
            </w:r>
          </w:p>
        </w:tc>
      </w:tr>
      <w:tr w:rsidR="00134F21" w:rsidRPr="00251F0D" w:rsidTr="00846171">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DE ADULTOS ITEA)</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40,242,262</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0.4</w:t>
            </w:r>
          </w:p>
        </w:tc>
      </w:tr>
      <w:tr w:rsidR="00134F21" w:rsidRPr="00251F0D" w:rsidTr="00846171">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LA SEGURIDAD PUBLICA</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119,938,986</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w:t>
            </w:r>
          </w:p>
        </w:tc>
      </w:tr>
      <w:tr w:rsidR="00134F21" w:rsidRPr="00251F0D" w:rsidTr="00846171">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846171">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EL FORTALECIMIENTO DE ENTIDADES FEDERATIVAS</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517,435,279</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34F21" w:rsidP="00846171">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5.4</w:t>
            </w:r>
          </w:p>
        </w:tc>
      </w:tr>
      <w:tr w:rsidR="00134F21" w:rsidRPr="00B41E9F" w:rsidTr="00846171">
        <w:trPr>
          <w:trHeight w:val="299"/>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B41E9F" w:rsidRDefault="00134F21" w:rsidP="00846171">
            <w:pPr>
              <w:spacing w:after="0" w:line="240" w:lineRule="auto"/>
              <w:jc w:val="center"/>
              <w:rPr>
                <w:rFonts w:ascii="Arial" w:eastAsia="Times New Roman" w:hAnsi="Arial" w:cs="Arial"/>
                <w:b/>
                <w:sz w:val="18"/>
                <w:szCs w:val="18"/>
                <w:lang w:eastAsia="es-MX"/>
              </w:rPr>
            </w:pPr>
            <w:r w:rsidRPr="00B41E9F">
              <w:rPr>
                <w:rFonts w:ascii="Arial" w:eastAsia="Times New Roman" w:hAnsi="Arial" w:cs="Arial"/>
                <w:b/>
                <w:sz w:val="18"/>
                <w:szCs w:val="18"/>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134F21" w:rsidRPr="00B41E9F" w:rsidRDefault="00134F21" w:rsidP="0084617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9,501,067,561</w:t>
            </w:r>
          </w:p>
        </w:tc>
        <w:tc>
          <w:tcPr>
            <w:tcW w:w="1672" w:type="dxa"/>
            <w:tcBorders>
              <w:top w:val="nil"/>
              <w:left w:val="nil"/>
              <w:bottom w:val="single" w:sz="4" w:space="0" w:color="auto"/>
              <w:right w:val="single" w:sz="4" w:space="0" w:color="auto"/>
            </w:tcBorders>
            <w:shd w:val="clear" w:color="auto" w:fill="auto"/>
            <w:noWrap/>
            <w:vAlign w:val="bottom"/>
            <w:hideMark/>
          </w:tcPr>
          <w:p w:rsidR="00134F21" w:rsidRPr="00B41E9F" w:rsidRDefault="00134F21" w:rsidP="00846171">
            <w:pPr>
              <w:spacing w:after="0" w:line="240" w:lineRule="auto"/>
              <w:jc w:val="center"/>
              <w:rPr>
                <w:rFonts w:ascii="Arial" w:eastAsia="Times New Roman" w:hAnsi="Arial" w:cs="Arial"/>
                <w:sz w:val="18"/>
                <w:szCs w:val="18"/>
                <w:lang w:eastAsia="es-MX"/>
              </w:rPr>
            </w:pPr>
            <w:r w:rsidRPr="00B41E9F">
              <w:rPr>
                <w:rFonts w:ascii="Arial" w:eastAsia="Times New Roman" w:hAnsi="Arial" w:cs="Arial"/>
                <w:sz w:val="18"/>
                <w:szCs w:val="18"/>
                <w:lang w:eastAsia="es-MX"/>
              </w:rPr>
              <w:t>100.0</w:t>
            </w:r>
          </w:p>
        </w:tc>
      </w:tr>
    </w:tbl>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acciones al mes de diciembre del ejercicio 2018</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4</w:t>
      </w:r>
      <w:proofErr w:type="gramStart"/>
      <w:r>
        <w:rPr>
          <w:rFonts w:ascii="Arial" w:hAnsi="Arial" w:cs="Arial"/>
          <w:sz w:val="18"/>
          <w:szCs w:val="18"/>
        </w:rPr>
        <w:t>,012,911,193</w:t>
      </w:r>
      <w:proofErr w:type="gramEnd"/>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134F21" w:rsidP="00332091">
      <w:pPr>
        <w:tabs>
          <w:tab w:val="left" w:pos="284"/>
        </w:tabs>
        <w:spacing w:after="0"/>
        <w:ind w:left="284"/>
        <w:jc w:val="both"/>
        <w:rPr>
          <w:rFonts w:ascii="Arial" w:hAnsi="Arial" w:cs="Arial"/>
          <w:sz w:val="18"/>
          <w:szCs w:val="18"/>
        </w:rPr>
      </w:pPr>
      <w:r>
        <w:rPr>
          <w:rFonts w:ascii="Arial" w:hAnsi="Arial" w:cs="Arial"/>
          <w:sz w:val="18"/>
          <w:szCs w:val="18"/>
        </w:rPr>
        <w:t>Durante el cuarto trimestre del ejercicio 2018</w:t>
      </w:r>
      <w:r w:rsidRPr="0073056A">
        <w:rPr>
          <w:rFonts w:ascii="Arial" w:hAnsi="Arial" w:cs="Arial"/>
          <w:sz w:val="18"/>
          <w:szCs w:val="18"/>
        </w:rPr>
        <w:t xml:space="preserve"> se</w:t>
      </w:r>
      <w:r>
        <w:rPr>
          <w:rFonts w:ascii="Arial" w:hAnsi="Arial" w:cs="Arial"/>
          <w:sz w:val="18"/>
          <w:szCs w:val="18"/>
        </w:rPr>
        <w:t xml:space="preserve"> aplicó una</w:t>
      </w:r>
      <w:r w:rsidRPr="0073056A">
        <w:rPr>
          <w:rFonts w:ascii="Arial" w:hAnsi="Arial" w:cs="Arial"/>
          <w:sz w:val="18"/>
          <w:szCs w:val="18"/>
        </w:rPr>
        <w:t xml:space="preserve"> política de </w:t>
      </w:r>
      <w:r>
        <w:rPr>
          <w:rFonts w:ascii="Arial" w:hAnsi="Arial" w:cs="Arial"/>
          <w:sz w:val="18"/>
          <w:szCs w:val="18"/>
        </w:rPr>
        <w:t xml:space="preserve">racionalidad, </w:t>
      </w:r>
      <w:r w:rsidRPr="0073056A">
        <w:rPr>
          <w:rFonts w:ascii="Arial" w:hAnsi="Arial" w:cs="Arial"/>
          <w:sz w:val="18"/>
          <w:szCs w:val="18"/>
        </w:rPr>
        <w:t>austeridad y de disciplina presupuestal</w:t>
      </w:r>
      <w:r>
        <w:rPr>
          <w:rFonts w:ascii="Arial" w:hAnsi="Arial" w:cs="Arial"/>
          <w:sz w:val="18"/>
          <w:szCs w:val="18"/>
        </w:rPr>
        <w:t>, lo que ha redundado en ahorros significativos al disminuir la duplicidad de funciones y reducir las estructuras administrativas, teniéndose al mes de diciembre por este concepto un monto de $ 2,137,798,795</w:t>
      </w:r>
      <w:proofErr w:type="gramStart"/>
      <w:r>
        <w:rPr>
          <w:rFonts w:ascii="Arial" w:hAnsi="Arial" w:cs="Arial"/>
          <w:sz w:val="18"/>
          <w:szCs w:val="18"/>
        </w:rPr>
        <w:t>.</w:t>
      </w:r>
      <w:r w:rsidR="00514F2B">
        <w:rPr>
          <w:rFonts w:ascii="Arial" w:hAnsi="Arial" w:cs="Arial"/>
          <w:sz w:val="18"/>
          <w:szCs w:val="18"/>
        </w:rPr>
        <w:t>.</w:t>
      </w:r>
      <w:proofErr w:type="gramEnd"/>
    </w:p>
    <w:p w:rsidR="0083335C" w:rsidRDefault="0083335C" w:rsidP="00076E1D">
      <w:pPr>
        <w:tabs>
          <w:tab w:val="left" w:pos="284"/>
        </w:tabs>
        <w:ind w:left="284"/>
        <w:jc w:val="both"/>
        <w:rPr>
          <w:rFonts w:ascii="Arial" w:hAnsi="Arial" w:cs="Arial"/>
          <w:sz w:val="18"/>
          <w:szCs w:val="18"/>
        </w:rPr>
      </w:pPr>
    </w:p>
    <w:p w:rsidR="0065525F" w:rsidRDefault="0065525F" w:rsidP="00076E1D">
      <w:pPr>
        <w:tabs>
          <w:tab w:val="left" w:pos="284"/>
        </w:tabs>
        <w:ind w:left="284"/>
        <w:jc w:val="both"/>
        <w:rPr>
          <w:rFonts w:ascii="Arial" w:hAnsi="Arial" w:cs="Arial"/>
          <w:sz w:val="18"/>
          <w:szCs w:val="18"/>
        </w:rPr>
      </w:pPr>
    </w:p>
    <w:p w:rsidR="0065525F" w:rsidRPr="0073056A" w:rsidRDefault="0065525F"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$ 220</w:t>
      </w:r>
      <w:proofErr w:type="gramStart"/>
      <w:r>
        <w:rPr>
          <w:rFonts w:ascii="Arial" w:hAnsi="Arial" w:cs="Arial"/>
          <w:sz w:val="18"/>
          <w:szCs w:val="18"/>
        </w:rPr>
        <w:t>,090,591</w:t>
      </w:r>
      <w:proofErr w:type="gramEnd"/>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diciembre de 2018 es de $ 322</w:t>
      </w:r>
      <w:proofErr w:type="gramStart"/>
      <w:r>
        <w:rPr>
          <w:rFonts w:ascii="Arial" w:hAnsi="Arial" w:cs="Arial"/>
          <w:sz w:val="18"/>
          <w:szCs w:val="18"/>
        </w:rPr>
        <w:t>,848,999</w:t>
      </w:r>
      <w:proofErr w:type="gramEnd"/>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33624E">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r w:rsidR="0033624E">
        <w:rPr>
          <w:rFonts w:ascii="Arial" w:hAnsi="Arial" w:cs="Arial"/>
          <w:sz w:val="18"/>
          <w:szCs w:val="18"/>
        </w:rPr>
        <w:t>que,</w:t>
      </w:r>
      <w:r>
        <w:rPr>
          <w:rFonts w:ascii="Arial" w:hAnsi="Arial" w:cs="Arial"/>
          <w:sz w:val="18"/>
          <w:szCs w:val="18"/>
        </w:rPr>
        <w:t xml:space="preserve"> al mes de diciembre de 2018, observan un monto de $ 14</w:t>
      </w:r>
      <w:proofErr w:type="gramStart"/>
      <w:r>
        <w:rPr>
          <w:rFonts w:ascii="Arial" w:hAnsi="Arial" w:cs="Arial"/>
          <w:sz w:val="18"/>
          <w:szCs w:val="18"/>
        </w:rPr>
        <w:t>,662,595,931</w:t>
      </w:r>
      <w:proofErr w:type="gramEnd"/>
      <w:r>
        <w:rPr>
          <w:rFonts w:ascii="Arial" w:hAnsi="Arial" w:cs="Arial"/>
          <w:sz w:val="18"/>
          <w:szCs w:val="18"/>
        </w:rPr>
        <w:t xml:space="preserve"> de los cuales los principales sectores que reciben estas asignaciones son el sector educativo al cual le corresponde el 66% y el sector salud con un 30% y el restante 4% a otros organismos del sector </w:t>
      </w:r>
      <w:r w:rsidR="0033624E">
        <w:rPr>
          <w:rFonts w:ascii="Arial" w:hAnsi="Arial" w:cs="Arial"/>
          <w:sz w:val="18"/>
          <w:szCs w:val="18"/>
        </w:rPr>
        <w:t>público.</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resultado contable al mes de diciembre de 2018 es de $ 1,712,055,372;</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Pr>
          <w:rFonts w:ascii="Arial" w:hAnsi="Arial" w:cs="Arial"/>
          <w:sz w:val="18"/>
          <w:szCs w:val="18"/>
        </w:rPr>
        <w:t xml:space="preserve">cuarto ajuste trimestral. Los cuales al </w:t>
      </w:r>
      <w:r w:rsidRPr="00DE62C8">
        <w:rPr>
          <w:rFonts w:ascii="Arial" w:hAnsi="Arial" w:cs="Arial"/>
          <w:sz w:val="18"/>
          <w:szCs w:val="18"/>
        </w:rPr>
        <w:t>3</w:t>
      </w:r>
      <w:r>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de diciembre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lastRenderedPageBreak/>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ejercicio 2018 </w:t>
      </w:r>
      <w:r w:rsidRPr="0073056A">
        <w:rPr>
          <w:rFonts w:ascii="Arial" w:hAnsi="Arial" w:cs="Arial"/>
          <w:sz w:val="18"/>
          <w:szCs w:val="18"/>
        </w:rPr>
        <w:t>es por la cantidad de $</w:t>
      </w:r>
      <w:r>
        <w:rPr>
          <w:rFonts w:ascii="Arial" w:hAnsi="Arial" w:cs="Arial"/>
          <w:sz w:val="18"/>
          <w:szCs w:val="18"/>
        </w:rPr>
        <w:t xml:space="preserve"> 7</w:t>
      </w:r>
      <w:proofErr w:type="gramStart"/>
      <w:r>
        <w:rPr>
          <w:rFonts w:ascii="Arial" w:eastAsia="Times New Roman" w:hAnsi="Arial" w:cs="Arial"/>
          <w:bCs/>
          <w:sz w:val="18"/>
          <w:szCs w:val="18"/>
          <w:lang w:eastAsia="es-MX"/>
        </w:rPr>
        <w:t>,848,599,336</w:t>
      </w:r>
      <w:proofErr w:type="gramEnd"/>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Pr>
          <w:b/>
          <w:lang w:val="es-MX"/>
        </w:rPr>
        <w:t>Incremento/Disminución Neta en el Efectivo y Equivalentes al Efectivo</w:t>
      </w:r>
      <w:r w:rsidRPr="005C02A4">
        <w:rPr>
          <w:b/>
          <w:lang w:val="es-MX"/>
        </w:rPr>
        <w:t>.</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5A3CCB">
        <w:rPr>
          <w:lang w:val="es-MX"/>
        </w:rPr>
        <w:t>incremento</w:t>
      </w:r>
      <w:r w:rsidR="004B263B">
        <w:rPr>
          <w:lang w:val="es-MX"/>
        </w:rPr>
        <w:t xml:space="preserve"> </w:t>
      </w:r>
      <w:r w:rsidR="00817DFF">
        <w:rPr>
          <w:lang w:val="es-MX"/>
        </w:rPr>
        <w:t xml:space="preserve">de </w:t>
      </w:r>
      <w:r w:rsidR="00EC56A4">
        <w:rPr>
          <w:lang w:val="es-MX"/>
        </w:rPr>
        <w:t xml:space="preserve"> </w:t>
      </w:r>
      <w:r w:rsidR="00817DFF">
        <w:rPr>
          <w:lang w:val="es-MX"/>
        </w:rPr>
        <w:t>$</w:t>
      </w:r>
      <w:r w:rsidR="00100FD7">
        <w:rPr>
          <w:lang w:val="es-MX"/>
        </w:rPr>
        <w:t xml:space="preserve"> </w:t>
      </w:r>
      <w:r w:rsidR="0033624E">
        <w:rPr>
          <w:lang w:val="es-MX"/>
        </w:rPr>
        <w:t>1,405,070,585</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$ 1</w:t>
      </w:r>
      <w:proofErr w:type="gramStart"/>
      <w:r>
        <w:rPr>
          <w:lang w:val="es-MX"/>
        </w:rPr>
        <w:t>,712,055,372</w:t>
      </w:r>
      <w:proofErr w:type="gramEnd"/>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al mes de diciembre un importe de </w:t>
      </w:r>
      <w:r w:rsidRPr="004466A7">
        <w:rPr>
          <w:lang w:val="es-MX"/>
        </w:rPr>
        <w:t>$</w:t>
      </w:r>
      <w:r>
        <w:rPr>
          <w:lang w:val="es-MX"/>
        </w:rPr>
        <w:t xml:space="preserve"> -1</w:t>
      </w:r>
      <w:proofErr w:type="gramStart"/>
      <w:r>
        <w:rPr>
          <w:lang w:val="es-MX"/>
        </w:rPr>
        <w:t>,621,707,143</w:t>
      </w:r>
      <w:proofErr w:type="gramEnd"/>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31 de diciembre de 2018 de $ 1,314,</w:t>
      </w:r>
      <w:r>
        <w:rPr>
          <w:lang w:val="es-MX"/>
        </w:rPr>
        <w:t>722</w:t>
      </w:r>
      <w:r w:rsidRPr="00DA18AC">
        <w:rPr>
          <w:lang w:val="es-MX"/>
        </w:rPr>
        <w:t>,</w:t>
      </w:r>
      <w:r>
        <w:rPr>
          <w:lang w:val="es-MX"/>
        </w:rPr>
        <w:t>356</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5" w:name="_MON_1499681935"/>
    <w:bookmarkEnd w:id="5"/>
    <w:p w:rsidR="009C4575" w:rsidRDefault="0009604B" w:rsidP="00A54D75">
      <w:pPr>
        <w:tabs>
          <w:tab w:val="left" w:pos="284"/>
        </w:tabs>
        <w:spacing w:after="0"/>
        <w:ind w:left="284"/>
        <w:jc w:val="both"/>
        <w:rPr>
          <w:rFonts w:ascii="Arial" w:hAnsi="Arial" w:cs="Arial"/>
          <w:sz w:val="18"/>
          <w:szCs w:val="18"/>
        </w:rPr>
      </w:pPr>
      <w:r>
        <w:object w:dxaOrig="25362" w:dyaOrig="13520">
          <v:shape id="_x0000_i1029" type="#_x0000_t75" style="width:675pt;height:362.25pt" o:ole="">
            <v:imagedata r:id="rId22" o:title=""/>
          </v:shape>
          <o:OLEObject Type="Embed" ProgID="Excel.Sheet.12" ShapeID="_x0000_i1029" DrawAspect="Content" ObjectID="_1609766846" r:id="rId23"/>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BE3CB3"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8pt;margin-top:12.85pt;width:743.95pt;height:352.8pt;z-index:251663360">
            <v:imagedata r:id="rId24" o:title=""/>
            <w10:wrap type="topAndBottom"/>
          </v:shape>
          <o:OLEObject Type="Embed" ProgID="Excel.Sheet.12" ShapeID="_x0000_s1046" DrawAspect="Content" ObjectID="_1609766850" r:id="rId25"/>
        </w:obje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BE3CB3" w:rsidP="006942ED">
      <w:pPr>
        <w:ind w:firstLine="708"/>
        <w:rPr>
          <w:lang w:eastAsia="es-ES"/>
        </w:rPr>
      </w:pPr>
      <w:r>
        <w:rPr>
          <w:b/>
          <w:smallCaps/>
          <w:noProof/>
          <w:szCs w:val="18"/>
          <w:lang w:eastAsia="es-MX"/>
        </w:rPr>
        <w:object w:dxaOrig="1440" w:dyaOrig="1440">
          <v:shape id="_x0000_s1047" type="#_x0000_t75" style="position:absolute;left:0;text-align:left;margin-left:15.5pt;margin-top:32.65pt;width:729.9pt;height:395.35pt;z-index:251664384">
            <v:imagedata r:id="rId26" o:title=""/>
            <w10:wrap type="topAndBottom"/>
          </v:shape>
          <o:OLEObject Type="Embed" ProgID="Excel.Sheet.12" ShapeID="_x0000_s1047" DrawAspect="Content" ObjectID="_1609766851" r:id="rId27"/>
        </w:object>
      </w:r>
    </w:p>
    <w:p w:rsidR="006942ED" w:rsidRPr="006942ED" w:rsidRDefault="006942ED" w:rsidP="006942ED">
      <w:pPr>
        <w:rPr>
          <w:lang w:eastAsia="es-ES"/>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32384C">
        <w:rPr>
          <w:rFonts w:ascii="Arial" w:hAnsi="Arial" w:cs="Arial"/>
          <w:sz w:val="18"/>
          <w:szCs w:val="18"/>
        </w:rPr>
        <w:t>dic</w:t>
      </w:r>
      <w:r w:rsidR="006D5AC5">
        <w:rPr>
          <w:rFonts w:ascii="Arial" w:hAnsi="Arial" w:cs="Arial"/>
          <w:sz w:val="18"/>
          <w:szCs w:val="18"/>
        </w:rPr>
        <w:t>iembre</w:t>
      </w:r>
      <w:r>
        <w:rPr>
          <w:rFonts w:ascii="Arial" w:hAnsi="Arial" w:cs="Arial"/>
          <w:sz w:val="18"/>
          <w:szCs w:val="18"/>
        </w:rPr>
        <w:t xml:space="preserve"> </w:t>
      </w:r>
      <w:r w:rsidR="008276B2">
        <w:rPr>
          <w:rFonts w:ascii="Arial" w:hAnsi="Arial" w:cs="Arial"/>
          <w:sz w:val="18"/>
          <w:szCs w:val="18"/>
        </w:rPr>
        <w:t>del 201</w:t>
      </w:r>
      <w:r w:rsidR="00EC56A4">
        <w:rPr>
          <w:rFonts w:ascii="Arial" w:hAnsi="Arial" w:cs="Arial"/>
          <w:sz w:val="18"/>
          <w:szCs w:val="18"/>
        </w:rPr>
        <w:t>8</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lastRenderedPageBreak/>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concentró en fortalecer el sistema tributario estatal, </w:t>
      </w:r>
      <w:proofErr w:type="spellStart"/>
      <w:r w:rsidRPr="0063488B">
        <w:rPr>
          <w:rFonts w:ascii="Arial" w:hAnsi="Arial" w:cs="Arial"/>
          <w:sz w:val="18"/>
          <w:szCs w:val="18"/>
        </w:rPr>
        <w:t>eficientando</w:t>
      </w:r>
      <w:proofErr w:type="spellEnd"/>
      <w:r w:rsidRPr="0063488B">
        <w:rPr>
          <w:rFonts w:ascii="Arial" w:hAnsi="Arial" w:cs="Arial"/>
          <w:sz w:val="18"/>
          <w:szCs w:val="18"/>
        </w:rPr>
        <w:t xml:space="preserve">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w:t>
      </w:r>
      <w:proofErr w:type="spellStart"/>
      <w:r w:rsidRPr="00037045">
        <w:rPr>
          <w:rFonts w:ascii="Arial" w:hAnsi="Arial" w:cs="Arial"/>
          <w:sz w:val="18"/>
          <w:szCs w:val="18"/>
        </w:rPr>
        <w:t>eficienten</w:t>
      </w:r>
      <w:proofErr w:type="spellEnd"/>
      <w:r w:rsidRPr="00037045">
        <w:rPr>
          <w:rFonts w:ascii="Arial" w:hAnsi="Arial" w:cs="Arial"/>
          <w:sz w:val="18"/>
          <w:szCs w:val="18"/>
        </w:rPr>
        <w:t xml:space="preserve">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2384C" w:rsidRPr="00C81A32" w:rsidRDefault="0032384C" w:rsidP="0032384C">
      <w:pPr>
        <w:tabs>
          <w:tab w:val="left" w:pos="284"/>
        </w:tabs>
        <w:ind w:left="284"/>
        <w:jc w:val="both"/>
        <w:rPr>
          <w:rFonts w:ascii="Arial" w:hAnsi="Arial" w:cs="Arial"/>
          <w:sz w:val="18"/>
          <w:szCs w:val="18"/>
        </w:rPr>
      </w:pPr>
      <w:r w:rsidRPr="00C81A32">
        <w:rPr>
          <w:rFonts w:ascii="Arial" w:hAnsi="Arial" w:cs="Arial"/>
          <w:sz w:val="18"/>
          <w:szCs w:val="18"/>
        </w:rPr>
        <w:t>El panorama económico del país se presenta bajo un entorno externo complejo que tiene repercusiones importantes sobre las finanzas públicas. En particular, destaca la caída del precio del petróleo y la mayor volatilidad de los mercados financieros asociada a la normalización de la política monetaria en Estados Unidos. En este entorno, México se ha diferenciado de otras economías emergentes al registrar un ajuste ordenado.</w:t>
      </w:r>
    </w:p>
    <w:p w:rsidR="0032384C" w:rsidRPr="00C81A32" w:rsidRDefault="0032384C" w:rsidP="0032384C">
      <w:pPr>
        <w:tabs>
          <w:tab w:val="left" w:pos="284"/>
        </w:tabs>
        <w:ind w:left="284"/>
        <w:jc w:val="both"/>
        <w:rPr>
          <w:rFonts w:ascii="Arial" w:hAnsi="Arial" w:cs="Arial"/>
          <w:sz w:val="18"/>
          <w:szCs w:val="18"/>
        </w:rPr>
      </w:pPr>
      <w:r w:rsidRPr="00C81A32">
        <w:rPr>
          <w:rFonts w:ascii="Arial" w:hAnsi="Arial" w:cs="Arial"/>
          <w:sz w:val="18"/>
          <w:szCs w:val="18"/>
        </w:rPr>
        <w:t xml:space="preserve">El Gobierno del Estado ha enfrentado retos importantes en materia de gasto público, ya que se han tenido mayores restricciones en los ingresos, por lo que, la estrategia estatal de crecimiento debe cimentarse en el fortalecimiento de la recaudación en ingresos propios dentro del marco de sus potestades tributarias, consciente de la necesidad de implementar una disciplina de gasto enfocada al financiamiento de programas sociales y a la reducción de la pobreza, la mejora de los servicios educativos y de salud, mejorar y </w:t>
      </w:r>
      <w:proofErr w:type="spellStart"/>
      <w:r w:rsidRPr="00C81A32">
        <w:rPr>
          <w:rFonts w:ascii="Arial" w:hAnsi="Arial" w:cs="Arial"/>
          <w:sz w:val="18"/>
          <w:szCs w:val="18"/>
        </w:rPr>
        <w:t>eficientar</w:t>
      </w:r>
      <w:proofErr w:type="spellEnd"/>
      <w:r w:rsidRPr="00C81A32">
        <w:rPr>
          <w:rFonts w:ascii="Arial" w:hAnsi="Arial" w:cs="Arial"/>
          <w:sz w:val="18"/>
          <w:szCs w:val="18"/>
        </w:rPr>
        <w:t xml:space="preserve"> la seguridad pública e impartición y procuración de justicia expedita, así como crear las condiciones necesarias para el desarrollo económico de la Entidad, que redunde en una mejora en la calidad de vida de los tlaxcaltecas, para el logro de los objetivos planteados se requiere contar con los recursos suficientes y finanzas públicas sanas. </w:t>
      </w:r>
    </w:p>
    <w:p w:rsidR="0032384C" w:rsidRPr="00C81A32" w:rsidRDefault="0032384C" w:rsidP="0032384C">
      <w:pPr>
        <w:tabs>
          <w:tab w:val="left" w:pos="284"/>
        </w:tabs>
        <w:ind w:left="284"/>
        <w:jc w:val="both"/>
        <w:rPr>
          <w:rFonts w:ascii="Arial" w:hAnsi="Arial" w:cs="Arial"/>
          <w:sz w:val="18"/>
          <w:szCs w:val="18"/>
        </w:rPr>
      </w:pPr>
      <w:r w:rsidRPr="00C81A32">
        <w:rPr>
          <w:rFonts w:ascii="Arial" w:hAnsi="Arial" w:cs="Arial"/>
          <w:sz w:val="18"/>
          <w:szCs w:val="18"/>
        </w:rPr>
        <w:t xml:space="preserve">En un escenario en que las finanzas públicas se pueden ver afectadas por la </w:t>
      </w:r>
      <w:r>
        <w:rPr>
          <w:rFonts w:ascii="Arial" w:hAnsi="Arial" w:cs="Arial"/>
          <w:sz w:val="18"/>
          <w:szCs w:val="18"/>
        </w:rPr>
        <w:t>incertidumbre</w:t>
      </w:r>
      <w:r w:rsidRPr="00C81A32">
        <w:rPr>
          <w:rFonts w:ascii="Arial" w:hAnsi="Arial" w:cs="Arial"/>
          <w:sz w:val="18"/>
          <w:szCs w:val="18"/>
        </w:rPr>
        <w:t xml:space="preserve"> del entorno internacional, una menor demanda global, así como por menores precios de los energéticos y una declinación de la plataforma de producción de crudo por debajo de lo observado en ejercicios anteriores.</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La economía mexicana se desaceleró en el segundo trimestre de 2018 y se percibe atonía en ella. El PIB de México experimentó una caída trimestral (</w:t>
      </w:r>
      <w:proofErr w:type="spellStart"/>
      <w:r w:rsidRPr="00C930D3">
        <w:rPr>
          <w:rFonts w:ascii="Arial" w:hAnsi="Arial" w:cs="Arial"/>
          <w:sz w:val="18"/>
          <w:szCs w:val="18"/>
        </w:rPr>
        <w:t>desestacionalizada</w:t>
      </w:r>
      <w:proofErr w:type="spellEnd"/>
      <w:r w:rsidRPr="00C930D3">
        <w:rPr>
          <w:rFonts w:ascii="Arial" w:hAnsi="Arial" w:cs="Arial"/>
          <w:sz w:val="18"/>
          <w:szCs w:val="18"/>
        </w:rPr>
        <w:t xml:space="preserve">) de 0.2% durante el segundo trimestre de 2018. Cabe destacar que este ha sido el más débil en los últimos diez años. Asimismo, el Indicador IMEF del Entorno Empresarial </w:t>
      </w:r>
      <w:r w:rsidRPr="00C930D3">
        <w:rPr>
          <w:rFonts w:ascii="Arial" w:hAnsi="Arial" w:cs="Arial"/>
          <w:sz w:val="18"/>
          <w:szCs w:val="18"/>
        </w:rPr>
        <w:lastRenderedPageBreak/>
        <w:t xml:space="preserve">Mexicano también ha observado una desaceleración durante los meses de julio y agosto, reflejando una cierta “atonía” en el crecimiento económico, sobre todo en el sector no manufacturero, en donde el indicador de agosto ya se encuentra en terreno de contracción por segundo mes consecutivo. En este sentido, los miembros de los comités tanto de Estudios Económicos como del Indicador IMEF, han resaltado la incertidumbre en torno a la renegociación del TLCAN, así como la usual incertidumbre relacionada con el tema electoral y la transición al nuevo gobierno, como los dos factores principales que han dificultado brindar un ambiente propicio para la inversión y así, haber podido alcanzar mayores tasas de crecimiento en los últimos meses.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 xml:space="preserve">Contrasta gran optimismo de los consumidores y voto de confianza de inversionistas. Después de no haberse observado niveles por arriba de 100 desde la crisis económico-financiera de 2008-2009, el índice de confianza del consumidor que publica INEGI observó niveles de 105.0 y 103.9 en julio y agosto, respectivamente. En la opinión del Comité Nacional de Estudios económicos (CNEE), esto se debió al optimismo que generó la victoria de Andrés Manuel López Obrador en los comicios del pasado 1° de julio de 2018. Asimismo, la fuerte y acelerada apreciación del peso frente al dólar de Estados Unidos de Norteamérica observada desde una semana antes de las elecciones y exacerbada después de que el Instituto Nacional Electoral (INE) dio a conocer los resultados de la elección, dan cuenta del voto de confianza que han brindado los inversionistas extranjeros (y algunos locales) al próximo gobierno. Esta situación es singular, máxime que ha ocurrido en un momento de graves tensiones globales, tanto de carácter proteccionista como por la agudización de problemas macroeconómicos en algunas economías emergentes.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 xml:space="preserve">La historia muestra que típicamente en México se crece poco durante el primer año de gobierno. Dejando atrás las crisis sexenales de los ochentas y noventas, en los últimos tres sexenios el PIB </w:t>
      </w:r>
      <w:proofErr w:type="gramStart"/>
      <w:r w:rsidRPr="00C930D3">
        <w:rPr>
          <w:rFonts w:ascii="Arial" w:hAnsi="Arial" w:cs="Arial"/>
          <w:sz w:val="18"/>
          <w:szCs w:val="18"/>
        </w:rPr>
        <w:t>ha</w:t>
      </w:r>
      <w:proofErr w:type="gramEnd"/>
      <w:r w:rsidRPr="00C930D3">
        <w:rPr>
          <w:rFonts w:ascii="Arial" w:hAnsi="Arial" w:cs="Arial"/>
          <w:sz w:val="18"/>
          <w:szCs w:val="18"/>
        </w:rPr>
        <w:t xml:space="preserve"> caído o ha observado una tasa de crecimiento significativamente más baja que los últimos años del sexenio inmediato anterior. En el primer año del sexenio de Vicente Fox (2001) el PIB cayó 0.4% después de haber crecido a una tasa promedio de 4.3% en los últimos tres años del sexenio de Ernesto Zedillo. Cabe señalar que la crisis de las “dot.com” o empresas de Internet en Estados Unidos de Norteamérica tuvo una incidencia negativa importante en esta caída del PIB en México en el año 2001. Sin embargo, no fue el único factor por el </w:t>
      </w:r>
      <w:proofErr w:type="spellStart"/>
      <w:r w:rsidRPr="00C930D3">
        <w:rPr>
          <w:rFonts w:ascii="Arial" w:hAnsi="Arial" w:cs="Arial"/>
          <w:sz w:val="18"/>
          <w:szCs w:val="18"/>
        </w:rPr>
        <w:t>cuál</w:t>
      </w:r>
      <w:proofErr w:type="spellEnd"/>
      <w:r w:rsidRPr="00C930D3">
        <w:rPr>
          <w:rFonts w:ascii="Arial" w:hAnsi="Arial" w:cs="Arial"/>
          <w:sz w:val="18"/>
          <w:szCs w:val="18"/>
        </w:rPr>
        <w:t xml:space="preserve"> se desaceleró tanto la economía mexicana. Por su parte, el PIB creció 2.3% durante el primer año de Felipe Calderón (2007). Si bien esa tasa no es tan baja, sobre todo a la luz del crecimiento que ha promediado nuestro país en los últimos treinta años, sí representó una desaceleración importante con respecto a los últimos tres años del sexenio de Fox, en los que la tasa de crecimiento del PIB promedió 3.6% de crecimiento. Asimismo, el primer año del actual presidente Enrique Peña Nieto (2013), el PIB solo creció 1.4%, que significó una desaceleración significativa después de haber crecido a un promedio de 4.1% en la segunda mitad del sexenio de Calderón. Menor inversión ha propiciado bajo crecimiento en primer año de los sexenios, la desaceleración “estacional” durante el primer año de cada sexenio tiene que ver con dos aspectos: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1) Por un lado, la inversión privada se desacelera significativamente durante ese período. Esto ocurre por dos factores:</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 xml:space="preserve">a) Una gran cantidad de empresarios posponen las inversiones en nuevos proyectos cuando se acercan los comicios presidenciales (debido a la incertidumbre electoral per se) y no los reactivan sino hasta que ven cuáles van a ser “las reglas del juego” con el gobierno entrante y;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 xml:space="preserve">b) A pesar de que muchos de estos empresarios continúan invirtiendo en los proyectos que habían iniciado tiempo atrás de las elecciones, estos normalmente se terminan un poco antes del primer año del nuevo gobierno.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 xml:space="preserve">Por lo dos factores anteriores, normalmente se presenta una disminución importante en la inversión directa del sector privado durante el primer año de un nuevo gobierno.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 xml:space="preserve">2) Por otro lado, el gasto y la inversión públicos se desaceleran considerablemente durante el primer año de un nuevo gobierno. Esto se debe a que en muchas ocasiones cambian las personas que ejecutan el gasto y la inversión pública tanto a nivel federal, como estatal y municipal.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lastRenderedPageBreak/>
        <w:t xml:space="preserve">En este sentido, la curva de aprendizaje requerida es bastante “empinada”. Dicho de otro modo, no es sencillo aprender a gastar bajo las normativas de cada dependencia gubernamental y a todos los niveles. De hecho, la complejidad de éstas se ha ido incrementando con el objetivo de mitigar los niveles de corrupción. La lentitud en la aplicación del gasto y la inversión pública durante el primer año de gobierno también tiene una incidencia negativa en el crecimiento del PIB en ese período.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En este sentido, en la mediana del pronóstico de crecimiento del PIB para el 2019 de la encuesta de expectativas que levanta el CNEE (2.0%) todavía no se refleja del todo este fenómeno. Desde que Andrés Manuel López Obrador recibió el acta que lo acredita como presidente electo, a finales de agosto, el equipo que dirige (encabezado por los secretarios propuestos de las diferentes dependencias) ha trabajado arduamente con las correspondientes dependencias de gobierno actuales para lograr una transición “suave”. En este sentido, una cantidad importante de promesas de campaña han podido ser vistas desde una arista que permite estimar de manera más realista la posibilidad de instrumentación. Así, varias propuestas han sido redefinidas, como es el caso de la remoción de militares de los lugares donde hay focos álgidos de violencia relacionada con el narcotráfico y la eliminación de algunos aspectos sobre la reforma energética. Asimismo, se han dado algunos cambios en las personas que dirigirán algunas dependencias y poco a poco se va teniendo más información sobre el tipo de gobierno que tendremos en los próximos seis años. Cabe destacar que durante el mes de octubre fue importante dar seguimiento al proceso de consulta ciudadana que el nuevo gobierno llevo a cabo para la continuación o modificación de las obras del Nuevo Aeropuerto de la Ciudad de México (NAIM). Este resultado indudablemente es una señal muy importante para los principales inversionistas en cuanto al respeto del Estado de Derecho en torno a las asociaciones público-privadas que se desean construir durante la nueva administración.</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En el Estado viven 1</w:t>
      </w:r>
      <w:proofErr w:type="gramStart"/>
      <w:r w:rsidRPr="00C930D3">
        <w:rPr>
          <w:rFonts w:ascii="Arial" w:hAnsi="Arial" w:cs="Arial"/>
          <w:sz w:val="18"/>
          <w:szCs w:val="18"/>
        </w:rPr>
        <w:t>,272,847</w:t>
      </w:r>
      <w:proofErr w:type="gramEnd"/>
      <w:r w:rsidRPr="00C930D3">
        <w:rPr>
          <w:rFonts w:ascii="Arial" w:hAnsi="Arial" w:cs="Arial"/>
          <w:sz w:val="18"/>
          <w:szCs w:val="18"/>
        </w:rPr>
        <w:t xml:space="preserve">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32384C" w:rsidRPr="00C930D3" w:rsidRDefault="0032384C" w:rsidP="0032384C">
      <w:pPr>
        <w:tabs>
          <w:tab w:val="left" w:pos="284"/>
        </w:tabs>
        <w:ind w:left="284"/>
        <w:jc w:val="center"/>
        <w:rPr>
          <w:rFonts w:ascii="Arial" w:hAnsi="Arial" w:cs="Arial"/>
          <w:sz w:val="18"/>
          <w:szCs w:val="18"/>
        </w:rPr>
      </w:pPr>
      <w:r w:rsidRPr="00C930D3">
        <w:rPr>
          <w:rFonts w:ascii="Arial" w:hAnsi="Arial" w:cs="Arial"/>
          <w:noProof/>
          <w:sz w:val="18"/>
          <w:szCs w:val="18"/>
          <w:lang w:eastAsia="es-MX"/>
        </w:rPr>
        <w:lastRenderedPageBreak/>
        <w:drawing>
          <wp:inline distT="0" distB="0" distL="0" distR="0" wp14:anchorId="677EFA54" wp14:editId="0D56582A">
            <wp:extent cx="2560320" cy="3555365"/>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60320" cy="3555365"/>
                    </a:xfrm>
                    <a:prstGeom prst="rect">
                      <a:avLst/>
                    </a:prstGeom>
                    <a:noFill/>
                    <a:ln>
                      <a:noFill/>
                    </a:ln>
                  </pic:spPr>
                </pic:pic>
              </a:graphicData>
            </a:graphic>
          </wp:inline>
        </w:drawing>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primer trimestre de 2018, Tlaxcala ha recibido flujos de inversión acumulados por 2 mil 783 millones de dólares (</w:t>
      </w:r>
      <w:proofErr w:type="spellStart"/>
      <w:r w:rsidRPr="00C930D3">
        <w:rPr>
          <w:rFonts w:ascii="Arial" w:hAnsi="Arial" w:cs="Arial"/>
          <w:sz w:val="18"/>
          <w:szCs w:val="18"/>
        </w:rPr>
        <w:t>mdd</w:t>
      </w:r>
      <w:proofErr w:type="spellEnd"/>
      <w:r w:rsidRPr="00C930D3">
        <w:rPr>
          <w:rFonts w:ascii="Arial" w:hAnsi="Arial" w:cs="Arial"/>
          <w:sz w:val="18"/>
          <w:szCs w:val="18"/>
        </w:rPr>
        <w:t>) equivalentes al 1% del total de flujos captados por el país de acuerdo a la Secretaría de Economía al 2º Trimestre de 2018, la entidad pasó a ocupar la posición 30 como receptor de inversión externa en el país, una mejora de cuatro lugares con respecto al año 2015.</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lastRenderedPageBreak/>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es de 602 mil 414 personas y representa 1.1% del total nacional. La población ocupada representó 97% de la PEA de la entidad, es decir, 579 mil 610 personas. De esta población, 60 % son hombres y 40 % son mujeres. Un dato a destacar es el aumento de la participación laboral femenina en el estado. En 2000, la proporción de mujeres trabajadoras tlaxcaltecas dentro de la población ocupada total era de 34%. Actualmente, alcanza 40%, 2 punto porcentual mayor al promedio nacional.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Al mes de noviembre de 2018 la tasa de ocupación reflejó una participación del 1.1 % al total nacional, representando un incremento de 5,211 puestos de trabajo respecto a diciembre de 2017. Al mes de noviembre de 2018, se tienen registrados 102,385 trabajadores asegurados en el IMSS, tal y como se muestra en el siguiente cuadro:</w:t>
      </w:r>
    </w:p>
    <w:p w:rsidR="0032384C" w:rsidRPr="00C930D3" w:rsidRDefault="0032384C" w:rsidP="0032384C">
      <w:pPr>
        <w:tabs>
          <w:tab w:val="left" w:pos="284"/>
        </w:tabs>
        <w:ind w:left="284"/>
        <w:jc w:val="center"/>
        <w:rPr>
          <w:rFonts w:ascii="Arial" w:hAnsi="Arial" w:cs="Arial"/>
          <w:sz w:val="18"/>
          <w:szCs w:val="18"/>
        </w:rPr>
      </w:pPr>
      <w:r w:rsidRPr="00C930D3">
        <w:rPr>
          <w:rFonts w:ascii="Arial" w:hAnsi="Arial" w:cs="Arial"/>
          <w:noProof/>
          <w:sz w:val="18"/>
          <w:szCs w:val="18"/>
          <w:lang w:eastAsia="es-MX"/>
        </w:rPr>
        <w:drawing>
          <wp:inline distT="0" distB="0" distL="0" distR="0" wp14:anchorId="4480E919" wp14:editId="207B3382">
            <wp:extent cx="8134350" cy="3943324"/>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20184" t="28854" r="21162" b="18755"/>
                    <a:stretch>
                      <a:fillRect/>
                    </a:stretch>
                  </pic:blipFill>
                  <pic:spPr bwMode="auto">
                    <a:xfrm>
                      <a:off x="0" y="0"/>
                      <a:ext cx="8164305" cy="3957845"/>
                    </a:xfrm>
                    <a:prstGeom prst="rect">
                      <a:avLst/>
                    </a:prstGeom>
                    <a:noFill/>
                    <a:ln>
                      <a:noFill/>
                    </a:ln>
                  </pic:spPr>
                </pic:pic>
              </a:graphicData>
            </a:graphic>
          </wp:inline>
        </w:drawing>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noProof/>
          <w:sz w:val="18"/>
          <w:szCs w:val="18"/>
          <w:lang w:eastAsia="es-MX"/>
        </w:rPr>
        <w:lastRenderedPageBreak/>
        <w:drawing>
          <wp:inline distT="0" distB="0" distL="0" distR="0" wp14:anchorId="3173CA62" wp14:editId="4227E85E">
            <wp:extent cx="7753985" cy="58299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1132" t="11266" r="22028" b="12659"/>
                    <a:stretch>
                      <a:fillRect/>
                    </a:stretch>
                  </pic:blipFill>
                  <pic:spPr bwMode="auto">
                    <a:xfrm>
                      <a:off x="0" y="0"/>
                      <a:ext cx="7753985" cy="5829935"/>
                    </a:xfrm>
                    <a:prstGeom prst="rect">
                      <a:avLst/>
                    </a:prstGeom>
                    <a:noFill/>
                    <a:ln>
                      <a:noFill/>
                    </a:ln>
                  </pic:spPr>
                </pic:pic>
              </a:graphicData>
            </a:graphic>
          </wp:inline>
        </w:drawing>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lastRenderedPageBreak/>
        <w:t>De acuerdo al Directorio Estadístico Nacional de Unidades Económicas, Tlaxcala cuenta con 73,151 Unidades Económicas, lo que representa el 2 % del total nacional. Al tercer trimestre de 2018 la Población Económicamente Activa (PEA) ascendió a 602,414 personas, representando el 62 % de la población en edad de trabajar. Del Total de la PEA, el 97 % está ocupada y el 3 % se encuentra desocupada.</w:t>
      </w:r>
    </w:p>
    <w:p w:rsidR="0032384C" w:rsidRPr="00C930D3" w:rsidRDefault="0032384C" w:rsidP="0032384C">
      <w:pPr>
        <w:tabs>
          <w:tab w:val="left" w:pos="284"/>
        </w:tabs>
        <w:ind w:left="284"/>
        <w:jc w:val="center"/>
        <w:rPr>
          <w:rFonts w:ascii="Arial" w:hAnsi="Arial" w:cs="Arial"/>
          <w:sz w:val="18"/>
          <w:szCs w:val="18"/>
        </w:rPr>
      </w:pPr>
      <w:r w:rsidRPr="00C930D3">
        <w:rPr>
          <w:rFonts w:ascii="Arial" w:hAnsi="Arial" w:cs="Arial"/>
          <w:noProof/>
          <w:sz w:val="18"/>
          <w:szCs w:val="18"/>
          <w:lang w:eastAsia="es-MX"/>
        </w:rPr>
        <w:drawing>
          <wp:inline distT="0" distB="0" distL="0" distR="0" wp14:anchorId="100A4507" wp14:editId="7506E014">
            <wp:extent cx="6166485" cy="4688840"/>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3994" t="18219" r="23941" b="11572"/>
                    <a:stretch>
                      <a:fillRect/>
                    </a:stretch>
                  </pic:blipFill>
                  <pic:spPr bwMode="auto">
                    <a:xfrm>
                      <a:off x="0" y="0"/>
                      <a:ext cx="6166485" cy="4688840"/>
                    </a:xfrm>
                    <a:prstGeom prst="rect">
                      <a:avLst/>
                    </a:prstGeom>
                    <a:noFill/>
                    <a:ln>
                      <a:noFill/>
                    </a:ln>
                  </pic:spPr>
                </pic:pic>
              </a:graphicData>
            </a:graphic>
          </wp:inline>
        </w:drawing>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 xml:space="preserve">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w:t>
      </w:r>
      <w:r w:rsidRPr="00C930D3">
        <w:rPr>
          <w:rFonts w:ascii="Arial" w:hAnsi="Arial" w:cs="Arial"/>
          <w:sz w:val="18"/>
          <w:szCs w:val="18"/>
        </w:rPr>
        <w:lastRenderedPageBreak/>
        <w:t>hemos buscado insertar los productos tlaxcaltecas en los mercados nacional e internacional, dado que en el marco de una economía globalizada presenta mayores complejidades, por lo que es indispensable identificar las oportunidades y aprovecharlas con eficacia.</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Al segundo trimestre de 2018, la Inversión Extranjera Directa Acumulada del año 1999 al mes de marzo de 2018 en el Estado de Tlaxcala fue de 2,783 millones de dólares lo que representó un aporte del 1 % al total nacional, instalándose empresas de diversas nacionalidades.</w:t>
      </w:r>
    </w:p>
    <w:p w:rsidR="0032384C" w:rsidRPr="00B67E86" w:rsidRDefault="0032384C" w:rsidP="0032384C">
      <w:pPr>
        <w:tabs>
          <w:tab w:val="left" w:pos="284"/>
        </w:tabs>
        <w:ind w:left="284"/>
        <w:jc w:val="center"/>
        <w:rPr>
          <w:rFonts w:ascii="Arial" w:hAnsi="Arial" w:cs="Arial"/>
          <w:b/>
          <w:sz w:val="18"/>
          <w:szCs w:val="18"/>
        </w:rPr>
      </w:pPr>
      <w:r w:rsidRPr="00B67E86">
        <w:rPr>
          <w:rFonts w:ascii="Arial" w:hAnsi="Arial" w:cs="Arial"/>
          <w:b/>
          <w:sz w:val="18"/>
          <w:szCs w:val="18"/>
        </w:rPr>
        <w:t>INVERSIÓN EXTRANJERA DIRECTA EN MÉXICO</w:t>
      </w:r>
    </w:p>
    <w:p w:rsidR="0032384C" w:rsidRPr="00B67E86" w:rsidRDefault="0032384C" w:rsidP="0032384C">
      <w:pPr>
        <w:tabs>
          <w:tab w:val="left" w:pos="284"/>
        </w:tabs>
        <w:ind w:left="284"/>
        <w:jc w:val="center"/>
        <w:rPr>
          <w:rFonts w:ascii="Arial" w:hAnsi="Arial" w:cs="Arial"/>
          <w:b/>
          <w:sz w:val="18"/>
          <w:szCs w:val="18"/>
        </w:rPr>
      </w:pPr>
      <w:r w:rsidRPr="00B67E86">
        <w:rPr>
          <w:rFonts w:ascii="Arial" w:hAnsi="Arial" w:cs="Arial"/>
          <w:b/>
          <w:sz w:val="18"/>
          <w:szCs w:val="18"/>
        </w:rPr>
        <w:t>POR ENTIDAD FEDERATIVA</w:t>
      </w:r>
    </w:p>
    <w:p w:rsidR="0032384C" w:rsidRPr="00B67E86" w:rsidRDefault="0032384C" w:rsidP="0032384C">
      <w:pPr>
        <w:tabs>
          <w:tab w:val="left" w:pos="284"/>
        </w:tabs>
        <w:ind w:left="284"/>
        <w:jc w:val="center"/>
        <w:rPr>
          <w:rFonts w:ascii="Arial" w:hAnsi="Arial" w:cs="Arial"/>
          <w:b/>
          <w:sz w:val="18"/>
          <w:szCs w:val="18"/>
        </w:rPr>
      </w:pPr>
      <w:r w:rsidRPr="00B67E86">
        <w:rPr>
          <w:rFonts w:ascii="Arial" w:hAnsi="Arial" w:cs="Arial"/>
          <w:b/>
          <w:sz w:val="18"/>
          <w:szCs w:val="18"/>
        </w:rPr>
        <w:t>(Millones de Dólares)</w:t>
      </w:r>
    </w:p>
    <w:p w:rsidR="0032384C" w:rsidRPr="00C930D3" w:rsidRDefault="0032384C" w:rsidP="0032384C">
      <w:pPr>
        <w:tabs>
          <w:tab w:val="left" w:pos="284"/>
        </w:tabs>
        <w:ind w:left="284"/>
        <w:jc w:val="center"/>
        <w:rPr>
          <w:rFonts w:ascii="Arial" w:hAnsi="Arial" w:cs="Arial"/>
          <w:sz w:val="18"/>
          <w:szCs w:val="18"/>
        </w:rPr>
      </w:pPr>
      <w:r w:rsidRPr="00C930D3">
        <w:rPr>
          <w:rFonts w:ascii="Arial" w:hAnsi="Arial" w:cs="Arial"/>
          <w:noProof/>
          <w:sz w:val="18"/>
          <w:szCs w:val="18"/>
          <w:lang w:eastAsia="es-MX"/>
        </w:rPr>
        <w:drawing>
          <wp:inline distT="0" distB="0" distL="0" distR="0" wp14:anchorId="23CF447F" wp14:editId="61837EE5">
            <wp:extent cx="7477125" cy="4191000"/>
            <wp:effectExtent l="0" t="0" r="952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77125" cy="4191000"/>
                    </a:xfrm>
                    <a:prstGeom prst="rect">
                      <a:avLst/>
                    </a:prstGeom>
                    <a:noFill/>
                    <a:ln>
                      <a:noFill/>
                    </a:ln>
                  </pic:spPr>
                </pic:pic>
              </a:graphicData>
            </a:graphic>
          </wp:inline>
        </w:drawing>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noProof/>
          <w:sz w:val="18"/>
          <w:szCs w:val="18"/>
          <w:lang w:eastAsia="es-MX"/>
        </w:rPr>
        <w:lastRenderedPageBreak/>
        <mc:AlternateContent>
          <mc:Choice Requires="wps">
            <w:drawing>
              <wp:anchor distT="0" distB="0" distL="114300" distR="114300" simplePos="0" relativeHeight="251685888" behindDoc="0" locked="0" layoutInCell="1" allowOverlap="1" wp14:anchorId="0CA81154" wp14:editId="26AD79D7">
                <wp:simplePos x="0" y="0"/>
                <wp:positionH relativeFrom="page">
                  <wp:posOffset>8772525</wp:posOffset>
                </wp:positionH>
                <wp:positionV relativeFrom="page">
                  <wp:posOffset>158209615</wp:posOffset>
                </wp:positionV>
                <wp:extent cx="189865" cy="45720"/>
                <wp:effectExtent l="19050" t="38100" r="57785" b="49530"/>
                <wp:wrapNone/>
                <wp:docPr id="94" name="Flecha derecha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67C809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4"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BBg1Q+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C930D3">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El poco dinamismo de la economía regional, restringe al Estado para incrementar significativamente su recaudación propia; de 2011 a 2018, los ingresos propios promediaron entre el 4 y 6 por ciento de los ingresos totales captados. Se han implementado algunas medidas que incentivaron el pago de impuestos para reducir el rezago fiscal, particularmente en materia de tenencia y derechos vehiculares.</w:t>
      </w:r>
    </w:p>
    <w:p w:rsidR="0032384C" w:rsidRPr="00C930D3" w:rsidRDefault="0032384C" w:rsidP="0032384C">
      <w:pPr>
        <w:tabs>
          <w:tab w:val="left" w:pos="284"/>
        </w:tabs>
        <w:ind w:left="284"/>
        <w:jc w:val="both"/>
        <w:rPr>
          <w:rFonts w:ascii="Arial" w:hAnsi="Arial" w:cs="Arial"/>
          <w:sz w:val="18"/>
          <w:szCs w:val="18"/>
        </w:rPr>
      </w:pPr>
      <w:r w:rsidRPr="00C930D3">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32384C" w:rsidRPr="008C6D51" w:rsidRDefault="0032384C" w:rsidP="0032384C">
      <w:pPr>
        <w:pStyle w:val="PRIMERAPLANA"/>
        <w:spacing w:line="360" w:lineRule="auto"/>
        <w:rPr>
          <w:rFonts w:cs="Arial"/>
          <w:sz w:val="18"/>
          <w:szCs w:val="18"/>
          <w:lang w:val="es-ES"/>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3"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4"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5"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6"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7"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8"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39" w:tooltip="Hidalgo (México)" w:history="1">
        <w:r w:rsidRPr="0073056A">
          <w:rPr>
            <w:rFonts w:ascii="Arial" w:hAnsi="Arial" w:cs="Arial"/>
            <w:sz w:val="18"/>
            <w:szCs w:val="18"/>
          </w:rPr>
          <w:t>Hidalgo</w:t>
        </w:r>
      </w:hyperlink>
      <w:r w:rsidRPr="0073056A">
        <w:rPr>
          <w:rFonts w:ascii="Arial" w:hAnsi="Arial" w:cs="Arial"/>
          <w:sz w:val="18"/>
          <w:szCs w:val="18"/>
        </w:rPr>
        <w:t xml:space="preserve">. La entidad se localiza en la región del Eje </w:t>
      </w:r>
      <w:proofErr w:type="spellStart"/>
      <w:r w:rsidRPr="0073056A">
        <w:rPr>
          <w:rFonts w:ascii="Arial" w:hAnsi="Arial" w:cs="Arial"/>
          <w:sz w:val="18"/>
          <w:szCs w:val="18"/>
        </w:rPr>
        <w:t>Neovolcánico</w:t>
      </w:r>
      <w:proofErr w:type="spellEnd"/>
      <w:r w:rsidRPr="0073056A">
        <w:rPr>
          <w:rFonts w:ascii="Arial" w:hAnsi="Arial" w:cs="Arial"/>
          <w:sz w:val="18"/>
          <w:szCs w:val="18"/>
        </w:rPr>
        <w:t>,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lastRenderedPageBreak/>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w:t>
                              </w:r>
                              <w:proofErr w:type="spellStart"/>
                              <w:r>
                                <w:rPr>
                                  <w:rFonts w:ascii="Arial" w:hAnsi="Arial" w:cs="Arial"/>
                                  <w:color w:val="000000"/>
                                  <w:sz w:val="18"/>
                                  <w:szCs w:val="18"/>
                                  <w:lang w:val="en-US"/>
                                </w:rPr>
                                <w:t>Calva</w:t>
                              </w:r>
                              <w:proofErr w:type="spellEnd"/>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100FD7" w:rsidRDefault="00100FD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100FD7" w:rsidRDefault="00100FD7"/>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100FD7" w:rsidRDefault="00100FD7"/>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100FD7" w:rsidRDefault="00100FD7">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100FD7" w:rsidRDefault="00100FD7">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100FD7" w:rsidRDefault="00100FD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100FD7" w:rsidRDefault="00100FD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40"/>
      <w:headerReference w:type="default" r:id="rId41"/>
      <w:footerReference w:type="even" r:id="rId42"/>
      <w:footerReference w:type="default" r:id="rId43"/>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CB3" w:rsidRDefault="00BE3CB3" w:rsidP="00EA5418">
      <w:pPr>
        <w:spacing w:after="0" w:line="240" w:lineRule="auto"/>
      </w:pPr>
      <w:r>
        <w:separator/>
      </w:r>
    </w:p>
  </w:endnote>
  <w:endnote w:type="continuationSeparator" w:id="0">
    <w:p w:rsidR="00BE3CB3" w:rsidRDefault="00BE3CB3"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Pr="004E3EA4" w:rsidRDefault="00100FD7"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C04062" w:rsidRPr="00C04062">
          <w:rPr>
            <w:rFonts w:ascii="Arial" w:hAnsi="Arial" w:cs="Arial"/>
            <w:noProof/>
            <w:sz w:val="20"/>
            <w:lang w:val="es-ES"/>
          </w:rPr>
          <w:t>20</w:t>
        </w:r>
        <w:r w:rsidRPr="004E3EA4">
          <w:rPr>
            <w:rFonts w:ascii="Arial" w:hAnsi="Arial" w:cs="Arial"/>
            <w:sz w:val="20"/>
          </w:rPr>
          <w:fldChar w:fldCharType="end"/>
        </w:r>
      </w:sdtContent>
    </w:sdt>
  </w:p>
  <w:p w:rsidR="00100FD7" w:rsidRDefault="00100F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Pr="003527CD" w:rsidRDefault="00100FD7"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C04062" w:rsidRPr="00C04062">
          <w:rPr>
            <w:rFonts w:ascii="Arial" w:hAnsi="Arial" w:cs="Arial"/>
            <w:noProof/>
            <w:lang w:val="es-ES"/>
          </w:rPr>
          <w:t>21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CB3" w:rsidRDefault="00BE3CB3" w:rsidP="00EA5418">
      <w:pPr>
        <w:spacing w:after="0" w:line="240" w:lineRule="auto"/>
      </w:pPr>
      <w:r>
        <w:separator/>
      </w:r>
    </w:p>
  </w:footnote>
  <w:footnote w:type="continuationSeparator" w:id="0">
    <w:p w:rsidR="00BE3CB3" w:rsidRDefault="00BE3CB3"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Default="00100FD7">
    <w:pPr>
      <w:pStyle w:val="Encabezado"/>
    </w:pPr>
    <w:r>
      <w:rPr>
        <w:noProof/>
        <w:lang w:eastAsia="es-MX"/>
      </w:rPr>
      <mc:AlternateContent>
        <mc:Choice Requires="wpg">
          <w:drawing>
            <wp:anchor distT="0" distB="0" distL="114300" distR="114300" simplePos="0" relativeHeight="251669504" behindDoc="0" locked="0" layoutInCell="1" allowOverlap="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0FD7" w:rsidRPr="00DE4269" w:rsidRDefault="00100FD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9 Grupo" o:spid="_x0000_s1102"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100FD7" w:rsidRPr="00DE4269" w:rsidRDefault="00100FD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1968500</wp:posOffset>
              </wp:positionH>
              <wp:positionV relativeFrom="paragraph">
                <wp:posOffset>-342900</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00FD7" w:rsidRDefault="00100FD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105" type="#_x0000_t202" style="position:absolute;margin-left:155pt;margin-top:-27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rsidR="00100FD7" w:rsidRDefault="00100FD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00FD7" w:rsidRDefault="00100FD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Pr="003527CD" w:rsidRDefault="00100FD7"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6"/>
  </w:num>
  <w:num w:numId="5">
    <w:abstractNumId w:val="7"/>
  </w:num>
  <w:num w:numId="6">
    <w:abstractNumId w:val="13"/>
  </w:num>
  <w:num w:numId="7">
    <w:abstractNumId w:val="11"/>
  </w:num>
  <w:num w:numId="8">
    <w:abstractNumId w:val="9"/>
  </w:num>
  <w:num w:numId="9">
    <w:abstractNumId w:val="5"/>
  </w:num>
  <w:num w:numId="10">
    <w:abstractNumId w:val="2"/>
  </w:num>
  <w:num w:numId="11">
    <w:abstractNumId w:val="0"/>
  </w:num>
  <w:num w:numId="12">
    <w:abstractNumId w:val="4"/>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24D1"/>
    <w:rsid w:val="000053D1"/>
    <w:rsid w:val="00006217"/>
    <w:rsid w:val="0001342E"/>
    <w:rsid w:val="000155BC"/>
    <w:rsid w:val="000202A5"/>
    <w:rsid w:val="00021787"/>
    <w:rsid w:val="00026C0E"/>
    <w:rsid w:val="000271C8"/>
    <w:rsid w:val="00031160"/>
    <w:rsid w:val="00031DC4"/>
    <w:rsid w:val="00037045"/>
    <w:rsid w:val="00040466"/>
    <w:rsid w:val="000417DA"/>
    <w:rsid w:val="00043F64"/>
    <w:rsid w:val="0004567A"/>
    <w:rsid w:val="00045A10"/>
    <w:rsid w:val="0004695D"/>
    <w:rsid w:val="00054C4D"/>
    <w:rsid w:val="00056EDF"/>
    <w:rsid w:val="000574E6"/>
    <w:rsid w:val="00063159"/>
    <w:rsid w:val="000655E4"/>
    <w:rsid w:val="0006593A"/>
    <w:rsid w:val="0006610A"/>
    <w:rsid w:val="0006668A"/>
    <w:rsid w:val="0006755E"/>
    <w:rsid w:val="00072BA1"/>
    <w:rsid w:val="00076E1D"/>
    <w:rsid w:val="00084D46"/>
    <w:rsid w:val="00090FD9"/>
    <w:rsid w:val="0009604B"/>
    <w:rsid w:val="00097255"/>
    <w:rsid w:val="000A00F8"/>
    <w:rsid w:val="000A4867"/>
    <w:rsid w:val="000A5776"/>
    <w:rsid w:val="000A7AB8"/>
    <w:rsid w:val="000B54AD"/>
    <w:rsid w:val="000B62E8"/>
    <w:rsid w:val="000B6E5A"/>
    <w:rsid w:val="000D01E9"/>
    <w:rsid w:val="000D4D45"/>
    <w:rsid w:val="000D553D"/>
    <w:rsid w:val="000E5C7A"/>
    <w:rsid w:val="000E6692"/>
    <w:rsid w:val="000F0E08"/>
    <w:rsid w:val="000F1B18"/>
    <w:rsid w:val="00100FD7"/>
    <w:rsid w:val="001130E9"/>
    <w:rsid w:val="001156F5"/>
    <w:rsid w:val="00115E5C"/>
    <w:rsid w:val="00115FAF"/>
    <w:rsid w:val="001203B5"/>
    <w:rsid w:val="00120A86"/>
    <w:rsid w:val="00123461"/>
    <w:rsid w:val="001234D1"/>
    <w:rsid w:val="0013011C"/>
    <w:rsid w:val="00134F21"/>
    <w:rsid w:val="00136E7D"/>
    <w:rsid w:val="00144A5D"/>
    <w:rsid w:val="0014540D"/>
    <w:rsid w:val="001528B7"/>
    <w:rsid w:val="0016242F"/>
    <w:rsid w:val="001635E1"/>
    <w:rsid w:val="00165BB4"/>
    <w:rsid w:val="001660FE"/>
    <w:rsid w:val="00172B7D"/>
    <w:rsid w:val="00174F47"/>
    <w:rsid w:val="0018603D"/>
    <w:rsid w:val="00193B2D"/>
    <w:rsid w:val="00196515"/>
    <w:rsid w:val="001A3F6A"/>
    <w:rsid w:val="001B13BF"/>
    <w:rsid w:val="001B1B72"/>
    <w:rsid w:val="001B2632"/>
    <w:rsid w:val="001B267D"/>
    <w:rsid w:val="001B4EE5"/>
    <w:rsid w:val="001B51F1"/>
    <w:rsid w:val="001B6F95"/>
    <w:rsid w:val="001B7DDA"/>
    <w:rsid w:val="001C2435"/>
    <w:rsid w:val="001C47EF"/>
    <w:rsid w:val="001C48E8"/>
    <w:rsid w:val="001C4CB9"/>
    <w:rsid w:val="001C66C1"/>
    <w:rsid w:val="001C6C21"/>
    <w:rsid w:val="001C6FD8"/>
    <w:rsid w:val="001D0747"/>
    <w:rsid w:val="001D3572"/>
    <w:rsid w:val="001E3216"/>
    <w:rsid w:val="001E327A"/>
    <w:rsid w:val="001E46CF"/>
    <w:rsid w:val="001E7072"/>
    <w:rsid w:val="001F0C04"/>
    <w:rsid w:val="001F18C1"/>
    <w:rsid w:val="002023F6"/>
    <w:rsid w:val="00202C27"/>
    <w:rsid w:val="00203AC0"/>
    <w:rsid w:val="00203F37"/>
    <w:rsid w:val="00204C86"/>
    <w:rsid w:val="00212203"/>
    <w:rsid w:val="0022227A"/>
    <w:rsid w:val="00223CE1"/>
    <w:rsid w:val="00227B93"/>
    <w:rsid w:val="00230B71"/>
    <w:rsid w:val="00236748"/>
    <w:rsid w:val="002431DD"/>
    <w:rsid w:val="00245E54"/>
    <w:rsid w:val="00247AD7"/>
    <w:rsid w:val="00251F0D"/>
    <w:rsid w:val="00255476"/>
    <w:rsid w:val="00261B45"/>
    <w:rsid w:val="00264426"/>
    <w:rsid w:val="002705C0"/>
    <w:rsid w:val="00270EC8"/>
    <w:rsid w:val="00272E20"/>
    <w:rsid w:val="0027627B"/>
    <w:rsid w:val="00280CD3"/>
    <w:rsid w:val="002858C7"/>
    <w:rsid w:val="00287D90"/>
    <w:rsid w:val="00295FCC"/>
    <w:rsid w:val="002A2013"/>
    <w:rsid w:val="002A70B3"/>
    <w:rsid w:val="002A728F"/>
    <w:rsid w:val="002B0770"/>
    <w:rsid w:val="002B32BF"/>
    <w:rsid w:val="002B4828"/>
    <w:rsid w:val="002B7C62"/>
    <w:rsid w:val="002C0A9F"/>
    <w:rsid w:val="002C479E"/>
    <w:rsid w:val="002C4A76"/>
    <w:rsid w:val="002C4E19"/>
    <w:rsid w:val="002C5ACA"/>
    <w:rsid w:val="002D0278"/>
    <w:rsid w:val="002D2BEE"/>
    <w:rsid w:val="002E52F9"/>
    <w:rsid w:val="002F546C"/>
    <w:rsid w:val="00302E39"/>
    <w:rsid w:val="00311255"/>
    <w:rsid w:val="00312040"/>
    <w:rsid w:val="0032152C"/>
    <w:rsid w:val="0032384C"/>
    <w:rsid w:val="00323D16"/>
    <w:rsid w:val="00324311"/>
    <w:rsid w:val="00327048"/>
    <w:rsid w:val="00327740"/>
    <w:rsid w:val="00331185"/>
    <w:rsid w:val="00332091"/>
    <w:rsid w:val="0033398C"/>
    <w:rsid w:val="0033624E"/>
    <w:rsid w:val="00336B8F"/>
    <w:rsid w:val="00351921"/>
    <w:rsid w:val="003527CD"/>
    <w:rsid w:val="00354047"/>
    <w:rsid w:val="0035405F"/>
    <w:rsid w:val="00356170"/>
    <w:rsid w:val="003612CA"/>
    <w:rsid w:val="00365BA0"/>
    <w:rsid w:val="00372F40"/>
    <w:rsid w:val="00374E36"/>
    <w:rsid w:val="00380E8C"/>
    <w:rsid w:val="00380EE2"/>
    <w:rsid w:val="003811EC"/>
    <w:rsid w:val="00383BCB"/>
    <w:rsid w:val="00386E53"/>
    <w:rsid w:val="003900E3"/>
    <w:rsid w:val="00390936"/>
    <w:rsid w:val="00393281"/>
    <w:rsid w:val="00396C2B"/>
    <w:rsid w:val="003A0303"/>
    <w:rsid w:val="003A6C39"/>
    <w:rsid w:val="003A7ADE"/>
    <w:rsid w:val="003B1B0C"/>
    <w:rsid w:val="003B55DA"/>
    <w:rsid w:val="003C35FE"/>
    <w:rsid w:val="003C5C30"/>
    <w:rsid w:val="003D0221"/>
    <w:rsid w:val="003D1331"/>
    <w:rsid w:val="003D2E3D"/>
    <w:rsid w:val="003D5DBF"/>
    <w:rsid w:val="003D6079"/>
    <w:rsid w:val="003E63CA"/>
    <w:rsid w:val="003E6BD8"/>
    <w:rsid w:val="003E7FD0"/>
    <w:rsid w:val="003F0340"/>
    <w:rsid w:val="003F0EA4"/>
    <w:rsid w:val="003F16E6"/>
    <w:rsid w:val="003F2A03"/>
    <w:rsid w:val="0040301B"/>
    <w:rsid w:val="0040746E"/>
    <w:rsid w:val="004076AC"/>
    <w:rsid w:val="004213BC"/>
    <w:rsid w:val="004306DA"/>
    <w:rsid w:val="004311BE"/>
    <w:rsid w:val="004373B9"/>
    <w:rsid w:val="00441E7C"/>
    <w:rsid w:val="0044253C"/>
    <w:rsid w:val="004466A7"/>
    <w:rsid w:val="00454129"/>
    <w:rsid w:val="00454250"/>
    <w:rsid w:val="00463B0D"/>
    <w:rsid w:val="004644D4"/>
    <w:rsid w:val="004649FD"/>
    <w:rsid w:val="004714CF"/>
    <w:rsid w:val="00474420"/>
    <w:rsid w:val="00480F7F"/>
    <w:rsid w:val="004842C3"/>
    <w:rsid w:val="00484C0D"/>
    <w:rsid w:val="00487AC2"/>
    <w:rsid w:val="0049279C"/>
    <w:rsid w:val="00493E27"/>
    <w:rsid w:val="00497D8B"/>
    <w:rsid w:val="004A67F1"/>
    <w:rsid w:val="004A7484"/>
    <w:rsid w:val="004B04CF"/>
    <w:rsid w:val="004B1F00"/>
    <w:rsid w:val="004B2344"/>
    <w:rsid w:val="004B263B"/>
    <w:rsid w:val="004B5686"/>
    <w:rsid w:val="004C0ECA"/>
    <w:rsid w:val="004C1616"/>
    <w:rsid w:val="004C4F16"/>
    <w:rsid w:val="004C5E7B"/>
    <w:rsid w:val="004D30E1"/>
    <w:rsid w:val="004D3E91"/>
    <w:rsid w:val="004D41B8"/>
    <w:rsid w:val="004E3EA4"/>
    <w:rsid w:val="004F542A"/>
    <w:rsid w:val="004F5641"/>
    <w:rsid w:val="0050183B"/>
    <w:rsid w:val="00502DDD"/>
    <w:rsid w:val="00503454"/>
    <w:rsid w:val="00514F2B"/>
    <w:rsid w:val="00516599"/>
    <w:rsid w:val="0052034A"/>
    <w:rsid w:val="00521715"/>
    <w:rsid w:val="00521728"/>
    <w:rsid w:val="00522632"/>
    <w:rsid w:val="00522EF3"/>
    <w:rsid w:val="0052562F"/>
    <w:rsid w:val="0052637F"/>
    <w:rsid w:val="00530DED"/>
    <w:rsid w:val="0053277D"/>
    <w:rsid w:val="005327CE"/>
    <w:rsid w:val="00540418"/>
    <w:rsid w:val="00543F97"/>
    <w:rsid w:val="00545527"/>
    <w:rsid w:val="00550363"/>
    <w:rsid w:val="00553CB3"/>
    <w:rsid w:val="00556D2F"/>
    <w:rsid w:val="0056081A"/>
    <w:rsid w:val="00562D1C"/>
    <w:rsid w:val="00565576"/>
    <w:rsid w:val="00570444"/>
    <w:rsid w:val="005712C2"/>
    <w:rsid w:val="00574266"/>
    <w:rsid w:val="00574570"/>
    <w:rsid w:val="00575EE0"/>
    <w:rsid w:val="005768EA"/>
    <w:rsid w:val="00576C8C"/>
    <w:rsid w:val="00577617"/>
    <w:rsid w:val="00585D38"/>
    <w:rsid w:val="00587618"/>
    <w:rsid w:val="0059084C"/>
    <w:rsid w:val="00590C01"/>
    <w:rsid w:val="005A3CCB"/>
    <w:rsid w:val="005A53BA"/>
    <w:rsid w:val="005A57AD"/>
    <w:rsid w:val="005C02A4"/>
    <w:rsid w:val="005C0F25"/>
    <w:rsid w:val="005C1613"/>
    <w:rsid w:val="005C1E73"/>
    <w:rsid w:val="005C4BC3"/>
    <w:rsid w:val="005D3D25"/>
    <w:rsid w:val="005D5223"/>
    <w:rsid w:val="005D568E"/>
    <w:rsid w:val="005E7914"/>
    <w:rsid w:val="005F253A"/>
    <w:rsid w:val="005F3B9E"/>
    <w:rsid w:val="005F52B3"/>
    <w:rsid w:val="005F7D1B"/>
    <w:rsid w:val="00600110"/>
    <w:rsid w:val="00601D73"/>
    <w:rsid w:val="00602E51"/>
    <w:rsid w:val="00603BFE"/>
    <w:rsid w:val="006049C8"/>
    <w:rsid w:val="00605027"/>
    <w:rsid w:val="006071BA"/>
    <w:rsid w:val="006132FB"/>
    <w:rsid w:val="00622823"/>
    <w:rsid w:val="00623ACB"/>
    <w:rsid w:val="006253D1"/>
    <w:rsid w:val="00632109"/>
    <w:rsid w:val="00632C87"/>
    <w:rsid w:val="006331B3"/>
    <w:rsid w:val="0063488B"/>
    <w:rsid w:val="00637A48"/>
    <w:rsid w:val="0064409F"/>
    <w:rsid w:val="006519BC"/>
    <w:rsid w:val="00651FB7"/>
    <w:rsid w:val="00653A66"/>
    <w:rsid w:val="0065446E"/>
    <w:rsid w:val="0065525F"/>
    <w:rsid w:val="00655EB2"/>
    <w:rsid w:val="00661A17"/>
    <w:rsid w:val="006653EB"/>
    <w:rsid w:val="0067443A"/>
    <w:rsid w:val="00675B86"/>
    <w:rsid w:val="00677384"/>
    <w:rsid w:val="006774BF"/>
    <w:rsid w:val="006942ED"/>
    <w:rsid w:val="006944EF"/>
    <w:rsid w:val="006A289F"/>
    <w:rsid w:val="006B1FE7"/>
    <w:rsid w:val="006C2C92"/>
    <w:rsid w:val="006C54B8"/>
    <w:rsid w:val="006D2166"/>
    <w:rsid w:val="006D3DF1"/>
    <w:rsid w:val="006D5097"/>
    <w:rsid w:val="006D5AC5"/>
    <w:rsid w:val="006E2D9E"/>
    <w:rsid w:val="006E77DD"/>
    <w:rsid w:val="006F0CCF"/>
    <w:rsid w:val="006F2058"/>
    <w:rsid w:val="006F23B1"/>
    <w:rsid w:val="006F4379"/>
    <w:rsid w:val="006F6AC2"/>
    <w:rsid w:val="007004C7"/>
    <w:rsid w:val="007103D4"/>
    <w:rsid w:val="007149DA"/>
    <w:rsid w:val="00721EA3"/>
    <w:rsid w:val="007277F5"/>
    <w:rsid w:val="0073056A"/>
    <w:rsid w:val="007314A9"/>
    <w:rsid w:val="00731CA2"/>
    <w:rsid w:val="00734272"/>
    <w:rsid w:val="0073581C"/>
    <w:rsid w:val="00736F40"/>
    <w:rsid w:val="007420CD"/>
    <w:rsid w:val="007439D3"/>
    <w:rsid w:val="00757C3E"/>
    <w:rsid w:val="00764D64"/>
    <w:rsid w:val="007723AF"/>
    <w:rsid w:val="00773A43"/>
    <w:rsid w:val="00773EBC"/>
    <w:rsid w:val="007769DF"/>
    <w:rsid w:val="007818C3"/>
    <w:rsid w:val="00782910"/>
    <w:rsid w:val="00786193"/>
    <w:rsid w:val="0079158C"/>
    <w:rsid w:val="00794967"/>
    <w:rsid w:val="0079582C"/>
    <w:rsid w:val="00796CB0"/>
    <w:rsid w:val="007972C6"/>
    <w:rsid w:val="007A1F12"/>
    <w:rsid w:val="007A799B"/>
    <w:rsid w:val="007B2FE4"/>
    <w:rsid w:val="007B72F6"/>
    <w:rsid w:val="007B7847"/>
    <w:rsid w:val="007C5324"/>
    <w:rsid w:val="007C590E"/>
    <w:rsid w:val="007C7BD7"/>
    <w:rsid w:val="007D1332"/>
    <w:rsid w:val="007D4702"/>
    <w:rsid w:val="007D59DE"/>
    <w:rsid w:val="007D6E9A"/>
    <w:rsid w:val="007D7D18"/>
    <w:rsid w:val="007E6739"/>
    <w:rsid w:val="007E7450"/>
    <w:rsid w:val="007E7A7E"/>
    <w:rsid w:val="007F00B0"/>
    <w:rsid w:val="007F4F8F"/>
    <w:rsid w:val="00800EC0"/>
    <w:rsid w:val="00802B2A"/>
    <w:rsid w:val="00807FF7"/>
    <w:rsid w:val="00810D49"/>
    <w:rsid w:val="00811DAC"/>
    <w:rsid w:val="00817DFF"/>
    <w:rsid w:val="00820352"/>
    <w:rsid w:val="00822CD5"/>
    <w:rsid w:val="00826474"/>
    <w:rsid w:val="008276B2"/>
    <w:rsid w:val="0083223B"/>
    <w:rsid w:val="00832955"/>
    <w:rsid w:val="0083335C"/>
    <w:rsid w:val="00844CF2"/>
    <w:rsid w:val="00845952"/>
    <w:rsid w:val="00845EF6"/>
    <w:rsid w:val="00846C3D"/>
    <w:rsid w:val="008470C4"/>
    <w:rsid w:val="0084770A"/>
    <w:rsid w:val="00850642"/>
    <w:rsid w:val="00856CDA"/>
    <w:rsid w:val="008630BA"/>
    <w:rsid w:val="008643A9"/>
    <w:rsid w:val="00864C50"/>
    <w:rsid w:val="00864FE6"/>
    <w:rsid w:val="008659FD"/>
    <w:rsid w:val="00866F4E"/>
    <w:rsid w:val="008742BD"/>
    <w:rsid w:val="00876082"/>
    <w:rsid w:val="008805C8"/>
    <w:rsid w:val="00883D58"/>
    <w:rsid w:val="0089054E"/>
    <w:rsid w:val="00894C50"/>
    <w:rsid w:val="008966AD"/>
    <w:rsid w:val="00897AB8"/>
    <w:rsid w:val="00897BFB"/>
    <w:rsid w:val="008A1478"/>
    <w:rsid w:val="008A6A9C"/>
    <w:rsid w:val="008A6E02"/>
    <w:rsid w:val="008A6E4D"/>
    <w:rsid w:val="008A793D"/>
    <w:rsid w:val="008A79E4"/>
    <w:rsid w:val="008B0017"/>
    <w:rsid w:val="008B092A"/>
    <w:rsid w:val="008B17FD"/>
    <w:rsid w:val="008B3A8C"/>
    <w:rsid w:val="008B4143"/>
    <w:rsid w:val="008B59D6"/>
    <w:rsid w:val="008B5B85"/>
    <w:rsid w:val="008C155F"/>
    <w:rsid w:val="008D0B37"/>
    <w:rsid w:val="008D7129"/>
    <w:rsid w:val="008E3652"/>
    <w:rsid w:val="008E3672"/>
    <w:rsid w:val="008E5316"/>
    <w:rsid w:val="008F056B"/>
    <w:rsid w:val="008F0CF5"/>
    <w:rsid w:val="008F45AC"/>
    <w:rsid w:val="008F4EF3"/>
    <w:rsid w:val="008F6D58"/>
    <w:rsid w:val="008F6EFE"/>
    <w:rsid w:val="008F708E"/>
    <w:rsid w:val="00902118"/>
    <w:rsid w:val="0091612C"/>
    <w:rsid w:val="00916652"/>
    <w:rsid w:val="00917A1B"/>
    <w:rsid w:val="00917FE3"/>
    <w:rsid w:val="00922515"/>
    <w:rsid w:val="00923D9A"/>
    <w:rsid w:val="0092487E"/>
    <w:rsid w:val="0092553A"/>
    <w:rsid w:val="00927BA4"/>
    <w:rsid w:val="0093492C"/>
    <w:rsid w:val="009364B7"/>
    <w:rsid w:val="009418D0"/>
    <w:rsid w:val="0095031E"/>
    <w:rsid w:val="00952714"/>
    <w:rsid w:val="00953127"/>
    <w:rsid w:val="00954137"/>
    <w:rsid w:val="00955BF1"/>
    <w:rsid w:val="00957043"/>
    <w:rsid w:val="00957060"/>
    <w:rsid w:val="00960EC6"/>
    <w:rsid w:val="009632A0"/>
    <w:rsid w:val="00964A60"/>
    <w:rsid w:val="0096610B"/>
    <w:rsid w:val="0097113C"/>
    <w:rsid w:val="00974D23"/>
    <w:rsid w:val="00975CBF"/>
    <w:rsid w:val="00980D38"/>
    <w:rsid w:val="00986365"/>
    <w:rsid w:val="009869E9"/>
    <w:rsid w:val="00986BC3"/>
    <w:rsid w:val="00996671"/>
    <w:rsid w:val="009A00D4"/>
    <w:rsid w:val="009A407A"/>
    <w:rsid w:val="009A6CA9"/>
    <w:rsid w:val="009A76C0"/>
    <w:rsid w:val="009B0197"/>
    <w:rsid w:val="009B20EA"/>
    <w:rsid w:val="009B2C65"/>
    <w:rsid w:val="009B49CD"/>
    <w:rsid w:val="009B515F"/>
    <w:rsid w:val="009B64AA"/>
    <w:rsid w:val="009B68CB"/>
    <w:rsid w:val="009C26AF"/>
    <w:rsid w:val="009C379E"/>
    <w:rsid w:val="009C4575"/>
    <w:rsid w:val="009C6E8E"/>
    <w:rsid w:val="009C74FB"/>
    <w:rsid w:val="009D20E7"/>
    <w:rsid w:val="009D5D4C"/>
    <w:rsid w:val="009E51F8"/>
    <w:rsid w:val="009F23C4"/>
    <w:rsid w:val="00A018A3"/>
    <w:rsid w:val="00A01B1B"/>
    <w:rsid w:val="00A02E76"/>
    <w:rsid w:val="00A073BF"/>
    <w:rsid w:val="00A14452"/>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65407"/>
    <w:rsid w:val="00A70107"/>
    <w:rsid w:val="00A74CAF"/>
    <w:rsid w:val="00A764EF"/>
    <w:rsid w:val="00A8077E"/>
    <w:rsid w:val="00A8166B"/>
    <w:rsid w:val="00A85EE5"/>
    <w:rsid w:val="00A90E13"/>
    <w:rsid w:val="00A9143E"/>
    <w:rsid w:val="00A94BD0"/>
    <w:rsid w:val="00A95577"/>
    <w:rsid w:val="00A97E66"/>
    <w:rsid w:val="00AA3279"/>
    <w:rsid w:val="00AB2062"/>
    <w:rsid w:val="00AB3613"/>
    <w:rsid w:val="00AD27C1"/>
    <w:rsid w:val="00AD4F95"/>
    <w:rsid w:val="00AE30F7"/>
    <w:rsid w:val="00AE32DD"/>
    <w:rsid w:val="00AF4311"/>
    <w:rsid w:val="00AF68D1"/>
    <w:rsid w:val="00B006FD"/>
    <w:rsid w:val="00B0402E"/>
    <w:rsid w:val="00B04DFA"/>
    <w:rsid w:val="00B06D4E"/>
    <w:rsid w:val="00B10DA4"/>
    <w:rsid w:val="00B11CB7"/>
    <w:rsid w:val="00B146E2"/>
    <w:rsid w:val="00B14AB7"/>
    <w:rsid w:val="00B22704"/>
    <w:rsid w:val="00B22AC4"/>
    <w:rsid w:val="00B23F18"/>
    <w:rsid w:val="00B37C20"/>
    <w:rsid w:val="00B41E9F"/>
    <w:rsid w:val="00B42449"/>
    <w:rsid w:val="00B50783"/>
    <w:rsid w:val="00B5253D"/>
    <w:rsid w:val="00B611B8"/>
    <w:rsid w:val="00B67BC6"/>
    <w:rsid w:val="00B73EB9"/>
    <w:rsid w:val="00B83E59"/>
    <w:rsid w:val="00B849EE"/>
    <w:rsid w:val="00B84D02"/>
    <w:rsid w:val="00B870E0"/>
    <w:rsid w:val="00B95032"/>
    <w:rsid w:val="00BA0268"/>
    <w:rsid w:val="00BA1AD8"/>
    <w:rsid w:val="00BA1ADB"/>
    <w:rsid w:val="00BA26B4"/>
    <w:rsid w:val="00BA2940"/>
    <w:rsid w:val="00BA58E7"/>
    <w:rsid w:val="00BB327F"/>
    <w:rsid w:val="00BB3832"/>
    <w:rsid w:val="00BC6745"/>
    <w:rsid w:val="00BD1AAF"/>
    <w:rsid w:val="00BD248B"/>
    <w:rsid w:val="00BD2A8B"/>
    <w:rsid w:val="00BD3E4E"/>
    <w:rsid w:val="00BD5837"/>
    <w:rsid w:val="00BD7BBB"/>
    <w:rsid w:val="00BE3CB3"/>
    <w:rsid w:val="00BE43B1"/>
    <w:rsid w:val="00BE5D56"/>
    <w:rsid w:val="00BF11E1"/>
    <w:rsid w:val="00C00590"/>
    <w:rsid w:val="00C013A1"/>
    <w:rsid w:val="00C01580"/>
    <w:rsid w:val="00C04062"/>
    <w:rsid w:val="00C10C63"/>
    <w:rsid w:val="00C1279C"/>
    <w:rsid w:val="00C14867"/>
    <w:rsid w:val="00C16E53"/>
    <w:rsid w:val="00C17841"/>
    <w:rsid w:val="00C27323"/>
    <w:rsid w:val="00C30B88"/>
    <w:rsid w:val="00C411EA"/>
    <w:rsid w:val="00C431B4"/>
    <w:rsid w:val="00C4471C"/>
    <w:rsid w:val="00C502CF"/>
    <w:rsid w:val="00C50527"/>
    <w:rsid w:val="00C509E2"/>
    <w:rsid w:val="00C5304F"/>
    <w:rsid w:val="00C5373A"/>
    <w:rsid w:val="00C60544"/>
    <w:rsid w:val="00C6076C"/>
    <w:rsid w:val="00C60DEB"/>
    <w:rsid w:val="00C629E1"/>
    <w:rsid w:val="00C63175"/>
    <w:rsid w:val="00C63CF1"/>
    <w:rsid w:val="00C64634"/>
    <w:rsid w:val="00C6715B"/>
    <w:rsid w:val="00C71D1F"/>
    <w:rsid w:val="00C74C79"/>
    <w:rsid w:val="00C7680C"/>
    <w:rsid w:val="00C81A32"/>
    <w:rsid w:val="00C81B7E"/>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C30F9"/>
    <w:rsid w:val="00CC378C"/>
    <w:rsid w:val="00CC4BA1"/>
    <w:rsid w:val="00CC58DC"/>
    <w:rsid w:val="00CC6ACD"/>
    <w:rsid w:val="00CD299E"/>
    <w:rsid w:val="00CD656B"/>
    <w:rsid w:val="00CD6D9A"/>
    <w:rsid w:val="00CE038F"/>
    <w:rsid w:val="00CE5C1A"/>
    <w:rsid w:val="00D00E92"/>
    <w:rsid w:val="00D055EC"/>
    <w:rsid w:val="00D14208"/>
    <w:rsid w:val="00D1757C"/>
    <w:rsid w:val="00D234B6"/>
    <w:rsid w:val="00D254F0"/>
    <w:rsid w:val="00D34D7A"/>
    <w:rsid w:val="00D351EE"/>
    <w:rsid w:val="00D35411"/>
    <w:rsid w:val="00D3669D"/>
    <w:rsid w:val="00D43342"/>
    <w:rsid w:val="00D4394E"/>
    <w:rsid w:val="00D44728"/>
    <w:rsid w:val="00D52FF5"/>
    <w:rsid w:val="00D55E41"/>
    <w:rsid w:val="00D56088"/>
    <w:rsid w:val="00D562FF"/>
    <w:rsid w:val="00D62468"/>
    <w:rsid w:val="00D628F8"/>
    <w:rsid w:val="00D66910"/>
    <w:rsid w:val="00D700D5"/>
    <w:rsid w:val="00D71A33"/>
    <w:rsid w:val="00D73B4D"/>
    <w:rsid w:val="00D7657E"/>
    <w:rsid w:val="00D844B8"/>
    <w:rsid w:val="00D8596D"/>
    <w:rsid w:val="00D92473"/>
    <w:rsid w:val="00DA1B01"/>
    <w:rsid w:val="00DB3AF6"/>
    <w:rsid w:val="00DB4C18"/>
    <w:rsid w:val="00DB53FB"/>
    <w:rsid w:val="00DC4EE2"/>
    <w:rsid w:val="00DD22DD"/>
    <w:rsid w:val="00DD2474"/>
    <w:rsid w:val="00DD6C54"/>
    <w:rsid w:val="00DD6DC0"/>
    <w:rsid w:val="00DD6FB4"/>
    <w:rsid w:val="00DE2F50"/>
    <w:rsid w:val="00DE4269"/>
    <w:rsid w:val="00DE5274"/>
    <w:rsid w:val="00DE621F"/>
    <w:rsid w:val="00DE62C8"/>
    <w:rsid w:val="00DE6B8B"/>
    <w:rsid w:val="00DF0216"/>
    <w:rsid w:val="00DF386E"/>
    <w:rsid w:val="00DF56C9"/>
    <w:rsid w:val="00DF6AC4"/>
    <w:rsid w:val="00E007EC"/>
    <w:rsid w:val="00E01158"/>
    <w:rsid w:val="00E0449B"/>
    <w:rsid w:val="00E04E64"/>
    <w:rsid w:val="00E1077F"/>
    <w:rsid w:val="00E119AC"/>
    <w:rsid w:val="00E2421E"/>
    <w:rsid w:val="00E25A1C"/>
    <w:rsid w:val="00E30318"/>
    <w:rsid w:val="00E32708"/>
    <w:rsid w:val="00E37034"/>
    <w:rsid w:val="00E37782"/>
    <w:rsid w:val="00E442EC"/>
    <w:rsid w:val="00E545B2"/>
    <w:rsid w:val="00E651B5"/>
    <w:rsid w:val="00E75CE5"/>
    <w:rsid w:val="00E768E8"/>
    <w:rsid w:val="00E8055E"/>
    <w:rsid w:val="00E82195"/>
    <w:rsid w:val="00E87962"/>
    <w:rsid w:val="00E90D36"/>
    <w:rsid w:val="00E913D9"/>
    <w:rsid w:val="00E91553"/>
    <w:rsid w:val="00E94AAC"/>
    <w:rsid w:val="00EA186A"/>
    <w:rsid w:val="00EA5418"/>
    <w:rsid w:val="00EA5AD0"/>
    <w:rsid w:val="00EA6BE9"/>
    <w:rsid w:val="00EB3D8F"/>
    <w:rsid w:val="00EC1EBD"/>
    <w:rsid w:val="00EC56A4"/>
    <w:rsid w:val="00EC5C3D"/>
    <w:rsid w:val="00EC61A6"/>
    <w:rsid w:val="00EC7901"/>
    <w:rsid w:val="00ED0858"/>
    <w:rsid w:val="00ED319C"/>
    <w:rsid w:val="00ED518E"/>
    <w:rsid w:val="00ED6894"/>
    <w:rsid w:val="00ED79E2"/>
    <w:rsid w:val="00EE04FF"/>
    <w:rsid w:val="00EE0F4C"/>
    <w:rsid w:val="00EE2F63"/>
    <w:rsid w:val="00EE46FB"/>
    <w:rsid w:val="00EF62F8"/>
    <w:rsid w:val="00F011BD"/>
    <w:rsid w:val="00F016BA"/>
    <w:rsid w:val="00F01B31"/>
    <w:rsid w:val="00F16A95"/>
    <w:rsid w:val="00F17C0D"/>
    <w:rsid w:val="00F20F31"/>
    <w:rsid w:val="00F2612E"/>
    <w:rsid w:val="00F30A85"/>
    <w:rsid w:val="00F32EC8"/>
    <w:rsid w:val="00F364E9"/>
    <w:rsid w:val="00F40A84"/>
    <w:rsid w:val="00F424B7"/>
    <w:rsid w:val="00F54856"/>
    <w:rsid w:val="00F54920"/>
    <w:rsid w:val="00F56F0F"/>
    <w:rsid w:val="00F5748D"/>
    <w:rsid w:val="00F600C9"/>
    <w:rsid w:val="00F6319C"/>
    <w:rsid w:val="00F6438A"/>
    <w:rsid w:val="00F70304"/>
    <w:rsid w:val="00F72CE6"/>
    <w:rsid w:val="00F755D0"/>
    <w:rsid w:val="00F77058"/>
    <w:rsid w:val="00F775B3"/>
    <w:rsid w:val="00F8125E"/>
    <w:rsid w:val="00F8797F"/>
    <w:rsid w:val="00F9019F"/>
    <w:rsid w:val="00F94878"/>
    <w:rsid w:val="00F95FC8"/>
    <w:rsid w:val="00FA7A93"/>
    <w:rsid w:val="00FB1010"/>
    <w:rsid w:val="00FB1547"/>
    <w:rsid w:val="00FB1A7D"/>
    <w:rsid w:val="00FB1D4B"/>
    <w:rsid w:val="00FB6E0E"/>
    <w:rsid w:val="00FC07F4"/>
    <w:rsid w:val="00FC23D9"/>
    <w:rsid w:val="00FC2997"/>
    <w:rsid w:val="00FC3802"/>
    <w:rsid w:val="00FD5A63"/>
    <w:rsid w:val="00FE0968"/>
    <w:rsid w:val="00FE1848"/>
    <w:rsid w:val="00FE4810"/>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Hidalgo_%28M%C3%A9xico%29" TargetMode="External"/><Relationship Id="rId21" Type="http://schemas.openxmlformats.org/officeDocument/2006/relationships/package" Target="embeddings/Hoja_de_c_lculo_de_Microsoft_Excel7.xlsx"/><Relationship Id="rId34" Type="http://schemas.openxmlformats.org/officeDocument/2006/relationships/hyperlink" Target="http://es.wikipedia.org/wiki/M%C3%A9xico"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yperlink" Target="http://es.wikipedia.org/wiki/Puebla"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png"/><Relationship Id="rId36" Type="http://schemas.openxmlformats.org/officeDocument/2006/relationships/hyperlink" Target="http://es.wikipedia.org/wiki/Antonio_de_Mendoza" TargetMode="Externa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3.png"/><Relationship Id="rId35" Type="http://schemas.openxmlformats.org/officeDocument/2006/relationships/hyperlink" Target="http://es.wikipedia.org/wiki/Nueva_Espa%C3%B1a" TargetMode="External"/><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hyperlink" Target="http://es.wikipedia.org/wiki/Organizaci%C3%B3n_territorial_de_M%C3%A9xico" TargetMode="External"/><Relationship Id="rId38" Type="http://schemas.openxmlformats.org/officeDocument/2006/relationships/hyperlink" Target="http://es.wikipedia.org/wiki/Estado_de_M%C3%A9xico" TargetMode="External"/><Relationship Id="rId20" Type="http://schemas.openxmlformats.org/officeDocument/2006/relationships/image" Target="media/image7.emf"/><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4DAD2-FB5A-484C-AA78-63995FC58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7552</Words>
  <Characters>41537</Characters>
  <Application>Microsoft Office Word</Application>
  <DocSecurity>0</DocSecurity>
  <Lines>346</Lines>
  <Paragraphs>97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48992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3</cp:revision>
  <cp:lastPrinted>2019-01-23T22:38:00Z</cp:lastPrinted>
  <dcterms:created xsi:type="dcterms:W3CDTF">2019-01-23T01:45:00Z</dcterms:created>
  <dcterms:modified xsi:type="dcterms:W3CDTF">2019-01-23T22:41:00Z</dcterms:modified>
</cp:coreProperties>
</file>