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80841226"/>
    <w:bookmarkEnd w:id="1"/>
    <w:p w:rsidR="00486AE1" w:rsidRPr="00EF073E" w:rsidRDefault="00BD62C8" w:rsidP="0016211D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object w:dxaOrig="14721" w:dyaOrig="7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75pt;height:372.5pt" o:ole="">
            <v:imagedata r:id="rId9" o:title=""/>
          </v:shape>
          <o:OLEObject Type="Embed" ProgID="Excel.Sheet.12" ShapeID="_x0000_i1025" DrawAspect="Content" ObjectID="_1584454830" r:id="rId10"/>
        </w:object>
      </w:r>
    </w:p>
    <w:p w:rsidR="001E2637" w:rsidRPr="00EF073E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327744" w:rsidRPr="00EF073E" w:rsidRDefault="00327744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16211D" w:rsidRPr="00EF073E" w:rsidRDefault="0016211D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0F363D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0F363D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454EB" w:rsidRPr="00EF073E" w:rsidRDefault="005454EB" w:rsidP="000F363D">
      <w:pPr>
        <w:jc w:val="both"/>
        <w:rPr>
          <w:rFonts w:ascii="Arial" w:hAnsi="Arial" w:cs="Arial"/>
          <w:sz w:val="18"/>
          <w:szCs w:val="18"/>
        </w:rPr>
      </w:pPr>
    </w:p>
    <w:p w:rsidR="008C0A37" w:rsidRDefault="000F363D" w:rsidP="00136D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Colegio de Bachilleres del Estado de Tlaxcala, tiene como programa y proyecto</w:t>
      </w:r>
      <w:r w:rsidR="004E2DF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 inversión l</w:t>
      </w:r>
      <w:r w:rsidR="004E2DF4">
        <w:rPr>
          <w:rFonts w:ascii="Arial" w:hAnsi="Arial" w:cs="Arial"/>
          <w:sz w:val="18"/>
          <w:szCs w:val="18"/>
        </w:rPr>
        <w:t>os siguientes:</w:t>
      </w:r>
    </w:p>
    <w:p w:rsidR="00983CD2" w:rsidRDefault="008C0A37" w:rsidP="00136DB5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1.</w:t>
      </w:r>
      <w:r w:rsidR="004E2DF4">
        <w:rPr>
          <w:rFonts w:ascii="Arial" w:hAnsi="Arial" w:cs="Arial"/>
          <w:sz w:val="18"/>
          <w:szCs w:val="18"/>
        </w:rPr>
        <w:t xml:space="preserve"> </w:t>
      </w:r>
      <w:r w:rsidR="00983CD2" w:rsidRPr="00983CD2">
        <w:rPr>
          <w:rFonts w:ascii="Arial" w:hAnsi="Arial" w:cs="Arial"/>
          <w:b/>
          <w:sz w:val="18"/>
          <w:szCs w:val="18"/>
          <w:u w:val="single"/>
        </w:rPr>
        <w:t>LOGRO ACADÉMICO DE COLEGIO DE BACHILLERES DEL ESTADO DE TLAXCALA</w:t>
      </w:r>
      <w:r w:rsidR="00983CD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83CD2">
        <w:rPr>
          <w:rFonts w:ascii="Arial" w:hAnsi="Arial" w:cs="Arial"/>
          <w:sz w:val="18"/>
          <w:szCs w:val="18"/>
        </w:rPr>
        <w:t>teniendo como fin</w:t>
      </w:r>
      <w:r w:rsidR="00CC3E6B">
        <w:rPr>
          <w:rFonts w:ascii="Arial" w:hAnsi="Arial" w:cs="Arial"/>
          <w:sz w:val="18"/>
          <w:szCs w:val="18"/>
        </w:rPr>
        <w:t xml:space="preserve"> </w:t>
      </w:r>
      <w:r w:rsidR="00CC3E6B" w:rsidRPr="00CC3E6B">
        <w:rPr>
          <w:rFonts w:ascii="Arial" w:hAnsi="Arial" w:cs="Arial"/>
          <w:sz w:val="18"/>
          <w:szCs w:val="18"/>
        </w:rPr>
        <w:t>Contribuir en la eficiencia terminal de estudiantes de Educación Media Su</w:t>
      </w:r>
      <w:r w:rsidR="00136DB5">
        <w:rPr>
          <w:rFonts w:ascii="Arial" w:hAnsi="Arial" w:cs="Arial"/>
          <w:sz w:val="18"/>
          <w:szCs w:val="18"/>
        </w:rPr>
        <w:t xml:space="preserve">perior en el Estado de Tlaxcala, con el propósito </w:t>
      </w:r>
      <w:r w:rsidR="00136DB5" w:rsidRPr="00136DB5">
        <w:rPr>
          <w:rFonts w:ascii="Arial" w:hAnsi="Arial" w:cs="Arial"/>
          <w:sz w:val="18"/>
          <w:szCs w:val="18"/>
        </w:rPr>
        <w:t>Eficiencia terminal de los estudiantes del Colegio de Bachilleres del Estado de Tlaxcala.</w:t>
      </w:r>
    </w:p>
    <w:p w:rsidR="005454EB" w:rsidRPr="00136DB5" w:rsidRDefault="008C0A37" w:rsidP="00983CD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2. </w:t>
      </w:r>
      <w:r w:rsidR="00983CD2" w:rsidRPr="00983CD2">
        <w:rPr>
          <w:rFonts w:ascii="Arial" w:hAnsi="Arial" w:cs="Arial"/>
          <w:b/>
          <w:sz w:val="18"/>
          <w:szCs w:val="18"/>
          <w:u w:val="single"/>
        </w:rPr>
        <w:t>LOGRO ACADÉMICO DE TELEBACHILLERATO COMUNITARIO</w:t>
      </w:r>
      <w:r w:rsidR="00136DB5">
        <w:rPr>
          <w:rFonts w:ascii="Arial" w:hAnsi="Arial" w:cs="Arial"/>
          <w:b/>
          <w:sz w:val="18"/>
          <w:szCs w:val="18"/>
          <w:u w:val="single"/>
        </w:rPr>
        <w:t>,</w:t>
      </w:r>
      <w:r w:rsidR="00136DB5">
        <w:rPr>
          <w:rFonts w:ascii="Arial" w:hAnsi="Arial" w:cs="Arial"/>
          <w:sz w:val="18"/>
          <w:szCs w:val="18"/>
        </w:rPr>
        <w:t xml:space="preserve"> t</w:t>
      </w:r>
      <w:r w:rsidR="000F363D">
        <w:rPr>
          <w:rFonts w:ascii="Arial" w:hAnsi="Arial" w:cs="Arial"/>
          <w:sz w:val="18"/>
          <w:szCs w:val="18"/>
        </w:rPr>
        <w:t xml:space="preserve">eniendo como fin </w:t>
      </w:r>
      <w:r w:rsidR="00983CD2" w:rsidRPr="00983CD2">
        <w:rPr>
          <w:rFonts w:ascii="Arial" w:hAnsi="Arial" w:cs="Arial"/>
          <w:sz w:val="18"/>
          <w:szCs w:val="18"/>
        </w:rPr>
        <w:t xml:space="preserve">Contribuir a la absorción de los alumnos para Educación Media Superior en el Estado de Tlaxcala, en la modalidad </w:t>
      </w:r>
      <w:r w:rsidR="00983CD2">
        <w:rPr>
          <w:rFonts w:ascii="Arial" w:hAnsi="Arial" w:cs="Arial"/>
          <w:sz w:val="18"/>
          <w:szCs w:val="18"/>
        </w:rPr>
        <w:t xml:space="preserve">de Telebachillerato Comunitario, </w:t>
      </w:r>
      <w:r w:rsidR="000F363D">
        <w:rPr>
          <w:rFonts w:ascii="Arial" w:hAnsi="Arial" w:cs="Arial"/>
          <w:sz w:val="18"/>
          <w:szCs w:val="18"/>
        </w:rPr>
        <w:t xml:space="preserve">con el propósito de </w:t>
      </w:r>
      <w:r w:rsidR="00983CD2">
        <w:rPr>
          <w:rFonts w:ascii="Arial" w:hAnsi="Arial" w:cs="Arial"/>
          <w:sz w:val="18"/>
          <w:szCs w:val="18"/>
        </w:rPr>
        <w:t>que l</w:t>
      </w:r>
      <w:r w:rsidR="00983CD2" w:rsidRPr="00983CD2">
        <w:rPr>
          <w:rFonts w:ascii="Arial" w:hAnsi="Arial" w:cs="Arial"/>
          <w:sz w:val="18"/>
          <w:szCs w:val="18"/>
        </w:rPr>
        <w:t>os alumnos de educación media superior, cuenten con mejores condiciones para su aprovechamiento escolar.</w:t>
      </w:r>
    </w:p>
    <w:p w:rsidR="00AB13B7" w:rsidRPr="00EF073E" w:rsidRDefault="00AB13B7" w:rsidP="005454EB">
      <w:pPr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br w:type="page"/>
      </w:r>
    </w:p>
    <w:tbl>
      <w:tblPr>
        <w:tblpPr w:leftFromText="141" w:rightFromText="141" w:vertAnchor="text" w:horzAnchor="page" w:tblpX="592" w:tblpY="216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</w:tblGrid>
      <w:tr w:rsidR="00C33285" w:rsidRPr="00EF073E" w:rsidTr="00C33285">
        <w:trPr>
          <w:trHeight w:val="269"/>
          <w:tblCellSpacing w:w="0" w:type="dxa"/>
        </w:trPr>
        <w:tc>
          <w:tcPr>
            <w:tcW w:w="22" w:type="dxa"/>
            <w:shd w:val="clear" w:color="000000" w:fill="FFFFFF"/>
            <w:noWrap/>
            <w:vAlign w:val="center"/>
          </w:tcPr>
          <w:p w:rsidR="00C33285" w:rsidRPr="00EF073E" w:rsidRDefault="00C33285" w:rsidP="00C332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04"/>
        <w:gridCol w:w="1489"/>
        <w:gridCol w:w="1654"/>
        <w:gridCol w:w="1257"/>
        <w:gridCol w:w="1221"/>
        <w:gridCol w:w="713"/>
        <w:gridCol w:w="1117"/>
        <w:gridCol w:w="1176"/>
        <w:gridCol w:w="713"/>
        <w:gridCol w:w="1146"/>
      </w:tblGrid>
      <w:tr w:rsidR="00BB3EB7" w:rsidRPr="00EF073E" w:rsidTr="00910D43">
        <w:trPr>
          <w:trHeight w:val="227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Cuenta Publica </w:t>
            </w: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</w:tr>
      <w:tr w:rsidR="00BB3EB7" w:rsidRPr="00EF073E" w:rsidTr="00910D43">
        <w:trPr>
          <w:trHeight w:val="200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de Avance por Proyectos</w:t>
            </w:r>
          </w:p>
        </w:tc>
      </w:tr>
      <w:tr w:rsidR="00BB3EB7" w:rsidRPr="00EF073E" w:rsidTr="00910D43">
        <w:trPr>
          <w:trHeight w:val="175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63404C" w:rsidP="008C0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CE64F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F401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marzo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 w:rsidR="008C0A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DF796A" w:rsidRPr="00EF073E" w:rsidTr="00910D43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910D43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910D43">
        <w:trPr>
          <w:trHeight w:val="16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B3EB7" w:rsidRPr="00EF073E" w:rsidTr="00910D43">
        <w:trPr>
          <w:trHeight w:val="166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E4339D" w:rsidP="00E433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Eje rector: Desarrollo S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ocial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ncluyente para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ortalecer 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</w:t>
            </w:r>
            <w:r w:rsidR="00BB3EB7" w:rsidRPr="00EF073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ienestar</w:t>
            </w:r>
          </w:p>
        </w:tc>
      </w:tr>
      <w:tr w:rsidR="00DF796A" w:rsidRPr="00EF073E" w:rsidTr="00910D43">
        <w:trPr>
          <w:trHeight w:val="1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F796A" w:rsidRPr="00EF073E" w:rsidTr="00910D43">
        <w:trPr>
          <w:trHeight w:val="175"/>
        </w:trPr>
        <w:tc>
          <w:tcPr>
            <w:tcW w:w="12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20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25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2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29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859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F796A" w:rsidRPr="00EF073E" w:rsidTr="00910D43">
        <w:trPr>
          <w:trHeight w:val="175"/>
        </w:trPr>
        <w:tc>
          <w:tcPr>
            <w:tcW w:w="1260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54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medición</w:t>
            </w:r>
          </w:p>
        </w:tc>
        <w:tc>
          <w:tcPr>
            <w:tcW w:w="713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auto" w:fill="632523"/>
            <w:vAlign w:val="center"/>
            <w:hideMark/>
          </w:tcPr>
          <w:p w:rsidR="00BB3EB7" w:rsidRPr="00EF073E" w:rsidRDefault="00BB3EB7" w:rsidP="00810E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F073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5232F0" w:rsidRPr="00EF073E" w:rsidTr="00910D43">
        <w:trPr>
          <w:trHeight w:val="3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232F0" w:rsidRPr="003D3E42" w:rsidRDefault="005232F0" w:rsidP="00FD7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32F0" w:rsidRPr="009D5A15" w:rsidRDefault="009D5A15" w:rsidP="009D5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olegio de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achilleres del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stado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D5A15">
              <w:rPr>
                <w:rFonts w:ascii="Arial" w:hAnsi="Arial" w:cs="Arial"/>
                <w:sz w:val="18"/>
                <w:szCs w:val="18"/>
              </w:rPr>
              <w:t>laxcala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C0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de los estudiantes mediante la formación integral Educativa.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C0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Estudiantes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FD7FBE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Default="008C0A37" w:rsidP="008C0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0A37" w:rsidRDefault="008C0A37" w:rsidP="008C0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15,567</w:t>
            </w: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F735E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D5A1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6C16F1" w:rsidP="009518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5232F0" w:rsidRPr="00EF073E" w:rsidTr="00910D43">
        <w:trPr>
          <w:trHeight w:val="5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3D3E42" w:rsidRDefault="005232F0" w:rsidP="005232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2F0" w:rsidRPr="009D5A15" w:rsidRDefault="005232F0" w:rsidP="009D5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C0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Espacios educativos en óptimas condiciones en el sistema escolarizado y del Nivel Medio Superior operando.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C0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Default="008C0A37" w:rsidP="008C0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C0A37" w:rsidRDefault="008C0A37" w:rsidP="008C0A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  <w:p w:rsidR="005232F0" w:rsidRPr="003D3E42" w:rsidRDefault="005232F0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8C0A37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9D5A15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F0" w:rsidRPr="003D3E42" w:rsidRDefault="001263AF" w:rsidP="00FD7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5232F0"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8C0A37" w:rsidRPr="00EF073E" w:rsidTr="00910D43">
        <w:trPr>
          <w:trHeight w:val="39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A37" w:rsidRPr="003D3E42" w:rsidRDefault="008C0A37" w:rsidP="0038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8C0A37" w:rsidP="0038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8C0A37" w:rsidP="0038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8C0A37" w:rsidP="0038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8C0A37" w:rsidP="003802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D5A15" w:rsidRDefault="009D5A15" w:rsidP="009D5A1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0A37" w:rsidRPr="009D5A15" w:rsidRDefault="009D5A15" w:rsidP="009D5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ogro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cadémico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9D5A15">
              <w:rPr>
                <w:rFonts w:ascii="Arial" w:hAnsi="Arial" w:cs="Arial"/>
                <w:sz w:val="18"/>
                <w:szCs w:val="18"/>
              </w:rPr>
              <w:t xml:space="preserve">elebachillerato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D5A15">
              <w:rPr>
                <w:rFonts w:ascii="Arial" w:hAnsi="Arial" w:cs="Arial"/>
                <w:sz w:val="18"/>
                <w:szCs w:val="18"/>
              </w:rPr>
              <w:t>omunitario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5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Procesos de servicios educativos del nivel medio superior en Telebachillerato Comunitario.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9D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</w:t>
            </w:r>
            <w:r w:rsidR="009D5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ceso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 periodo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  <w:tr w:rsidR="008C0A37" w:rsidRPr="00EF073E" w:rsidTr="00910D43">
        <w:trPr>
          <w:trHeight w:val="526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D5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Espacios educativos en óptimas condiciones  del Nivel Medio Superior del Telebachillerato Comunitario.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9D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</w:t>
            </w:r>
            <w:r w:rsidR="009D5A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yecto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9D5A15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A37" w:rsidRPr="003D3E42" w:rsidRDefault="008C0A37" w:rsidP="00380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Pr="003D3E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%</w:t>
            </w:r>
          </w:p>
        </w:tc>
      </w:tr>
    </w:tbl>
    <w:p w:rsidR="008C0A37" w:rsidRPr="00EF073E" w:rsidRDefault="008C0A37" w:rsidP="008C0A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3E42" w:rsidRDefault="003D3E4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>De la Transparencia y Difusión de la Información Financiera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b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Con fundamento en lo dispuesto por el Titulo Quinto, </w:t>
      </w:r>
      <w:r w:rsidR="00A07D67" w:rsidRPr="00EF073E">
        <w:rPr>
          <w:rFonts w:ascii="Arial" w:hAnsi="Arial" w:cs="Arial"/>
          <w:sz w:val="18"/>
          <w:szCs w:val="18"/>
        </w:rPr>
        <w:t>Capítulo</w:t>
      </w:r>
      <w:r w:rsidRPr="00EF073E">
        <w:rPr>
          <w:rFonts w:ascii="Arial" w:hAnsi="Arial" w:cs="Arial"/>
          <w:sz w:val="18"/>
          <w:szCs w:val="18"/>
        </w:rPr>
        <w:t xml:space="preserve"> I, articulo 56, </w:t>
      </w:r>
      <w:r w:rsidR="00A07D67" w:rsidRPr="00EF073E">
        <w:rPr>
          <w:rFonts w:ascii="Arial" w:hAnsi="Arial" w:cs="Arial"/>
          <w:sz w:val="18"/>
          <w:szCs w:val="18"/>
        </w:rPr>
        <w:t>párrafo primero</w:t>
      </w:r>
      <w:r w:rsidRPr="00EF073E">
        <w:rPr>
          <w:rFonts w:ascii="Arial" w:hAnsi="Arial" w:cs="Arial"/>
          <w:sz w:val="18"/>
          <w:szCs w:val="18"/>
        </w:rPr>
        <w:t>, de la Ley General de Contabilidad Gubernamental donde establece que “</w:t>
      </w:r>
      <w:r w:rsidRPr="00EF073E">
        <w:rPr>
          <w:rFonts w:ascii="Arial" w:hAnsi="Arial" w:cs="Arial"/>
          <w:b/>
          <w:sz w:val="18"/>
          <w:szCs w:val="18"/>
        </w:rPr>
        <w:t xml:space="preserve">La generación y publicación de la información financiera de los entes públicos a que se refiere este </w:t>
      </w:r>
      <w:r w:rsidR="00A07D67" w:rsidRPr="00EF073E">
        <w:rPr>
          <w:rFonts w:ascii="Arial" w:hAnsi="Arial" w:cs="Arial"/>
          <w:b/>
          <w:sz w:val="18"/>
          <w:szCs w:val="18"/>
        </w:rPr>
        <w:t>Título</w:t>
      </w:r>
      <w:r w:rsidRPr="00EF073E">
        <w:rPr>
          <w:rFonts w:ascii="Arial" w:hAnsi="Arial" w:cs="Arial"/>
          <w:b/>
          <w:sz w:val="18"/>
          <w:szCs w:val="18"/>
        </w:rPr>
        <w:t>, se hará conforme a las normas, estructura, formatos y contenido de la información, que para tal efecto establezca el consejo y difundirse en la página de internet del respectivo ente público”.</w:t>
      </w:r>
    </w:p>
    <w:p w:rsidR="00365332" w:rsidRPr="00EF073E" w:rsidRDefault="00365332" w:rsidP="00365332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EF073E">
        <w:rPr>
          <w:rFonts w:ascii="Arial" w:hAnsi="Arial" w:cs="Arial"/>
          <w:sz w:val="18"/>
          <w:szCs w:val="18"/>
        </w:rPr>
        <w:t xml:space="preserve">Por lo antes expuesto el Colegio de Bachilleres del Estado de Tlaxcala señala la </w:t>
      </w:r>
      <w:r w:rsidR="00A07D67" w:rsidRPr="00EF073E">
        <w:rPr>
          <w:rFonts w:ascii="Arial" w:hAnsi="Arial" w:cs="Arial"/>
          <w:sz w:val="18"/>
          <w:szCs w:val="18"/>
        </w:rPr>
        <w:t>página</w:t>
      </w:r>
      <w:r w:rsidRPr="00EF073E">
        <w:rPr>
          <w:rFonts w:ascii="Arial" w:hAnsi="Arial" w:cs="Arial"/>
          <w:sz w:val="18"/>
          <w:szCs w:val="18"/>
        </w:rPr>
        <w:t xml:space="preserve"> web; </w:t>
      </w:r>
      <w:hyperlink r:id="rId11" w:history="1">
        <w:r w:rsidRPr="00EF073E">
          <w:rPr>
            <w:rStyle w:val="Hipervnculo"/>
            <w:rFonts w:ascii="Arial" w:hAnsi="Arial" w:cs="Arial"/>
            <w:sz w:val="18"/>
            <w:szCs w:val="18"/>
          </w:rPr>
          <w:t>http://transparencia.cobatlaxcala.edu.mx/</w:t>
        </w:r>
      </w:hyperlink>
      <w:r w:rsidRPr="00EF073E">
        <w:rPr>
          <w:rFonts w:ascii="Arial" w:hAnsi="Arial" w:cs="Arial"/>
          <w:sz w:val="18"/>
          <w:szCs w:val="18"/>
        </w:rPr>
        <w:t>, como liga de acceso para la publicación de la información armoniza.</w:t>
      </w:r>
    </w:p>
    <w:p w:rsidR="002D213C" w:rsidRPr="00EF073E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EF073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DC" w:rsidRDefault="00B47EDC" w:rsidP="00EA5418">
      <w:pPr>
        <w:spacing w:after="0" w:line="240" w:lineRule="auto"/>
      </w:pPr>
      <w:r>
        <w:separator/>
      </w:r>
    </w:p>
  </w:endnote>
  <w:endnote w:type="continuationSeparator" w:id="0">
    <w:p w:rsidR="00B47EDC" w:rsidRDefault="00B47E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407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Pr="00D40730">
          <w:rPr>
            <w:rFonts w:ascii="Soberana Sans Light" w:hAnsi="Soberana Sans Light"/>
            <w:noProof/>
            <w:lang w:val="es-ES"/>
          </w:rPr>
          <w:t>4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D407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Pr="00D40730">
          <w:rPr>
            <w:rFonts w:ascii="Soberana Sans Light" w:hAnsi="Soberana Sans Light"/>
            <w:noProof/>
            <w:lang w:val="es-ES"/>
          </w:rPr>
          <w:t>3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DC" w:rsidRDefault="00B47EDC" w:rsidP="00EA5418">
      <w:pPr>
        <w:spacing w:after="0" w:line="240" w:lineRule="auto"/>
      </w:pPr>
      <w:r>
        <w:separator/>
      </w:r>
    </w:p>
  </w:footnote>
  <w:footnote w:type="continuationSeparator" w:id="0">
    <w:p w:rsidR="00B47EDC" w:rsidRDefault="00B47E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D40730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735698" w:rsidRDefault="0073569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35698" w:rsidRDefault="0073569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35698" w:rsidRPr="00275FC6" w:rsidRDefault="0073569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10D4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35698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35698" w:rsidRPr="00275FC6" w:rsidRDefault="0073569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D407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none [24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3213"/>
    <w:rsid w:val="000315C3"/>
    <w:rsid w:val="00032526"/>
    <w:rsid w:val="00040466"/>
    <w:rsid w:val="00070749"/>
    <w:rsid w:val="0009158D"/>
    <w:rsid w:val="000C44AE"/>
    <w:rsid w:val="000F08BB"/>
    <w:rsid w:val="000F363D"/>
    <w:rsid w:val="000F60BE"/>
    <w:rsid w:val="00103E36"/>
    <w:rsid w:val="001111EA"/>
    <w:rsid w:val="001263AF"/>
    <w:rsid w:val="0013011C"/>
    <w:rsid w:val="00136DB5"/>
    <w:rsid w:val="00155AB3"/>
    <w:rsid w:val="0016211D"/>
    <w:rsid w:val="001741F1"/>
    <w:rsid w:val="001764A4"/>
    <w:rsid w:val="0018470E"/>
    <w:rsid w:val="00187187"/>
    <w:rsid w:val="00193909"/>
    <w:rsid w:val="001B1B72"/>
    <w:rsid w:val="001E2637"/>
    <w:rsid w:val="0021173D"/>
    <w:rsid w:val="00242923"/>
    <w:rsid w:val="00274842"/>
    <w:rsid w:val="00290392"/>
    <w:rsid w:val="00295A74"/>
    <w:rsid w:val="002A70B3"/>
    <w:rsid w:val="002C31DE"/>
    <w:rsid w:val="002D213C"/>
    <w:rsid w:val="00322BAC"/>
    <w:rsid w:val="00324677"/>
    <w:rsid w:val="00327744"/>
    <w:rsid w:val="003303C3"/>
    <w:rsid w:val="00340296"/>
    <w:rsid w:val="00352865"/>
    <w:rsid w:val="00356139"/>
    <w:rsid w:val="00365332"/>
    <w:rsid w:val="00372F40"/>
    <w:rsid w:val="003831DB"/>
    <w:rsid w:val="00396C3C"/>
    <w:rsid w:val="003D10A2"/>
    <w:rsid w:val="003D3E42"/>
    <w:rsid w:val="003D5DBF"/>
    <w:rsid w:val="003E6C72"/>
    <w:rsid w:val="003E7FD0"/>
    <w:rsid w:val="00425A71"/>
    <w:rsid w:val="00426F4D"/>
    <w:rsid w:val="004315B4"/>
    <w:rsid w:val="0044253C"/>
    <w:rsid w:val="00451996"/>
    <w:rsid w:val="00464D98"/>
    <w:rsid w:val="00476520"/>
    <w:rsid w:val="00486AE1"/>
    <w:rsid w:val="00493E7A"/>
    <w:rsid w:val="00497D8B"/>
    <w:rsid w:val="004B1D15"/>
    <w:rsid w:val="004C19BD"/>
    <w:rsid w:val="004D41B8"/>
    <w:rsid w:val="004D5747"/>
    <w:rsid w:val="004E2DF4"/>
    <w:rsid w:val="00502D8E"/>
    <w:rsid w:val="005117F4"/>
    <w:rsid w:val="00522632"/>
    <w:rsid w:val="005232F0"/>
    <w:rsid w:val="00531ECF"/>
    <w:rsid w:val="00534982"/>
    <w:rsid w:val="0053560E"/>
    <w:rsid w:val="00540418"/>
    <w:rsid w:val="005454EB"/>
    <w:rsid w:val="005859FA"/>
    <w:rsid w:val="005A0AB6"/>
    <w:rsid w:val="005F6F1E"/>
    <w:rsid w:val="005F7742"/>
    <w:rsid w:val="00601415"/>
    <w:rsid w:val="006048D2"/>
    <w:rsid w:val="00611E39"/>
    <w:rsid w:val="0062680D"/>
    <w:rsid w:val="0063404C"/>
    <w:rsid w:val="00635EEC"/>
    <w:rsid w:val="00660C3A"/>
    <w:rsid w:val="00692015"/>
    <w:rsid w:val="006B1D8A"/>
    <w:rsid w:val="006B6FFB"/>
    <w:rsid w:val="006C16F1"/>
    <w:rsid w:val="006E43CE"/>
    <w:rsid w:val="006E77DD"/>
    <w:rsid w:val="0072255B"/>
    <w:rsid w:val="00725583"/>
    <w:rsid w:val="00735698"/>
    <w:rsid w:val="007357B1"/>
    <w:rsid w:val="0079582C"/>
    <w:rsid w:val="007D6E9A"/>
    <w:rsid w:val="007E727D"/>
    <w:rsid w:val="008141CE"/>
    <w:rsid w:val="0081707B"/>
    <w:rsid w:val="00830158"/>
    <w:rsid w:val="008A1721"/>
    <w:rsid w:val="008A627E"/>
    <w:rsid w:val="008A6E4D"/>
    <w:rsid w:val="008B0017"/>
    <w:rsid w:val="008C0A37"/>
    <w:rsid w:val="008C5F35"/>
    <w:rsid w:val="008D1F28"/>
    <w:rsid w:val="008D51D8"/>
    <w:rsid w:val="008E3652"/>
    <w:rsid w:val="00904708"/>
    <w:rsid w:val="00910D43"/>
    <w:rsid w:val="00946DB3"/>
    <w:rsid w:val="0095180A"/>
    <w:rsid w:val="00980CD0"/>
    <w:rsid w:val="00983CD2"/>
    <w:rsid w:val="009A2AE5"/>
    <w:rsid w:val="009B4F53"/>
    <w:rsid w:val="009C109A"/>
    <w:rsid w:val="009C183F"/>
    <w:rsid w:val="009D22CF"/>
    <w:rsid w:val="009D5A15"/>
    <w:rsid w:val="00A07D67"/>
    <w:rsid w:val="00A15AED"/>
    <w:rsid w:val="00A22689"/>
    <w:rsid w:val="00A408BC"/>
    <w:rsid w:val="00A56AC9"/>
    <w:rsid w:val="00A75E43"/>
    <w:rsid w:val="00A943A5"/>
    <w:rsid w:val="00AA388E"/>
    <w:rsid w:val="00AB13B7"/>
    <w:rsid w:val="00AB3947"/>
    <w:rsid w:val="00AD3FED"/>
    <w:rsid w:val="00AE4A88"/>
    <w:rsid w:val="00AF7C55"/>
    <w:rsid w:val="00B25DA0"/>
    <w:rsid w:val="00B30281"/>
    <w:rsid w:val="00B47EDC"/>
    <w:rsid w:val="00B508FB"/>
    <w:rsid w:val="00B849EE"/>
    <w:rsid w:val="00B933CE"/>
    <w:rsid w:val="00B961A5"/>
    <w:rsid w:val="00B96AFA"/>
    <w:rsid w:val="00BB2C8F"/>
    <w:rsid w:val="00BB3EB7"/>
    <w:rsid w:val="00BC00CA"/>
    <w:rsid w:val="00BC43A2"/>
    <w:rsid w:val="00BD29FE"/>
    <w:rsid w:val="00BD62C8"/>
    <w:rsid w:val="00C03DA9"/>
    <w:rsid w:val="00C15901"/>
    <w:rsid w:val="00C33285"/>
    <w:rsid w:val="00C356CA"/>
    <w:rsid w:val="00C414AD"/>
    <w:rsid w:val="00C42AFC"/>
    <w:rsid w:val="00C53732"/>
    <w:rsid w:val="00C74CF0"/>
    <w:rsid w:val="00CC3D5F"/>
    <w:rsid w:val="00CC3E6B"/>
    <w:rsid w:val="00CE603D"/>
    <w:rsid w:val="00CE64F5"/>
    <w:rsid w:val="00CF2C76"/>
    <w:rsid w:val="00CF31E7"/>
    <w:rsid w:val="00CF3819"/>
    <w:rsid w:val="00D055EC"/>
    <w:rsid w:val="00D25E40"/>
    <w:rsid w:val="00D33786"/>
    <w:rsid w:val="00D40730"/>
    <w:rsid w:val="00D42D47"/>
    <w:rsid w:val="00D45AD7"/>
    <w:rsid w:val="00D51261"/>
    <w:rsid w:val="00D52772"/>
    <w:rsid w:val="00D96CDF"/>
    <w:rsid w:val="00DB1D4C"/>
    <w:rsid w:val="00DB3C24"/>
    <w:rsid w:val="00DF796A"/>
    <w:rsid w:val="00E32708"/>
    <w:rsid w:val="00E4339D"/>
    <w:rsid w:val="00EA5418"/>
    <w:rsid w:val="00EB0E55"/>
    <w:rsid w:val="00EC0363"/>
    <w:rsid w:val="00EC6507"/>
    <w:rsid w:val="00EC7521"/>
    <w:rsid w:val="00EF073E"/>
    <w:rsid w:val="00F23EA9"/>
    <w:rsid w:val="00F40181"/>
    <w:rsid w:val="00F503E5"/>
    <w:rsid w:val="00F5396D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cobatlaxcala.edu.mx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5B50-FD8B-4744-8907-AA32C6CD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88</cp:revision>
  <cp:lastPrinted>2018-04-05T22:21:00Z</cp:lastPrinted>
  <dcterms:created xsi:type="dcterms:W3CDTF">2014-08-29T22:20:00Z</dcterms:created>
  <dcterms:modified xsi:type="dcterms:W3CDTF">2018-04-05T22:34:00Z</dcterms:modified>
</cp:coreProperties>
</file>