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22034973"/>
    <w:bookmarkEnd w:id="0"/>
    <w:p w:rsidR="00DA1807" w:rsidRPr="00920A8F" w:rsidRDefault="00FC258F" w:rsidP="00354B86">
      <w:pPr>
        <w:ind w:firstLine="142"/>
        <w:jc w:val="center"/>
        <w:rPr>
          <w:noProof/>
          <w:sz w:val="6"/>
          <w:lang w:eastAsia="es-MX"/>
        </w:rPr>
      </w:pPr>
      <w:r>
        <w:rPr>
          <w:noProof/>
          <w:lang w:eastAsia="es-MX"/>
        </w:rPr>
        <w:object w:dxaOrig="16892" w:dyaOrig="12013">
          <v:shape id="_x0000_i1025" type="#_x0000_t75" style="width:685.5pt;height:488.25pt" o:ole="">
            <v:imagedata r:id="rId9" o:title=""/>
          </v:shape>
          <o:OLEObject Type="Embed" ProgID="Excel.Sheet.12" ShapeID="_x0000_i1025" DrawAspect="Content" ObjectID="_1640509816" r:id="rId10"/>
        </w:object>
      </w:r>
    </w:p>
    <w:p w:rsidR="00826E00" w:rsidRDefault="00920A8F" w:rsidP="00F95B76">
      <w:pPr>
        <w:jc w:val="center"/>
        <w:rPr>
          <w:rFonts w:ascii="Soberana Sans Light" w:hAnsi="Soberana Sans Light"/>
          <w:b/>
          <w:sz w:val="32"/>
        </w:rPr>
      </w:pPr>
      <w:r w:rsidRPr="00920A8F">
        <w:drawing>
          <wp:anchor distT="0" distB="0" distL="114300" distR="114300" simplePos="0" relativeHeight="251662336" behindDoc="0" locked="0" layoutInCell="1" allowOverlap="1" wp14:anchorId="4764BF33" wp14:editId="7F07E0FD">
            <wp:simplePos x="0" y="0"/>
            <wp:positionH relativeFrom="column">
              <wp:posOffset>971550</wp:posOffset>
            </wp:positionH>
            <wp:positionV relativeFrom="paragraph">
              <wp:posOffset>280036</wp:posOffset>
            </wp:positionV>
            <wp:extent cx="7406422" cy="5837604"/>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0335" cy="5840688"/>
                    </a:xfrm>
                    <a:prstGeom prst="rect">
                      <a:avLst/>
                    </a:prstGeom>
                    <a:noFill/>
                    <a:ln>
                      <a:noFill/>
                    </a:ln>
                  </pic:spPr>
                </pic:pic>
              </a:graphicData>
            </a:graphic>
            <wp14:sizeRelH relativeFrom="page">
              <wp14:pctWidth>0</wp14:pctWidth>
            </wp14:sizeRelH>
            <wp14:sizeRelV relativeFrom="page">
              <wp14:pctHeight>0</wp14:pctHeight>
            </wp14:sizeRelV>
          </wp:anchor>
        </w:drawing>
      </w:r>
      <w:r w:rsidR="00C127F8" w:rsidRPr="00920A8F">
        <w:rPr>
          <w:rFonts w:ascii="Soberana Sans Light" w:hAnsi="Soberana Sans Light"/>
          <w:b/>
          <w:sz w:val="28"/>
        </w:rPr>
        <w:t>PROGRAMAS Y PROYECTOS DE INVERSIÓN</w:t>
      </w:r>
    </w:p>
    <w:p w:rsidR="00826E00" w:rsidRDefault="00826E00" w:rsidP="00353CF3">
      <w:pPr>
        <w:spacing w:before="120" w:after="120" w:line="240" w:lineRule="auto"/>
        <w:ind w:firstLine="284"/>
        <w:jc w:val="center"/>
        <w:rPr>
          <w:rFonts w:ascii="Arial" w:hAnsi="Arial" w:cs="Arial"/>
          <w:b/>
          <w:sz w:val="18"/>
          <w:szCs w:val="18"/>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bookmarkStart w:id="1" w:name="_GoBack"/>
      <w:bookmarkEnd w:id="1"/>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920A8F" w:rsidRDefault="00920A8F" w:rsidP="00826E00">
      <w:pPr>
        <w:spacing w:before="120" w:after="120" w:line="360" w:lineRule="auto"/>
        <w:ind w:firstLine="284"/>
        <w:jc w:val="center"/>
        <w:rPr>
          <w:rFonts w:ascii="Arial" w:hAnsi="Arial" w:cs="Arial"/>
          <w:b/>
        </w:rPr>
      </w:pPr>
    </w:p>
    <w:p w:rsidR="00826E00" w:rsidRDefault="00826E00" w:rsidP="00826E00">
      <w:pPr>
        <w:spacing w:before="120" w:after="120" w:line="360" w:lineRule="auto"/>
        <w:ind w:firstLine="284"/>
        <w:jc w:val="center"/>
        <w:rPr>
          <w:rFonts w:ascii="Arial" w:hAnsi="Arial" w:cs="Arial"/>
          <w:b/>
        </w:rPr>
      </w:pPr>
      <w:r w:rsidRPr="00826E00">
        <w:rPr>
          <w:rFonts w:ascii="Arial" w:hAnsi="Arial" w:cs="Arial"/>
          <w:b/>
        </w:rPr>
        <w:t>Indicadores de Resultados</w:t>
      </w:r>
    </w:p>
    <w:p w:rsidR="00826E00" w:rsidRPr="00826E00" w:rsidRDefault="00826E00" w:rsidP="00826E00">
      <w:pPr>
        <w:spacing w:before="120" w:after="120" w:line="360" w:lineRule="auto"/>
        <w:ind w:firstLine="284"/>
        <w:jc w:val="center"/>
        <w:rPr>
          <w:rFonts w:ascii="Arial" w:hAnsi="Arial" w:cs="Arial"/>
          <w:b/>
        </w:rPr>
      </w:pPr>
    </w:p>
    <w:p w:rsidR="00826E00" w:rsidRPr="00826E00" w:rsidRDefault="00826E00" w:rsidP="00826E0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La el marco institucional para el análisis, proyección e integración de la información, para  el cumplimiento de las actividades formalizadas dentro del Plan de Desarrollo Institucional </w:t>
      </w:r>
      <w:proofErr w:type="spellStart"/>
      <w:r w:rsidRPr="00826E00">
        <w:rPr>
          <w:rFonts w:ascii="Arial" w:hAnsi="Arial" w:cs="Arial"/>
          <w:b/>
        </w:rPr>
        <w:t>UATx</w:t>
      </w:r>
      <w:proofErr w:type="spellEnd"/>
      <w:r w:rsidRPr="00826E00">
        <w:rPr>
          <w:rFonts w:ascii="Arial" w:hAnsi="Arial" w:cs="Arial"/>
          <w:b/>
        </w:rPr>
        <w:t xml:space="preserve"> 2018-2022 (PDI 2018-2022)</w:t>
      </w:r>
      <w:r w:rsidRPr="00826E00">
        <w:rPr>
          <w:rFonts w:ascii="Arial" w:hAnsi="Arial" w:cs="Arial"/>
        </w:rPr>
        <w:t>; además de los informes relacionados en el marco del presente; la política educativa federal y estatal; así mismo de los procesos para el seguimiento, transparencia y rendición de cuentas, efectuadas a través de las auditorias de recursos, matricula, procesos que realiza la Universidad y las instancias.  De acuerdo a sus resultados se garantiza la continuidad de los trabajos colegiados en cada una de las instancias universitarias y dando certidumbre al proyecto de universidad que se pretende establecer durante los próximos años; considerando los factores internos, externos y globales en los cuales se inserta la universidad; favoreciendo la calidad educativa, la seguridad y convivencia institucionales; la transparencia y rendición de cuentas; el impulso al bienestar, calidad de vida de la sociedad tlaxcalteca y mexicana en su conjunto.</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En función de lo anterior, los factores que intervienen en la consistencia y confiabilidad de las operaciones financieras, contables y presupuestales; son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w:t>
      </w:r>
      <w:r w:rsidRPr="00826E00">
        <w:rPr>
          <w:rFonts w:ascii="Arial" w:hAnsi="Arial" w:cs="Arial"/>
          <w:b/>
        </w:rPr>
        <w:t>OFSE</w:t>
      </w:r>
      <w:r w:rsidRPr="00826E00">
        <w:rPr>
          <w:rFonts w:ascii="Arial" w:hAnsi="Arial" w:cs="Arial"/>
        </w:rPr>
        <w:t xml:space="preserve">), mediante el proceso de presupuesto realizada mediante la </w:t>
      </w:r>
      <w:r w:rsidRPr="00826E00">
        <w:rPr>
          <w:rFonts w:ascii="Arial" w:hAnsi="Arial" w:cs="Arial"/>
          <w:b/>
        </w:rPr>
        <w:t>MIR</w:t>
      </w:r>
      <w:r w:rsidRPr="00826E00">
        <w:rPr>
          <w:rFonts w:ascii="Arial" w:hAnsi="Arial" w:cs="Arial"/>
        </w:rPr>
        <w:t xml:space="preserve"> (Medición de Indicadores y Resultados) presentada anualmente por la Universidad.  Y la segunda de carácter federal, como lo es la Auditoria Superior de Federación (</w:t>
      </w:r>
      <w:r w:rsidRPr="00826E00">
        <w:rPr>
          <w:rFonts w:ascii="Arial" w:hAnsi="Arial" w:cs="Arial"/>
          <w:b/>
        </w:rPr>
        <w:t>ASF</w:t>
      </w:r>
      <w:r w:rsidRPr="00826E00">
        <w:rPr>
          <w:rFonts w:ascii="Arial" w:hAnsi="Arial" w:cs="Arial"/>
        </w:rPr>
        <w:t>) que ha sido instruida por la Cámara de Diputados del Congreso de la Unión; para la revisión correcta y transparente de la aplicación de recursos destinados a la Universidad, mediante el Presupuesto de Egresos de la Federación (</w:t>
      </w:r>
      <w:r w:rsidRPr="00826E00">
        <w:rPr>
          <w:rFonts w:ascii="Arial" w:hAnsi="Arial" w:cs="Arial"/>
          <w:b/>
        </w:rPr>
        <w:t>PEF</w:t>
      </w:r>
      <w:r w:rsidRPr="00826E00">
        <w:rPr>
          <w:rFonts w:ascii="Arial" w:hAnsi="Arial" w:cs="Arial"/>
        </w:rPr>
        <w:t xml:space="preserve">); en cuento a la Secretaria de la Función Pública, Auditoria Superior de la Federación, Órgano Superior de Fiscalización del Estado, </w:t>
      </w:r>
      <w:r w:rsidRPr="00826E00">
        <w:rPr>
          <w:rFonts w:ascii="Arial" w:hAnsi="Arial" w:cs="Arial"/>
          <w:b/>
        </w:rPr>
        <w:t>ACMOVIES, S:C.</w:t>
      </w:r>
      <w:r w:rsidRPr="00826E00">
        <w:rPr>
          <w:rFonts w:ascii="Arial" w:hAnsi="Arial" w:cs="Arial"/>
        </w:rPr>
        <w:t>; despachos contables entre otras entidades permiten la evaluación del quehacer y resultados de la institución; habiendo de destacar que los resultados, en todos los ámbitos han sido satisfactorios.</w:t>
      </w:r>
    </w:p>
    <w:p w:rsidR="00826E00" w:rsidRPr="00826E00" w:rsidRDefault="00826E00" w:rsidP="00826E00">
      <w:pPr>
        <w:spacing w:before="120" w:after="120" w:line="360" w:lineRule="auto"/>
        <w:jc w:val="center"/>
        <w:rPr>
          <w:rFonts w:ascii="Arial" w:hAnsi="Arial" w:cs="Arial"/>
        </w:rPr>
      </w:pPr>
    </w:p>
    <w:p w:rsidR="00826E00" w:rsidRDefault="00826E00" w:rsidP="00826E00">
      <w:pPr>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58240" behindDoc="0" locked="0" layoutInCell="1" allowOverlap="1" wp14:anchorId="67099927" wp14:editId="7645553E">
            <wp:simplePos x="0" y="0"/>
            <wp:positionH relativeFrom="column">
              <wp:posOffset>1181100</wp:posOffset>
            </wp:positionH>
            <wp:positionV relativeFrom="paragraph">
              <wp:posOffset>143510</wp:posOffset>
            </wp:positionV>
            <wp:extent cx="6332220" cy="29019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Con la participación de los miembros de las Academias, personal académico y administrativo a través de grupos de planeación; a nivel de las divisiones, coordinadores de división, directores y secretarios de facultades, coordinadores de programas, líderes de Cuerpos Académicos; y a nivel administrativo por los secretarios académico, técnico, administrativo, de investigación científica y posgrado; de extensión y difusión universitarias y la Autorrealización; fundamentaron las necesidades y el desarrollo de prioridades institucionales que permiten definir un presupuesto acorde con las funciones sustantivas y adjetivas; además de los retos que la actualidad plantea.  </w:t>
      </w: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2342DF6E" wp14:editId="578253EE">
            <wp:extent cx="6332220" cy="412461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124613"/>
                    </a:xfrm>
                    <a:prstGeom prst="rect">
                      <a:avLst/>
                    </a:prstGeom>
                    <a:noFill/>
                    <a:ln>
                      <a:noFill/>
                    </a:ln>
                  </pic:spPr>
                </pic:pic>
              </a:graphicData>
            </a:graphic>
          </wp:inline>
        </w:drawing>
      </w:r>
    </w:p>
    <w:p w:rsidR="00826E00" w:rsidRDefault="00826E00" w:rsidP="00826E00">
      <w:pPr>
        <w:spacing w:before="120" w:after="120" w:line="360" w:lineRule="auto"/>
        <w:jc w:val="both"/>
        <w:rPr>
          <w:rFonts w:ascii="Arial" w:hAnsi="Arial" w:cs="Arial"/>
        </w:rPr>
      </w:pPr>
      <w:r w:rsidRPr="00826E00">
        <w:rPr>
          <w:rFonts w:ascii="Arial" w:hAnsi="Arial" w:cs="Arial"/>
        </w:rPr>
        <w:t xml:space="preserve">Esta articulación de las políticas institucionales vigentes, con las políticas de desarrollo académico de cada de las coordinaciones académicas de la institución, establecen las condiciones de congruencia, integralidad y complementariedad con las políticas nacionales, regionales, estatales e institucionales; de manera, que contribuyan al logro de los grandes objetivos estratégicos institucionales estructurados en el </w:t>
      </w:r>
      <w:r w:rsidRPr="00826E00">
        <w:rPr>
          <w:rFonts w:ascii="Arial" w:hAnsi="Arial" w:cs="Arial"/>
          <w:b/>
        </w:rPr>
        <w:t>Plan de Desarrollo Institucional 2018-2022</w:t>
      </w:r>
      <w:r w:rsidRPr="00826E00">
        <w:rPr>
          <w:rFonts w:ascii="Arial" w:hAnsi="Arial" w:cs="Arial"/>
        </w:rPr>
        <w:t xml:space="preserve">.  Uno de los principales insumos para la actualización, estructuración y definición del </w:t>
      </w:r>
      <w:r w:rsidRPr="00826E00">
        <w:rPr>
          <w:rFonts w:ascii="Arial" w:hAnsi="Arial" w:cs="Arial"/>
          <w:b/>
        </w:rPr>
        <w:t xml:space="preserve">Plan de Desarrollo Institucional </w:t>
      </w:r>
      <w:proofErr w:type="spellStart"/>
      <w:r w:rsidRPr="00826E00">
        <w:rPr>
          <w:rFonts w:ascii="Arial" w:hAnsi="Arial" w:cs="Arial"/>
          <w:b/>
        </w:rPr>
        <w:t>UATx</w:t>
      </w:r>
      <w:proofErr w:type="spellEnd"/>
      <w:r w:rsidRPr="00826E00">
        <w:rPr>
          <w:rFonts w:ascii="Arial" w:hAnsi="Arial" w:cs="Arial"/>
          <w:b/>
        </w:rPr>
        <w:t xml:space="preserve"> 2018-2022</w:t>
      </w:r>
      <w:r w:rsidRPr="00826E00">
        <w:rPr>
          <w:rFonts w:ascii="Arial" w:hAnsi="Arial" w:cs="Arial"/>
        </w:rPr>
        <w:t xml:space="preserve">; fueron los referentes considerados en la anterior gestión; con ello se garantizó la continuidad de los trabajos colegiados en cada una de las instancias universitarias y dando certidumbre al proyecto de universidad que se pretende establecer durante los próximos años; considerando los factores internos, externos y globales en los cuales se </w:t>
      </w:r>
    </w:p>
    <w:p w:rsidR="00826E00" w:rsidRPr="00826E00" w:rsidRDefault="00826E00" w:rsidP="00826E00">
      <w:pPr>
        <w:spacing w:before="120" w:after="120" w:line="360" w:lineRule="auto"/>
        <w:jc w:val="both"/>
        <w:rPr>
          <w:rFonts w:ascii="Arial" w:hAnsi="Arial" w:cs="Arial"/>
        </w:rPr>
      </w:pPr>
      <w:proofErr w:type="gramStart"/>
      <w:r w:rsidRPr="00826E00">
        <w:rPr>
          <w:rFonts w:ascii="Arial" w:hAnsi="Arial" w:cs="Arial"/>
        </w:rPr>
        <w:lastRenderedPageBreak/>
        <w:t>inserta</w:t>
      </w:r>
      <w:proofErr w:type="gramEnd"/>
      <w:r w:rsidRPr="00826E00">
        <w:rPr>
          <w:rFonts w:ascii="Arial" w:hAnsi="Arial" w:cs="Arial"/>
        </w:rPr>
        <w:t xml:space="preserve"> la universidad; favoreciendo la calidad educativa, la seguridad y convivencia institucionales; la transparencia y rendición de cuentas; y, el impulso al bienestar y calidad de vida de la sociedad tlaxcalteca y mexicana en su conjunto.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w:t>
      </w:r>
      <w:r w:rsidRPr="00826E00">
        <w:rPr>
          <w:rFonts w:ascii="Arial" w:hAnsi="Arial" w:cs="Arial"/>
          <w:b/>
        </w:rPr>
        <w:t>2025</w:t>
      </w:r>
      <w:r w:rsidRPr="00826E00">
        <w:rPr>
          <w:rFonts w:ascii="Arial" w:hAnsi="Arial" w:cs="Arial"/>
        </w:rPr>
        <w:t>.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9264" behindDoc="1" locked="0" layoutInCell="1" allowOverlap="1" wp14:anchorId="28D60E8B" wp14:editId="36F8A910">
            <wp:simplePos x="0" y="0"/>
            <wp:positionH relativeFrom="column">
              <wp:posOffset>1752600</wp:posOffset>
            </wp:positionH>
            <wp:positionV relativeFrom="paragraph">
              <wp:posOffset>250825</wp:posOffset>
            </wp:positionV>
            <wp:extent cx="5360670" cy="34912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67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 xml:space="preserve">Asimismo en virtud de realizar esquemas de internacionalización, la </w:t>
      </w:r>
      <w:proofErr w:type="spellStart"/>
      <w:r w:rsidRPr="00826E00">
        <w:rPr>
          <w:rFonts w:ascii="Arial" w:hAnsi="Arial" w:cs="Arial"/>
          <w:b/>
        </w:rPr>
        <w:t>UATx</w:t>
      </w:r>
      <w:proofErr w:type="spellEnd"/>
      <w:r w:rsidRPr="00826E00">
        <w:rPr>
          <w:rFonts w:ascii="Arial" w:hAnsi="Arial" w:cs="Arial"/>
        </w:rPr>
        <w:t xml:space="preserve">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w:t>
      </w:r>
    </w:p>
    <w:p w:rsidR="00826E00" w:rsidRPr="00826E00" w:rsidRDefault="00826E00" w:rsidP="00826E00">
      <w:pPr>
        <w:tabs>
          <w:tab w:val="left" w:pos="1875"/>
        </w:tabs>
        <w:spacing w:before="120" w:after="120" w:line="360" w:lineRule="auto"/>
        <w:jc w:val="center"/>
        <w:rPr>
          <w:rFonts w:ascii="Arial" w:hAnsi="Arial" w:cs="Arial"/>
        </w:rPr>
      </w:pP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57AFC26C" wp14:editId="0CC29A14">
            <wp:extent cx="5227295" cy="25430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051" cy="2548809"/>
                    </a:xfrm>
                    <a:prstGeom prst="rect">
                      <a:avLst/>
                    </a:prstGeom>
                    <a:noFill/>
                    <a:ln>
                      <a:noFill/>
                    </a:ln>
                  </pic:spPr>
                </pic:pic>
              </a:graphicData>
            </a:graphic>
          </wp:inline>
        </w:drawing>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Favorecer la segunda lengua en programas de licenciatura y una tercera lengua en estudios de posgrado;</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Establecer mecanismos de apoyo para la realización de estancias de investigación, académicas o de intercambio con otras universidades a nivel internacional;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Impulsar convenios que permitan obtener créditos académicos, complementarios en la formación profesional en otras IES;</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Fomentar el desarrollo de la investigación con otras IES por medio de estancias de investigación, colaboración y trabajo editorial;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Consolidar el posgrado institucional por medio de la movilidad académica, estancias cortas y presentación de trabajos en foros, congresos, etc.;</w:t>
      </w:r>
    </w:p>
    <w:p w:rsid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Fortalecer la habilitación académica por medio de su vinculación con la investigación y el impulso de nuevos investigadores en el entorno global.</w:t>
      </w: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60288" behindDoc="1" locked="0" layoutInCell="1" allowOverlap="1" wp14:anchorId="56CD4340" wp14:editId="1B99D5CE">
            <wp:simplePos x="0" y="0"/>
            <wp:positionH relativeFrom="column">
              <wp:posOffset>1588770</wp:posOffset>
            </wp:positionH>
            <wp:positionV relativeFrom="paragraph">
              <wp:posOffset>2879725</wp:posOffset>
            </wp:positionV>
            <wp:extent cx="5745173" cy="3750610"/>
            <wp:effectExtent l="0" t="0" r="8255"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173" cy="375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w:t>
      </w:r>
      <w:r w:rsidRPr="00826E00">
        <w:rPr>
          <w:rFonts w:ascii="Arial" w:hAnsi="Arial" w:cs="Arial"/>
          <w:b/>
        </w:rPr>
        <w:t>MHIC</w:t>
      </w:r>
      <w:r w:rsidRPr="00826E00">
        <w:rPr>
          <w:rFonts w:ascii="Arial" w:hAnsi="Arial" w:cs="Arial"/>
        </w:rPr>
        <w:t xml:space="preserve">)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w:t>
      </w:r>
      <w:r w:rsidRPr="00826E00">
        <w:rPr>
          <w:rFonts w:ascii="Arial" w:hAnsi="Arial" w:cs="Arial"/>
          <w:b/>
        </w:rPr>
        <w:t>MHIC</w:t>
      </w:r>
      <w:r w:rsidRPr="00826E00">
        <w:rPr>
          <w:rFonts w:ascii="Arial" w:hAnsi="Arial" w:cs="Arial"/>
        </w:rPr>
        <w:t xml:space="preserve">;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w:t>
      </w:r>
      <w:r w:rsidRPr="00826E00">
        <w:rPr>
          <w:rFonts w:ascii="Arial" w:hAnsi="Arial" w:cs="Arial"/>
          <w:b/>
        </w:rPr>
        <w:t>MHIC</w:t>
      </w:r>
      <w:r w:rsidRPr="00826E00">
        <w:rPr>
          <w:rFonts w:ascii="Arial" w:hAnsi="Arial" w:cs="Arial"/>
        </w:rPr>
        <w:t xml:space="preserve">. </w:t>
      </w:r>
    </w:p>
    <w:p w:rsidR="00826E00" w:rsidRP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lastRenderedPageBreak/>
        <w:t xml:space="preserve">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w:t>
      </w:r>
      <w:r w:rsidRPr="00826E00">
        <w:rPr>
          <w:rFonts w:ascii="Arial" w:hAnsi="Arial" w:cs="Arial"/>
          <w:b/>
        </w:rPr>
        <w:t>IES</w:t>
      </w:r>
      <w:r w:rsidRPr="00826E00">
        <w:rPr>
          <w:rFonts w:ascii="Arial" w:hAnsi="Arial" w:cs="Arial"/>
        </w:rPr>
        <w:t>,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 viabilidad dentro de la misma; así mismo la importancia de contar con la adecuación de espacios; proporciona una cobertura integral en la permanencia del alumno en la Universidad.</w:t>
      </w:r>
    </w:p>
    <w:p w:rsidR="00826E00" w:rsidRPr="00826E00" w:rsidRDefault="00826E00" w:rsidP="00826E00">
      <w:pPr>
        <w:spacing w:before="120" w:after="120" w:line="360" w:lineRule="auto"/>
        <w:ind w:firstLine="284"/>
        <w:jc w:val="both"/>
        <w:rPr>
          <w:rFonts w:ascii="Arial" w:hAnsi="Arial" w:cs="Arial"/>
        </w:rPr>
      </w:pPr>
      <w:r w:rsidRPr="00826E00">
        <w:rPr>
          <w:rFonts w:ascii="Arial" w:hAnsi="Arial" w:cs="Arial"/>
        </w:rPr>
        <w:t xml:space="preserve">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w:t>
      </w:r>
      <w:r w:rsidRPr="00826E00">
        <w:rPr>
          <w:rFonts w:ascii="Arial" w:hAnsi="Arial" w:cs="Arial"/>
          <w:b/>
        </w:rPr>
        <w:t>2009</w:t>
      </w:r>
      <w:r w:rsidRPr="00826E00">
        <w:rPr>
          <w:rFonts w:ascii="Arial" w:hAnsi="Arial" w:cs="Arial"/>
        </w:rPr>
        <w:t xml:space="preserve"> ascendía a </w:t>
      </w:r>
      <w:r w:rsidRPr="00826E00">
        <w:rPr>
          <w:rFonts w:ascii="Arial" w:hAnsi="Arial" w:cs="Arial"/>
          <w:b/>
        </w:rPr>
        <w:t>169</w:t>
      </w:r>
      <w:r w:rsidRPr="00826E00">
        <w:rPr>
          <w:rFonts w:ascii="Arial" w:hAnsi="Arial" w:cs="Arial"/>
        </w:rPr>
        <w:t xml:space="preserve">, lo que estimaba una atención a la demanda de </w:t>
      </w:r>
      <w:r w:rsidRPr="00826E00">
        <w:rPr>
          <w:rFonts w:ascii="Arial" w:hAnsi="Arial" w:cs="Arial"/>
          <w:b/>
        </w:rPr>
        <w:t>11,307</w:t>
      </w:r>
      <w:r w:rsidRPr="00826E00">
        <w:rPr>
          <w:rFonts w:ascii="Arial" w:hAnsi="Arial" w:cs="Arial"/>
        </w:rPr>
        <w:t xml:space="preserve"> alumnos matriculados en licenciatura y posgrado en ese año, cuya matrícula para ese año; para finales de </w:t>
      </w:r>
      <w:r w:rsidRPr="00826E00">
        <w:rPr>
          <w:rFonts w:ascii="Arial" w:hAnsi="Arial" w:cs="Arial"/>
          <w:b/>
        </w:rPr>
        <w:t>2022</w:t>
      </w:r>
      <w:r w:rsidRPr="00826E00">
        <w:rPr>
          <w:rFonts w:ascii="Arial" w:hAnsi="Arial" w:cs="Arial"/>
        </w:rPr>
        <w:t xml:space="preserve"> el número de aulas fue de </w:t>
      </w:r>
      <w:r w:rsidRPr="00826E00">
        <w:rPr>
          <w:rFonts w:ascii="Arial" w:hAnsi="Arial" w:cs="Arial"/>
          <w:b/>
        </w:rPr>
        <w:t>262</w:t>
      </w:r>
      <w:r w:rsidRPr="00826E00">
        <w:rPr>
          <w:rFonts w:ascii="Arial" w:hAnsi="Arial" w:cs="Arial"/>
        </w:rPr>
        <w:t xml:space="preserve">; es decir </w:t>
      </w:r>
      <w:r w:rsidRPr="00826E00">
        <w:rPr>
          <w:rFonts w:ascii="Arial" w:hAnsi="Arial" w:cs="Arial"/>
          <w:b/>
        </w:rPr>
        <w:t>34.57%</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w:t>
      </w:r>
      <w:r w:rsidRPr="00826E00">
        <w:rPr>
          <w:rFonts w:ascii="Arial" w:hAnsi="Arial" w:cs="Arial"/>
          <w:b/>
        </w:rPr>
        <w:t>93 aulas</w:t>
      </w:r>
      <w:r w:rsidRPr="00826E00">
        <w:rPr>
          <w:rFonts w:ascii="Arial" w:hAnsi="Arial" w:cs="Arial"/>
        </w:rPr>
        <w:t xml:space="preserve">) lo que favoreció ampliar el número de espacios a </w:t>
      </w:r>
      <w:r w:rsidRPr="00826E00">
        <w:rPr>
          <w:rFonts w:ascii="Arial" w:hAnsi="Arial" w:cs="Arial"/>
          <w:b/>
        </w:rPr>
        <w:t>17,241</w:t>
      </w:r>
      <w:r w:rsidRPr="00826E00">
        <w:rPr>
          <w:rFonts w:ascii="Arial" w:hAnsi="Arial" w:cs="Arial"/>
        </w:rPr>
        <w:t xml:space="preserve">, es decir, un </w:t>
      </w:r>
      <w:r w:rsidRPr="00826E00">
        <w:rPr>
          <w:rFonts w:ascii="Arial" w:hAnsi="Arial" w:cs="Arial"/>
          <w:b/>
        </w:rPr>
        <w:t>34.41%</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sin embargo, el número de construcciones avanza de manera proporcional con el número de alumnos y el número de profesores que los atienden; no excediendo una cobertura promedio de alumnos por PTC de </w:t>
      </w:r>
      <w:r w:rsidRPr="00826E00">
        <w:rPr>
          <w:rFonts w:ascii="Arial" w:hAnsi="Arial" w:cs="Arial"/>
          <w:b/>
        </w:rPr>
        <w:t>20</w:t>
      </w:r>
      <w:r w:rsidRPr="00826E00">
        <w:rPr>
          <w:rFonts w:ascii="Arial" w:hAnsi="Arial" w:cs="Arial"/>
        </w:rPr>
        <w:t xml:space="preserve"> y una cobertura de </w:t>
      </w:r>
      <w:r w:rsidRPr="00826E00">
        <w:rPr>
          <w:rFonts w:ascii="Arial" w:hAnsi="Arial" w:cs="Arial"/>
          <w:b/>
        </w:rPr>
        <w:t>19</w:t>
      </w:r>
      <w:r w:rsidRPr="00826E00">
        <w:rPr>
          <w:rFonts w:ascii="Arial" w:hAnsi="Arial" w:cs="Arial"/>
        </w:rPr>
        <w:t xml:space="preserve"> por otras categorías académicas. </w:t>
      </w: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031E25" w:rsidRDefault="00031E25" w:rsidP="00353CF3">
      <w:pPr>
        <w:spacing w:before="120" w:after="120" w:line="240" w:lineRule="auto"/>
        <w:ind w:firstLine="284"/>
        <w:jc w:val="center"/>
        <w:rPr>
          <w:rFonts w:ascii="Arial" w:hAnsi="Arial" w:cs="Arial"/>
          <w:b/>
        </w:rPr>
        <w:sectPr w:rsidR="00031E25" w:rsidSect="00685252">
          <w:headerReference w:type="even" r:id="rId17"/>
          <w:headerReference w:type="default" r:id="rId18"/>
          <w:footerReference w:type="even" r:id="rId19"/>
          <w:footerReference w:type="default" r:id="rId20"/>
          <w:pgSz w:w="15840" w:h="12240" w:orient="landscape"/>
          <w:pgMar w:top="1135" w:right="1080" w:bottom="1440" w:left="1080" w:header="708" w:footer="504" w:gutter="0"/>
          <w:cols w:space="708"/>
          <w:docGrid w:linePitch="360"/>
        </w:sectPr>
      </w:pPr>
    </w:p>
    <w:p w:rsidR="00826E00" w:rsidRPr="00826E00" w:rsidRDefault="00826E00" w:rsidP="00353CF3">
      <w:pPr>
        <w:spacing w:before="120" w:after="120" w:line="240" w:lineRule="auto"/>
        <w:ind w:firstLine="284"/>
        <w:jc w:val="center"/>
        <w:rPr>
          <w:rFonts w:ascii="Arial" w:hAnsi="Arial" w:cs="Arial"/>
          <w:b/>
        </w:rPr>
      </w:pPr>
      <w:r w:rsidRPr="001C4D2F">
        <w:rPr>
          <w:noProof/>
          <w:lang w:eastAsia="es-MX"/>
        </w:rPr>
        <w:lastRenderedPageBreak/>
        <w:drawing>
          <wp:anchor distT="0" distB="0" distL="114300" distR="114300" simplePos="0" relativeHeight="251661312" behindDoc="0" locked="0" layoutInCell="1" allowOverlap="1" wp14:anchorId="01C9325D" wp14:editId="1E9DDA9A">
            <wp:simplePos x="0" y="0"/>
            <wp:positionH relativeFrom="column">
              <wp:posOffset>13335</wp:posOffset>
            </wp:positionH>
            <wp:positionV relativeFrom="paragraph">
              <wp:posOffset>316230</wp:posOffset>
            </wp:positionV>
            <wp:extent cx="6162675" cy="8362315"/>
            <wp:effectExtent l="0" t="0" r="9525" b="63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83623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6E00" w:rsidRPr="00826E00" w:rsidSect="00031E25">
      <w:pgSz w:w="12240" w:h="15840"/>
      <w:pgMar w:top="1077" w:right="1440" w:bottom="1077" w:left="1134"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B5" w:rsidRDefault="004647B5" w:rsidP="00EA5418">
      <w:pPr>
        <w:spacing w:after="0" w:line="240" w:lineRule="auto"/>
      </w:pPr>
      <w:r>
        <w:separator/>
      </w:r>
    </w:p>
  </w:endnote>
  <w:endnote w:type="continuationSeparator" w:id="0">
    <w:p w:rsidR="004647B5" w:rsidRDefault="004647B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3A372908" wp14:editId="712DF125">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2045"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920A8F" w:rsidRPr="00920A8F">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A88FF19" wp14:editId="44AF0FDD">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B0E525"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920A8F" w:rsidRPr="00920A8F">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B5" w:rsidRDefault="004647B5" w:rsidP="00EA5418">
      <w:pPr>
        <w:spacing w:after="0" w:line="240" w:lineRule="auto"/>
      </w:pPr>
      <w:r>
        <w:separator/>
      </w:r>
    </w:p>
  </w:footnote>
  <w:footnote w:type="continuationSeparator" w:id="0">
    <w:p w:rsidR="004647B5" w:rsidRDefault="004647B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33BE376" wp14:editId="3B920A46">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9DC1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6CA0E230" wp14:editId="73124591">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F03CEE1" wp14:editId="7024434F">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C9C3E"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art3DC"/>
      </v:shape>
    </w:pict>
  </w:numPicBullet>
  <w:abstractNum w:abstractNumId="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1E25"/>
    <w:rsid w:val="00033C55"/>
    <w:rsid w:val="00040466"/>
    <w:rsid w:val="00061692"/>
    <w:rsid w:val="000623B6"/>
    <w:rsid w:val="00094EA1"/>
    <w:rsid w:val="001107DF"/>
    <w:rsid w:val="001271CB"/>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7B5"/>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B6BBD"/>
    <w:rsid w:val="007D6E9A"/>
    <w:rsid w:val="007E5512"/>
    <w:rsid w:val="00805E96"/>
    <w:rsid w:val="00806876"/>
    <w:rsid w:val="0081564A"/>
    <w:rsid w:val="00826E00"/>
    <w:rsid w:val="008A3D86"/>
    <w:rsid w:val="008A627E"/>
    <w:rsid w:val="008A6E4D"/>
    <w:rsid w:val="008B0017"/>
    <w:rsid w:val="008C4137"/>
    <w:rsid w:val="008D51D8"/>
    <w:rsid w:val="008E3652"/>
    <w:rsid w:val="009207B4"/>
    <w:rsid w:val="00920A8F"/>
    <w:rsid w:val="009514D2"/>
    <w:rsid w:val="009860BC"/>
    <w:rsid w:val="009B25EE"/>
    <w:rsid w:val="009F6787"/>
    <w:rsid w:val="00A11B84"/>
    <w:rsid w:val="00A3100F"/>
    <w:rsid w:val="00A37C8E"/>
    <w:rsid w:val="00A547CF"/>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152"/>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267FB"/>
    <w:rsid w:val="00F3572F"/>
    <w:rsid w:val="00F95997"/>
    <w:rsid w:val="00F95B76"/>
    <w:rsid w:val="00F96944"/>
    <w:rsid w:val="00FC2078"/>
    <w:rsid w:val="00FC258F"/>
    <w:rsid w:val="00FD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ABD80-DD50-4F80-8DB5-99A081BB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1638</Words>
  <Characters>9013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80</cp:revision>
  <cp:lastPrinted>2020-01-14T18:16:00Z</cp:lastPrinted>
  <dcterms:created xsi:type="dcterms:W3CDTF">2014-08-29T22:20:00Z</dcterms:created>
  <dcterms:modified xsi:type="dcterms:W3CDTF">2020-01-14T18:18:00Z</dcterms:modified>
</cp:coreProperties>
</file>