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Start w:id="1" w:name="_MON_1622034973"/>
    <w:bookmarkEnd w:id="1"/>
    <w:p w:rsidR="00DA1807" w:rsidRDefault="00A547CF" w:rsidP="00354B86">
      <w:pPr>
        <w:ind w:firstLine="142"/>
        <w:jc w:val="center"/>
        <w:rPr>
          <w:noProof/>
          <w:lang w:eastAsia="es-MX"/>
        </w:rPr>
      </w:pPr>
      <w:r>
        <w:rPr>
          <w:noProof/>
          <w:lang w:eastAsia="es-MX"/>
        </w:rPr>
        <w:object w:dxaOrig="16938" w:dyaOrig="11593">
          <v:shape id="_x0000_i1025" type="#_x0000_t75" style="width:687.75pt;height:471pt" o:ole="">
            <v:imagedata r:id="rId9" o:title=""/>
          </v:shape>
          <o:OLEObject Type="Embed" ProgID="Excel.Sheet.12" ShapeID="_x0000_i1025" DrawAspect="Content" ObjectID="_1624191214" r:id="rId10"/>
        </w:object>
      </w:r>
      <w:bookmarkEnd w:id="0"/>
    </w:p>
    <w:p w:rsidR="00826E00" w:rsidRDefault="00826E00" w:rsidP="00354B86">
      <w:pPr>
        <w:ind w:firstLine="142"/>
        <w:jc w:val="center"/>
      </w:pPr>
    </w:p>
    <w:p w:rsidR="00F95B76"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826E00" w:rsidRDefault="00826E00" w:rsidP="00F95B76">
      <w:pPr>
        <w:jc w:val="center"/>
      </w:pPr>
    </w:p>
    <w:p w:rsidR="00826E00" w:rsidRDefault="00826E00" w:rsidP="00F95B76">
      <w:pPr>
        <w:jc w:val="center"/>
        <w:rPr>
          <w:rFonts w:ascii="Soberana Sans Light" w:hAnsi="Soberana Sans Light"/>
          <w:b/>
          <w:sz w:val="32"/>
        </w:rPr>
      </w:pPr>
      <w:r w:rsidRPr="00826E00">
        <w:rPr>
          <w:noProof/>
          <w:lang w:eastAsia="es-MX"/>
        </w:rPr>
        <w:drawing>
          <wp:inline distT="0" distB="0" distL="0" distR="0" wp14:anchorId="392D8598" wp14:editId="226AF4C2">
            <wp:extent cx="8686800" cy="14163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86800" cy="1416397"/>
                    </a:xfrm>
                    <a:prstGeom prst="rect">
                      <a:avLst/>
                    </a:prstGeom>
                    <a:noFill/>
                    <a:ln>
                      <a:noFill/>
                    </a:ln>
                  </pic:spPr>
                </pic:pic>
              </a:graphicData>
            </a:graphic>
          </wp:inline>
        </w:drawing>
      </w: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353CF3">
      <w:pPr>
        <w:spacing w:before="120" w:after="120" w:line="240" w:lineRule="auto"/>
        <w:ind w:firstLine="284"/>
        <w:jc w:val="center"/>
        <w:rPr>
          <w:rFonts w:ascii="Arial" w:hAnsi="Arial" w:cs="Arial"/>
          <w:b/>
          <w:sz w:val="18"/>
          <w:szCs w:val="18"/>
        </w:rPr>
      </w:pPr>
    </w:p>
    <w:p w:rsidR="00826E00" w:rsidRDefault="00826E00" w:rsidP="00826E00">
      <w:pPr>
        <w:spacing w:before="120" w:after="120" w:line="360" w:lineRule="auto"/>
        <w:ind w:firstLine="284"/>
        <w:jc w:val="center"/>
        <w:rPr>
          <w:rFonts w:ascii="Arial" w:hAnsi="Arial" w:cs="Arial"/>
          <w:b/>
        </w:rPr>
      </w:pPr>
    </w:p>
    <w:p w:rsidR="00826E00" w:rsidRDefault="00826E00" w:rsidP="00826E00">
      <w:pPr>
        <w:spacing w:before="120" w:after="120" w:line="360" w:lineRule="auto"/>
        <w:ind w:firstLine="284"/>
        <w:jc w:val="center"/>
        <w:rPr>
          <w:rFonts w:ascii="Arial" w:hAnsi="Arial" w:cs="Arial"/>
          <w:b/>
        </w:rPr>
      </w:pPr>
      <w:r w:rsidRPr="00826E00">
        <w:rPr>
          <w:rFonts w:ascii="Arial" w:hAnsi="Arial" w:cs="Arial"/>
          <w:b/>
        </w:rPr>
        <w:t>Indicadores de Resultados</w:t>
      </w:r>
    </w:p>
    <w:p w:rsidR="00826E00" w:rsidRPr="00826E00" w:rsidRDefault="00826E00" w:rsidP="00826E00">
      <w:pPr>
        <w:spacing w:before="120" w:after="120" w:line="360" w:lineRule="auto"/>
        <w:ind w:firstLine="284"/>
        <w:jc w:val="center"/>
        <w:rPr>
          <w:rFonts w:ascii="Arial" w:hAnsi="Arial" w:cs="Arial"/>
          <w:b/>
        </w:rPr>
      </w:pPr>
    </w:p>
    <w:p w:rsidR="00826E00" w:rsidRPr="00826E00" w:rsidRDefault="00826E00" w:rsidP="00826E00">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La el marco institucional para el análisis, proyección e integración de la información, para  el cumplimiento de las actividades formalizadas dentro del Plan de Desarrollo Institucional </w:t>
      </w:r>
      <w:proofErr w:type="spellStart"/>
      <w:r w:rsidRPr="00826E00">
        <w:rPr>
          <w:rFonts w:ascii="Arial" w:hAnsi="Arial" w:cs="Arial"/>
          <w:b/>
        </w:rPr>
        <w:t>UATx</w:t>
      </w:r>
      <w:proofErr w:type="spellEnd"/>
      <w:r w:rsidRPr="00826E00">
        <w:rPr>
          <w:rFonts w:ascii="Arial" w:hAnsi="Arial" w:cs="Arial"/>
          <w:b/>
        </w:rPr>
        <w:t xml:space="preserve"> 2018-2022 (PDI 2018-2022)</w:t>
      </w:r>
      <w:r w:rsidRPr="00826E00">
        <w:rPr>
          <w:rFonts w:ascii="Arial" w:hAnsi="Arial" w:cs="Arial"/>
        </w:rPr>
        <w:t>; además de los informes relacionados en el marco del presente; la política educativa federal y estatal; así mismo de los procesos para el seguimiento, transparencia y rendición de cuentas, efectuadas a través de las auditorias de recursos, matricula, procesos que realiza la Universidad y las instancias.  De acuerdo a sus resultados se garantiza la continuidad de los trabajos colegiados en cada una de las instancias universitarias y dando certidumbre al proyecto de universidad que se pretende establecer durante los próximos años; considerando los factores internos, externos y globales en los cuales se inserta la universidad; favoreciendo la calidad educativa, la seguridad y convivencia institucionales; la transparencia y rendición de cuentas; el impulso al bienestar, calidad de vida de la sociedad tlaxcalteca y mexicana en su conjunto.</w:t>
      </w:r>
    </w:p>
    <w:p w:rsidR="00826E00" w:rsidRPr="00826E00" w:rsidRDefault="00826E00" w:rsidP="00826E00">
      <w:pPr>
        <w:spacing w:before="120" w:after="120" w:line="360" w:lineRule="auto"/>
        <w:jc w:val="both"/>
        <w:rPr>
          <w:rFonts w:ascii="Arial" w:hAnsi="Arial" w:cs="Arial"/>
        </w:rPr>
      </w:pPr>
      <w:r w:rsidRPr="00826E00">
        <w:rPr>
          <w:rFonts w:ascii="Arial" w:hAnsi="Arial" w:cs="Arial"/>
        </w:rPr>
        <w:t>En función de lo anterior, los factores que intervienen en la consistencia y confiabilidad de las operaciones financieras, contables y presupuestales; son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w:t>
      </w:r>
      <w:r w:rsidRPr="00826E00">
        <w:rPr>
          <w:rFonts w:ascii="Arial" w:hAnsi="Arial" w:cs="Arial"/>
          <w:b/>
        </w:rPr>
        <w:t>OFSE</w:t>
      </w:r>
      <w:r w:rsidRPr="00826E00">
        <w:rPr>
          <w:rFonts w:ascii="Arial" w:hAnsi="Arial" w:cs="Arial"/>
        </w:rPr>
        <w:t xml:space="preserve">), mediante el proceso de presupuesto realizada mediante la </w:t>
      </w:r>
      <w:r w:rsidRPr="00826E00">
        <w:rPr>
          <w:rFonts w:ascii="Arial" w:hAnsi="Arial" w:cs="Arial"/>
          <w:b/>
        </w:rPr>
        <w:t>MIR</w:t>
      </w:r>
      <w:r w:rsidRPr="00826E00">
        <w:rPr>
          <w:rFonts w:ascii="Arial" w:hAnsi="Arial" w:cs="Arial"/>
        </w:rPr>
        <w:t xml:space="preserve"> (Medición de Indicadores y Resultados) presentada anualmente por la Universidad.  Y la segunda de carácter federal, como lo es la Auditoria Superior de Federación (</w:t>
      </w:r>
      <w:r w:rsidRPr="00826E00">
        <w:rPr>
          <w:rFonts w:ascii="Arial" w:hAnsi="Arial" w:cs="Arial"/>
          <w:b/>
        </w:rPr>
        <w:t>ASF</w:t>
      </w:r>
      <w:r w:rsidRPr="00826E00">
        <w:rPr>
          <w:rFonts w:ascii="Arial" w:hAnsi="Arial" w:cs="Arial"/>
        </w:rPr>
        <w:t>) que ha sido instruida por la Cámara de Diputados del Congreso de la Unión; para la revisión correcta y transparente de la aplicación de recursos destinados a la Universidad, mediante el Presupuesto de Egresos de la Federación (</w:t>
      </w:r>
      <w:r w:rsidRPr="00826E00">
        <w:rPr>
          <w:rFonts w:ascii="Arial" w:hAnsi="Arial" w:cs="Arial"/>
          <w:b/>
        </w:rPr>
        <w:t>PEF</w:t>
      </w:r>
      <w:r w:rsidRPr="00826E00">
        <w:rPr>
          <w:rFonts w:ascii="Arial" w:hAnsi="Arial" w:cs="Arial"/>
        </w:rPr>
        <w:t xml:space="preserve">); en cuento a la Secretaria de la Función Pública, Auditoria Superior de la Federación, Órgano Superior de Fiscalización del Estado, </w:t>
      </w:r>
      <w:r w:rsidRPr="00826E00">
        <w:rPr>
          <w:rFonts w:ascii="Arial" w:hAnsi="Arial" w:cs="Arial"/>
          <w:b/>
        </w:rPr>
        <w:t>ACMOVIES, S:C.</w:t>
      </w:r>
      <w:r w:rsidRPr="00826E00">
        <w:rPr>
          <w:rFonts w:ascii="Arial" w:hAnsi="Arial" w:cs="Arial"/>
        </w:rPr>
        <w:t>; despachos contables entre otras entidades permiten la evaluación del quehacer y resultados de la institución; habiendo de destacar que los resultados, en todos los ámbitos han sido satisfactorios.</w:t>
      </w:r>
    </w:p>
    <w:p w:rsidR="00826E00" w:rsidRPr="00826E00" w:rsidRDefault="00826E00" w:rsidP="00826E00">
      <w:pPr>
        <w:spacing w:before="120" w:after="120" w:line="360" w:lineRule="auto"/>
        <w:jc w:val="center"/>
        <w:rPr>
          <w:rFonts w:ascii="Arial" w:hAnsi="Arial" w:cs="Arial"/>
        </w:rPr>
      </w:pPr>
    </w:p>
    <w:p w:rsidR="00826E00" w:rsidRDefault="00826E00" w:rsidP="00826E00">
      <w:pPr>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8240" behindDoc="0" locked="0" layoutInCell="1" allowOverlap="1" wp14:anchorId="67099927" wp14:editId="7645553E">
            <wp:simplePos x="0" y="0"/>
            <wp:positionH relativeFrom="column">
              <wp:posOffset>1181100</wp:posOffset>
            </wp:positionH>
            <wp:positionV relativeFrom="paragraph">
              <wp:posOffset>143510</wp:posOffset>
            </wp:positionV>
            <wp:extent cx="6332220" cy="29019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Default="00826E00" w:rsidP="00826E00">
      <w:pPr>
        <w:spacing w:before="120" w:after="120" w:line="360" w:lineRule="auto"/>
        <w:jc w:val="both"/>
        <w:rPr>
          <w:rFonts w:ascii="Arial" w:hAnsi="Arial" w:cs="Arial"/>
        </w:rPr>
      </w:pPr>
    </w:p>
    <w:p w:rsidR="00826E00" w:rsidRPr="00826E00" w:rsidRDefault="00826E00" w:rsidP="00826E00">
      <w:pPr>
        <w:spacing w:before="120" w:after="120" w:line="360" w:lineRule="auto"/>
        <w:jc w:val="both"/>
        <w:rPr>
          <w:rFonts w:ascii="Arial" w:hAnsi="Arial" w:cs="Arial"/>
        </w:rPr>
      </w:pPr>
      <w:r w:rsidRPr="00826E00">
        <w:rPr>
          <w:rFonts w:ascii="Arial" w:hAnsi="Arial" w:cs="Arial"/>
        </w:rPr>
        <w:t xml:space="preserve">Con la participación de los miembros de las Academias, personal académico y administrativo a través de grupos de planeación; a nivel de las divisiones, coordinadores de división, directores y secretarios de facultades, coordinadores de programas, líderes de Cuerpos Académicos; y a nivel administrativo por los secretarios académico, técnico, administrativo, de investigación científica y posgrado; de extensión y difusión universitarias y la Autorrealización; fundamentaron las necesidades y el desarrollo de prioridades institucionales que permiten definir un presupuesto acorde con las funciones sustantivas y adjetivas; además de los retos que la actualidad plantea.  </w:t>
      </w: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2342DF6E" wp14:editId="578253EE">
            <wp:extent cx="6332220" cy="4124613"/>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124613"/>
                    </a:xfrm>
                    <a:prstGeom prst="rect">
                      <a:avLst/>
                    </a:prstGeom>
                    <a:noFill/>
                    <a:ln>
                      <a:noFill/>
                    </a:ln>
                  </pic:spPr>
                </pic:pic>
              </a:graphicData>
            </a:graphic>
          </wp:inline>
        </w:drawing>
      </w:r>
    </w:p>
    <w:p w:rsidR="00826E00" w:rsidRDefault="00826E00" w:rsidP="00826E00">
      <w:pPr>
        <w:spacing w:before="120" w:after="120" w:line="360" w:lineRule="auto"/>
        <w:jc w:val="both"/>
        <w:rPr>
          <w:rFonts w:ascii="Arial" w:hAnsi="Arial" w:cs="Arial"/>
        </w:rPr>
      </w:pPr>
      <w:r w:rsidRPr="00826E00">
        <w:rPr>
          <w:rFonts w:ascii="Arial" w:hAnsi="Arial" w:cs="Arial"/>
        </w:rPr>
        <w:t xml:space="preserve">Esta articulación de las políticas institucionales vigentes, con las políticas de desarrollo académico de cada de las coordinaciones académicas de la institución, establecen las condiciones de congruencia, integralidad y complementariedad con las políticas nacionales, regionales, estatales e institucionales; de manera, que contribuyan al logro de los grandes objetivos estratégicos institucionales estructurados en el </w:t>
      </w:r>
      <w:r w:rsidRPr="00826E00">
        <w:rPr>
          <w:rFonts w:ascii="Arial" w:hAnsi="Arial" w:cs="Arial"/>
          <w:b/>
        </w:rPr>
        <w:t>Plan de Desarrollo Institucional 2018-2022</w:t>
      </w:r>
      <w:r w:rsidRPr="00826E00">
        <w:rPr>
          <w:rFonts w:ascii="Arial" w:hAnsi="Arial" w:cs="Arial"/>
        </w:rPr>
        <w:t xml:space="preserve">.  Uno de los principales insumos para la actualización, estructuración y definición del </w:t>
      </w:r>
      <w:r w:rsidRPr="00826E00">
        <w:rPr>
          <w:rFonts w:ascii="Arial" w:hAnsi="Arial" w:cs="Arial"/>
          <w:b/>
        </w:rPr>
        <w:t xml:space="preserve">Plan de Desarrollo Institucional </w:t>
      </w:r>
      <w:proofErr w:type="spellStart"/>
      <w:r w:rsidRPr="00826E00">
        <w:rPr>
          <w:rFonts w:ascii="Arial" w:hAnsi="Arial" w:cs="Arial"/>
          <w:b/>
        </w:rPr>
        <w:t>UATx</w:t>
      </w:r>
      <w:proofErr w:type="spellEnd"/>
      <w:r w:rsidRPr="00826E00">
        <w:rPr>
          <w:rFonts w:ascii="Arial" w:hAnsi="Arial" w:cs="Arial"/>
          <w:b/>
        </w:rPr>
        <w:t xml:space="preserve"> 2018-2022</w:t>
      </w:r>
      <w:r w:rsidRPr="00826E00">
        <w:rPr>
          <w:rFonts w:ascii="Arial" w:hAnsi="Arial" w:cs="Arial"/>
        </w:rPr>
        <w:t xml:space="preserve">; fueron los referentes considerados en la anterior gestión; con ello se garantizó la continuidad de los trabajos colegiados en cada una de las instancias universitarias y dando certidumbre al proyecto de universidad que se pretende establecer durante los próximos años; considerando los factores internos, externos y globales en los cuales se </w:t>
      </w:r>
    </w:p>
    <w:p w:rsidR="00826E00" w:rsidRPr="00826E00" w:rsidRDefault="00826E00" w:rsidP="00826E00">
      <w:pPr>
        <w:spacing w:before="120" w:after="120" w:line="360" w:lineRule="auto"/>
        <w:jc w:val="both"/>
        <w:rPr>
          <w:rFonts w:ascii="Arial" w:hAnsi="Arial" w:cs="Arial"/>
        </w:rPr>
      </w:pPr>
      <w:proofErr w:type="gramStart"/>
      <w:r w:rsidRPr="00826E00">
        <w:rPr>
          <w:rFonts w:ascii="Arial" w:hAnsi="Arial" w:cs="Arial"/>
        </w:rPr>
        <w:lastRenderedPageBreak/>
        <w:t>inserta</w:t>
      </w:r>
      <w:proofErr w:type="gramEnd"/>
      <w:r w:rsidRPr="00826E00">
        <w:rPr>
          <w:rFonts w:ascii="Arial" w:hAnsi="Arial" w:cs="Arial"/>
        </w:rPr>
        <w:t xml:space="preserve"> la universidad; favoreciendo la calidad educativa, la seguridad y convivencia institucionales; la transparencia y rendición de cuentas; y, el impulso al bienestar y calidad de vida de la sociedad tlaxcalteca y mexicana en su conjunto.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 xml:space="preserve">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w:t>
      </w:r>
      <w:r w:rsidRPr="00826E00">
        <w:rPr>
          <w:rFonts w:ascii="Arial" w:hAnsi="Arial" w:cs="Arial"/>
          <w:b/>
        </w:rPr>
        <w:t>2025</w:t>
      </w:r>
      <w:r w:rsidRPr="00826E00">
        <w:rPr>
          <w:rFonts w:ascii="Arial" w:hAnsi="Arial" w:cs="Arial"/>
        </w:rPr>
        <w:t>.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w:t>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drawing>
          <wp:anchor distT="0" distB="0" distL="114300" distR="114300" simplePos="0" relativeHeight="251659264" behindDoc="1" locked="0" layoutInCell="1" allowOverlap="1" wp14:anchorId="28D60E8B" wp14:editId="36F8A910">
            <wp:simplePos x="0" y="0"/>
            <wp:positionH relativeFrom="column">
              <wp:posOffset>1752600</wp:posOffset>
            </wp:positionH>
            <wp:positionV relativeFrom="paragraph">
              <wp:posOffset>250825</wp:posOffset>
            </wp:positionV>
            <wp:extent cx="5360670" cy="349123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670" cy="349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 xml:space="preserve">Asimismo en virtud de realizar esquemas de internacionalización, la </w:t>
      </w:r>
      <w:proofErr w:type="spellStart"/>
      <w:r w:rsidRPr="00826E00">
        <w:rPr>
          <w:rFonts w:ascii="Arial" w:hAnsi="Arial" w:cs="Arial"/>
          <w:b/>
        </w:rPr>
        <w:t>UATx</w:t>
      </w:r>
      <w:proofErr w:type="spellEnd"/>
      <w:r w:rsidRPr="00826E00">
        <w:rPr>
          <w:rFonts w:ascii="Arial" w:hAnsi="Arial" w:cs="Arial"/>
        </w:rPr>
        <w:t xml:space="preserve">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w:t>
      </w:r>
    </w:p>
    <w:p w:rsidR="00826E00" w:rsidRPr="00826E00" w:rsidRDefault="00826E00" w:rsidP="00826E00">
      <w:pPr>
        <w:tabs>
          <w:tab w:val="left" w:pos="1875"/>
        </w:tabs>
        <w:spacing w:before="120" w:after="120" w:line="360" w:lineRule="auto"/>
        <w:jc w:val="center"/>
        <w:rPr>
          <w:rFonts w:ascii="Arial" w:hAnsi="Arial" w:cs="Arial"/>
        </w:rPr>
      </w:pPr>
    </w:p>
    <w:p w:rsidR="00826E00" w:rsidRPr="00826E00" w:rsidRDefault="00826E00" w:rsidP="00826E00">
      <w:pPr>
        <w:tabs>
          <w:tab w:val="left" w:pos="1875"/>
        </w:tabs>
        <w:spacing w:before="120" w:after="120" w:line="360" w:lineRule="auto"/>
        <w:jc w:val="center"/>
        <w:rPr>
          <w:rFonts w:ascii="Arial" w:hAnsi="Arial" w:cs="Arial"/>
        </w:rPr>
      </w:pPr>
      <w:r w:rsidRPr="00826E00">
        <w:rPr>
          <w:rFonts w:ascii="Arial" w:hAnsi="Arial" w:cs="Arial"/>
          <w:noProof/>
          <w:lang w:eastAsia="es-MX"/>
        </w:rPr>
        <w:lastRenderedPageBreak/>
        <w:drawing>
          <wp:inline distT="0" distB="0" distL="0" distR="0" wp14:anchorId="57AFC26C" wp14:editId="0CC29A14">
            <wp:extent cx="5227295" cy="25430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051" cy="2548809"/>
                    </a:xfrm>
                    <a:prstGeom prst="rect">
                      <a:avLst/>
                    </a:prstGeom>
                    <a:noFill/>
                    <a:ln>
                      <a:noFill/>
                    </a:ln>
                  </pic:spPr>
                </pic:pic>
              </a:graphicData>
            </a:graphic>
          </wp:inline>
        </w:drawing>
      </w: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t>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Favorecer la segunda lengua en programas de licenciatura y una tercera lengua en estudios de posgrado;</w:t>
      </w:r>
    </w:p>
    <w:p w:rsidR="00826E00" w:rsidRPr="00826E00" w:rsidRDefault="00826E00" w:rsidP="00826E00">
      <w:pPr>
        <w:pStyle w:val="Prrafodelista"/>
        <w:numPr>
          <w:ilvl w:val="0"/>
          <w:numId w:val="9"/>
        </w:numPr>
        <w:tabs>
          <w:tab w:val="left" w:pos="1875"/>
        </w:tabs>
        <w:spacing w:before="120" w:after="120" w:line="360" w:lineRule="auto"/>
        <w:ind w:left="567" w:hanging="283"/>
        <w:jc w:val="both"/>
        <w:rPr>
          <w:rFonts w:ascii="Arial" w:hAnsi="Arial" w:cs="Arial"/>
        </w:rPr>
      </w:pPr>
      <w:r w:rsidRPr="00826E00">
        <w:rPr>
          <w:rFonts w:ascii="Arial" w:hAnsi="Arial" w:cs="Arial"/>
        </w:rPr>
        <w:t>Establecer mecanismos de apoyo para la realización de estancias de investigación, académicas o de intercambio con otras universidades a nivel internacional;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Impulsar convenios que permitan obtener créditos académicos, complementarios en la formación profesional en otras IES;</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Fomentar el desarrollo de la investigación con otras IES por medio de estancias de investigación, colaboración y trabajo editorial;</w:t>
      </w:r>
    </w:p>
    <w:p w:rsidR="00826E00" w:rsidRP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Consolidar el posgrado institucional por medio de la movilidad académica, estancias cortas y presentación de trabajos en foros, congresos, etc.;</w:t>
      </w:r>
    </w:p>
    <w:p w:rsidR="00826E00" w:rsidRDefault="00826E00" w:rsidP="00826E00">
      <w:pPr>
        <w:pStyle w:val="Prrafodelista"/>
        <w:numPr>
          <w:ilvl w:val="0"/>
          <w:numId w:val="8"/>
        </w:numPr>
        <w:tabs>
          <w:tab w:val="left" w:pos="1875"/>
        </w:tabs>
        <w:spacing w:before="120" w:after="120" w:line="360" w:lineRule="auto"/>
        <w:ind w:left="567" w:hanging="283"/>
        <w:jc w:val="both"/>
        <w:rPr>
          <w:rFonts w:ascii="Arial" w:hAnsi="Arial" w:cs="Arial"/>
        </w:rPr>
      </w:pPr>
      <w:r w:rsidRPr="00826E00">
        <w:rPr>
          <w:rFonts w:ascii="Arial" w:hAnsi="Arial" w:cs="Arial"/>
        </w:rPr>
        <w:t>Fortalecer la habilitación académica por medio de su vinculación con la investigación y el impulso de nuevos investigadores en el entorno global.</w:t>
      </w: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Default="00826E00" w:rsidP="00826E00">
      <w:pPr>
        <w:pStyle w:val="Prrafodelista"/>
        <w:tabs>
          <w:tab w:val="left" w:pos="1875"/>
        </w:tabs>
        <w:spacing w:before="120" w:after="120" w:line="360" w:lineRule="auto"/>
        <w:ind w:left="567"/>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noProof/>
          <w:lang w:eastAsia="es-MX"/>
        </w:rPr>
        <w:lastRenderedPageBreak/>
        <w:drawing>
          <wp:anchor distT="0" distB="0" distL="114300" distR="114300" simplePos="0" relativeHeight="251660288" behindDoc="1" locked="0" layoutInCell="1" allowOverlap="1" wp14:anchorId="56CD4340" wp14:editId="1B99D5CE">
            <wp:simplePos x="0" y="0"/>
            <wp:positionH relativeFrom="column">
              <wp:posOffset>1588770</wp:posOffset>
            </wp:positionH>
            <wp:positionV relativeFrom="paragraph">
              <wp:posOffset>2879725</wp:posOffset>
            </wp:positionV>
            <wp:extent cx="5745173" cy="3750610"/>
            <wp:effectExtent l="0" t="0" r="8255"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173" cy="375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E00">
        <w:rPr>
          <w:rFonts w:ascii="Arial" w:hAnsi="Arial" w:cs="Arial"/>
        </w:rPr>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w:t>
      </w:r>
      <w:r w:rsidRPr="00826E00">
        <w:rPr>
          <w:rFonts w:ascii="Arial" w:hAnsi="Arial" w:cs="Arial"/>
          <w:b/>
        </w:rPr>
        <w:t>MHIC</w:t>
      </w:r>
      <w:r w:rsidRPr="00826E00">
        <w:rPr>
          <w:rFonts w:ascii="Arial" w:hAnsi="Arial" w:cs="Arial"/>
        </w:rPr>
        <w:t xml:space="preserve">)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w:t>
      </w:r>
      <w:r w:rsidRPr="00826E00">
        <w:rPr>
          <w:rFonts w:ascii="Arial" w:hAnsi="Arial" w:cs="Arial"/>
          <w:b/>
        </w:rPr>
        <w:t>MHIC</w:t>
      </w:r>
      <w:r w:rsidRPr="00826E00">
        <w:rPr>
          <w:rFonts w:ascii="Arial" w:hAnsi="Arial" w:cs="Arial"/>
        </w:rPr>
        <w:t xml:space="preserve">;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w:t>
      </w:r>
      <w:r w:rsidRPr="00826E00">
        <w:rPr>
          <w:rFonts w:ascii="Arial" w:hAnsi="Arial" w:cs="Arial"/>
          <w:b/>
        </w:rPr>
        <w:t>MHIC</w:t>
      </w:r>
      <w:r w:rsidRPr="00826E00">
        <w:rPr>
          <w:rFonts w:ascii="Arial" w:hAnsi="Arial" w:cs="Arial"/>
        </w:rPr>
        <w:t xml:space="preserve">. </w:t>
      </w:r>
    </w:p>
    <w:p w:rsidR="00826E00" w:rsidRP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Default="00826E00" w:rsidP="00826E00">
      <w:pPr>
        <w:tabs>
          <w:tab w:val="left" w:pos="1875"/>
        </w:tabs>
        <w:spacing w:before="120" w:after="120" w:line="360" w:lineRule="auto"/>
        <w:jc w:val="both"/>
        <w:rPr>
          <w:rFonts w:ascii="Arial" w:hAnsi="Arial" w:cs="Arial"/>
        </w:rPr>
      </w:pPr>
    </w:p>
    <w:p w:rsidR="00826E00" w:rsidRPr="00826E00" w:rsidRDefault="00826E00" w:rsidP="00826E00">
      <w:pPr>
        <w:tabs>
          <w:tab w:val="left" w:pos="1875"/>
        </w:tabs>
        <w:spacing w:before="120" w:after="120" w:line="360" w:lineRule="auto"/>
        <w:jc w:val="both"/>
        <w:rPr>
          <w:rFonts w:ascii="Arial" w:hAnsi="Arial" w:cs="Arial"/>
        </w:rPr>
      </w:pPr>
      <w:r w:rsidRPr="00826E00">
        <w:rPr>
          <w:rFonts w:ascii="Arial" w:hAnsi="Arial" w:cs="Arial"/>
        </w:rPr>
        <w:lastRenderedPageBreak/>
        <w:t xml:space="preserve">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w:t>
      </w:r>
      <w:r w:rsidRPr="00826E00">
        <w:rPr>
          <w:rFonts w:ascii="Arial" w:hAnsi="Arial" w:cs="Arial"/>
          <w:b/>
        </w:rPr>
        <w:t>IES</w:t>
      </w:r>
      <w:r w:rsidRPr="00826E00">
        <w:rPr>
          <w:rFonts w:ascii="Arial" w:hAnsi="Arial" w:cs="Arial"/>
        </w:rPr>
        <w:t>,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 viabilidad dentro de la misma; así mismo la importancia de contar con la adecuación de espacios; proporciona una cobertura integral en la permanencia del alumno en la Universidad.</w:t>
      </w:r>
    </w:p>
    <w:p w:rsidR="00826E00" w:rsidRPr="00826E00" w:rsidRDefault="00826E00" w:rsidP="00826E00">
      <w:pPr>
        <w:spacing w:before="120" w:after="120" w:line="360" w:lineRule="auto"/>
        <w:ind w:firstLine="284"/>
        <w:jc w:val="both"/>
        <w:rPr>
          <w:rFonts w:ascii="Arial" w:hAnsi="Arial" w:cs="Arial"/>
        </w:rPr>
      </w:pPr>
      <w:r w:rsidRPr="00826E00">
        <w:rPr>
          <w:rFonts w:ascii="Arial" w:hAnsi="Arial" w:cs="Arial"/>
        </w:rPr>
        <w:t xml:space="preserve">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w:t>
      </w:r>
      <w:r w:rsidRPr="00826E00">
        <w:rPr>
          <w:rFonts w:ascii="Arial" w:hAnsi="Arial" w:cs="Arial"/>
          <w:b/>
        </w:rPr>
        <w:t>2009</w:t>
      </w:r>
      <w:r w:rsidRPr="00826E00">
        <w:rPr>
          <w:rFonts w:ascii="Arial" w:hAnsi="Arial" w:cs="Arial"/>
        </w:rPr>
        <w:t xml:space="preserve"> ascendía a </w:t>
      </w:r>
      <w:r w:rsidRPr="00826E00">
        <w:rPr>
          <w:rFonts w:ascii="Arial" w:hAnsi="Arial" w:cs="Arial"/>
          <w:b/>
        </w:rPr>
        <w:t>169</w:t>
      </w:r>
      <w:r w:rsidRPr="00826E00">
        <w:rPr>
          <w:rFonts w:ascii="Arial" w:hAnsi="Arial" w:cs="Arial"/>
        </w:rPr>
        <w:t xml:space="preserve">, lo que estimaba una atención a la demanda de </w:t>
      </w:r>
      <w:r w:rsidRPr="00826E00">
        <w:rPr>
          <w:rFonts w:ascii="Arial" w:hAnsi="Arial" w:cs="Arial"/>
          <w:b/>
        </w:rPr>
        <w:t>11,307</w:t>
      </w:r>
      <w:r w:rsidRPr="00826E00">
        <w:rPr>
          <w:rFonts w:ascii="Arial" w:hAnsi="Arial" w:cs="Arial"/>
        </w:rPr>
        <w:t xml:space="preserve"> alumnos matriculados en licenciatura y posgrado en ese año, cuya matrícula para ese año; para finales de </w:t>
      </w:r>
      <w:r w:rsidRPr="00826E00">
        <w:rPr>
          <w:rFonts w:ascii="Arial" w:hAnsi="Arial" w:cs="Arial"/>
          <w:b/>
        </w:rPr>
        <w:t>2022</w:t>
      </w:r>
      <w:r w:rsidRPr="00826E00">
        <w:rPr>
          <w:rFonts w:ascii="Arial" w:hAnsi="Arial" w:cs="Arial"/>
        </w:rPr>
        <w:t xml:space="preserve"> el número de aulas fue de </w:t>
      </w:r>
      <w:r w:rsidRPr="00826E00">
        <w:rPr>
          <w:rFonts w:ascii="Arial" w:hAnsi="Arial" w:cs="Arial"/>
          <w:b/>
        </w:rPr>
        <w:t>262</w:t>
      </w:r>
      <w:r w:rsidRPr="00826E00">
        <w:rPr>
          <w:rFonts w:ascii="Arial" w:hAnsi="Arial" w:cs="Arial"/>
        </w:rPr>
        <w:t xml:space="preserve">; es decir </w:t>
      </w:r>
      <w:r w:rsidRPr="00826E00">
        <w:rPr>
          <w:rFonts w:ascii="Arial" w:hAnsi="Arial" w:cs="Arial"/>
          <w:b/>
        </w:rPr>
        <w:t>34.57%</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w:t>
      </w:r>
      <w:r w:rsidRPr="00826E00">
        <w:rPr>
          <w:rFonts w:ascii="Arial" w:hAnsi="Arial" w:cs="Arial"/>
          <w:b/>
        </w:rPr>
        <w:t>93 aulas</w:t>
      </w:r>
      <w:r w:rsidRPr="00826E00">
        <w:rPr>
          <w:rFonts w:ascii="Arial" w:hAnsi="Arial" w:cs="Arial"/>
        </w:rPr>
        <w:t xml:space="preserve">) lo que favoreció ampliar el número de espacios a </w:t>
      </w:r>
      <w:r w:rsidRPr="00826E00">
        <w:rPr>
          <w:rFonts w:ascii="Arial" w:hAnsi="Arial" w:cs="Arial"/>
          <w:b/>
        </w:rPr>
        <w:t>17,241</w:t>
      </w:r>
      <w:r w:rsidRPr="00826E00">
        <w:rPr>
          <w:rFonts w:ascii="Arial" w:hAnsi="Arial" w:cs="Arial"/>
        </w:rPr>
        <w:t xml:space="preserve">, es decir, un </w:t>
      </w:r>
      <w:r w:rsidRPr="00826E00">
        <w:rPr>
          <w:rFonts w:ascii="Arial" w:hAnsi="Arial" w:cs="Arial"/>
          <w:b/>
        </w:rPr>
        <w:t>34.41%</w:t>
      </w:r>
      <w:r w:rsidRPr="00826E00">
        <w:rPr>
          <w:rFonts w:ascii="Arial" w:hAnsi="Arial" w:cs="Arial"/>
        </w:rPr>
        <w:t xml:space="preserve"> más con respecto a </w:t>
      </w:r>
      <w:r w:rsidRPr="00826E00">
        <w:rPr>
          <w:rFonts w:ascii="Arial" w:hAnsi="Arial" w:cs="Arial"/>
          <w:b/>
        </w:rPr>
        <w:t>2009</w:t>
      </w:r>
      <w:r w:rsidRPr="00826E00">
        <w:rPr>
          <w:rFonts w:ascii="Arial" w:hAnsi="Arial" w:cs="Arial"/>
        </w:rPr>
        <w:t xml:space="preserve">; sin embargo, el número de construcciones avanza de manera proporcional con el número de alumnos y el número de profesores que los atienden; no excediendo una cobertura promedio de alumnos por PTC de </w:t>
      </w:r>
      <w:r w:rsidRPr="00826E00">
        <w:rPr>
          <w:rFonts w:ascii="Arial" w:hAnsi="Arial" w:cs="Arial"/>
          <w:b/>
        </w:rPr>
        <w:t>20</w:t>
      </w:r>
      <w:r w:rsidRPr="00826E00">
        <w:rPr>
          <w:rFonts w:ascii="Arial" w:hAnsi="Arial" w:cs="Arial"/>
        </w:rPr>
        <w:t xml:space="preserve"> y una cobertura de </w:t>
      </w:r>
      <w:r w:rsidRPr="00826E00">
        <w:rPr>
          <w:rFonts w:ascii="Arial" w:hAnsi="Arial" w:cs="Arial"/>
          <w:b/>
        </w:rPr>
        <w:t>19</w:t>
      </w:r>
      <w:r w:rsidRPr="00826E00">
        <w:rPr>
          <w:rFonts w:ascii="Arial" w:hAnsi="Arial" w:cs="Arial"/>
        </w:rPr>
        <w:t xml:space="preserve"> por otras categorías académicas. </w:t>
      </w: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Default="00826E00" w:rsidP="00353CF3">
      <w:pPr>
        <w:spacing w:before="120" w:after="120" w:line="240" w:lineRule="auto"/>
        <w:ind w:firstLine="284"/>
        <w:jc w:val="center"/>
        <w:rPr>
          <w:rFonts w:ascii="Arial" w:hAnsi="Arial" w:cs="Arial"/>
          <w:b/>
        </w:rPr>
      </w:pPr>
    </w:p>
    <w:p w:rsidR="00826E00" w:rsidRPr="00826E00" w:rsidRDefault="00826E00" w:rsidP="00353CF3">
      <w:pPr>
        <w:spacing w:before="120" w:after="120" w:line="240" w:lineRule="auto"/>
        <w:ind w:firstLine="284"/>
        <w:jc w:val="center"/>
        <w:rPr>
          <w:rFonts w:ascii="Arial" w:hAnsi="Arial" w:cs="Arial"/>
          <w:b/>
        </w:rPr>
      </w:pPr>
      <w:r w:rsidRPr="001C4D2F">
        <w:rPr>
          <w:noProof/>
          <w:lang w:eastAsia="es-MX"/>
        </w:rPr>
        <w:lastRenderedPageBreak/>
        <w:drawing>
          <wp:anchor distT="0" distB="0" distL="114300" distR="114300" simplePos="0" relativeHeight="251661312" behindDoc="0" locked="0" layoutInCell="1" allowOverlap="1">
            <wp:simplePos x="0" y="0"/>
            <wp:positionH relativeFrom="column">
              <wp:posOffset>2078355</wp:posOffset>
            </wp:positionH>
            <wp:positionV relativeFrom="paragraph">
              <wp:posOffset>100965</wp:posOffset>
            </wp:positionV>
            <wp:extent cx="4705350" cy="638492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6384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6E00" w:rsidRPr="00826E00"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AF8" w:rsidRDefault="00FD5AF8" w:rsidP="00EA5418">
      <w:pPr>
        <w:spacing w:after="0" w:line="240" w:lineRule="auto"/>
      </w:pPr>
      <w:r>
        <w:separator/>
      </w:r>
    </w:p>
  </w:endnote>
  <w:endnote w:type="continuationSeparator" w:id="0">
    <w:p w:rsidR="00FD5AF8" w:rsidRDefault="00FD5AF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84A2045"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A547CF" w:rsidRPr="00A547CF">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3B0E525"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A547CF" w:rsidRPr="00A547CF">
          <w:rPr>
            <w:rFonts w:ascii="Soberana Sans Light" w:hAnsi="Soberana Sans Light"/>
            <w:noProof/>
            <w:lang w:val="es-ES"/>
          </w:rPr>
          <w:t>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AF8" w:rsidRDefault="00FD5AF8" w:rsidP="00EA5418">
      <w:pPr>
        <w:spacing w:after="0" w:line="240" w:lineRule="auto"/>
      </w:pPr>
      <w:r>
        <w:separator/>
      </w:r>
    </w:p>
  </w:footnote>
  <w:footnote w:type="continuationSeparator" w:id="0">
    <w:p w:rsidR="00FD5AF8" w:rsidRDefault="00FD5AF8"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E9DC1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oPML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xqg8wt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826E00">
                          <w:rPr>
                            <w:rFonts w:ascii="Soberana Titular" w:hAnsi="Soberana Titular" w:cs="Arial"/>
                            <w:color w:val="808080" w:themeColor="background1" w:themeShade="80"/>
                            <w:sz w:val="42"/>
                            <w:szCs w:val="42"/>
                          </w:rPr>
                          <w:t>9</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BC9C3E"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3DC"/>
      </v:shape>
    </w:pict>
  </w:numPicBullet>
  <w:abstractNum w:abstractNumId="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1692"/>
    <w:rsid w:val="000623B6"/>
    <w:rsid w:val="00094EA1"/>
    <w:rsid w:val="001107DF"/>
    <w:rsid w:val="0013011C"/>
    <w:rsid w:val="00130A76"/>
    <w:rsid w:val="001340E8"/>
    <w:rsid w:val="0016211D"/>
    <w:rsid w:val="001649B4"/>
    <w:rsid w:val="001741F1"/>
    <w:rsid w:val="001B1B72"/>
    <w:rsid w:val="001E2637"/>
    <w:rsid w:val="00275796"/>
    <w:rsid w:val="0029272F"/>
    <w:rsid w:val="002A70B3"/>
    <w:rsid w:val="002B2491"/>
    <w:rsid w:val="002D213C"/>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1788E"/>
    <w:rsid w:val="0044253C"/>
    <w:rsid w:val="0045065B"/>
    <w:rsid w:val="00464D98"/>
    <w:rsid w:val="00486AE1"/>
    <w:rsid w:val="00497D8B"/>
    <w:rsid w:val="00497EBA"/>
    <w:rsid w:val="004B6E51"/>
    <w:rsid w:val="004C19BD"/>
    <w:rsid w:val="004D41B8"/>
    <w:rsid w:val="004D5747"/>
    <w:rsid w:val="004F1D6A"/>
    <w:rsid w:val="00502D8E"/>
    <w:rsid w:val="005117F4"/>
    <w:rsid w:val="00522632"/>
    <w:rsid w:val="00531ECF"/>
    <w:rsid w:val="00534982"/>
    <w:rsid w:val="00540418"/>
    <w:rsid w:val="005859FA"/>
    <w:rsid w:val="005B5628"/>
    <w:rsid w:val="005F6B7B"/>
    <w:rsid w:val="006048D2"/>
    <w:rsid w:val="00611E39"/>
    <w:rsid w:val="00615066"/>
    <w:rsid w:val="00616562"/>
    <w:rsid w:val="00624825"/>
    <w:rsid w:val="00667FAB"/>
    <w:rsid w:val="006767B9"/>
    <w:rsid w:val="00685252"/>
    <w:rsid w:val="006D4AF9"/>
    <w:rsid w:val="006E3F0C"/>
    <w:rsid w:val="006E77DD"/>
    <w:rsid w:val="006F7C39"/>
    <w:rsid w:val="007141FD"/>
    <w:rsid w:val="00761B12"/>
    <w:rsid w:val="00774EFF"/>
    <w:rsid w:val="0079582C"/>
    <w:rsid w:val="00796D22"/>
    <w:rsid w:val="007D6E9A"/>
    <w:rsid w:val="007E5512"/>
    <w:rsid w:val="00805E96"/>
    <w:rsid w:val="00806876"/>
    <w:rsid w:val="0081564A"/>
    <w:rsid w:val="00826E00"/>
    <w:rsid w:val="008A3D86"/>
    <w:rsid w:val="008A627E"/>
    <w:rsid w:val="008A6E4D"/>
    <w:rsid w:val="008B0017"/>
    <w:rsid w:val="008C4137"/>
    <w:rsid w:val="008D51D8"/>
    <w:rsid w:val="008E3652"/>
    <w:rsid w:val="009207B4"/>
    <w:rsid w:val="009514D2"/>
    <w:rsid w:val="009860BC"/>
    <w:rsid w:val="009F6787"/>
    <w:rsid w:val="00A11B84"/>
    <w:rsid w:val="00A3100F"/>
    <w:rsid w:val="00A37C8E"/>
    <w:rsid w:val="00A547CF"/>
    <w:rsid w:val="00A56AC9"/>
    <w:rsid w:val="00AB13B7"/>
    <w:rsid w:val="00AC73AC"/>
    <w:rsid w:val="00AD3FED"/>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D1666"/>
    <w:rsid w:val="00CF3308"/>
    <w:rsid w:val="00D02636"/>
    <w:rsid w:val="00D03DAE"/>
    <w:rsid w:val="00D055EC"/>
    <w:rsid w:val="00D51261"/>
    <w:rsid w:val="00D96CDF"/>
    <w:rsid w:val="00DA1807"/>
    <w:rsid w:val="00DC6745"/>
    <w:rsid w:val="00DD72CF"/>
    <w:rsid w:val="00E23147"/>
    <w:rsid w:val="00E32708"/>
    <w:rsid w:val="00E37B53"/>
    <w:rsid w:val="00EA5418"/>
    <w:rsid w:val="00EB65DD"/>
    <w:rsid w:val="00EC6507"/>
    <w:rsid w:val="00EC7521"/>
    <w:rsid w:val="00EE0127"/>
    <w:rsid w:val="00F027CC"/>
    <w:rsid w:val="00F3572F"/>
    <w:rsid w:val="00F95997"/>
    <w:rsid w:val="00F95B76"/>
    <w:rsid w:val="00F96944"/>
    <w:rsid w:val="00FC2078"/>
    <w:rsid w:val="00FD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package" Target="embeddings/Microsoft_Excel_Worksheet1.xlsx"/><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6A2BC-AA51-4C50-8E42-446E3BC42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10</Pages>
  <Words>1638</Words>
  <Characters>9014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LAURA</cp:lastModifiedBy>
  <cp:revision>73</cp:revision>
  <cp:lastPrinted>2018-10-10T19:36:00Z</cp:lastPrinted>
  <dcterms:created xsi:type="dcterms:W3CDTF">2014-08-29T22:20:00Z</dcterms:created>
  <dcterms:modified xsi:type="dcterms:W3CDTF">2019-07-09T20:27:00Z</dcterms:modified>
</cp:coreProperties>
</file>