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A0" w:rsidRDefault="00595783" w:rsidP="00723CBC">
      <w:pPr>
        <w:ind w:left="-142" w:right="-212" w:firstLine="142"/>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21.5pt;margin-top:13.6pt;width:716.5pt;height:453.7pt;z-index:251668480;mso-position-horizontal-relative:text;mso-position-vertical-relative:text">
            <v:imagedata r:id="rId8" o:title=""/>
            <w10:wrap type="square" side="right"/>
          </v:shape>
          <o:OLEObject Type="Embed" ProgID="Excel.Sheet.12" ShapeID="_x0000_s1122" DrawAspect="Content" ObjectID="_1632566666" r:id="rId9"/>
        </w:object>
      </w:r>
    </w:p>
    <w:bookmarkEnd w:id="0"/>
    <w:p w:rsidR="00EA5418" w:rsidRDefault="00EA5418" w:rsidP="00A575BC"/>
    <w:bookmarkStart w:id="1" w:name="_MON_1470805999"/>
    <w:bookmarkEnd w:id="1"/>
    <w:p w:rsidR="00351CBA" w:rsidRDefault="00E03C24" w:rsidP="00351CBA">
      <w:pPr>
        <w:jc w:val="center"/>
      </w:pPr>
      <w:r>
        <w:object w:dxaOrig="25023" w:dyaOrig="18658">
          <v:shape id="_x0000_i1073" type="#_x0000_t75" style="width:645.8pt;height:432.9pt" o:ole="">
            <v:imagedata r:id="rId10" o:title=""/>
          </v:shape>
          <o:OLEObject Type="Embed" ProgID="Excel.Sheet.12" ShapeID="_x0000_i1073" DrawAspect="Content" ObjectID="_1632566663" r:id="rId11"/>
        </w:object>
      </w:r>
    </w:p>
    <w:p w:rsidR="00351CBA" w:rsidRDefault="00E03C24" w:rsidP="00351CBA">
      <w:r>
        <w:rPr>
          <w:noProof/>
        </w:rPr>
        <w:object w:dxaOrig="1440" w:dyaOrig="1440">
          <v:shape id="_x0000_s1140" type="#_x0000_t75" style="position:absolute;margin-left:37.85pt;margin-top:25.65pt;width:605.5pt;height:402.9pt;z-index:251671552;mso-position-horizontal-relative:text;mso-position-vertical-relative:text">
            <v:imagedata r:id="rId12" o:title=""/>
            <w10:wrap type="square" side="right"/>
          </v:shape>
          <o:OLEObject Type="Embed" ProgID="Excel.Sheet.12" ShapeID="_x0000_s1140" DrawAspect="Content" ObjectID="_1632566667" r:id="rId13"/>
        </w:object>
      </w:r>
    </w:p>
    <w:p w:rsidR="000F38B4" w:rsidRDefault="000F38B4" w:rsidP="00EF65DE">
      <w:pPr>
        <w:rPr>
          <w:noProof/>
        </w:rPr>
      </w:pPr>
    </w:p>
    <w:p w:rsidR="00E03C24" w:rsidRDefault="00E03C24" w:rsidP="00EF65DE"/>
    <w:p w:rsidR="00E03C24" w:rsidRDefault="00E03C24" w:rsidP="00EF65DE"/>
    <w:p w:rsidR="00E03C24" w:rsidRDefault="00E03C24" w:rsidP="00EF65DE"/>
    <w:p w:rsidR="00E03C24" w:rsidRDefault="00E03C24" w:rsidP="00EF65DE"/>
    <w:p w:rsidR="00E03C24" w:rsidRDefault="00E03C24" w:rsidP="00EF65DE"/>
    <w:p w:rsidR="00E03C24" w:rsidRDefault="00E03C24" w:rsidP="00EF65DE"/>
    <w:p w:rsidR="00E03C24" w:rsidRDefault="00E03C24" w:rsidP="00EF65DE"/>
    <w:p w:rsidR="00351CBA" w:rsidRDefault="00595783" w:rsidP="00EF65DE">
      <w:r>
        <w:rPr>
          <w:noProof/>
        </w:rPr>
        <w:object w:dxaOrig="1440" w:dyaOrig="1440">
          <v:shape id="_x0000_s1141" type="#_x0000_t75" style="position:absolute;margin-left:-9.05pt;margin-top:-152.65pt;width:730.35pt;height:297.85pt;z-index:251672576">
            <v:imagedata r:id="rId14" o:title=""/>
            <w10:wrap type="square" side="left"/>
          </v:shape>
          <o:OLEObject Type="Embed" ProgID="Excel.Sheet.12" ShapeID="_x0000_s1141" DrawAspect="Content" ObjectID="_1632566668" r:id="rId15"/>
        </w:object>
      </w:r>
    </w:p>
    <w:p w:rsidR="00351CBA" w:rsidRDefault="00351CBA" w:rsidP="00EF65DE"/>
    <w:p w:rsidR="00351CBA" w:rsidRDefault="00351CBA" w:rsidP="00EF65DE"/>
    <w:p w:rsidR="00100648" w:rsidRDefault="00595783" w:rsidP="00EF65DE">
      <w:pPr>
        <w:tabs>
          <w:tab w:val="center" w:pos="6840"/>
        </w:tabs>
        <w:ind w:left="142" w:hanging="142"/>
      </w:pPr>
      <w:r>
        <w:rPr>
          <w:noProof/>
        </w:rPr>
        <w:object w:dxaOrig="1440" w:dyaOrig="1440">
          <v:shape id="_x0000_s1146" type="#_x0000_t75" style="position:absolute;left:0;text-align:left;margin-left:0;margin-top:.35pt;width:662.2pt;height:348.05pt;z-index:251674624;mso-position-horizontal:left;mso-position-horizontal-relative:text;mso-position-vertical-relative:text">
            <v:imagedata r:id="rId16" o:title=""/>
            <w10:wrap type="square" side="right"/>
          </v:shape>
          <o:OLEObject Type="Embed" ProgID="Excel.Sheet.12" ShapeID="_x0000_s1146" DrawAspect="Content" ObjectID="_1632566669" r:id="rId17"/>
        </w:object>
      </w:r>
    </w:p>
    <w:p w:rsidR="00100648" w:rsidRPr="00100648" w:rsidRDefault="00100648" w:rsidP="00100648"/>
    <w:p w:rsidR="00100648" w:rsidRPr="00100648" w:rsidRDefault="00100648" w:rsidP="00100648"/>
    <w:bookmarkStart w:id="2" w:name="_MON_1470814596"/>
    <w:bookmarkEnd w:id="2"/>
    <w:p w:rsidR="004F3B72" w:rsidRDefault="00D64456" w:rsidP="003747C0">
      <w:pPr>
        <w:tabs>
          <w:tab w:val="left" w:pos="2430"/>
          <w:tab w:val="left" w:pos="6379"/>
          <w:tab w:val="left" w:pos="6946"/>
        </w:tabs>
        <w:jc w:val="center"/>
      </w:pPr>
      <w:r>
        <w:object w:dxaOrig="19383" w:dyaOrig="15673">
          <v:shape id="_x0000_i1030" type="#_x0000_t75" style="width:564.05pt;height:439.5pt" o:ole="">
            <v:imagedata r:id="rId18" o:title=""/>
          </v:shape>
          <o:OLEObject Type="Embed" ProgID="Excel.Sheet.12" ShapeID="_x0000_i1030" DrawAspect="Content" ObjectID="_1632566664" r:id="rId19"/>
        </w:object>
      </w:r>
    </w:p>
    <w:p w:rsidR="00E32708" w:rsidRDefault="00E32708" w:rsidP="00E32708">
      <w:pPr>
        <w:tabs>
          <w:tab w:val="left" w:pos="2430"/>
        </w:tabs>
        <w:jc w:val="center"/>
      </w:pPr>
    </w:p>
    <w:bookmarkStart w:id="3" w:name="_MON_1470810366"/>
    <w:bookmarkEnd w:id="3"/>
    <w:p w:rsidR="00E32708" w:rsidRDefault="00845DE7" w:rsidP="00E32708">
      <w:pPr>
        <w:tabs>
          <w:tab w:val="left" w:pos="2430"/>
        </w:tabs>
        <w:jc w:val="center"/>
      </w:pPr>
      <w:r>
        <w:object w:dxaOrig="25784" w:dyaOrig="13222">
          <v:shape id="_x0000_i1031" type="#_x0000_t75" style="width:687.3pt;height:417.85pt" o:ole="">
            <v:imagedata r:id="rId20" o:title=""/>
          </v:shape>
          <o:OLEObject Type="Embed" ProgID="Excel.Sheet.12" ShapeID="_x0000_i1031" DrawAspect="Content" ObjectID="_1632566665"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44B91">
        <w:rPr>
          <w:rFonts w:ascii="Arial" w:hAnsi="Arial" w:cs="Arial"/>
          <w:sz w:val="18"/>
          <w:szCs w:val="18"/>
        </w:rPr>
        <w:t>1</w:t>
      </w:r>
      <w:r w:rsidR="00D50470" w:rsidRPr="00C44B91">
        <w:rPr>
          <w:rFonts w:ascii="Arial" w:hAnsi="Arial" w:cs="Arial"/>
          <w:sz w:val="18"/>
          <w:szCs w:val="18"/>
        </w:rPr>
        <w:t>2</w:t>
      </w:r>
      <w:r w:rsidR="00AF6A66" w:rsidRPr="00C44B91">
        <w:rPr>
          <w:rFonts w:ascii="Arial" w:hAnsi="Arial" w:cs="Arial"/>
          <w:sz w:val="18"/>
          <w:szCs w:val="18"/>
        </w:rPr>
        <w:t xml:space="preserve">, </w:t>
      </w:r>
      <w:r w:rsidR="00BD5769" w:rsidRPr="00C44B91">
        <w:rPr>
          <w:rFonts w:ascii="Arial" w:hAnsi="Arial" w:cs="Arial"/>
          <w:sz w:val="18"/>
          <w:szCs w:val="18"/>
        </w:rPr>
        <w:t>0</w:t>
      </w:r>
      <w:r w:rsidR="00AF6A66" w:rsidRPr="00C44B91">
        <w:rPr>
          <w:rFonts w:ascii="Arial" w:hAnsi="Arial" w:cs="Arial"/>
          <w:sz w:val="18"/>
          <w:szCs w:val="18"/>
        </w:rPr>
        <w:t>00,000</w:t>
      </w:r>
      <w:r w:rsidR="00343189" w:rsidRPr="00BA5BED">
        <w:rPr>
          <w:rFonts w:ascii="Arial" w:hAnsi="Arial" w:cs="Arial"/>
          <w:color w:val="FF0000"/>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7796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67899"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3747C0" w:rsidRDefault="003747C0" w:rsidP="0030166A">
      <w:pPr>
        <w:jc w:val="center"/>
        <w:rPr>
          <w:rFonts w:ascii="Soberana Sans Light" w:hAnsi="Soberana Sans Light"/>
        </w:rPr>
      </w:pPr>
    </w:p>
    <w:p w:rsidR="003747C0" w:rsidRDefault="003747C0" w:rsidP="0030166A">
      <w:pPr>
        <w:jc w:val="center"/>
        <w:rPr>
          <w:rFonts w:ascii="Soberana Sans Light" w:hAnsi="Soberana Sans Light"/>
        </w:rPr>
      </w:pPr>
    </w:p>
    <w:p w:rsidR="003747C0" w:rsidRDefault="003747C0"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3C28AD">
        <w:rPr>
          <w:rFonts w:ascii="Soberana Sans Light" w:hAnsi="Soberana Sans Light"/>
          <w:sz w:val="22"/>
          <w:szCs w:val="22"/>
        </w:rPr>
        <w:t>30</w:t>
      </w:r>
      <w:r w:rsidR="008634C0">
        <w:rPr>
          <w:rFonts w:ascii="Soberana Sans Light" w:hAnsi="Soberana Sans Light"/>
          <w:sz w:val="22"/>
          <w:szCs w:val="22"/>
        </w:rPr>
        <w:t xml:space="preserve"> de </w:t>
      </w:r>
      <w:r w:rsidR="003747C0">
        <w:rPr>
          <w:rFonts w:ascii="Soberana Sans Light" w:hAnsi="Soberana Sans Light"/>
          <w:sz w:val="22"/>
          <w:szCs w:val="22"/>
        </w:rPr>
        <w:t>septiembre 2019</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9</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8</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2F608A"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w:t>
            </w:r>
            <w:r w:rsidR="00BE326D">
              <w:rPr>
                <w:rFonts w:ascii="Arial" w:hAnsi="Arial" w:cs="Arial"/>
                <w:color w:val="000000" w:themeColor="text1"/>
                <w:sz w:val="18"/>
                <w:szCs w:val="18"/>
              </w:rPr>
              <w:t>07,301.20</w:t>
            </w:r>
          </w:p>
        </w:tc>
        <w:tc>
          <w:tcPr>
            <w:tcW w:w="1418" w:type="dxa"/>
            <w:shd w:val="clear" w:color="auto" w:fill="auto"/>
            <w:noWrap/>
            <w:vAlign w:val="center"/>
            <w:hideMark/>
          </w:tcPr>
          <w:p w:rsidR="00A668D1" w:rsidRPr="00BC2554" w:rsidRDefault="00BA5BED" w:rsidP="006D1C8D">
            <w:pPr>
              <w:autoSpaceDE w:val="0"/>
              <w:autoSpaceDN w:val="0"/>
              <w:adjustRightInd w:val="0"/>
              <w:spacing w:before="80"/>
              <w:jc w:val="right"/>
              <w:rPr>
                <w:rFonts w:ascii="Arial" w:hAnsi="Arial" w:cs="Arial"/>
                <w:color w:val="000000" w:themeColor="text1"/>
                <w:sz w:val="18"/>
                <w:szCs w:val="18"/>
              </w:rPr>
            </w:pPr>
            <w:r w:rsidRPr="00BA5BED">
              <w:rPr>
                <w:rFonts w:ascii="Arial" w:hAnsi="Arial" w:cs="Arial"/>
                <w:color w:val="000000" w:themeColor="text1"/>
                <w:sz w:val="18"/>
                <w:szCs w:val="18"/>
              </w:rPr>
              <w:t>556,563</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2F608A" w:rsidP="00A92A1C">
            <w:pPr>
              <w:autoSpaceDE w:val="0"/>
              <w:autoSpaceDN w:val="0"/>
              <w:adjustRightInd w:val="0"/>
              <w:spacing w:before="80"/>
              <w:jc w:val="right"/>
              <w:rPr>
                <w:rFonts w:ascii="Arial" w:hAnsi="Arial" w:cs="Arial"/>
                <w:b/>
                <w:sz w:val="18"/>
                <w:szCs w:val="18"/>
                <w:u w:val="double"/>
              </w:rPr>
            </w:pPr>
            <w:r w:rsidRPr="002F608A">
              <w:rPr>
                <w:rFonts w:ascii="Arial" w:hAnsi="Arial" w:cs="Arial"/>
                <w:b/>
                <w:color w:val="000000" w:themeColor="text1"/>
                <w:sz w:val="18"/>
                <w:szCs w:val="18"/>
                <w:u w:val="double"/>
              </w:rPr>
              <w:t>1</w:t>
            </w:r>
            <w:r w:rsidR="00BE326D">
              <w:rPr>
                <w:rFonts w:ascii="Arial" w:hAnsi="Arial" w:cs="Arial"/>
                <w:b/>
                <w:color w:val="000000" w:themeColor="text1"/>
                <w:sz w:val="18"/>
                <w:szCs w:val="18"/>
                <w:u w:val="double"/>
              </w:rPr>
              <w:t>07,301.20</w:t>
            </w:r>
          </w:p>
        </w:tc>
        <w:tc>
          <w:tcPr>
            <w:tcW w:w="1418" w:type="dxa"/>
            <w:shd w:val="clear" w:color="auto" w:fill="auto"/>
            <w:noWrap/>
            <w:hideMark/>
          </w:tcPr>
          <w:p w:rsidR="00A668D1" w:rsidRPr="002F31D1" w:rsidRDefault="00754F68"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556</w:t>
            </w:r>
            <w:r w:rsidR="008F0D3D">
              <w:rPr>
                <w:rFonts w:ascii="Arial" w:hAnsi="Arial" w:cs="Arial"/>
                <w:b/>
                <w:sz w:val="18"/>
                <w:szCs w:val="18"/>
                <w:u w:val="double"/>
              </w:rPr>
              <w:t>,</w:t>
            </w:r>
            <w:r>
              <w:rPr>
                <w:rFonts w:ascii="Arial" w:hAnsi="Arial" w:cs="Arial"/>
                <w:b/>
                <w:sz w:val="18"/>
                <w:szCs w:val="18"/>
                <w:u w:val="double"/>
              </w:rPr>
              <w:t>563</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6873"/>
        <w:gridCol w:w="1749"/>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341565" w:rsidP="00BC2554">
            <w:pPr>
              <w:jc w:val="right"/>
              <w:rPr>
                <w:rFonts w:ascii="Arial" w:hAnsi="Arial" w:cs="Arial"/>
                <w:sz w:val="18"/>
                <w:szCs w:val="18"/>
              </w:rPr>
            </w:pPr>
            <w:r>
              <w:rPr>
                <w:rFonts w:ascii="Arial" w:hAnsi="Arial" w:cs="Arial"/>
                <w:sz w:val="18"/>
                <w:szCs w:val="18"/>
              </w:rPr>
              <w:t>106,207.90</w:t>
            </w:r>
          </w:p>
        </w:tc>
        <w:tc>
          <w:tcPr>
            <w:tcW w:w="1418" w:type="dxa"/>
            <w:shd w:val="clear" w:color="auto" w:fill="auto"/>
            <w:noWrap/>
            <w:vAlign w:val="bottom"/>
          </w:tcPr>
          <w:p w:rsidR="00A668D1" w:rsidRPr="002F31D1" w:rsidRDefault="00BA5BED" w:rsidP="00822DAF">
            <w:pPr>
              <w:jc w:val="right"/>
              <w:rPr>
                <w:rFonts w:ascii="Arial" w:hAnsi="Arial" w:cs="Arial"/>
                <w:sz w:val="18"/>
                <w:szCs w:val="18"/>
              </w:rPr>
            </w:pPr>
            <w:r>
              <w:rPr>
                <w:rFonts w:ascii="Arial" w:hAnsi="Arial" w:cs="Arial"/>
                <w:sz w:val="18"/>
                <w:szCs w:val="18"/>
              </w:rPr>
              <w:t>29,960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341565" w:rsidP="00BC2554">
            <w:pPr>
              <w:jc w:val="right"/>
              <w:rPr>
                <w:rFonts w:ascii="Arial" w:hAnsi="Arial" w:cs="Arial"/>
                <w:sz w:val="18"/>
                <w:szCs w:val="18"/>
              </w:rPr>
            </w:pPr>
            <w:r>
              <w:rPr>
                <w:rFonts w:ascii="Arial" w:hAnsi="Arial" w:cs="Arial"/>
                <w:sz w:val="18"/>
                <w:szCs w:val="18"/>
              </w:rPr>
              <w:t>110,330.10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w:t>
            </w:r>
            <w:r w:rsidR="00754F68">
              <w:rPr>
                <w:rFonts w:ascii="Arial" w:hAnsi="Arial" w:cs="Arial"/>
                <w:sz w:val="18"/>
                <w:szCs w:val="18"/>
              </w:rPr>
              <w:t xml:space="preserve">    </w:t>
            </w:r>
            <w:r w:rsidR="004362CA">
              <w:rPr>
                <w:rFonts w:ascii="Arial" w:hAnsi="Arial" w:cs="Arial"/>
                <w:sz w:val="18"/>
                <w:szCs w:val="18"/>
              </w:rPr>
              <w:t xml:space="preserve">      </w:t>
            </w:r>
            <w:r w:rsidR="00754F68">
              <w:rPr>
                <w:rFonts w:ascii="Arial" w:hAnsi="Arial" w:cs="Arial"/>
                <w:sz w:val="18"/>
                <w:szCs w:val="18"/>
              </w:rPr>
              <w:t xml:space="preserve"> </w:t>
            </w:r>
            <w:r w:rsidR="00341565">
              <w:rPr>
                <w:rFonts w:ascii="Arial" w:hAnsi="Arial" w:cs="Arial"/>
                <w:sz w:val="18"/>
                <w:szCs w:val="18"/>
              </w:rPr>
              <w:t xml:space="preserve"> 2.66</w:t>
            </w:r>
            <w:r w:rsidR="000D0A95">
              <w:rPr>
                <w:rFonts w:ascii="Arial" w:hAnsi="Arial" w:cs="Arial"/>
                <w:sz w:val="18"/>
                <w:szCs w:val="18"/>
              </w:rPr>
              <w:t xml:space="preserve">          </w:t>
            </w:r>
            <w:r w:rsidR="00754F68">
              <w:rPr>
                <w:rFonts w:ascii="Arial" w:hAnsi="Arial" w:cs="Arial"/>
                <w:sz w:val="18"/>
                <w:szCs w:val="18"/>
              </w:rPr>
              <w:t xml:space="preserve">  </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341565" w:rsidP="00800EAD">
            <w:pPr>
              <w:ind w:left="708"/>
              <w:jc w:val="center"/>
              <w:rPr>
                <w:rFonts w:ascii="Arial" w:hAnsi="Arial" w:cs="Arial"/>
                <w:b/>
                <w:bCs/>
                <w:sz w:val="18"/>
                <w:szCs w:val="18"/>
                <w:u w:val="double"/>
              </w:rPr>
            </w:pPr>
            <w:r>
              <w:rPr>
                <w:rFonts w:ascii="Arial" w:hAnsi="Arial" w:cs="Arial"/>
                <w:b/>
                <w:bCs/>
                <w:sz w:val="18"/>
                <w:szCs w:val="18"/>
                <w:u w:val="double"/>
              </w:rPr>
              <w:t>216,540.66</w:t>
            </w:r>
          </w:p>
        </w:tc>
        <w:tc>
          <w:tcPr>
            <w:tcW w:w="1418" w:type="dxa"/>
            <w:shd w:val="clear" w:color="auto" w:fill="auto"/>
            <w:noWrap/>
            <w:vAlign w:val="bottom"/>
            <w:hideMark/>
          </w:tcPr>
          <w:p w:rsidR="00A668D1" w:rsidRPr="002F31D1" w:rsidRDefault="00BA5BED" w:rsidP="002F2FD7">
            <w:pPr>
              <w:jc w:val="right"/>
              <w:rPr>
                <w:rFonts w:ascii="Arial" w:hAnsi="Arial" w:cs="Arial"/>
                <w:b/>
                <w:bCs/>
                <w:sz w:val="18"/>
                <w:szCs w:val="18"/>
                <w:u w:val="double"/>
              </w:rPr>
            </w:pPr>
            <w:r>
              <w:rPr>
                <w:rFonts w:ascii="Arial" w:hAnsi="Arial" w:cs="Arial"/>
                <w:b/>
                <w:bCs/>
                <w:sz w:val="18"/>
                <w:szCs w:val="18"/>
                <w:u w:val="double"/>
              </w:rPr>
              <w:t>29,960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2F608A" w:rsidRPr="006C5B47" w:rsidRDefault="002F608A"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B47E6" w:rsidRPr="002F31D1" w:rsidRDefault="00754F68" w:rsidP="00AB47E6">
            <w:pPr>
              <w:jc w:val="right"/>
              <w:rPr>
                <w:rFonts w:ascii="Arial" w:hAnsi="Arial" w:cs="Arial"/>
                <w:color w:val="000000"/>
                <w:sz w:val="18"/>
                <w:szCs w:val="18"/>
              </w:rPr>
            </w:pPr>
            <w:r>
              <w:rPr>
                <w:rFonts w:ascii="Arial" w:hAnsi="Arial" w:cs="Arial"/>
                <w:color w:val="000000"/>
                <w:sz w:val="18"/>
                <w:szCs w:val="18"/>
              </w:rPr>
              <w:t>1,371,549</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1,344,579</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2,164,698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2F608A">
              <w:rPr>
                <w:rFonts w:ascii="Arial" w:hAnsi="Arial" w:cs="Arial"/>
                <w:b/>
                <w:bCs/>
                <w:sz w:val="18"/>
                <w:szCs w:val="18"/>
                <w:u w:val="double"/>
              </w:rPr>
              <w:t>3,564,692</w:t>
            </w:r>
          </w:p>
        </w:tc>
        <w:tc>
          <w:tcPr>
            <w:tcW w:w="0" w:type="auto"/>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3,596,822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4362CA">
        <w:rPr>
          <w:rFonts w:ascii="Arial" w:hAnsi="Arial" w:cs="Arial"/>
          <w:sz w:val="18"/>
          <w:szCs w:val="18"/>
        </w:rPr>
        <w:t xml:space="preserve">, 2018 </w:t>
      </w:r>
      <w:r w:rsidR="00AB47E6">
        <w:rPr>
          <w:rFonts w:ascii="Arial" w:hAnsi="Arial" w:cs="Arial"/>
          <w:sz w:val="18"/>
          <w:szCs w:val="18"/>
        </w:rPr>
        <w:t>y 2019</w:t>
      </w:r>
      <w:r w:rsidR="00E82E12">
        <w:rPr>
          <w:rFonts w:ascii="Arial" w:hAnsi="Arial" w:cs="Arial"/>
          <w:sz w:val="18"/>
          <w:szCs w:val="18"/>
        </w:rPr>
        <w:t xml:space="preserve">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8</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2613B2">
              <w:rPr>
                <w:rFonts w:ascii="Arial" w:hAnsi="Arial" w:cs="Arial"/>
                <w:sz w:val="18"/>
                <w:szCs w:val="18"/>
              </w:rPr>
              <w:t>171,978</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 xml:space="preserve">  471,562</w:t>
            </w:r>
          </w:p>
        </w:tc>
      </w:tr>
      <w:tr w:rsidR="00215D25" w:rsidRPr="00215D25" w:rsidTr="00822DAF">
        <w:trPr>
          <w:trHeight w:val="312"/>
          <w:jc w:val="center"/>
        </w:trPr>
        <w:tc>
          <w:tcPr>
            <w:tcW w:w="0" w:type="auto"/>
            <w:shd w:val="clear" w:color="000000" w:fill="FFFFFF"/>
            <w:noWrap/>
            <w:vAlign w:val="bottom"/>
          </w:tcPr>
          <w:p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2,809</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2613B2" w:rsidP="00AB47E6">
            <w:pPr>
              <w:jc w:val="right"/>
              <w:rPr>
                <w:rFonts w:ascii="Arial" w:hAnsi="Arial" w:cs="Arial"/>
                <w:sz w:val="18"/>
                <w:szCs w:val="18"/>
              </w:rPr>
            </w:pPr>
            <w:r>
              <w:rPr>
                <w:rFonts w:ascii="Arial" w:hAnsi="Arial" w:cs="Arial"/>
                <w:sz w:val="18"/>
                <w:szCs w:val="18"/>
              </w:rPr>
              <w:t>1,183</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903</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rsidTr="00822DAF">
        <w:trPr>
          <w:trHeight w:val="312"/>
          <w:jc w:val="center"/>
        </w:trPr>
        <w:tc>
          <w:tcPr>
            <w:tcW w:w="0" w:type="auto"/>
            <w:shd w:val="clear" w:color="000000" w:fill="FFFFFF"/>
            <w:noWrap/>
            <w:vAlign w:val="bottom"/>
          </w:tcPr>
          <w:p w:rsidR="00D35A16" w:rsidRDefault="00D35A16" w:rsidP="00AB47E6">
            <w:pPr>
              <w:rPr>
                <w:rFonts w:ascii="Arial" w:hAnsi="Arial" w:cs="Arial"/>
                <w:sz w:val="18"/>
                <w:szCs w:val="18"/>
              </w:rPr>
            </w:pPr>
          </w:p>
        </w:tc>
        <w:tc>
          <w:tcPr>
            <w:tcW w:w="0" w:type="auto"/>
            <w:shd w:val="clear" w:color="000000" w:fill="FFFFFF"/>
            <w:noWrap/>
            <w:vAlign w:val="bottom"/>
          </w:tcPr>
          <w:p w:rsidR="00D35A16" w:rsidRDefault="00D35A16" w:rsidP="00AB47E6">
            <w:pPr>
              <w:rPr>
                <w:rFonts w:ascii="Arial" w:hAnsi="Arial" w:cs="Arial"/>
                <w:sz w:val="18"/>
                <w:szCs w:val="18"/>
              </w:rPr>
            </w:pPr>
          </w:p>
        </w:tc>
        <w:tc>
          <w:tcPr>
            <w:tcW w:w="1418" w:type="dxa"/>
            <w:shd w:val="clear" w:color="000000" w:fill="FFFFFF"/>
            <w:noWrap/>
            <w:vAlign w:val="bottom"/>
          </w:tcPr>
          <w:p w:rsidR="00D35A16" w:rsidRDefault="00D35A16" w:rsidP="00AB47E6">
            <w:pPr>
              <w:jc w:val="right"/>
              <w:rPr>
                <w:rFonts w:ascii="Arial" w:hAnsi="Arial" w:cs="Arial"/>
                <w:sz w:val="18"/>
                <w:szCs w:val="18"/>
              </w:rPr>
            </w:pPr>
          </w:p>
        </w:tc>
        <w:tc>
          <w:tcPr>
            <w:tcW w:w="1418" w:type="dxa"/>
            <w:shd w:val="clear" w:color="000000" w:fill="FFFFFF"/>
            <w:noWrap/>
            <w:vAlign w:val="bottom"/>
          </w:tcPr>
          <w:p w:rsidR="00D35A16" w:rsidRPr="00215D25" w:rsidRDefault="00D35A16" w:rsidP="00AB47E6">
            <w:pPr>
              <w:jc w:val="right"/>
              <w:rPr>
                <w:rFonts w:ascii="Arial" w:hAnsi="Arial" w:cs="Arial"/>
                <w:color w:val="000000" w:themeColor="text1"/>
                <w:sz w:val="18"/>
                <w:szCs w:val="18"/>
              </w:rPr>
            </w:pP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B47E6" w:rsidRPr="002F31D1" w:rsidRDefault="002F608A" w:rsidP="00AB47E6">
            <w:pPr>
              <w:jc w:val="right"/>
              <w:rPr>
                <w:rFonts w:ascii="Arial" w:hAnsi="Arial" w:cs="Arial"/>
                <w:sz w:val="18"/>
                <w:szCs w:val="18"/>
              </w:rPr>
            </w:pPr>
            <w:r>
              <w:rPr>
                <w:rFonts w:ascii="Arial" w:hAnsi="Arial" w:cs="Arial"/>
                <w:sz w:val="18"/>
                <w:szCs w:val="18"/>
              </w:rPr>
              <w:t>3</w:t>
            </w:r>
            <w:r w:rsidR="002613B2">
              <w:rPr>
                <w:rFonts w:ascii="Arial" w:hAnsi="Arial" w:cs="Arial"/>
                <w:sz w:val="18"/>
                <w:szCs w:val="18"/>
              </w:rPr>
              <w:t>8,565</w:t>
            </w:r>
          </w:p>
        </w:tc>
        <w:tc>
          <w:tcPr>
            <w:tcW w:w="1418" w:type="dxa"/>
            <w:shd w:val="clear" w:color="000000" w:fill="FFFFFF"/>
            <w:noWrap/>
            <w:vAlign w:val="center"/>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89,658</w:t>
            </w:r>
          </w:p>
        </w:tc>
      </w:tr>
      <w:tr w:rsidR="00215D25" w:rsidRPr="00215D25" w:rsidTr="00822DAF">
        <w:trPr>
          <w:trHeight w:val="312"/>
          <w:jc w:val="center"/>
        </w:trPr>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B47E6" w:rsidRPr="008B1EB7" w:rsidRDefault="00D35A16" w:rsidP="00AB47E6">
            <w:pPr>
              <w:jc w:val="right"/>
              <w:rPr>
                <w:rFonts w:ascii="Arial" w:hAnsi="Arial" w:cs="Arial"/>
                <w:b/>
                <w:bCs/>
                <w:sz w:val="18"/>
                <w:szCs w:val="18"/>
                <w:u w:val="double"/>
              </w:rPr>
            </w:pPr>
            <w:r>
              <w:rPr>
                <w:rFonts w:ascii="Arial" w:hAnsi="Arial" w:cs="Arial"/>
                <w:b/>
                <w:bCs/>
                <w:sz w:val="18"/>
                <w:szCs w:val="18"/>
                <w:u w:val="double"/>
              </w:rPr>
              <w:t>2</w:t>
            </w:r>
            <w:r w:rsidR="002613B2">
              <w:rPr>
                <w:rFonts w:ascii="Arial" w:hAnsi="Arial" w:cs="Arial"/>
                <w:b/>
                <w:bCs/>
                <w:sz w:val="18"/>
                <w:szCs w:val="18"/>
                <w:u w:val="double"/>
              </w:rPr>
              <w:t>11,726</w:t>
            </w:r>
          </w:p>
        </w:tc>
        <w:tc>
          <w:tcPr>
            <w:tcW w:w="1418" w:type="dxa"/>
            <w:shd w:val="clear" w:color="000000" w:fill="FFFFFF"/>
            <w:noWrap/>
            <w:hideMark/>
          </w:tcPr>
          <w:p w:rsidR="00AB47E6" w:rsidRPr="00215D25" w:rsidRDefault="005609D8" w:rsidP="00AB47E6">
            <w:pPr>
              <w:jc w:val="right"/>
              <w:rPr>
                <w:rFonts w:ascii="Arial" w:hAnsi="Arial" w:cs="Arial"/>
                <w:b/>
                <w:bCs/>
                <w:color w:val="000000" w:themeColor="text1"/>
                <w:sz w:val="18"/>
                <w:szCs w:val="18"/>
                <w:u w:val="double"/>
              </w:rPr>
            </w:pPr>
            <w:r w:rsidRPr="00215D25">
              <w:rPr>
                <w:rFonts w:ascii="Arial" w:hAnsi="Arial" w:cs="Arial"/>
                <w:b/>
                <w:bCs/>
                <w:color w:val="000000" w:themeColor="text1"/>
                <w:sz w:val="18"/>
                <w:szCs w:val="18"/>
                <w:u w:val="double"/>
              </w:rPr>
              <w:t>568,132</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B47E6" w:rsidRPr="002F31D1" w:rsidRDefault="00D35A16" w:rsidP="00AB47E6">
            <w:pPr>
              <w:jc w:val="center"/>
              <w:rPr>
                <w:rFonts w:ascii="Arial" w:hAnsi="Arial" w:cs="Arial"/>
                <w:color w:val="000000"/>
                <w:sz w:val="18"/>
                <w:szCs w:val="18"/>
              </w:rPr>
            </w:pPr>
            <w:r>
              <w:rPr>
                <w:rFonts w:ascii="Arial" w:hAnsi="Arial" w:cs="Arial"/>
                <w:color w:val="000000"/>
                <w:sz w:val="18"/>
                <w:szCs w:val="18"/>
              </w:rPr>
              <w:t>1</w:t>
            </w:r>
            <w:r w:rsidR="00C6073B">
              <w:rPr>
                <w:rFonts w:ascii="Arial" w:hAnsi="Arial" w:cs="Arial"/>
                <w:color w:val="000000"/>
                <w:sz w:val="18"/>
                <w:szCs w:val="18"/>
              </w:rPr>
              <w:t>5,995,029</w:t>
            </w:r>
          </w:p>
        </w:tc>
        <w:tc>
          <w:tcPr>
            <w:tcW w:w="2128" w:type="dxa"/>
            <w:tcBorders>
              <w:top w:val="nil"/>
              <w:left w:val="nil"/>
              <w:bottom w:val="nil"/>
              <w:right w:val="nil"/>
            </w:tcBorders>
            <w:shd w:val="clear" w:color="000000" w:fill="FFFFFF"/>
            <w:noWrap/>
            <w:vAlign w:val="center"/>
            <w:hideMark/>
          </w:tcPr>
          <w:p w:rsidR="00AB47E6" w:rsidRPr="002F31D1" w:rsidRDefault="00AB47E6" w:rsidP="00AB47E6">
            <w:pPr>
              <w:jc w:val="center"/>
              <w:rPr>
                <w:rFonts w:ascii="Arial" w:hAnsi="Arial" w:cs="Arial"/>
                <w:color w:val="000000"/>
                <w:sz w:val="18"/>
                <w:szCs w:val="18"/>
              </w:rPr>
            </w:pPr>
            <w:r>
              <w:rPr>
                <w:rFonts w:ascii="Arial" w:hAnsi="Arial" w:cs="Arial"/>
                <w:color w:val="000000"/>
                <w:sz w:val="18"/>
                <w:szCs w:val="18"/>
              </w:rPr>
              <w:t>24,421,289</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B47E6" w:rsidRPr="00EA6951" w:rsidRDefault="00D35A16" w:rsidP="00AB47E6">
            <w:pPr>
              <w:jc w:val="center"/>
              <w:rPr>
                <w:rFonts w:ascii="Arial" w:hAnsi="Arial" w:cs="Arial"/>
                <w:b/>
                <w:color w:val="000000"/>
                <w:sz w:val="18"/>
                <w:szCs w:val="18"/>
                <w:u w:val="double"/>
              </w:rPr>
            </w:pPr>
            <w:r>
              <w:rPr>
                <w:rFonts w:ascii="Arial" w:hAnsi="Arial" w:cs="Arial"/>
                <w:b/>
                <w:color w:val="000000"/>
                <w:sz w:val="18"/>
                <w:szCs w:val="18"/>
                <w:u w:val="double"/>
              </w:rPr>
              <w:t>1</w:t>
            </w:r>
            <w:r w:rsidR="00C6073B">
              <w:rPr>
                <w:rFonts w:ascii="Arial" w:hAnsi="Arial" w:cs="Arial"/>
                <w:b/>
                <w:color w:val="000000"/>
                <w:sz w:val="18"/>
                <w:szCs w:val="18"/>
                <w:u w:val="double"/>
              </w:rPr>
              <w:t>5,995,029</w:t>
            </w:r>
          </w:p>
        </w:tc>
        <w:tc>
          <w:tcPr>
            <w:tcW w:w="2128" w:type="dxa"/>
            <w:tcBorders>
              <w:top w:val="nil"/>
              <w:left w:val="nil"/>
              <w:bottom w:val="nil"/>
              <w:right w:val="nil"/>
            </w:tcBorders>
            <w:shd w:val="clear" w:color="000000" w:fill="FFFFFF"/>
            <w:noWrap/>
            <w:vAlign w:val="center"/>
            <w:hideMark/>
          </w:tcPr>
          <w:p w:rsidR="00AB47E6" w:rsidRPr="00EA6951" w:rsidRDefault="00AB47E6" w:rsidP="00AB47E6">
            <w:pPr>
              <w:jc w:val="center"/>
              <w:rPr>
                <w:rFonts w:ascii="Arial" w:hAnsi="Arial" w:cs="Arial"/>
                <w:b/>
                <w:color w:val="000000"/>
                <w:sz w:val="18"/>
                <w:szCs w:val="18"/>
                <w:u w:val="double"/>
              </w:rPr>
            </w:pPr>
            <w:r>
              <w:rPr>
                <w:rFonts w:ascii="Arial" w:hAnsi="Arial" w:cs="Arial"/>
                <w:b/>
                <w:color w:val="000000"/>
                <w:sz w:val="18"/>
                <w:szCs w:val="18"/>
                <w:u w:val="double"/>
              </w:rPr>
              <w:t>24,421,289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9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AB47E6" w:rsidRPr="002F31D1" w:rsidRDefault="00C6073B" w:rsidP="00AB47E6">
            <w:pPr>
              <w:jc w:val="right"/>
              <w:rPr>
                <w:rFonts w:ascii="Arial" w:hAnsi="Arial" w:cs="Arial"/>
                <w:sz w:val="18"/>
                <w:szCs w:val="18"/>
              </w:rPr>
            </w:pPr>
            <w:r>
              <w:rPr>
                <w:rFonts w:ascii="Arial" w:hAnsi="Arial" w:cs="Arial"/>
                <w:sz w:val="18"/>
                <w:szCs w:val="18"/>
              </w:rPr>
              <w:t>12,415,845</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4735BA">
              <w:rPr>
                <w:rFonts w:ascii="Arial" w:hAnsi="Arial" w:cs="Arial"/>
                <w:sz w:val="18"/>
                <w:szCs w:val="18"/>
              </w:rPr>
              <w:t>80.90</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18,938,000</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7</w:t>
            </w:r>
            <w:r w:rsidR="00C6073B">
              <w:rPr>
                <w:rFonts w:ascii="Arial" w:hAnsi="Arial" w:cs="Arial"/>
                <w:sz w:val="18"/>
                <w:szCs w:val="18"/>
              </w:rPr>
              <w:t>8.70</w:t>
            </w:r>
            <w:r>
              <w:rPr>
                <w:rFonts w:ascii="Arial" w:hAnsi="Arial" w:cs="Arial"/>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AB47E6" w:rsidRPr="002F31D1" w:rsidRDefault="00C6073B" w:rsidP="00AB47E6">
            <w:pPr>
              <w:jc w:val="right"/>
              <w:rPr>
                <w:rFonts w:ascii="Arial" w:hAnsi="Arial" w:cs="Arial"/>
                <w:sz w:val="18"/>
                <w:szCs w:val="18"/>
              </w:rPr>
            </w:pPr>
            <w:r>
              <w:rPr>
                <w:rFonts w:ascii="Arial" w:hAnsi="Arial" w:cs="Arial"/>
                <w:sz w:val="18"/>
                <w:szCs w:val="18"/>
              </w:rPr>
              <w:t>963,305</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4735BA">
              <w:rPr>
                <w:rFonts w:ascii="Arial" w:hAnsi="Arial" w:cs="Arial"/>
                <w:sz w:val="18"/>
                <w:szCs w:val="18"/>
              </w:rPr>
              <w:t>6.28</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1,650,299</w:t>
            </w:r>
          </w:p>
        </w:tc>
        <w:tc>
          <w:tcPr>
            <w:tcW w:w="1910" w:type="dxa"/>
            <w:gridSpan w:val="2"/>
            <w:tcBorders>
              <w:top w:val="nil"/>
              <w:left w:val="nil"/>
              <w:bottom w:val="nil"/>
              <w:right w:val="nil"/>
            </w:tcBorders>
            <w:shd w:val="clear" w:color="auto" w:fill="auto"/>
            <w:noWrap/>
            <w:vAlign w:val="center"/>
            <w:hideMark/>
          </w:tcPr>
          <w:p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6.</w:t>
            </w:r>
            <w:r w:rsidR="00C6073B">
              <w:rPr>
                <w:rFonts w:ascii="Arial" w:hAnsi="Arial" w:cs="Arial"/>
                <w:sz w:val="18"/>
                <w:szCs w:val="18"/>
              </w:rPr>
              <w:t>86</w:t>
            </w:r>
            <w:r w:rsidR="00AB47E6">
              <w:rPr>
                <w:rFonts w:ascii="Arial" w:hAnsi="Arial" w:cs="Arial"/>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AB47E6" w:rsidRPr="002F31D1" w:rsidRDefault="00D35A16" w:rsidP="00AB47E6">
            <w:pPr>
              <w:jc w:val="right"/>
              <w:rPr>
                <w:rFonts w:ascii="Arial" w:hAnsi="Arial" w:cs="Arial"/>
                <w:sz w:val="18"/>
                <w:szCs w:val="18"/>
              </w:rPr>
            </w:pPr>
            <w:r>
              <w:rPr>
                <w:rFonts w:ascii="Arial" w:hAnsi="Arial" w:cs="Arial"/>
                <w:sz w:val="18"/>
                <w:szCs w:val="18"/>
              </w:rPr>
              <w:t>1</w:t>
            </w:r>
            <w:r w:rsidR="00C6073B">
              <w:rPr>
                <w:rFonts w:ascii="Arial" w:hAnsi="Arial" w:cs="Arial"/>
                <w:sz w:val="18"/>
                <w:szCs w:val="18"/>
              </w:rPr>
              <w:t>,967,479</w:t>
            </w:r>
          </w:p>
        </w:tc>
        <w:tc>
          <w:tcPr>
            <w:tcW w:w="0" w:type="auto"/>
            <w:tcBorders>
              <w:top w:val="nil"/>
              <w:left w:val="nil"/>
              <w:bottom w:val="nil"/>
              <w:right w:val="nil"/>
            </w:tcBorders>
            <w:shd w:val="clear" w:color="auto" w:fill="auto"/>
            <w:noWrap/>
            <w:vAlign w:val="center"/>
          </w:tcPr>
          <w:p w:rsidR="00AB47E6" w:rsidRPr="002F31D1" w:rsidRDefault="005D261A" w:rsidP="00AB47E6">
            <w:pPr>
              <w:jc w:val="right"/>
              <w:rPr>
                <w:rFonts w:ascii="Arial" w:hAnsi="Arial" w:cs="Arial"/>
                <w:sz w:val="18"/>
                <w:szCs w:val="18"/>
              </w:rPr>
            </w:pPr>
            <w:r>
              <w:rPr>
                <w:rFonts w:ascii="Arial" w:hAnsi="Arial" w:cs="Arial"/>
                <w:sz w:val="18"/>
                <w:szCs w:val="18"/>
              </w:rPr>
              <w:t>1</w:t>
            </w:r>
            <w:r w:rsidR="004735BA">
              <w:rPr>
                <w:rFonts w:ascii="Arial" w:hAnsi="Arial" w:cs="Arial"/>
                <w:sz w:val="18"/>
                <w:szCs w:val="18"/>
              </w:rPr>
              <w:t>2.82</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3,476,048</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14.</w:t>
            </w:r>
            <w:r w:rsidR="00C6073B">
              <w:rPr>
                <w:rFonts w:ascii="Arial" w:hAnsi="Arial" w:cs="Arial"/>
                <w:sz w:val="18"/>
                <w:szCs w:val="18"/>
              </w:rPr>
              <w:t>44</w:t>
            </w:r>
            <w:r>
              <w:rPr>
                <w:rFonts w:ascii="Arial" w:hAnsi="Arial" w:cs="Arial"/>
                <w:sz w:val="18"/>
                <w:szCs w:val="18"/>
              </w:rPr>
              <w:t>%</w:t>
            </w:r>
          </w:p>
        </w:tc>
      </w:tr>
      <w:tr w:rsidR="00AB47E6" w:rsidRPr="002F31D1"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rsidR="00AB47E6" w:rsidRPr="002F31D1"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jc w:val="right"/>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jc w:val="right"/>
              <w:rPr>
                <w:rFonts w:ascii="Arial" w:hAnsi="Arial" w:cs="Arial"/>
                <w:sz w:val="18"/>
                <w:szCs w:val="18"/>
              </w:rPr>
            </w:pPr>
          </w:p>
        </w:tc>
        <w:tc>
          <w:tcPr>
            <w:tcW w:w="1700" w:type="dxa"/>
            <w:tcBorders>
              <w:top w:val="nil"/>
              <w:left w:val="nil"/>
              <w:bottom w:val="nil"/>
              <w:right w:val="nil"/>
            </w:tcBorders>
            <w:shd w:val="clear" w:color="auto" w:fill="auto"/>
            <w:noWrap/>
            <w:vAlign w:val="center"/>
          </w:tcPr>
          <w:p w:rsidR="00AB47E6" w:rsidRDefault="00AB47E6" w:rsidP="00AB47E6">
            <w:pPr>
              <w:jc w:val="center"/>
              <w:rPr>
                <w:rFonts w:ascii="Arial" w:hAnsi="Arial" w:cs="Arial"/>
                <w:sz w:val="18"/>
                <w:szCs w:val="18"/>
              </w:rPr>
            </w:pPr>
          </w:p>
        </w:tc>
      </w:tr>
      <w:tr w:rsidR="00AB47E6"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w:t>
            </w:r>
            <w:r w:rsidR="00976C07">
              <w:rPr>
                <w:rFonts w:ascii="Arial" w:hAnsi="Arial" w:cs="Arial"/>
                <w:b/>
                <w:bCs/>
                <w:sz w:val="18"/>
                <w:szCs w:val="18"/>
                <w:u w:val="double"/>
              </w:rPr>
              <w:t>1</w:t>
            </w:r>
            <w:r w:rsidR="00C6073B">
              <w:rPr>
                <w:rFonts w:ascii="Arial" w:hAnsi="Arial" w:cs="Arial"/>
                <w:b/>
                <w:bCs/>
                <w:sz w:val="18"/>
                <w:szCs w:val="18"/>
                <w:u w:val="double"/>
              </w:rPr>
              <w:t>5,346,629</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00F25236">
              <w:rPr>
                <w:rFonts w:ascii="Arial" w:hAnsi="Arial" w:cs="Arial"/>
                <w:b/>
                <w:bCs/>
                <w:sz w:val="18"/>
                <w:szCs w:val="18"/>
              </w:rPr>
              <w:t>100.0</w:t>
            </w:r>
            <w:r>
              <w:rPr>
                <w:rFonts w:ascii="Arial" w:hAnsi="Arial" w:cs="Arial"/>
                <w:b/>
                <w:bCs/>
                <w:sz w:val="18"/>
                <w:szCs w:val="18"/>
              </w:rPr>
              <w:t>0%</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w:t>
            </w:r>
            <w:r w:rsidR="00C6073B">
              <w:rPr>
                <w:rFonts w:ascii="Arial" w:hAnsi="Arial" w:cs="Arial"/>
                <w:b/>
                <w:bCs/>
                <w:sz w:val="18"/>
                <w:szCs w:val="18"/>
                <w:u w:val="double"/>
              </w:rPr>
              <w:t>064</w:t>
            </w:r>
            <w:r>
              <w:rPr>
                <w:rFonts w:ascii="Arial" w:hAnsi="Arial" w:cs="Arial"/>
                <w:b/>
                <w:bCs/>
                <w:sz w:val="18"/>
                <w:szCs w:val="18"/>
                <w:u w:val="double"/>
              </w:rPr>
              <w:t>,</w:t>
            </w:r>
            <w:r w:rsidR="00C6073B">
              <w:rPr>
                <w:rFonts w:ascii="Arial" w:hAnsi="Arial" w:cs="Arial"/>
                <w:b/>
                <w:bCs/>
                <w:sz w:val="18"/>
                <w:szCs w:val="18"/>
                <w:u w:val="double"/>
              </w:rPr>
              <w:t>347</w:t>
            </w:r>
          </w:p>
        </w:tc>
        <w:tc>
          <w:tcPr>
            <w:tcW w:w="1700" w:type="dxa"/>
            <w:tcBorders>
              <w:top w:val="nil"/>
              <w:left w:val="nil"/>
              <w:bottom w:val="nil"/>
              <w:right w:val="nil"/>
            </w:tcBorders>
            <w:shd w:val="clear" w:color="auto" w:fill="auto"/>
            <w:noWrap/>
            <w:vAlign w:val="center"/>
            <w:hideMark/>
          </w:tcPr>
          <w:p w:rsidR="00AB47E6" w:rsidRPr="002F31D1" w:rsidRDefault="004F3657" w:rsidP="00AB47E6">
            <w:pPr>
              <w:spacing w:before="80"/>
              <w:jc w:val="center"/>
              <w:rPr>
                <w:rFonts w:ascii="Arial" w:hAnsi="Arial" w:cs="Arial"/>
                <w:b/>
                <w:bCs/>
                <w:sz w:val="18"/>
                <w:szCs w:val="18"/>
              </w:rPr>
            </w:pPr>
            <w:r>
              <w:rPr>
                <w:rFonts w:ascii="Arial" w:hAnsi="Arial" w:cs="Arial"/>
                <w:b/>
                <w:bCs/>
                <w:sz w:val="18"/>
                <w:szCs w:val="18"/>
              </w:rPr>
              <w:t xml:space="preserve">  </w:t>
            </w:r>
            <w:r w:rsidR="00AB47E6">
              <w:rPr>
                <w:rFonts w:ascii="Arial" w:hAnsi="Arial" w:cs="Arial"/>
                <w:b/>
                <w:bCs/>
                <w:sz w:val="18"/>
                <w:szCs w:val="18"/>
              </w:rPr>
              <w:t>100</w:t>
            </w:r>
            <w:r>
              <w:rPr>
                <w:rFonts w:ascii="Arial" w:hAnsi="Arial" w:cs="Arial"/>
                <w:b/>
                <w:bCs/>
                <w:sz w:val="18"/>
                <w:szCs w:val="18"/>
              </w:rPr>
              <w:t>.00</w:t>
            </w:r>
            <w:r w:rsidR="00AB47E6">
              <w:rPr>
                <w:rFonts w:ascii="Arial" w:hAnsi="Arial" w:cs="Arial"/>
                <w:b/>
                <w:bCs/>
                <w:sz w:val="18"/>
                <w:szCs w:val="18"/>
              </w:rPr>
              <w:t>%</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3747C0">
        <w:rPr>
          <w:rFonts w:ascii="Arial" w:hAnsi="Arial" w:cs="Arial"/>
          <w:sz w:val="18"/>
          <w:szCs w:val="18"/>
        </w:rPr>
        <w:t>tercer trimestre</w:t>
      </w:r>
      <w:r>
        <w:rPr>
          <w:rFonts w:ascii="Arial" w:hAnsi="Arial" w:cs="Arial"/>
          <w:sz w:val="18"/>
          <w:szCs w:val="18"/>
        </w:rPr>
        <w:t xml:space="preserve"> 201</w:t>
      </w:r>
      <w:r w:rsidR="00AB47E6">
        <w:rPr>
          <w:rFonts w:ascii="Arial" w:hAnsi="Arial" w:cs="Arial"/>
          <w:sz w:val="18"/>
          <w:szCs w:val="18"/>
        </w:rPr>
        <w:t>9</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4735BA">
        <w:rPr>
          <w:rFonts w:ascii="Arial" w:hAnsi="Arial" w:cs="Arial"/>
          <w:sz w:val="18"/>
          <w:szCs w:val="18"/>
        </w:rPr>
        <w:t>80.90</w:t>
      </w:r>
      <w:r w:rsidR="001B4C3B" w:rsidRPr="003747C0">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AB47E6">
              <w:rPr>
                <w:rFonts w:ascii="Arial" w:hAnsi="Arial" w:cs="Arial"/>
                <w:b/>
                <w:bCs/>
                <w:color w:val="FFFFFF"/>
                <w:sz w:val="18"/>
                <w:szCs w:val="18"/>
              </w:rPr>
              <w:t>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771E65" w:rsidRDefault="009224D8" w:rsidP="0074627B">
            <w:pPr>
              <w:jc w:val="right"/>
              <w:rPr>
                <w:rFonts w:ascii="Arial" w:hAnsi="Arial" w:cs="Arial"/>
                <w:sz w:val="18"/>
                <w:szCs w:val="18"/>
              </w:rPr>
            </w:pPr>
            <w:r>
              <w:rPr>
                <w:rFonts w:ascii="Arial" w:hAnsi="Arial" w:cs="Arial"/>
                <w:sz w:val="18"/>
                <w:szCs w:val="18"/>
              </w:rPr>
              <w:t>3,236,065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771E65" w:rsidRDefault="005515D4" w:rsidP="009E3806">
            <w:pPr>
              <w:jc w:val="right"/>
              <w:rPr>
                <w:rFonts w:ascii="Arial" w:hAnsi="Arial" w:cs="Arial"/>
                <w:sz w:val="18"/>
                <w:szCs w:val="18"/>
              </w:rPr>
            </w:pPr>
            <w:r>
              <w:rPr>
                <w:rFonts w:ascii="Arial" w:hAnsi="Arial" w:cs="Arial"/>
                <w:sz w:val="18"/>
                <w:szCs w:val="18"/>
              </w:rPr>
              <w:t>648,400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771E65" w:rsidRDefault="0011098D" w:rsidP="00551984">
            <w:pPr>
              <w:jc w:val="right"/>
              <w:rPr>
                <w:rFonts w:ascii="Arial" w:hAnsi="Arial" w:cs="Arial"/>
                <w:sz w:val="18"/>
                <w:szCs w:val="18"/>
              </w:rPr>
            </w:pPr>
            <w:r>
              <w:rPr>
                <w:rFonts w:ascii="Arial" w:hAnsi="Arial" w:cs="Arial"/>
                <w:sz w:val="18"/>
                <w:szCs w:val="18"/>
              </w:rPr>
              <w:t>1,068,445</w:t>
            </w:r>
          </w:p>
        </w:tc>
      </w:tr>
      <w:tr w:rsidR="003123A1" w:rsidRPr="003123A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4,952,910</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9</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8</w:t>
            </w:r>
          </w:p>
        </w:tc>
      </w:tr>
      <w:tr w:rsidR="00AB47E6" w:rsidRPr="002F31D1" w:rsidTr="008722FD">
        <w:trPr>
          <w:trHeight w:val="330"/>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B47E6" w:rsidRPr="002F31D1" w:rsidRDefault="00E30428" w:rsidP="00AB47E6">
            <w:pPr>
              <w:spacing w:before="80"/>
              <w:jc w:val="right"/>
              <w:rPr>
                <w:rFonts w:ascii="Arial" w:hAnsi="Arial" w:cs="Arial"/>
                <w:sz w:val="18"/>
                <w:szCs w:val="18"/>
              </w:rPr>
            </w:pPr>
            <w:r>
              <w:rPr>
                <w:rFonts w:ascii="Arial" w:hAnsi="Arial" w:cs="Arial"/>
                <w:sz w:val="18"/>
                <w:szCs w:val="18"/>
              </w:rPr>
              <w:t>666,366</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sz w:val="18"/>
                <w:szCs w:val="18"/>
              </w:rPr>
            </w:pPr>
            <w:r>
              <w:rPr>
                <w:rFonts w:ascii="Arial" w:hAnsi="Arial" w:cs="Arial"/>
                <w:sz w:val="18"/>
                <w:szCs w:val="18"/>
              </w:rPr>
              <w:t>566,563</w:t>
            </w:r>
          </w:p>
        </w:tc>
      </w:tr>
      <w:tr w:rsidR="00AB47E6" w:rsidRPr="002F31D1" w:rsidTr="008722FD">
        <w:trPr>
          <w:trHeight w:val="330"/>
          <w:jc w:val="center"/>
        </w:trPr>
        <w:tc>
          <w:tcPr>
            <w:tcW w:w="0" w:type="auto"/>
            <w:tcBorders>
              <w:top w:val="nil"/>
              <w:left w:val="nil"/>
              <w:bottom w:val="nil"/>
              <w:right w:val="nil"/>
            </w:tcBorders>
            <w:shd w:val="clear" w:color="auto" w:fill="auto"/>
            <w:noWrap/>
            <w:vAlign w:val="bottom"/>
          </w:tcPr>
          <w:p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B47E6" w:rsidRPr="002F31D1" w:rsidRDefault="00E30428" w:rsidP="00AB47E6">
            <w:pPr>
              <w:spacing w:before="80"/>
              <w:jc w:val="right"/>
              <w:rPr>
                <w:rFonts w:ascii="Arial" w:hAnsi="Arial" w:cs="Arial"/>
                <w:b/>
                <w:sz w:val="18"/>
                <w:szCs w:val="18"/>
                <w:u w:val="double"/>
              </w:rPr>
            </w:pPr>
            <w:r>
              <w:rPr>
                <w:rFonts w:ascii="Arial" w:hAnsi="Arial" w:cs="Arial"/>
                <w:b/>
                <w:sz w:val="18"/>
                <w:szCs w:val="18"/>
                <w:u w:val="double"/>
              </w:rPr>
              <w:t>666,366</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b/>
                <w:sz w:val="18"/>
                <w:szCs w:val="18"/>
                <w:u w:val="double"/>
              </w:rPr>
            </w:pPr>
            <w:r>
              <w:rPr>
                <w:rFonts w:ascii="Arial" w:hAnsi="Arial" w:cs="Arial"/>
                <w:b/>
                <w:sz w:val="18"/>
                <w:szCs w:val="18"/>
                <w:u w:val="double"/>
              </w:rPr>
              <w:t>566,563</w:t>
            </w:r>
          </w:p>
        </w:tc>
      </w:tr>
    </w:tbl>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9D7A6E" w:rsidRDefault="00020829" w:rsidP="0074627B">
            <w:pPr>
              <w:spacing w:before="80"/>
              <w:jc w:val="right"/>
              <w:rPr>
                <w:rFonts w:ascii="Arial" w:hAnsi="Arial" w:cs="Arial"/>
                <w:sz w:val="18"/>
                <w:szCs w:val="18"/>
              </w:rPr>
            </w:pPr>
            <w:r>
              <w:rPr>
                <w:rFonts w:ascii="Arial" w:hAnsi="Arial" w:cs="Arial"/>
                <w:sz w:val="18"/>
                <w:szCs w:val="18"/>
              </w:rPr>
              <w:t>0</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020829" w:rsidP="00822DAF">
            <w:pPr>
              <w:spacing w:before="80"/>
              <w:jc w:val="right"/>
              <w:rPr>
                <w:rFonts w:ascii="Arial" w:hAnsi="Arial" w:cs="Arial"/>
                <w:b/>
                <w:sz w:val="18"/>
                <w:szCs w:val="18"/>
                <w:u w:val="double"/>
              </w:rPr>
            </w:pPr>
            <w:r>
              <w:rPr>
                <w:rFonts w:ascii="Arial" w:hAnsi="Arial" w:cs="Arial"/>
                <w:b/>
                <w:sz w:val="18"/>
                <w:szCs w:val="18"/>
                <w:u w:val="double"/>
              </w:rPr>
              <w:t>0</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3F7DE0">
        <w:trPr>
          <w:trHeight w:val="363"/>
          <w:jc w:val="center"/>
        </w:trPr>
        <w:tc>
          <w:tcPr>
            <w:tcW w:w="3525" w:type="dxa"/>
            <w:shd w:val="clear" w:color="auto" w:fill="auto"/>
            <w:vAlign w:val="bottom"/>
            <w:hideMark/>
          </w:tcPr>
          <w:p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AB47E6" w:rsidRPr="00FC3DE2" w:rsidRDefault="001B2E97" w:rsidP="00AB47E6">
            <w:pPr>
              <w:spacing w:before="80"/>
              <w:jc w:val="right"/>
              <w:rPr>
                <w:rFonts w:ascii="Arial" w:hAnsi="Arial" w:cs="Arial"/>
                <w:bCs/>
                <w:sz w:val="18"/>
                <w:szCs w:val="18"/>
              </w:rPr>
            </w:pPr>
            <w:r>
              <w:rPr>
                <w:rFonts w:ascii="Arial" w:hAnsi="Arial" w:cs="Arial"/>
                <w:bCs/>
                <w:sz w:val="18"/>
                <w:szCs w:val="18"/>
              </w:rPr>
              <w:t>648,400</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B47E6" w:rsidRPr="002F31D1" w:rsidTr="003F7DE0">
        <w:trPr>
          <w:trHeight w:val="363"/>
          <w:jc w:val="center"/>
        </w:trPr>
        <w:tc>
          <w:tcPr>
            <w:tcW w:w="3525" w:type="dxa"/>
            <w:shd w:val="clear" w:color="auto" w:fill="auto"/>
            <w:vAlign w:val="bottom"/>
          </w:tcPr>
          <w:p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AB47E6" w:rsidRPr="00FC3DE2" w:rsidRDefault="001B2E97" w:rsidP="00AB47E6">
            <w:pPr>
              <w:spacing w:before="80"/>
              <w:jc w:val="right"/>
              <w:rPr>
                <w:rFonts w:ascii="Arial" w:hAnsi="Arial" w:cs="Arial"/>
                <w:bCs/>
                <w:sz w:val="18"/>
                <w:szCs w:val="18"/>
              </w:rPr>
            </w:pPr>
            <w:r>
              <w:rPr>
                <w:rFonts w:ascii="Arial" w:hAnsi="Arial" w:cs="Arial"/>
                <w:bCs/>
                <w:sz w:val="18"/>
                <w:szCs w:val="18"/>
              </w:rPr>
              <w:t>648,400</w:t>
            </w:r>
          </w:p>
        </w:tc>
        <w:tc>
          <w:tcPr>
            <w:tcW w:w="160" w:type="dxa"/>
          </w:tcPr>
          <w:p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Pr="00D12789" w:rsidRDefault="00595783"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v:shape id="_x0000_s1151" type="#_x0000_t75" style="position:absolute;left:0;text-align:left;margin-left:312.25pt;margin-top:24.45pt;width:420pt;height:280.2pt;z-index:251676672">
            <v:imagedata r:id="rId22" o:title=""/>
            <w10:wrap type="topAndBottom"/>
          </v:shape>
          <o:OLEObject Type="Embed" ProgID="Excel.Sheet.12" ShapeID="_x0000_s1151" DrawAspect="Content" ObjectID="_1632566670" r:id="rId23"/>
        </w:object>
      </w:r>
      <w:r>
        <w:rPr>
          <w:rFonts w:ascii="Arial" w:hAnsi="Arial" w:cs="Arial"/>
          <w:noProof/>
          <w:sz w:val="18"/>
          <w:szCs w:val="18"/>
        </w:rPr>
        <w:object w:dxaOrig="1440" w:dyaOrig="1440">
          <v:shape id="_x0000_s1150" type="#_x0000_t75" style="position:absolute;left:0;text-align:left;margin-left:-2.3pt;margin-top:28.85pt;width:286.7pt;height:255.55pt;z-index:251675648">
            <v:imagedata r:id="rId24" o:title=""/>
            <w10:wrap type="topAndBottom"/>
          </v:shape>
          <o:OLEObject Type="Embed" ProgID="Excel.Sheet.12" ShapeID="_x0000_s1150" DrawAspect="Content" ObjectID="_1632566671"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rsidR="00C82E22" w:rsidRDefault="00C82E22" w:rsidP="005F4FD6">
      <w:pPr>
        <w:spacing w:line="240" w:lineRule="auto"/>
        <w:rPr>
          <w:rFonts w:ascii="Arial" w:hAnsi="Arial" w:cs="Arial"/>
          <w:sz w:val="18"/>
          <w:szCs w:val="18"/>
        </w:rPr>
      </w:pPr>
      <w:bookmarkStart w:id="4" w:name="_GoBack"/>
      <w:bookmarkEnd w:id="4"/>
    </w:p>
    <w:p w:rsidR="00322D3A" w:rsidRDefault="00322D3A"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DA44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2DD71"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D12789">
      <w:pPr>
        <w:autoSpaceDE w:val="0"/>
        <w:autoSpaceDN w:val="0"/>
        <w:adjustRightInd w:val="0"/>
        <w:spacing w:before="80" w:after="0"/>
        <w:jc w:val="both"/>
        <w:rPr>
          <w:rFonts w:ascii="Arial" w:hAnsi="Arial" w:cs="Arial"/>
          <w:b/>
          <w:sz w:val="18"/>
          <w:szCs w:val="18"/>
        </w:rPr>
      </w:pPr>
    </w:p>
    <w:p w:rsidR="00845DE7" w:rsidRDefault="00845DE7" w:rsidP="00D12789">
      <w:pPr>
        <w:autoSpaceDE w:val="0"/>
        <w:autoSpaceDN w:val="0"/>
        <w:adjustRightInd w:val="0"/>
        <w:spacing w:before="80" w:after="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B47E6">
              <w:rPr>
                <w:rFonts w:ascii="Arial" w:hAnsi="Arial" w:cs="Arial"/>
                <w:b/>
                <w:bCs/>
                <w:color w:val="FFFFFF"/>
                <w:sz w:val="18"/>
                <w:szCs w:val="18"/>
              </w:rPr>
              <w:t>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F60271" w:rsidRDefault="00E07469" w:rsidP="00822DAF">
            <w:pPr>
              <w:spacing w:before="80"/>
              <w:jc w:val="right"/>
              <w:rPr>
                <w:rFonts w:ascii="Arial" w:hAnsi="Arial" w:cs="Arial"/>
                <w:sz w:val="18"/>
                <w:szCs w:val="18"/>
              </w:rPr>
            </w:pPr>
            <w:r>
              <w:rPr>
                <w:rFonts w:ascii="Arial" w:hAnsi="Arial" w:cs="Arial"/>
                <w:sz w:val="18"/>
                <w:szCs w:val="18"/>
              </w:rPr>
              <w:t>21,866,660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F60271" w:rsidRDefault="00EC5CB1" w:rsidP="00D70BDA">
            <w:pPr>
              <w:spacing w:before="80"/>
              <w:jc w:val="right"/>
              <w:rPr>
                <w:rFonts w:ascii="Arial" w:hAnsi="Arial" w:cs="Arial"/>
                <w:sz w:val="18"/>
                <w:szCs w:val="18"/>
              </w:rPr>
            </w:pPr>
            <w:r>
              <w:rPr>
                <w:rFonts w:ascii="Arial" w:hAnsi="Arial" w:cs="Arial"/>
                <w:sz w:val="18"/>
                <w:szCs w:val="18"/>
              </w:rPr>
              <w:t>57,590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F60271" w:rsidRDefault="00EC5CB1" w:rsidP="003465BC">
            <w:pPr>
              <w:spacing w:before="80"/>
              <w:jc w:val="right"/>
              <w:rPr>
                <w:rFonts w:ascii="Arial" w:hAnsi="Arial" w:cs="Arial"/>
                <w:sz w:val="18"/>
                <w:szCs w:val="18"/>
              </w:rPr>
            </w:pPr>
            <w:r>
              <w:rPr>
                <w:rFonts w:ascii="Arial" w:hAnsi="Arial" w:cs="Arial"/>
                <w:sz w:val="18"/>
                <w:szCs w:val="18"/>
              </w:rPr>
              <w:t>57,590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F60271" w:rsidRDefault="00E07469" w:rsidP="003465BC">
            <w:pPr>
              <w:spacing w:before="80"/>
              <w:jc w:val="right"/>
              <w:rPr>
                <w:rFonts w:ascii="Arial" w:hAnsi="Arial" w:cs="Arial"/>
                <w:sz w:val="18"/>
                <w:szCs w:val="18"/>
              </w:rPr>
            </w:pPr>
            <w:r>
              <w:rPr>
                <w:rFonts w:ascii="Arial" w:hAnsi="Arial" w:cs="Arial"/>
                <w:sz w:val="18"/>
                <w:szCs w:val="18"/>
              </w:rPr>
              <w:t>1</w:t>
            </w:r>
            <w:r w:rsidR="00EC5CB1">
              <w:rPr>
                <w:rFonts w:ascii="Arial" w:hAnsi="Arial" w:cs="Arial"/>
                <w:sz w:val="18"/>
                <w:szCs w:val="18"/>
              </w:rPr>
              <w:t>5,995,029</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F60271" w:rsidRDefault="00E07469" w:rsidP="003465BC">
            <w:pPr>
              <w:spacing w:before="80"/>
              <w:jc w:val="right"/>
              <w:rPr>
                <w:rFonts w:ascii="Arial" w:hAnsi="Arial" w:cs="Arial"/>
                <w:sz w:val="18"/>
                <w:szCs w:val="18"/>
              </w:rPr>
            </w:pPr>
            <w:r>
              <w:rPr>
                <w:rFonts w:ascii="Arial" w:hAnsi="Arial" w:cs="Arial"/>
                <w:sz w:val="18"/>
                <w:szCs w:val="18"/>
              </w:rPr>
              <w:t>1</w:t>
            </w:r>
            <w:r w:rsidR="00EC5CB1">
              <w:rPr>
                <w:rFonts w:ascii="Arial" w:hAnsi="Arial" w:cs="Arial"/>
                <w:sz w:val="18"/>
                <w:szCs w:val="18"/>
              </w:rPr>
              <w:t>5,995,029</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sidRPr="00F60271">
        <w:rPr>
          <w:rFonts w:ascii="Arial" w:hAnsi="Arial" w:cs="Arial"/>
          <w:sz w:val="18"/>
          <w:szCs w:val="18"/>
        </w:rPr>
        <w:t>21,</w:t>
      </w:r>
      <w:r w:rsidR="00F60271" w:rsidRPr="00F60271">
        <w:rPr>
          <w:rFonts w:ascii="Arial" w:hAnsi="Arial" w:cs="Arial"/>
          <w:sz w:val="18"/>
          <w:szCs w:val="18"/>
        </w:rPr>
        <w:t>8</w:t>
      </w:r>
      <w:r w:rsidR="00B77C76" w:rsidRPr="00F60271">
        <w:rPr>
          <w:rFonts w:ascii="Arial" w:hAnsi="Arial" w:cs="Arial"/>
          <w:sz w:val="18"/>
          <w:szCs w:val="18"/>
        </w:rPr>
        <w:t>66,660</w:t>
      </w:r>
      <w:r w:rsidRPr="00F60271">
        <w:rPr>
          <w:rFonts w:ascii="Arial" w:hAnsi="Arial" w:cs="Arial"/>
          <w:sz w:val="18"/>
          <w:szCs w:val="18"/>
        </w:rPr>
        <w:t xml:space="preserve"> </w:t>
      </w:r>
      <w:r>
        <w:rPr>
          <w:rFonts w:ascii="Arial" w:hAnsi="Arial" w:cs="Arial"/>
          <w:sz w:val="18"/>
          <w:szCs w:val="18"/>
        </w:rPr>
        <w:t>mediante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E07469" w:rsidRDefault="00E07469" w:rsidP="00A668D1">
      <w:pPr>
        <w:autoSpaceDE w:val="0"/>
        <w:autoSpaceDN w:val="0"/>
        <w:adjustRightInd w:val="0"/>
        <w:spacing w:before="80" w:after="0"/>
        <w:jc w:val="both"/>
        <w:rPr>
          <w:rFonts w:ascii="Arial" w:hAnsi="Arial" w:cs="Arial"/>
          <w:sz w:val="18"/>
          <w:szCs w:val="18"/>
        </w:rPr>
      </w:pPr>
    </w:p>
    <w:p w:rsidR="0038520B" w:rsidRDefault="0038520B"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rsidR="00A668D1" w:rsidRDefault="004E79ED" w:rsidP="00140819">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septiembre</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893F9D">
              <w:rPr>
                <w:rFonts w:ascii="Arial" w:hAnsi="Arial" w:cs="Arial"/>
                <w:sz w:val="18"/>
                <w:szCs w:val="18"/>
              </w:rPr>
              <w:t>57,590</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p>
        </w:tc>
        <w:tc>
          <w:tcPr>
            <w:tcW w:w="1584" w:type="dxa"/>
          </w:tcPr>
          <w:p w:rsidR="00A668D1" w:rsidRDefault="00A668D1" w:rsidP="00AB47E6">
            <w:pPr>
              <w:autoSpaceDE w:val="0"/>
              <w:autoSpaceDN w:val="0"/>
              <w:adjustRightInd w:val="0"/>
              <w:rPr>
                <w:rFonts w:ascii="Arial" w:hAnsi="Arial" w:cs="Arial"/>
                <w:sz w:val="18"/>
                <w:szCs w:val="18"/>
              </w:rPr>
            </w:pPr>
          </w:p>
        </w:tc>
        <w:tc>
          <w:tcPr>
            <w:tcW w:w="1714" w:type="dxa"/>
          </w:tcPr>
          <w:p w:rsidR="00A668D1" w:rsidRDefault="00A668D1" w:rsidP="00AB47E6">
            <w:pPr>
              <w:autoSpaceDE w:val="0"/>
              <w:autoSpaceDN w:val="0"/>
              <w:adjustRightInd w:val="0"/>
              <w:jc w:val="center"/>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AB47E6">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Pr>
                <w:rFonts w:ascii="Arial" w:hAnsi="Arial" w:cs="Arial"/>
                <w:b/>
                <w:sz w:val="18"/>
                <w:szCs w:val="18"/>
              </w:rPr>
              <w:t xml:space="preserve"> </w:t>
            </w:r>
            <w:r w:rsidR="00893F9D">
              <w:rPr>
                <w:rFonts w:ascii="Arial" w:hAnsi="Arial" w:cs="Arial"/>
                <w:b/>
                <w:sz w:val="18"/>
                <w:szCs w:val="18"/>
              </w:rPr>
              <w:t xml:space="preserve"> </w:t>
            </w:r>
            <w:r>
              <w:rPr>
                <w:rFonts w:ascii="Arial" w:hAnsi="Arial" w:cs="Arial"/>
                <w:b/>
                <w:sz w:val="18"/>
                <w:szCs w:val="18"/>
              </w:rPr>
              <w:t>$</w:t>
            </w:r>
            <w:r w:rsidR="00893F9D">
              <w:rPr>
                <w:rFonts w:ascii="Arial" w:hAnsi="Arial" w:cs="Arial"/>
                <w:b/>
                <w:sz w:val="18"/>
                <w:szCs w:val="18"/>
              </w:rPr>
              <w:t xml:space="preserve"> 57,590</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F60271" w:rsidRDefault="00D678FD" w:rsidP="007C4003">
            <w:pPr>
              <w:spacing w:line="240" w:lineRule="auto"/>
              <w:jc w:val="right"/>
              <w:rPr>
                <w:rFonts w:ascii="Arial" w:hAnsi="Arial" w:cs="Arial"/>
                <w:sz w:val="18"/>
                <w:szCs w:val="18"/>
              </w:rPr>
            </w:pPr>
            <w:r w:rsidRPr="00F60271">
              <w:rPr>
                <w:rFonts w:ascii="Arial" w:hAnsi="Arial" w:cs="Arial"/>
                <w:sz w:val="18"/>
                <w:szCs w:val="18"/>
              </w:rPr>
              <w:t>21,</w:t>
            </w:r>
            <w:r w:rsidR="00F60271">
              <w:rPr>
                <w:rFonts w:ascii="Arial" w:hAnsi="Arial" w:cs="Arial"/>
                <w:sz w:val="18"/>
                <w:szCs w:val="18"/>
              </w:rPr>
              <w:t>900</w:t>
            </w:r>
            <w:r w:rsidRPr="00F60271">
              <w:rPr>
                <w:rFonts w:ascii="Arial" w:hAnsi="Arial" w:cs="Arial"/>
                <w:sz w:val="18"/>
                <w:szCs w:val="18"/>
              </w:rPr>
              <w:t>,</w:t>
            </w:r>
            <w:r w:rsidR="00F60271">
              <w:rPr>
                <w:rFonts w:ascii="Arial" w:hAnsi="Arial" w:cs="Arial"/>
                <w:sz w:val="18"/>
                <w:szCs w:val="18"/>
              </w:rPr>
              <w:t>945</w:t>
            </w:r>
          </w:p>
        </w:tc>
      </w:tr>
      <w:tr w:rsidR="00AB47E6" w:rsidRPr="00AB47E6"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F60271" w:rsidRDefault="00893F9D" w:rsidP="00F93E52">
            <w:pPr>
              <w:spacing w:line="240" w:lineRule="auto"/>
              <w:jc w:val="right"/>
              <w:rPr>
                <w:rFonts w:ascii="Arial" w:hAnsi="Arial" w:cs="Arial"/>
                <w:sz w:val="18"/>
                <w:szCs w:val="18"/>
              </w:rPr>
            </w:pPr>
            <w:r>
              <w:rPr>
                <w:rFonts w:ascii="Arial" w:hAnsi="Arial" w:cs="Arial"/>
                <w:sz w:val="18"/>
                <w:szCs w:val="18"/>
              </w:rPr>
              <w:t>57,590</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F60271" w:rsidRDefault="00893F9D" w:rsidP="007C4003">
            <w:pPr>
              <w:spacing w:line="240" w:lineRule="auto"/>
              <w:jc w:val="right"/>
              <w:rPr>
                <w:rFonts w:ascii="Arial" w:hAnsi="Arial" w:cs="Arial"/>
                <w:sz w:val="18"/>
                <w:szCs w:val="18"/>
              </w:rPr>
            </w:pPr>
            <w:r>
              <w:rPr>
                <w:rFonts w:ascii="Arial" w:hAnsi="Arial" w:cs="Arial"/>
                <w:sz w:val="18"/>
                <w:szCs w:val="18"/>
              </w:rPr>
              <w:t>57,590</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F60271" w:rsidRDefault="005D07BB" w:rsidP="007C4003">
            <w:pPr>
              <w:spacing w:line="240" w:lineRule="auto"/>
              <w:jc w:val="right"/>
              <w:rPr>
                <w:rFonts w:ascii="Arial" w:hAnsi="Arial" w:cs="Arial"/>
                <w:sz w:val="18"/>
                <w:szCs w:val="18"/>
              </w:rPr>
            </w:pPr>
            <w:r>
              <w:rPr>
                <w:rFonts w:ascii="Arial" w:hAnsi="Arial" w:cs="Arial"/>
                <w:sz w:val="18"/>
                <w:szCs w:val="18"/>
              </w:rPr>
              <w:t>1</w:t>
            </w:r>
            <w:r w:rsidR="00893F9D">
              <w:rPr>
                <w:rFonts w:ascii="Arial" w:hAnsi="Arial" w:cs="Arial"/>
                <w:sz w:val="18"/>
                <w:szCs w:val="18"/>
              </w:rPr>
              <w:t>5,373,599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F60271" w:rsidRDefault="005D07BB" w:rsidP="007C4003">
            <w:pPr>
              <w:spacing w:line="240" w:lineRule="auto"/>
              <w:jc w:val="right"/>
              <w:rPr>
                <w:rFonts w:ascii="Arial" w:hAnsi="Arial" w:cs="Arial"/>
                <w:sz w:val="18"/>
                <w:szCs w:val="18"/>
              </w:rPr>
            </w:pPr>
            <w:r>
              <w:rPr>
                <w:rFonts w:ascii="Arial" w:hAnsi="Arial" w:cs="Arial"/>
                <w:sz w:val="18"/>
                <w:szCs w:val="18"/>
              </w:rPr>
              <w:t>1</w:t>
            </w:r>
            <w:r w:rsidR="00893F9D">
              <w:rPr>
                <w:rFonts w:ascii="Arial" w:hAnsi="Arial" w:cs="Arial"/>
                <w:sz w:val="18"/>
                <w:szCs w:val="18"/>
              </w:rPr>
              <w:t>5,330,749</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0D756"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BE502"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38520B">
        <w:rPr>
          <w:rFonts w:ascii="Arial" w:hAnsi="Arial" w:cs="Arial"/>
          <w:sz w:val="18"/>
          <w:szCs w:val="18"/>
        </w:rPr>
        <w:t>30 de septiembre del</w:t>
      </w:r>
      <w:r>
        <w:rPr>
          <w:rFonts w:ascii="Arial" w:hAnsi="Arial" w:cs="Arial"/>
          <w:sz w:val="18"/>
          <w:szCs w:val="18"/>
        </w:rPr>
        <w:t xml:space="preserve"> ejercicio 201</w:t>
      </w:r>
      <w:r w:rsidR="00AB47E6">
        <w:rPr>
          <w:rFonts w:ascii="Arial" w:hAnsi="Arial" w:cs="Arial"/>
          <w:sz w:val="18"/>
          <w:szCs w:val="18"/>
        </w:rPr>
        <w:t>9</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5D07BB">
        <w:rPr>
          <w:rFonts w:ascii="Arial" w:hAnsi="Arial" w:cs="Arial"/>
          <w:sz w:val="18"/>
          <w:szCs w:val="18"/>
        </w:rPr>
        <w:t>0</w:t>
      </w:r>
      <w:r w:rsidR="00AB47E6">
        <w:rPr>
          <w:rFonts w:ascii="Arial" w:hAnsi="Arial" w:cs="Arial"/>
          <w:sz w:val="18"/>
          <w:szCs w:val="18"/>
        </w:rPr>
        <w:t xml:space="preserve"> de </w:t>
      </w:r>
      <w:r w:rsidR="005D07BB">
        <w:rPr>
          <w:rFonts w:ascii="Arial" w:hAnsi="Arial" w:cs="Arial"/>
          <w:sz w:val="18"/>
          <w:szCs w:val="18"/>
        </w:rPr>
        <w:t>junio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7AED9"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206ED"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723CBC">
      <w:headerReference w:type="even" r:id="rId26"/>
      <w:headerReference w:type="default" r:id="rId27"/>
      <w:footerReference w:type="even" r:id="rId28"/>
      <w:footerReference w:type="default" r:id="rId29"/>
      <w:pgSz w:w="15840" w:h="12240" w:orient="landscape"/>
      <w:pgMar w:top="1440" w:right="123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4B" w:rsidRDefault="004A5D4B" w:rsidP="00EA5418">
      <w:pPr>
        <w:spacing w:after="0" w:line="240" w:lineRule="auto"/>
      </w:pPr>
      <w:r>
        <w:separator/>
      </w:r>
    </w:p>
  </w:endnote>
  <w:endnote w:type="continuationSeparator" w:id="0">
    <w:p w:rsidR="004A5D4B" w:rsidRDefault="004A5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CAE6B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95783" w:rsidRPr="00595783">
          <w:rPr>
            <w:rFonts w:ascii="Soberana Sans Light" w:hAnsi="Soberana Sans Light"/>
            <w:noProof/>
            <w:lang w:val="es-ES"/>
          </w:rPr>
          <w:t>20</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8AB3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95783" w:rsidRPr="00595783">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4B" w:rsidRDefault="004A5D4B" w:rsidP="00EA5418">
      <w:pPr>
        <w:spacing w:after="0" w:line="240" w:lineRule="auto"/>
      </w:pPr>
      <w:r>
        <w:separator/>
      </w:r>
    </w:p>
  </w:footnote>
  <w:footnote w:type="continuationSeparator" w:id="0">
    <w:p w:rsidR="004A5D4B" w:rsidRDefault="004A5D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jurlbS3eRvuoCxx6DmuB/Zh/aZ8N/tbfB/TvHHhMah/YeqSSxwfbYfJmz&#10;G5Rsrk4+ZT3qeZX5eplKtTVRUm/eabS6tK138rr7z0KiiiqN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Df2xvLKWJW2mRCuT2yMV4v8A8E9P2Srr9iX9lvQ/h3fa1b+I&#10;LjR5rmU3sNubdJPNmaTGwsxGN2Ote3UUeZ3U8yxFPB1MBF/u6koSkrLWUFNRd91ZTlotHfXZBRRR&#10;Qc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LG9v71G9v71J&#10;j2ox7UGY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G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n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7F545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6623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380D"/>
    <w:rsid w:val="00020829"/>
    <w:rsid w:val="00021359"/>
    <w:rsid w:val="00031663"/>
    <w:rsid w:val="00031B24"/>
    <w:rsid w:val="00040466"/>
    <w:rsid w:val="00041C5E"/>
    <w:rsid w:val="00045A10"/>
    <w:rsid w:val="000473FD"/>
    <w:rsid w:val="00047EA5"/>
    <w:rsid w:val="00050077"/>
    <w:rsid w:val="00052384"/>
    <w:rsid w:val="00057159"/>
    <w:rsid w:val="0005777E"/>
    <w:rsid w:val="000639C3"/>
    <w:rsid w:val="00066038"/>
    <w:rsid w:val="00066BB7"/>
    <w:rsid w:val="000733B6"/>
    <w:rsid w:val="00073B6A"/>
    <w:rsid w:val="00094DFC"/>
    <w:rsid w:val="00095904"/>
    <w:rsid w:val="000A148C"/>
    <w:rsid w:val="000A2655"/>
    <w:rsid w:val="000A266E"/>
    <w:rsid w:val="000A2C9A"/>
    <w:rsid w:val="000A3032"/>
    <w:rsid w:val="000A41BB"/>
    <w:rsid w:val="000A6F34"/>
    <w:rsid w:val="000B2F78"/>
    <w:rsid w:val="000C261B"/>
    <w:rsid w:val="000C5990"/>
    <w:rsid w:val="000C7483"/>
    <w:rsid w:val="000C74ED"/>
    <w:rsid w:val="000C79A2"/>
    <w:rsid w:val="000D0A95"/>
    <w:rsid w:val="000D4668"/>
    <w:rsid w:val="000D5C9A"/>
    <w:rsid w:val="000E143A"/>
    <w:rsid w:val="000E6452"/>
    <w:rsid w:val="000F38B4"/>
    <w:rsid w:val="000F464C"/>
    <w:rsid w:val="000F7B0E"/>
    <w:rsid w:val="00100648"/>
    <w:rsid w:val="00101476"/>
    <w:rsid w:val="00104DDE"/>
    <w:rsid w:val="0011098D"/>
    <w:rsid w:val="0013011C"/>
    <w:rsid w:val="00140819"/>
    <w:rsid w:val="0014557A"/>
    <w:rsid w:val="001459C9"/>
    <w:rsid w:val="001468FC"/>
    <w:rsid w:val="001542E0"/>
    <w:rsid w:val="00155F63"/>
    <w:rsid w:val="00160E1E"/>
    <w:rsid w:val="001644CA"/>
    <w:rsid w:val="00165BB4"/>
    <w:rsid w:val="001707E2"/>
    <w:rsid w:val="001718C3"/>
    <w:rsid w:val="00172E6B"/>
    <w:rsid w:val="00183C9A"/>
    <w:rsid w:val="00185057"/>
    <w:rsid w:val="00187B94"/>
    <w:rsid w:val="00187DC3"/>
    <w:rsid w:val="00191005"/>
    <w:rsid w:val="00192EFD"/>
    <w:rsid w:val="00196B37"/>
    <w:rsid w:val="00197E12"/>
    <w:rsid w:val="001B1734"/>
    <w:rsid w:val="001B1B72"/>
    <w:rsid w:val="001B2E97"/>
    <w:rsid w:val="001B344D"/>
    <w:rsid w:val="001B3B5A"/>
    <w:rsid w:val="001B4C3B"/>
    <w:rsid w:val="001B60EF"/>
    <w:rsid w:val="001C403F"/>
    <w:rsid w:val="001C41CB"/>
    <w:rsid w:val="001C604C"/>
    <w:rsid w:val="001C6FD8"/>
    <w:rsid w:val="001D0B94"/>
    <w:rsid w:val="001D294F"/>
    <w:rsid w:val="001D4C79"/>
    <w:rsid w:val="001D4DD2"/>
    <w:rsid w:val="001D64BB"/>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7202F"/>
    <w:rsid w:val="00274A1C"/>
    <w:rsid w:val="00276654"/>
    <w:rsid w:val="00277404"/>
    <w:rsid w:val="00281DF1"/>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3189"/>
    <w:rsid w:val="0034464C"/>
    <w:rsid w:val="003465BC"/>
    <w:rsid w:val="003471B4"/>
    <w:rsid w:val="00350990"/>
    <w:rsid w:val="00351CBA"/>
    <w:rsid w:val="00354B3D"/>
    <w:rsid w:val="00356C0F"/>
    <w:rsid w:val="003639B7"/>
    <w:rsid w:val="00371285"/>
    <w:rsid w:val="0037150E"/>
    <w:rsid w:val="00372F40"/>
    <w:rsid w:val="003747C0"/>
    <w:rsid w:val="00380851"/>
    <w:rsid w:val="00383C22"/>
    <w:rsid w:val="00384E21"/>
    <w:rsid w:val="0038520B"/>
    <w:rsid w:val="003853D3"/>
    <w:rsid w:val="00386103"/>
    <w:rsid w:val="00396960"/>
    <w:rsid w:val="00396B1A"/>
    <w:rsid w:val="00396C2B"/>
    <w:rsid w:val="003A024C"/>
    <w:rsid w:val="003A0303"/>
    <w:rsid w:val="003B1216"/>
    <w:rsid w:val="003C1741"/>
    <w:rsid w:val="003C28AD"/>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6902"/>
    <w:rsid w:val="004311BE"/>
    <w:rsid w:val="0043166A"/>
    <w:rsid w:val="00433B5F"/>
    <w:rsid w:val="004349FC"/>
    <w:rsid w:val="00435FC1"/>
    <w:rsid w:val="004362CA"/>
    <w:rsid w:val="004372F6"/>
    <w:rsid w:val="0044253C"/>
    <w:rsid w:val="00442890"/>
    <w:rsid w:val="0044414E"/>
    <w:rsid w:val="00444333"/>
    <w:rsid w:val="00444366"/>
    <w:rsid w:val="0045035D"/>
    <w:rsid w:val="00451107"/>
    <w:rsid w:val="0045436B"/>
    <w:rsid w:val="004618CF"/>
    <w:rsid w:val="00461C88"/>
    <w:rsid w:val="00461E34"/>
    <w:rsid w:val="00462684"/>
    <w:rsid w:val="004631BD"/>
    <w:rsid w:val="0047014A"/>
    <w:rsid w:val="004714CF"/>
    <w:rsid w:val="004735BA"/>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6F54"/>
    <w:rsid w:val="004D1BA4"/>
    <w:rsid w:val="004D41B8"/>
    <w:rsid w:val="004D512B"/>
    <w:rsid w:val="004E0576"/>
    <w:rsid w:val="004E25F5"/>
    <w:rsid w:val="004E5022"/>
    <w:rsid w:val="004E79ED"/>
    <w:rsid w:val="004F1DDC"/>
    <w:rsid w:val="004F2CB0"/>
    <w:rsid w:val="004F3657"/>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BE2"/>
    <w:rsid w:val="005854A5"/>
    <w:rsid w:val="00590487"/>
    <w:rsid w:val="005917DB"/>
    <w:rsid w:val="00592ACD"/>
    <w:rsid w:val="00595783"/>
    <w:rsid w:val="00597BFC"/>
    <w:rsid w:val="005A38C0"/>
    <w:rsid w:val="005B7795"/>
    <w:rsid w:val="005D07BB"/>
    <w:rsid w:val="005D0EFB"/>
    <w:rsid w:val="005D261A"/>
    <w:rsid w:val="005D2D96"/>
    <w:rsid w:val="005D3D25"/>
    <w:rsid w:val="005D6E49"/>
    <w:rsid w:val="005E0592"/>
    <w:rsid w:val="005E3482"/>
    <w:rsid w:val="005E3C55"/>
    <w:rsid w:val="005E5BEF"/>
    <w:rsid w:val="005E610B"/>
    <w:rsid w:val="005F4FD6"/>
    <w:rsid w:val="006001E4"/>
    <w:rsid w:val="00600EA2"/>
    <w:rsid w:val="00607FD2"/>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49B3"/>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465B"/>
    <w:rsid w:val="00754F68"/>
    <w:rsid w:val="007578DC"/>
    <w:rsid w:val="007620C9"/>
    <w:rsid w:val="007634A2"/>
    <w:rsid w:val="007651B7"/>
    <w:rsid w:val="007702E8"/>
    <w:rsid w:val="00771578"/>
    <w:rsid w:val="00771E65"/>
    <w:rsid w:val="00772AB1"/>
    <w:rsid w:val="007734AF"/>
    <w:rsid w:val="00773EC7"/>
    <w:rsid w:val="00774A05"/>
    <w:rsid w:val="00775BB3"/>
    <w:rsid w:val="00783986"/>
    <w:rsid w:val="00787B5E"/>
    <w:rsid w:val="007955A3"/>
    <w:rsid w:val="0079582C"/>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5DE7"/>
    <w:rsid w:val="008473F1"/>
    <w:rsid w:val="00847F9B"/>
    <w:rsid w:val="0085165B"/>
    <w:rsid w:val="00851B03"/>
    <w:rsid w:val="008560E7"/>
    <w:rsid w:val="0086057B"/>
    <w:rsid w:val="008634C0"/>
    <w:rsid w:val="00871A83"/>
    <w:rsid w:val="00882779"/>
    <w:rsid w:val="0088529A"/>
    <w:rsid w:val="0089054E"/>
    <w:rsid w:val="0089293E"/>
    <w:rsid w:val="00893F9D"/>
    <w:rsid w:val="00894D37"/>
    <w:rsid w:val="00895A28"/>
    <w:rsid w:val="008A0E04"/>
    <w:rsid w:val="008A6E4D"/>
    <w:rsid w:val="008A793D"/>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594B"/>
    <w:rsid w:val="00957043"/>
    <w:rsid w:val="00963AB0"/>
    <w:rsid w:val="009734CE"/>
    <w:rsid w:val="0097445F"/>
    <w:rsid w:val="00976C07"/>
    <w:rsid w:val="009A1EA8"/>
    <w:rsid w:val="009C2799"/>
    <w:rsid w:val="009C354F"/>
    <w:rsid w:val="009C4106"/>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0F61"/>
    <w:rsid w:val="00AB28E0"/>
    <w:rsid w:val="00AB3630"/>
    <w:rsid w:val="00AB404D"/>
    <w:rsid w:val="00AB47E6"/>
    <w:rsid w:val="00AB48D8"/>
    <w:rsid w:val="00AB4BEC"/>
    <w:rsid w:val="00AB5634"/>
    <w:rsid w:val="00AC517B"/>
    <w:rsid w:val="00AC5811"/>
    <w:rsid w:val="00AD0FDC"/>
    <w:rsid w:val="00AE6070"/>
    <w:rsid w:val="00AE7987"/>
    <w:rsid w:val="00AF2F54"/>
    <w:rsid w:val="00AF35AC"/>
    <w:rsid w:val="00AF428A"/>
    <w:rsid w:val="00AF61E9"/>
    <w:rsid w:val="00AF6605"/>
    <w:rsid w:val="00AF6A66"/>
    <w:rsid w:val="00AF7008"/>
    <w:rsid w:val="00B0294B"/>
    <w:rsid w:val="00B143AB"/>
    <w:rsid w:val="00B146E2"/>
    <w:rsid w:val="00B16D69"/>
    <w:rsid w:val="00B172CF"/>
    <w:rsid w:val="00B22B5E"/>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7B00"/>
    <w:rsid w:val="00BA2940"/>
    <w:rsid w:val="00BA5BED"/>
    <w:rsid w:val="00BB081E"/>
    <w:rsid w:val="00BB0954"/>
    <w:rsid w:val="00BB538B"/>
    <w:rsid w:val="00BC107C"/>
    <w:rsid w:val="00BC2554"/>
    <w:rsid w:val="00BC3EA5"/>
    <w:rsid w:val="00BC617A"/>
    <w:rsid w:val="00BC78FC"/>
    <w:rsid w:val="00BD18FE"/>
    <w:rsid w:val="00BD3EBE"/>
    <w:rsid w:val="00BD5769"/>
    <w:rsid w:val="00BD6E3E"/>
    <w:rsid w:val="00BE000C"/>
    <w:rsid w:val="00BE02D4"/>
    <w:rsid w:val="00BE05ED"/>
    <w:rsid w:val="00BE0605"/>
    <w:rsid w:val="00BE326D"/>
    <w:rsid w:val="00BE3400"/>
    <w:rsid w:val="00BE370C"/>
    <w:rsid w:val="00BE626E"/>
    <w:rsid w:val="00BF3910"/>
    <w:rsid w:val="00C01699"/>
    <w:rsid w:val="00C0715E"/>
    <w:rsid w:val="00C077DC"/>
    <w:rsid w:val="00C11331"/>
    <w:rsid w:val="00C16E53"/>
    <w:rsid w:val="00C16FC2"/>
    <w:rsid w:val="00C20476"/>
    <w:rsid w:val="00C23ADB"/>
    <w:rsid w:val="00C31D7B"/>
    <w:rsid w:val="00C31D98"/>
    <w:rsid w:val="00C36B39"/>
    <w:rsid w:val="00C42211"/>
    <w:rsid w:val="00C42A49"/>
    <w:rsid w:val="00C431B4"/>
    <w:rsid w:val="00C4470E"/>
    <w:rsid w:val="00C448D7"/>
    <w:rsid w:val="00C44B91"/>
    <w:rsid w:val="00C473B3"/>
    <w:rsid w:val="00C50E63"/>
    <w:rsid w:val="00C53526"/>
    <w:rsid w:val="00C55CB4"/>
    <w:rsid w:val="00C56AC7"/>
    <w:rsid w:val="00C6073B"/>
    <w:rsid w:val="00C63CC0"/>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604B"/>
    <w:rsid w:val="00CB7331"/>
    <w:rsid w:val="00CC30CA"/>
    <w:rsid w:val="00CC6B68"/>
    <w:rsid w:val="00CC7CAF"/>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CFC"/>
    <w:rsid w:val="00D07BAF"/>
    <w:rsid w:val="00D1057C"/>
    <w:rsid w:val="00D12789"/>
    <w:rsid w:val="00D141C1"/>
    <w:rsid w:val="00D170DB"/>
    <w:rsid w:val="00D17B14"/>
    <w:rsid w:val="00D209BD"/>
    <w:rsid w:val="00D21A5E"/>
    <w:rsid w:val="00D231F2"/>
    <w:rsid w:val="00D25BD0"/>
    <w:rsid w:val="00D26A33"/>
    <w:rsid w:val="00D35A16"/>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3C24"/>
    <w:rsid w:val="00E04FCA"/>
    <w:rsid w:val="00E071BE"/>
    <w:rsid w:val="00E07469"/>
    <w:rsid w:val="00E125D5"/>
    <w:rsid w:val="00E12B9D"/>
    <w:rsid w:val="00E12BCF"/>
    <w:rsid w:val="00E170A8"/>
    <w:rsid w:val="00E171EB"/>
    <w:rsid w:val="00E22AD9"/>
    <w:rsid w:val="00E23C2C"/>
    <w:rsid w:val="00E23FA1"/>
    <w:rsid w:val="00E27373"/>
    <w:rsid w:val="00E30318"/>
    <w:rsid w:val="00E3042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9724C"/>
    <w:rsid w:val="00EA1728"/>
    <w:rsid w:val="00EA1E45"/>
    <w:rsid w:val="00EA5418"/>
    <w:rsid w:val="00EB2405"/>
    <w:rsid w:val="00EC11C5"/>
    <w:rsid w:val="00EC3208"/>
    <w:rsid w:val="00EC51F1"/>
    <w:rsid w:val="00EC5CB1"/>
    <w:rsid w:val="00EC6D85"/>
    <w:rsid w:val="00EC6D93"/>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46D7"/>
    <w:rsid w:val="00F357DC"/>
    <w:rsid w:val="00F3620F"/>
    <w:rsid w:val="00F3632C"/>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84EAD"/>
    <w:rsid w:val="00F93E52"/>
    <w:rsid w:val="00F9425A"/>
    <w:rsid w:val="00F9680C"/>
    <w:rsid w:val="00F97099"/>
    <w:rsid w:val="00FA004F"/>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B31287"/>
  <w15:docId w15:val="{AFAE00C4-CDED-4558-ABC0-44EBB2E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F731-D04F-46D8-ADE5-CEC086EE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2443</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6</cp:revision>
  <cp:lastPrinted>2019-10-14T18:26:00Z</cp:lastPrinted>
  <dcterms:created xsi:type="dcterms:W3CDTF">2019-10-08T18:55:00Z</dcterms:created>
  <dcterms:modified xsi:type="dcterms:W3CDTF">2019-10-14T18:55:00Z</dcterms:modified>
</cp:coreProperties>
</file>