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38695F"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50.75pt" o:ole="">
            <v:imagedata r:id="rId8" o:title=""/>
          </v:shape>
          <o:OLEObject Type="Embed" ProgID="Excel.Sheet.12" ShapeID="_x0000_i1025" DrawAspect="Content" ObjectID="_1649146720" r:id="rId9"/>
        </w:object>
      </w:r>
    </w:p>
    <w:p w:rsidR="009B64AA" w:rsidRDefault="00EC59B1" w:rsidP="003D5DBF">
      <w:pPr>
        <w:jc w:val="center"/>
      </w:pPr>
      <w:bookmarkStart w:id="1" w:name="_GoBack"/>
      <w:bookmarkEnd w:id="1"/>
      <w:r>
        <w:rPr>
          <w:noProof/>
        </w:rPr>
        <w:lastRenderedPageBreak/>
        <w:object w:dxaOrig="1440" w:dyaOrig="1440">
          <v:shape id="_x0000_s1056" type="#_x0000_t75" style="position:absolute;left:0;text-align:left;margin-left:-4.7pt;margin-top:25.45pt;width:726.45pt;height:385pt;z-index:251670528;mso-position-horizontal-relative:text;mso-position-vertical-relative:text">
            <v:imagedata r:id="rId10" o:title=""/>
            <w10:wrap type="square" side="right"/>
          </v:shape>
          <o:OLEObject Type="Embed" ProgID="Excel.Sheet.12" ShapeID="_x0000_s1056" DrawAspect="Content" ObjectID="_1649146725" r:id="rId11"/>
        </w:object>
      </w:r>
    </w:p>
    <w:p w:rsidR="00EA5418" w:rsidRDefault="00EA5418" w:rsidP="001F0C04">
      <w:pPr>
        <w:jc w:val="center"/>
      </w:pPr>
    </w:p>
    <w:bookmarkStart w:id="2" w:name="_MON_1470806992"/>
    <w:bookmarkEnd w:id="2"/>
    <w:p w:rsidR="00372F40" w:rsidRDefault="002E4A3B" w:rsidP="003E7FD0">
      <w:pPr>
        <w:jc w:val="center"/>
      </w:pPr>
      <w:r>
        <w:object w:dxaOrig="21537" w:dyaOrig="15990">
          <v:shape id="_x0000_i1026" type="#_x0000_t75" style="width:684pt;height:468.75pt" o:ole="">
            <v:imagedata r:id="rId12" o:title=""/>
          </v:shape>
          <o:OLEObject Type="Embed" ProgID="Excel.Sheet.12" ShapeID="_x0000_i1026" DrawAspect="Content" ObjectID="_1649146721" r:id="rId13"/>
        </w:object>
      </w:r>
    </w:p>
    <w:p w:rsidR="00372F40" w:rsidRDefault="00EC59B1" w:rsidP="007769DF">
      <w:r>
        <w:rPr>
          <w:noProof/>
        </w:rPr>
        <w:lastRenderedPageBreak/>
        <w:object w:dxaOrig="1440" w:dyaOrig="1440">
          <v:shape id="_x0000_s1071" type="#_x0000_t75" style="position:absolute;margin-left:0;margin-top:0;width:690.5pt;height:478.1pt;z-index:251683840;mso-position-horizontal:absolute;mso-position-horizontal-relative:text;mso-position-vertical-relative:text">
            <v:imagedata r:id="rId14" o:title=""/>
            <w10:wrap type="square" side="right"/>
          </v:shape>
          <o:OLEObject Type="Embed" ProgID="Excel.Sheet.12" ShapeID="_x0000_s1071" DrawAspect="Content" ObjectID="_1649146726" r:id="rId15"/>
        </w:object>
      </w:r>
      <w:r w:rsidR="000B54AD">
        <w:br w:type="textWrapping" w:clear="all"/>
      </w:r>
      <w:bookmarkStart w:id="3" w:name="_MON_1470809138"/>
      <w:bookmarkEnd w:id="3"/>
      <w:r w:rsidR="002E4A3B">
        <w:object w:dxaOrig="17470" w:dyaOrig="12829">
          <v:shape id="_x0000_i1027" type="#_x0000_t75" style="width:673.5pt;height:453pt" o:ole="">
            <v:imagedata r:id="rId16" o:title=""/>
          </v:shape>
          <o:OLEObject Type="Embed" ProgID="Excel.Sheet.12" ShapeID="_x0000_i1027" DrawAspect="Content" ObjectID="_1649146722" r:id="rId17"/>
        </w:object>
      </w:r>
    </w:p>
    <w:p w:rsidR="00E32708" w:rsidRDefault="00EC59B1" w:rsidP="00927BA4">
      <w:pPr>
        <w:tabs>
          <w:tab w:val="left" w:pos="2430"/>
        </w:tabs>
      </w:pPr>
      <w:r>
        <w:rPr>
          <w:noProof/>
        </w:rPr>
        <w:lastRenderedPageBreak/>
        <w:object w:dxaOrig="1440" w:dyaOrig="1440">
          <v:shape id="_x0000_s1064" type="#_x0000_t75" style="position:absolute;margin-left:.15pt;margin-top:.25pt;width:700.2pt;height:427.05pt;z-index:251679744;mso-position-horizontal:absolute;mso-position-horizontal-relative:text;mso-position-vertical-relative:text">
            <v:imagedata r:id="rId18" o:title=""/>
            <w10:wrap type="square" side="right"/>
          </v:shape>
          <o:OLEObject Type="Embed" ProgID="Excel.Sheet.12" ShapeID="_x0000_s1064" DrawAspect="Content" ObjectID="_1649146727" r:id="rId19"/>
        </w:object>
      </w:r>
      <w:r w:rsidR="00DE2F50">
        <w:br w:type="textWrapping" w:clear="all"/>
      </w:r>
      <w:bookmarkStart w:id="4" w:name="_MON_1470810366"/>
      <w:bookmarkEnd w:id="4"/>
      <w:r w:rsidR="00C706E0">
        <w:object w:dxaOrig="25362" w:dyaOrig="17222">
          <v:shape id="_x0000_i1028" type="#_x0000_t75" style="width:675pt;height:459pt" o:ole="">
            <v:imagedata r:id="rId20" o:title=""/>
          </v:shape>
          <o:OLEObject Type="Embed" ProgID="Excel.Sheet.12" ShapeID="_x0000_i1028" DrawAspect="Content" ObjectID="_1649146723"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496633">
        <w:rPr>
          <w:rFonts w:ascii="Arial" w:hAnsi="Arial" w:cs="Arial"/>
          <w:sz w:val="18"/>
          <w:szCs w:val="18"/>
        </w:rPr>
        <w:t>Marzo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496633">
        <w:rPr>
          <w:rFonts w:ascii="Arial" w:hAnsi="Arial" w:cs="Arial"/>
          <w:sz w:val="18"/>
          <w:szCs w:val="18"/>
        </w:rPr>
        <w:t>4</w:t>
      </w:r>
      <w:r>
        <w:rPr>
          <w:rFonts w:ascii="Arial" w:hAnsi="Arial" w:cs="Arial"/>
          <w:sz w:val="18"/>
          <w:szCs w:val="18"/>
        </w:rPr>
        <w:t>,</w:t>
      </w:r>
      <w:r w:rsidR="00496633">
        <w:rPr>
          <w:rFonts w:ascii="Arial" w:hAnsi="Arial" w:cs="Arial"/>
          <w:sz w:val="18"/>
          <w:szCs w:val="18"/>
        </w:rPr>
        <w:t>542</w:t>
      </w:r>
      <w:r>
        <w:rPr>
          <w:rFonts w:ascii="Arial" w:hAnsi="Arial" w:cs="Arial"/>
          <w:sz w:val="18"/>
          <w:szCs w:val="18"/>
        </w:rPr>
        <w:t>,</w:t>
      </w:r>
      <w:r w:rsidR="00496633">
        <w:rPr>
          <w:rFonts w:ascii="Arial" w:hAnsi="Arial" w:cs="Arial"/>
          <w:sz w:val="18"/>
          <w:szCs w:val="18"/>
        </w:rPr>
        <w:t>508</w:t>
      </w:r>
      <w:r>
        <w:rPr>
          <w:rFonts w:ascii="Arial" w:hAnsi="Arial" w:cs="Arial"/>
          <w:sz w:val="18"/>
          <w:szCs w:val="18"/>
        </w:rPr>
        <w:t>,</w:t>
      </w:r>
      <w:r w:rsidR="00496633">
        <w:rPr>
          <w:rFonts w:ascii="Arial" w:hAnsi="Arial" w:cs="Arial"/>
          <w:sz w:val="18"/>
          <w:szCs w:val="18"/>
        </w:rPr>
        <w:t>105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496633">
        <w:rPr>
          <w:rFonts w:ascii="Arial" w:hAnsi="Arial" w:cs="Arial"/>
          <w:sz w:val="18"/>
          <w:szCs w:val="18"/>
        </w:rPr>
        <w:t>Primer</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496633">
        <w:rPr>
          <w:rFonts w:ascii="Arial" w:hAnsi="Arial" w:cs="Arial"/>
          <w:sz w:val="18"/>
          <w:szCs w:val="18"/>
        </w:rPr>
        <w:t>128</w:t>
      </w:r>
      <w:proofErr w:type="gramStart"/>
      <w:r>
        <w:rPr>
          <w:rFonts w:ascii="Arial" w:hAnsi="Arial" w:cs="Arial"/>
          <w:sz w:val="18"/>
          <w:szCs w:val="18"/>
        </w:rPr>
        <w:t>,</w:t>
      </w:r>
      <w:r w:rsidR="00496633">
        <w:rPr>
          <w:rFonts w:ascii="Arial" w:hAnsi="Arial" w:cs="Arial"/>
          <w:sz w:val="18"/>
          <w:szCs w:val="18"/>
        </w:rPr>
        <w:t>031</w:t>
      </w:r>
      <w:r>
        <w:rPr>
          <w:rFonts w:ascii="Arial" w:hAnsi="Arial" w:cs="Arial"/>
          <w:sz w:val="18"/>
          <w:szCs w:val="18"/>
        </w:rPr>
        <w:t>,</w:t>
      </w:r>
      <w:r w:rsidR="008F4733">
        <w:rPr>
          <w:rFonts w:ascii="Arial" w:hAnsi="Arial" w:cs="Arial"/>
          <w:sz w:val="18"/>
          <w:szCs w:val="18"/>
        </w:rPr>
        <w:t>680</w:t>
      </w:r>
      <w:proofErr w:type="gramEnd"/>
      <w:r w:rsidRPr="0073056A">
        <w:rPr>
          <w:rFonts w:ascii="Arial" w:hAnsi="Arial" w:cs="Arial"/>
          <w:sz w:val="18"/>
          <w:szCs w:val="18"/>
        </w:rPr>
        <w:t xml:space="preserve"> que se tiene al cierre del </w:t>
      </w:r>
      <w:r w:rsidR="008F4733">
        <w:rPr>
          <w:rFonts w:ascii="Arial" w:hAnsi="Arial" w:cs="Arial"/>
          <w:sz w:val="18"/>
          <w:szCs w:val="18"/>
        </w:rPr>
        <w:t xml:space="preserve">primer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8F4733">
        <w:rPr>
          <w:rFonts w:ascii="Arial" w:hAnsi="Arial" w:cs="Arial"/>
          <w:sz w:val="18"/>
          <w:szCs w:val="18"/>
        </w:rPr>
        <w:t xml:space="preserve">primer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58542E">
        <w:rPr>
          <w:rFonts w:ascii="Arial" w:hAnsi="Arial" w:cs="Arial"/>
          <w:sz w:val="18"/>
          <w:szCs w:val="18"/>
        </w:rPr>
        <w:t xml:space="preserve">primer trimestre del </w:t>
      </w:r>
      <w:r>
        <w:rPr>
          <w:rFonts w:ascii="Arial" w:hAnsi="Arial" w:cs="Arial"/>
          <w:sz w:val="18"/>
          <w:szCs w:val="18"/>
        </w:rPr>
        <w:t>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proofErr w:type="gramStart"/>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proofErr w:type="gramEnd"/>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58542E">
        <w:rPr>
          <w:rFonts w:ascii="Arial" w:hAnsi="Arial" w:cs="Arial"/>
          <w:sz w:val="18"/>
          <w:szCs w:val="18"/>
        </w:rPr>
        <w:t xml:space="preserve">primer trimestre del </w:t>
      </w:r>
      <w:r>
        <w:rPr>
          <w:rFonts w:ascii="Arial" w:hAnsi="Arial" w:cs="Arial"/>
          <w:sz w:val="18"/>
          <w:szCs w:val="18"/>
        </w:rPr>
        <w:t>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proofErr w:type="gramStart"/>
      <w:r>
        <w:rPr>
          <w:rFonts w:ascii="Arial" w:hAnsi="Arial" w:cs="Arial"/>
          <w:sz w:val="18"/>
          <w:szCs w:val="18"/>
        </w:rPr>
        <w:t>,</w:t>
      </w:r>
      <w:r w:rsidR="001769D8">
        <w:rPr>
          <w:rFonts w:ascii="Arial" w:hAnsi="Arial" w:cs="Arial"/>
          <w:sz w:val="18"/>
          <w:szCs w:val="18"/>
        </w:rPr>
        <w:t>58</w:t>
      </w:r>
      <w:r w:rsidR="0058542E">
        <w:rPr>
          <w:rFonts w:ascii="Arial" w:hAnsi="Arial" w:cs="Arial"/>
          <w:sz w:val="18"/>
          <w:szCs w:val="18"/>
        </w:rPr>
        <w:t>8</w:t>
      </w:r>
      <w:r>
        <w:rPr>
          <w:rFonts w:ascii="Arial" w:hAnsi="Arial" w:cs="Arial"/>
          <w:sz w:val="18"/>
          <w:szCs w:val="18"/>
        </w:rPr>
        <w:t>,</w:t>
      </w:r>
      <w:r w:rsidR="001435CE">
        <w:rPr>
          <w:rFonts w:ascii="Arial" w:hAnsi="Arial" w:cs="Arial"/>
          <w:sz w:val="18"/>
          <w:szCs w:val="18"/>
        </w:rPr>
        <w:t>6</w:t>
      </w:r>
      <w:r w:rsidR="0058542E">
        <w:rPr>
          <w:rFonts w:ascii="Arial" w:hAnsi="Arial" w:cs="Arial"/>
          <w:sz w:val="18"/>
          <w:szCs w:val="18"/>
        </w:rPr>
        <w:t>11</w:t>
      </w:r>
      <w:r>
        <w:rPr>
          <w:rFonts w:ascii="Arial" w:hAnsi="Arial" w:cs="Arial"/>
          <w:sz w:val="18"/>
          <w:szCs w:val="18"/>
        </w:rPr>
        <w:t>,</w:t>
      </w:r>
      <w:r w:rsidR="0058542E">
        <w:rPr>
          <w:rFonts w:ascii="Arial" w:hAnsi="Arial" w:cs="Arial"/>
          <w:sz w:val="18"/>
          <w:szCs w:val="18"/>
        </w:rPr>
        <w:t>506</w:t>
      </w:r>
      <w:proofErr w:type="gramEnd"/>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1435CE">
        <w:rPr>
          <w:rFonts w:ascii="Arial" w:hAnsi="Arial" w:cs="Arial"/>
          <w:sz w:val="18"/>
          <w:szCs w:val="18"/>
        </w:rPr>
        <w:t>6</w:t>
      </w:r>
      <w:r w:rsidR="0058542E">
        <w:rPr>
          <w:rFonts w:ascii="Arial" w:hAnsi="Arial" w:cs="Arial"/>
          <w:sz w:val="18"/>
          <w:szCs w:val="18"/>
        </w:rPr>
        <w:t>54</w:t>
      </w:r>
      <w:r w:rsidRPr="00F619D6">
        <w:rPr>
          <w:rFonts w:ascii="Arial" w:hAnsi="Arial" w:cs="Arial"/>
          <w:sz w:val="18"/>
          <w:szCs w:val="18"/>
        </w:rPr>
        <w:t>,</w:t>
      </w:r>
      <w:r w:rsidR="001435CE">
        <w:rPr>
          <w:rFonts w:ascii="Arial" w:hAnsi="Arial" w:cs="Arial"/>
          <w:sz w:val="18"/>
          <w:szCs w:val="18"/>
        </w:rPr>
        <w:t>5</w:t>
      </w:r>
      <w:r w:rsidR="0058542E">
        <w:rPr>
          <w:rFonts w:ascii="Arial" w:hAnsi="Arial" w:cs="Arial"/>
          <w:sz w:val="18"/>
          <w:szCs w:val="18"/>
        </w:rPr>
        <w:t>1</w:t>
      </w:r>
      <w:r w:rsidR="001435CE">
        <w:rPr>
          <w:rFonts w:ascii="Arial" w:hAnsi="Arial" w:cs="Arial"/>
          <w:sz w:val="18"/>
          <w:szCs w:val="18"/>
        </w:rPr>
        <w:t>7</w:t>
      </w:r>
      <w:r w:rsidRPr="00F619D6">
        <w:rPr>
          <w:rFonts w:ascii="Arial" w:hAnsi="Arial" w:cs="Arial"/>
          <w:sz w:val="18"/>
          <w:szCs w:val="18"/>
        </w:rPr>
        <w:t>,</w:t>
      </w:r>
      <w:r w:rsidR="0058542E">
        <w:rPr>
          <w:rFonts w:ascii="Arial" w:hAnsi="Arial" w:cs="Arial"/>
          <w:sz w:val="18"/>
          <w:szCs w:val="18"/>
        </w:rPr>
        <w:t>627</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93</w:t>
      </w:r>
      <w:proofErr w:type="gramStart"/>
      <w:r>
        <w:rPr>
          <w:rFonts w:ascii="Arial" w:hAnsi="Arial" w:cs="Arial"/>
          <w:sz w:val="18"/>
          <w:szCs w:val="18"/>
        </w:rPr>
        <w:t>,</w:t>
      </w:r>
      <w:r w:rsidR="001435CE">
        <w:rPr>
          <w:rFonts w:ascii="Arial" w:hAnsi="Arial" w:cs="Arial"/>
          <w:sz w:val="18"/>
          <w:szCs w:val="18"/>
        </w:rPr>
        <w:t>978</w:t>
      </w:r>
      <w:r>
        <w:rPr>
          <w:rFonts w:ascii="Arial" w:hAnsi="Arial" w:cs="Arial"/>
          <w:sz w:val="18"/>
          <w:szCs w:val="18"/>
        </w:rPr>
        <w:t>,</w:t>
      </w:r>
      <w:r w:rsidR="001435CE">
        <w:rPr>
          <w:rFonts w:ascii="Arial" w:hAnsi="Arial" w:cs="Arial"/>
          <w:sz w:val="18"/>
          <w:szCs w:val="18"/>
        </w:rPr>
        <w:t>850</w:t>
      </w:r>
      <w:proofErr w:type="gramEnd"/>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w:t>
      </w:r>
      <w:proofErr w:type="gramStart"/>
      <w:r w:rsidRPr="00FB6E0E">
        <w:rPr>
          <w:rFonts w:ascii="Arial" w:hAnsi="Arial" w:cs="Arial"/>
          <w:sz w:val="18"/>
          <w:szCs w:val="18"/>
        </w:rPr>
        <w:t>,805,338</w:t>
      </w:r>
      <w:proofErr w:type="gramEnd"/>
      <w:r w:rsidRPr="00FB6E0E">
        <w:rPr>
          <w:rFonts w:ascii="Arial" w:hAnsi="Arial" w:cs="Arial"/>
          <w:sz w:val="18"/>
          <w:szCs w:val="18"/>
        </w:rPr>
        <w:t xml:space="preserve">.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111884">
        <w:rPr>
          <w:rFonts w:ascii="Arial" w:hAnsi="Arial" w:cs="Arial"/>
          <w:sz w:val="18"/>
          <w:szCs w:val="18"/>
        </w:rPr>
        <w:t>marzo</w:t>
      </w:r>
      <w:r>
        <w:rPr>
          <w:rFonts w:ascii="Arial" w:hAnsi="Arial" w:cs="Arial"/>
          <w:sz w:val="18"/>
          <w:szCs w:val="18"/>
        </w:rPr>
        <w:t xml:space="preserve"> 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556DC7">
        <w:rPr>
          <w:rFonts w:ascii="Arial" w:hAnsi="Arial" w:cs="Arial"/>
          <w:sz w:val="18"/>
          <w:szCs w:val="18"/>
        </w:rPr>
        <w:t>3</w:t>
      </w:r>
      <w:proofErr w:type="gramStart"/>
      <w:r>
        <w:rPr>
          <w:rFonts w:ascii="Arial" w:hAnsi="Arial" w:cs="Arial"/>
          <w:sz w:val="18"/>
          <w:szCs w:val="18"/>
        </w:rPr>
        <w:t>,</w:t>
      </w:r>
      <w:r w:rsidR="00111884">
        <w:rPr>
          <w:rFonts w:ascii="Arial" w:hAnsi="Arial" w:cs="Arial"/>
          <w:sz w:val="18"/>
          <w:szCs w:val="18"/>
        </w:rPr>
        <w:t>524</w:t>
      </w:r>
      <w:r>
        <w:rPr>
          <w:rFonts w:ascii="Arial" w:hAnsi="Arial" w:cs="Arial"/>
          <w:sz w:val="18"/>
          <w:szCs w:val="18"/>
        </w:rPr>
        <w:t>,</w:t>
      </w:r>
      <w:r w:rsidR="00111884">
        <w:rPr>
          <w:rFonts w:ascii="Arial" w:hAnsi="Arial" w:cs="Arial"/>
          <w:sz w:val="18"/>
          <w:szCs w:val="18"/>
        </w:rPr>
        <w:t>509</w:t>
      </w:r>
      <w:r>
        <w:rPr>
          <w:rFonts w:ascii="Arial" w:hAnsi="Arial" w:cs="Arial"/>
          <w:sz w:val="18"/>
          <w:szCs w:val="18"/>
        </w:rPr>
        <w:t>,</w:t>
      </w:r>
      <w:r w:rsidR="00556DC7">
        <w:rPr>
          <w:rFonts w:ascii="Arial" w:hAnsi="Arial" w:cs="Arial"/>
          <w:sz w:val="18"/>
          <w:szCs w:val="18"/>
        </w:rPr>
        <w:t>3</w:t>
      </w:r>
      <w:r w:rsidR="00111884">
        <w:rPr>
          <w:rFonts w:ascii="Arial" w:hAnsi="Arial" w:cs="Arial"/>
          <w:sz w:val="18"/>
          <w:szCs w:val="18"/>
        </w:rPr>
        <w:t>2</w:t>
      </w:r>
      <w:r w:rsidR="00556DC7">
        <w:rPr>
          <w:rFonts w:ascii="Arial" w:hAnsi="Arial" w:cs="Arial"/>
          <w:sz w:val="18"/>
          <w:szCs w:val="18"/>
        </w:rPr>
        <w:t>5</w:t>
      </w:r>
      <w:proofErr w:type="gramEnd"/>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C735F9">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C735F9">
        <w:rPr>
          <w:rFonts w:ascii="Arial" w:hAnsi="Arial" w:cs="Arial"/>
          <w:sz w:val="18"/>
          <w:szCs w:val="18"/>
        </w:rPr>
        <w:t>5</w:t>
      </w:r>
      <w:r>
        <w:rPr>
          <w:rFonts w:ascii="Arial" w:hAnsi="Arial" w:cs="Arial"/>
          <w:sz w:val="18"/>
          <w:szCs w:val="18"/>
        </w:rPr>
        <w:t>,</w:t>
      </w:r>
      <w:r w:rsidR="00C735F9">
        <w:rPr>
          <w:rFonts w:ascii="Arial" w:hAnsi="Arial" w:cs="Arial"/>
          <w:sz w:val="18"/>
          <w:szCs w:val="18"/>
        </w:rPr>
        <w:t>699</w:t>
      </w:r>
      <w:r>
        <w:rPr>
          <w:rFonts w:ascii="Arial" w:hAnsi="Arial" w:cs="Arial"/>
          <w:sz w:val="18"/>
          <w:szCs w:val="18"/>
        </w:rPr>
        <w:t>,</w:t>
      </w:r>
      <w:r w:rsidR="00C735F9">
        <w:rPr>
          <w:rFonts w:ascii="Arial" w:hAnsi="Arial" w:cs="Arial"/>
          <w:sz w:val="18"/>
          <w:szCs w:val="18"/>
        </w:rPr>
        <w:t>381</w:t>
      </w:r>
      <w:r>
        <w:rPr>
          <w:rFonts w:ascii="Arial" w:hAnsi="Arial" w:cs="Arial"/>
          <w:sz w:val="18"/>
          <w:szCs w:val="18"/>
        </w:rPr>
        <w:t>,</w:t>
      </w:r>
      <w:r w:rsidR="00C735F9">
        <w:rPr>
          <w:rFonts w:ascii="Arial" w:hAnsi="Arial" w:cs="Arial"/>
          <w:sz w:val="18"/>
          <w:szCs w:val="18"/>
        </w:rPr>
        <w:t>355</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C735F9">
        <w:rPr>
          <w:rFonts w:ascii="Arial" w:hAnsi="Arial" w:cs="Arial"/>
          <w:sz w:val="18"/>
          <w:szCs w:val="18"/>
        </w:rPr>
        <w:t>4</w:t>
      </w:r>
      <w:r>
        <w:rPr>
          <w:rFonts w:ascii="Arial" w:hAnsi="Arial" w:cs="Arial"/>
          <w:sz w:val="18"/>
          <w:szCs w:val="18"/>
        </w:rPr>
        <w:t>,</w:t>
      </w:r>
      <w:r w:rsidR="00C735F9">
        <w:rPr>
          <w:rFonts w:ascii="Arial" w:hAnsi="Arial" w:cs="Arial"/>
          <w:sz w:val="18"/>
          <w:szCs w:val="18"/>
        </w:rPr>
        <w:t>666</w:t>
      </w:r>
      <w:r>
        <w:rPr>
          <w:rFonts w:ascii="Arial" w:hAnsi="Arial" w:cs="Arial"/>
          <w:sz w:val="18"/>
          <w:szCs w:val="18"/>
        </w:rPr>
        <w:t>,</w:t>
      </w:r>
      <w:r w:rsidR="00C735F9">
        <w:rPr>
          <w:rFonts w:ascii="Arial" w:hAnsi="Arial" w:cs="Arial"/>
          <w:sz w:val="18"/>
          <w:szCs w:val="18"/>
        </w:rPr>
        <w:t>591</w:t>
      </w:r>
      <w:r>
        <w:rPr>
          <w:rFonts w:ascii="Arial" w:hAnsi="Arial" w:cs="Arial"/>
          <w:sz w:val="18"/>
          <w:szCs w:val="18"/>
        </w:rPr>
        <w:t>,</w:t>
      </w:r>
      <w:r w:rsidR="00C735F9">
        <w:rPr>
          <w:rFonts w:ascii="Arial" w:hAnsi="Arial" w:cs="Arial"/>
          <w:sz w:val="18"/>
          <w:szCs w:val="18"/>
        </w:rPr>
        <w:t>314</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556DC7">
        <w:rPr>
          <w:rFonts w:ascii="Arial" w:hAnsi="Arial" w:cs="Arial"/>
          <w:sz w:val="18"/>
          <w:szCs w:val="18"/>
        </w:rPr>
        <w:t>1</w:t>
      </w:r>
      <w:r>
        <w:rPr>
          <w:rFonts w:ascii="Arial" w:hAnsi="Arial" w:cs="Arial"/>
          <w:sz w:val="18"/>
          <w:szCs w:val="18"/>
        </w:rPr>
        <w:t>,</w:t>
      </w:r>
      <w:r w:rsidR="00C735F9">
        <w:rPr>
          <w:rFonts w:ascii="Arial" w:hAnsi="Arial" w:cs="Arial"/>
          <w:sz w:val="18"/>
          <w:szCs w:val="18"/>
        </w:rPr>
        <w:t>032</w:t>
      </w:r>
      <w:r>
        <w:rPr>
          <w:rFonts w:ascii="Arial" w:hAnsi="Arial" w:cs="Arial"/>
          <w:sz w:val="18"/>
          <w:szCs w:val="18"/>
        </w:rPr>
        <w:t>,</w:t>
      </w:r>
      <w:r w:rsidR="00C735F9">
        <w:rPr>
          <w:rFonts w:ascii="Arial" w:hAnsi="Arial" w:cs="Arial"/>
          <w:sz w:val="18"/>
          <w:szCs w:val="18"/>
        </w:rPr>
        <w:t>790</w:t>
      </w:r>
      <w:r>
        <w:rPr>
          <w:rFonts w:ascii="Arial" w:hAnsi="Arial" w:cs="Arial"/>
          <w:sz w:val="18"/>
          <w:szCs w:val="18"/>
        </w:rPr>
        <w:t>,</w:t>
      </w:r>
      <w:r w:rsidR="00C735F9">
        <w:rPr>
          <w:rFonts w:ascii="Arial" w:hAnsi="Arial" w:cs="Arial"/>
          <w:sz w:val="18"/>
          <w:szCs w:val="18"/>
        </w:rPr>
        <w:t>041</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C735F9">
        <w:rPr>
          <w:rFonts w:ascii="Arial" w:hAnsi="Arial" w:cs="Arial"/>
          <w:sz w:val="18"/>
          <w:szCs w:val="18"/>
        </w:rPr>
        <w:t>marzo</w:t>
      </w:r>
      <w:r>
        <w:rPr>
          <w:rFonts w:ascii="Arial" w:hAnsi="Arial" w:cs="Arial"/>
          <w:sz w:val="18"/>
          <w:szCs w:val="18"/>
        </w:rPr>
        <w:t xml:space="preserve"> de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C735F9">
        <w:rPr>
          <w:rFonts w:ascii="Arial" w:hAnsi="Arial" w:cs="Arial"/>
          <w:sz w:val="18"/>
          <w:szCs w:val="18"/>
        </w:rPr>
        <w:t>171</w:t>
      </w:r>
      <w:r>
        <w:rPr>
          <w:rFonts w:ascii="Arial" w:hAnsi="Arial" w:cs="Arial"/>
          <w:sz w:val="18"/>
          <w:szCs w:val="18"/>
        </w:rPr>
        <w:t>,</w:t>
      </w:r>
      <w:r w:rsidR="00C735F9">
        <w:rPr>
          <w:rFonts w:ascii="Arial" w:hAnsi="Arial" w:cs="Arial"/>
          <w:sz w:val="18"/>
          <w:szCs w:val="18"/>
        </w:rPr>
        <w:t>454</w:t>
      </w:r>
      <w:r>
        <w:rPr>
          <w:rFonts w:ascii="Arial" w:hAnsi="Arial" w:cs="Arial"/>
          <w:sz w:val="18"/>
          <w:szCs w:val="18"/>
        </w:rPr>
        <w:t>,</w:t>
      </w:r>
      <w:r w:rsidR="00C735F9">
        <w:rPr>
          <w:rFonts w:ascii="Arial" w:hAnsi="Arial" w:cs="Arial"/>
          <w:sz w:val="18"/>
          <w:szCs w:val="18"/>
        </w:rPr>
        <w:t>933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C735F9">
        <w:rPr>
          <w:rFonts w:ascii="Arial" w:hAnsi="Arial" w:cs="Arial"/>
          <w:sz w:val="18"/>
          <w:szCs w:val="18"/>
        </w:rPr>
        <w:t>155</w:t>
      </w:r>
      <w:r w:rsidR="00E004F0">
        <w:rPr>
          <w:rFonts w:ascii="Arial" w:hAnsi="Arial" w:cs="Arial"/>
          <w:sz w:val="18"/>
          <w:szCs w:val="18"/>
        </w:rPr>
        <w:t>,</w:t>
      </w:r>
      <w:r w:rsidR="00C735F9">
        <w:rPr>
          <w:rFonts w:ascii="Arial" w:hAnsi="Arial" w:cs="Arial"/>
          <w:sz w:val="18"/>
          <w:szCs w:val="18"/>
        </w:rPr>
        <w:t>914</w:t>
      </w:r>
      <w:r>
        <w:rPr>
          <w:rFonts w:ascii="Arial" w:hAnsi="Arial" w:cs="Arial"/>
          <w:sz w:val="18"/>
          <w:szCs w:val="18"/>
        </w:rPr>
        <w:t>,</w:t>
      </w:r>
      <w:r w:rsidR="00C735F9">
        <w:rPr>
          <w:rFonts w:ascii="Arial" w:hAnsi="Arial" w:cs="Arial"/>
          <w:sz w:val="18"/>
          <w:szCs w:val="18"/>
        </w:rPr>
        <w:t>457</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C735F9">
        <w:rPr>
          <w:rFonts w:ascii="Arial" w:hAnsi="Arial" w:cs="Arial"/>
          <w:sz w:val="18"/>
          <w:szCs w:val="18"/>
        </w:rPr>
        <w:t>2</w:t>
      </w:r>
      <w:r>
        <w:rPr>
          <w:rFonts w:ascii="Arial" w:hAnsi="Arial" w:cs="Arial"/>
          <w:sz w:val="18"/>
          <w:szCs w:val="18"/>
        </w:rPr>
        <w:t>,</w:t>
      </w:r>
      <w:r w:rsidR="00C735F9">
        <w:rPr>
          <w:rFonts w:ascii="Arial" w:hAnsi="Arial" w:cs="Arial"/>
          <w:sz w:val="18"/>
          <w:szCs w:val="18"/>
        </w:rPr>
        <w:t>579</w:t>
      </w:r>
      <w:r>
        <w:rPr>
          <w:rFonts w:ascii="Arial" w:hAnsi="Arial" w:cs="Arial"/>
          <w:sz w:val="18"/>
          <w:szCs w:val="18"/>
        </w:rPr>
        <w:t>,</w:t>
      </w:r>
      <w:r w:rsidR="003A072B">
        <w:rPr>
          <w:rFonts w:ascii="Arial" w:hAnsi="Arial" w:cs="Arial"/>
          <w:sz w:val="18"/>
          <w:szCs w:val="18"/>
        </w:rPr>
        <w:t>2</w:t>
      </w:r>
      <w:r w:rsidR="00C735F9">
        <w:rPr>
          <w:rFonts w:ascii="Arial" w:hAnsi="Arial" w:cs="Arial"/>
          <w:sz w:val="18"/>
          <w:szCs w:val="18"/>
        </w:rPr>
        <w:t>65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C735F9">
        <w:rPr>
          <w:rFonts w:ascii="Arial" w:hAnsi="Arial" w:cs="Arial"/>
          <w:sz w:val="18"/>
          <w:szCs w:val="18"/>
        </w:rPr>
        <w:t>506</w:t>
      </w:r>
      <w:r>
        <w:rPr>
          <w:rFonts w:ascii="Arial" w:hAnsi="Arial" w:cs="Arial"/>
          <w:sz w:val="18"/>
          <w:szCs w:val="18"/>
        </w:rPr>
        <w:t>,</w:t>
      </w:r>
      <w:r w:rsidR="00C735F9">
        <w:rPr>
          <w:rFonts w:ascii="Arial" w:hAnsi="Arial" w:cs="Arial"/>
          <w:sz w:val="18"/>
          <w:szCs w:val="18"/>
        </w:rPr>
        <w:t>149</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991656">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43D1E">
        <w:rPr>
          <w:rFonts w:ascii="Arial" w:hAnsi="Arial" w:cs="Arial"/>
          <w:sz w:val="18"/>
          <w:szCs w:val="18"/>
        </w:rPr>
        <w:t>180</w:t>
      </w:r>
      <w:proofErr w:type="gramStart"/>
      <w:r>
        <w:rPr>
          <w:rFonts w:ascii="Arial" w:hAnsi="Arial" w:cs="Arial"/>
          <w:sz w:val="18"/>
          <w:szCs w:val="18"/>
        </w:rPr>
        <w:t>,</w:t>
      </w:r>
      <w:r w:rsidR="00043D1E">
        <w:rPr>
          <w:rFonts w:ascii="Arial" w:hAnsi="Arial" w:cs="Arial"/>
          <w:sz w:val="18"/>
          <w:szCs w:val="18"/>
        </w:rPr>
        <w:t>941</w:t>
      </w:r>
      <w:r>
        <w:rPr>
          <w:rFonts w:ascii="Arial" w:hAnsi="Arial" w:cs="Arial"/>
          <w:sz w:val="18"/>
          <w:szCs w:val="18"/>
        </w:rPr>
        <w:t>,</w:t>
      </w:r>
      <w:r w:rsidR="00043D1E">
        <w:rPr>
          <w:rFonts w:ascii="Arial" w:hAnsi="Arial" w:cs="Arial"/>
          <w:sz w:val="18"/>
          <w:szCs w:val="18"/>
        </w:rPr>
        <w:t>259</w:t>
      </w:r>
      <w:proofErr w:type="gramEnd"/>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043D1E">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043D1E">
        <w:rPr>
          <w:rFonts w:ascii="Arial" w:hAnsi="Arial" w:cs="Arial"/>
          <w:sz w:val="18"/>
          <w:szCs w:val="18"/>
        </w:rPr>
        <w:t>64</w:t>
      </w:r>
      <w:r w:rsidRPr="00502DDD">
        <w:rPr>
          <w:rFonts w:ascii="Arial" w:hAnsi="Arial" w:cs="Arial"/>
          <w:sz w:val="18"/>
          <w:szCs w:val="18"/>
        </w:rPr>
        <w:t>,</w:t>
      </w:r>
      <w:r w:rsidR="00043D1E">
        <w:rPr>
          <w:rFonts w:ascii="Arial" w:hAnsi="Arial" w:cs="Arial"/>
          <w:sz w:val="18"/>
          <w:szCs w:val="18"/>
        </w:rPr>
        <w:t>586</w:t>
      </w:r>
      <w:r w:rsidRPr="00502DDD">
        <w:rPr>
          <w:rFonts w:ascii="Arial" w:hAnsi="Arial" w:cs="Arial"/>
          <w:sz w:val="18"/>
          <w:szCs w:val="18"/>
        </w:rPr>
        <w:t>,</w:t>
      </w:r>
      <w:r w:rsidR="00043D1E">
        <w:rPr>
          <w:rFonts w:ascii="Arial" w:hAnsi="Arial" w:cs="Arial"/>
          <w:sz w:val="18"/>
          <w:szCs w:val="18"/>
        </w:rPr>
        <w:t>292</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043D1E">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20</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043D1E">
        <w:rPr>
          <w:rFonts w:ascii="Arial" w:hAnsi="Arial" w:cs="Arial"/>
          <w:sz w:val="18"/>
          <w:szCs w:val="18"/>
        </w:rPr>
        <w:t>399</w:t>
      </w:r>
      <w:r>
        <w:rPr>
          <w:rFonts w:ascii="Arial" w:hAnsi="Arial" w:cs="Arial"/>
          <w:sz w:val="18"/>
          <w:szCs w:val="18"/>
        </w:rPr>
        <w:t>,</w:t>
      </w:r>
      <w:r w:rsidR="00043D1E">
        <w:rPr>
          <w:rFonts w:ascii="Arial" w:hAnsi="Arial" w:cs="Arial"/>
          <w:sz w:val="18"/>
          <w:szCs w:val="18"/>
        </w:rPr>
        <w:t>727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EE3D4E">
        <w:rPr>
          <w:rFonts w:ascii="Arial" w:hAnsi="Arial" w:cs="Arial"/>
          <w:sz w:val="18"/>
          <w:szCs w:val="18"/>
        </w:rPr>
        <w:t>36</w:t>
      </w:r>
      <w:proofErr w:type="gramStart"/>
      <w:r>
        <w:rPr>
          <w:rFonts w:ascii="Arial" w:hAnsi="Arial" w:cs="Arial"/>
          <w:sz w:val="18"/>
          <w:szCs w:val="18"/>
        </w:rPr>
        <w:t>,</w:t>
      </w:r>
      <w:r w:rsidR="00EE3D4E">
        <w:rPr>
          <w:rFonts w:ascii="Arial" w:hAnsi="Arial" w:cs="Arial"/>
          <w:sz w:val="18"/>
          <w:szCs w:val="18"/>
        </w:rPr>
        <w:t>2</w:t>
      </w:r>
      <w:r w:rsidR="000D0EE3">
        <w:rPr>
          <w:rFonts w:ascii="Arial" w:hAnsi="Arial" w:cs="Arial"/>
          <w:sz w:val="18"/>
          <w:szCs w:val="18"/>
        </w:rPr>
        <w:t>8</w:t>
      </w:r>
      <w:r w:rsidR="00EE3D4E">
        <w:rPr>
          <w:rFonts w:ascii="Arial" w:hAnsi="Arial" w:cs="Arial"/>
          <w:sz w:val="18"/>
          <w:szCs w:val="18"/>
        </w:rPr>
        <w:t>8</w:t>
      </w:r>
      <w:r>
        <w:rPr>
          <w:rFonts w:ascii="Arial" w:hAnsi="Arial" w:cs="Arial"/>
          <w:sz w:val="18"/>
          <w:szCs w:val="18"/>
        </w:rPr>
        <w:t>,</w:t>
      </w:r>
      <w:r w:rsidR="000D0EE3">
        <w:rPr>
          <w:rFonts w:ascii="Arial" w:hAnsi="Arial" w:cs="Arial"/>
          <w:sz w:val="18"/>
          <w:szCs w:val="18"/>
        </w:rPr>
        <w:t>188</w:t>
      </w:r>
      <w:proofErr w:type="gramEnd"/>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B27A40">
        <w:rPr>
          <w:rFonts w:ascii="Arial" w:hAnsi="Arial" w:cs="Arial"/>
          <w:sz w:val="18"/>
          <w:szCs w:val="18"/>
        </w:rPr>
        <w:t>5</w:t>
      </w:r>
      <w:r>
        <w:rPr>
          <w:rFonts w:ascii="Arial" w:hAnsi="Arial" w:cs="Arial"/>
          <w:sz w:val="18"/>
          <w:szCs w:val="18"/>
        </w:rPr>
        <w:t>,</w:t>
      </w:r>
      <w:r w:rsidR="00B27A40">
        <w:rPr>
          <w:rFonts w:ascii="Arial" w:hAnsi="Arial" w:cs="Arial"/>
          <w:sz w:val="18"/>
          <w:szCs w:val="18"/>
        </w:rPr>
        <w:t>245</w:t>
      </w:r>
      <w:r>
        <w:rPr>
          <w:rFonts w:ascii="Arial" w:hAnsi="Arial" w:cs="Arial"/>
          <w:sz w:val="18"/>
          <w:szCs w:val="18"/>
        </w:rPr>
        <w:t>,</w:t>
      </w:r>
      <w:r w:rsidR="00B27A40">
        <w:rPr>
          <w:rFonts w:ascii="Arial" w:hAnsi="Arial" w:cs="Arial"/>
          <w:sz w:val="18"/>
          <w:szCs w:val="18"/>
        </w:rPr>
        <w:t>710</w:t>
      </w:r>
      <w:r>
        <w:rPr>
          <w:rFonts w:ascii="Arial" w:hAnsi="Arial" w:cs="Arial"/>
          <w:sz w:val="18"/>
          <w:szCs w:val="18"/>
        </w:rPr>
        <w:t>,</w:t>
      </w:r>
      <w:r w:rsidR="00B27A40">
        <w:rPr>
          <w:rFonts w:ascii="Arial" w:hAnsi="Arial" w:cs="Arial"/>
          <w:sz w:val="18"/>
          <w:szCs w:val="18"/>
        </w:rPr>
        <w:t>956</w:t>
      </w:r>
      <w:r>
        <w:rPr>
          <w:rFonts w:ascii="Arial" w:hAnsi="Arial" w:cs="Arial"/>
          <w:sz w:val="18"/>
          <w:szCs w:val="18"/>
        </w:rPr>
        <w:t xml:space="preserve"> al mes de </w:t>
      </w:r>
      <w:r w:rsidR="00B27A40">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B27A40">
        <w:rPr>
          <w:rFonts w:ascii="Arial" w:hAnsi="Arial" w:cs="Arial"/>
          <w:sz w:val="18"/>
          <w:szCs w:val="18"/>
        </w:rPr>
        <w:t>2</w:t>
      </w:r>
      <w:proofErr w:type="gramStart"/>
      <w:r>
        <w:rPr>
          <w:rFonts w:ascii="Arial" w:hAnsi="Arial" w:cs="Arial"/>
          <w:sz w:val="18"/>
          <w:szCs w:val="18"/>
        </w:rPr>
        <w:t>,</w:t>
      </w:r>
      <w:r w:rsidR="00B27A40">
        <w:rPr>
          <w:rFonts w:ascii="Arial" w:hAnsi="Arial" w:cs="Arial"/>
          <w:sz w:val="18"/>
          <w:szCs w:val="18"/>
        </w:rPr>
        <w:t>478</w:t>
      </w:r>
      <w:r>
        <w:rPr>
          <w:rFonts w:ascii="Arial" w:hAnsi="Arial" w:cs="Arial"/>
          <w:sz w:val="18"/>
          <w:szCs w:val="18"/>
        </w:rPr>
        <w:t>,</w:t>
      </w:r>
      <w:r w:rsidR="00B27A40">
        <w:rPr>
          <w:rFonts w:ascii="Arial" w:hAnsi="Arial" w:cs="Arial"/>
          <w:sz w:val="18"/>
          <w:szCs w:val="18"/>
        </w:rPr>
        <w:t>386</w:t>
      </w:r>
      <w:r>
        <w:rPr>
          <w:rFonts w:ascii="Arial" w:hAnsi="Arial" w:cs="Arial"/>
          <w:sz w:val="18"/>
          <w:szCs w:val="18"/>
        </w:rPr>
        <w:t>,</w:t>
      </w:r>
      <w:r w:rsidR="00B27A40">
        <w:rPr>
          <w:rFonts w:ascii="Arial" w:hAnsi="Arial" w:cs="Arial"/>
          <w:sz w:val="18"/>
          <w:szCs w:val="18"/>
        </w:rPr>
        <w:t>768</w:t>
      </w:r>
      <w:proofErr w:type="gramEnd"/>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B27A40">
        <w:rPr>
          <w:rFonts w:ascii="Arial" w:hAnsi="Arial" w:cs="Arial"/>
          <w:sz w:val="18"/>
          <w:szCs w:val="18"/>
        </w:rPr>
        <w:t>2</w:t>
      </w:r>
      <w:r>
        <w:rPr>
          <w:rFonts w:ascii="Arial" w:hAnsi="Arial" w:cs="Arial"/>
          <w:sz w:val="18"/>
          <w:szCs w:val="18"/>
        </w:rPr>
        <w:t xml:space="preserve"> %</w:t>
      </w:r>
      <w:r w:rsidR="001F4B7F">
        <w:rPr>
          <w:rFonts w:ascii="Arial" w:hAnsi="Arial" w:cs="Arial"/>
          <w:sz w:val="18"/>
          <w:szCs w:val="18"/>
        </w:rPr>
        <w:t xml:space="preserve">, del total de ingresos </w:t>
      </w:r>
      <w:r w:rsidR="003D56C9">
        <w:rPr>
          <w:rFonts w:ascii="Arial" w:hAnsi="Arial" w:cs="Arial"/>
          <w:sz w:val="18"/>
          <w:szCs w:val="18"/>
        </w:rPr>
        <w:t>totales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B27A40">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649</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706</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739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E828CB"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32.7</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505</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170</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221</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33</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102</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093</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239</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975</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772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229</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085</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442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11.5</w:t>
            </w:r>
          </w:p>
        </w:tc>
      </w:tr>
      <w:tr w:rsidR="00E828CB"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98</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639</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040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91566D" w:rsidP="00E828C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11</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509</w:t>
            </w:r>
            <w:r w:rsidRPr="00AE0E84">
              <w:rPr>
                <w:rFonts w:ascii="Arial" w:eastAsia="Times New Roman" w:hAnsi="Arial" w:cs="Arial"/>
                <w:color w:val="000000"/>
                <w:sz w:val="18"/>
                <w:szCs w:val="18"/>
                <w:lang w:eastAsia="es-MX"/>
              </w:rPr>
              <w:t>,</w:t>
            </w:r>
            <w:r w:rsidR="00777526">
              <w:rPr>
                <w:rFonts w:ascii="Arial" w:eastAsia="Times New Roman" w:hAnsi="Arial" w:cs="Arial"/>
                <w:color w:val="000000"/>
                <w:sz w:val="18"/>
                <w:szCs w:val="18"/>
                <w:lang w:eastAsia="es-MX"/>
              </w:rPr>
              <w:t>880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1</w:t>
            </w:r>
            <w:r w:rsidR="00E828CB">
              <w:rPr>
                <w:rFonts w:ascii="Arial" w:eastAsia="Times New Roman" w:hAnsi="Arial" w:cs="Arial"/>
                <w:color w:val="000000"/>
                <w:sz w:val="18"/>
                <w:szCs w:val="18"/>
                <w:lang w:eastAsia="es-MX"/>
              </w:rPr>
              <w:t>2</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5</w:t>
            </w:r>
            <w:r w:rsidR="00E828CB">
              <w:rPr>
                <w:rFonts w:ascii="Arial" w:eastAsia="Times New Roman" w:hAnsi="Arial" w:cs="Arial"/>
                <w:color w:val="000000"/>
                <w:sz w:val="18"/>
                <w:szCs w:val="18"/>
                <w:lang w:eastAsia="es-MX"/>
              </w:rPr>
              <w:t>88</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203</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47</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275</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185</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160</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202</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469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91566D">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0B552D">
              <w:rPr>
                <w:rFonts w:ascii="Calibri" w:eastAsia="Times New Roman" w:hAnsi="Calibri" w:cs="Calibri"/>
                <w:color w:val="000000"/>
                <w:lang w:eastAsia="es-MX"/>
              </w:rPr>
              <w:t>1</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987</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255</w:t>
            </w:r>
            <w:r w:rsidRPr="00AE0E84">
              <w:rPr>
                <w:rFonts w:ascii="Calibri" w:eastAsia="Times New Roman" w:hAnsi="Calibri" w:cs="Calibri"/>
                <w:color w:val="000000"/>
                <w:lang w:eastAsia="es-MX"/>
              </w:rPr>
              <w:t>,</w:t>
            </w:r>
            <w:r w:rsidR="00777526">
              <w:rPr>
                <w:rFonts w:ascii="Calibri" w:eastAsia="Times New Roman" w:hAnsi="Calibri" w:cs="Calibri"/>
                <w:color w:val="000000"/>
                <w:lang w:eastAsia="es-MX"/>
              </w:rPr>
              <w:t>04</w:t>
            </w:r>
            <w:r w:rsidR="0091566D">
              <w:rPr>
                <w:rFonts w:ascii="Calibri" w:eastAsia="Times New Roman" w:hAnsi="Calibri" w:cs="Calibri"/>
                <w:color w:val="000000"/>
                <w:lang w:eastAsia="es-MX"/>
              </w:rPr>
              <w:t>3</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1566D">
        <w:rPr>
          <w:rFonts w:ascii="Arial" w:hAnsi="Arial" w:cs="Arial"/>
          <w:sz w:val="18"/>
          <w:szCs w:val="18"/>
        </w:rPr>
        <w:t>marzo</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91566D">
        <w:rPr>
          <w:rFonts w:ascii="Arial" w:hAnsi="Arial" w:cs="Arial"/>
          <w:sz w:val="18"/>
          <w:szCs w:val="18"/>
        </w:rPr>
        <w:t>777</w:t>
      </w:r>
      <w:proofErr w:type="gramStart"/>
      <w:r>
        <w:rPr>
          <w:rFonts w:ascii="Arial" w:hAnsi="Arial" w:cs="Arial"/>
          <w:sz w:val="18"/>
          <w:szCs w:val="18"/>
        </w:rPr>
        <w:t>,</w:t>
      </w:r>
      <w:r w:rsidR="000B552D">
        <w:rPr>
          <w:rFonts w:ascii="Arial" w:hAnsi="Arial" w:cs="Arial"/>
          <w:sz w:val="18"/>
          <w:szCs w:val="18"/>
        </w:rPr>
        <w:t>1</w:t>
      </w:r>
      <w:r w:rsidR="0091566D">
        <w:rPr>
          <w:rFonts w:ascii="Arial" w:hAnsi="Arial" w:cs="Arial"/>
          <w:sz w:val="18"/>
          <w:szCs w:val="18"/>
        </w:rPr>
        <w:t>51</w:t>
      </w:r>
      <w:r>
        <w:rPr>
          <w:rFonts w:ascii="Arial" w:hAnsi="Arial" w:cs="Arial"/>
          <w:sz w:val="18"/>
          <w:szCs w:val="18"/>
        </w:rPr>
        <w:t>,</w:t>
      </w:r>
      <w:r w:rsidR="0091566D">
        <w:rPr>
          <w:rFonts w:ascii="Arial" w:hAnsi="Arial" w:cs="Arial"/>
          <w:sz w:val="18"/>
          <w:szCs w:val="18"/>
        </w:rPr>
        <w:t>803</w:t>
      </w:r>
      <w:proofErr w:type="gramEnd"/>
      <w:r w:rsidR="009F5E29">
        <w:rPr>
          <w:rFonts w:ascii="Arial" w:hAnsi="Arial" w:cs="Arial"/>
          <w:sz w:val="18"/>
          <w:szCs w:val="18"/>
        </w:rPr>
        <w:t>,</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91566D">
        <w:rPr>
          <w:rFonts w:ascii="Arial" w:hAnsi="Arial" w:cs="Arial"/>
          <w:sz w:val="18"/>
          <w:szCs w:val="18"/>
        </w:rPr>
        <w:t xml:space="preserve">primer trimestre del </w:t>
      </w:r>
      <w:r w:rsidR="00134F21">
        <w:rPr>
          <w:rFonts w:ascii="Arial" w:hAnsi="Arial" w:cs="Arial"/>
          <w:sz w:val="18"/>
          <w:szCs w:val="18"/>
        </w:rPr>
        <w:t>ejercicio 20</w:t>
      </w:r>
      <w:r w:rsidR="0091566D">
        <w:rPr>
          <w:rFonts w:ascii="Arial" w:hAnsi="Arial" w:cs="Arial"/>
          <w:sz w:val="18"/>
          <w:szCs w:val="18"/>
        </w:rPr>
        <w:t>20</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1566D">
        <w:rPr>
          <w:rFonts w:ascii="Arial" w:hAnsi="Arial" w:cs="Arial"/>
          <w:sz w:val="18"/>
          <w:szCs w:val="18"/>
        </w:rPr>
        <w:t>marzo</w:t>
      </w:r>
      <w:r w:rsidR="00134F21">
        <w:rPr>
          <w:rFonts w:ascii="Arial" w:hAnsi="Arial" w:cs="Arial"/>
          <w:sz w:val="18"/>
          <w:szCs w:val="18"/>
        </w:rPr>
        <w:t xml:space="preserve"> por este concepto un monto de $ </w:t>
      </w:r>
      <w:r w:rsidR="0091566D">
        <w:rPr>
          <w:rFonts w:ascii="Arial" w:hAnsi="Arial" w:cs="Arial"/>
          <w:sz w:val="18"/>
          <w:szCs w:val="18"/>
        </w:rPr>
        <w:t>537</w:t>
      </w:r>
      <w:proofErr w:type="gramStart"/>
      <w:r w:rsidR="00134F21">
        <w:rPr>
          <w:rFonts w:ascii="Arial" w:hAnsi="Arial" w:cs="Arial"/>
          <w:sz w:val="18"/>
          <w:szCs w:val="18"/>
        </w:rPr>
        <w:t>,</w:t>
      </w:r>
      <w:r w:rsidR="0091566D">
        <w:rPr>
          <w:rFonts w:ascii="Arial" w:hAnsi="Arial" w:cs="Arial"/>
          <w:sz w:val="18"/>
          <w:szCs w:val="18"/>
        </w:rPr>
        <w:t>819</w:t>
      </w:r>
      <w:r w:rsidR="00134F21">
        <w:rPr>
          <w:rFonts w:ascii="Arial" w:hAnsi="Arial" w:cs="Arial"/>
          <w:sz w:val="18"/>
          <w:szCs w:val="18"/>
        </w:rPr>
        <w:t>,</w:t>
      </w:r>
      <w:r w:rsidR="0091566D">
        <w:rPr>
          <w:rFonts w:ascii="Arial" w:hAnsi="Arial" w:cs="Arial"/>
          <w:sz w:val="18"/>
          <w:szCs w:val="18"/>
        </w:rPr>
        <w:t>937</w:t>
      </w:r>
      <w:proofErr w:type="gramEnd"/>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AA16F7">
        <w:rPr>
          <w:rFonts w:ascii="Arial" w:hAnsi="Arial" w:cs="Arial"/>
          <w:sz w:val="18"/>
          <w:szCs w:val="18"/>
        </w:rPr>
        <w:t>15</w:t>
      </w:r>
      <w:proofErr w:type="gramStart"/>
      <w:r>
        <w:rPr>
          <w:rFonts w:ascii="Arial" w:hAnsi="Arial" w:cs="Arial"/>
          <w:sz w:val="18"/>
          <w:szCs w:val="18"/>
        </w:rPr>
        <w:t>,</w:t>
      </w:r>
      <w:r w:rsidR="00AA16F7">
        <w:rPr>
          <w:rFonts w:ascii="Arial" w:hAnsi="Arial" w:cs="Arial"/>
          <w:sz w:val="18"/>
          <w:szCs w:val="18"/>
        </w:rPr>
        <w:t>602</w:t>
      </w:r>
      <w:r>
        <w:rPr>
          <w:rFonts w:ascii="Arial" w:hAnsi="Arial" w:cs="Arial"/>
          <w:sz w:val="18"/>
          <w:szCs w:val="18"/>
        </w:rPr>
        <w:t>,</w:t>
      </w:r>
      <w:r w:rsidR="00AA16F7">
        <w:rPr>
          <w:rFonts w:ascii="Arial" w:hAnsi="Arial" w:cs="Arial"/>
          <w:sz w:val="18"/>
          <w:szCs w:val="18"/>
        </w:rPr>
        <w:t>535</w:t>
      </w:r>
      <w:proofErr w:type="gramEnd"/>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AA16F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es de $ </w:t>
      </w:r>
      <w:r w:rsidR="00CC60A4">
        <w:rPr>
          <w:rFonts w:ascii="Arial" w:hAnsi="Arial" w:cs="Arial"/>
          <w:sz w:val="18"/>
          <w:szCs w:val="18"/>
        </w:rPr>
        <w:t>2</w:t>
      </w:r>
      <w:r w:rsidR="00AA16F7">
        <w:rPr>
          <w:rFonts w:ascii="Arial" w:hAnsi="Arial" w:cs="Arial"/>
          <w:sz w:val="18"/>
          <w:szCs w:val="18"/>
        </w:rPr>
        <w:t>6</w:t>
      </w:r>
      <w:proofErr w:type="gramStart"/>
      <w:r w:rsidR="00BA3B1D">
        <w:rPr>
          <w:rFonts w:ascii="Arial" w:hAnsi="Arial" w:cs="Arial"/>
          <w:sz w:val="18"/>
          <w:szCs w:val="18"/>
        </w:rPr>
        <w:t>,</w:t>
      </w:r>
      <w:r w:rsidR="00AA16F7">
        <w:rPr>
          <w:rFonts w:ascii="Arial" w:hAnsi="Arial" w:cs="Arial"/>
          <w:sz w:val="18"/>
          <w:szCs w:val="18"/>
        </w:rPr>
        <w:t>765</w:t>
      </w:r>
      <w:r w:rsidR="00BA3B1D">
        <w:rPr>
          <w:rFonts w:ascii="Arial" w:hAnsi="Arial" w:cs="Arial"/>
          <w:sz w:val="18"/>
          <w:szCs w:val="18"/>
        </w:rPr>
        <w:t>,</w:t>
      </w:r>
      <w:r w:rsidR="00AA16F7">
        <w:rPr>
          <w:rFonts w:ascii="Arial" w:hAnsi="Arial" w:cs="Arial"/>
          <w:sz w:val="18"/>
          <w:szCs w:val="18"/>
        </w:rPr>
        <w:t>642</w:t>
      </w:r>
      <w:proofErr w:type="gramEnd"/>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AA16F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AA16F7">
        <w:rPr>
          <w:rFonts w:ascii="Arial" w:hAnsi="Arial" w:cs="Arial"/>
          <w:sz w:val="18"/>
          <w:szCs w:val="18"/>
        </w:rPr>
        <w:t>2</w:t>
      </w:r>
      <w:proofErr w:type="gramStart"/>
      <w:r>
        <w:rPr>
          <w:rFonts w:ascii="Arial" w:hAnsi="Arial" w:cs="Arial"/>
          <w:sz w:val="18"/>
          <w:szCs w:val="18"/>
        </w:rPr>
        <w:t>,</w:t>
      </w:r>
      <w:r w:rsidR="00AA16F7">
        <w:rPr>
          <w:rFonts w:ascii="Arial" w:hAnsi="Arial" w:cs="Arial"/>
          <w:sz w:val="18"/>
          <w:szCs w:val="18"/>
        </w:rPr>
        <w:t>775</w:t>
      </w:r>
      <w:r>
        <w:rPr>
          <w:rFonts w:ascii="Arial" w:hAnsi="Arial" w:cs="Arial"/>
          <w:sz w:val="18"/>
          <w:szCs w:val="18"/>
        </w:rPr>
        <w:t>,</w:t>
      </w:r>
      <w:r w:rsidR="00AA16F7">
        <w:rPr>
          <w:rFonts w:ascii="Arial" w:hAnsi="Arial" w:cs="Arial"/>
          <w:sz w:val="18"/>
          <w:szCs w:val="18"/>
        </w:rPr>
        <w:t>376</w:t>
      </w:r>
      <w:r>
        <w:rPr>
          <w:rFonts w:ascii="Arial" w:hAnsi="Arial" w:cs="Arial"/>
          <w:sz w:val="18"/>
          <w:szCs w:val="18"/>
        </w:rPr>
        <w:t>,</w:t>
      </w:r>
      <w:r w:rsidR="00612216">
        <w:rPr>
          <w:rFonts w:ascii="Arial" w:hAnsi="Arial" w:cs="Arial"/>
          <w:sz w:val="18"/>
          <w:szCs w:val="18"/>
        </w:rPr>
        <w:t>6</w:t>
      </w:r>
      <w:r w:rsidR="00AA16F7">
        <w:rPr>
          <w:rFonts w:ascii="Arial" w:hAnsi="Arial" w:cs="Arial"/>
          <w:sz w:val="18"/>
          <w:szCs w:val="18"/>
        </w:rPr>
        <w:t>93</w:t>
      </w:r>
      <w:proofErr w:type="gramEnd"/>
      <w:r>
        <w:rPr>
          <w:rFonts w:ascii="Arial" w:hAnsi="Arial" w:cs="Arial"/>
          <w:sz w:val="18"/>
          <w:szCs w:val="18"/>
        </w:rPr>
        <w:t xml:space="preserve"> de los cuales los principales sectores que reciben estas asignaciones son el sector educativo al cual le corresponde el </w:t>
      </w:r>
      <w:r w:rsidR="00742C34">
        <w:rPr>
          <w:rFonts w:ascii="Arial" w:hAnsi="Arial" w:cs="Arial"/>
          <w:sz w:val="18"/>
          <w:szCs w:val="18"/>
        </w:rPr>
        <w:t>47</w:t>
      </w:r>
      <w:r>
        <w:rPr>
          <w:rFonts w:ascii="Arial" w:hAnsi="Arial" w:cs="Arial"/>
          <w:sz w:val="18"/>
          <w:szCs w:val="18"/>
        </w:rPr>
        <w:t xml:space="preserve">% y el sector salud con un </w:t>
      </w:r>
      <w:r w:rsidR="005F4F77">
        <w:rPr>
          <w:rFonts w:ascii="Arial" w:hAnsi="Arial" w:cs="Arial"/>
          <w:sz w:val="18"/>
          <w:szCs w:val="18"/>
        </w:rPr>
        <w:t>47</w:t>
      </w:r>
      <w:r>
        <w:rPr>
          <w:rFonts w:ascii="Arial" w:hAnsi="Arial" w:cs="Arial"/>
          <w:sz w:val="18"/>
          <w:szCs w:val="18"/>
        </w:rPr>
        <w:t xml:space="preserve">% y el restante </w:t>
      </w:r>
      <w:r w:rsidR="005F4F77">
        <w:rPr>
          <w:rFonts w:ascii="Arial" w:hAnsi="Arial" w:cs="Arial"/>
          <w:sz w:val="18"/>
          <w:szCs w:val="18"/>
        </w:rPr>
        <w:t>6</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5F4F77">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20</w:t>
      </w:r>
      <w:r>
        <w:rPr>
          <w:rFonts w:ascii="Arial" w:hAnsi="Arial" w:cs="Arial"/>
          <w:sz w:val="18"/>
          <w:szCs w:val="18"/>
        </w:rPr>
        <w:t xml:space="preserve"> es de $ </w:t>
      </w:r>
      <w:r w:rsidR="00612216">
        <w:rPr>
          <w:rFonts w:ascii="Arial" w:hAnsi="Arial" w:cs="Arial"/>
          <w:sz w:val="18"/>
          <w:szCs w:val="18"/>
        </w:rPr>
        <w:t>1</w:t>
      </w:r>
      <w:r>
        <w:rPr>
          <w:rFonts w:ascii="Arial" w:hAnsi="Arial" w:cs="Arial"/>
          <w:sz w:val="18"/>
          <w:szCs w:val="18"/>
        </w:rPr>
        <w:t>,</w:t>
      </w:r>
      <w:r w:rsidR="005F4F77">
        <w:rPr>
          <w:rFonts w:ascii="Arial" w:hAnsi="Arial" w:cs="Arial"/>
          <w:sz w:val="18"/>
          <w:szCs w:val="18"/>
        </w:rPr>
        <w:t>032</w:t>
      </w:r>
      <w:r>
        <w:rPr>
          <w:rFonts w:ascii="Arial" w:hAnsi="Arial" w:cs="Arial"/>
          <w:sz w:val="18"/>
          <w:szCs w:val="18"/>
        </w:rPr>
        <w:t>,</w:t>
      </w:r>
      <w:r w:rsidR="005F4F77">
        <w:rPr>
          <w:rFonts w:ascii="Arial" w:hAnsi="Arial" w:cs="Arial"/>
          <w:sz w:val="18"/>
          <w:szCs w:val="18"/>
        </w:rPr>
        <w:t>790</w:t>
      </w:r>
      <w:r>
        <w:rPr>
          <w:rFonts w:ascii="Arial" w:hAnsi="Arial" w:cs="Arial"/>
          <w:sz w:val="18"/>
          <w:szCs w:val="18"/>
        </w:rPr>
        <w:t>,</w:t>
      </w:r>
      <w:r w:rsidR="005F4F77">
        <w:rPr>
          <w:rFonts w:ascii="Arial" w:hAnsi="Arial" w:cs="Arial"/>
          <w:sz w:val="18"/>
          <w:szCs w:val="18"/>
        </w:rPr>
        <w:t>041</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F4F77">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612216">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5F4F77">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204F06">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proofErr w:type="gramStart"/>
      <w:r>
        <w:rPr>
          <w:rFonts w:ascii="Arial" w:eastAsia="Times New Roman" w:hAnsi="Arial" w:cs="Arial"/>
          <w:bCs/>
          <w:sz w:val="18"/>
          <w:szCs w:val="18"/>
          <w:lang w:eastAsia="es-MX"/>
        </w:rPr>
        <w:t>,</w:t>
      </w:r>
      <w:r w:rsidR="00204F06">
        <w:rPr>
          <w:rFonts w:ascii="Arial" w:eastAsia="Times New Roman" w:hAnsi="Arial" w:cs="Arial"/>
          <w:bCs/>
          <w:sz w:val="18"/>
          <w:szCs w:val="18"/>
          <w:lang w:eastAsia="es-MX"/>
        </w:rPr>
        <w:t>032</w:t>
      </w:r>
      <w:r>
        <w:rPr>
          <w:rFonts w:ascii="Arial" w:eastAsia="Times New Roman" w:hAnsi="Arial" w:cs="Arial"/>
          <w:bCs/>
          <w:sz w:val="18"/>
          <w:szCs w:val="18"/>
          <w:lang w:eastAsia="es-MX"/>
        </w:rPr>
        <w:t>,</w:t>
      </w:r>
      <w:r w:rsidR="00204F06">
        <w:rPr>
          <w:rFonts w:ascii="Arial" w:eastAsia="Times New Roman" w:hAnsi="Arial" w:cs="Arial"/>
          <w:bCs/>
          <w:sz w:val="18"/>
          <w:szCs w:val="18"/>
          <w:lang w:eastAsia="es-MX"/>
        </w:rPr>
        <w:t>790</w:t>
      </w:r>
      <w:r>
        <w:rPr>
          <w:rFonts w:ascii="Arial" w:eastAsia="Times New Roman" w:hAnsi="Arial" w:cs="Arial"/>
          <w:bCs/>
          <w:sz w:val="18"/>
          <w:szCs w:val="18"/>
          <w:lang w:eastAsia="es-MX"/>
        </w:rPr>
        <w:t>,</w:t>
      </w:r>
      <w:r w:rsidR="00204F06">
        <w:rPr>
          <w:rFonts w:ascii="Arial" w:eastAsia="Times New Roman" w:hAnsi="Arial" w:cs="Arial"/>
          <w:bCs/>
          <w:sz w:val="18"/>
          <w:szCs w:val="18"/>
          <w:lang w:eastAsia="es-MX"/>
        </w:rPr>
        <w:t>041</w:t>
      </w:r>
      <w:proofErr w:type="gramEnd"/>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206E09">
        <w:rPr>
          <w:lang w:val="es-MX"/>
        </w:rPr>
        <w:t>incremento</w:t>
      </w:r>
      <w:r w:rsidR="004B263B">
        <w:rPr>
          <w:lang w:val="es-MX"/>
        </w:rPr>
        <w:t xml:space="preserve"> </w:t>
      </w:r>
      <w:r w:rsidR="00817DFF">
        <w:rPr>
          <w:lang w:val="es-MX"/>
        </w:rPr>
        <w:t>de</w:t>
      </w:r>
      <w:r w:rsidR="00EC56A4">
        <w:rPr>
          <w:lang w:val="es-MX"/>
        </w:rPr>
        <w:t xml:space="preserve"> </w:t>
      </w:r>
      <w:r w:rsidR="00817DFF">
        <w:rPr>
          <w:lang w:val="es-MX"/>
        </w:rPr>
        <w:t>$</w:t>
      </w:r>
      <w:r w:rsidR="00206E09">
        <w:rPr>
          <w:lang w:val="es-MX"/>
        </w:rPr>
        <w:t>599</w:t>
      </w:r>
      <w:r w:rsidR="00AC2CB6">
        <w:rPr>
          <w:lang w:val="es-MX"/>
        </w:rPr>
        <w:t>,</w:t>
      </w:r>
      <w:r w:rsidR="00206E09">
        <w:rPr>
          <w:lang w:val="es-MX"/>
        </w:rPr>
        <w:t>281</w:t>
      </w:r>
      <w:r w:rsidR="00AC2CB6">
        <w:rPr>
          <w:lang w:val="es-MX"/>
        </w:rPr>
        <w:t>,</w:t>
      </w:r>
      <w:r w:rsidR="001D1569">
        <w:rPr>
          <w:lang w:val="es-MX"/>
        </w:rPr>
        <w:t>9</w:t>
      </w:r>
      <w:r w:rsidR="004A07A5">
        <w:rPr>
          <w:lang w:val="es-MX"/>
        </w:rPr>
        <w:t>63</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5E68A5">
        <w:rPr>
          <w:lang w:val="es-MX"/>
        </w:rPr>
        <w:t>1</w:t>
      </w:r>
      <w:proofErr w:type="gramStart"/>
      <w:r>
        <w:rPr>
          <w:lang w:val="es-MX"/>
        </w:rPr>
        <w:t>,</w:t>
      </w:r>
      <w:r w:rsidR="004A07A5">
        <w:rPr>
          <w:lang w:val="es-MX"/>
        </w:rPr>
        <w:t>032</w:t>
      </w:r>
      <w:r>
        <w:rPr>
          <w:lang w:val="es-MX"/>
        </w:rPr>
        <w:t>,</w:t>
      </w:r>
      <w:r w:rsidR="004A07A5">
        <w:rPr>
          <w:lang w:val="es-MX"/>
        </w:rPr>
        <w:t>790</w:t>
      </w:r>
      <w:r>
        <w:rPr>
          <w:lang w:val="es-MX"/>
        </w:rPr>
        <w:t>,</w:t>
      </w:r>
      <w:r w:rsidR="004A07A5">
        <w:rPr>
          <w:lang w:val="es-MX"/>
        </w:rPr>
        <w:t>041</w:t>
      </w:r>
      <w:proofErr w:type="gramEnd"/>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4A07A5">
        <w:rPr>
          <w:lang w:val="es-MX"/>
        </w:rPr>
        <w:t>marzo</w:t>
      </w:r>
      <w:r>
        <w:rPr>
          <w:lang w:val="es-MX"/>
        </w:rPr>
        <w:t xml:space="preserve"> un importe de </w:t>
      </w:r>
      <w:r w:rsidRPr="004466A7">
        <w:rPr>
          <w:lang w:val="es-MX"/>
        </w:rPr>
        <w:t>$</w:t>
      </w:r>
      <w:r>
        <w:rPr>
          <w:lang w:val="es-MX"/>
        </w:rPr>
        <w:t xml:space="preserve"> </w:t>
      </w:r>
      <w:r w:rsidR="00466C1E">
        <w:rPr>
          <w:lang w:val="es-MX"/>
        </w:rPr>
        <w:t>9</w:t>
      </w:r>
      <w:proofErr w:type="gramStart"/>
      <w:r>
        <w:rPr>
          <w:lang w:val="es-MX"/>
        </w:rPr>
        <w:t>,</w:t>
      </w:r>
      <w:r w:rsidR="00466C1E">
        <w:rPr>
          <w:lang w:val="es-MX"/>
        </w:rPr>
        <w:t>067</w:t>
      </w:r>
      <w:r>
        <w:rPr>
          <w:lang w:val="es-MX"/>
        </w:rPr>
        <w:t>,</w:t>
      </w:r>
      <w:r w:rsidR="00466C1E">
        <w:rPr>
          <w:lang w:val="es-MX"/>
        </w:rPr>
        <w:t>931</w:t>
      </w:r>
      <w:proofErr w:type="gramEnd"/>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5E68A5">
        <w:rPr>
          <w:lang w:val="es-MX"/>
        </w:rPr>
        <w:t>1</w:t>
      </w:r>
      <w:r w:rsidRPr="00DA18AC">
        <w:rPr>
          <w:lang w:val="es-MX"/>
        </w:rPr>
        <w:t xml:space="preserve"> de </w:t>
      </w:r>
      <w:r w:rsidR="00466C1E">
        <w:rPr>
          <w:lang w:val="es-MX"/>
        </w:rPr>
        <w:t>marzo</w:t>
      </w:r>
      <w:r w:rsidRPr="00DA18AC">
        <w:rPr>
          <w:lang w:val="es-MX"/>
        </w:rPr>
        <w:t xml:space="preserve"> de 20</w:t>
      </w:r>
      <w:r w:rsidR="00466C1E">
        <w:rPr>
          <w:lang w:val="es-MX"/>
        </w:rPr>
        <w:t>20</w:t>
      </w:r>
      <w:r w:rsidRPr="00DA18AC">
        <w:rPr>
          <w:lang w:val="es-MX"/>
        </w:rPr>
        <w:t xml:space="preserve"> de $ </w:t>
      </w:r>
      <w:r w:rsidR="009743B6">
        <w:rPr>
          <w:lang w:val="es-MX"/>
        </w:rPr>
        <w:t>-</w:t>
      </w:r>
      <w:r w:rsidR="00466C1E">
        <w:rPr>
          <w:lang w:val="es-MX"/>
        </w:rPr>
        <w:t>442</w:t>
      </w:r>
      <w:r w:rsidRPr="00DA18AC">
        <w:rPr>
          <w:lang w:val="es-MX"/>
        </w:rPr>
        <w:t>,</w:t>
      </w:r>
      <w:r w:rsidR="00466C1E">
        <w:rPr>
          <w:lang w:val="es-MX"/>
        </w:rPr>
        <w:t>576</w:t>
      </w:r>
      <w:r w:rsidRPr="00DA18AC">
        <w:rPr>
          <w:lang w:val="es-MX"/>
        </w:rPr>
        <w:t>,</w:t>
      </w:r>
      <w:r w:rsidR="00466C1E">
        <w:rPr>
          <w:lang w:val="es-MX"/>
        </w:rPr>
        <w:t>009</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991656" w:rsidP="00A54D75">
      <w:pPr>
        <w:tabs>
          <w:tab w:val="left" w:pos="284"/>
        </w:tabs>
        <w:spacing w:after="0"/>
        <w:ind w:left="284"/>
        <w:jc w:val="both"/>
        <w:rPr>
          <w:rFonts w:ascii="Arial" w:hAnsi="Arial" w:cs="Arial"/>
          <w:sz w:val="18"/>
          <w:szCs w:val="18"/>
        </w:rPr>
      </w:pPr>
      <w:r>
        <w:object w:dxaOrig="25362" w:dyaOrig="13520">
          <v:shape id="_x0000_i1029" type="#_x0000_t75" style="width:675pt;height:465pt" o:ole="">
            <v:imagedata r:id="rId22" o:title=""/>
          </v:shape>
          <o:OLEObject Type="Embed" ProgID="Excel.Sheet.12" ShapeID="_x0000_i1029" DrawAspect="Content" ObjectID="_1649146724" r:id="rId23"/>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EC59B1" w:rsidP="006942ED">
      <w:pPr>
        <w:rPr>
          <w:lang w:eastAsia="es-ES"/>
        </w:rPr>
      </w:pPr>
      <w:r>
        <w:rPr>
          <w:noProof/>
          <w:szCs w:val="18"/>
          <w:lang w:eastAsia="es-MX"/>
        </w:rPr>
        <w:object w:dxaOrig="1440" w:dyaOrig="1440">
          <v:shape id="_x0000_s1046" type="#_x0000_t75" style="position:absolute;margin-left:34.5pt;margin-top:22.45pt;width:617.4pt;height:294.05pt;z-index:251663360">
            <v:imagedata r:id="rId24" o:title=""/>
            <w10:wrap type="topAndBottom"/>
          </v:shape>
          <o:OLEObject Type="Embed" ProgID="Excel.Sheet.12" ShapeID="_x0000_s1046" DrawAspect="Content" ObjectID="_1649146728" r:id="rId25"/>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EC59B1"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596.8pt;height:418.95pt;z-index:251664384">
            <v:imagedata r:id="rId26" o:title=""/>
            <w10:wrap type="topAndBottom"/>
          </v:shape>
          <o:OLEObject Type="Embed" ProgID="Excel.Sheet.12" ShapeID="_x0000_s1047" DrawAspect="Content" ObjectID="_1649146729" r:id="rId27"/>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466C1E">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coyuntura actual es más compleja que la que podía haberse anticipado en septiembre de 2019, cuando se presentó el Paquete Económico 2020. En un periodo muy reducido el panorama económico global se ha deteriorado de forma rápida y significativa. La velocidad con la que se ha propagado el COVID-19 a nivel global ha provocado la triste pérdida de vidas humanas y la materialización de condiciones de enfermedad para un elevado número de personas. Adicionalmente, las medidas sanitarias necesarias para la contención de la pandemia están generando efectos negativos importantes sobre la actividad económica, la disrupción de las cadenas de suministro a nivel global, mayor incertidumbre, así como volatilidad en los mercados financieros en todo el mundo. Entre los diversos impactos de lo anterior destaca una fuerte caída en la demanda por petróleo y otras materias primas, que está propiciando una reducción en sus precios internacionales. La situación del mercado petrolero se ha visto exacerbada por la guerra de precios del petróleo entre Arabia Saudita y Rusia, que ha resultado en una mayor disminución en los precios de los energéticos a nivel global.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elevada incertidumbre a nivel global ha generado una recomposición de los portafolios hacia activos con mayor liquidez y más seguros, generando una elevada volatilidad en los mercados financieros y el deterioro de la mayoría de las variables financieras nacionales e internacionales, en particular de las economías emergentes. En este contexto se ha observado una depreciación generalizada de las monedas emergentes, incluyendo el peso mexicano, así como un aumento en las primas de riesgo de los bonos de dichas economías.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Dado lo anterior, las proyecciones de la actividad económica global han estado sujetas a una constante revisión a la baja en un tiempo muy reducido. Por ejemplo, el Instituto de Finanzas Internacionales (IIF, por sus siglas en inglés) recortó el crecimiento global de 1.0% a una contracción de 1.5% entre el 5 y el 23 de marzo.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Se prevé que este escenario global, aunado a las medidas internas de distanciamiento social necesarias para contener la propagación del COVID-19, </w:t>
      </w:r>
      <w:proofErr w:type="gramStart"/>
      <w:r w:rsidRPr="00C83A20">
        <w:rPr>
          <w:rFonts w:ascii="Arial" w:hAnsi="Arial" w:cs="Arial"/>
          <w:sz w:val="18"/>
          <w:szCs w:val="18"/>
        </w:rPr>
        <w:t>tendrán</w:t>
      </w:r>
      <w:proofErr w:type="gramEnd"/>
      <w:r w:rsidRPr="00C83A20">
        <w:rPr>
          <w:rFonts w:ascii="Arial" w:hAnsi="Arial" w:cs="Arial"/>
          <w:sz w:val="18"/>
          <w:szCs w:val="18"/>
        </w:rPr>
        <w:t xml:space="preserve"> un impacto sobre la actividad económica y las finanzas públicas de nuestro país durante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Para hacer frente a esta coyuntura, el Gobierno de México dispone de diversos amortiguadores financieros y fiscales. En este sentido, se inició la implementación de diferentes medidas de política pública y se prepara un conjunto adicional de acciones, lo cual ayudará a mitigar los efectos de los choques externos e internos sobre la economía, la liquidez internacional y las finanzas públicas; contribuirá a enfrentar los retos en materia de salud, empleo y liquidez de las empresas y los hogares en el corto plazo, protegiendo los ingresos y el bienestar de los grupos más vulnerables de la población; y fortalecerá la demanda agregada para reactivar la economía en el mediano plazo. </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Entre los amortiguadores con los que se cuenta destacan: i) fondos y reservas para enfrentar contingencias en materia de salud, incluidas las de tipo epidemiológico; ii) recursos en el Fondo de Estabilización de los Ingresos Presupuestarios (FEIP), que al cierre de 2019 eran de 158.4 mil millones de pesos (</w:t>
      </w:r>
      <w:proofErr w:type="spellStart"/>
      <w:r w:rsidRPr="00C83A20">
        <w:rPr>
          <w:rFonts w:ascii="Arial" w:hAnsi="Arial" w:cs="Arial"/>
          <w:sz w:val="18"/>
          <w:szCs w:val="18"/>
        </w:rPr>
        <w:t>mmp</w:t>
      </w:r>
      <w:proofErr w:type="spellEnd"/>
      <w:r w:rsidRPr="00C83A20">
        <w:rPr>
          <w:rFonts w:ascii="Arial" w:hAnsi="Arial" w:cs="Arial"/>
          <w:sz w:val="18"/>
          <w:szCs w:val="18"/>
        </w:rPr>
        <w:t xml:space="preserve">) y cuyo uso se orientará en estricto apego a lo señalado por la Ley Federal de Presupuesto y Responsabilidad Hacendaria; iii) se cuenta con reservas internacionales por 185.5 mil millones de dólares (mmd), una línea de crédito flexible con el Fondo Monetario Internacional por 61.4 mmd y líneas de intercambio de divisas con la Reserva Federal y con el Tesoro de los Estados Unidos por 60.0 y 9.0 mmd, respectivamente, elementos destinados a hacer frente a problemas potenciales de liquidez internacional y de balanza de pagos; y iv) coberturas petroleras tanto del Gobierno Federal como de Pemex para compensar la disminución de los ingresos ante reducciones en los precios del energético. Adicionalmente, el país cuenta con un perfil de deuda pública robusto, donde la deuda externa neta del Gobierno Federal solo representa 22% del total y prácticamente el 100% está a tasa fija.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El Banco de México y la Comisión Nacional Bancaria y de Valores han implementado cambios regulatorios y otras acciones para aumentar la liquidez y el otorgamiento de créditos, como la disminución del Depósito de Regulación Monetaria por 50 </w:t>
      </w:r>
      <w:proofErr w:type="spellStart"/>
      <w:r w:rsidRPr="00C83A20">
        <w:rPr>
          <w:rFonts w:ascii="Arial" w:hAnsi="Arial" w:cs="Arial"/>
          <w:sz w:val="18"/>
          <w:szCs w:val="18"/>
        </w:rPr>
        <w:t>mmp</w:t>
      </w:r>
      <w:proofErr w:type="spellEnd"/>
      <w:r w:rsidRPr="00C83A20">
        <w:rPr>
          <w:rFonts w:ascii="Arial" w:hAnsi="Arial" w:cs="Arial"/>
          <w:sz w:val="18"/>
          <w:szCs w:val="18"/>
        </w:rPr>
        <w:t xml:space="preserve">; las subastas de crédito en dólares; y flexibilización de la norma contable para bancos, que les permitirá diferir total o parcialmente los pagos de capital y/o intereses hasta por 6 meses de créditos comerciales, hipotecarios, personales, de nómina y para automóviles.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Asimismo, al 18 de marzo se anunciaron una serie de medidas encaminadas a proteger la liquidez de personas y empresas vulnerables, donde resaltan 1 millón de créditos gubernamentales para microempresas que difícilmente cuentan con acceso al sistema financiero; apoyos equivalentes a más de 19 </w:t>
      </w:r>
      <w:proofErr w:type="spellStart"/>
      <w:r w:rsidRPr="00C83A20">
        <w:rPr>
          <w:rFonts w:ascii="Arial" w:hAnsi="Arial" w:cs="Arial"/>
          <w:sz w:val="18"/>
          <w:szCs w:val="18"/>
        </w:rPr>
        <w:t>mmp</w:t>
      </w:r>
      <w:proofErr w:type="spellEnd"/>
      <w:r w:rsidRPr="00C83A20">
        <w:rPr>
          <w:rFonts w:ascii="Arial" w:hAnsi="Arial" w:cs="Arial"/>
          <w:sz w:val="18"/>
          <w:szCs w:val="18"/>
        </w:rPr>
        <w:t xml:space="preserve"> en préstamos de vivienda para trabajadores que vean afectados su empleo o ingresos; y adelanto de las pensiones de adultos mayores por 21 </w:t>
      </w:r>
      <w:proofErr w:type="spellStart"/>
      <w:r w:rsidRPr="00C83A20">
        <w:rPr>
          <w:rFonts w:ascii="Arial" w:hAnsi="Arial" w:cs="Arial"/>
          <w:sz w:val="18"/>
          <w:szCs w:val="18"/>
        </w:rPr>
        <w:t>mmp</w:t>
      </w:r>
      <w:proofErr w:type="spellEnd"/>
      <w:r w:rsidRPr="00C83A20">
        <w:rPr>
          <w:rFonts w:ascii="Arial" w:hAnsi="Arial" w:cs="Arial"/>
          <w:sz w:val="18"/>
          <w:szCs w:val="18"/>
        </w:rPr>
        <w:t xml:space="preserve"> para que solventen los gastos extraordinarios derivados de la coyuntura. En los próximos días se presentarán acciones adicionales para enfrentar la emergencia.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estrategia del Gobierno de México busca un balance entre la necesidad de apoyar e impulsar la economía y la disciplina fiscal. Se reconoce la importancia de contar con un espacio fiscal como el considerado en el Decreto de Presupuesto de Egresos de la Federación, así como de asegurar el despliegue del gasto y la inversión que se necesitan en la coyuntura, con la finalidad de que las finanzas públicas no contribuyan a agravar la situación macroeconómica.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Para este fin se buscará mejorar la eficiencia recaudatoria y generar ahorros presupuestales, especialmente en el gasto corriente, para financiar los programas prioritarios del Gobierno Federal, así como para atender las eventualidades de emergencia de salud y económicas que se presenten como resultado del brote epidemiológico. Adicionalmente se planea privilegiar como fuente de financiamiento el uso de activos financieros del sector público con la finalidad de minimizar el uso de un mayor endeudamiento.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Las perspectivas macroeconómicas en la presente coyuntura tienen un elevado nivel de incertidumbre ante la complejidad de la situación de la epidemia, lo que dificulta establecer un pronóstico puntual de crecimiento para la economía nacional. Por este motivo se considera un rango de crecimiento del PIB para 2020 entre -3.9 y 0.1%, consistente con proyecciones de organismos internacionales y de analistas del sector privado. Las estimaciones de las finanzas públicas para 2020 se realizan bajo un escenario prudente que considere un balance de riesgos acorde con la elevada incertidumbre que existe sobre la actividad 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estas consideraciones, se estima que los Requerimientos Financieros del Sector Público (RFSP) ascenderán a 4.4% del PIB; el balance público registrará un déficit de 3.3% del PIB; mientras que el balance primario se ubicará en -0.4% del PIB. El Gobierno de México reitera la importancia de Pemex como activo estratégico de nuestro país y evalúa medidas de apoyo adicionales a las ya implementadas para este año. No obstante, Pemex buscará realizar economías, así como fuentes alternativas de ingresos para enfrentar los efectos sobre sus finanzas de la reducción en el precio del petróleo.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La velocidad del restablecimiento de la economía mundial y de la economía mexicana es todavía incierta, por lo que la responsabilidad en el manejo de las finanzas públicas por parte del Gobierno de México, así como la implementación de medidas </w:t>
      </w:r>
      <w:proofErr w:type="spellStart"/>
      <w:r w:rsidRPr="00C83A20">
        <w:rPr>
          <w:rFonts w:ascii="Arial" w:hAnsi="Arial" w:cs="Arial"/>
          <w:sz w:val="18"/>
          <w:szCs w:val="18"/>
        </w:rPr>
        <w:t>contracíclicas</w:t>
      </w:r>
      <w:proofErr w:type="spellEnd"/>
      <w:r w:rsidRPr="00C83A20">
        <w:rPr>
          <w:rFonts w:ascii="Arial" w:hAnsi="Arial" w:cs="Arial"/>
          <w:sz w:val="18"/>
          <w:szCs w:val="18"/>
        </w:rPr>
        <w:t xml:space="preserve"> orientadas a apoyar la economía de las y los mexicanos, nos permitirán superar el complejo entorno internacional y 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2019 la economía global mostró una desaceleración sincronizada resultado, en gran medida, del surgimiento y de la permanencia de tensiones comerciales, principalmente entre Estados Unidos y China, así como de la existencia de distintos conflictos geopolíticos. El Fondo Monetario Internacional (FMI) revisó a la baja sus pronósticos de crecimiento mundial en prácticamente todas las actualizaciones trimestrales del reporte de Perspectivas de la Economía Mundial. En su última revisión, la tasa de crecimiento mundial estimada para 2019 fue de 2.9%, el crecimiento más bajo desde la crisis financiera de 2008. En esta desaceleración se observó un deterioro en todos los países, tanto de la inversión como de la producción industrial, en particular la manufacturera. Hacia finales de 2019 y principios de 2020, el balance de riesgos cambió de manera positiva, principalmente por la conclusión exitosa de las negociaciones de la “fase 1” de un acuerdo comercial entre China y Estados Unidos. En este contexto, en su reporte sobre las Perspectivas de la Economía Mundial de enero de 2020, el FMI anticipó un repunte de las actividades manufacturera y comercial durante este año.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No obstante, durante los primeros meses de 2020 el entorno de la economía mundial ha presentado cambios importantes como resultado del surgimiento del brote epidémico denominado COVID-19 y su transformación en una pandemia global. Adicional a la pérdida de vidas humanas, la pandemia ha generado en diversos países retos importantes de salud pública. Las medidas sanitarias necesarias para mitigarla han tenido importantes repercusiones sobre la actividad económica, principalmente en los países afectados, aunque su efecto se ha extendido a todos los países a través de los precios de las materias primas, los mercados financieros, la menor demanda mundial y la incertidumbre sobre los efectos que tendrá en el crecimiento global. En este contexto, las proyecciones de la actividad económica global han estado sujetas a una constante revisión a la baja en un tiempo muy reducido. Así, entre el 5 y el 23 de marzo, el Instituto de Finanzas Internacionales (IIF, por sus siglas en inglés) recortó el crecimiento global de 1.0% a una contracción de 1.5%.</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precios internacionales del petróleo exhibieron una elevada volatilidad en 2019 resultado, principalmente, de la evolución de las tensiones comerciales y de la existencia de conflictos geopolíticos. Al cierre del año, estos precios mostraron una recuperación moderada, impulsada por incrementos en los recortes de la Organización de Países Exportadores de Petróleo (OPEP) y sus aliados y por el alivio de las tensiones comerciales. No obstante, en 2020, la mayor incertidumbre y las perspectivas de un menor crecimiento resultado de la propagación del COVID-19, propiciaron una caída en los precios del petróleo. En este contexto, las negociaciones entre la OPEP y sus aliados se vieron frustradas, lo que inició una guerra de precios entre Arabia Saudita y Rusia, generando reducciones adicionales en el precio del crudo.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desaceleración observada en 2019, la incertidumbre generada por los conflictos comerciales, y las menores presiones inflacionarias llevaron a un relajamiento de las condiciones monetarias de las economías avanzadas, lo cual dio espacio a los bancos centrales de las economías emergentes para reducir a su vez sus tasas de interés. En línea con las señales de estabilización de la actividad económica, a finales del cuarto trimestre de 2019 se observó una recomposición de portafolios hacia activos con mayor riesgo que se manifestó en ganancias importantes en los principales mercados mundiales de renta variable. No obstante, con la rápida propagación del COVID-19 se han observado notables episodios de volatilidad en los mercados financieros internacionales, desencadenado mayor aversión al riesgo y un aumento en la demanda de activos seguros. La respuesta de los bancos centrales ha sido decidida y rápida, reduciendo sus tasas de interés a niveles que no se veían desde la crisis financiera en 2008 y adoptando una serie importante de medidas no convencionales de política monetaria destinadas a asegurar la suficiente provisión de liquidez.</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rápida propagación del COVID-19 ha llevado a los gobiernos a implementar medidas de distanciamiento social voluntarias, recomendadas o forzosas con base en el escenario de transmisión en el que se encuentra cada país. Las regiones con mayor número de contagios han tomado medidas más drásticas, las cuales incluyen el cierre de fronteras, la suspensión de actividades académicas y laborales, la prohibición de la libre circulación y reunión de sus ciudadanos, y el cese de toda actividad comercial no esencial. Dichas medidas de contención, aunque necesarias, tendrán un efecto negativo en la actividad económica mundial al detener de manera simultánea tanto la oferta como la demanda.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Por el lado de la oferta, el cese de actividades laborales afecta tanto a las cadenas de suministros como de producción, y en consecuencia, las industrias, lo que tendrá efectos negativos sobre las cadenas globales de valor y el comercio exterior. Ante una menor demanda debido a las medidas de restricción de movilidad, el sector servicios se verá severamente impactado.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Por el lado de la demanda, se prevé una caída en la inversión por la alta incertidumbre; asimismo, la pérdida de empleo y la caída en el ingreso impactarán negativamente en el consumo. Finalmente, la desaceleración económica provocará una menor demanda de las materias primas, en particular del petróleo, presionando los precios de estas a la baja. Aunado a las pérdidas económicas, la pandemia del COVID-19 ha tenido efectos adversos en los mercados financieros internacionales. La percepción de riesgo e incertidumbre ha incrementado, lo cual provoca un menor flujo de capitales, reduce la inversión y la exposición a activos más riesgosos.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las monedas de los países emergentes productores de materias primas se han depreciado significativamente, mientras que sus primas de riesgo han aumentado. Los gobiernos y bancos centrales del mundo han anunciado diversas medidas con la intención de prevenir que la reducción en la actividad económica y la volatilidad de los mercados afecte de manera más persistente a los hogares, las empresas y el sistema financiero.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Durante 2019, la economía mundial mostró una desaceleración, lo que llevó a la tasa de expansión de la actividad económica a su menor ritmo de crecimiento estimado desde 2009. Esta desaceleración estuvo alineada con el desenvolvimiento del ciclo económico y con la presencia de tensiones comerciales, principalmente entre Estados Unidos y China. Si bien, al final del cuarto trimestre de 2019, el panorama de crecimiento comenzó a dar señales de recuperación y de menor incertidumbre geopolítica y comercial, en lo que va de 2020 las perspectivas de crecimiento se han deteriorado significativamente como resultado de la pandemia de COVID-19. En línea con lo anterior, </w:t>
      </w:r>
      <w:proofErr w:type="spellStart"/>
      <w:r w:rsidRPr="00C83A20">
        <w:rPr>
          <w:rFonts w:ascii="Arial" w:hAnsi="Arial" w:cs="Arial"/>
          <w:sz w:val="18"/>
          <w:szCs w:val="18"/>
        </w:rPr>
        <w:t>Kristalina</w:t>
      </w:r>
      <w:proofErr w:type="spellEnd"/>
      <w:r w:rsidRPr="00C83A20">
        <w:rPr>
          <w:rFonts w:ascii="Arial" w:hAnsi="Arial" w:cs="Arial"/>
          <w:sz w:val="18"/>
          <w:szCs w:val="18"/>
        </w:rPr>
        <w:t xml:space="preserve"> </w:t>
      </w:r>
      <w:proofErr w:type="spellStart"/>
      <w:r w:rsidRPr="00C83A20">
        <w:rPr>
          <w:rFonts w:ascii="Arial" w:hAnsi="Arial" w:cs="Arial"/>
          <w:sz w:val="18"/>
          <w:szCs w:val="18"/>
        </w:rPr>
        <w:t>Georgieva</w:t>
      </w:r>
      <w:proofErr w:type="spellEnd"/>
      <w:r w:rsidRPr="00C83A20">
        <w:rPr>
          <w:rFonts w:ascii="Arial" w:hAnsi="Arial" w:cs="Arial"/>
          <w:sz w:val="18"/>
          <w:szCs w:val="18"/>
        </w:rPr>
        <w:t>, Directora Gerente del FMI, consideró el pasado 29 de marzo que la economía mundial se encuentra en recesión. Por su parte, las proyecciones de crecimiento global publicadas por organismos financieros internacionales han sido superadas por la rápida evolución de la pandemia en diversas economías.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Si bien a finales de 2019 las perspectivas de crecimiento mostraban una mejoría para el 2020 debido a una relajación de las tensiones comerciales entre China y Estados Unidos, la información disponible durante enero y febrero apunta a que el crecimiento de la actividad económica en la región continuará desacelerándose. El proceso epidemiológico del COVID-19 inició más tarde en la región; sin embargo, la experiencia de las otras regiones apunta a un deterioro de las perspectivas de crecimiento. A este deterioro contribuyen una menor demanda de exportaciones de los países del cono sur por parte de China y menores precios de las materias primas. Así, en el bimestre </w:t>
      </w:r>
      <w:proofErr w:type="spellStart"/>
      <w:r w:rsidRPr="00C83A20">
        <w:rPr>
          <w:rFonts w:ascii="Arial" w:hAnsi="Arial" w:cs="Arial"/>
          <w:sz w:val="18"/>
          <w:szCs w:val="18"/>
        </w:rPr>
        <w:t>enerofebrero</w:t>
      </w:r>
      <w:proofErr w:type="spellEnd"/>
      <w:r w:rsidRPr="00C83A20">
        <w:rPr>
          <w:rFonts w:ascii="Arial" w:hAnsi="Arial" w:cs="Arial"/>
          <w:sz w:val="18"/>
          <w:szCs w:val="18"/>
        </w:rPr>
        <w:t xml:space="preserve">, las exportaciones de Argentina y Brasil registraron contracciones en su variación anual de 1.7 y 8.7%, respectivamente.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Adicionalmente, en enero, la producción industrial de estas economías registró una contracción en su crecimiento anual de 0.1% para Argentina y 0.9% en Brasil. Para 2020, las perspectivas de crecimiento sugieren que la actividad económica de los países emergentes registrará una mayor desaceleración respecto a lo que se observó en 2019, como consecuencia de una mayor incertidumbre para la inversión y las disrupciones en la oferta y la demanda internacional.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este contexto, en 2020 el precio del crudo ha presentado una caída importante. El 27 de marzo de 2020, el precio promedio de la mezcla mexicana se ubicó en 13.0 dpb, lo que representa una reducción de 76.8% respecto al precio al cierre de 2019 de 56.1 dpb. En este mismo periodo, los precios de los crudos West Texas </w:t>
      </w:r>
      <w:proofErr w:type="spellStart"/>
      <w:r w:rsidRPr="00C83A20">
        <w:rPr>
          <w:rFonts w:ascii="Arial" w:hAnsi="Arial" w:cs="Arial"/>
          <w:sz w:val="18"/>
          <w:szCs w:val="18"/>
        </w:rPr>
        <w:t>Intermediate</w:t>
      </w:r>
      <w:proofErr w:type="spellEnd"/>
      <w:r w:rsidRPr="00C83A20">
        <w:rPr>
          <w:rFonts w:ascii="Arial" w:hAnsi="Arial" w:cs="Arial"/>
          <w:sz w:val="18"/>
          <w:szCs w:val="18"/>
        </w:rPr>
        <w:t xml:space="preserve"> (WTI) y Brent fueron 21.5 y 24.5 dpb, respectivamente, inferiores a los registrados al cierre del año pasado de 61.1 y 66.4 dpb.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lo que va de 2020 la postura de la política monetaria internacional cambió como resultado de los efectos negativos que el brote del COVID-19 tuvo sobre la actividad económica, los cuales, según el FMI, han colocado a la economía mundial en recesión y han elevado la volatilidad de los mercados financieros, creando condiciones muy restrictivas de acceso al financiamiento y reduciendo la liquidez a nivel mundial. En este contexto, el 3 de marzo de 2020, los ministros de finanzas y los gobernadores de los bancos centrales del G-7 destacaron que, dado los posibles impactos económicos provenientes de la propagación del virus, reafirmaban su compromiso de utilizar todas Las herramientas de política monetaria y fiscal para seguir cumpliendo sus mandatos, apoyando así la estabilidad de precios, el crecimiento económico y la </w:t>
      </w:r>
      <w:r w:rsidRPr="00C83A20">
        <w:rPr>
          <w:rFonts w:ascii="Arial" w:hAnsi="Arial" w:cs="Arial"/>
          <w:sz w:val="18"/>
          <w:szCs w:val="18"/>
        </w:rPr>
        <w:lastRenderedPageBreak/>
        <w:t>estabilidad del sistema financiero. Durante marzo, diversos bancos centrales de economías avanzadas disminuyeron, algunos en reuniones extraordinarias, sus tasas de interés; destacan los casos de Estados Unidos, Australia, Canadá, Reino Unido y Nueva Zelanda. Asimismo, dentro del conjunto de economías emergentes Brasil, Chile, Filipinas, México, Sudáfrica, Turquía, Tailandia, Indonesia, Paraguay, Perú, Ucrania y Argentina redujeron sus tasas de referencia disminuyeron sus tasas entre 25 y 100 puntos base (</w:t>
      </w:r>
      <w:proofErr w:type="spellStart"/>
      <w:r w:rsidRPr="00C83A20">
        <w:rPr>
          <w:rFonts w:ascii="Arial" w:hAnsi="Arial" w:cs="Arial"/>
          <w:sz w:val="18"/>
          <w:szCs w:val="18"/>
        </w:rPr>
        <w:t>pb</w:t>
      </w:r>
      <w:proofErr w:type="spellEnd"/>
      <w:r w:rsidRPr="00C83A20">
        <w:rPr>
          <w:rFonts w:ascii="Arial" w:hAnsi="Arial" w:cs="Arial"/>
          <w:sz w:val="18"/>
          <w:szCs w:val="18"/>
        </w:rPr>
        <w:t>).</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Durante 2019, la economía de nuestro país mantuvo sólidos sus fundamentos macroeconómicos y mostró </w:t>
      </w:r>
      <w:proofErr w:type="spellStart"/>
      <w:r w:rsidRPr="00C83A20">
        <w:rPr>
          <w:rFonts w:ascii="Arial" w:hAnsi="Arial" w:cs="Arial"/>
          <w:sz w:val="18"/>
          <w:szCs w:val="18"/>
        </w:rPr>
        <w:t>resiliencia</w:t>
      </w:r>
      <w:proofErr w:type="spellEnd"/>
      <w:r w:rsidRPr="00C83A20">
        <w:rPr>
          <w:rFonts w:ascii="Arial" w:hAnsi="Arial" w:cs="Arial"/>
          <w:sz w:val="18"/>
          <w:szCs w:val="18"/>
        </w:rPr>
        <w:t xml:space="preserve"> ante diversos choques como son un panorama internacional con elevada incertidumbre resultado de los conflictos comerciales y las tensiones geopolíticas, así como una ralentización de la actividad interna. La conducción prudente de las políticas monetaria y fiscal permitió mantener la estabilidad macroeconómica, garantizando la estabilidad de precios y del sistema financiero, así como el cumplimiento de las metas fiscales y de los techos de endeudamiento comprometidos en el Paquete Económico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2020 la economía mexicana se enfrenta a un entorno más adverso debido a la propagación del COVID-19 y a los efectos colaterales que las medidas aplicadas por los distintos países para contener su transmisión tendrán sobre la economía global y sobre la economía mexicana. La guerra de precios del petróleo, iniciada el 7 de marzo, entre Rusia y Arabia Saudita, representa un factor agravante en el contexto actual. Aunque el balance de riesgos para el crecimiento de la economía mexicana en el presente año está sesgado a la baja, nuestro país cuenta con fundamentos macroeconómicos robustos, así como con salvaguardas y diversas opciones de política pública para afrontar un escenario adverso en 2020.</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primer bimestre de 2020, se observó una aceleración de las exportaciones automotrices, al aumentar 6.1% a tasa anual. Como resultado del bajo crecimiento de las exportaciones no automotrices, igual a 0.7%, las exportaciones manufactureras totales registraron un crecimiento moderado de 2.6% anual.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enero de 2020, el Indicador Global de la Actividad Económica (IGAE) presentó una caída en el año de 0.8%. A su interior, el sector agropecuario elevó su producción en 1.1% anual. La producción industrial tuvo una reducción anual de 1.6%, debido a una disminución de 8.6% en la construcción y de 0.9% en las manufacturas. En contraste, la minería y la electricidad crecieron 5.8 y 0.4% anual, respectivamente. En particular, durante el primer bimestre de 2020, la producción total de la industria automotriz fue prácticamente nula (0.1%). Por último, el sector servicios presentó una contracción de 0.5% anual en enero de 2020, debido principalmente a las caídas de 2.0% anual del comercio al por mayor, 1.7% en servicios educativos, de salud y asistencia social, y 0.3% en los servicios financieros e inmobiliarios.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2019 y 2020 los mercados financieros locales mostraron un desempeño mixto en el que destacan periodos de alta volatilidad asociados a eventos ocurridos en el ámbito internacional. Esta volatilidad se ha acentuado desde finales de febrero de 2020, como resultado de la mayor incertidumbre global en torno a la pandemia de COVID-19, por la velocidad con la que el virus se ha propagado y el número de países que han sido afectados. Adicional al costo para los sistemas de salud y la pérdida de vidas humanas, los mercados financieros han anticipado que las medidas de contención y distanciamiento social afectarán al crecimiento en los países y el comercio mundial, pero la magnitud del impacto en el año y en los diferentes países está aún sujeta a una importante incertidumbre.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anticipación al efecto que estos dos choques externos tendrán sobre el crecimiento de la economía global, y en particular sobre la economía mexicana, se observaron incrementos en las primas de riesgo de la deuda soberana y una fuerte depreciación de la moneda nacional. Estos hechos estuvieron en línea con lo observado en otros países emergentes o productores de petróleo, como México. En el mismo sentido, el mercado accionario ha registrado pérdidas asociadas a la pronunciada aversión al riesgo. En marzo de 2020 el Índice de Precios y Cotizaciones de la Bolsa Mexicana de Valores registró sus mayores caídas tanto diaria como semanal desde la crisis financiera.</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Durante los primeros meses de 2020, la inflación subyacente anual exhibió un aumento marginal, al alcanzar un nivel de 3.60% en la primera quincena de marzo. Por otro lado, incrementos en los precios de productos agropecuarios combinados con un crecimiento de las tarifas autorizadas por el gobierno, han presionado la inflación no subyacente a la primera quincena de marzo, registrando un nivel anual de 4.04%, ello a pesar de que los precios de los energéticos no presentaron aumentos.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choques externos de conflictos geopolíticos y comerciales exacerbados por la pandemia de COVID-19, permiten anticipar una disminución de la actividad económica en 2020. Los efectos negativos en el PIB estarán asociados con las medidas de contención y distanciamiento social que se llevan a cabo con la intención de evitar la mayor cantidad de fallecimientos por la enfermedad y la saturación del sistema de salud. Existe una disyuntiva entre la severidad de las medidas de contención y el costo económico que estas medidas podrían traer. En un escenario sin medidas el costo económico estaría dado por la pérdida de vidas y los periodos de ausentismo laboral. En cambio, cuando existen medidas sanitarias el costo de vidas y los periodos de ausentismo baja, pero el costo económico aumenta significativamente.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previsión de crecimiento de la Secretaría de Hacienda y Crédito Público para 2020 se encuentra en línea con el esperado por algunos especialistas del sector privado y de organismos internacionales. Los crecimientos publicados por el Banco de México, el FMI y la OCDE son 1.6, 1.0 y 0.7%, respectivamente, donde solo la OCDE ha hecho revisión a su pronóstico en la coyuntura de la pandemia de COVID-19. En la encuesta </w:t>
      </w:r>
      <w:proofErr w:type="spellStart"/>
      <w:r w:rsidRPr="00C83A20">
        <w:rPr>
          <w:rFonts w:ascii="Arial" w:hAnsi="Arial" w:cs="Arial"/>
          <w:sz w:val="18"/>
          <w:szCs w:val="18"/>
        </w:rPr>
        <w:t>Citibanamex</w:t>
      </w:r>
      <w:proofErr w:type="spellEnd"/>
      <w:r w:rsidRPr="00C83A20">
        <w:rPr>
          <w:rFonts w:ascii="Arial" w:hAnsi="Arial" w:cs="Arial"/>
          <w:sz w:val="18"/>
          <w:szCs w:val="18"/>
        </w:rPr>
        <w:t xml:space="preserve"> con fecha 20 de marzo de 2020, con 25 participantes del sector financiero, la mediana de los pronósticos anticipa una contracción de 3.0% para 2020 y un crecimiento de 1.7% para 2021. Asimismo, la mediana de los pronósticos en la encuesta Banxico de expectativas de los especialistas publicada el 1 de abril, esperan una contracción del PIB en 2020 de 3.5% y un crecimiento de 1.7% en 2021.</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Si bien es probable que la demanda interna se contraiga en el primer y segundo trimestre del 2020, se espera una recuperación relativamente rápida al concluir la contingencia sanitaria en el tercer y cuarto trimestre del año. Igualmente, la </w:t>
      </w:r>
      <w:proofErr w:type="spellStart"/>
      <w:r w:rsidRPr="00C83A20">
        <w:rPr>
          <w:rFonts w:ascii="Arial" w:hAnsi="Arial" w:cs="Arial"/>
          <w:sz w:val="18"/>
          <w:szCs w:val="18"/>
        </w:rPr>
        <w:t>resiliencia</w:t>
      </w:r>
      <w:proofErr w:type="spellEnd"/>
      <w:r w:rsidRPr="00C83A20">
        <w:rPr>
          <w:rFonts w:ascii="Arial" w:hAnsi="Arial" w:cs="Arial"/>
          <w:sz w:val="18"/>
          <w:szCs w:val="18"/>
        </w:rPr>
        <w:t xml:space="preserve"> de la economía mexicana y sus buenos fundamentos, así como el efecto de las mejoras al sector financiero implementadas a inicios de 2019, ayudarán a contener la caída en el PIB, a mantener un sistema financiero saludable y a recuperar la senda de crecimiento.  Finalmente, se espera la recuperación gradual de la plataforma de producción de petróleo, lo cual implica observar niveles de crecimiento de la producción en el mediano plazo.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Estado viven 1</w:t>
      </w:r>
      <w:proofErr w:type="gramStart"/>
      <w:r w:rsidRPr="00C83A20">
        <w:rPr>
          <w:rFonts w:ascii="Arial" w:hAnsi="Arial" w:cs="Arial"/>
          <w:sz w:val="18"/>
          <w:szCs w:val="18"/>
        </w:rPr>
        <w:t>,272,847</w:t>
      </w:r>
      <w:proofErr w:type="gramEnd"/>
      <w:r w:rsidRPr="00C83A20">
        <w:rPr>
          <w:rFonts w:ascii="Arial" w:hAnsi="Arial" w:cs="Arial"/>
          <w:sz w:val="18"/>
          <w:szCs w:val="18"/>
        </w:rPr>
        <w:t xml:space="preserve">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lastRenderedPageBreak/>
        <w:drawing>
          <wp:inline distT="0" distB="0" distL="0" distR="0">
            <wp:extent cx="2559050" cy="3555365"/>
            <wp:effectExtent l="0" t="0" r="0" b="698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9050" cy="355536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w:t>
      </w:r>
      <w:proofErr w:type="spellStart"/>
      <w:r w:rsidRPr="00C83A20">
        <w:rPr>
          <w:rFonts w:ascii="Arial" w:hAnsi="Arial" w:cs="Arial"/>
          <w:sz w:val="18"/>
          <w:szCs w:val="18"/>
        </w:rPr>
        <w:t>mdd</w:t>
      </w:r>
      <w:proofErr w:type="spellEnd"/>
      <w:r w:rsidRPr="00C83A20">
        <w:rPr>
          <w:rFonts w:ascii="Arial" w:hAnsi="Arial" w:cs="Arial"/>
          <w:sz w:val="18"/>
          <w:szCs w:val="18"/>
        </w:rPr>
        <w:t>)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cuarto trimestre de 2019 es de 623 mil 082 personas y representa 1.1% del total nacional. La población ocupada representó 97% de la PEA de la entidad, es decir, 600 mil 972 personas. De esta población, 59.4 % son hombres y 40.6 % son mujeres. Un dato a destacar es el aumento de la participación laboral femenina en el estado. En 2000, la proporción de mujeres trabajadoras tlaxcaltecas dentro de la población ocupada total era de 34%. Actualmente, alcanza 41%, 2 puntos porcentuales mayor al promedio nacional.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Al mes de febrero de 2020 la tasa de ocupación reflejó una participación del 1.1 % al total nacional, representando un incremento de 838 puestos de trabajo respecto a diciembre de 2019. Al mes de febrero de 2020, se tienen registrados 103,111 trabajadores asegurados en el IMSS, tal y como se muestra en el siguiente cuadro:</w:t>
      </w: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drawing>
          <wp:inline distT="0" distB="0" distL="0" distR="0">
            <wp:extent cx="7874758" cy="3841593"/>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5239" t="28630" r="14607" b="10730"/>
                    <a:stretch>
                      <a:fillRect/>
                    </a:stretch>
                  </pic:blipFill>
                  <pic:spPr bwMode="auto">
                    <a:xfrm>
                      <a:off x="0" y="0"/>
                      <a:ext cx="7965412" cy="3885818"/>
                    </a:xfrm>
                    <a:prstGeom prst="rect">
                      <a:avLst/>
                    </a:prstGeom>
                    <a:noFill/>
                    <a:ln>
                      <a:noFill/>
                    </a:ln>
                  </pic:spPr>
                </pic:pic>
              </a:graphicData>
            </a:graphic>
          </wp:inline>
        </w:drawing>
      </w: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lastRenderedPageBreak/>
        <w:drawing>
          <wp:inline distT="0" distB="0" distL="0" distR="0">
            <wp:extent cx="7253605" cy="524065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9143" t="30194" r="28973" b="13657"/>
                    <a:stretch>
                      <a:fillRect/>
                    </a:stretch>
                  </pic:blipFill>
                  <pic:spPr bwMode="auto">
                    <a:xfrm>
                      <a:off x="0" y="0"/>
                      <a:ext cx="7253605" cy="524065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De acuerdo al Directorio Estadístico Nacional de Unidades Económicas, Tlaxcala cuenta con 81,102 Unidades Económicas, lo que representa el 2 % del total nacional. Al cuarto trimestre de 2019 la Población Económicamente Activa (PEA) ascendió a 623,082 personas, representando el 63 % de la población en edad de trabajar. Del Total de la PEA, el 97 % está ocupada y el 3 % se encuentra desocupada.</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drawing>
          <wp:inline distT="0" distB="0" distL="0" distR="0">
            <wp:extent cx="6175375" cy="46882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31357" t="33105" r="30478" b="14977"/>
                    <a:stretch>
                      <a:fillRect/>
                    </a:stretch>
                  </pic:blipFill>
                  <pic:spPr bwMode="auto">
                    <a:xfrm>
                      <a:off x="0" y="0"/>
                      <a:ext cx="6175375" cy="468820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Al tercer trimestre de 2019, la Inversión Extranjera Directa Acumulada del año 2011 al mes de septiembre de 2019 en el Estado de Tlaxcala fue de 1,532.9 millones de dólares lo que representó un aporte del 1% al total nacional, instalándose empresas de diversas nacionalidades en la Entidad.</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noProof/>
          <w:sz w:val="18"/>
          <w:szCs w:val="18"/>
          <w:lang w:eastAsia="es-MX"/>
        </w:rPr>
        <w:drawing>
          <wp:inline distT="0" distB="0" distL="0" distR="0">
            <wp:extent cx="8065770" cy="52406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65770" cy="524065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noProof/>
          <w:sz w:val="18"/>
          <w:szCs w:val="18"/>
          <w:lang w:eastAsia="es-MX"/>
        </w:rPr>
        <w:lastRenderedPageBreak/>
        <mc:AlternateContent>
          <mc:Choice Requires="wps">
            <w:drawing>
              <wp:anchor distT="0" distB="0" distL="114300" distR="114300" simplePos="0" relativeHeight="251687936"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DB844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C83A20">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El poco dinamismo de la economía regional, restringe al Estado para incrementar significativamente su recaudación propia; de 2011 a 2019, los ingresos propios promediaron entre el 4 y 6 por ciento de los ingresos totales captados. Se han implementado algunas medidas que incentivaron el pago de impuestos para reducir el rezago fiscal, particularmente en materia de tenencia y derechos vehiculares.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 xml:space="preserve">Garantizar </w:t>
      </w:r>
      <w:r>
        <w:rPr>
          <w:rFonts w:ascii="Arial" w:hAnsi="Arial" w:cs="Arial"/>
          <w:sz w:val="18"/>
          <w:szCs w:val="18"/>
        </w:rPr>
        <w:lastRenderedPageBreak/>
        <w:t>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AA16F7" w:rsidRDefault="00AA16F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AA16F7" w:rsidRDefault="00AA16F7"/>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AA16F7" w:rsidRDefault="00AA16F7"/>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AA16F7" w:rsidRDefault="00AA16F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AA16F7" w:rsidRDefault="00AA16F7">
                        <w:r>
                          <w:rPr>
                            <w:rFonts w:ascii="Arial" w:hAnsi="Arial" w:cs="Arial"/>
                            <w:color w:val="000000"/>
                            <w:sz w:val="18"/>
                            <w:szCs w:val="18"/>
                            <w:lang w:val="en-US"/>
                          </w:rPr>
                          <w:t>C.P. Román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AA16F7" w:rsidRDefault="00AA16F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AA16F7" w:rsidRDefault="00AA16F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9B1" w:rsidRDefault="00EC59B1" w:rsidP="00EA5418">
      <w:pPr>
        <w:spacing w:after="0" w:line="240" w:lineRule="auto"/>
      </w:pPr>
      <w:r>
        <w:separator/>
      </w:r>
    </w:p>
  </w:endnote>
  <w:endnote w:type="continuationSeparator" w:id="0">
    <w:p w:rsidR="00EC59B1" w:rsidRDefault="00EC59B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Pr="004E3EA4" w:rsidRDefault="00AA16F7"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EA1C24" w:rsidRPr="00EA1C24">
          <w:rPr>
            <w:rFonts w:ascii="Arial" w:hAnsi="Arial" w:cs="Arial"/>
            <w:noProof/>
            <w:sz w:val="20"/>
            <w:lang w:val="es-ES"/>
          </w:rPr>
          <w:t>2</w:t>
        </w:r>
        <w:r w:rsidRPr="004E3EA4">
          <w:rPr>
            <w:rFonts w:ascii="Arial" w:hAnsi="Arial" w:cs="Arial"/>
            <w:sz w:val="20"/>
          </w:rPr>
          <w:fldChar w:fldCharType="end"/>
        </w:r>
      </w:sdtContent>
    </w:sdt>
  </w:p>
  <w:p w:rsidR="00AA16F7" w:rsidRDefault="00AA16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Pr="003527CD" w:rsidRDefault="00AA16F7"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EA1C24" w:rsidRPr="00EA1C24">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9B1" w:rsidRDefault="00EC59B1" w:rsidP="00EA5418">
      <w:pPr>
        <w:spacing w:after="0" w:line="240" w:lineRule="auto"/>
      </w:pPr>
      <w:r>
        <w:separator/>
      </w:r>
    </w:p>
  </w:footnote>
  <w:footnote w:type="continuationSeparator" w:id="0">
    <w:p w:rsidR="00EC59B1" w:rsidRDefault="00EC59B1"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Default="00F1035F">
    <w:pPr>
      <w:pStyle w:val="Encabezado"/>
    </w:pPr>
    <w:r>
      <w:rPr>
        <w:noProof/>
        <w:lang w:eastAsia="es-MX"/>
      </w:rPr>
      <mc:AlternateContent>
        <mc:Choice Requires="wps">
          <w:drawing>
            <wp:anchor distT="0" distB="0" distL="114300" distR="114300" simplePos="0" relativeHeight="251668480" behindDoc="0" locked="0" layoutInCell="1" allowOverlap="1" wp14:anchorId="18036602" wp14:editId="556D2C19">
              <wp:simplePos x="0" y="0"/>
              <wp:positionH relativeFrom="column">
                <wp:posOffset>1971675</wp:posOffset>
              </wp:positionH>
              <wp:positionV relativeFrom="paragraph">
                <wp:posOffset>-259081</wp:posOffset>
              </wp:positionV>
              <wp:extent cx="3648075" cy="688975"/>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A16F7" w:rsidRDefault="00AA16F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A16F7" w:rsidRPr="00275FC6" w:rsidRDefault="00AA16F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36602" id="_x0000_t202" coordsize="21600,21600" o:spt="202" path="m,l,21600r21600,l21600,xe">
              <v:stroke joinstyle="miter"/>
              <v:path gradientshapeok="t" o:connecttype="rect"/>
            </v:shapetype>
            <v:shape id="Cuadro de texto 5" o:spid="_x0000_s1102" type="#_x0000_t202" style="position:absolute;margin-left:155.25pt;margin-top:-20.4pt;width:287.25pt;height:5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" filled="f" stroked="f">
              <v:textbox>
                <w:txbxContent>
                  <w:p w:rsidR="00AA16F7" w:rsidRDefault="00AA16F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A16F7" w:rsidRDefault="00AA16F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A16F7" w:rsidRPr="00275FC6" w:rsidRDefault="00AA16F7" w:rsidP="00040466">
                    <w:pPr>
                      <w:jc w:val="right"/>
                      <w:rPr>
                        <w:rFonts w:ascii="Soberana Titular" w:hAnsi="Soberana Titular" w:cs="Arial"/>
                        <w:color w:val="808080" w:themeColor="background1" w:themeShade="80"/>
                        <w:sz w:val="20"/>
                        <w:szCs w:val="20"/>
                      </w:rPr>
                    </w:pPr>
                  </w:p>
                </w:txbxContent>
              </v:textbox>
            </v:shape>
          </w:pict>
        </mc:Fallback>
      </mc:AlternateContent>
    </w:r>
    <w:r w:rsidR="00AA16F7">
      <w:rPr>
        <w:noProof/>
        <w:lang w:eastAsia="es-MX"/>
      </w:rPr>
      <mc:AlternateContent>
        <mc:Choice Requires="wpg">
          <w:drawing>
            <wp:anchor distT="0" distB="0" distL="114300" distR="114300" simplePos="0" relativeHeight="251669504" behindDoc="0" locked="0" layoutInCell="1" allowOverlap="1" wp14:anchorId="74192E77" wp14:editId="0518806C">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6F7" w:rsidRPr="00DE4269" w:rsidRDefault="00AA16F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92E77"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AA16F7" w:rsidRPr="00DE4269" w:rsidRDefault="00AA16F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sidR="00AA16F7">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BAED2B3" wp14:editId="5CD5F11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Pr="003527CD" w:rsidRDefault="00AA16F7"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1"/>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E57"/>
    <w:rsid w:val="00040466"/>
    <w:rsid w:val="000417DA"/>
    <w:rsid w:val="00043D1E"/>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4867"/>
    <w:rsid w:val="000A5776"/>
    <w:rsid w:val="000A58AB"/>
    <w:rsid w:val="000A7734"/>
    <w:rsid w:val="000A7AB8"/>
    <w:rsid w:val="000B54AD"/>
    <w:rsid w:val="000B552D"/>
    <w:rsid w:val="000B62E8"/>
    <w:rsid w:val="000B6E5A"/>
    <w:rsid w:val="000C6E95"/>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F03"/>
    <w:rsid w:val="001203B5"/>
    <w:rsid w:val="00120A86"/>
    <w:rsid w:val="001210DD"/>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2B7D"/>
    <w:rsid w:val="00174F47"/>
    <w:rsid w:val="001769D8"/>
    <w:rsid w:val="0018603D"/>
    <w:rsid w:val="001872A3"/>
    <w:rsid w:val="00191085"/>
    <w:rsid w:val="00192770"/>
    <w:rsid w:val="00192B86"/>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E20"/>
    <w:rsid w:val="0027627B"/>
    <w:rsid w:val="00280CD3"/>
    <w:rsid w:val="002858C7"/>
    <w:rsid w:val="00287D90"/>
    <w:rsid w:val="00290A24"/>
    <w:rsid w:val="00295D09"/>
    <w:rsid w:val="00295FCC"/>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BEE"/>
    <w:rsid w:val="002E3C2E"/>
    <w:rsid w:val="002E4A3B"/>
    <w:rsid w:val="002E52F9"/>
    <w:rsid w:val="002F546C"/>
    <w:rsid w:val="00300EF3"/>
    <w:rsid w:val="0030292A"/>
    <w:rsid w:val="00302E39"/>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30FB"/>
    <w:rsid w:val="00354047"/>
    <w:rsid w:val="0035405F"/>
    <w:rsid w:val="0035468F"/>
    <w:rsid w:val="00356170"/>
    <w:rsid w:val="003612CA"/>
    <w:rsid w:val="00365BA0"/>
    <w:rsid w:val="00370FF6"/>
    <w:rsid w:val="00372F40"/>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51A0"/>
    <w:rsid w:val="00396C2B"/>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41E7C"/>
    <w:rsid w:val="0044253C"/>
    <w:rsid w:val="004466A7"/>
    <w:rsid w:val="00451963"/>
    <w:rsid w:val="00454129"/>
    <w:rsid w:val="00454250"/>
    <w:rsid w:val="00463B0D"/>
    <w:rsid w:val="0046425D"/>
    <w:rsid w:val="00464409"/>
    <w:rsid w:val="004644D4"/>
    <w:rsid w:val="004649FD"/>
    <w:rsid w:val="00466C1E"/>
    <w:rsid w:val="004714CF"/>
    <w:rsid w:val="00474420"/>
    <w:rsid w:val="00480F7F"/>
    <w:rsid w:val="004842C3"/>
    <w:rsid w:val="00484C0D"/>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50183B"/>
    <w:rsid w:val="00502DDD"/>
    <w:rsid w:val="00503454"/>
    <w:rsid w:val="00513E7E"/>
    <w:rsid w:val="00514F2B"/>
    <w:rsid w:val="00516599"/>
    <w:rsid w:val="0052034A"/>
    <w:rsid w:val="00521715"/>
    <w:rsid w:val="00521728"/>
    <w:rsid w:val="00522632"/>
    <w:rsid w:val="00522815"/>
    <w:rsid w:val="00522EF3"/>
    <w:rsid w:val="005243D9"/>
    <w:rsid w:val="0052562F"/>
    <w:rsid w:val="0052637F"/>
    <w:rsid w:val="00530DED"/>
    <w:rsid w:val="0053277D"/>
    <w:rsid w:val="005327CE"/>
    <w:rsid w:val="0053400D"/>
    <w:rsid w:val="00534F38"/>
    <w:rsid w:val="00540418"/>
    <w:rsid w:val="00543F97"/>
    <w:rsid w:val="00545527"/>
    <w:rsid w:val="00550363"/>
    <w:rsid w:val="00553CB3"/>
    <w:rsid w:val="00555BC2"/>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3CCB"/>
    <w:rsid w:val="005A53BA"/>
    <w:rsid w:val="005A57AD"/>
    <w:rsid w:val="005B048C"/>
    <w:rsid w:val="005B0F75"/>
    <w:rsid w:val="005B1C69"/>
    <w:rsid w:val="005C02A4"/>
    <w:rsid w:val="005C0F25"/>
    <w:rsid w:val="005C1613"/>
    <w:rsid w:val="005C1E73"/>
    <w:rsid w:val="005C36E3"/>
    <w:rsid w:val="005C4BC3"/>
    <w:rsid w:val="005D3D25"/>
    <w:rsid w:val="005D5223"/>
    <w:rsid w:val="005D568E"/>
    <w:rsid w:val="005E68A5"/>
    <w:rsid w:val="005E7914"/>
    <w:rsid w:val="005F253A"/>
    <w:rsid w:val="005F3B9E"/>
    <w:rsid w:val="005F4F77"/>
    <w:rsid w:val="005F52B3"/>
    <w:rsid w:val="005F7D1B"/>
    <w:rsid w:val="00600110"/>
    <w:rsid w:val="00600878"/>
    <w:rsid w:val="00601D73"/>
    <w:rsid w:val="00602E51"/>
    <w:rsid w:val="006030B3"/>
    <w:rsid w:val="00603BFE"/>
    <w:rsid w:val="006049C8"/>
    <w:rsid w:val="00605027"/>
    <w:rsid w:val="0060657D"/>
    <w:rsid w:val="006071BA"/>
    <w:rsid w:val="00612203"/>
    <w:rsid w:val="00612216"/>
    <w:rsid w:val="006132FB"/>
    <w:rsid w:val="00622823"/>
    <w:rsid w:val="00623ACB"/>
    <w:rsid w:val="006253D1"/>
    <w:rsid w:val="00632109"/>
    <w:rsid w:val="00632C87"/>
    <w:rsid w:val="006331B3"/>
    <w:rsid w:val="0063488B"/>
    <w:rsid w:val="006356AA"/>
    <w:rsid w:val="00637A48"/>
    <w:rsid w:val="006429DB"/>
    <w:rsid w:val="0064409F"/>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42ED"/>
    <w:rsid w:val="006944EF"/>
    <w:rsid w:val="006A289F"/>
    <w:rsid w:val="006A33FB"/>
    <w:rsid w:val="006B1FE7"/>
    <w:rsid w:val="006C2C92"/>
    <w:rsid w:val="006C54B8"/>
    <w:rsid w:val="006D2166"/>
    <w:rsid w:val="006D3DF1"/>
    <w:rsid w:val="006D5097"/>
    <w:rsid w:val="006D5AC5"/>
    <w:rsid w:val="006E2D9E"/>
    <w:rsid w:val="006E77DD"/>
    <w:rsid w:val="006E7F02"/>
    <w:rsid w:val="006F0CCF"/>
    <w:rsid w:val="006F2058"/>
    <w:rsid w:val="006F23B1"/>
    <w:rsid w:val="006F4379"/>
    <w:rsid w:val="006F4C3C"/>
    <w:rsid w:val="006F6AC2"/>
    <w:rsid w:val="007004C7"/>
    <w:rsid w:val="00702079"/>
    <w:rsid w:val="0070431B"/>
    <w:rsid w:val="00707693"/>
    <w:rsid w:val="007103D4"/>
    <w:rsid w:val="007149DA"/>
    <w:rsid w:val="007156AF"/>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6082"/>
    <w:rsid w:val="008805C8"/>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7129"/>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7E66"/>
    <w:rsid w:val="00AA16F7"/>
    <w:rsid w:val="00AA3279"/>
    <w:rsid w:val="00AA6498"/>
    <w:rsid w:val="00AB2062"/>
    <w:rsid w:val="00AB3613"/>
    <w:rsid w:val="00AB5D6A"/>
    <w:rsid w:val="00AC2CB6"/>
    <w:rsid w:val="00AD27C1"/>
    <w:rsid w:val="00AD46DD"/>
    <w:rsid w:val="00AD4F95"/>
    <w:rsid w:val="00AE0E84"/>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411EA"/>
    <w:rsid w:val="00C431B4"/>
    <w:rsid w:val="00C4471C"/>
    <w:rsid w:val="00C458D3"/>
    <w:rsid w:val="00C502CF"/>
    <w:rsid w:val="00C50527"/>
    <w:rsid w:val="00C509E2"/>
    <w:rsid w:val="00C51FAB"/>
    <w:rsid w:val="00C5304F"/>
    <w:rsid w:val="00C5373A"/>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92473"/>
    <w:rsid w:val="00DA1B01"/>
    <w:rsid w:val="00DA68FB"/>
    <w:rsid w:val="00DA6BE0"/>
    <w:rsid w:val="00DB3AF6"/>
    <w:rsid w:val="00DB4C18"/>
    <w:rsid w:val="00DB53FB"/>
    <w:rsid w:val="00DC4EE2"/>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867"/>
    <w:rsid w:val="00E23A75"/>
    <w:rsid w:val="00E2421E"/>
    <w:rsid w:val="00E25A1C"/>
    <w:rsid w:val="00E30318"/>
    <w:rsid w:val="00E32708"/>
    <w:rsid w:val="00E32B77"/>
    <w:rsid w:val="00E37034"/>
    <w:rsid w:val="00E37782"/>
    <w:rsid w:val="00E44022"/>
    <w:rsid w:val="00E442EC"/>
    <w:rsid w:val="00E505EF"/>
    <w:rsid w:val="00E545B2"/>
    <w:rsid w:val="00E651B5"/>
    <w:rsid w:val="00E70E56"/>
    <w:rsid w:val="00E75CE5"/>
    <w:rsid w:val="00E768E8"/>
    <w:rsid w:val="00E8055E"/>
    <w:rsid w:val="00E82195"/>
    <w:rsid w:val="00E828CB"/>
    <w:rsid w:val="00E83362"/>
    <w:rsid w:val="00E87962"/>
    <w:rsid w:val="00E90D36"/>
    <w:rsid w:val="00E913D9"/>
    <w:rsid w:val="00E91553"/>
    <w:rsid w:val="00E94AAC"/>
    <w:rsid w:val="00EA186A"/>
    <w:rsid w:val="00EA19C2"/>
    <w:rsid w:val="00EA1C24"/>
    <w:rsid w:val="00EA5418"/>
    <w:rsid w:val="00EA5AD0"/>
    <w:rsid w:val="00EA6927"/>
    <w:rsid w:val="00EA6BE9"/>
    <w:rsid w:val="00EB2A4A"/>
    <w:rsid w:val="00EB3D8F"/>
    <w:rsid w:val="00EC0BE3"/>
    <w:rsid w:val="00EC1EBD"/>
    <w:rsid w:val="00EC56A4"/>
    <w:rsid w:val="00EC59B1"/>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62F8"/>
    <w:rsid w:val="00F011BD"/>
    <w:rsid w:val="00F016BA"/>
    <w:rsid w:val="00F01B31"/>
    <w:rsid w:val="00F03C78"/>
    <w:rsid w:val="00F1035F"/>
    <w:rsid w:val="00F16A95"/>
    <w:rsid w:val="00F177C0"/>
    <w:rsid w:val="00F17C0D"/>
    <w:rsid w:val="00F20F31"/>
    <w:rsid w:val="00F2612E"/>
    <w:rsid w:val="00F30A85"/>
    <w:rsid w:val="00F32EC8"/>
    <w:rsid w:val="00F34C98"/>
    <w:rsid w:val="00F364E9"/>
    <w:rsid w:val="00F40A84"/>
    <w:rsid w:val="00F424B7"/>
    <w:rsid w:val="00F4519D"/>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C4B1B"/>
    <w:rsid w:val="00FD5A63"/>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F0D11-D6DE-4687-A733-5401A2D82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34</Pages>
  <Words>10342</Words>
  <Characters>56886</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67094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3</cp:revision>
  <cp:lastPrinted>2020-04-23T16:29:00Z</cp:lastPrinted>
  <dcterms:created xsi:type="dcterms:W3CDTF">2020-04-15T18:45:00Z</dcterms:created>
  <dcterms:modified xsi:type="dcterms:W3CDTF">2020-04-23T16:32:00Z</dcterms:modified>
</cp:coreProperties>
</file>