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0060C0">
        <w:rPr>
          <w:rFonts w:ascii="Arial" w:hAnsi="Arial" w:cs="Arial"/>
          <w:sz w:val="18"/>
          <w:szCs w:val="18"/>
        </w:rPr>
        <w:t>689</w:t>
      </w:r>
      <w:r>
        <w:rPr>
          <w:rFonts w:ascii="Arial" w:hAnsi="Arial" w:cs="Arial"/>
          <w:sz w:val="18"/>
          <w:szCs w:val="18"/>
        </w:rPr>
        <w:t>,</w:t>
      </w:r>
      <w:r w:rsidR="000060C0">
        <w:rPr>
          <w:rFonts w:ascii="Arial" w:hAnsi="Arial" w:cs="Arial"/>
          <w:sz w:val="18"/>
          <w:szCs w:val="18"/>
        </w:rPr>
        <w:t>118</w:t>
      </w:r>
      <w:r>
        <w:rPr>
          <w:rFonts w:ascii="Arial" w:hAnsi="Arial" w:cs="Arial"/>
          <w:sz w:val="18"/>
          <w:szCs w:val="18"/>
        </w:rPr>
        <w:t>,</w:t>
      </w:r>
      <w:r w:rsidR="000060C0">
        <w:rPr>
          <w:rFonts w:ascii="Arial" w:hAnsi="Arial" w:cs="Arial"/>
          <w:sz w:val="18"/>
          <w:szCs w:val="18"/>
        </w:rPr>
        <w:t>023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060C0">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0060C0">
        <w:rPr>
          <w:rFonts w:ascii="Arial" w:hAnsi="Arial" w:cs="Arial"/>
          <w:sz w:val="18"/>
          <w:szCs w:val="18"/>
        </w:rPr>
        <w:t>55</w:t>
      </w:r>
      <w:r>
        <w:rPr>
          <w:rFonts w:ascii="Arial" w:hAnsi="Arial" w:cs="Arial"/>
          <w:sz w:val="18"/>
          <w:szCs w:val="18"/>
        </w:rPr>
        <w:t>,</w:t>
      </w:r>
      <w:r w:rsidR="000060C0">
        <w:rPr>
          <w:rFonts w:ascii="Arial" w:hAnsi="Arial" w:cs="Arial"/>
          <w:sz w:val="18"/>
          <w:szCs w:val="18"/>
        </w:rPr>
        <w:t>625</w:t>
      </w:r>
      <w:r>
        <w:rPr>
          <w:rFonts w:ascii="Arial" w:hAnsi="Arial" w:cs="Arial"/>
          <w:sz w:val="18"/>
          <w:szCs w:val="18"/>
        </w:rPr>
        <w:t>,</w:t>
      </w:r>
      <w:r w:rsidR="000060C0">
        <w:rPr>
          <w:rFonts w:ascii="Arial" w:hAnsi="Arial" w:cs="Arial"/>
          <w:sz w:val="18"/>
          <w:szCs w:val="18"/>
        </w:rPr>
        <w:t>412</w:t>
      </w:r>
      <w:r w:rsidRPr="0073056A">
        <w:rPr>
          <w:rFonts w:ascii="Arial" w:hAnsi="Arial" w:cs="Arial"/>
          <w:sz w:val="18"/>
          <w:szCs w:val="18"/>
        </w:rPr>
        <w:t xml:space="preserve"> que se tiene al cierre del </w:t>
      </w:r>
      <w:r w:rsidR="000060C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769D8">
        <w:rPr>
          <w:rFonts w:ascii="Arial" w:hAnsi="Arial" w:cs="Arial"/>
          <w:sz w:val="18"/>
          <w:szCs w:val="18"/>
        </w:rPr>
        <w:t>5</w:t>
      </w:r>
      <w:r w:rsidR="00C357D1">
        <w:rPr>
          <w:rFonts w:ascii="Arial" w:hAnsi="Arial" w:cs="Arial"/>
          <w:sz w:val="18"/>
          <w:szCs w:val="18"/>
        </w:rPr>
        <w:t>96</w:t>
      </w:r>
      <w:r>
        <w:rPr>
          <w:rFonts w:ascii="Arial" w:hAnsi="Arial" w:cs="Arial"/>
          <w:sz w:val="18"/>
          <w:szCs w:val="18"/>
        </w:rPr>
        <w:t>,</w:t>
      </w:r>
      <w:r w:rsidR="00C357D1">
        <w:rPr>
          <w:rFonts w:ascii="Arial" w:hAnsi="Arial" w:cs="Arial"/>
          <w:sz w:val="18"/>
          <w:szCs w:val="18"/>
        </w:rPr>
        <w:t>407</w:t>
      </w:r>
      <w:r>
        <w:rPr>
          <w:rFonts w:ascii="Arial" w:hAnsi="Arial" w:cs="Arial"/>
          <w:sz w:val="18"/>
          <w:szCs w:val="18"/>
        </w:rPr>
        <w:t>,</w:t>
      </w:r>
      <w:r w:rsidR="00C357D1">
        <w:rPr>
          <w:rFonts w:ascii="Arial" w:hAnsi="Arial" w:cs="Arial"/>
          <w:sz w:val="18"/>
          <w:szCs w:val="18"/>
        </w:rPr>
        <w:t>963</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w:t>
      </w:r>
      <w:r w:rsidR="00C357D1">
        <w:rPr>
          <w:rFonts w:ascii="Arial" w:hAnsi="Arial" w:cs="Arial"/>
          <w:sz w:val="18"/>
          <w:szCs w:val="18"/>
        </w:rPr>
        <w:t>5</w:t>
      </w:r>
      <w:r w:rsidRPr="00F619D6">
        <w:rPr>
          <w:rFonts w:ascii="Arial" w:hAnsi="Arial" w:cs="Arial"/>
          <w:sz w:val="18"/>
          <w:szCs w:val="18"/>
        </w:rPr>
        <w:t>,</w:t>
      </w:r>
      <w:r w:rsidR="00C357D1">
        <w:rPr>
          <w:rFonts w:ascii="Arial" w:hAnsi="Arial" w:cs="Arial"/>
          <w:sz w:val="18"/>
          <w:szCs w:val="18"/>
        </w:rPr>
        <w:t>294</w:t>
      </w:r>
      <w:r w:rsidRPr="00F619D6">
        <w:rPr>
          <w:rFonts w:ascii="Arial" w:hAnsi="Arial" w:cs="Arial"/>
          <w:sz w:val="18"/>
          <w:szCs w:val="18"/>
        </w:rPr>
        <w:t>,</w:t>
      </w:r>
      <w:r w:rsidR="00C357D1">
        <w:rPr>
          <w:rFonts w:ascii="Arial" w:hAnsi="Arial" w:cs="Arial"/>
          <w:sz w:val="18"/>
          <w:szCs w:val="18"/>
        </w:rPr>
        <w:t>290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D7AE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r>
        <w:rPr>
          <w:rFonts w:ascii="Arial" w:hAnsi="Arial" w:cs="Arial"/>
          <w:sz w:val="18"/>
          <w:szCs w:val="18"/>
        </w:rPr>
        <w:t>,</w:t>
      </w:r>
      <w:r w:rsidR="002D7AEB">
        <w:rPr>
          <w:rFonts w:ascii="Arial" w:hAnsi="Arial" w:cs="Arial"/>
          <w:sz w:val="18"/>
          <w:szCs w:val="18"/>
        </w:rPr>
        <w:t>082</w:t>
      </w:r>
      <w:r>
        <w:rPr>
          <w:rFonts w:ascii="Arial" w:hAnsi="Arial" w:cs="Arial"/>
          <w:sz w:val="18"/>
          <w:szCs w:val="18"/>
        </w:rPr>
        <w:t>,</w:t>
      </w:r>
      <w:r w:rsidR="002D7AEB">
        <w:rPr>
          <w:rFonts w:ascii="Arial" w:hAnsi="Arial" w:cs="Arial"/>
          <w:sz w:val="18"/>
          <w:szCs w:val="18"/>
        </w:rPr>
        <w:t>678</w:t>
      </w:r>
      <w:r>
        <w:rPr>
          <w:rFonts w:ascii="Arial" w:hAnsi="Arial" w:cs="Arial"/>
          <w:sz w:val="18"/>
          <w:szCs w:val="18"/>
        </w:rPr>
        <w:t>,</w:t>
      </w:r>
      <w:r w:rsidR="002D7AEB">
        <w:rPr>
          <w:rFonts w:ascii="Arial" w:hAnsi="Arial" w:cs="Arial"/>
          <w:sz w:val="18"/>
          <w:szCs w:val="18"/>
        </w:rPr>
        <w:t>652</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D7AE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D7AEB">
        <w:rPr>
          <w:rFonts w:ascii="Arial" w:hAnsi="Arial" w:cs="Arial"/>
          <w:sz w:val="18"/>
          <w:szCs w:val="18"/>
        </w:rPr>
        <w:t>11</w:t>
      </w:r>
      <w:r>
        <w:rPr>
          <w:rFonts w:ascii="Arial" w:hAnsi="Arial" w:cs="Arial"/>
          <w:sz w:val="18"/>
          <w:szCs w:val="18"/>
        </w:rPr>
        <w:t>,</w:t>
      </w:r>
      <w:r w:rsidR="002D7AEB">
        <w:rPr>
          <w:rFonts w:ascii="Arial" w:hAnsi="Arial" w:cs="Arial"/>
          <w:sz w:val="18"/>
          <w:szCs w:val="18"/>
        </w:rPr>
        <w:t>192</w:t>
      </w:r>
      <w:r>
        <w:rPr>
          <w:rFonts w:ascii="Arial" w:hAnsi="Arial" w:cs="Arial"/>
          <w:sz w:val="18"/>
          <w:szCs w:val="18"/>
        </w:rPr>
        <w:t>,</w:t>
      </w:r>
      <w:r w:rsidR="002D7AEB">
        <w:rPr>
          <w:rFonts w:ascii="Arial" w:hAnsi="Arial" w:cs="Arial"/>
          <w:sz w:val="18"/>
          <w:szCs w:val="18"/>
        </w:rPr>
        <w:t>073</w:t>
      </w:r>
      <w:r>
        <w:rPr>
          <w:rFonts w:ascii="Arial" w:hAnsi="Arial" w:cs="Arial"/>
          <w:sz w:val="18"/>
          <w:szCs w:val="18"/>
        </w:rPr>
        <w:t>,</w:t>
      </w:r>
      <w:r w:rsidR="002D7AEB">
        <w:rPr>
          <w:rFonts w:ascii="Arial" w:hAnsi="Arial" w:cs="Arial"/>
          <w:sz w:val="18"/>
          <w:szCs w:val="18"/>
        </w:rPr>
        <w:t>617</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3021C2">
        <w:rPr>
          <w:rFonts w:ascii="Arial" w:hAnsi="Arial" w:cs="Arial"/>
          <w:sz w:val="18"/>
          <w:szCs w:val="18"/>
        </w:rPr>
        <w:t>9</w:t>
      </w:r>
      <w:r>
        <w:rPr>
          <w:rFonts w:ascii="Arial" w:hAnsi="Arial" w:cs="Arial"/>
          <w:sz w:val="18"/>
          <w:szCs w:val="18"/>
        </w:rPr>
        <w:t>,</w:t>
      </w:r>
      <w:r w:rsidR="00C735F9">
        <w:rPr>
          <w:rFonts w:ascii="Arial" w:hAnsi="Arial" w:cs="Arial"/>
          <w:sz w:val="18"/>
          <w:szCs w:val="18"/>
        </w:rPr>
        <w:t>6</w:t>
      </w:r>
      <w:r w:rsidR="003021C2">
        <w:rPr>
          <w:rFonts w:ascii="Arial" w:hAnsi="Arial" w:cs="Arial"/>
          <w:sz w:val="18"/>
          <w:szCs w:val="18"/>
        </w:rPr>
        <w:t>35</w:t>
      </w:r>
      <w:r>
        <w:rPr>
          <w:rFonts w:ascii="Arial" w:hAnsi="Arial" w:cs="Arial"/>
          <w:sz w:val="18"/>
          <w:szCs w:val="18"/>
        </w:rPr>
        <w:t>,</w:t>
      </w:r>
      <w:r w:rsidR="0039454B">
        <w:rPr>
          <w:rFonts w:ascii="Arial" w:hAnsi="Arial" w:cs="Arial"/>
          <w:sz w:val="18"/>
          <w:szCs w:val="18"/>
        </w:rPr>
        <w:t>087</w:t>
      </w:r>
      <w:r>
        <w:rPr>
          <w:rFonts w:ascii="Arial" w:hAnsi="Arial" w:cs="Arial"/>
          <w:sz w:val="18"/>
          <w:szCs w:val="18"/>
        </w:rPr>
        <w:t>,</w:t>
      </w:r>
      <w:r w:rsidR="0039454B">
        <w:rPr>
          <w:rFonts w:ascii="Arial" w:hAnsi="Arial" w:cs="Arial"/>
          <w:sz w:val="18"/>
          <w:szCs w:val="18"/>
        </w:rPr>
        <w:t>203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39454B">
        <w:rPr>
          <w:rFonts w:ascii="Arial" w:hAnsi="Arial" w:cs="Arial"/>
          <w:sz w:val="18"/>
          <w:szCs w:val="18"/>
        </w:rPr>
        <w:t>556</w:t>
      </w:r>
      <w:r>
        <w:rPr>
          <w:rFonts w:ascii="Arial" w:hAnsi="Arial" w:cs="Arial"/>
          <w:sz w:val="18"/>
          <w:szCs w:val="18"/>
        </w:rPr>
        <w:t>,</w:t>
      </w:r>
      <w:r w:rsidR="0039454B">
        <w:rPr>
          <w:rFonts w:ascii="Arial" w:hAnsi="Arial" w:cs="Arial"/>
          <w:sz w:val="18"/>
          <w:szCs w:val="18"/>
        </w:rPr>
        <w:t>986</w:t>
      </w:r>
      <w:r>
        <w:rPr>
          <w:rFonts w:ascii="Arial" w:hAnsi="Arial" w:cs="Arial"/>
          <w:sz w:val="18"/>
          <w:szCs w:val="18"/>
        </w:rPr>
        <w:t>,</w:t>
      </w:r>
      <w:r w:rsidR="0039454B">
        <w:rPr>
          <w:rFonts w:ascii="Arial" w:hAnsi="Arial" w:cs="Arial"/>
          <w:sz w:val="18"/>
          <w:szCs w:val="18"/>
        </w:rPr>
        <w:t>414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9454B">
        <w:rPr>
          <w:rFonts w:ascii="Arial" w:hAnsi="Arial" w:cs="Arial"/>
          <w:sz w:val="18"/>
          <w:szCs w:val="18"/>
        </w:rPr>
        <w:t>junio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39454B">
        <w:rPr>
          <w:rFonts w:ascii="Arial" w:hAnsi="Arial" w:cs="Arial"/>
          <w:sz w:val="18"/>
          <w:szCs w:val="18"/>
        </w:rPr>
        <w:t>295</w:t>
      </w:r>
      <w:r>
        <w:rPr>
          <w:rFonts w:ascii="Arial" w:hAnsi="Arial" w:cs="Arial"/>
          <w:sz w:val="18"/>
          <w:szCs w:val="18"/>
        </w:rPr>
        <w:t>,</w:t>
      </w:r>
      <w:r w:rsidR="0039454B">
        <w:rPr>
          <w:rFonts w:ascii="Arial" w:hAnsi="Arial" w:cs="Arial"/>
          <w:sz w:val="18"/>
          <w:szCs w:val="18"/>
        </w:rPr>
        <w:t>801</w:t>
      </w:r>
      <w:r>
        <w:rPr>
          <w:rFonts w:ascii="Arial" w:hAnsi="Arial" w:cs="Arial"/>
          <w:sz w:val="18"/>
          <w:szCs w:val="18"/>
        </w:rPr>
        <w:t>,</w:t>
      </w:r>
      <w:r w:rsidR="0039454B">
        <w:rPr>
          <w:rFonts w:ascii="Arial" w:hAnsi="Arial" w:cs="Arial"/>
          <w:sz w:val="18"/>
          <w:szCs w:val="18"/>
        </w:rPr>
        <w:t>385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39454B">
        <w:rPr>
          <w:rFonts w:ascii="Arial" w:hAnsi="Arial" w:cs="Arial"/>
          <w:sz w:val="18"/>
          <w:szCs w:val="18"/>
        </w:rPr>
        <w:t>278</w:t>
      </w:r>
      <w:r w:rsidR="00E004F0">
        <w:rPr>
          <w:rFonts w:ascii="Arial" w:hAnsi="Arial" w:cs="Arial"/>
          <w:sz w:val="18"/>
          <w:szCs w:val="18"/>
        </w:rPr>
        <w:t>,</w:t>
      </w:r>
      <w:r w:rsidR="0039454B">
        <w:rPr>
          <w:rFonts w:ascii="Arial" w:hAnsi="Arial" w:cs="Arial"/>
          <w:sz w:val="18"/>
          <w:szCs w:val="18"/>
        </w:rPr>
        <w:t>796</w:t>
      </w:r>
      <w:r>
        <w:rPr>
          <w:rFonts w:ascii="Arial" w:hAnsi="Arial" w:cs="Arial"/>
          <w:sz w:val="18"/>
          <w:szCs w:val="18"/>
        </w:rPr>
        <w:t>,</w:t>
      </w:r>
      <w:r w:rsidR="00374856">
        <w:rPr>
          <w:rFonts w:ascii="Arial" w:hAnsi="Arial" w:cs="Arial"/>
          <w:sz w:val="18"/>
          <w:szCs w:val="18"/>
        </w:rPr>
        <w:t>661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374856">
        <w:rPr>
          <w:rFonts w:ascii="Arial" w:hAnsi="Arial" w:cs="Arial"/>
          <w:sz w:val="18"/>
          <w:szCs w:val="18"/>
        </w:rPr>
        <w:t>13</w:t>
      </w:r>
      <w:r>
        <w:rPr>
          <w:rFonts w:ascii="Arial" w:hAnsi="Arial" w:cs="Arial"/>
          <w:sz w:val="18"/>
          <w:szCs w:val="18"/>
        </w:rPr>
        <w:t>,</w:t>
      </w:r>
      <w:r w:rsidR="00374856">
        <w:rPr>
          <w:rFonts w:ascii="Arial" w:hAnsi="Arial" w:cs="Arial"/>
          <w:sz w:val="18"/>
          <w:szCs w:val="18"/>
        </w:rPr>
        <w:t>439</w:t>
      </w:r>
      <w:r>
        <w:rPr>
          <w:rFonts w:ascii="Arial" w:hAnsi="Arial" w:cs="Arial"/>
          <w:sz w:val="18"/>
          <w:szCs w:val="18"/>
        </w:rPr>
        <w:t>,</w:t>
      </w:r>
      <w:r w:rsidR="00374856">
        <w:rPr>
          <w:rFonts w:ascii="Arial" w:hAnsi="Arial" w:cs="Arial"/>
          <w:sz w:val="18"/>
          <w:szCs w:val="18"/>
        </w:rPr>
        <w:t>491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374856">
        <w:rPr>
          <w:rFonts w:ascii="Arial" w:hAnsi="Arial" w:cs="Arial"/>
          <w:sz w:val="18"/>
          <w:szCs w:val="18"/>
        </w:rPr>
        <w:t>213</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74856">
        <w:rPr>
          <w:rFonts w:ascii="Arial" w:hAnsi="Arial" w:cs="Arial"/>
          <w:sz w:val="18"/>
          <w:szCs w:val="18"/>
        </w:rPr>
        <w:t>juni</w:t>
      </w:r>
      <w:r w:rsidR="00991656">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w:t>
      </w:r>
      <w:r w:rsidR="00374856">
        <w:rPr>
          <w:rFonts w:ascii="Arial" w:hAnsi="Arial" w:cs="Arial"/>
          <w:sz w:val="18"/>
          <w:szCs w:val="18"/>
        </w:rPr>
        <w:t>99</w:t>
      </w:r>
      <w:r>
        <w:rPr>
          <w:rFonts w:ascii="Arial" w:hAnsi="Arial" w:cs="Arial"/>
          <w:sz w:val="18"/>
          <w:szCs w:val="18"/>
        </w:rPr>
        <w:t>,</w:t>
      </w:r>
      <w:r w:rsidR="00374856">
        <w:rPr>
          <w:rFonts w:ascii="Arial" w:hAnsi="Arial" w:cs="Arial"/>
          <w:sz w:val="18"/>
          <w:szCs w:val="18"/>
        </w:rPr>
        <w:t>529</w:t>
      </w:r>
      <w:r>
        <w:rPr>
          <w:rFonts w:ascii="Arial" w:hAnsi="Arial" w:cs="Arial"/>
          <w:sz w:val="18"/>
          <w:szCs w:val="18"/>
        </w:rPr>
        <w:t>,</w:t>
      </w:r>
      <w:r w:rsidR="00374856">
        <w:rPr>
          <w:rFonts w:ascii="Arial" w:hAnsi="Arial" w:cs="Arial"/>
          <w:sz w:val="18"/>
          <w:szCs w:val="18"/>
        </w:rPr>
        <w:t>521</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374856">
        <w:rPr>
          <w:rFonts w:ascii="Arial" w:hAnsi="Arial" w:cs="Arial"/>
          <w:sz w:val="18"/>
          <w:szCs w:val="18"/>
        </w:rPr>
        <w:t>juni</w:t>
      </w:r>
      <w:r w:rsidR="00043D1E">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374856">
        <w:rPr>
          <w:rFonts w:ascii="Arial" w:hAnsi="Arial" w:cs="Arial"/>
          <w:sz w:val="18"/>
          <w:szCs w:val="18"/>
        </w:rPr>
        <w:t>110</w:t>
      </w:r>
      <w:r w:rsidRPr="00502DDD">
        <w:rPr>
          <w:rFonts w:ascii="Arial" w:hAnsi="Arial" w:cs="Arial"/>
          <w:sz w:val="18"/>
          <w:szCs w:val="18"/>
        </w:rPr>
        <w:t>,</w:t>
      </w:r>
      <w:r w:rsidR="00374856">
        <w:rPr>
          <w:rFonts w:ascii="Arial" w:hAnsi="Arial" w:cs="Arial"/>
          <w:sz w:val="18"/>
          <w:szCs w:val="18"/>
        </w:rPr>
        <w:t>460</w:t>
      </w:r>
      <w:r w:rsidRPr="00502DDD">
        <w:rPr>
          <w:rFonts w:ascii="Arial" w:hAnsi="Arial" w:cs="Arial"/>
          <w:sz w:val="18"/>
          <w:szCs w:val="18"/>
        </w:rPr>
        <w:t>,</w:t>
      </w:r>
      <w:r w:rsidR="00374856">
        <w:rPr>
          <w:rFonts w:ascii="Arial" w:hAnsi="Arial" w:cs="Arial"/>
          <w:sz w:val="18"/>
          <w:szCs w:val="18"/>
        </w:rPr>
        <w:t>338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374856">
        <w:rPr>
          <w:rFonts w:ascii="Arial" w:hAnsi="Arial" w:cs="Arial"/>
          <w:sz w:val="18"/>
          <w:szCs w:val="18"/>
        </w:rPr>
        <w:t>juni</w:t>
      </w:r>
      <w:r w:rsidR="00043D1E">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F08C7">
        <w:rPr>
          <w:rFonts w:ascii="Arial" w:hAnsi="Arial" w:cs="Arial"/>
          <w:sz w:val="18"/>
          <w:szCs w:val="18"/>
        </w:rPr>
        <w:t>58</w:t>
      </w:r>
      <w:r>
        <w:rPr>
          <w:rFonts w:ascii="Arial" w:hAnsi="Arial" w:cs="Arial"/>
          <w:sz w:val="18"/>
          <w:szCs w:val="18"/>
        </w:rPr>
        <w:t>,</w:t>
      </w:r>
      <w:r w:rsidR="00AF08C7">
        <w:rPr>
          <w:rFonts w:ascii="Arial" w:hAnsi="Arial" w:cs="Arial"/>
          <w:sz w:val="18"/>
          <w:szCs w:val="18"/>
        </w:rPr>
        <w:t>724</w:t>
      </w:r>
      <w:r>
        <w:rPr>
          <w:rFonts w:ascii="Arial" w:hAnsi="Arial" w:cs="Arial"/>
          <w:sz w:val="18"/>
          <w:szCs w:val="18"/>
        </w:rPr>
        <w:t>,</w:t>
      </w:r>
      <w:r w:rsidR="00AF08C7">
        <w:rPr>
          <w:rFonts w:ascii="Arial" w:hAnsi="Arial" w:cs="Arial"/>
          <w:sz w:val="18"/>
          <w:szCs w:val="18"/>
        </w:rPr>
        <w:t>058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F08C7">
        <w:rPr>
          <w:rFonts w:ascii="Arial" w:hAnsi="Arial" w:cs="Arial"/>
          <w:sz w:val="18"/>
          <w:szCs w:val="18"/>
        </w:rPr>
        <w:t>10</w:t>
      </w:r>
      <w:r>
        <w:rPr>
          <w:rFonts w:ascii="Arial" w:hAnsi="Arial" w:cs="Arial"/>
          <w:sz w:val="18"/>
          <w:szCs w:val="18"/>
        </w:rPr>
        <w:t>,</w:t>
      </w:r>
      <w:r w:rsidR="00AF08C7">
        <w:rPr>
          <w:rFonts w:ascii="Arial" w:hAnsi="Arial" w:cs="Arial"/>
          <w:sz w:val="18"/>
          <w:szCs w:val="18"/>
        </w:rPr>
        <w:t>527</w:t>
      </w:r>
      <w:r>
        <w:rPr>
          <w:rFonts w:ascii="Arial" w:hAnsi="Arial" w:cs="Arial"/>
          <w:sz w:val="18"/>
          <w:szCs w:val="18"/>
        </w:rPr>
        <w:t>,</w:t>
      </w:r>
      <w:r w:rsidR="00AF08C7">
        <w:rPr>
          <w:rFonts w:ascii="Arial" w:hAnsi="Arial" w:cs="Arial"/>
          <w:sz w:val="18"/>
          <w:szCs w:val="18"/>
        </w:rPr>
        <w:t>158</w:t>
      </w:r>
      <w:r>
        <w:rPr>
          <w:rFonts w:ascii="Arial" w:hAnsi="Arial" w:cs="Arial"/>
          <w:sz w:val="18"/>
          <w:szCs w:val="18"/>
        </w:rPr>
        <w:t>,</w:t>
      </w:r>
      <w:r w:rsidR="00AF08C7">
        <w:rPr>
          <w:rFonts w:ascii="Arial" w:hAnsi="Arial" w:cs="Arial"/>
          <w:sz w:val="18"/>
          <w:szCs w:val="18"/>
        </w:rPr>
        <w:t>588</w:t>
      </w:r>
      <w:r>
        <w:rPr>
          <w:rFonts w:ascii="Arial" w:hAnsi="Arial" w:cs="Arial"/>
          <w:sz w:val="18"/>
          <w:szCs w:val="18"/>
        </w:rPr>
        <w:t xml:space="preserve"> al mes de </w:t>
      </w:r>
      <w:r w:rsidR="00AF08C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F08C7">
        <w:rPr>
          <w:rFonts w:ascii="Arial" w:hAnsi="Arial" w:cs="Arial"/>
          <w:sz w:val="18"/>
          <w:szCs w:val="18"/>
        </w:rPr>
        <w:t>4</w:t>
      </w:r>
      <w:r>
        <w:rPr>
          <w:rFonts w:ascii="Arial" w:hAnsi="Arial" w:cs="Arial"/>
          <w:sz w:val="18"/>
          <w:szCs w:val="18"/>
        </w:rPr>
        <w:t>,</w:t>
      </w:r>
      <w:r w:rsidR="00AF08C7">
        <w:rPr>
          <w:rFonts w:ascii="Arial" w:hAnsi="Arial" w:cs="Arial"/>
          <w:sz w:val="18"/>
          <w:szCs w:val="18"/>
        </w:rPr>
        <w:t>739</w:t>
      </w:r>
      <w:r>
        <w:rPr>
          <w:rFonts w:ascii="Arial" w:hAnsi="Arial" w:cs="Arial"/>
          <w:sz w:val="18"/>
          <w:szCs w:val="18"/>
        </w:rPr>
        <w:t>,</w:t>
      </w:r>
      <w:r w:rsidR="00AF08C7">
        <w:rPr>
          <w:rFonts w:ascii="Arial" w:hAnsi="Arial" w:cs="Arial"/>
          <w:sz w:val="18"/>
          <w:szCs w:val="18"/>
        </w:rPr>
        <w:t>817</w:t>
      </w:r>
      <w:r>
        <w:rPr>
          <w:rFonts w:ascii="Arial" w:hAnsi="Arial" w:cs="Arial"/>
          <w:sz w:val="18"/>
          <w:szCs w:val="18"/>
        </w:rPr>
        <w:t>,</w:t>
      </w:r>
      <w:r w:rsidR="00AF08C7">
        <w:rPr>
          <w:rFonts w:ascii="Arial" w:hAnsi="Arial" w:cs="Arial"/>
          <w:sz w:val="18"/>
          <w:szCs w:val="18"/>
        </w:rPr>
        <w:t>221</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AF08C7">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5F17A8">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5F17A8" w:rsidRPr="005F17A8">
              <w:rPr>
                <w:rFonts w:ascii="Arial" w:eastAsia="Times New Roman" w:hAnsi="Arial" w:cs="Arial"/>
                <w:color w:val="000000"/>
                <w:sz w:val="18"/>
                <w:szCs w:val="18"/>
                <w:lang w:eastAsia="es-MX"/>
              </w:rPr>
              <w:t>1</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841</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456</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301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929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059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D779E">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66</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204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186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951</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544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458</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3</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197</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278</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080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21</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569</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570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2</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681</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177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94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550</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370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D779E">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320</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404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938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D779E">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9D779E">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431</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326</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368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51521">
        <w:rPr>
          <w:rFonts w:ascii="Arial" w:hAnsi="Arial" w:cs="Arial"/>
          <w:sz w:val="18"/>
          <w:szCs w:val="18"/>
        </w:rPr>
        <w:t>juni</w:t>
      </w:r>
      <w:r w:rsidR="0091566D">
        <w:rPr>
          <w:rFonts w:ascii="Arial" w:hAnsi="Arial" w:cs="Arial"/>
          <w:sz w:val="18"/>
          <w:szCs w:val="18"/>
        </w:rPr>
        <w:t>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51521">
        <w:rPr>
          <w:rFonts w:ascii="Arial" w:hAnsi="Arial" w:cs="Arial"/>
          <w:sz w:val="18"/>
          <w:szCs w:val="18"/>
        </w:rPr>
        <w:t>1,348</w:t>
      </w:r>
      <w:r>
        <w:rPr>
          <w:rFonts w:ascii="Arial" w:hAnsi="Arial" w:cs="Arial"/>
          <w:sz w:val="18"/>
          <w:szCs w:val="18"/>
        </w:rPr>
        <w:t>,</w:t>
      </w:r>
      <w:r w:rsidR="00A51521">
        <w:rPr>
          <w:rFonts w:ascii="Arial" w:hAnsi="Arial" w:cs="Arial"/>
          <w:sz w:val="18"/>
          <w:szCs w:val="18"/>
        </w:rPr>
        <w:t>947</w:t>
      </w:r>
      <w:r>
        <w:rPr>
          <w:rFonts w:ascii="Arial" w:hAnsi="Arial" w:cs="Arial"/>
          <w:sz w:val="18"/>
          <w:szCs w:val="18"/>
        </w:rPr>
        <w:t>,</w:t>
      </w:r>
      <w:r w:rsidR="00A51521">
        <w:rPr>
          <w:rFonts w:ascii="Arial" w:hAnsi="Arial" w:cs="Arial"/>
          <w:sz w:val="18"/>
          <w:szCs w:val="18"/>
        </w:rPr>
        <w:t>017</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A51521">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w:t>
      </w:r>
      <w:r w:rsidR="00A51521">
        <w:rPr>
          <w:rFonts w:ascii="Arial" w:hAnsi="Arial" w:cs="Arial"/>
          <w:sz w:val="18"/>
          <w:szCs w:val="18"/>
        </w:rPr>
        <w:t>mes</w:t>
      </w:r>
      <w:r w:rsidR="00134F21">
        <w:rPr>
          <w:rFonts w:ascii="Arial" w:hAnsi="Arial" w:cs="Arial"/>
          <w:sz w:val="18"/>
          <w:szCs w:val="18"/>
        </w:rPr>
        <w:t xml:space="preserve"> de </w:t>
      </w:r>
      <w:r w:rsidR="00A51521">
        <w:rPr>
          <w:rFonts w:ascii="Arial" w:hAnsi="Arial" w:cs="Arial"/>
          <w:sz w:val="18"/>
          <w:szCs w:val="18"/>
        </w:rPr>
        <w:t>juni</w:t>
      </w:r>
      <w:r w:rsidR="0091566D">
        <w:rPr>
          <w:rFonts w:ascii="Arial" w:hAnsi="Arial" w:cs="Arial"/>
          <w:sz w:val="18"/>
          <w:szCs w:val="18"/>
        </w:rPr>
        <w:t>o</w:t>
      </w:r>
      <w:r w:rsidR="00134F21">
        <w:rPr>
          <w:rFonts w:ascii="Arial" w:hAnsi="Arial" w:cs="Arial"/>
          <w:sz w:val="18"/>
          <w:szCs w:val="18"/>
        </w:rPr>
        <w:t xml:space="preserve"> por este concepto un monto de $ </w:t>
      </w:r>
      <w:r w:rsidR="00A51521">
        <w:rPr>
          <w:rFonts w:ascii="Arial" w:hAnsi="Arial" w:cs="Arial"/>
          <w:sz w:val="18"/>
          <w:szCs w:val="18"/>
        </w:rPr>
        <w:t>1,081</w:t>
      </w:r>
      <w:r w:rsidR="00134F21">
        <w:rPr>
          <w:rFonts w:ascii="Arial" w:hAnsi="Arial" w:cs="Arial"/>
          <w:sz w:val="18"/>
          <w:szCs w:val="18"/>
        </w:rPr>
        <w:t>,</w:t>
      </w:r>
      <w:r w:rsidR="00A51521">
        <w:rPr>
          <w:rFonts w:ascii="Arial" w:hAnsi="Arial" w:cs="Arial"/>
          <w:sz w:val="18"/>
          <w:szCs w:val="18"/>
        </w:rPr>
        <w:t>657</w:t>
      </w:r>
      <w:r w:rsidR="00134F21">
        <w:rPr>
          <w:rFonts w:ascii="Arial" w:hAnsi="Arial" w:cs="Arial"/>
          <w:sz w:val="18"/>
          <w:szCs w:val="18"/>
        </w:rPr>
        <w:t>,</w:t>
      </w:r>
      <w:r w:rsidR="00A51521">
        <w:rPr>
          <w:rFonts w:ascii="Arial" w:hAnsi="Arial" w:cs="Arial"/>
          <w:sz w:val="18"/>
          <w:szCs w:val="18"/>
        </w:rPr>
        <w:t>713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51521">
        <w:rPr>
          <w:rFonts w:ascii="Arial" w:hAnsi="Arial" w:cs="Arial"/>
          <w:sz w:val="18"/>
          <w:szCs w:val="18"/>
        </w:rPr>
        <w:t>62</w:t>
      </w:r>
      <w:r>
        <w:rPr>
          <w:rFonts w:ascii="Arial" w:hAnsi="Arial" w:cs="Arial"/>
          <w:sz w:val="18"/>
          <w:szCs w:val="18"/>
        </w:rPr>
        <w:t>,</w:t>
      </w:r>
      <w:r w:rsidR="00A51521">
        <w:rPr>
          <w:rFonts w:ascii="Arial" w:hAnsi="Arial" w:cs="Arial"/>
          <w:sz w:val="18"/>
          <w:szCs w:val="18"/>
        </w:rPr>
        <w:t>950</w:t>
      </w:r>
      <w:r>
        <w:rPr>
          <w:rFonts w:ascii="Arial" w:hAnsi="Arial" w:cs="Arial"/>
          <w:sz w:val="18"/>
          <w:szCs w:val="18"/>
        </w:rPr>
        <w:t>,</w:t>
      </w:r>
      <w:r w:rsidR="00A51521">
        <w:rPr>
          <w:rFonts w:ascii="Arial" w:hAnsi="Arial" w:cs="Arial"/>
          <w:sz w:val="18"/>
          <w:szCs w:val="18"/>
        </w:rPr>
        <w:t>827</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A51521">
        <w:rPr>
          <w:rFonts w:ascii="Arial" w:hAnsi="Arial" w:cs="Arial"/>
          <w:sz w:val="18"/>
          <w:szCs w:val="18"/>
        </w:rPr>
        <w:t>61</w:t>
      </w:r>
      <w:r w:rsidR="00BA3B1D">
        <w:rPr>
          <w:rFonts w:ascii="Arial" w:hAnsi="Arial" w:cs="Arial"/>
          <w:sz w:val="18"/>
          <w:szCs w:val="18"/>
        </w:rPr>
        <w:t>,</w:t>
      </w:r>
      <w:r w:rsidR="00A51521">
        <w:rPr>
          <w:rFonts w:ascii="Arial" w:hAnsi="Arial" w:cs="Arial"/>
          <w:sz w:val="18"/>
          <w:szCs w:val="18"/>
        </w:rPr>
        <w:t>959</w:t>
      </w:r>
      <w:r w:rsidR="00BA3B1D">
        <w:rPr>
          <w:rFonts w:ascii="Arial" w:hAnsi="Arial" w:cs="Arial"/>
          <w:sz w:val="18"/>
          <w:szCs w:val="18"/>
        </w:rPr>
        <w:t>,</w:t>
      </w:r>
      <w:r w:rsidR="00A51521">
        <w:rPr>
          <w:rFonts w:ascii="Arial" w:hAnsi="Arial" w:cs="Arial"/>
          <w:sz w:val="18"/>
          <w:szCs w:val="18"/>
        </w:rPr>
        <w:t>856</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5678D9">
        <w:rPr>
          <w:rFonts w:ascii="Arial" w:hAnsi="Arial" w:cs="Arial"/>
          <w:sz w:val="18"/>
          <w:szCs w:val="18"/>
        </w:rPr>
        <w:t>junio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5678D9">
        <w:rPr>
          <w:rFonts w:ascii="Arial" w:hAnsi="Arial" w:cs="Arial"/>
          <w:sz w:val="18"/>
          <w:szCs w:val="18"/>
        </w:rPr>
        <w:t>5</w:t>
      </w:r>
      <w:r>
        <w:rPr>
          <w:rFonts w:ascii="Arial" w:hAnsi="Arial" w:cs="Arial"/>
          <w:sz w:val="18"/>
          <w:szCs w:val="18"/>
        </w:rPr>
        <w:t>,</w:t>
      </w:r>
      <w:r w:rsidR="005678D9">
        <w:rPr>
          <w:rFonts w:ascii="Arial" w:hAnsi="Arial" w:cs="Arial"/>
          <w:sz w:val="18"/>
          <w:szCs w:val="18"/>
        </w:rPr>
        <w:t>952</w:t>
      </w:r>
      <w:r>
        <w:rPr>
          <w:rFonts w:ascii="Arial" w:hAnsi="Arial" w:cs="Arial"/>
          <w:sz w:val="18"/>
          <w:szCs w:val="18"/>
        </w:rPr>
        <w:t>,</w:t>
      </w:r>
      <w:r w:rsidR="005678D9">
        <w:rPr>
          <w:rFonts w:ascii="Arial" w:hAnsi="Arial" w:cs="Arial"/>
          <w:sz w:val="18"/>
          <w:szCs w:val="18"/>
        </w:rPr>
        <w:t>406</w:t>
      </w:r>
      <w:r>
        <w:rPr>
          <w:rFonts w:ascii="Arial" w:hAnsi="Arial" w:cs="Arial"/>
          <w:sz w:val="18"/>
          <w:szCs w:val="18"/>
        </w:rPr>
        <w:t>,</w:t>
      </w:r>
      <w:r w:rsidR="005678D9">
        <w:rPr>
          <w:rFonts w:ascii="Arial" w:hAnsi="Arial" w:cs="Arial"/>
          <w:sz w:val="18"/>
          <w:szCs w:val="18"/>
        </w:rPr>
        <w:t>628</w:t>
      </w:r>
      <w:r>
        <w:rPr>
          <w:rFonts w:ascii="Arial" w:hAnsi="Arial" w:cs="Arial"/>
          <w:sz w:val="18"/>
          <w:szCs w:val="18"/>
        </w:rPr>
        <w:t xml:space="preserve"> de los cuales los principales sectores que reciben estas asignaciones son el sector educativo al cual le corresponde el </w:t>
      </w:r>
      <w:r w:rsidR="005678D9">
        <w:rPr>
          <w:rFonts w:ascii="Arial" w:hAnsi="Arial" w:cs="Arial"/>
          <w:sz w:val="18"/>
          <w:szCs w:val="18"/>
        </w:rPr>
        <w:t>56</w:t>
      </w:r>
      <w:r>
        <w:rPr>
          <w:rFonts w:ascii="Arial" w:hAnsi="Arial" w:cs="Arial"/>
          <w:sz w:val="18"/>
          <w:szCs w:val="18"/>
        </w:rPr>
        <w:t xml:space="preserve">% y el sector salud con un </w:t>
      </w:r>
      <w:r w:rsidR="005678D9">
        <w:rPr>
          <w:rFonts w:ascii="Arial" w:hAnsi="Arial" w:cs="Arial"/>
          <w:sz w:val="18"/>
          <w:szCs w:val="18"/>
        </w:rPr>
        <w:t>3</w:t>
      </w:r>
      <w:r w:rsidR="005F4F77">
        <w:rPr>
          <w:rFonts w:ascii="Arial" w:hAnsi="Arial" w:cs="Arial"/>
          <w:sz w:val="18"/>
          <w:szCs w:val="18"/>
        </w:rPr>
        <w:t>7</w:t>
      </w:r>
      <w:r>
        <w:rPr>
          <w:rFonts w:ascii="Arial" w:hAnsi="Arial" w:cs="Arial"/>
          <w:sz w:val="18"/>
          <w:szCs w:val="18"/>
        </w:rPr>
        <w:t xml:space="preserve">% y el restante </w:t>
      </w:r>
      <w:r w:rsidR="005678D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678D9">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678D9">
        <w:rPr>
          <w:rFonts w:ascii="Arial" w:hAnsi="Arial" w:cs="Arial"/>
          <w:sz w:val="18"/>
          <w:szCs w:val="18"/>
        </w:rPr>
        <w:t>556</w:t>
      </w:r>
      <w:r>
        <w:rPr>
          <w:rFonts w:ascii="Arial" w:hAnsi="Arial" w:cs="Arial"/>
          <w:sz w:val="18"/>
          <w:szCs w:val="18"/>
        </w:rPr>
        <w:t>,</w:t>
      </w:r>
      <w:r w:rsidR="005678D9">
        <w:rPr>
          <w:rFonts w:ascii="Arial" w:hAnsi="Arial" w:cs="Arial"/>
          <w:sz w:val="18"/>
          <w:szCs w:val="18"/>
        </w:rPr>
        <w:t>986</w:t>
      </w:r>
      <w:r>
        <w:rPr>
          <w:rFonts w:ascii="Arial" w:hAnsi="Arial" w:cs="Arial"/>
          <w:sz w:val="18"/>
          <w:szCs w:val="18"/>
        </w:rPr>
        <w:t>,</w:t>
      </w:r>
      <w:r w:rsidR="005678D9">
        <w:rPr>
          <w:rFonts w:ascii="Arial" w:hAnsi="Arial" w:cs="Arial"/>
          <w:sz w:val="18"/>
          <w:szCs w:val="18"/>
        </w:rPr>
        <w:t>414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5678D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678D9">
        <w:rPr>
          <w:rFonts w:ascii="Arial" w:hAnsi="Arial" w:cs="Arial"/>
          <w:sz w:val="18"/>
          <w:szCs w:val="18"/>
        </w:rPr>
        <w:t>junio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FE3A70">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FE3A70">
        <w:rPr>
          <w:rFonts w:ascii="Arial" w:eastAsia="Times New Roman" w:hAnsi="Arial" w:cs="Arial"/>
          <w:bCs/>
          <w:sz w:val="18"/>
          <w:szCs w:val="18"/>
          <w:lang w:eastAsia="es-MX"/>
        </w:rPr>
        <w:t>55</w:t>
      </w:r>
      <w:r w:rsidR="005B5639">
        <w:rPr>
          <w:rFonts w:ascii="Arial" w:eastAsia="Times New Roman" w:hAnsi="Arial" w:cs="Arial"/>
          <w:bCs/>
          <w:sz w:val="18"/>
          <w:szCs w:val="18"/>
          <w:lang w:eastAsia="es-MX"/>
        </w:rPr>
        <w:t>6</w:t>
      </w:r>
      <w:r>
        <w:rPr>
          <w:rFonts w:ascii="Arial" w:eastAsia="Times New Roman" w:hAnsi="Arial" w:cs="Arial"/>
          <w:bCs/>
          <w:sz w:val="18"/>
          <w:szCs w:val="18"/>
          <w:lang w:eastAsia="es-MX"/>
        </w:rPr>
        <w:t>,</w:t>
      </w:r>
      <w:r w:rsidR="005B5639">
        <w:rPr>
          <w:rFonts w:ascii="Arial" w:eastAsia="Times New Roman" w:hAnsi="Arial" w:cs="Arial"/>
          <w:bCs/>
          <w:sz w:val="18"/>
          <w:szCs w:val="18"/>
          <w:lang w:eastAsia="es-MX"/>
        </w:rPr>
        <w:t>986</w:t>
      </w:r>
      <w:r>
        <w:rPr>
          <w:rFonts w:ascii="Arial" w:eastAsia="Times New Roman" w:hAnsi="Arial" w:cs="Arial"/>
          <w:bCs/>
          <w:sz w:val="18"/>
          <w:szCs w:val="18"/>
          <w:lang w:eastAsia="es-MX"/>
        </w:rPr>
        <w:t>,</w:t>
      </w:r>
      <w:r w:rsidR="005B5639">
        <w:rPr>
          <w:rFonts w:ascii="Arial" w:eastAsia="Times New Roman" w:hAnsi="Arial" w:cs="Arial"/>
          <w:bCs/>
          <w:sz w:val="18"/>
          <w:szCs w:val="18"/>
          <w:lang w:eastAsia="es-MX"/>
        </w:rPr>
        <w:t>414</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FE3A70">
        <w:rPr>
          <w:lang w:val="es-MX"/>
        </w:rPr>
        <w:t>745</w:t>
      </w:r>
      <w:r w:rsidR="00AC2CB6">
        <w:rPr>
          <w:lang w:val="es-MX"/>
        </w:rPr>
        <w:t>,</w:t>
      </w:r>
      <w:r w:rsidR="00FE3A70">
        <w:rPr>
          <w:lang w:val="es-MX"/>
        </w:rPr>
        <w:t>891</w:t>
      </w:r>
      <w:r w:rsidR="00AC2CB6">
        <w:rPr>
          <w:lang w:val="es-MX"/>
        </w:rPr>
        <w:t>,</w:t>
      </w:r>
      <w:r w:rsidR="00FE3A70">
        <w:rPr>
          <w:lang w:val="es-MX"/>
        </w:rPr>
        <w:t>881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r>
        <w:rPr>
          <w:lang w:val="es-MX"/>
        </w:rPr>
        <w:t>,</w:t>
      </w:r>
      <w:r w:rsidR="00FE3A70">
        <w:rPr>
          <w:lang w:val="es-MX"/>
        </w:rPr>
        <w:t>556</w:t>
      </w:r>
      <w:r>
        <w:rPr>
          <w:lang w:val="es-MX"/>
        </w:rPr>
        <w:t>,</w:t>
      </w:r>
      <w:r w:rsidR="00FE3A70">
        <w:rPr>
          <w:lang w:val="es-MX"/>
        </w:rPr>
        <w:t>986</w:t>
      </w:r>
      <w:r>
        <w:rPr>
          <w:lang w:val="es-MX"/>
        </w:rPr>
        <w:t>,</w:t>
      </w:r>
      <w:r w:rsidR="00FE3A70">
        <w:rPr>
          <w:lang w:val="es-MX"/>
        </w:rPr>
        <w:t>414</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4545A">
        <w:rPr>
          <w:lang w:val="es-MX"/>
        </w:rPr>
        <w:t>junio</w:t>
      </w:r>
      <w:r>
        <w:rPr>
          <w:lang w:val="es-MX"/>
        </w:rPr>
        <w:t xml:space="preserve"> un importe de </w:t>
      </w:r>
      <w:r w:rsidRPr="004466A7">
        <w:rPr>
          <w:lang w:val="es-MX"/>
        </w:rPr>
        <w:t>$</w:t>
      </w:r>
      <w:r>
        <w:rPr>
          <w:lang w:val="es-MX"/>
        </w:rPr>
        <w:t xml:space="preserve"> </w:t>
      </w:r>
      <w:r w:rsidR="00A4545A">
        <w:rPr>
          <w:lang w:val="es-MX"/>
        </w:rPr>
        <w:t>494</w:t>
      </w:r>
      <w:r>
        <w:rPr>
          <w:lang w:val="es-MX"/>
        </w:rPr>
        <w:t>,</w:t>
      </w:r>
      <w:r w:rsidR="00A4545A">
        <w:rPr>
          <w:lang w:val="es-MX"/>
        </w:rPr>
        <w:t>811</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E3A70">
        <w:rPr>
          <w:lang w:val="es-MX"/>
        </w:rPr>
        <w:t>0</w:t>
      </w:r>
      <w:r w:rsidRPr="00DA18AC">
        <w:rPr>
          <w:lang w:val="es-MX"/>
        </w:rPr>
        <w:t xml:space="preserve"> de </w:t>
      </w:r>
      <w:r w:rsidR="00FE3A70">
        <w:rPr>
          <w:lang w:val="es-MX"/>
        </w:rPr>
        <w:t>juni</w:t>
      </w:r>
      <w:r w:rsidR="00466C1E">
        <w:rPr>
          <w:lang w:val="es-MX"/>
        </w:rPr>
        <w:t>o</w:t>
      </w:r>
      <w:r w:rsidRPr="00DA18AC">
        <w:rPr>
          <w:lang w:val="es-MX"/>
        </w:rPr>
        <w:t xml:space="preserve"> de 20</w:t>
      </w:r>
      <w:r w:rsidR="00466C1E">
        <w:rPr>
          <w:lang w:val="es-MX"/>
        </w:rPr>
        <w:t>20</w:t>
      </w:r>
      <w:r w:rsidRPr="00DA18AC">
        <w:rPr>
          <w:lang w:val="es-MX"/>
        </w:rPr>
        <w:t xml:space="preserve"> de $ </w:t>
      </w:r>
      <w:r w:rsidR="00A4545A">
        <w:rPr>
          <w:lang w:val="es-MX"/>
        </w:rPr>
        <w:t>-811,589</w:t>
      </w:r>
      <w:r w:rsidRPr="00DA18AC">
        <w:rPr>
          <w:lang w:val="es-MX"/>
        </w:rPr>
        <w:t>,</w:t>
      </w:r>
      <w:r w:rsidR="00A4545A">
        <w:rPr>
          <w:lang w:val="es-MX"/>
        </w:rPr>
        <w:t>344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7478F"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75pt;height:465pt" o:ole="">
            <v:imagedata r:id="rId8" o:title=""/>
          </v:shape>
          <o:OLEObject Type="Embed" ProgID="Excel.Sheet.12" ShapeID="_x0000_i1032" DrawAspect="Content" ObjectID="_1661864418" r:id="rId9"/>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8E63A5" w:rsidP="006942ED">
      <w:pPr>
        <w:rPr>
          <w:lang w:eastAsia="es-ES"/>
        </w:rPr>
      </w:pPr>
      <w:r>
        <w:rPr>
          <w:noProof/>
          <w:szCs w:val="18"/>
          <w:lang w:eastAsia="es-MX"/>
        </w:rPr>
        <w:object w:dxaOrig="1440" w:dyaOrig="1440">
          <v:shape id="_x0000_s1046" type="#_x0000_t75" style="position:absolute;margin-left:34.5pt;margin-top:22.45pt;width:632.9pt;height:293.75pt;z-index:251663360">
            <v:imagedata r:id="rId10" o:title=""/>
            <w10:wrap type="topAndBottom"/>
          </v:shape>
          <o:OLEObject Type="Embed" ProgID="Excel.Sheet.12" ShapeID="_x0000_s1046" DrawAspect="Content" ObjectID="_1661864419" r:id="rId11"/>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8E63A5"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9.05pt;z-index:251664384">
            <v:imagedata r:id="rId12" o:title=""/>
            <w10:wrap type="topAndBottom"/>
          </v:shape>
          <o:OLEObject Type="Embed" ProgID="Excel.Sheet.12" ShapeID="_x0000_s1047" DrawAspect="Content" ObjectID="_1661864420" r:id="rId13"/>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B5639">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 la actualización del informe de las Perspectivas de la Economía Mundial (informe WEO), presentado por el Fondo Monetario Internacional en el mes de junio, el crecimiento mundial está proyectado en -4.9% en 2020; o sea, 1.9 puntos porcentuales menos que el pronóstico de la edición de abril de 2020. La pandemia de COVID-19 ha tenido un impacto más negativo que lo previsto en la actividad en el primer semestre de 2020 y la recuperación será, según las proyecciones, más gradual de lo que se había pronosticado.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2021, el crecimiento mundial está proyectado en 5.4%. Globalmente, eso significa que el PIB de 2021 sería alrededor de 6.5 puntos porcentuales más bajo que en las proyecciones publicadas en enero de 2020, antes de la pandemia de COVID-19. El impacto adverso en los hogares de bajo ingreso es particularmente agudo, y pondría en peligro el avance significativo de la lucha contra de la pobreza extrema logrado a nivel mundial desde la década de 1990.</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Como fue el caso de las proyecciones del informe WEO de abril de 2020, existe un grado de incertidumbre inusitadamente elevado en torno a estas proyecciones. Las proyecciones de base se fundamentan en presunciones críticas sobre las secuelas de la pandemia. En las economías con tasas de infección decrecientes, la ralentización de la trayectoria de recuperación contemplada en los pronósticos actualizados refleja un distanciamiento social persistente a medida que nos adentremos en el segundo semestre de 2020; mayores cicatrices (daño al potencial de oferta) debido al hecho de que la actividad sufriría más de lo previsto durante el confinamiento instituido en el primer y segundo semestres de 2020, y un golpe a la productividad a medida que las empresas que sobrevivan incrementen las necesarias prácticas de seguridad e higiene en los lugares de trabajo.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 las economías con dificultades para controlar las tasas de infección, un confinamiento más prolongado infligiría más daños a la actividad. Además, el pronóstico presume que las condiciones financieras —que se han distendido desde la publicación del informe WEO de abril de 2020— se mantendrán generalmente a los niveles actuales. Claramente, es posible que el desenlace sea diferente del contemplado en la proyección de base, y no solo debido a la manera en que está evolucionando la pandemia. La magnitud del reciente repunte del optimismo de los mercados financieros parece estar desconectada de la evolución de las perspectivas económicas fundamentales —como lo señala la Actualización de junio de 2020 del Informe sobre la estabilidad financiera mundial (informe GFSR)—, y eso plantea la posibilidad de que las condiciones financieras se endurezcan más de lo que supone la proyección de base.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Todos los países, incluidos los que parecen haber dejado atrás los picos de infección, deberían asegurarse de que los sistemas sanitarios cuenten con recursos adecuados. La comunidad internacional debe brindar a las iniciativas nacionales un respaldo muchísimo mayor, entre otras formas ofreciendo asistencia financiera a países con una capacidad sanitaria limitada y canalizando financiamiento hacia la producción de una vacuna a medida que avancen los ensayos clínicos, de modo que todos los países tengan sin demora acceso a dosis adecuadas y a costo asequible.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los casos que requieren confinamientos, la política económica debería continuar amortiguando las pérdidas de ingreso de los hogares a través de medidas sustanciales y bien focalizadas, además de brindar apoyo a las empresas que sufren las consecuencias de restricciones obligatorias a la actividad. En los casos en que las economías están reabriendo, el respaldo focalizado debería desmontarse paulatinamente a medida que la recuperación se ponga en marcha, y las políticas deberían infundir estímulo para promover la demanda y facilitar e incentivar la reasignación de recursos, alejándolos de los sectores que probablemente terminen siendo persistentemente más pequeños después de la pandemia.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Sigue siendo esencial una cooperación multilateral sólida en múltiples ámbitos. Se necesita con urgencia liquidez de respaldo para los países que enfrentan crisis sanitarias y déficits de financiamiento externo; por ejemplo, mediante alivio de la deuda y financiamiento a través de la red mundial de seguridad financiera. Una vez superada la pandemia, las autoridades deberán cooperar para resolver las tensiones comerciales y tecnológicas que hacen peligrar la recuperación final de la crisis de COVID-19. Además, aprovechando la disminución sin precedentes de las emisiones de gases de efecto invernadero durante la pandemia, las autoridades deberían poner en práctica sus compromisos de mitigación del cambio climático y, a la vez, colaborar para ampliar la aplicación de impuestos diseñados según criterios de equidad que graven las emisiones de carbono o sistemas equivalentes. La comunidad internacional debe actuar sin demora para evitar una repetición de esta catástrofe, organizando reservas internacionales de suministros y equipos de protección esenciales, financiando la investigación y apuntalando los sistemas sanitarios públicos, y estableciendo modalidades eficaces para llevar alivio a los más necesitados.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Entre las economías de mercados emergentes y en desarrollo, el impacto que los trastornos internos asestarán a la actividad sería más parecido al escenario a la baja contemplado en abril, contrarrestando holgadamente la mejora del ánimo de los mercados financieros. La revisión a la baja refleja también la agudización de los efectos de derrame producidos por el debilitamiento de la demanda externa. La revisión a la baja de las perspectivas de crecimiento de las economías de mercados emergentes y en desarrollo en 2020-21 (2.8 puntos porcentuales) supera la revisión de las economías avanzadas (1.8 puntos porcentuales). Con la exclusión de China, la revisión a la baja del grupo en 2020-21 es de 3.6 puntos porcentuales.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A nivel general, el crecimiento del grupo de economías de mercados emergentes y en desarrollo está proyectado en -3.0% in 2020; es decir, 2 puntos porcentuales por debajo de la proyección presentada en el informe WEO de abril de 2020. Entre las economías en desarrollo de bajo ingreso, el crecimiento está proyectado en -1.0% en 2020, alrededor de 1.4 puntos porcentuales por debajo del pronóstico presentado en el informe WEO de abril de 2020, aunque con diferencias entre un país y otro. Con exclusión de algunas economías preemergentes grandes, se prevé que el grupo restante de países en desarrollo de bajo ingreso sufrirá una contracción de -2.2% en 2020.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Por vez primera, se proyecta un crecimiento negativo para todas las regiones en 2020. Pero aun así se observan importantes diferencias entre las economías a escala individual, en función de la evolución de la pandemia y la eficacia de las estrategias de contención; las diversas estructuras económicas (por ejemplo, dependencia de los sectores gravemente afectados, como turismo y petróleo); el uso de flujos financieros externos, incluidas las remesas; y las tendencias del crecimiento previas a la crisis. In China, donde está en marcha la recuperación tras la fuerte contracción registrada en el primer trimestre, se proyecta un crecimiento de 1.0% en 2020, apoyado en parte por políticas de estímulo. Se proyecta que la economía de India se contraiga 4.5% tras un período de confinamiento más largo y una recuperación más lenta de lo previsto en abril.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América Latina, donde la mayoría de los países aún están luchando para contener las infecciones, se proyecta que las dos economías más grandes, Brasil y México, sufran contracciones de 9.1% y 10.5%, respectivamente, en 2020. Las perturbaciones provocadas por la pandemia, así como la considerable merma del ingreso disponible de los países exportadores de petróleo tras el drástico descenso de los precios de los combustibles, implican fuertes recesiones en Rusia (-6.6%), Arabia Saudita (-6.8%) y Nigeria (-5.4%), mientras que el desempeño de Sudáfrica (-8.0%) se verá gravemente afectado por la crisis sanitaria.</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En el ámbito nacional, el crecimiento de la actividad económica registró una ligera caída en el cuarto trimestre de 2019 y una importante contracción en el primer trimestre de 2020. Por el lado de la demanda agregada, en el cuarto trimestre de 2019 el nivel del consumo privado fue similar al del trimestre previo, mientras que las exportaciones netas y la formación bruta de capital fijo se contrajeron. Con respecto a 2020, el consumo privado y la inversión fija bruta mantuvieron una trayectoria decreciente en marzo, mientras que las exportaciones netas cayeron significativamente en abril.</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cuanto a la brecha del producto, esta fue más negativa en el cuarto trimestre de 2019 que en el trimestre anterior. En el primer trimestre de 2020, esta fue más negativa que la de finales de 2019. Con relación a la variación de los precios, la inflación general anual promedio del cuarto trimestre de 2019 fue de 2.94%, continuando con su tendencia a la baja respecto a los niveles de 2017. No obstante, en el primer trimestre de 2020 este indicador se ubicó en 3.39% revirtiéndose su anterior tendencia. Este repunte se asoció principalmente a un incremento en la inflación no subyacente a principios del año y al efecto del aumento del IEPS a cigarrillos y bebidas azucaradas en la subyacente. Si bien en abril, la inflación general descendió a 2.15%, en la primera quincena de mayo tuvo un repunte ubicándose en 2.83%.</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Así, las proyecciones del Banco de México para la inflación general al cierre de 2020, publicadas en el Informe Trimestral enero-marzo 2020, se ubicaron en 3.5%. La mediana para las expectativas de la inflación general en la Encuesta sobre las Expectativas de los Especialistas en Economía del Sector Privado de mayo de 2020 fue 3.07% para el cierre de este año y 3.45% para el cierre de 2021, mostrando un aumento y una disminución, respectivamente, respecto a la encuesta de abril. Por su parte, la mediana de las expectativas de mediano y largo plazo se mantuvieron en 3.50%</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términos de política monetaria, en el periodo que va de febrero a mayo de 2020, la Junta de Gobierno disminuyó en 175 puntos base la tasa de referencia. En su reunión de febrero, la Junta de Gobierno decidió recortar la tasa de referencia en 25 puntos base, tomando en cuenta: los niveles alcanzados por la inflación general, las perspectivas para esta en el horizonte en que opera la política monetaria, la amplitud mayor a la esperada de las condiciones de holgura de la economía y el comportamiento de las curvas de rendimiento externas e internas. Posteriormente, considerando los riesgos para la inflación, la actividad económica y los mercados financieros derivados de la pandemia de COVID-19, la Junta de Gobierno adelantó del 26 al 20 de marzo su decisión de política monetaria, tomó una decisión de política monetaria extraordinaria en abril y otra ordinaria en mayo. En las tres ocasiones, disminuyó en 50 puntos base el objetivo para la Tasa de Interés Interbancaria ubicándola actualmente en 5.5%. En las decisiones de política monetaria de marzo y abril, además, el Banco de México anunció una serie de medidas para promover el funcionamiento ordenado de los mercados financieros nacionales y proveer liquidez. En este contexto, perseverar en fortalecer los fundamentos macroeconómicos y adoptar las acciones necesarias, tanto en el ámbito monetario como fiscal, contribuirá a un mejor ajuste de los mercados financieros nacionales y de la economía en su conjunto.</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desarrollado e iniciado oportunamente la ejecución de una serie de medidas, las cuales persiguen tres objetivos: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Evitar la propagación del COVID-19 y contener sus efectos sobre la salud de las mexicanas y los mexicanos;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Mitigar rápida y efectivamente los impactos económicos sobre hogares, trabajadores y empresas de la suspensión de actividades no esenciales; y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Promover una recuperación económica acelerada y sostenida.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La selección del primer conjunto de acciones privilegia una implementación rápida, para contener oportunamente los impactos sanitarios y económicos; una focalización en los sectores más vulnerables, que disponen de menos amortiguadores y acceso a mecanismos de mercado para hacer frente a emergencias; y un manejo responsable de las finanzas públicas, que prioriza el uso de fuentes existentes de recursos sobre el endeudamiento, a fin de reducir los impactos sobre generaciones futuras de medidas tomadas en el presente. Asimismo, la selección toma en cuenta los distintos riesgos que enfrenta nuestro país en los escenarios sanitarios y económicos previstos, y considera que en el escenario central nuestra economía se verá beneficiada por la reapertura coordinada de sectores clave con Canadá y Estados Unidos, a partir de las próximas semanas; la ratificación del T-MEC en julio; la sincronización del inicio de nuestra recuperación económica con la de nuestros socios comerciales que estará en una fase más avanzada que la nuestra; y, la mayor actividad económica que se anticipa para nuestro principal socio comercial durante el segundo semestre.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El Gobierno de México da seguimiento puntual a la evolución de la curva epidemiológica, de los indicadores económicos y de los distintos riesgos que enfrenta nuestro país, y dispone de un abanico de opciones de política pública para atender con rapidez una potencial profundización de la emergencia. Prevención y atención inmediata de la contingencia sanitaria con la finalidad de enfrentar la contingencia sanitaria, el sistema de salud mexicano ha tomado diversas medidas para atender a la población infectada, entre las que destacan la reconversión de infraestructura hospitalaria y la adquisición del equipo y materiales necesarios. Adicionalmente, el Instituto Mexicano del Seguro Social (IMSS) ejecuta su Plan Estratégico para la Atención de la Contingencia COVID-19 que, entre otros elementos, define una red de 70 hospitales de referencia para atender pacientes y 20 hospitales adicionales de reconversión donde se concentrará la atención en la etapa más crítica. Asimismo, se destinaron 4.5 mmp a las secretarías de la Defensa Nacional y de Marina para la activación del Plan DN-III y el Plan Marina, respectivamente. Por último, destaca que la Secretaría de Salud en conjunto con el Instituto de Salud para el Bienestar (INSABI) ejercieron 3.2 mmp para la compra de material de curación, medicamentos y equipamiento. Aunado a lo anterior, el Gobierno de México también ha impulsado una serie de medidas de mitigación, entre las que destacan: i) la contratación de 43 mil personas trabajadoras de la salud para hacer frente a la contingencia sanitaria; ii) el convenio del Sector Salud con 146 hospitales privados para atender hasta 12.5 mil pacientes en 27 entidades de la República y; iii) las medidas de distanciamiento social, que incluye la suspensión de clases y de las actividades no esenciales.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A fin de apoyar a la población afectada por el cierre de sus negocios, se otorgarán 1 millón 355 mil créditos de hasta 25 mil pesos a microempresarios familiares, así como 645 mil créditos a la palabra del IMSS y 1 millón adicional para microempresarios del sector informal. Así, se ayuda a las empresas que tienen menos recursos y acceso a los canales tradicionales de crédito a cubrir sus costos fijos y a conservar la relación laboral con sus empleados durante la etapa de contingencia sanitaria, lo cual les permitirá tanto sortear esta última como reactivarse más rápidamente una vez superada. Con el objetivo de apoyar a uno de los segmentos de la población más vulnerables en la emergencia, se adelantó un bimestre la entrega de la pensión de adultos mayores, para que puedan enfrentar los gastos extraordinarios derivados de la coyuntura. Asimismo, se destinarán 25 mil millones de pesos al Programa de Mejoramiento Urbano para introducir agua, drenaje, pavimento y alumbrado público en 50 municipios del país, lo que generará empleos y ayudará a reactivar la industria de la construcción. Para apoyar a las personas derechohabientes que perdieron su relación laboral durante la contingencia del COVID-19, el Fondo Nacional de la Vivienda para los Trabajadores (Infonavit) cubrirá hasta tres mensualidades del crédito correspondiente de quienes pierdan su relación laboral y aplicará hasta seis meses de prórroga, sin cargos moratorios, entre otros beneficios que en conjunto suman, aproximadamente, 20 mil millones de pesos. Para proteger el empleo formal, el Infonavit ofrece a las MiPyMEs prórrogas en el pago de las aportaciones correspondientes a trabajadores sin crédito vigente. Con el fin de proteger el gasto familiar, la CFE no reclasificará como Tarifa Doméstica de Alto Consumo el aumento del uso de energía en los hogares durante la contingencia. Con esta medida, se busca mitigar parte del gasto en pago de servicios por un incremento en el consumo de energía eléctrica, dado el confinamiento.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llevado a cabo un conjunto de medidas para garantizar el adecuado funcionamiento de los mercados financieros nacionales y fortalecer la liquidez en el sistema financiero. La Comisión Nacional Bancaria y de Valores (CNBV) flexibilizó la norma contable de la banca, a fin de permitirle diferir total o parcialmente los pagos de capital y/o intereses hasta por 6 meses de créditos comerciales, hipotecarios, personales, de nómina y para automóviles. Esto alivia presiones de liquidez de personas y negocios deudores que podrían haberse visto afectadas durante la suspensión de actividades.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Análogamente, la Comisión Nacional de Seguros y Fianzas que las instituciones de seguros modifiquen sus productos para ampliar los plazos del pago de primas y favorecer a asegurados que enfrenten emergencias durante la contingencia sanitaria. La Comisión de Cambios ha tomado medidas para aumentar la liquidez del mercado cambiario y reducir su volatilidad: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Incrementó el programa de coberturas cambiarias de 20 a 30 mil millones de dólares, con el objetivo de propiciar mejores condiciones de liquidez, un mejor descubrimiento de precios y un funcionamiento ordenado del mercado de cambios.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Anunció que a partir del 1 de abril realizará subastas de crédito en dólares por un monto de hasta 5 mil millones de dólares y con un plazo de vencimiento de 84 días. Además el Banco de México podrá operar coberturas cambiarias en horarios en los que los mercados nacionales están cerrados.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La Secretaría de Hacienda y Crédito Público mantiene una estrecha y productiva colaboración con el Banco de México, a fin de fortalecer el Programa de Formadores de Mercado de Deuda Gubernamental, para mejorar el funcionamiento de dicho mercado. Asimismo, se realizarán operaciones de permuta de valores gubernamentales, mediante las cuales el banco central recibirá títulos de largo plazo, y se tendrá la posibilidad de adquirir valores gubernamentales en reporto a plazos mayores que los que regularmente se utilizan en las operaciones de mercado abierto. Por último, el Banco de México ha implementado un conjunto de acciones encaminadas a asegurar la liquidez interna y externa, así como para reducir los costos de financiamiento. Destacan la disminución en el monto del Depósito de Regulación Monetaria, para liberar recursos a la banca comercial y que esté en mejores condiciones de otorgar créditos; el establecimiento de subastas de crédito en dólares financiadas con una línea “swap” por 60 mil millones de dólares con la Reserva Federal de Estados Unidos; la oportunidad de financiamiento a plazo de entre 18 y 24 meses a la banca y la facilidad de financiamiento garantizado con créditos a empresas que emiten deuda bursátil; y la reducción de la tasa de interés de la Facilidad de Liquidez Adicional Ordinaria (FLAO), de 2.2 a 1.1 veces su tasa de interés objetivo, para elevar la capacidad de otorgamiento de crédito de la banca. Cabe señalar que en una reunión extraordinaria el 21 de abril, posterior al periodo que cubre este informe, el Banco de México decidió recortar 50 puntos base adicionales su tasa objetivo, para llegar a un nivel de 6%.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Con la intención de que los gobiernos subnacionales cuenten con los recursos suficientes para hacer frente a la situación, se adelantaron las transferencias del Gobierno Federal de abril y mayo por un total de 18.9 mmp para las Secretarías de Salud de los estados. Adicionalmente y en línea con el objetivo de proteger las finanzas del Gobierno de México, se diseñan mejoras normativas para permitir a las entidades que cuentan con una posición financiera sólida un mayor acceso a los mercados de financiamiento, así como el diseño de mecanismos financieros para potenciar los recursos con que cuentan los gobiernos locales en distintos fondos.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F346F" w:rsidRPr="00207C3D" w:rsidRDefault="002F346F" w:rsidP="002F346F">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extent cx="2562225" cy="3554095"/>
            <wp:effectExtent l="0" t="0" r="952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2225" cy="3554095"/>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2019, Tlaxcala ha recibido flujos de inversión acumulados por 3 mil 200 millones de dólares (mdd) equivalentes al 1% del total de flujos captados por el país de acuerdo a la Secretaría de Economía al 3er Trimestre de 2019, la entidad pasó a ocupar la posición 28 como receptor de inversión externa en el país, una mejora de dos lugares con respecto al año 2018.</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Al mes de mayo de 2020 la tasa de ocupación reflejó una participación del 1.1 % al total nacional, representando un decremento de 2,498 puestos de trabajo respecto a diciembre de 2019. Al mes de mayo de 2020, se tienen registrados 99,775 trabajadores asegurados en el IMSS, tal y como se muestra en los siguientes cuadros:</w:t>
      </w:r>
    </w:p>
    <w:p w:rsidR="002F346F" w:rsidRDefault="002F346F" w:rsidP="002F346F">
      <w:pPr>
        <w:pStyle w:val="PRIMERAPLANA"/>
        <w:spacing w:line="360" w:lineRule="auto"/>
        <w:jc w:val="center"/>
        <w:rPr>
          <w:sz w:val="18"/>
          <w:szCs w:val="18"/>
        </w:rPr>
      </w:pPr>
      <w:r w:rsidRPr="002839E2">
        <w:rPr>
          <w:noProof/>
          <w:lang w:val="es-MX" w:eastAsia="es-MX"/>
        </w:rPr>
        <w:drawing>
          <wp:inline distT="0" distB="0" distL="0" distR="0">
            <wp:extent cx="6034393" cy="383875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8311" t="16780" r="12215" b="12305"/>
                    <a:stretch>
                      <a:fillRect/>
                    </a:stretch>
                  </pic:blipFill>
                  <pic:spPr bwMode="auto">
                    <a:xfrm>
                      <a:off x="0" y="0"/>
                      <a:ext cx="6034393" cy="3838755"/>
                    </a:xfrm>
                    <a:prstGeom prst="rect">
                      <a:avLst/>
                    </a:prstGeom>
                    <a:noFill/>
                    <a:ln>
                      <a:noFill/>
                    </a:ln>
                  </pic:spPr>
                </pic:pic>
              </a:graphicData>
            </a:graphic>
          </wp:inline>
        </w:drawing>
      </w:r>
    </w:p>
    <w:p w:rsidR="002F346F" w:rsidRDefault="002F346F" w:rsidP="002F346F">
      <w:pPr>
        <w:pStyle w:val="PRIMERAPLANA"/>
        <w:spacing w:line="360" w:lineRule="auto"/>
        <w:rPr>
          <w:sz w:val="18"/>
          <w:szCs w:val="18"/>
        </w:rPr>
      </w:pPr>
      <w:r w:rsidRPr="002839E2">
        <w:rPr>
          <w:noProof/>
          <w:lang w:val="es-MX" w:eastAsia="es-MX"/>
        </w:rPr>
        <w:lastRenderedPageBreak/>
        <w:drawing>
          <wp:inline distT="0" distB="0" distL="0" distR="0">
            <wp:extent cx="8566150" cy="59953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0366" t="17662" r="23550" b="10744"/>
                    <a:stretch>
                      <a:fillRect/>
                    </a:stretch>
                  </pic:blipFill>
                  <pic:spPr bwMode="auto">
                    <a:xfrm>
                      <a:off x="0" y="0"/>
                      <a:ext cx="8572579" cy="5999857"/>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F346F" w:rsidRPr="002F346F" w:rsidRDefault="002F346F" w:rsidP="002F346F">
      <w:pPr>
        <w:tabs>
          <w:tab w:val="left" w:pos="284"/>
        </w:tabs>
        <w:ind w:left="284"/>
        <w:jc w:val="center"/>
        <w:rPr>
          <w:rFonts w:ascii="Arial" w:hAnsi="Arial" w:cs="Arial"/>
          <w:sz w:val="18"/>
          <w:szCs w:val="18"/>
        </w:rPr>
      </w:pPr>
      <w:r w:rsidRPr="002F346F">
        <w:rPr>
          <w:rFonts w:ascii="Arial" w:hAnsi="Arial" w:cs="Arial"/>
          <w:noProof/>
          <w:sz w:val="18"/>
          <w:szCs w:val="18"/>
          <w:lang w:eastAsia="es-MX"/>
        </w:rPr>
        <w:drawing>
          <wp:inline distT="0" distB="0" distL="0" distR="0">
            <wp:extent cx="6313668" cy="3669654"/>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59" t="17435" r="25847" b="15431"/>
                    <a:stretch>
                      <a:fillRect/>
                    </a:stretch>
                  </pic:blipFill>
                  <pic:spPr bwMode="auto">
                    <a:xfrm>
                      <a:off x="0" y="0"/>
                      <a:ext cx="6362310" cy="3697926"/>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2F346F" w:rsidRPr="002F346F" w:rsidRDefault="002F346F" w:rsidP="002F346F">
      <w:pPr>
        <w:tabs>
          <w:tab w:val="left" w:pos="284"/>
        </w:tabs>
        <w:ind w:left="284"/>
        <w:jc w:val="both"/>
        <w:rPr>
          <w:rFonts w:ascii="Arial" w:hAnsi="Arial" w:cs="Arial"/>
          <w:sz w:val="18"/>
          <w:szCs w:val="18"/>
        </w:rPr>
      </w:pPr>
    </w:p>
    <w:p w:rsidR="002F346F" w:rsidRDefault="002F346F" w:rsidP="002F346F">
      <w:pPr>
        <w:pStyle w:val="PRIMERAPLANA"/>
        <w:spacing w:line="360" w:lineRule="auto"/>
        <w:jc w:val="center"/>
        <w:rPr>
          <w:rFonts w:cs="Arial"/>
          <w:sz w:val="18"/>
          <w:szCs w:val="18"/>
          <w:lang w:val="es-ES"/>
        </w:rPr>
      </w:pPr>
      <w:r w:rsidRPr="00F43017">
        <w:rPr>
          <w:noProof/>
          <w:lang w:val="es-MX" w:eastAsia="es-MX"/>
        </w:rPr>
        <w:lastRenderedPageBreak/>
        <w:drawing>
          <wp:inline distT="0" distB="0" distL="0" distR="0">
            <wp:extent cx="8450339" cy="5693434"/>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9038" cy="5699295"/>
                    </a:xfrm>
                    <a:prstGeom prst="rect">
                      <a:avLst/>
                    </a:prstGeom>
                    <a:noFill/>
                    <a:ln>
                      <a:noFill/>
                    </a:ln>
                  </pic:spPr>
                </pic:pic>
              </a:graphicData>
            </a:graphic>
          </wp:inline>
        </w:drawing>
      </w:r>
    </w:p>
    <w:p w:rsidR="002F346F" w:rsidRDefault="002F346F" w:rsidP="002F346F">
      <w:pPr>
        <w:pStyle w:val="PRIMERAPLANA"/>
        <w:spacing w:line="360" w:lineRule="auto"/>
        <w:rPr>
          <w:rFonts w:cs="Arial"/>
          <w:sz w:val="18"/>
          <w:szCs w:val="18"/>
          <w:lang w:val="es-ES"/>
        </w:rPr>
      </w:pP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5C9CB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F346F">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5678D9" w:rsidRDefault="005678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5678D9" w:rsidRDefault="005678D9"/>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5678D9" w:rsidRDefault="005678D9"/>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5678D9" w:rsidRDefault="005678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5678D9" w:rsidRDefault="005678D9">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5678D9" w:rsidRDefault="005678D9"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5678D9" w:rsidRDefault="005678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C7" w:rsidRDefault="003C4DC7" w:rsidP="00EA5418">
      <w:pPr>
        <w:spacing w:after="0" w:line="240" w:lineRule="auto"/>
      </w:pPr>
      <w:r>
        <w:separator/>
      </w:r>
    </w:p>
  </w:endnote>
  <w:endnote w:type="continuationSeparator" w:id="0">
    <w:p w:rsidR="003C4DC7" w:rsidRDefault="003C4DC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4E3EA4" w:rsidRDefault="005678D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8E63A5" w:rsidRPr="008E63A5">
          <w:rPr>
            <w:rFonts w:ascii="Arial" w:hAnsi="Arial" w:cs="Arial"/>
            <w:noProof/>
            <w:sz w:val="20"/>
            <w:lang w:val="es-ES"/>
          </w:rPr>
          <w:t>20</w:t>
        </w:r>
        <w:r w:rsidRPr="004E3EA4">
          <w:rPr>
            <w:rFonts w:ascii="Arial" w:hAnsi="Arial" w:cs="Arial"/>
            <w:sz w:val="20"/>
          </w:rPr>
          <w:fldChar w:fldCharType="end"/>
        </w:r>
      </w:sdtContent>
    </w:sdt>
  </w:p>
  <w:p w:rsidR="005678D9" w:rsidRDefault="005678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3527CD" w:rsidRDefault="005678D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8E63A5" w:rsidRPr="008E63A5">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C7" w:rsidRDefault="003C4DC7" w:rsidP="00EA5418">
      <w:pPr>
        <w:spacing w:after="0" w:line="240" w:lineRule="auto"/>
      </w:pPr>
      <w:r>
        <w:separator/>
      </w:r>
    </w:p>
  </w:footnote>
  <w:footnote w:type="continuationSeparator" w:id="0">
    <w:p w:rsidR="003C4DC7" w:rsidRDefault="003C4DC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Default="00ED6109">
    <w:pPr>
      <w:pStyle w:val="Encabezado"/>
    </w:pPr>
    <w:r>
      <w:rPr>
        <w:noProof/>
        <w:lang w:eastAsia="es-MX"/>
      </w:rPr>
      <mc:AlternateContent>
        <mc:Choice Requires="wps">
          <w:drawing>
            <wp:anchor distT="0" distB="0" distL="114300" distR="114300" simplePos="0" relativeHeight="251668480" behindDoc="0" locked="0" layoutInCell="1" allowOverlap="1" wp14:anchorId="517675F5" wp14:editId="4898210E">
              <wp:simplePos x="0" y="0"/>
              <wp:positionH relativeFrom="column">
                <wp:posOffset>1971675</wp:posOffset>
              </wp:positionH>
              <wp:positionV relativeFrom="paragraph">
                <wp:posOffset>-297180</wp:posOffset>
              </wp:positionV>
              <wp:extent cx="3648075" cy="5619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678D9" w:rsidRDefault="005678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678D9" w:rsidRPr="00275FC6" w:rsidRDefault="005678D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675F5" id="_x0000_t202" coordsize="21600,21600" o:spt="202" path="m,l,21600r21600,l21600,xe">
              <v:stroke joinstyle="miter"/>
              <v:path gradientshapeok="t" o:connecttype="rect"/>
            </v:shapetype>
            <v:shape id="Cuadro de texto 5" o:spid="_x0000_s1102" type="#_x0000_t202" style="position:absolute;margin-left:155.25pt;margin-top:-23.4pt;width:287.2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3dugIAAMA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" filled="f" stroked="f">
              <v:textbox>
                <w:txbxContent>
                  <w:p w:rsidR="005678D9" w:rsidRDefault="005678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678D9" w:rsidRDefault="005678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678D9" w:rsidRPr="00275FC6" w:rsidRDefault="005678D9" w:rsidP="00040466">
                    <w:pPr>
                      <w:jc w:val="right"/>
                      <w:rPr>
                        <w:rFonts w:ascii="Soberana Titular" w:hAnsi="Soberana Titular" w:cs="Arial"/>
                        <w:color w:val="808080" w:themeColor="background1" w:themeShade="80"/>
                        <w:sz w:val="20"/>
                        <w:szCs w:val="20"/>
                      </w:rPr>
                    </w:pPr>
                  </w:p>
                </w:txbxContent>
              </v:textbox>
            </v:shape>
          </w:pict>
        </mc:Fallback>
      </mc:AlternateContent>
    </w:r>
    <w:r w:rsidR="005678D9">
      <w:rPr>
        <w:noProof/>
        <w:lang w:eastAsia="es-MX"/>
      </w:rPr>
      <mc:AlternateContent>
        <mc:Choice Requires="wpg">
          <w:drawing>
            <wp:anchor distT="0" distB="0" distL="114300" distR="114300" simplePos="0" relativeHeight="251669504" behindDoc="0" locked="0" layoutInCell="1" allowOverlap="1" wp14:anchorId="4CC05A45" wp14:editId="0A53F1F8">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8D9" w:rsidRPr="00DE4269" w:rsidRDefault="005678D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05A45"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5678D9" w:rsidRPr="00DE4269" w:rsidRDefault="005678D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5678D9">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D0F310" wp14:editId="04099D0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3527CD" w:rsidRDefault="005678D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8F0634"/>
    <w:multiLevelType w:val="hybridMultilevel"/>
    <w:tmpl w:val="65B437D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3B23C02"/>
    <w:multiLevelType w:val="hybridMultilevel"/>
    <w:tmpl w:val="B290C2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3"/>
  </w:num>
  <w:num w:numId="7">
    <w:abstractNumId w:val="19"/>
  </w:num>
  <w:num w:numId="8">
    <w:abstractNumId w:val="16"/>
  </w:num>
  <w:num w:numId="9">
    <w:abstractNumId w:val="8"/>
  </w:num>
  <w:num w:numId="10">
    <w:abstractNumId w:val="3"/>
  </w:num>
  <w:num w:numId="11">
    <w:abstractNumId w:val="0"/>
  </w:num>
  <w:num w:numId="12">
    <w:abstractNumId w:val="6"/>
  </w:num>
  <w:num w:numId="13">
    <w:abstractNumId w:val="20"/>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2"/>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0C0"/>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1CD1"/>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5A63"/>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D7AEB"/>
    <w:rsid w:val="002E3C2E"/>
    <w:rsid w:val="002E4A3B"/>
    <w:rsid w:val="002E52F9"/>
    <w:rsid w:val="002F346F"/>
    <w:rsid w:val="002F546C"/>
    <w:rsid w:val="00300EF3"/>
    <w:rsid w:val="003021C2"/>
    <w:rsid w:val="0030292A"/>
    <w:rsid w:val="00302E39"/>
    <w:rsid w:val="00311255"/>
    <w:rsid w:val="00312040"/>
    <w:rsid w:val="00313AEB"/>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38C1"/>
    <w:rsid w:val="00365BA0"/>
    <w:rsid w:val="00370FF6"/>
    <w:rsid w:val="00372F40"/>
    <w:rsid w:val="00374856"/>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454B"/>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4DC7"/>
    <w:rsid w:val="003C5C30"/>
    <w:rsid w:val="003C7A1D"/>
    <w:rsid w:val="003D0221"/>
    <w:rsid w:val="003D1331"/>
    <w:rsid w:val="003D2E3D"/>
    <w:rsid w:val="003D56C9"/>
    <w:rsid w:val="003D5DBF"/>
    <w:rsid w:val="003D6079"/>
    <w:rsid w:val="003E33EF"/>
    <w:rsid w:val="003E3D38"/>
    <w:rsid w:val="003E4F44"/>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8D9"/>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B5639"/>
    <w:rsid w:val="005C02A4"/>
    <w:rsid w:val="005C0F25"/>
    <w:rsid w:val="005C1613"/>
    <w:rsid w:val="005C1E73"/>
    <w:rsid w:val="005C36E3"/>
    <w:rsid w:val="005C4BC3"/>
    <w:rsid w:val="005D3D25"/>
    <w:rsid w:val="005D5223"/>
    <w:rsid w:val="005D568E"/>
    <w:rsid w:val="005E68A5"/>
    <w:rsid w:val="005E7914"/>
    <w:rsid w:val="005F17A8"/>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88B"/>
    <w:rsid w:val="006356AA"/>
    <w:rsid w:val="00637A48"/>
    <w:rsid w:val="006401A1"/>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1422"/>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E63A5"/>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D779E"/>
    <w:rsid w:val="009E51F8"/>
    <w:rsid w:val="009E6B23"/>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45A"/>
    <w:rsid w:val="00A45D7D"/>
    <w:rsid w:val="00A46101"/>
    <w:rsid w:val="00A46BF5"/>
    <w:rsid w:val="00A47F7A"/>
    <w:rsid w:val="00A501B6"/>
    <w:rsid w:val="00A51521"/>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08C7"/>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57D1"/>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5237"/>
    <w:rsid w:val="00DA68FB"/>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1CC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5418"/>
    <w:rsid w:val="00EA5AD0"/>
    <w:rsid w:val="00EA6727"/>
    <w:rsid w:val="00EA6927"/>
    <w:rsid w:val="00EA6BE9"/>
    <w:rsid w:val="00EB2A4A"/>
    <w:rsid w:val="00EB3D8F"/>
    <w:rsid w:val="00EC0BE3"/>
    <w:rsid w:val="00EC1EBD"/>
    <w:rsid w:val="00EC56A4"/>
    <w:rsid w:val="00EC5C3D"/>
    <w:rsid w:val="00EC61A6"/>
    <w:rsid w:val="00EC7901"/>
    <w:rsid w:val="00ED0858"/>
    <w:rsid w:val="00ED319C"/>
    <w:rsid w:val="00ED518E"/>
    <w:rsid w:val="00ED6109"/>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1393"/>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3A70"/>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AF259-D52D-47C1-887F-72B64ABD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9665</Words>
  <Characters>53162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2020-04-08T16:49:00Z</cp:lastPrinted>
  <dcterms:created xsi:type="dcterms:W3CDTF">2020-09-17T21:14:00Z</dcterms:created>
  <dcterms:modified xsi:type="dcterms:W3CDTF">2020-09-17T21:14:00Z</dcterms:modified>
</cp:coreProperties>
</file>