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BE6D54" w:rsidP="009F214C">
      <w:pPr>
        <w:jc w:val="center"/>
      </w:pPr>
      <w:r>
        <w:object w:dxaOrig="23491" w:dyaOrig="17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507.75pt" o:ole="">
            <v:imagedata r:id="rId8" o:title=""/>
          </v:shape>
          <o:OLEObject Type="Embed" ProgID="Excel.Sheet.12" ShapeID="_x0000_i1025" DrawAspect="Content" ObjectID="_1679901941" r:id="rId9"/>
        </w:object>
      </w:r>
    </w:p>
    <w:bookmarkStart w:id="0" w:name="_GoBack"/>
    <w:p w:rsidR="009F214C" w:rsidRDefault="008D5702" w:rsidP="009F214C">
      <w:pPr>
        <w:jc w:val="center"/>
      </w:pPr>
      <w:r>
        <w:object w:dxaOrig="25493" w:dyaOrig="16664">
          <v:shape id="_x0000_i1026" type="#_x0000_t75" style="width:676.5pt;height:495pt" o:ole="">
            <v:imagedata r:id="rId10" o:title=""/>
          </v:shape>
          <o:OLEObject Type="Embed" ProgID="Excel.Sheet.12" ShapeID="_x0000_i1026" DrawAspect="Content" ObjectID="_1679901942" r:id="rId11"/>
        </w:object>
      </w:r>
      <w:bookmarkEnd w:id="0"/>
    </w:p>
    <w:p w:rsidR="001E5C69" w:rsidRDefault="009044B1" w:rsidP="003E7FD0">
      <w:pPr>
        <w:jc w:val="center"/>
      </w:pPr>
      <w:r>
        <w:object w:dxaOrig="24211" w:dyaOrig="15644">
          <v:shape id="_x0000_i1027" type="#_x0000_t75" style="width:691.5pt;height:507.75pt" o:ole="">
            <v:imagedata r:id="rId12" o:title=""/>
          </v:shape>
          <o:OLEObject Type="Embed" ProgID="Excel.Sheet.12" ShapeID="_x0000_i1027" DrawAspect="Content" ObjectID="_1679901943" r:id="rId13"/>
        </w:object>
      </w:r>
      <w:r>
        <w:object w:dxaOrig="18776" w:dyaOrig="12832">
          <v:shape id="_x0000_i1028" type="#_x0000_t75" style="width:683.25pt;height:486.75pt" o:ole="">
            <v:imagedata r:id="rId14" o:title=""/>
          </v:shape>
          <o:OLEObject Type="Embed" ProgID="Excel.Sheet.12" ShapeID="_x0000_i1028" DrawAspect="Content" ObjectID="_1679901944" r:id="rId15"/>
        </w:object>
      </w:r>
    </w:p>
    <w:p w:rsidR="005E4008" w:rsidRPr="005E4008" w:rsidRDefault="005E4008" w:rsidP="003E7FD0">
      <w:pPr>
        <w:jc w:val="center"/>
        <w:rPr>
          <w:sz w:val="2"/>
        </w:rPr>
      </w:pPr>
    </w:p>
    <w:p w:rsidR="00372F40" w:rsidRDefault="00473E33" w:rsidP="008E3652">
      <w:pPr>
        <w:jc w:val="center"/>
      </w:pPr>
      <w:r>
        <w:object w:dxaOrig="15509" w:dyaOrig="12280">
          <v:shape id="_x0000_i1029" type="#_x0000_t75" style="width:684pt;height:518.25pt" o:ole="">
            <v:imagedata r:id="rId16" o:title=""/>
          </v:shape>
          <o:OLEObject Type="Embed" ProgID="Excel.Sheet.12" ShapeID="_x0000_i1029" DrawAspect="Content" ObjectID="_1679901945" r:id="rId17"/>
        </w:object>
      </w:r>
    </w:p>
    <w:p w:rsidR="000B06A2" w:rsidRDefault="000B06A2" w:rsidP="008E3652">
      <w:pPr>
        <w:jc w:val="center"/>
      </w:pPr>
    </w:p>
    <w:p w:rsidR="00744168" w:rsidRDefault="00F30EA1" w:rsidP="008E3652">
      <w:pPr>
        <w:jc w:val="center"/>
      </w:pPr>
      <w:r>
        <w:object w:dxaOrig="18004" w:dyaOrig="14378">
          <v:shape id="_x0000_i1030" type="#_x0000_t75" style="width:690.75pt;height:467.25pt" o:ole="">
            <v:imagedata r:id="rId18" o:title=""/>
          </v:shape>
          <o:OLEObject Type="Embed" ProgID="Excel.Sheet.12" ShapeID="_x0000_i1030" DrawAspect="Content" ObjectID="_1679901946" r:id="rId19"/>
        </w:object>
      </w:r>
    </w:p>
    <w:p w:rsidR="00744168" w:rsidRDefault="00F30EA1" w:rsidP="008E3652">
      <w:pPr>
        <w:jc w:val="center"/>
      </w:pPr>
      <w:r>
        <w:object w:dxaOrig="23872" w:dyaOrig="16053">
          <v:shape id="_x0000_i1031" type="#_x0000_t75" style="width:684pt;height:504.75pt" o:ole="">
            <v:imagedata r:id="rId20" o:title=""/>
          </v:shape>
          <o:OLEObject Type="Embed" ProgID="Excel.Sheet.12" ShapeID="_x0000_i1031" DrawAspect="Content" ObjectID="_1679901947" r:id="rId21"/>
        </w:object>
      </w:r>
    </w:p>
    <w:p w:rsidR="00B93D9F" w:rsidRDefault="00B93D9F" w:rsidP="008E3652">
      <w:pPr>
        <w:jc w:val="center"/>
      </w:pPr>
    </w:p>
    <w:p w:rsidR="00EC6CE4" w:rsidRDefault="00EC6CE4" w:rsidP="008E3652">
      <w:pPr>
        <w:jc w:val="center"/>
      </w:pPr>
    </w:p>
    <w:p w:rsidR="00EC6CE4" w:rsidRPr="00540418" w:rsidRDefault="00EC6CE4" w:rsidP="00EC6CE4">
      <w:pPr>
        <w:jc w:val="center"/>
        <w:rPr>
          <w:rFonts w:ascii="Soberana Sans Light" w:hAnsi="Soberana Sans Light"/>
        </w:rPr>
      </w:pPr>
      <w:r w:rsidRPr="00540418">
        <w:rPr>
          <w:rFonts w:ascii="Soberana Sans Light" w:hAnsi="Soberana Sans Light"/>
        </w:rPr>
        <w:t>Informe de Pasivos Contingentes</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CONTINGENCIAS LABORALES:</w:t>
      </w:r>
    </w:p>
    <w:p w:rsidR="00A70E33" w:rsidRPr="009C7180" w:rsidRDefault="00A70E33" w:rsidP="00A70E33">
      <w:pPr>
        <w:pStyle w:val="Prrafodelista"/>
        <w:numPr>
          <w:ilvl w:val="0"/>
          <w:numId w:val="6"/>
        </w:numPr>
        <w:rPr>
          <w:rFonts w:ascii="Arial" w:hAnsi="Arial" w:cs="Arial"/>
          <w:sz w:val="18"/>
          <w:szCs w:val="18"/>
        </w:rPr>
      </w:pPr>
      <w:r>
        <w:rPr>
          <w:rFonts w:ascii="Arial" w:hAnsi="Arial" w:cs="Arial"/>
          <w:sz w:val="18"/>
          <w:szCs w:val="18"/>
        </w:rPr>
        <w:t>Saldo al 31 de marzo</w:t>
      </w:r>
      <w:r w:rsidRPr="009C7180">
        <w:rPr>
          <w:rFonts w:ascii="Arial" w:hAnsi="Arial" w:cs="Arial"/>
          <w:sz w:val="18"/>
          <w:szCs w:val="18"/>
        </w:rPr>
        <w:t xml:space="preserve"> de 20</w:t>
      </w:r>
      <w:r>
        <w:rPr>
          <w:rFonts w:ascii="Arial" w:hAnsi="Arial" w:cs="Arial"/>
          <w:sz w:val="18"/>
          <w:szCs w:val="18"/>
        </w:rPr>
        <w:t>21</w:t>
      </w:r>
      <w:r w:rsidRPr="009C7180">
        <w:rPr>
          <w:rFonts w:ascii="Arial" w:hAnsi="Arial" w:cs="Arial"/>
          <w:sz w:val="18"/>
          <w:szCs w:val="18"/>
        </w:rPr>
        <w:t xml:space="preserve"> $</w:t>
      </w:r>
      <w:r>
        <w:rPr>
          <w:rFonts w:ascii="Arial" w:hAnsi="Arial" w:cs="Arial"/>
          <w:sz w:val="18"/>
          <w:szCs w:val="18"/>
        </w:rPr>
        <w:t xml:space="preserve">123,266,999.98 </w:t>
      </w:r>
      <w:r w:rsidRPr="009C7180">
        <w:rPr>
          <w:rFonts w:ascii="Arial" w:hAnsi="Arial" w:cs="Arial"/>
          <w:sz w:val="18"/>
          <w:szCs w:val="18"/>
        </w:rPr>
        <w:t>(</w:t>
      </w:r>
      <w:r>
        <w:rPr>
          <w:rFonts w:ascii="Arial" w:hAnsi="Arial" w:cs="Arial"/>
          <w:sz w:val="18"/>
          <w:szCs w:val="18"/>
        </w:rPr>
        <w:t>Ciento Veintitrés Millones Doscientos Sesenta y Seis Mil Novecientos Noventa y Nueve Pesos 98/100 M.N.)</w:t>
      </w:r>
    </w:p>
    <w:p w:rsidR="00EC6CE4" w:rsidRDefault="00EC6CE4" w:rsidP="00EC6CE4">
      <w:pPr>
        <w:rPr>
          <w:rFonts w:ascii="Arial" w:hAnsi="Arial" w:cs="Arial"/>
          <w:sz w:val="18"/>
          <w:szCs w:val="18"/>
        </w:rPr>
      </w:pPr>
      <w:r>
        <w:rPr>
          <w:rFonts w:ascii="Arial" w:hAnsi="Arial" w:cs="Arial"/>
          <w:sz w:val="18"/>
          <w:szCs w:val="18"/>
        </w:rPr>
        <w:t>Se integra por:</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EC6CE4" w:rsidRDefault="00EC6CE4" w:rsidP="00EC6CE4">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Los pagos realizados por medio de este fondo son:</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50% pago de marcha.</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Aportaciones del trabajador.</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Pr="00B165B0" w:rsidRDefault="00EC6CE4" w:rsidP="00EC6CE4">
      <w:pPr>
        <w:jc w:val="center"/>
        <w:rPr>
          <w:rFonts w:ascii="Arial" w:hAnsi="Arial" w:cs="Arial"/>
          <w:b/>
          <w:sz w:val="18"/>
          <w:szCs w:val="18"/>
        </w:rPr>
      </w:pPr>
      <w:r w:rsidRPr="00B165B0">
        <w:rPr>
          <w:rFonts w:ascii="Arial" w:hAnsi="Arial" w:cs="Arial"/>
          <w:b/>
          <w:sz w:val="18"/>
          <w:szCs w:val="18"/>
        </w:rPr>
        <w:lastRenderedPageBreak/>
        <w:t>NOTAS A LOS ESTADOS FINANCIEROS</w:t>
      </w:r>
    </w:p>
    <w:p w:rsidR="00EC6CE4" w:rsidRDefault="00EC6CE4" w:rsidP="00EC6CE4">
      <w:pPr>
        <w:pStyle w:val="Texto"/>
        <w:spacing w:after="0" w:line="240" w:lineRule="exact"/>
        <w:jc w:val="center"/>
        <w:rPr>
          <w:b/>
          <w:szCs w:val="18"/>
        </w:rPr>
      </w:pPr>
    </w:p>
    <w:p w:rsidR="00EC6CE4" w:rsidRPr="00B165B0" w:rsidRDefault="00EC6CE4" w:rsidP="00EC6CE4">
      <w:pPr>
        <w:pStyle w:val="Texto"/>
        <w:spacing w:after="0" w:line="240" w:lineRule="exact"/>
        <w:jc w:val="center"/>
        <w:rPr>
          <w:szCs w:val="18"/>
        </w:rPr>
      </w:pPr>
      <w:r w:rsidRPr="00B165B0">
        <w:rPr>
          <w:b/>
          <w:szCs w:val="18"/>
        </w:rPr>
        <w:t>a) NOTAS DE DESGLOSE</w:t>
      </w:r>
    </w:p>
    <w:p w:rsidR="00EC6CE4" w:rsidRDefault="00EC6CE4" w:rsidP="00EC6CE4">
      <w:pPr>
        <w:pStyle w:val="Texto"/>
        <w:spacing w:after="0" w:line="240" w:lineRule="exact"/>
        <w:rPr>
          <w:szCs w:val="18"/>
          <w:lang w:val="es-MX"/>
        </w:rPr>
      </w:pPr>
    </w:p>
    <w:p w:rsidR="00EC6CE4" w:rsidRPr="00B165B0" w:rsidRDefault="00EC6CE4" w:rsidP="00EC6CE4">
      <w:pPr>
        <w:pStyle w:val="Texto"/>
        <w:spacing w:after="0" w:line="240" w:lineRule="exact"/>
        <w:rPr>
          <w:szCs w:val="18"/>
          <w:lang w:val="es-MX"/>
        </w:rPr>
      </w:pPr>
    </w:p>
    <w:p w:rsidR="00EC6CE4" w:rsidRPr="007614B3" w:rsidRDefault="00EC6CE4" w:rsidP="00EC6CE4">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EC6CE4"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r w:rsidRPr="007614B3">
        <w:rPr>
          <w:b/>
          <w:smallCaps/>
        </w:rPr>
        <w:t>Inversión Financieras</w:t>
      </w:r>
    </w:p>
    <w:p w:rsidR="00EC6CE4" w:rsidRPr="007614B3" w:rsidRDefault="00EC6CE4" w:rsidP="00EC6CE4">
      <w:pPr>
        <w:pStyle w:val="INCISO"/>
        <w:spacing w:after="0" w:line="240" w:lineRule="exact"/>
        <w:ind w:left="1008" w:firstLine="0"/>
        <w:rPr>
          <w:b/>
          <w:smallCaps/>
        </w:rPr>
      </w:pPr>
    </w:p>
    <w:p w:rsidR="00EC6CE4" w:rsidRPr="007614B3" w:rsidRDefault="00EC6CE4" w:rsidP="00EC6CE4">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EC6CE4" w:rsidRDefault="00640113" w:rsidP="00640113">
      <w:pPr>
        <w:pStyle w:val="ROMANOS"/>
        <w:spacing w:after="0" w:line="240" w:lineRule="exact"/>
        <w:ind w:hanging="11"/>
        <w:rPr>
          <w:rFonts w:eastAsiaTheme="minorHAnsi"/>
          <w:lang w:val="es-MX" w:eastAsia="en-US"/>
        </w:rPr>
      </w:pPr>
      <w:r w:rsidRPr="00640113">
        <w:rPr>
          <w:rFonts w:eastAsiaTheme="minorHAnsi"/>
          <w:lang w:val="es-MX" w:eastAsia="en-US"/>
        </w:rPr>
        <w:t>El saldo al 31 de marzo de 2021 es de $ 168,439,962.68 (Ciento Sesenta y Ocho Millones Cuatrocientos Treinta y Nueve Mil Novecientos Sesenta y Dos Pesos 68/100 M.N)</w:t>
      </w:r>
    </w:p>
    <w:p w:rsidR="00640113" w:rsidRPr="007614B3" w:rsidRDefault="00640113" w:rsidP="00EC6CE4">
      <w:pPr>
        <w:pStyle w:val="ROMANOS"/>
        <w:spacing w:after="0" w:line="240" w:lineRule="exact"/>
        <w:ind w:left="1008" w:firstLine="0"/>
        <w:rPr>
          <w:rFonts w:ascii="Soberana Sans Light" w:hAnsi="Soberana Sans Light"/>
          <w:lang w:val="es-MX"/>
        </w:rPr>
      </w:pPr>
    </w:p>
    <w:p w:rsidR="00EC6CE4" w:rsidRPr="007614B3" w:rsidRDefault="00EC6CE4" w:rsidP="00EC6CE4">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EC6CE4" w:rsidRDefault="00EC6CE4" w:rsidP="00EC6CE4">
      <w:pPr>
        <w:pStyle w:val="INCISO"/>
        <w:spacing w:after="0" w:line="240" w:lineRule="exact"/>
        <w:ind w:left="360"/>
        <w:rPr>
          <w:b/>
          <w:smallCaps/>
        </w:rPr>
      </w:pPr>
    </w:p>
    <w:p w:rsidR="00EC6CE4" w:rsidRPr="007614B3" w:rsidRDefault="00EC6CE4" w:rsidP="00EC6CE4">
      <w:pPr>
        <w:pStyle w:val="INCISO"/>
        <w:spacing w:after="0" w:line="240" w:lineRule="exact"/>
        <w:ind w:left="360"/>
        <w:rPr>
          <w:b/>
          <w:smallCaps/>
        </w:rPr>
      </w:pPr>
    </w:p>
    <w:p w:rsidR="00EC6CE4" w:rsidRPr="007614B3" w:rsidRDefault="00EC6CE4" w:rsidP="00EC6CE4">
      <w:pPr>
        <w:pStyle w:val="ROMANOS"/>
        <w:spacing w:after="0" w:line="240" w:lineRule="exact"/>
        <w:rPr>
          <w:b/>
          <w:lang w:val="es-MX"/>
        </w:rPr>
      </w:pPr>
      <w:r w:rsidRPr="007614B3">
        <w:rPr>
          <w:b/>
          <w:lang w:val="es-MX"/>
        </w:rPr>
        <w:t>Efectivo y equivalentes</w:t>
      </w:r>
    </w:p>
    <w:p w:rsidR="00EC6CE4" w:rsidRPr="007614B3" w:rsidRDefault="00EC6CE4" w:rsidP="00EC6CE4">
      <w:pPr>
        <w:pStyle w:val="ROMANOS"/>
        <w:spacing w:after="0" w:line="240" w:lineRule="exact"/>
        <w:rPr>
          <w:b/>
          <w:lang w:val="es-MX"/>
        </w:rPr>
      </w:pPr>
    </w:p>
    <w:p w:rsidR="00C06C88" w:rsidRDefault="00EC6CE4" w:rsidP="00C06C88">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640113" w:rsidRDefault="00640113" w:rsidP="00640113">
      <w:pPr>
        <w:pStyle w:val="ROMANOS"/>
        <w:spacing w:after="0" w:line="240" w:lineRule="exact"/>
        <w:ind w:left="644" w:firstLine="0"/>
        <w:rPr>
          <w:lang w:val="es-MX"/>
        </w:rPr>
      </w:pPr>
    </w:p>
    <w:p w:rsidR="00640113" w:rsidRDefault="00640113" w:rsidP="00640113">
      <w:pPr>
        <w:pStyle w:val="ROMANOS"/>
        <w:spacing w:after="0" w:line="240" w:lineRule="exact"/>
        <w:ind w:left="644" w:firstLine="0"/>
        <w:rPr>
          <w:lang w:val="es-MX"/>
        </w:rPr>
      </w:pPr>
    </w:p>
    <w:p w:rsidR="00C06C88" w:rsidRDefault="00C06C88" w:rsidP="00C06C88">
      <w:pPr>
        <w:pStyle w:val="ROMANOS"/>
        <w:spacing w:after="0" w:line="240" w:lineRule="exact"/>
        <w:rPr>
          <w:lang w:val="es-MX"/>
        </w:rPr>
      </w:pPr>
    </w:p>
    <w:tbl>
      <w:tblPr>
        <w:tblW w:w="0" w:type="auto"/>
        <w:tblInd w:w="2317" w:type="dxa"/>
        <w:tblLayout w:type="fixed"/>
        <w:tblCellMar>
          <w:left w:w="70" w:type="dxa"/>
          <w:right w:w="70" w:type="dxa"/>
        </w:tblCellMar>
        <w:tblLook w:val="0000" w:firstRow="0" w:lastRow="0" w:firstColumn="0" w:lastColumn="0" w:noHBand="0" w:noVBand="0"/>
      </w:tblPr>
      <w:tblGrid>
        <w:gridCol w:w="4721"/>
        <w:gridCol w:w="2160"/>
        <w:gridCol w:w="2160"/>
      </w:tblGrid>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Nombre de la Cuenta</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2021</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EFECTIVO</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BANCOS/TESORERÍA</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119,148,853.00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71,254,620.00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BANCOS/DEPENDENCIAS Y OTROS</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INVERSIONES TEMPORALES (HASTA 3 MESES)</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195,783,599.00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252,576,982.00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FONDOS CON AFECTACIÓN ESPECÍFICA</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640113" w:rsidTr="00076828">
        <w:trPr>
          <w:trHeight w:val="581"/>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DEPÓSITOS DE FONDOS DE TERCEROS EN GARANTÍA Y/O ADMINISTRACIÓN</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OTROS EFECTIVOS Y EQUIVALENTES</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640113" w:rsidTr="00076828">
        <w:trPr>
          <w:trHeight w:val="290"/>
        </w:trPr>
        <w:tc>
          <w:tcPr>
            <w:tcW w:w="4721"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TOTAL</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314,932,452.00</w:t>
            </w:r>
          </w:p>
        </w:tc>
        <w:tc>
          <w:tcPr>
            <w:tcW w:w="2160" w:type="dxa"/>
            <w:tcBorders>
              <w:top w:val="single" w:sz="6" w:space="0" w:color="auto"/>
              <w:left w:val="single" w:sz="6" w:space="0" w:color="auto"/>
              <w:bottom w:val="single" w:sz="6" w:space="0" w:color="auto"/>
              <w:right w:val="single" w:sz="6" w:space="0" w:color="auto"/>
            </w:tcBorders>
          </w:tcPr>
          <w:p w:rsidR="00640113" w:rsidRDefault="00640113" w:rsidP="0007682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323,831,602.00</w:t>
            </w:r>
          </w:p>
        </w:tc>
      </w:tr>
    </w:tbl>
    <w:p w:rsidR="00C06C88" w:rsidRDefault="00C06C88" w:rsidP="00EC6CE4">
      <w:pPr>
        <w:pStyle w:val="ROMANOS"/>
        <w:spacing w:after="0" w:line="240" w:lineRule="exact"/>
        <w:rPr>
          <w:lang w:val="es-MX"/>
        </w:rPr>
      </w:pPr>
    </w:p>
    <w:p w:rsidR="00C06C88" w:rsidRDefault="00C06C88" w:rsidP="00EC6CE4">
      <w:pPr>
        <w:pStyle w:val="ROMANOS"/>
        <w:spacing w:after="0" w:line="240" w:lineRule="exact"/>
        <w:rPr>
          <w:lang w:val="es-MX"/>
        </w:rPr>
      </w:pPr>
    </w:p>
    <w:p w:rsidR="00997495" w:rsidRDefault="00EC6CE4" w:rsidP="0097017B">
      <w:pPr>
        <w:pStyle w:val="ROMANOS"/>
        <w:numPr>
          <w:ilvl w:val="0"/>
          <w:numId w:val="3"/>
        </w:numPr>
        <w:spacing w:after="0" w:line="240" w:lineRule="exact"/>
      </w:pPr>
      <w:r>
        <w:lastRenderedPageBreak/>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r w:rsidR="0097017B">
        <w:t xml:space="preserve"> </w:t>
      </w:r>
    </w:p>
    <w:tbl>
      <w:tblPr>
        <w:tblW w:w="0" w:type="auto"/>
        <w:tblInd w:w="2175" w:type="dxa"/>
        <w:tblLayout w:type="fixed"/>
        <w:tblCellMar>
          <w:left w:w="70" w:type="dxa"/>
          <w:right w:w="70" w:type="dxa"/>
        </w:tblCellMar>
        <w:tblLook w:val="0000" w:firstRow="0" w:lastRow="0" w:firstColumn="0" w:lastColumn="0" w:noHBand="0" w:noVBand="0"/>
      </w:tblPr>
      <w:tblGrid>
        <w:gridCol w:w="7397"/>
        <w:gridCol w:w="1934"/>
      </w:tblGrid>
      <w:tr w:rsidR="0097017B" w:rsidTr="00076828">
        <w:trPr>
          <w:trHeight w:val="362"/>
        </w:trPr>
        <w:tc>
          <w:tcPr>
            <w:tcW w:w="7397" w:type="dxa"/>
            <w:tcBorders>
              <w:top w:val="single" w:sz="6" w:space="0" w:color="auto"/>
              <w:left w:val="single" w:sz="6" w:space="0" w:color="auto"/>
              <w:bottom w:val="single" w:sz="6" w:space="0" w:color="auto"/>
              <w:right w:val="nil"/>
            </w:tcBorders>
            <w:shd w:val="solid" w:color="800000" w:fill="auto"/>
          </w:tcPr>
          <w:p w:rsidR="0097017B" w:rsidRDefault="0097017B" w:rsidP="00076828">
            <w:pPr>
              <w:autoSpaceDE w:val="0"/>
              <w:autoSpaceDN w:val="0"/>
              <w:adjustRightInd w:val="0"/>
              <w:spacing w:after="0" w:line="240" w:lineRule="auto"/>
              <w:jc w:val="center"/>
              <w:rPr>
                <w:rFonts w:ascii="Calibri" w:hAnsi="Calibri" w:cs="Calibri"/>
                <w:b/>
                <w:bCs/>
                <w:color w:val="FFFFFF"/>
                <w:sz w:val="28"/>
                <w:szCs w:val="28"/>
              </w:rPr>
            </w:pPr>
            <w:r>
              <w:rPr>
                <w:rFonts w:ascii="Calibri" w:hAnsi="Calibri" w:cs="Calibri"/>
                <w:b/>
                <w:bCs/>
                <w:color w:val="FFFFFF"/>
                <w:sz w:val="28"/>
                <w:szCs w:val="28"/>
              </w:rPr>
              <w:t>ADQUISICIÓN BIENES MUEBLES E INMUEBLES:</w:t>
            </w:r>
          </w:p>
        </w:tc>
        <w:tc>
          <w:tcPr>
            <w:tcW w:w="1934" w:type="dxa"/>
            <w:tcBorders>
              <w:top w:val="single" w:sz="6" w:space="0" w:color="auto"/>
              <w:left w:val="nil"/>
              <w:bottom w:val="single" w:sz="6" w:space="0" w:color="auto"/>
              <w:right w:val="nil"/>
            </w:tcBorders>
            <w:shd w:val="solid" w:color="800000" w:fill="auto"/>
          </w:tcPr>
          <w:p w:rsidR="0097017B" w:rsidRDefault="0097017B" w:rsidP="00076828">
            <w:pPr>
              <w:autoSpaceDE w:val="0"/>
              <w:autoSpaceDN w:val="0"/>
              <w:adjustRightInd w:val="0"/>
              <w:spacing w:after="0" w:line="240" w:lineRule="auto"/>
              <w:jc w:val="center"/>
              <w:rPr>
                <w:rFonts w:ascii="Calibri" w:hAnsi="Calibri" w:cs="Calibri"/>
                <w:b/>
                <w:bCs/>
                <w:color w:val="FFFFFF"/>
                <w:sz w:val="28"/>
                <w:szCs w:val="28"/>
              </w:rPr>
            </w:pP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Calibri" w:hAnsi="Calibri" w:cs="Calibri"/>
                <w:b/>
                <w:bCs/>
                <w:color w:val="FFFFFF"/>
              </w:rPr>
            </w:pPr>
            <w:r>
              <w:rPr>
                <w:rFonts w:ascii="Calibri" w:hAnsi="Calibri" w:cs="Calibri"/>
                <w:b/>
                <w:bCs/>
                <w:color w:val="FFFFFF"/>
              </w:rPr>
              <w:t>Nombre de la Cuenta</w:t>
            </w:r>
          </w:p>
        </w:tc>
        <w:tc>
          <w:tcPr>
            <w:tcW w:w="1934" w:type="dxa"/>
            <w:tcBorders>
              <w:top w:val="single" w:sz="6" w:space="0" w:color="auto"/>
              <w:left w:val="single" w:sz="6" w:space="0" w:color="auto"/>
              <w:bottom w:val="single" w:sz="6" w:space="0" w:color="auto"/>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Calibri" w:hAnsi="Calibri" w:cs="Calibri"/>
                <w:b/>
                <w:bCs/>
                <w:color w:val="FFFFFF"/>
              </w:rPr>
            </w:pPr>
            <w:r>
              <w:rPr>
                <w:rFonts w:ascii="Calibri" w:hAnsi="Calibri" w:cs="Calibri"/>
                <w:b/>
                <w:bCs/>
                <w:color w:val="FFFFFF"/>
              </w:rPr>
              <w:t>Monto</w:t>
            </w:r>
          </w:p>
        </w:tc>
      </w:tr>
      <w:tr w:rsidR="0097017B" w:rsidTr="00076828">
        <w:trPr>
          <w:trHeight w:val="521"/>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BIENES INMUEBLES, INFRAESTRUCTURA Y CONSTRUCCIONES EN PROCESO</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924,195</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TERRENOS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VIVIENDAS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EDIFICIOS NO HABITACIONALES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INFRAESTRUCTURA</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CONSTRUCCIONES EN PROCESO EN BIENES DE DOMINIO PÚBLICO</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CONSTRUCCIONES EN PROCESO EN BIENES PROPIOS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924,195</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OTROS BIENES INMUEBLES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BIENES MUEBLES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991,177</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MOBILIARIO Y EQUIPO DE ADMINISTRACIÓN</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104,830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MOBILIARIO Y EQUIPO EDUCACIONAL Y RECREATIVO</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EQUIPO E INSTRUMENTAL MÉDICO Y DE LABORATORIO</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871,586</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VEHICULOS Y EQUIPO DE TRANSPORTE</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EQUIPO DE DEFENSA Y SEGURIDAD</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MAQUINARIA, OTROS EQUIPOS Y HERRAMIENTAS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14,761</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COLECCIONES, OBRAS DE ARTE Y OBJETOS VALIOSOS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ACTIVOS BIOLÓGICOS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ACTIVOS INTANGIBLES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23,654</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SOFTWARE</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23,654</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PATENTES, MARCAS Y DERECHOS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CONCESIONES Y FRANQUICIAS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LICENCIAS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                                 -   </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OTROS ACTIVOS INTANGIBLES</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7017B" w:rsidTr="00076828">
        <w:trPr>
          <w:trHeight w:val="290"/>
        </w:trPr>
        <w:tc>
          <w:tcPr>
            <w:tcW w:w="7397"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TOTAL</w:t>
            </w:r>
          </w:p>
        </w:tc>
        <w:tc>
          <w:tcPr>
            <w:tcW w:w="1934"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1,939,026.00</w:t>
            </w:r>
          </w:p>
        </w:tc>
      </w:tr>
    </w:tbl>
    <w:p w:rsidR="00997495" w:rsidRDefault="00997495" w:rsidP="00EC6CE4">
      <w:pPr>
        <w:pStyle w:val="ROMANOS"/>
        <w:spacing w:after="0" w:line="240" w:lineRule="exact"/>
        <w:ind w:left="644" w:firstLine="0"/>
      </w:pPr>
    </w:p>
    <w:p w:rsidR="00997495" w:rsidRDefault="00997495" w:rsidP="00EC6CE4">
      <w:pPr>
        <w:pStyle w:val="ROMANOS"/>
        <w:spacing w:after="0" w:line="240" w:lineRule="exact"/>
        <w:ind w:left="644" w:firstLine="0"/>
      </w:pPr>
    </w:p>
    <w:p w:rsidR="00EC6CE4" w:rsidRDefault="00EC6CE4" w:rsidP="00EC6CE4">
      <w:pPr>
        <w:pStyle w:val="ROMANOS"/>
        <w:numPr>
          <w:ilvl w:val="0"/>
          <w:numId w:val="3"/>
        </w:numPr>
        <w:spacing w:after="0" w:line="240" w:lineRule="exact"/>
        <w:ind w:firstLine="0"/>
        <w:rPr>
          <w:noProof/>
          <w:lang w:eastAsia="es-MX"/>
        </w:rPr>
      </w:pPr>
      <w:r w:rsidRPr="00BE45D1">
        <w:rPr>
          <w:lang w:val="es-MX"/>
        </w:rPr>
        <w:t xml:space="preserve">Conciliación de los Flujos de Efectivo Netos de las Actividades de Operación y la cuenta de Ahorro/Desahorro antes de Rubros Extraordinarios. A </w:t>
      </w:r>
      <w:r w:rsidRPr="00BE45D1">
        <w:rPr>
          <w:lang w:val="es-MX"/>
        </w:rPr>
        <w:tab/>
        <w:t xml:space="preserve">continuación, se presenta un ejemplo de la elaboración de la conciliación. </w:t>
      </w:r>
    </w:p>
    <w:p w:rsidR="00EC6CE4" w:rsidRDefault="0097017B" w:rsidP="00EC6CE4">
      <w:pPr>
        <w:jc w:val="center"/>
        <w:rPr>
          <w:rFonts w:ascii="Arial" w:hAnsi="Arial" w:cs="Arial"/>
          <w:sz w:val="18"/>
          <w:szCs w:val="18"/>
        </w:rPr>
      </w:pPr>
      <w:r>
        <w:rPr>
          <w:rFonts w:ascii="Arial" w:hAnsi="Arial" w:cs="Arial"/>
          <w:noProof/>
          <w:sz w:val="18"/>
          <w:szCs w:val="18"/>
          <w:lang w:eastAsia="es-MX"/>
        </w:rPr>
        <w:lastRenderedPageBreak/>
        <w:drawing>
          <wp:inline distT="0" distB="0" distL="0" distR="0" wp14:anchorId="1C4CF5E7" wp14:editId="4F825504">
            <wp:extent cx="3848100" cy="6372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6372225"/>
                    </a:xfrm>
                    <a:prstGeom prst="rect">
                      <a:avLst/>
                    </a:prstGeom>
                    <a:noFill/>
                    <a:ln>
                      <a:noFill/>
                    </a:ln>
                  </pic:spPr>
                </pic:pic>
              </a:graphicData>
            </a:graphic>
          </wp:inline>
        </w:drawing>
      </w:r>
    </w:p>
    <w:p w:rsidR="00EC6CE4" w:rsidRDefault="00EC6CE4" w:rsidP="00EC6CE4">
      <w:pPr>
        <w:jc w:val="center"/>
        <w:rPr>
          <w:rFonts w:ascii="Arial" w:hAnsi="Arial" w:cs="Arial"/>
          <w:sz w:val="18"/>
          <w:szCs w:val="18"/>
        </w:rPr>
      </w:pPr>
    </w:p>
    <w:p w:rsidR="00EC6CE4" w:rsidRPr="007614B3" w:rsidRDefault="00EC6CE4" w:rsidP="00EC6CE4">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EC6CE4" w:rsidRPr="007614B3" w:rsidRDefault="00EC6CE4" w:rsidP="00EC6CE4">
      <w:pPr>
        <w:pStyle w:val="Texto"/>
        <w:spacing w:after="0" w:line="240" w:lineRule="exact"/>
        <w:jc w:val="center"/>
        <w:rPr>
          <w:b/>
          <w:smallCaps/>
          <w:szCs w:val="18"/>
          <w:lang w:val="es-MX"/>
        </w:rPr>
      </w:pPr>
    </w:p>
    <w:p w:rsidR="00806994" w:rsidRDefault="00EC6CE4" w:rsidP="0097017B">
      <w:pPr>
        <w:pStyle w:val="Texto"/>
        <w:spacing w:after="0" w:line="240" w:lineRule="exact"/>
        <w:rPr>
          <w:noProof/>
          <w:lang w:eastAsia="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00806994">
        <w:rPr>
          <w:noProof/>
          <w:lang w:eastAsia="es-MX"/>
        </w:rPr>
        <w:t xml:space="preserve"> </w:t>
      </w:r>
    </w:p>
    <w:p w:rsidR="0097017B" w:rsidRDefault="0097017B" w:rsidP="0097017B">
      <w:pPr>
        <w:pStyle w:val="Texto"/>
        <w:spacing w:after="0" w:line="240" w:lineRule="exact"/>
        <w:rPr>
          <w:noProof/>
          <w:lang w:eastAsia="es-MX"/>
        </w:rPr>
      </w:pPr>
    </w:p>
    <w:tbl>
      <w:tblPr>
        <w:tblW w:w="0" w:type="auto"/>
        <w:tblInd w:w="2677" w:type="dxa"/>
        <w:tblLayout w:type="fixed"/>
        <w:tblCellMar>
          <w:left w:w="70" w:type="dxa"/>
          <w:right w:w="70" w:type="dxa"/>
        </w:tblCellMar>
        <w:tblLook w:val="0000" w:firstRow="0" w:lastRow="0" w:firstColumn="0" w:lastColumn="0" w:noHBand="0" w:noVBand="0"/>
      </w:tblPr>
      <w:tblGrid>
        <w:gridCol w:w="1289"/>
        <w:gridCol w:w="5333"/>
        <w:gridCol w:w="1708"/>
      </w:tblGrid>
      <w:tr w:rsidR="0097017B" w:rsidTr="00076828">
        <w:trPr>
          <w:trHeight w:val="290"/>
        </w:trPr>
        <w:tc>
          <w:tcPr>
            <w:tcW w:w="8330" w:type="dxa"/>
            <w:gridSpan w:val="3"/>
            <w:tcBorders>
              <w:top w:val="single" w:sz="6" w:space="0" w:color="auto"/>
              <w:left w:val="single" w:sz="6" w:space="0" w:color="auto"/>
              <w:bottom w:val="nil"/>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CONCILIACIÓN ENTRE LOS INGRESOS PRESUPUESTARIOS Y CONTABLES</w:t>
            </w:r>
          </w:p>
        </w:tc>
      </w:tr>
      <w:tr w:rsidR="0097017B" w:rsidTr="00076828">
        <w:trPr>
          <w:trHeight w:val="290"/>
        </w:trPr>
        <w:tc>
          <w:tcPr>
            <w:tcW w:w="6622" w:type="dxa"/>
            <w:gridSpan w:val="2"/>
            <w:tcBorders>
              <w:top w:val="nil"/>
              <w:left w:val="single" w:sz="6" w:space="0" w:color="auto"/>
              <w:bottom w:val="nil"/>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Al 31 de marzo de 2021</w:t>
            </w:r>
          </w:p>
        </w:tc>
        <w:tc>
          <w:tcPr>
            <w:tcW w:w="1708" w:type="dxa"/>
            <w:tcBorders>
              <w:top w:val="nil"/>
              <w:left w:val="nil"/>
              <w:bottom w:val="nil"/>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r>
      <w:tr w:rsidR="0097017B" w:rsidTr="00076828">
        <w:trPr>
          <w:trHeight w:val="290"/>
        </w:trPr>
        <w:tc>
          <w:tcPr>
            <w:tcW w:w="1289" w:type="dxa"/>
            <w:tcBorders>
              <w:top w:val="nil"/>
              <w:left w:val="single" w:sz="6" w:space="0" w:color="auto"/>
              <w:bottom w:val="nil"/>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(Pesos)</w:t>
            </w:r>
          </w:p>
        </w:tc>
        <w:tc>
          <w:tcPr>
            <w:tcW w:w="5333" w:type="dxa"/>
            <w:tcBorders>
              <w:top w:val="nil"/>
              <w:left w:val="nil"/>
              <w:bottom w:val="nil"/>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c>
          <w:tcPr>
            <w:tcW w:w="1708" w:type="dxa"/>
            <w:tcBorders>
              <w:top w:val="nil"/>
              <w:left w:val="nil"/>
              <w:bottom w:val="nil"/>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r>
      <w:tr w:rsidR="0097017B" w:rsidTr="00076828">
        <w:trPr>
          <w:trHeight w:val="290"/>
        </w:trPr>
        <w:tc>
          <w:tcPr>
            <w:tcW w:w="1289" w:type="dxa"/>
            <w:tcBorders>
              <w:top w:val="nil"/>
              <w:left w:val="single" w:sz="6" w:space="0" w:color="auto"/>
              <w:bottom w:val="nil"/>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Ente Público:</w:t>
            </w:r>
          </w:p>
        </w:tc>
        <w:tc>
          <w:tcPr>
            <w:tcW w:w="5333" w:type="dxa"/>
            <w:tcBorders>
              <w:top w:val="nil"/>
              <w:left w:val="nil"/>
              <w:bottom w:val="single" w:sz="6" w:space="0" w:color="auto"/>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 xml:space="preserve"> Universidad Autónoma de Tlaxcala</w:t>
            </w:r>
          </w:p>
        </w:tc>
        <w:tc>
          <w:tcPr>
            <w:tcW w:w="1708" w:type="dxa"/>
            <w:tcBorders>
              <w:top w:val="nil"/>
              <w:left w:val="nil"/>
              <w:bottom w:val="single" w:sz="6" w:space="0" w:color="auto"/>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r>
      <w:tr w:rsidR="0097017B" w:rsidTr="00076828">
        <w:trPr>
          <w:trHeight w:val="290"/>
        </w:trPr>
        <w:tc>
          <w:tcPr>
            <w:tcW w:w="1289" w:type="dxa"/>
            <w:tcBorders>
              <w:top w:val="nil"/>
              <w:left w:val="single" w:sz="6" w:space="0" w:color="auto"/>
              <w:bottom w:val="single" w:sz="6" w:space="0" w:color="auto"/>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c>
          <w:tcPr>
            <w:tcW w:w="5333" w:type="dxa"/>
            <w:tcBorders>
              <w:top w:val="nil"/>
              <w:left w:val="nil"/>
              <w:bottom w:val="single" w:sz="6" w:space="0" w:color="auto"/>
              <w:right w:val="nil"/>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c>
          <w:tcPr>
            <w:tcW w:w="1708" w:type="dxa"/>
            <w:tcBorders>
              <w:top w:val="nil"/>
              <w:left w:val="nil"/>
              <w:bottom w:val="single" w:sz="6" w:space="0" w:color="auto"/>
              <w:right w:val="single" w:sz="6" w:space="0" w:color="auto"/>
            </w:tcBorders>
            <w:shd w:val="solid" w:color="800000" w:fill="auto"/>
          </w:tcPr>
          <w:p w:rsidR="0097017B" w:rsidRDefault="0097017B" w:rsidP="00076828">
            <w:pPr>
              <w:autoSpaceDE w:val="0"/>
              <w:autoSpaceDN w:val="0"/>
              <w:adjustRightInd w:val="0"/>
              <w:spacing w:after="0" w:line="240" w:lineRule="auto"/>
              <w:jc w:val="center"/>
              <w:rPr>
                <w:rFonts w:ascii="Arial" w:hAnsi="Arial" w:cs="Arial"/>
                <w:b/>
                <w:bCs/>
                <w:color w:val="FFFFFF"/>
                <w:sz w:val="18"/>
                <w:szCs w:val="18"/>
              </w:rPr>
            </w:pPr>
          </w:p>
        </w:tc>
      </w:tr>
      <w:tr w:rsidR="0097017B" w:rsidTr="00076828">
        <w:trPr>
          <w:trHeight w:val="290"/>
        </w:trPr>
        <w:tc>
          <w:tcPr>
            <w:tcW w:w="6622" w:type="dxa"/>
            <w:gridSpan w:val="2"/>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1. Total de Ingresos Presupuestarios</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194,266,383</w:t>
            </w: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6622" w:type="dxa"/>
            <w:gridSpan w:val="2"/>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 Más Ingresos Contables No Presupuestarios</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0</w:t>
            </w: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INGRESOS FINANCIEROS </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2.2</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INCREMENTO POR VARIACIÓN DE INVENTARIOS   </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581"/>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w:t>
            </w:r>
          </w:p>
        </w:tc>
        <w:tc>
          <w:tcPr>
            <w:tcW w:w="7041" w:type="dxa"/>
            <w:gridSpan w:val="2"/>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DISMINUCIÓN DEL EXCESO DE ESTIMACIONES POR PÉRDIDA O DETERIORO U OBSOLESCENCIA </w:t>
            </w: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DISMINUCIÓN DEL EXCESO DE PROVISIONES   </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2.5</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OTROS INGRESOS Y BENEFICIOS VARIOS </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2.6</w:t>
            </w:r>
          </w:p>
        </w:tc>
        <w:tc>
          <w:tcPr>
            <w:tcW w:w="7041" w:type="dxa"/>
            <w:gridSpan w:val="2"/>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OTROS INGRESOS CONTABLES NO PRESUPUESTARIOS   </w:t>
            </w: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6622" w:type="dxa"/>
            <w:gridSpan w:val="2"/>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 Menos ingresos presupuestarios no contables</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0</w:t>
            </w: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APROVECHAMIENTOS PATRIMONIALES   </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3.2</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INGRESOS DERIVADOS DE FINANCIAMIENTOS      </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3.3</w:t>
            </w: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rPr>
                <w:rFonts w:ascii="Calibri" w:hAnsi="Calibri" w:cs="Calibri"/>
                <w:color w:val="000000"/>
              </w:rPr>
            </w:pPr>
            <w:r>
              <w:rPr>
                <w:rFonts w:ascii="Calibri" w:hAnsi="Calibri" w:cs="Calibri"/>
                <w:color w:val="000000"/>
              </w:rPr>
              <w:t>OTROS INGRESOS PRESUPUESTARIOS NO  CONTABLES</w:t>
            </w: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1289"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97017B" w:rsidRDefault="0097017B" w:rsidP="00076828">
            <w:pPr>
              <w:autoSpaceDE w:val="0"/>
              <w:autoSpaceDN w:val="0"/>
              <w:adjustRightInd w:val="0"/>
              <w:spacing w:after="0" w:line="240" w:lineRule="auto"/>
              <w:jc w:val="right"/>
              <w:rPr>
                <w:rFonts w:ascii="Calibri" w:hAnsi="Calibri" w:cs="Calibri"/>
                <w:color w:val="000000"/>
              </w:rPr>
            </w:pPr>
          </w:p>
        </w:tc>
      </w:tr>
      <w:tr w:rsidR="0097017B" w:rsidTr="00076828">
        <w:trPr>
          <w:trHeight w:val="290"/>
        </w:trPr>
        <w:tc>
          <w:tcPr>
            <w:tcW w:w="6622" w:type="dxa"/>
            <w:gridSpan w:val="2"/>
            <w:tcBorders>
              <w:top w:val="single" w:sz="6" w:space="0" w:color="auto"/>
              <w:left w:val="single" w:sz="6" w:space="0" w:color="auto"/>
              <w:bottom w:val="single" w:sz="6" w:space="0" w:color="auto"/>
              <w:right w:val="single" w:sz="6" w:space="0" w:color="auto"/>
            </w:tcBorders>
            <w:shd w:val="solid" w:color="800000" w:fill="auto"/>
          </w:tcPr>
          <w:p w:rsidR="0097017B" w:rsidRDefault="0097017B" w:rsidP="00076828">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4. Total de  Ingresos Contables (4 = 1 + 2 - 3)</w:t>
            </w:r>
          </w:p>
        </w:tc>
        <w:tc>
          <w:tcPr>
            <w:tcW w:w="1708" w:type="dxa"/>
            <w:tcBorders>
              <w:top w:val="single" w:sz="6" w:space="0" w:color="auto"/>
              <w:left w:val="single" w:sz="6" w:space="0" w:color="auto"/>
              <w:bottom w:val="single" w:sz="6" w:space="0" w:color="auto"/>
              <w:right w:val="single" w:sz="6" w:space="0" w:color="auto"/>
            </w:tcBorders>
            <w:shd w:val="solid" w:color="800000" w:fill="auto"/>
          </w:tcPr>
          <w:p w:rsidR="0097017B" w:rsidRDefault="0097017B" w:rsidP="00076828">
            <w:pPr>
              <w:autoSpaceDE w:val="0"/>
              <w:autoSpaceDN w:val="0"/>
              <w:adjustRightInd w:val="0"/>
              <w:spacing w:after="0" w:line="240" w:lineRule="auto"/>
              <w:jc w:val="right"/>
              <w:rPr>
                <w:rFonts w:ascii="Calibri" w:hAnsi="Calibri" w:cs="Calibri"/>
                <w:b/>
                <w:bCs/>
                <w:color w:val="FFFFFF"/>
              </w:rPr>
            </w:pPr>
            <w:r>
              <w:rPr>
                <w:rFonts w:ascii="Calibri" w:hAnsi="Calibri" w:cs="Calibri"/>
                <w:b/>
                <w:bCs/>
                <w:color w:val="FFFFFF"/>
              </w:rPr>
              <w:t xml:space="preserve">   194,266,383.00 </w:t>
            </w:r>
          </w:p>
        </w:tc>
      </w:tr>
    </w:tbl>
    <w:p w:rsidR="0097017B" w:rsidRDefault="0097017B" w:rsidP="0097017B">
      <w:pPr>
        <w:pStyle w:val="Texto"/>
        <w:spacing w:after="0" w:line="240" w:lineRule="exact"/>
        <w:rPr>
          <w:noProof/>
          <w:lang w:eastAsia="es-MX"/>
        </w:rPr>
      </w:pPr>
    </w:p>
    <w:p w:rsidR="00806994" w:rsidRDefault="0097017B" w:rsidP="00EC6CE4">
      <w:pPr>
        <w:jc w:val="center"/>
        <w:rPr>
          <w:noProof/>
          <w:lang w:eastAsia="es-MX"/>
        </w:rPr>
      </w:pPr>
      <w:r>
        <w:rPr>
          <w:noProof/>
          <w:lang w:eastAsia="es-MX"/>
        </w:rPr>
        <w:lastRenderedPageBreak/>
        <w:drawing>
          <wp:inline distT="0" distB="0" distL="0" distR="0" wp14:anchorId="28236D15" wp14:editId="721C99F7">
            <wp:extent cx="3705225" cy="6353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6353175"/>
                    </a:xfrm>
                    <a:prstGeom prst="rect">
                      <a:avLst/>
                    </a:prstGeom>
                    <a:noFill/>
                    <a:ln>
                      <a:noFill/>
                    </a:ln>
                  </pic:spPr>
                </pic:pic>
              </a:graphicData>
            </a:graphic>
          </wp:inline>
        </w:drawing>
      </w:r>
    </w:p>
    <w:p w:rsidR="00EC6CE4" w:rsidRDefault="00EC6CE4" w:rsidP="00EC6CE4">
      <w:pPr>
        <w:jc w:val="center"/>
        <w:rPr>
          <w:noProof/>
          <w:lang w:eastAsia="es-MX"/>
        </w:rPr>
      </w:pPr>
    </w:p>
    <w:p w:rsidR="00EC6CE4" w:rsidRPr="00B165B0" w:rsidRDefault="00EC6CE4" w:rsidP="00EC6CE4">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EC6CE4" w:rsidRPr="00B165B0" w:rsidRDefault="00EC6CE4" w:rsidP="00EC6CE4">
      <w:pPr>
        <w:pStyle w:val="Texto"/>
        <w:spacing w:after="0" w:line="240" w:lineRule="exact"/>
        <w:ind w:firstLine="0"/>
        <w:jc w:val="center"/>
        <w:rPr>
          <w:szCs w:val="18"/>
          <w:lang w:val="es-MX"/>
        </w:rPr>
      </w:pPr>
    </w:p>
    <w:p w:rsidR="00EC6CE4" w:rsidRPr="00B165B0" w:rsidRDefault="00EC6CE4" w:rsidP="00EC6CE4">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EC6CE4" w:rsidRPr="00B165B0" w:rsidRDefault="00EC6CE4" w:rsidP="00EC6CE4">
      <w:pPr>
        <w:pStyle w:val="Texto"/>
        <w:spacing w:after="0" w:line="240" w:lineRule="exact"/>
        <w:ind w:firstLine="0"/>
        <w:rPr>
          <w:szCs w:val="18"/>
          <w:lang w:val="es-MX"/>
        </w:rPr>
      </w:pPr>
    </w:p>
    <w:p w:rsidR="00EC6CE4" w:rsidRDefault="00EC6CE4" w:rsidP="00EC6CE4">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EC6CE4" w:rsidRDefault="00EC6CE4" w:rsidP="00EC6CE4">
      <w:pPr>
        <w:pStyle w:val="Prrafodelista"/>
        <w:rPr>
          <w:b/>
          <w:szCs w:val="18"/>
        </w:rPr>
      </w:pPr>
    </w:p>
    <w:p w:rsidR="00EC6CE4" w:rsidRPr="005E288C" w:rsidRDefault="00EC6CE4" w:rsidP="00EC6CE4">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EC6CE4" w:rsidRPr="002C6C03" w:rsidRDefault="00EC6CE4" w:rsidP="00EC6CE4">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EC6CE4" w:rsidRPr="002C6C03" w:rsidRDefault="00EC6CE4" w:rsidP="00EC6CE4">
      <w:pPr>
        <w:pStyle w:val="Texto"/>
        <w:spacing w:after="0" w:line="240" w:lineRule="exact"/>
        <w:rPr>
          <w:sz w:val="22"/>
          <w:szCs w:val="22"/>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Pr="00B165B0" w:rsidRDefault="00EC6CE4" w:rsidP="00EC6CE4">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Pr="005838AA" w:rsidRDefault="00EC6CE4" w:rsidP="00EC6CE4">
      <w:pPr>
        <w:rPr>
          <w:rFonts w:ascii="Arial" w:hAnsi="Arial" w:cs="Arial"/>
          <w:sz w:val="18"/>
          <w:szCs w:val="18"/>
        </w:rPr>
      </w:pPr>
    </w:p>
    <w:p w:rsidR="00EC6CE4" w:rsidRPr="00F47866" w:rsidRDefault="00EC6CE4" w:rsidP="00EC6CE4">
      <w:pPr>
        <w:jc w:val="center"/>
        <w:rPr>
          <w:rFonts w:ascii="Arial" w:hAnsi="Arial" w:cs="Arial"/>
          <w:sz w:val="18"/>
          <w:szCs w:val="18"/>
        </w:rPr>
      </w:pPr>
    </w:p>
    <w:p w:rsidR="00F47866" w:rsidRPr="00F47866" w:rsidRDefault="00F47866" w:rsidP="00EC6CE4">
      <w:pPr>
        <w:jc w:val="center"/>
        <w:rPr>
          <w:rFonts w:ascii="Arial" w:hAnsi="Arial" w:cs="Arial"/>
          <w:sz w:val="18"/>
          <w:szCs w:val="18"/>
        </w:rPr>
      </w:pPr>
    </w:p>
    <w:sectPr w:rsidR="00F47866" w:rsidRPr="00F47866" w:rsidSect="000B06A2">
      <w:headerReference w:type="even" r:id="rId24"/>
      <w:headerReference w:type="default" r:id="rId25"/>
      <w:footerReference w:type="even" r:id="rId26"/>
      <w:footerReference w:type="default" r:id="rId27"/>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466" w:rsidRDefault="00FB3466" w:rsidP="00EA5418">
      <w:pPr>
        <w:spacing w:after="0" w:line="240" w:lineRule="auto"/>
      </w:pPr>
      <w:r>
        <w:separator/>
      </w:r>
    </w:p>
  </w:endnote>
  <w:endnote w:type="continuationSeparator" w:id="0">
    <w:p w:rsidR="00FB3466" w:rsidRDefault="00FB346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E33FF"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732051" w:rsidRPr="00732051">
          <w:rPr>
            <w:rFonts w:ascii="Soberana Sans Light" w:hAnsi="Soberana Sans Light"/>
            <w:noProof/>
            <w:lang w:val="es-ES"/>
          </w:rPr>
          <w:t>2</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E8A0A7"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732051" w:rsidRPr="00732051">
          <w:rPr>
            <w:rFonts w:ascii="Soberana Sans Light" w:hAnsi="Soberana Sans Light"/>
            <w:noProof/>
            <w:lang w:val="es-ES"/>
          </w:rPr>
          <w:t>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466" w:rsidRDefault="00FB3466" w:rsidP="00EA5418">
      <w:pPr>
        <w:spacing w:after="0" w:line="240" w:lineRule="auto"/>
      </w:pPr>
      <w:r>
        <w:separator/>
      </w:r>
    </w:p>
  </w:footnote>
  <w:footnote w:type="continuationSeparator" w:id="0">
    <w:p w:rsidR="00FB3466" w:rsidRDefault="00FB346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w:t>
                              </w:r>
                              <w:r w:rsidR="00732051">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w:t>
                        </w:r>
                        <w:r w:rsidR="00732051">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FCB0BF"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AFA53"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81FF8"/>
    <w:rsid w:val="000915EE"/>
    <w:rsid w:val="00096123"/>
    <w:rsid w:val="0009693A"/>
    <w:rsid w:val="000A509F"/>
    <w:rsid w:val="000B06A2"/>
    <w:rsid w:val="000C6A0C"/>
    <w:rsid w:val="000D56AC"/>
    <w:rsid w:val="000D6A10"/>
    <w:rsid w:val="000E0023"/>
    <w:rsid w:val="000E1A7B"/>
    <w:rsid w:val="000F5D79"/>
    <w:rsid w:val="00102375"/>
    <w:rsid w:val="00103AF8"/>
    <w:rsid w:val="0010517C"/>
    <w:rsid w:val="00121893"/>
    <w:rsid w:val="001225C1"/>
    <w:rsid w:val="00125A10"/>
    <w:rsid w:val="0013011C"/>
    <w:rsid w:val="0013201C"/>
    <w:rsid w:val="00151D76"/>
    <w:rsid w:val="00165BB4"/>
    <w:rsid w:val="001718DE"/>
    <w:rsid w:val="00181667"/>
    <w:rsid w:val="001A0D67"/>
    <w:rsid w:val="001B1B72"/>
    <w:rsid w:val="001B2712"/>
    <w:rsid w:val="001C36E0"/>
    <w:rsid w:val="001C6FD8"/>
    <w:rsid w:val="001D0B09"/>
    <w:rsid w:val="001D69FA"/>
    <w:rsid w:val="001E18B7"/>
    <w:rsid w:val="001E2AE8"/>
    <w:rsid w:val="001E51C2"/>
    <w:rsid w:val="001E5C69"/>
    <w:rsid w:val="001E6C3E"/>
    <w:rsid w:val="001E7072"/>
    <w:rsid w:val="001F5824"/>
    <w:rsid w:val="00204C86"/>
    <w:rsid w:val="00222FD8"/>
    <w:rsid w:val="00224B9C"/>
    <w:rsid w:val="00235B61"/>
    <w:rsid w:val="002361B1"/>
    <w:rsid w:val="00263A94"/>
    <w:rsid w:val="002641DE"/>
    <w:rsid w:val="00264426"/>
    <w:rsid w:val="00266120"/>
    <w:rsid w:val="002875F1"/>
    <w:rsid w:val="00292F23"/>
    <w:rsid w:val="002A15E8"/>
    <w:rsid w:val="002A70B3"/>
    <w:rsid w:val="002C3DDE"/>
    <w:rsid w:val="002D05DB"/>
    <w:rsid w:val="002D378F"/>
    <w:rsid w:val="002D7E9A"/>
    <w:rsid w:val="002E1B1E"/>
    <w:rsid w:val="003150D6"/>
    <w:rsid w:val="00321181"/>
    <w:rsid w:val="003576AD"/>
    <w:rsid w:val="00372F40"/>
    <w:rsid w:val="00374206"/>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1104F"/>
    <w:rsid w:val="00412C9F"/>
    <w:rsid w:val="00412E8E"/>
    <w:rsid w:val="00426DB2"/>
    <w:rsid w:val="004311BE"/>
    <w:rsid w:val="0044253C"/>
    <w:rsid w:val="004513B1"/>
    <w:rsid w:val="00453175"/>
    <w:rsid w:val="004714CF"/>
    <w:rsid w:val="00473E33"/>
    <w:rsid w:val="00474718"/>
    <w:rsid w:val="00484C0D"/>
    <w:rsid w:val="00497D8B"/>
    <w:rsid w:val="004A00AF"/>
    <w:rsid w:val="004A0B4F"/>
    <w:rsid w:val="004A41E0"/>
    <w:rsid w:val="004A7A9B"/>
    <w:rsid w:val="004B6691"/>
    <w:rsid w:val="004C29DF"/>
    <w:rsid w:val="004D41B8"/>
    <w:rsid w:val="004D6E2D"/>
    <w:rsid w:val="004F5641"/>
    <w:rsid w:val="00513C0A"/>
    <w:rsid w:val="00522632"/>
    <w:rsid w:val="00522EF3"/>
    <w:rsid w:val="00526060"/>
    <w:rsid w:val="00526A26"/>
    <w:rsid w:val="00532A67"/>
    <w:rsid w:val="00532CF5"/>
    <w:rsid w:val="0053611D"/>
    <w:rsid w:val="00540418"/>
    <w:rsid w:val="00542CD6"/>
    <w:rsid w:val="00544C6A"/>
    <w:rsid w:val="005506D4"/>
    <w:rsid w:val="0056257F"/>
    <w:rsid w:val="00574266"/>
    <w:rsid w:val="005779F9"/>
    <w:rsid w:val="0058284B"/>
    <w:rsid w:val="00582F98"/>
    <w:rsid w:val="00597885"/>
    <w:rsid w:val="005B1718"/>
    <w:rsid w:val="005B3690"/>
    <w:rsid w:val="005D3D25"/>
    <w:rsid w:val="005D6B18"/>
    <w:rsid w:val="005E1206"/>
    <w:rsid w:val="005E288C"/>
    <w:rsid w:val="005E4008"/>
    <w:rsid w:val="0060113B"/>
    <w:rsid w:val="00640113"/>
    <w:rsid w:val="00641095"/>
    <w:rsid w:val="0064701B"/>
    <w:rsid w:val="0064719E"/>
    <w:rsid w:val="00671B1A"/>
    <w:rsid w:val="00682989"/>
    <w:rsid w:val="006926EF"/>
    <w:rsid w:val="00696AFA"/>
    <w:rsid w:val="006A605A"/>
    <w:rsid w:val="006B0106"/>
    <w:rsid w:val="006B1FE7"/>
    <w:rsid w:val="006B7B6D"/>
    <w:rsid w:val="006C4938"/>
    <w:rsid w:val="006C7878"/>
    <w:rsid w:val="006D7329"/>
    <w:rsid w:val="006E5B5D"/>
    <w:rsid w:val="006E77DD"/>
    <w:rsid w:val="006F2B2A"/>
    <w:rsid w:val="006F6A26"/>
    <w:rsid w:val="00702F25"/>
    <w:rsid w:val="00707929"/>
    <w:rsid w:val="0071003A"/>
    <w:rsid w:val="00713FFC"/>
    <w:rsid w:val="00721F6F"/>
    <w:rsid w:val="00732051"/>
    <w:rsid w:val="00744168"/>
    <w:rsid w:val="00754552"/>
    <w:rsid w:val="00754FEE"/>
    <w:rsid w:val="00767AD2"/>
    <w:rsid w:val="007711CD"/>
    <w:rsid w:val="00786432"/>
    <w:rsid w:val="0079582C"/>
    <w:rsid w:val="007A0884"/>
    <w:rsid w:val="007A152F"/>
    <w:rsid w:val="007A5D2D"/>
    <w:rsid w:val="007A7F4A"/>
    <w:rsid w:val="007B2BC5"/>
    <w:rsid w:val="007B696C"/>
    <w:rsid w:val="007B747F"/>
    <w:rsid w:val="007C0BF4"/>
    <w:rsid w:val="007D2EA1"/>
    <w:rsid w:val="007D4CA4"/>
    <w:rsid w:val="007D6959"/>
    <w:rsid w:val="007D6E9A"/>
    <w:rsid w:val="007E4675"/>
    <w:rsid w:val="007E5F37"/>
    <w:rsid w:val="007F272B"/>
    <w:rsid w:val="007F4C1D"/>
    <w:rsid w:val="00803FD2"/>
    <w:rsid w:val="00805B21"/>
    <w:rsid w:val="00806994"/>
    <w:rsid w:val="00811DAC"/>
    <w:rsid w:val="0081316E"/>
    <w:rsid w:val="008205DB"/>
    <w:rsid w:val="0083242A"/>
    <w:rsid w:val="00843463"/>
    <w:rsid w:val="008743ED"/>
    <w:rsid w:val="00881A63"/>
    <w:rsid w:val="0089054E"/>
    <w:rsid w:val="008A5BF0"/>
    <w:rsid w:val="008A6E4D"/>
    <w:rsid w:val="008A793D"/>
    <w:rsid w:val="008B0017"/>
    <w:rsid w:val="008D5702"/>
    <w:rsid w:val="008E3652"/>
    <w:rsid w:val="008E718B"/>
    <w:rsid w:val="008F6D58"/>
    <w:rsid w:val="0090125A"/>
    <w:rsid w:val="009044B1"/>
    <w:rsid w:val="00915275"/>
    <w:rsid w:val="00922B56"/>
    <w:rsid w:val="00930807"/>
    <w:rsid w:val="00933DF3"/>
    <w:rsid w:val="0093492C"/>
    <w:rsid w:val="00953B99"/>
    <w:rsid w:val="00957043"/>
    <w:rsid w:val="0097017B"/>
    <w:rsid w:val="009758FF"/>
    <w:rsid w:val="009862BA"/>
    <w:rsid w:val="00997495"/>
    <w:rsid w:val="009A3B88"/>
    <w:rsid w:val="009C7180"/>
    <w:rsid w:val="009D5D4C"/>
    <w:rsid w:val="009F1167"/>
    <w:rsid w:val="009F20D2"/>
    <w:rsid w:val="009F214C"/>
    <w:rsid w:val="009F23C4"/>
    <w:rsid w:val="00A2725B"/>
    <w:rsid w:val="00A34A9F"/>
    <w:rsid w:val="00A363B6"/>
    <w:rsid w:val="00A43043"/>
    <w:rsid w:val="00A4675D"/>
    <w:rsid w:val="00A46BF5"/>
    <w:rsid w:val="00A56923"/>
    <w:rsid w:val="00A61BC7"/>
    <w:rsid w:val="00A64F08"/>
    <w:rsid w:val="00A669E0"/>
    <w:rsid w:val="00A70E33"/>
    <w:rsid w:val="00A91115"/>
    <w:rsid w:val="00A947D2"/>
    <w:rsid w:val="00AB5C6A"/>
    <w:rsid w:val="00AC0A4D"/>
    <w:rsid w:val="00AE03D1"/>
    <w:rsid w:val="00AF287A"/>
    <w:rsid w:val="00AF5BA9"/>
    <w:rsid w:val="00B03665"/>
    <w:rsid w:val="00B06F29"/>
    <w:rsid w:val="00B1225F"/>
    <w:rsid w:val="00B146E2"/>
    <w:rsid w:val="00B27D86"/>
    <w:rsid w:val="00B35758"/>
    <w:rsid w:val="00B42410"/>
    <w:rsid w:val="00B5452D"/>
    <w:rsid w:val="00B70EE5"/>
    <w:rsid w:val="00B72608"/>
    <w:rsid w:val="00B772E8"/>
    <w:rsid w:val="00B849EE"/>
    <w:rsid w:val="00B84D02"/>
    <w:rsid w:val="00B93D9F"/>
    <w:rsid w:val="00BA2940"/>
    <w:rsid w:val="00BB2BC2"/>
    <w:rsid w:val="00BC5E36"/>
    <w:rsid w:val="00BD0386"/>
    <w:rsid w:val="00BD5D58"/>
    <w:rsid w:val="00BE1F2B"/>
    <w:rsid w:val="00BE4C14"/>
    <w:rsid w:val="00BE6D54"/>
    <w:rsid w:val="00BE7F70"/>
    <w:rsid w:val="00BF06AD"/>
    <w:rsid w:val="00BF1F97"/>
    <w:rsid w:val="00BF7CD9"/>
    <w:rsid w:val="00C001A7"/>
    <w:rsid w:val="00C06C88"/>
    <w:rsid w:val="00C070AD"/>
    <w:rsid w:val="00C165BD"/>
    <w:rsid w:val="00C16E53"/>
    <w:rsid w:val="00C21DB2"/>
    <w:rsid w:val="00C22279"/>
    <w:rsid w:val="00C23727"/>
    <w:rsid w:val="00C431B4"/>
    <w:rsid w:val="00C74E2C"/>
    <w:rsid w:val="00C76767"/>
    <w:rsid w:val="00C76F81"/>
    <w:rsid w:val="00C81F9D"/>
    <w:rsid w:val="00C86C59"/>
    <w:rsid w:val="00C91C5A"/>
    <w:rsid w:val="00C97FCC"/>
    <w:rsid w:val="00CB01EB"/>
    <w:rsid w:val="00CB3A3F"/>
    <w:rsid w:val="00CB621A"/>
    <w:rsid w:val="00CD6D9A"/>
    <w:rsid w:val="00CF4CEA"/>
    <w:rsid w:val="00CF7AA0"/>
    <w:rsid w:val="00D00E92"/>
    <w:rsid w:val="00D055EC"/>
    <w:rsid w:val="00D237C1"/>
    <w:rsid w:val="00D26C2B"/>
    <w:rsid w:val="00D30B18"/>
    <w:rsid w:val="00D44728"/>
    <w:rsid w:val="00D545A6"/>
    <w:rsid w:val="00D562FF"/>
    <w:rsid w:val="00D60FA4"/>
    <w:rsid w:val="00D64D76"/>
    <w:rsid w:val="00D6749E"/>
    <w:rsid w:val="00D775E0"/>
    <w:rsid w:val="00D84D0B"/>
    <w:rsid w:val="00D92040"/>
    <w:rsid w:val="00DA048D"/>
    <w:rsid w:val="00DB78FF"/>
    <w:rsid w:val="00DC0E8C"/>
    <w:rsid w:val="00DC1581"/>
    <w:rsid w:val="00DC61AA"/>
    <w:rsid w:val="00DC70AF"/>
    <w:rsid w:val="00DE71B5"/>
    <w:rsid w:val="00DE7C46"/>
    <w:rsid w:val="00DE7D1F"/>
    <w:rsid w:val="00DF56C9"/>
    <w:rsid w:val="00DF6E32"/>
    <w:rsid w:val="00E02F8C"/>
    <w:rsid w:val="00E038A5"/>
    <w:rsid w:val="00E05741"/>
    <w:rsid w:val="00E115EF"/>
    <w:rsid w:val="00E14238"/>
    <w:rsid w:val="00E161DE"/>
    <w:rsid w:val="00E30318"/>
    <w:rsid w:val="00E32708"/>
    <w:rsid w:val="00E62BD5"/>
    <w:rsid w:val="00E6306B"/>
    <w:rsid w:val="00E6513C"/>
    <w:rsid w:val="00E72F8C"/>
    <w:rsid w:val="00E73C05"/>
    <w:rsid w:val="00E7681E"/>
    <w:rsid w:val="00E84C28"/>
    <w:rsid w:val="00EA5418"/>
    <w:rsid w:val="00EB0F99"/>
    <w:rsid w:val="00EB27AC"/>
    <w:rsid w:val="00EB6BB7"/>
    <w:rsid w:val="00EC6CE4"/>
    <w:rsid w:val="00ED5725"/>
    <w:rsid w:val="00EE46FB"/>
    <w:rsid w:val="00EF3B3F"/>
    <w:rsid w:val="00F02B86"/>
    <w:rsid w:val="00F04742"/>
    <w:rsid w:val="00F049D8"/>
    <w:rsid w:val="00F14F62"/>
    <w:rsid w:val="00F17C0D"/>
    <w:rsid w:val="00F30EA1"/>
    <w:rsid w:val="00F339BB"/>
    <w:rsid w:val="00F41A5C"/>
    <w:rsid w:val="00F47866"/>
    <w:rsid w:val="00F53A8A"/>
    <w:rsid w:val="00F755D0"/>
    <w:rsid w:val="00F766A3"/>
    <w:rsid w:val="00F90678"/>
    <w:rsid w:val="00FB1010"/>
    <w:rsid w:val="00FB3466"/>
    <w:rsid w:val="00FB47C8"/>
    <w:rsid w:val="00FB4881"/>
    <w:rsid w:val="00FB74C9"/>
    <w:rsid w:val="00FC2248"/>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539D6"/>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91">
      <w:bodyDiv w:val="1"/>
      <w:marLeft w:val="0"/>
      <w:marRight w:val="0"/>
      <w:marTop w:val="0"/>
      <w:marBottom w:val="0"/>
      <w:divBdr>
        <w:top w:val="none" w:sz="0" w:space="0" w:color="auto"/>
        <w:left w:val="none" w:sz="0" w:space="0" w:color="auto"/>
        <w:bottom w:val="none" w:sz="0" w:space="0" w:color="auto"/>
        <w:right w:val="none" w:sz="0" w:space="0" w:color="auto"/>
      </w:divBdr>
    </w:div>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290130658">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491337315">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49102478">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65745053">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320889458">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3831776">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1994989598">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ED305-9E95-4534-8BE8-3FE129A9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14</Pages>
  <Words>1001</Words>
  <Characters>5506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Lorely</cp:lastModifiedBy>
  <cp:revision>207</cp:revision>
  <cp:lastPrinted>2021-04-14T15:39:00Z</cp:lastPrinted>
  <dcterms:created xsi:type="dcterms:W3CDTF">2014-08-29T13:13:00Z</dcterms:created>
  <dcterms:modified xsi:type="dcterms:W3CDTF">2021-04-14T15:39:00Z</dcterms:modified>
</cp:coreProperties>
</file>