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proofErr w:type="gramStart"/>
      <w:r w:rsidR="00481D39">
        <w:rPr>
          <w:rFonts w:ascii="Arial" w:hAnsi="Arial" w:cs="Arial"/>
          <w:b/>
          <w:sz w:val="18"/>
          <w:szCs w:val="18"/>
        </w:rPr>
        <w:t>Ind</w:t>
      </w:r>
      <w:r>
        <w:rPr>
          <w:rFonts w:ascii="Arial" w:hAnsi="Arial" w:cs="Arial"/>
          <w:b/>
          <w:sz w:val="18"/>
          <w:szCs w:val="18"/>
        </w:rPr>
        <w:t xml:space="preserve">irecto 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No</w:t>
      </w:r>
      <w:proofErr w:type="gramEnd"/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DE SEGURIDAD PÚBLICA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FOSEG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INDUVIT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I.T.C.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ITPCD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481D3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1D39" w:rsidRPr="004558C9" w:rsidRDefault="00481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REPSS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573E49">
        <w:rPr>
          <w:rFonts w:ascii="Arial" w:hAnsi="Arial" w:cs="Arial"/>
          <w:sz w:val="18"/>
          <w:szCs w:val="18"/>
        </w:rPr>
        <w:t>primer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</w:t>
      </w:r>
      <w:proofErr w:type="gramStart"/>
      <w:r w:rsidR="00257F8A" w:rsidRPr="004558C9">
        <w:rPr>
          <w:rFonts w:ascii="Arial" w:hAnsi="Arial" w:cs="Arial"/>
          <w:sz w:val="18"/>
          <w:szCs w:val="18"/>
        </w:rPr>
        <w:t xml:space="preserve">Entidades </w:t>
      </w:r>
      <w:r w:rsidRPr="004558C9">
        <w:rPr>
          <w:rFonts w:ascii="Arial" w:hAnsi="Arial" w:cs="Arial"/>
          <w:sz w:val="18"/>
          <w:szCs w:val="18"/>
        </w:rPr>
        <w:t xml:space="preserve"> en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4,903,270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68,765,226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29,564,698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268,721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3,443,162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3,880,042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185,731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3,574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9,817,981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7,989,673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39,019,591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363,870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26,861,043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2,776,245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112,388,964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6,229,456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579,533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28,547,874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20,496,691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19,225,605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673,769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7,280,968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3,088,926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AF349D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F349D">
              <w:rPr>
                <w:rFonts w:ascii="Calibri" w:hAnsi="Calibri"/>
                <w:color w:val="000000"/>
                <w:sz w:val="22"/>
                <w:szCs w:val="22"/>
              </w:rPr>
              <w:t>847,179,732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19,497,181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194,863,710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0507F3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07F3">
              <w:rPr>
                <w:rFonts w:ascii="Calibri" w:hAnsi="Calibri"/>
                <w:color w:val="000000"/>
                <w:sz w:val="22"/>
                <w:szCs w:val="22"/>
              </w:rPr>
              <w:t>14,368,593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32BD7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color w:val="000000"/>
                <w:sz w:val="22"/>
                <w:szCs w:val="22"/>
              </w:rPr>
              <w:t>525,457</w:t>
            </w:r>
          </w:p>
        </w:tc>
      </w:tr>
      <w:tr w:rsidR="00A75601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75601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601" w:rsidRDefault="00A75601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232BD7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232BD7">
              <w:rPr>
                <w:rFonts w:ascii="Calibri" w:hAnsi="Calibri"/>
                <w:b/>
                <w:color w:val="000000"/>
                <w:sz w:val="22"/>
                <w:szCs w:val="22"/>
              </w:rPr>
              <w:t>1,472,789,286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Default="00E34B26" w:rsidP="00754F0E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316A7" w:rsidRPr="00232BD7">
        <w:rPr>
          <w:rFonts w:ascii="Arial" w:hAnsi="Arial" w:cs="Arial"/>
          <w:sz w:val="18"/>
          <w:szCs w:val="18"/>
        </w:rPr>
        <w:t>1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573E49" w:rsidRPr="00232BD7">
        <w:rPr>
          <w:rFonts w:ascii="Arial" w:hAnsi="Arial" w:cs="Arial"/>
          <w:sz w:val="18"/>
          <w:szCs w:val="18"/>
        </w:rPr>
        <w:t>marzo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232BD7">
        <w:rPr>
          <w:rFonts w:ascii="Arial" w:hAnsi="Arial" w:cs="Arial"/>
          <w:sz w:val="18"/>
          <w:szCs w:val="18"/>
        </w:rPr>
        <w:t>226,675,560.00</w:t>
      </w:r>
    </w:p>
    <w:p w:rsidR="0016781C" w:rsidRDefault="0016781C" w:rsidP="0016781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efectivo y equivalentes </w:t>
      </w:r>
      <w:r w:rsidRPr="00232BD7">
        <w:rPr>
          <w:rFonts w:ascii="Arial" w:hAnsi="Arial" w:cs="Arial"/>
          <w:sz w:val="18"/>
          <w:szCs w:val="18"/>
        </w:rPr>
        <w:t>al 31 de marzo</w:t>
      </w:r>
      <w:r>
        <w:rPr>
          <w:rFonts w:ascii="Arial" w:hAnsi="Arial" w:cs="Arial"/>
          <w:sz w:val="18"/>
          <w:szCs w:val="18"/>
        </w:rPr>
        <w:t xml:space="preserve"> $0.00</w:t>
      </w:r>
      <w:r w:rsidRPr="001F38EF">
        <w:rPr>
          <w:rFonts w:ascii="Arial" w:hAnsi="Arial" w:cs="Arial"/>
          <w:sz w:val="18"/>
          <w:szCs w:val="18"/>
        </w:rPr>
        <w:t>.</w:t>
      </w:r>
    </w:p>
    <w:p w:rsidR="00232BD7" w:rsidRP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D7053A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24DA5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72,220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212,188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81,720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589</w:t>
            </w:r>
          </w:p>
        </w:tc>
      </w:tr>
      <w:tr w:rsidR="00AF4950" w:rsidRPr="00D43A79" w:rsidTr="008F031D">
        <w:trPr>
          <w:trHeight w:val="217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167,400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24DA5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110,804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324,343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29,677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153,115,344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3,969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24,326,565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18,672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18,361,163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3,858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705,329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72,396,870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2,423,334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343,270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16781C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6781C">
              <w:rPr>
                <w:rFonts w:ascii="Calibri" w:hAnsi="Calibri"/>
                <w:color w:val="000000"/>
                <w:sz w:val="22"/>
                <w:szCs w:val="22"/>
              </w:rPr>
              <w:t>688,504</w:t>
            </w: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724DA5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73,493</w:t>
            </w:r>
          </w:p>
        </w:tc>
      </w:tr>
      <w:tr w:rsidR="005D1D7E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5D1D7E" w:rsidRDefault="005D1D7E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1D7E" w:rsidRPr="005D1D7E" w:rsidRDefault="005D1D7E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D7053A">
        <w:trPr>
          <w:trHeight w:val="240"/>
        </w:trPr>
        <w:tc>
          <w:tcPr>
            <w:tcW w:w="963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724DA5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b/>
                <w:color w:val="000000"/>
                <w:sz w:val="22"/>
                <w:szCs w:val="22"/>
              </w:rPr>
              <w:t>273,465,312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397A4E" w:rsidRDefault="00397A4E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E34B26" w:rsidRPr="001F38EF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D7053A" w:rsidRPr="00724DA5" w:rsidRDefault="00E34B26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316A7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A71B2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erechos a </w:t>
      </w:r>
      <w:r w:rsidR="00A71B2A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ecibir</w:t>
      </w:r>
      <w:r w:rsidR="00A71B2A">
        <w:rPr>
          <w:rFonts w:ascii="Arial" w:hAnsi="Arial" w:cs="Arial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 xml:space="preserve">fectivo y </w:t>
      </w:r>
      <w:r w:rsidR="00A71B2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quivalentes por</w:t>
      </w:r>
      <w:r w:rsidR="00397A4E">
        <w:rPr>
          <w:rFonts w:ascii="Arial" w:hAnsi="Arial" w:cs="Arial"/>
          <w:sz w:val="18"/>
          <w:szCs w:val="18"/>
        </w:rPr>
        <w:t xml:space="preserve"> </w:t>
      </w:r>
      <w:r w:rsidR="00724DA5" w:rsidRPr="00724DA5">
        <w:rPr>
          <w:rFonts w:ascii="Arial" w:hAnsi="Arial" w:cs="Arial"/>
          <w:sz w:val="18"/>
          <w:szCs w:val="18"/>
        </w:rPr>
        <w:t>$5,326,750.00</w:t>
      </w:r>
    </w:p>
    <w:p w:rsidR="00724DA5" w:rsidRDefault="00724DA5" w:rsidP="00724DA5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</w:t>
      </w:r>
      <w:r>
        <w:rPr>
          <w:rFonts w:ascii="Arial" w:hAnsi="Arial" w:cs="Arial"/>
          <w:sz w:val="18"/>
          <w:szCs w:val="18"/>
        </w:rPr>
        <w:t xml:space="preserve"> Derechos a recibir</w:t>
      </w:r>
      <w:r>
        <w:rPr>
          <w:rFonts w:ascii="Arial" w:hAnsi="Arial" w:cs="Arial"/>
          <w:sz w:val="18"/>
          <w:szCs w:val="18"/>
        </w:rPr>
        <w:t xml:space="preserve"> efectivo y equivalentes </w:t>
      </w:r>
      <w:r w:rsidRPr="00232BD7">
        <w:rPr>
          <w:rFonts w:ascii="Arial" w:hAnsi="Arial" w:cs="Arial"/>
          <w:sz w:val="18"/>
          <w:szCs w:val="18"/>
        </w:rPr>
        <w:t>al 31 de marzo</w:t>
      </w:r>
      <w:r>
        <w:rPr>
          <w:rFonts w:ascii="Arial" w:hAnsi="Arial" w:cs="Arial"/>
          <w:sz w:val="18"/>
          <w:szCs w:val="18"/>
        </w:rPr>
        <w:t xml:space="preserve"> $0.00</w:t>
      </w:r>
      <w:r w:rsidRPr="001F38EF">
        <w:rPr>
          <w:rFonts w:ascii="Arial" w:hAnsi="Arial" w:cs="Arial"/>
          <w:sz w:val="18"/>
          <w:szCs w:val="18"/>
        </w:rPr>
        <w:t>.</w:t>
      </w:r>
    </w:p>
    <w:p w:rsidR="00724DA5" w:rsidRPr="00232BD7" w:rsidRDefault="00724DA5" w:rsidP="00724DA5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30235A" w:rsidRDefault="0030235A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lastRenderedPageBreak/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Pr="004558C9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proofErr w:type="gramStart"/>
      <w:r w:rsidR="00411153"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24DA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540,406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24DA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8,717,356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24DA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31,254,009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724DA5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color w:val="000000"/>
                <w:sz w:val="22"/>
                <w:szCs w:val="22"/>
              </w:rPr>
              <w:t>1,386,739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724DA5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24DA5">
              <w:rPr>
                <w:rFonts w:ascii="Calibri" w:hAnsi="Calibri"/>
                <w:b/>
                <w:color w:val="000000"/>
                <w:sz w:val="22"/>
                <w:szCs w:val="22"/>
              </w:rPr>
              <w:t>41,898,510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C45F66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E3799">
        <w:trPr>
          <w:trHeight w:val="225"/>
        </w:trPr>
        <w:tc>
          <w:tcPr>
            <w:tcW w:w="9639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198,722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142,606,832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142,144,990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48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12,222,533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130,029,868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131,213,832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44,914,262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10,611,009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14,094,167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2,619,320,614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311,993,748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62,651,218</w:t>
            </w:r>
          </w:p>
        </w:tc>
      </w:tr>
      <w:tr w:rsidR="00F3024B" w:rsidRPr="00F06131" w:rsidTr="000E3799">
        <w:trPr>
          <w:trHeight w:val="240"/>
        </w:trPr>
        <w:tc>
          <w:tcPr>
            <w:tcW w:w="963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65AD2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65AD2">
              <w:rPr>
                <w:rFonts w:ascii="Calibri" w:hAnsi="Calibri"/>
                <w:color w:val="000000"/>
                <w:sz w:val="22"/>
                <w:szCs w:val="22"/>
              </w:rPr>
              <w:t>43,382,427</w:t>
            </w:r>
          </w:p>
        </w:tc>
      </w:tr>
      <w:tr w:rsidR="00351BDC" w:rsidRPr="00F06131" w:rsidTr="000E3799">
        <w:trPr>
          <w:trHeight w:val="240"/>
        </w:trPr>
        <w:tc>
          <w:tcPr>
            <w:tcW w:w="9639" w:type="dxa"/>
            <w:shd w:val="clear" w:color="auto" w:fill="auto"/>
          </w:tcPr>
          <w:p w:rsidR="00351BDC" w:rsidRPr="00F06131" w:rsidRDefault="00351BDC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1BDC" w:rsidRPr="00E74DCA" w:rsidRDefault="00351BDC" w:rsidP="005E3D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4558C9" w:rsidRDefault="004F6B5F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1E1E1F" w:rsidRPr="00B65AD2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555C6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 w:rsidRPr="00555C66"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 w:rsidRPr="00555C66">
        <w:rPr>
          <w:rFonts w:ascii="Arial" w:hAnsi="Arial" w:cs="Arial"/>
          <w:sz w:val="18"/>
          <w:szCs w:val="18"/>
        </w:rPr>
        <w:t xml:space="preserve"> presenta saldo en</w:t>
      </w:r>
      <w:r w:rsidR="001E1E1F" w:rsidRPr="00555C66">
        <w:rPr>
          <w:rFonts w:ascii="Arial" w:hAnsi="Arial" w:cs="Arial"/>
          <w:sz w:val="18"/>
          <w:szCs w:val="18"/>
        </w:rPr>
        <w:t xml:space="preserve"> B</w:t>
      </w:r>
      <w:r w:rsidRPr="00555C66">
        <w:rPr>
          <w:rFonts w:ascii="Arial" w:hAnsi="Arial" w:cs="Arial"/>
          <w:sz w:val="18"/>
          <w:szCs w:val="18"/>
        </w:rPr>
        <w:t>ienes</w:t>
      </w:r>
      <w:r w:rsidR="001E1E1F" w:rsidRPr="00555C66">
        <w:rPr>
          <w:rFonts w:ascii="Arial" w:hAnsi="Arial" w:cs="Arial"/>
          <w:sz w:val="18"/>
          <w:szCs w:val="18"/>
        </w:rPr>
        <w:t xml:space="preserve"> I</w:t>
      </w:r>
      <w:r w:rsidRPr="00555C66">
        <w:rPr>
          <w:rFonts w:ascii="Arial" w:hAnsi="Arial" w:cs="Arial"/>
          <w:sz w:val="18"/>
          <w:szCs w:val="18"/>
        </w:rPr>
        <w:t xml:space="preserve">nmuebles </w:t>
      </w:r>
      <w:r w:rsidRPr="00B65AD2">
        <w:rPr>
          <w:rFonts w:ascii="Arial" w:hAnsi="Arial" w:cs="Arial"/>
          <w:sz w:val="18"/>
          <w:szCs w:val="18"/>
        </w:rPr>
        <w:t>por</w:t>
      </w:r>
      <w:r w:rsidR="001E1E1F" w:rsidRPr="00B65AD2">
        <w:rPr>
          <w:rFonts w:ascii="Arial" w:hAnsi="Arial" w:cs="Arial"/>
          <w:sz w:val="18"/>
          <w:szCs w:val="18"/>
        </w:rPr>
        <w:t xml:space="preserve"> </w:t>
      </w:r>
      <w:r w:rsidR="00A44D8F" w:rsidRPr="00B65AD2">
        <w:rPr>
          <w:rFonts w:ascii="Arial" w:hAnsi="Arial" w:cs="Arial"/>
          <w:sz w:val="18"/>
          <w:szCs w:val="18"/>
        </w:rPr>
        <w:t>$32,178,</w:t>
      </w:r>
      <w:r w:rsidR="00B65AD2" w:rsidRPr="00B65AD2">
        <w:rPr>
          <w:rFonts w:ascii="Arial" w:hAnsi="Arial" w:cs="Arial"/>
          <w:sz w:val="18"/>
          <w:szCs w:val="18"/>
        </w:rPr>
        <w:t>8</w:t>
      </w:r>
      <w:r w:rsidR="00A44D8F" w:rsidRPr="00B65AD2">
        <w:rPr>
          <w:rFonts w:ascii="Arial" w:hAnsi="Arial" w:cs="Arial"/>
          <w:sz w:val="18"/>
          <w:szCs w:val="18"/>
        </w:rPr>
        <w:t>08.00</w:t>
      </w:r>
    </w:p>
    <w:p w:rsidR="00B65AD2" w:rsidRPr="00B65AD2" w:rsidRDefault="00B65AD2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</w:t>
      </w:r>
      <w:r>
        <w:rPr>
          <w:rFonts w:ascii="Arial" w:hAnsi="Arial" w:cs="Arial"/>
          <w:sz w:val="18"/>
          <w:szCs w:val="18"/>
        </w:rPr>
        <w:t>Bienes Inmuebles</w:t>
      </w:r>
      <w:r>
        <w:rPr>
          <w:rFonts w:ascii="Arial" w:hAnsi="Arial" w:cs="Arial"/>
          <w:sz w:val="18"/>
          <w:szCs w:val="18"/>
        </w:rPr>
        <w:t xml:space="preserve"> </w:t>
      </w:r>
      <w:r w:rsidRPr="00232BD7">
        <w:rPr>
          <w:rFonts w:ascii="Arial" w:hAnsi="Arial" w:cs="Arial"/>
          <w:sz w:val="18"/>
          <w:szCs w:val="18"/>
        </w:rPr>
        <w:t>al 31 de marzo</w:t>
      </w:r>
      <w:r>
        <w:rPr>
          <w:rFonts w:ascii="Arial" w:hAnsi="Arial" w:cs="Arial"/>
          <w:sz w:val="18"/>
          <w:szCs w:val="18"/>
        </w:rPr>
        <w:t xml:space="preserve"> $0.00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65AD2" w:rsidRDefault="00B65AD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lastRenderedPageBreak/>
        <w:t>A continuación, se presenta la integración de los bienes muebles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573E4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E3799">
        <w:trPr>
          <w:trHeight w:val="225"/>
        </w:trPr>
        <w:tc>
          <w:tcPr>
            <w:tcW w:w="9922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93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2,147,782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71,199,560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99,870,697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235,277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3,227,985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34,587,291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57,819,347</w:t>
            </w:r>
          </w:p>
        </w:tc>
      </w:tr>
      <w:tr w:rsidR="00F3024B" w:rsidRPr="00F06131" w:rsidTr="000E3799">
        <w:trPr>
          <w:trHeight w:val="48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426,955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7,111,405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57,074,840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5,840,293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1,041,715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3,982,794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10,128,808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5,554,343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16,407,363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7,232,285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39,478,697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2,065,731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28,422,835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125,807,618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PERSONAS CON DISCAPACIDAD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4,511,275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828,055,964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136,461,440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245,976,569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UNIVERSIDAD TECNOLÓGICA DE TLAXCALA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103,019,300</w:t>
            </w:r>
          </w:p>
        </w:tc>
      </w:tr>
      <w:tr w:rsidR="00F3024B" w:rsidRPr="00F06131" w:rsidTr="000E3799">
        <w:trPr>
          <w:trHeight w:val="240"/>
        </w:trPr>
        <w:tc>
          <w:tcPr>
            <w:tcW w:w="9922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CC544A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CC544A">
              <w:rPr>
                <w:rFonts w:ascii="Calibri" w:hAnsi="Calibri"/>
                <w:color w:val="000000"/>
                <w:sz w:val="22"/>
                <w:szCs w:val="22"/>
              </w:rPr>
              <w:t>16,574,991</w:t>
            </w:r>
          </w:p>
        </w:tc>
      </w:tr>
      <w:tr w:rsidR="001E1E1F" w:rsidRPr="00F06131" w:rsidTr="000E3799">
        <w:trPr>
          <w:trHeight w:val="240"/>
        </w:trPr>
        <w:tc>
          <w:tcPr>
            <w:tcW w:w="9922" w:type="dxa"/>
            <w:shd w:val="clear" w:color="auto" w:fill="auto"/>
          </w:tcPr>
          <w:p w:rsidR="001E1E1F" w:rsidRPr="00F06131" w:rsidRDefault="001E1E1F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1E1F" w:rsidRDefault="001E1E1F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915FA4">
        <w:rPr>
          <w:rFonts w:ascii="Arial" w:hAnsi="Arial" w:cs="Arial"/>
          <w:sz w:val="18"/>
          <w:szCs w:val="18"/>
        </w:rPr>
        <w:t>$739,270.00</w:t>
      </w:r>
    </w:p>
    <w:p w:rsidR="00915FA4" w:rsidRPr="00B65AD2" w:rsidRDefault="00915FA4" w:rsidP="00915FA4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Bienes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uebles </w:t>
      </w:r>
      <w:r w:rsidRPr="00232BD7">
        <w:rPr>
          <w:rFonts w:ascii="Arial" w:hAnsi="Arial" w:cs="Arial"/>
          <w:sz w:val="18"/>
          <w:szCs w:val="18"/>
        </w:rPr>
        <w:t>al 31 de marzo</w:t>
      </w:r>
      <w:r>
        <w:rPr>
          <w:rFonts w:ascii="Arial" w:hAnsi="Arial" w:cs="Arial"/>
          <w:sz w:val="18"/>
          <w:szCs w:val="18"/>
        </w:rPr>
        <w:t xml:space="preserve"> $</w:t>
      </w:r>
      <w:r>
        <w:rPr>
          <w:rFonts w:ascii="Arial" w:hAnsi="Arial" w:cs="Arial"/>
          <w:sz w:val="18"/>
          <w:szCs w:val="18"/>
        </w:rPr>
        <w:t>10,541,239.00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704717" w:rsidRDefault="00704717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B43CBE" w:rsidRDefault="00B43CBE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75085" w:rsidRDefault="00075085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F6B5F" w:rsidRDefault="004F6B5F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573E49">
        <w:rPr>
          <w:rFonts w:ascii="Arial" w:hAnsi="Arial" w:cs="Arial"/>
          <w:sz w:val="18"/>
          <w:szCs w:val="18"/>
        </w:rPr>
        <w:t>marzo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proofErr w:type="gramStart"/>
      <w:r w:rsidRPr="004558C9">
        <w:rPr>
          <w:rFonts w:ascii="Arial" w:hAnsi="Arial" w:cs="Arial"/>
          <w:sz w:val="18"/>
          <w:szCs w:val="18"/>
        </w:rPr>
        <w:t>continuación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604B8C">
        <w:trPr>
          <w:trHeight w:val="225"/>
        </w:trPr>
        <w:tc>
          <w:tcPr>
            <w:tcW w:w="10206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134,692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27,422,375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18,695,574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5FA4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FA4">
              <w:rPr>
                <w:rFonts w:ascii="Calibri" w:hAnsi="Calibri"/>
                <w:color w:val="000000"/>
                <w:sz w:val="22"/>
                <w:szCs w:val="22"/>
              </w:rPr>
              <w:t>25,821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1,232,852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743,151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27,061</w:t>
            </w:r>
          </w:p>
        </w:tc>
      </w:tr>
      <w:tr w:rsidR="00F3024B" w:rsidRPr="00F06131" w:rsidTr="00604B8C">
        <w:trPr>
          <w:trHeight w:val="48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100,240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820,619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5FA4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FA4">
              <w:rPr>
                <w:rFonts w:ascii="Calibri" w:hAnsi="Calibri"/>
                <w:color w:val="000000"/>
                <w:sz w:val="22"/>
                <w:szCs w:val="22"/>
              </w:rPr>
              <w:t>16,258,035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25,189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31,083,238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1,642,879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147,645,989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523,191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69,889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PARA LA CAPACITACIÓN PARA EL TRABAJO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1,473,968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INMOBILIARIO DE DESARROLLO URBANO Y VIVIENDA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841,430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418,539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CULTURA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232,120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PERSONAS CON DISCAPACIDAD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915FA4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15FA4">
              <w:rPr>
                <w:rFonts w:ascii="Calibri" w:hAnsi="Calibri"/>
                <w:color w:val="000000"/>
                <w:sz w:val="22"/>
                <w:szCs w:val="22"/>
              </w:rPr>
              <w:t>114,781,639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4,383,758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95,668,743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0D2EF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0D2EF8">
              <w:rPr>
                <w:rFonts w:ascii="Calibri" w:hAnsi="Calibri"/>
                <w:color w:val="000000"/>
                <w:sz w:val="22"/>
                <w:szCs w:val="22"/>
              </w:rPr>
              <w:t>10,163,468</w:t>
            </w: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D44F09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D44F09">
              <w:rPr>
                <w:rFonts w:ascii="Calibri" w:hAnsi="Calibri"/>
                <w:color w:val="000000"/>
                <w:sz w:val="22"/>
                <w:szCs w:val="22"/>
              </w:rPr>
              <w:t>2,002,718</w:t>
            </w:r>
          </w:p>
        </w:tc>
      </w:tr>
      <w:tr w:rsidR="00C5506D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C5506D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REGIMEN ESTATAL DE PROTECCION SOCIAL EN SALUD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506D" w:rsidRPr="00C5506D" w:rsidRDefault="00C5506D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604B8C">
        <w:trPr>
          <w:trHeight w:val="240"/>
        </w:trPr>
        <w:tc>
          <w:tcPr>
            <w:tcW w:w="10206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4B7D4D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B7D4D">
              <w:rPr>
                <w:rFonts w:ascii="Calibri" w:hAnsi="Calibri"/>
                <w:b/>
                <w:color w:val="000000"/>
                <w:sz w:val="22"/>
                <w:szCs w:val="22"/>
              </w:rPr>
              <w:t>476,417,178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87CD7" w:rsidRDefault="00287CD7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Libertad Centro Cultural de Apizaco consolida su información con el Instituto Tlaxcalteca de la Cultura.</w:t>
      </w: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4B7D4D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A43759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F450B5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B67628" w:rsidRPr="004B7D4D">
        <w:rPr>
          <w:rFonts w:ascii="Arial" w:hAnsi="Arial" w:cs="Arial"/>
          <w:sz w:val="18"/>
          <w:szCs w:val="18"/>
        </w:rPr>
        <w:t>25</w:t>
      </w:r>
      <w:r w:rsidR="004B7D4D" w:rsidRPr="004B7D4D">
        <w:rPr>
          <w:rFonts w:ascii="Arial" w:hAnsi="Arial" w:cs="Arial"/>
          <w:sz w:val="18"/>
          <w:szCs w:val="18"/>
        </w:rPr>
        <w:t>6,056,491.00</w:t>
      </w:r>
      <w:r w:rsidR="004B7D4D">
        <w:rPr>
          <w:rFonts w:ascii="Arial" w:hAnsi="Arial" w:cs="Arial"/>
          <w:sz w:val="18"/>
          <w:szCs w:val="18"/>
        </w:rPr>
        <w:t>.</w:t>
      </w:r>
    </w:p>
    <w:p w:rsidR="004B7D4D" w:rsidRPr="00B65AD2" w:rsidRDefault="004B7D4D" w:rsidP="004B7D4D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Régimen Estatal de Protección Social en Salud en</w:t>
      </w:r>
      <w:r w:rsidRPr="001F38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</w:t>
      </w:r>
      <w:r>
        <w:rPr>
          <w:rFonts w:ascii="Arial" w:hAnsi="Arial" w:cs="Arial"/>
          <w:sz w:val="18"/>
          <w:szCs w:val="18"/>
        </w:rPr>
        <w:t xml:space="preserve"> se encuentra en fase de cierre y reporta en </w:t>
      </w:r>
      <w:r>
        <w:rPr>
          <w:rFonts w:ascii="Arial" w:hAnsi="Arial" w:cs="Arial"/>
          <w:sz w:val="18"/>
          <w:szCs w:val="18"/>
        </w:rPr>
        <w:t>Pasivo</w:t>
      </w:r>
      <w:r>
        <w:rPr>
          <w:rFonts w:ascii="Arial" w:hAnsi="Arial" w:cs="Arial"/>
          <w:sz w:val="18"/>
          <w:szCs w:val="18"/>
        </w:rPr>
        <w:t xml:space="preserve"> </w:t>
      </w:r>
      <w:r w:rsidRPr="00232BD7">
        <w:rPr>
          <w:rFonts w:ascii="Arial" w:hAnsi="Arial" w:cs="Arial"/>
          <w:sz w:val="18"/>
          <w:szCs w:val="18"/>
        </w:rPr>
        <w:t>al 31 de marzo</w:t>
      </w:r>
      <w:r>
        <w:rPr>
          <w:rFonts w:ascii="Arial" w:hAnsi="Arial" w:cs="Arial"/>
          <w:sz w:val="18"/>
          <w:szCs w:val="18"/>
        </w:rPr>
        <w:t xml:space="preserve"> $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Pr="004558C9" w:rsidRDefault="003F2586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proofErr w:type="gramStart"/>
      <w:r w:rsidRPr="004558C9">
        <w:rPr>
          <w:rFonts w:ascii="Arial" w:hAnsi="Arial" w:cs="Arial"/>
          <w:sz w:val="18"/>
          <w:szCs w:val="18"/>
        </w:rPr>
        <w:t>cual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F450B5">
        <w:rPr>
          <w:rFonts w:ascii="Arial" w:hAnsi="Arial" w:cs="Arial"/>
          <w:sz w:val="18"/>
          <w:szCs w:val="18"/>
        </w:rPr>
        <w:t>primer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3F0B3E" w:rsidRPr="003F0B3E">
        <w:rPr>
          <w:rFonts w:ascii="Arial" w:hAnsi="Arial" w:cs="Arial"/>
          <w:sz w:val="18"/>
          <w:szCs w:val="18"/>
        </w:rPr>
        <w:t>661,909,232</w:t>
      </w:r>
      <w:r w:rsidR="003F0B3E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955B9" w:rsidRDefault="00B955B9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3F0B3E" w:rsidRDefault="003F0B3E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Flujo de Efectivo</w:t>
      </w:r>
    </w:p>
    <w:p w:rsidR="003F2586" w:rsidRPr="004558C9" w:rsidRDefault="003F2586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5E7DFF" w:rsidRPr="005E7DFF">
        <w:rPr>
          <w:rFonts w:ascii="Arial" w:hAnsi="Arial" w:cs="Arial"/>
          <w:sz w:val="18"/>
          <w:szCs w:val="18"/>
        </w:rPr>
        <w:t>2,163,657,773</w:t>
      </w:r>
      <w:r w:rsidR="005E7DFF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F450B5">
        <w:rPr>
          <w:rFonts w:ascii="Arial" w:hAnsi="Arial" w:cs="Arial"/>
          <w:sz w:val="18"/>
          <w:szCs w:val="18"/>
        </w:rPr>
        <w:t>marzo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5E7DFF" w:rsidRPr="005E7DFF">
        <w:rPr>
          <w:rFonts w:ascii="Arial" w:hAnsi="Arial" w:cs="Arial"/>
          <w:sz w:val="18"/>
          <w:szCs w:val="18"/>
        </w:rPr>
        <w:t>1,707,287,362</w:t>
      </w:r>
      <w:r w:rsidR="005E7DFF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 pesos</w:t>
      </w:r>
      <w:proofErr w:type="gramEnd"/>
      <w:r w:rsidRPr="004558C9">
        <w:rPr>
          <w:rFonts w:ascii="Arial" w:hAnsi="Arial" w:cs="Arial"/>
          <w:sz w:val="18"/>
          <w:szCs w:val="18"/>
        </w:rPr>
        <w:t xml:space="preserve">, reflejándose un diferencial de operación por 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="005E7DFF" w:rsidRPr="005E7DFF">
        <w:rPr>
          <w:rFonts w:ascii="Arial" w:hAnsi="Arial" w:cs="Arial"/>
          <w:sz w:val="18"/>
          <w:szCs w:val="18"/>
        </w:rPr>
        <w:t>456,370,411</w:t>
      </w:r>
      <w:r w:rsidR="005E7DFF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5E7DFF" w:rsidRPr="005E7DFF">
        <w:rPr>
          <w:rFonts w:ascii="Arial" w:hAnsi="Arial" w:cs="Arial"/>
          <w:sz w:val="18"/>
          <w:szCs w:val="18"/>
        </w:rPr>
        <w:t>1,005,327</w:t>
      </w:r>
      <w:r w:rsidR="005E7DF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A43759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F450B5">
        <w:rPr>
          <w:rFonts w:ascii="Arial" w:hAnsi="Arial" w:cs="Arial"/>
          <w:sz w:val="18"/>
          <w:szCs w:val="18"/>
        </w:rPr>
        <w:t>marzo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F450B5">
        <w:rPr>
          <w:rFonts w:ascii="Arial" w:hAnsi="Arial" w:cs="Arial"/>
          <w:sz w:val="18"/>
          <w:szCs w:val="18"/>
        </w:rPr>
        <w:t>1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5E7DFF" w:rsidRPr="005E7DFF">
        <w:rPr>
          <w:rFonts w:ascii="Arial" w:hAnsi="Arial" w:cs="Arial"/>
          <w:sz w:val="18"/>
          <w:szCs w:val="18"/>
        </w:rPr>
        <w:t>31,164,195</w:t>
      </w:r>
      <w:r w:rsidR="005E7DF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5E7DFF" w:rsidRPr="005E7DFF">
        <w:rPr>
          <w:rFonts w:ascii="Arial" w:hAnsi="Arial" w:cs="Arial"/>
          <w:sz w:val="18"/>
          <w:szCs w:val="18"/>
        </w:rPr>
        <w:t>-</w:t>
      </w:r>
      <w:proofErr w:type="gramStart"/>
      <w:r w:rsidR="005E7DFF" w:rsidRPr="005E7DFF">
        <w:rPr>
          <w:rFonts w:ascii="Arial" w:hAnsi="Arial" w:cs="Arial"/>
          <w:sz w:val="18"/>
          <w:szCs w:val="18"/>
        </w:rPr>
        <w:t>30,158,868</w:t>
      </w:r>
      <w:r w:rsidR="005E7DF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 pesos</w:t>
      </w:r>
      <w:proofErr w:type="gramEnd"/>
      <w:r w:rsidRPr="004558C9">
        <w:rPr>
          <w:rFonts w:ascii="Arial" w:hAnsi="Arial" w:cs="Arial"/>
          <w:sz w:val="18"/>
          <w:szCs w:val="18"/>
        </w:rPr>
        <w:t>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5E7DFF" w:rsidRPr="005E7DFF">
        <w:rPr>
          <w:rFonts w:ascii="Arial" w:hAnsi="Arial" w:cs="Arial"/>
          <w:sz w:val="18"/>
          <w:szCs w:val="18"/>
        </w:rPr>
        <w:t>547,406,463</w:t>
      </w:r>
      <w:r w:rsidR="005E7DFF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5E7DFF" w:rsidRPr="005E7DFF">
        <w:rPr>
          <w:rFonts w:ascii="Arial" w:hAnsi="Arial" w:cs="Arial"/>
          <w:sz w:val="18"/>
          <w:szCs w:val="18"/>
        </w:rPr>
        <w:t>1,026,430,696</w:t>
      </w:r>
      <w:r w:rsidR="005E7DFF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5E7DFF" w:rsidRPr="005E7DFF">
        <w:rPr>
          <w:rFonts w:ascii="Arial" w:hAnsi="Arial" w:cs="Arial"/>
          <w:sz w:val="18"/>
          <w:szCs w:val="18"/>
        </w:rPr>
        <w:t>-479,024,233</w:t>
      </w:r>
      <w:r w:rsidR="005E7DFF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F2586" w:rsidRDefault="003F258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DAD" w:rsidRDefault="00B70DAD">
      <w:r>
        <w:separator/>
      </w:r>
    </w:p>
  </w:endnote>
  <w:endnote w:type="continuationSeparator" w:id="0">
    <w:p w:rsidR="00B70DAD" w:rsidRDefault="00B70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A228B9" w:rsidRDefault="00AF349D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2809DB" w:rsidRDefault="00AF349D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AF349D" w:rsidRPr="00A228B9" w:rsidRDefault="00AF349D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2809DB" w:rsidRDefault="00AF349D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AF349D" w:rsidRPr="00A228B9" w:rsidRDefault="00AF349D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DAD" w:rsidRDefault="00B70DAD">
      <w:r>
        <w:separator/>
      </w:r>
    </w:p>
  </w:footnote>
  <w:footnote w:type="continuationSeparator" w:id="0">
    <w:p w:rsidR="00B70DAD" w:rsidRDefault="00B70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2809DB" w:rsidRDefault="00AF349D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9D" w:rsidRPr="00AA652D" w:rsidRDefault="00AF349D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AF349D" w:rsidRPr="00AA652D" w:rsidRDefault="00AF349D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9D" w:rsidRPr="00AA652D" w:rsidRDefault="00AF349D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AF349D" w:rsidRPr="00AA652D" w:rsidRDefault="00AF349D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021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Default="00AF349D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AF349D" w:rsidRPr="00497797" w:rsidRDefault="00AF349D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2809DB" w:rsidRDefault="00AF349D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9D" w:rsidRPr="00AA652D" w:rsidRDefault="00AF349D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9D5AAF" w:rsidRPr="00AA652D" w:rsidRDefault="009D5AAF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349D" w:rsidRPr="00AA652D" w:rsidRDefault="00AF349D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9D5AAF" w:rsidRPr="00AA652D" w:rsidRDefault="009D5AAF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49D" w:rsidRPr="002809DB" w:rsidRDefault="00AF349D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49D" w:rsidRPr="00497797" w:rsidRDefault="00AF349D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AF349D" w:rsidRPr="00497797" w:rsidRDefault="00AF349D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5026"/>
    <w:rsid w:val="000352FF"/>
    <w:rsid w:val="0003635C"/>
    <w:rsid w:val="00040AA9"/>
    <w:rsid w:val="000412BA"/>
    <w:rsid w:val="00042E9B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14B8"/>
    <w:rsid w:val="000A1CD9"/>
    <w:rsid w:val="000A204D"/>
    <w:rsid w:val="000A2512"/>
    <w:rsid w:val="000A39DC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F06BC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200A51"/>
    <w:rsid w:val="002015DB"/>
    <w:rsid w:val="00201E62"/>
    <w:rsid w:val="002020EC"/>
    <w:rsid w:val="00202A0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BCB"/>
    <w:rsid w:val="0026424A"/>
    <w:rsid w:val="00264C81"/>
    <w:rsid w:val="00265FF9"/>
    <w:rsid w:val="0027121D"/>
    <w:rsid w:val="00273FF7"/>
    <w:rsid w:val="002746C5"/>
    <w:rsid w:val="00275FC6"/>
    <w:rsid w:val="002809DB"/>
    <w:rsid w:val="00281841"/>
    <w:rsid w:val="0028373B"/>
    <w:rsid w:val="00285B72"/>
    <w:rsid w:val="00286927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733"/>
    <w:rsid w:val="00616A1C"/>
    <w:rsid w:val="00617048"/>
    <w:rsid w:val="00621A36"/>
    <w:rsid w:val="006233B9"/>
    <w:rsid w:val="00623736"/>
    <w:rsid w:val="006248C4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CC8"/>
    <w:rsid w:val="008B3438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FCD"/>
    <w:rsid w:val="008D66C4"/>
    <w:rsid w:val="008D7535"/>
    <w:rsid w:val="008E2057"/>
    <w:rsid w:val="008E351A"/>
    <w:rsid w:val="008E549C"/>
    <w:rsid w:val="008E55B2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540D"/>
    <w:rsid w:val="009E5D34"/>
    <w:rsid w:val="009E600A"/>
    <w:rsid w:val="009E6A82"/>
    <w:rsid w:val="009E72EA"/>
    <w:rsid w:val="009F02C5"/>
    <w:rsid w:val="009F0F79"/>
    <w:rsid w:val="009F2D7B"/>
    <w:rsid w:val="009F5108"/>
    <w:rsid w:val="009F53EF"/>
    <w:rsid w:val="009F6EB7"/>
    <w:rsid w:val="009F795B"/>
    <w:rsid w:val="00A005A0"/>
    <w:rsid w:val="00A00A06"/>
    <w:rsid w:val="00A0193F"/>
    <w:rsid w:val="00A0269E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42AE"/>
    <w:rsid w:val="00B555DF"/>
    <w:rsid w:val="00B571FF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6AE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2B83"/>
    <w:rsid w:val="00BC4BF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18B9"/>
    <w:rsid w:val="00C4325D"/>
    <w:rsid w:val="00C439EA"/>
    <w:rsid w:val="00C4492E"/>
    <w:rsid w:val="00C4560B"/>
    <w:rsid w:val="00C45F66"/>
    <w:rsid w:val="00C47DCF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BAB"/>
    <w:rsid w:val="00DF5E25"/>
    <w:rsid w:val="00E02924"/>
    <w:rsid w:val="00E03F6F"/>
    <w:rsid w:val="00E0405A"/>
    <w:rsid w:val="00E04C39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623"/>
    <w:rsid w:val="00F94658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8EEE20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AD7EF5CE-8305-40FB-82C5-48EDF7126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13</Pages>
  <Words>3402</Words>
  <Characters>18715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14</cp:revision>
  <cp:lastPrinted>2017-01-25T02:27:00Z</cp:lastPrinted>
  <dcterms:created xsi:type="dcterms:W3CDTF">2021-01-19T19:39:00Z</dcterms:created>
  <dcterms:modified xsi:type="dcterms:W3CDTF">2021-04-20T21:09:00Z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