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499251814"/>
    <w:bookmarkEnd w:id="0"/>
    <w:p w:rsidR="007D6E9A" w:rsidRDefault="0056773F" w:rsidP="003D5DBF">
      <w:pPr>
        <w:jc w:val="center"/>
      </w:pPr>
      <w:r>
        <w:object w:dxaOrig="23113" w:dyaOrig="1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4.5pt;height:473.25pt" o:ole="">
            <v:imagedata r:id="rId8" o:title=""/>
          </v:shape>
          <o:OLEObject Type="Embed" ProgID="Excel.Sheet.12" ShapeID="_x0000_i1025" DrawAspect="Content" ObjectID="_1687778114" r:id="rId9"/>
        </w:object>
      </w:r>
    </w:p>
    <w:p w:rsidR="009B64AA" w:rsidRDefault="00602F36" w:rsidP="003D5DBF">
      <w:pPr>
        <w:jc w:val="center"/>
      </w:pPr>
      <w:r>
        <w:rPr>
          <w:noProof/>
        </w:rPr>
        <w:lastRenderedPageBreak/>
        <w:object w:dxaOrig="1440" w:dyaOrig="1440">
          <v:shape id="_x0000_s1056" type="#_x0000_t75" style="position:absolute;left:0;text-align:left;margin-left:-3.9pt;margin-top:.95pt;width:744.45pt;height:408.8pt;z-index:251670528;mso-position-horizontal-relative:text;mso-position-vertical-relative:text">
            <v:imagedata r:id="rId10" o:title=""/>
            <w10:wrap type="square" side="right"/>
          </v:shape>
          <o:OLEObject Type="Embed" ProgID="Excel.Sheet.12" ShapeID="_x0000_s1056" DrawAspect="Content" ObjectID="_1687778119" r:id="rId11"/>
        </w:object>
      </w:r>
    </w:p>
    <w:p w:rsidR="00EA5418" w:rsidRDefault="00EA5418" w:rsidP="001F0C04">
      <w:pPr>
        <w:jc w:val="center"/>
      </w:pPr>
    </w:p>
    <w:bookmarkStart w:id="1" w:name="_MON_1470806992"/>
    <w:bookmarkEnd w:id="1"/>
    <w:p w:rsidR="00372F40" w:rsidRDefault="00543F6D" w:rsidP="003E7FD0">
      <w:pPr>
        <w:jc w:val="center"/>
      </w:pPr>
      <w:r>
        <w:object w:dxaOrig="21537" w:dyaOrig="15990">
          <v:shape id="_x0000_i1027" type="#_x0000_t75" style="width:684pt;height:468.75pt" o:ole="">
            <v:imagedata r:id="rId12" o:title=""/>
          </v:shape>
          <o:OLEObject Type="Embed" ProgID="Excel.Sheet.12" ShapeID="_x0000_i1027" DrawAspect="Content" ObjectID="_1687778115" r:id="rId13"/>
        </w:object>
      </w:r>
    </w:p>
    <w:p w:rsidR="00372F40" w:rsidRDefault="00602F36" w:rsidP="007769DF">
      <w:r>
        <w:rPr>
          <w:noProof/>
        </w:rPr>
        <w:lastRenderedPageBreak/>
        <w:object w:dxaOrig="1440" w:dyaOrig="1440">
          <v:shape id="_x0000_s1071" type="#_x0000_t75" style="position:absolute;margin-left:-26.4pt;margin-top:.3pt;width:729.15pt;height:467.7pt;z-index:251683840;mso-position-horizontal-relative:text;mso-position-vertical-relative:text">
            <v:imagedata r:id="rId14" o:title=""/>
            <w10:wrap type="square" side="right"/>
          </v:shape>
          <o:OLEObject Type="Embed" ProgID="Excel.Sheet.12" ShapeID="_x0000_s1071" DrawAspect="Content" ObjectID="_1687778120" r:id="rId15"/>
        </w:object>
      </w:r>
      <w:r w:rsidR="000B54AD">
        <w:br w:type="textWrapping" w:clear="all"/>
      </w:r>
      <w:bookmarkStart w:id="2" w:name="_MON_1470809138"/>
      <w:bookmarkEnd w:id="2"/>
      <w:r w:rsidR="00A92A29">
        <w:object w:dxaOrig="17470" w:dyaOrig="12829">
          <v:shape id="_x0000_i1029" type="#_x0000_t75" style="width:673.5pt;height:452.25pt" o:ole="">
            <v:imagedata r:id="rId16" o:title=""/>
          </v:shape>
          <o:OLEObject Type="Embed" ProgID="Excel.Sheet.12" ShapeID="_x0000_i1029" DrawAspect="Content" ObjectID="_1687778116" r:id="rId17"/>
        </w:object>
      </w:r>
    </w:p>
    <w:p w:rsidR="00E32708" w:rsidRDefault="00602F36" w:rsidP="00927BA4">
      <w:pPr>
        <w:tabs>
          <w:tab w:val="left" w:pos="2430"/>
        </w:tabs>
      </w:pPr>
      <w:r>
        <w:rPr>
          <w:noProof/>
        </w:rPr>
        <w:lastRenderedPageBreak/>
        <w:object w:dxaOrig="1440" w:dyaOrig="1440">
          <v:shape id="_x0000_s1064" type="#_x0000_t75" style="position:absolute;margin-left:-.1pt;margin-top:.25pt;width:712.95pt;height:457.4pt;z-index:251679744;mso-position-horizontal:absolute;mso-position-horizontal-relative:text;mso-position-vertical-relative:text">
            <v:imagedata r:id="rId18" o:title=""/>
            <w10:wrap type="square" side="right"/>
          </v:shape>
          <o:OLEObject Type="Embed" ProgID="Excel.Sheet.12" ShapeID="_x0000_s1064" DrawAspect="Content" ObjectID="_1687778121" r:id="rId19"/>
        </w:object>
      </w:r>
      <w:r w:rsidR="00DE2F50">
        <w:br w:type="textWrapping" w:clear="all"/>
      </w:r>
      <w:bookmarkStart w:id="3" w:name="_MON_1470810366"/>
      <w:bookmarkEnd w:id="3"/>
      <w:r w:rsidR="00A92A29">
        <w:object w:dxaOrig="25362" w:dyaOrig="17222">
          <v:shape id="_x0000_i1031" type="#_x0000_t75" style="width:675pt;height:459pt" o:ole="">
            <v:imagedata r:id="rId20" o:title=""/>
          </v:shape>
          <o:OLEObject Type="Embed" ProgID="Excel.Sheet.12" ShapeID="_x0000_i1031" DrawAspect="Content" ObjectID="_1687778117" r:id="rId21"/>
        </w:object>
      </w:r>
    </w:p>
    <w:p w:rsidR="00372F40" w:rsidRDefault="00372F40"/>
    <w:p w:rsidR="00332091" w:rsidRPr="00661A17" w:rsidRDefault="00332091" w:rsidP="00332091">
      <w:pPr>
        <w:spacing w:after="0"/>
        <w:jc w:val="center"/>
        <w:rPr>
          <w:rFonts w:ascii="Arial" w:hAnsi="Arial" w:cs="Arial"/>
          <w:sz w:val="18"/>
          <w:szCs w:val="18"/>
        </w:rPr>
      </w:pPr>
      <w:r w:rsidRPr="00661A17">
        <w:rPr>
          <w:rFonts w:ascii="Arial" w:hAnsi="Arial" w:cs="Arial"/>
          <w:sz w:val="18"/>
          <w:szCs w:val="18"/>
        </w:rPr>
        <w:t>Informe de Pasivos Contingentes</w:t>
      </w:r>
    </w:p>
    <w:p w:rsidR="00332091" w:rsidRPr="00661A17" w:rsidRDefault="00332091" w:rsidP="00332091">
      <w:pPr>
        <w:spacing w:after="0"/>
        <w:rPr>
          <w:rFonts w:ascii="Arial" w:hAnsi="Arial" w:cs="Arial"/>
          <w:sz w:val="18"/>
          <w:szCs w:val="18"/>
        </w:rPr>
      </w:pPr>
    </w:p>
    <w:p w:rsidR="00332091" w:rsidRPr="00661A17" w:rsidRDefault="00332091" w:rsidP="00332091">
      <w:pPr>
        <w:rPr>
          <w:rFonts w:ascii="Arial" w:hAnsi="Arial" w:cs="Arial"/>
          <w:sz w:val="18"/>
          <w:szCs w:val="18"/>
        </w:rPr>
      </w:pPr>
    </w:p>
    <w:p w:rsidR="00332091" w:rsidRPr="00AE47E9" w:rsidRDefault="004466A7" w:rsidP="00332091">
      <w:pPr>
        <w:ind w:left="360"/>
        <w:rPr>
          <w:rFonts w:ascii="Arial" w:hAnsi="Arial" w:cs="Arial"/>
          <w:sz w:val="18"/>
          <w:szCs w:val="18"/>
        </w:rPr>
      </w:pPr>
      <w:r>
        <w:rPr>
          <w:rFonts w:ascii="Arial" w:hAnsi="Arial" w:cs="Arial"/>
          <w:sz w:val="18"/>
          <w:szCs w:val="18"/>
        </w:rPr>
        <w:t xml:space="preserve">Al mes de </w:t>
      </w:r>
      <w:r w:rsidR="002714C7">
        <w:rPr>
          <w:rFonts w:ascii="Arial" w:hAnsi="Arial" w:cs="Arial"/>
          <w:sz w:val="18"/>
          <w:szCs w:val="18"/>
        </w:rPr>
        <w:t>Junio</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540418" w:rsidRPr="00661A17" w:rsidRDefault="00540418">
      <w:pPr>
        <w:rPr>
          <w:rFonts w:ascii="Arial" w:hAnsi="Arial" w:cs="Arial"/>
          <w:sz w:val="18"/>
          <w:szCs w:val="18"/>
        </w:rPr>
      </w:pPr>
      <w:r w:rsidRPr="00661A17">
        <w:rPr>
          <w:rFonts w:ascii="Arial" w:hAnsi="Arial" w:cs="Arial"/>
          <w:sz w:val="18"/>
          <w:szCs w:val="18"/>
        </w:rPr>
        <w:br w:type="page"/>
      </w:r>
    </w:p>
    <w:p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155BEA">
        <w:rPr>
          <w:rFonts w:ascii="Arial" w:hAnsi="Arial" w:cs="Arial"/>
          <w:sz w:val="18"/>
          <w:szCs w:val="18"/>
        </w:rPr>
        <w:t>2</w:t>
      </w:r>
      <w:r>
        <w:rPr>
          <w:rFonts w:ascii="Arial" w:hAnsi="Arial" w:cs="Arial"/>
          <w:sz w:val="18"/>
          <w:szCs w:val="18"/>
        </w:rPr>
        <w:t>,</w:t>
      </w:r>
      <w:r w:rsidR="00155BEA">
        <w:rPr>
          <w:rFonts w:ascii="Arial" w:hAnsi="Arial" w:cs="Arial"/>
          <w:sz w:val="18"/>
          <w:szCs w:val="18"/>
        </w:rPr>
        <w:t>8</w:t>
      </w:r>
      <w:r w:rsidR="009650A6">
        <w:rPr>
          <w:rFonts w:ascii="Arial" w:hAnsi="Arial" w:cs="Arial"/>
          <w:sz w:val="18"/>
          <w:szCs w:val="18"/>
        </w:rPr>
        <w:t>85</w:t>
      </w:r>
      <w:r>
        <w:rPr>
          <w:rFonts w:ascii="Arial" w:hAnsi="Arial" w:cs="Arial"/>
          <w:sz w:val="18"/>
          <w:szCs w:val="18"/>
        </w:rPr>
        <w:t>,</w:t>
      </w:r>
      <w:r w:rsidR="00155BEA">
        <w:rPr>
          <w:rFonts w:ascii="Arial" w:hAnsi="Arial" w:cs="Arial"/>
          <w:sz w:val="18"/>
          <w:szCs w:val="18"/>
        </w:rPr>
        <w:t>8</w:t>
      </w:r>
      <w:r w:rsidR="009650A6">
        <w:rPr>
          <w:rFonts w:ascii="Arial" w:hAnsi="Arial" w:cs="Arial"/>
          <w:sz w:val="18"/>
          <w:szCs w:val="18"/>
        </w:rPr>
        <w:t>56</w:t>
      </w:r>
      <w:r>
        <w:rPr>
          <w:rFonts w:ascii="Arial" w:hAnsi="Arial" w:cs="Arial"/>
          <w:sz w:val="18"/>
          <w:szCs w:val="18"/>
        </w:rPr>
        <w:t>,</w:t>
      </w:r>
      <w:r w:rsidR="009650A6">
        <w:rPr>
          <w:rFonts w:ascii="Arial" w:hAnsi="Arial" w:cs="Arial"/>
          <w:sz w:val="18"/>
          <w:szCs w:val="18"/>
        </w:rPr>
        <w:t>766</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AA7AE3">
        <w:rPr>
          <w:rFonts w:ascii="Arial" w:hAnsi="Arial" w:cs="Arial"/>
          <w:sz w:val="18"/>
          <w:szCs w:val="18"/>
        </w:rPr>
        <w:t>Segundo</w:t>
      </w:r>
      <w:r>
        <w:rPr>
          <w:rFonts w:ascii="Arial" w:hAnsi="Arial" w:cs="Arial"/>
          <w:sz w:val="18"/>
          <w:szCs w:val="18"/>
        </w:rPr>
        <w:t xml:space="preserve"> Ajuste Trimestral 20</w:t>
      </w:r>
      <w:r w:rsidR="00496633">
        <w:rPr>
          <w:rFonts w:ascii="Arial" w:hAnsi="Arial" w:cs="Arial"/>
          <w:sz w:val="18"/>
          <w:szCs w:val="18"/>
        </w:rPr>
        <w:t>2</w:t>
      </w:r>
      <w:r w:rsidR="00155BEA">
        <w:rPr>
          <w:rFonts w:ascii="Arial" w:hAnsi="Arial" w:cs="Arial"/>
          <w:sz w:val="18"/>
          <w:szCs w:val="18"/>
        </w:rPr>
        <w:t>1</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1340E0">
        <w:rPr>
          <w:rFonts w:ascii="Arial" w:hAnsi="Arial" w:cs="Arial"/>
          <w:sz w:val="18"/>
          <w:szCs w:val="18"/>
        </w:rPr>
        <w:t>8,6</w:t>
      </w:r>
      <w:r w:rsidR="009650A6">
        <w:rPr>
          <w:rFonts w:ascii="Arial" w:hAnsi="Arial" w:cs="Arial"/>
          <w:sz w:val="18"/>
          <w:szCs w:val="18"/>
        </w:rPr>
        <w:t>48</w:t>
      </w:r>
      <w:r w:rsidR="001340E0">
        <w:rPr>
          <w:rFonts w:ascii="Arial" w:hAnsi="Arial" w:cs="Arial"/>
          <w:sz w:val="18"/>
          <w:szCs w:val="18"/>
        </w:rPr>
        <w:t>,</w:t>
      </w:r>
      <w:r w:rsidR="009650A6">
        <w:rPr>
          <w:rFonts w:ascii="Arial" w:hAnsi="Arial" w:cs="Arial"/>
          <w:sz w:val="18"/>
          <w:szCs w:val="18"/>
        </w:rPr>
        <w:t>761</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9650A6">
        <w:rPr>
          <w:rFonts w:ascii="Arial" w:hAnsi="Arial" w:cs="Arial"/>
          <w:sz w:val="18"/>
          <w:szCs w:val="18"/>
        </w:rPr>
        <w:t>segundo</w:t>
      </w:r>
      <w:r w:rsidR="008F4733" w:rsidRPr="00F52C6D">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1340E0">
        <w:rPr>
          <w:rFonts w:ascii="Arial" w:hAnsi="Arial" w:cs="Arial"/>
          <w:sz w:val="18"/>
          <w:szCs w:val="18"/>
        </w:rPr>
        <w:t>21</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340E0">
        <w:rPr>
          <w:rFonts w:ascii="Arial" w:hAnsi="Arial" w:cs="Arial"/>
          <w:sz w:val="18"/>
          <w:szCs w:val="18"/>
        </w:rPr>
        <w:t xml:space="preserve"> en cantidad de $ </w:t>
      </w:r>
      <w:r w:rsidR="009650A6">
        <w:rPr>
          <w:rFonts w:ascii="Arial" w:hAnsi="Arial" w:cs="Arial"/>
          <w:sz w:val="18"/>
          <w:szCs w:val="18"/>
        </w:rPr>
        <w:t>40,537</w:t>
      </w:r>
      <w:r w:rsidR="001340E0">
        <w:rPr>
          <w:rFonts w:ascii="Arial" w:hAnsi="Arial" w:cs="Arial"/>
          <w:sz w:val="18"/>
          <w:szCs w:val="18"/>
        </w:rPr>
        <w:t>,</w:t>
      </w:r>
      <w:r w:rsidR="009650A6">
        <w:rPr>
          <w:rFonts w:ascii="Arial" w:hAnsi="Arial" w:cs="Arial"/>
          <w:sz w:val="18"/>
          <w:szCs w:val="18"/>
        </w:rPr>
        <w:t>290</w:t>
      </w:r>
      <w:r w:rsidRPr="0073056A">
        <w:rPr>
          <w:rFonts w:ascii="Arial" w:hAnsi="Arial" w:cs="Arial"/>
          <w:sz w:val="18"/>
          <w:szCs w:val="18"/>
        </w:rPr>
        <w:t xml:space="preserve">,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9650A6">
        <w:rPr>
          <w:rFonts w:ascii="Arial" w:hAnsi="Arial" w:cs="Arial"/>
          <w:sz w:val="18"/>
          <w:szCs w:val="18"/>
        </w:rPr>
        <w:t>segundo</w:t>
      </w:r>
      <w:r w:rsidR="008F4733">
        <w:rPr>
          <w:rFonts w:ascii="Arial" w:hAnsi="Arial" w:cs="Arial"/>
          <w:sz w:val="18"/>
          <w:szCs w:val="18"/>
        </w:rPr>
        <w:t xml:space="preserve"> trimestre del </w:t>
      </w:r>
      <w:r>
        <w:rPr>
          <w:rFonts w:ascii="Arial" w:hAnsi="Arial" w:cs="Arial"/>
          <w:sz w:val="18"/>
          <w:szCs w:val="18"/>
        </w:rPr>
        <w:t>ejercicio 20</w:t>
      </w:r>
      <w:r w:rsidR="008F4733">
        <w:rPr>
          <w:rFonts w:ascii="Arial" w:hAnsi="Arial" w:cs="Arial"/>
          <w:sz w:val="18"/>
          <w:szCs w:val="18"/>
        </w:rPr>
        <w:t>2</w:t>
      </w:r>
      <w:r w:rsidR="00155BEA">
        <w:rPr>
          <w:rFonts w:ascii="Arial" w:hAnsi="Arial" w:cs="Arial"/>
          <w:sz w:val="18"/>
          <w:szCs w:val="18"/>
        </w:rPr>
        <w:t>1</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9650A6">
        <w:rPr>
          <w:rFonts w:ascii="Arial" w:hAnsi="Arial" w:cs="Arial"/>
          <w:sz w:val="18"/>
          <w:szCs w:val="18"/>
        </w:rPr>
        <w:t>segundo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6E78A6">
        <w:rPr>
          <w:rFonts w:ascii="Arial" w:hAnsi="Arial" w:cs="Arial"/>
          <w:sz w:val="18"/>
          <w:szCs w:val="18"/>
        </w:rPr>
        <w:t>1</w:t>
      </w:r>
      <w:r>
        <w:rPr>
          <w:rFonts w:ascii="Arial" w:hAnsi="Arial" w:cs="Arial"/>
          <w:sz w:val="18"/>
          <w:szCs w:val="18"/>
        </w:rPr>
        <w:t xml:space="preserve"> el Poder Ejecutivo cuenta con Inversiones Financieras a Largo Plazo por un importe de $ </w:t>
      </w:r>
      <w:r w:rsidR="001769D8">
        <w:rPr>
          <w:rFonts w:ascii="Arial" w:hAnsi="Arial" w:cs="Arial"/>
          <w:sz w:val="18"/>
          <w:szCs w:val="18"/>
        </w:rPr>
        <w:t>3</w:t>
      </w:r>
      <w:r w:rsidR="006E78A6">
        <w:rPr>
          <w:rFonts w:ascii="Arial" w:hAnsi="Arial" w:cs="Arial"/>
          <w:sz w:val="18"/>
          <w:szCs w:val="18"/>
        </w:rPr>
        <w:t>70</w:t>
      </w:r>
      <w:r>
        <w:rPr>
          <w:rFonts w:ascii="Arial" w:hAnsi="Arial" w:cs="Arial"/>
          <w:sz w:val="18"/>
          <w:szCs w:val="18"/>
        </w:rPr>
        <w:t>,</w:t>
      </w:r>
      <w:r w:rsidR="001769D8">
        <w:rPr>
          <w:rFonts w:ascii="Arial" w:hAnsi="Arial" w:cs="Arial"/>
          <w:sz w:val="18"/>
          <w:szCs w:val="18"/>
        </w:rPr>
        <w:t>937</w:t>
      </w:r>
      <w:r>
        <w:rPr>
          <w:rFonts w:ascii="Arial" w:hAnsi="Arial" w:cs="Arial"/>
          <w:sz w:val="18"/>
          <w:szCs w:val="18"/>
        </w:rPr>
        <w:t>,</w:t>
      </w:r>
      <w:r w:rsidR="000E10A7">
        <w:rPr>
          <w:rFonts w:ascii="Arial" w:hAnsi="Arial" w:cs="Arial"/>
          <w:sz w:val="18"/>
          <w:szCs w:val="18"/>
        </w:rPr>
        <w:t>304</w:t>
      </w:r>
      <w:r>
        <w:rPr>
          <w:rFonts w:ascii="Arial" w:hAnsi="Arial" w:cs="Arial"/>
          <w:sz w:val="18"/>
          <w:szCs w:val="18"/>
        </w:rPr>
        <w:t>, que respaldan los diversos fondos de contingencia del Ejecutivo del Estado.</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9650A6">
        <w:rPr>
          <w:rFonts w:ascii="Arial" w:hAnsi="Arial" w:cs="Arial"/>
          <w:sz w:val="18"/>
          <w:szCs w:val="18"/>
        </w:rPr>
        <w:t>segundo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6E78A6">
        <w:rPr>
          <w:rFonts w:ascii="Arial" w:hAnsi="Arial" w:cs="Arial"/>
          <w:sz w:val="18"/>
          <w:szCs w:val="18"/>
        </w:rPr>
        <w:t>1</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r w:rsidR="00FE75AC">
        <w:rPr>
          <w:rFonts w:ascii="Arial" w:hAnsi="Arial" w:cs="Arial"/>
          <w:sz w:val="18"/>
          <w:szCs w:val="18"/>
        </w:rPr>
        <w:t>73</w:t>
      </w:r>
      <w:r w:rsidR="009650A6">
        <w:rPr>
          <w:rFonts w:ascii="Arial" w:hAnsi="Arial" w:cs="Arial"/>
          <w:sz w:val="18"/>
          <w:szCs w:val="18"/>
        </w:rPr>
        <w:t>2</w:t>
      </w:r>
      <w:r>
        <w:rPr>
          <w:rFonts w:ascii="Arial" w:hAnsi="Arial" w:cs="Arial"/>
          <w:sz w:val="18"/>
          <w:szCs w:val="18"/>
        </w:rPr>
        <w:t>,</w:t>
      </w:r>
      <w:r w:rsidR="00120F4C">
        <w:rPr>
          <w:rFonts w:ascii="Arial" w:hAnsi="Arial" w:cs="Arial"/>
          <w:sz w:val="18"/>
          <w:szCs w:val="18"/>
        </w:rPr>
        <w:t>5</w:t>
      </w:r>
      <w:r w:rsidR="009650A6">
        <w:rPr>
          <w:rFonts w:ascii="Arial" w:hAnsi="Arial" w:cs="Arial"/>
          <w:sz w:val="18"/>
          <w:szCs w:val="18"/>
        </w:rPr>
        <w:t>42</w:t>
      </w:r>
      <w:r>
        <w:rPr>
          <w:rFonts w:ascii="Arial" w:hAnsi="Arial" w:cs="Arial"/>
          <w:sz w:val="18"/>
          <w:szCs w:val="18"/>
        </w:rPr>
        <w:t>,</w:t>
      </w:r>
      <w:r w:rsidR="009650A6">
        <w:rPr>
          <w:rFonts w:ascii="Arial" w:hAnsi="Arial" w:cs="Arial"/>
          <w:sz w:val="18"/>
          <w:szCs w:val="18"/>
        </w:rPr>
        <w:t>379</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Pr="0073056A">
        <w:rPr>
          <w:rFonts w:ascii="Arial" w:hAnsi="Arial" w:cs="Arial"/>
          <w:sz w:val="18"/>
          <w:szCs w:val="18"/>
        </w:rPr>
        <w:t>.</w:t>
      </w:r>
    </w:p>
    <w:p w:rsidR="00B006FD" w:rsidRPr="0073056A"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FE75AC">
        <w:rPr>
          <w:rFonts w:ascii="Arial" w:hAnsi="Arial" w:cs="Arial"/>
          <w:sz w:val="18"/>
          <w:szCs w:val="18"/>
        </w:rPr>
        <w:t>9</w:t>
      </w:r>
      <w:r w:rsidRPr="00F619D6">
        <w:rPr>
          <w:rFonts w:ascii="Arial" w:hAnsi="Arial" w:cs="Arial"/>
          <w:sz w:val="18"/>
          <w:szCs w:val="18"/>
        </w:rPr>
        <w:t>,</w:t>
      </w:r>
      <w:r w:rsidR="009650A6">
        <w:rPr>
          <w:rFonts w:ascii="Arial" w:hAnsi="Arial" w:cs="Arial"/>
          <w:sz w:val="18"/>
          <w:szCs w:val="18"/>
        </w:rPr>
        <w:t>206</w:t>
      </w:r>
      <w:r w:rsidRPr="00F619D6">
        <w:rPr>
          <w:rFonts w:ascii="Arial" w:hAnsi="Arial" w:cs="Arial"/>
          <w:sz w:val="18"/>
          <w:szCs w:val="18"/>
        </w:rPr>
        <w:t>,</w:t>
      </w:r>
      <w:r w:rsidR="00FA0D0F">
        <w:rPr>
          <w:rFonts w:ascii="Arial" w:hAnsi="Arial" w:cs="Arial"/>
          <w:sz w:val="18"/>
          <w:szCs w:val="18"/>
        </w:rPr>
        <w:t>394</w:t>
      </w:r>
      <w:r w:rsidRPr="00F619D6">
        <w:rPr>
          <w:rFonts w:ascii="Arial" w:hAnsi="Arial" w:cs="Arial"/>
          <w:sz w:val="18"/>
          <w:szCs w:val="18"/>
        </w:rPr>
        <w:t>,</w:t>
      </w:r>
      <w:r w:rsidR="00FA0D0F">
        <w:rPr>
          <w:rFonts w:ascii="Arial" w:hAnsi="Arial" w:cs="Arial"/>
          <w:sz w:val="18"/>
          <w:szCs w:val="18"/>
        </w:rPr>
        <w:t>088</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w:t>
      </w:r>
    </w:p>
    <w:p w:rsidR="00332091" w:rsidRPr="0073056A" w:rsidRDefault="00FE75AC" w:rsidP="00B006FD">
      <w:pPr>
        <w:tabs>
          <w:tab w:val="left" w:pos="284"/>
        </w:tabs>
        <w:ind w:left="284"/>
        <w:jc w:val="both"/>
        <w:rPr>
          <w:rFonts w:ascii="Arial" w:hAnsi="Arial" w:cs="Arial"/>
          <w:sz w:val="18"/>
          <w:szCs w:val="18"/>
        </w:rPr>
      </w:pPr>
      <w:r>
        <w:rPr>
          <w:rFonts w:ascii="Arial" w:hAnsi="Arial" w:cs="Arial"/>
          <w:sz w:val="18"/>
          <w:szCs w:val="18"/>
        </w:rPr>
        <w:t>El saldo de $11</w:t>
      </w:r>
      <w:r w:rsidR="00FA0D0F">
        <w:rPr>
          <w:rFonts w:ascii="Arial" w:hAnsi="Arial" w:cs="Arial"/>
          <w:sz w:val="18"/>
          <w:szCs w:val="18"/>
        </w:rPr>
        <w:t>4</w:t>
      </w:r>
      <w:r w:rsidR="00B006FD">
        <w:rPr>
          <w:rFonts w:ascii="Arial" w:hAnsi="Arial" w:cs="Arial"/>
          <w:sz w:val="18"/>
          <w:szCs w:val="18"/>
        </w:rPr>
        <w:t>,</w:t>
      </w:r>
      <w:r w:rsidR="00FA0D0F">
        <w:rPr>
          <w:rFonts w:ascii="Arial" w:hAnsi="Arial" w:cs="Arial"/>
          <w:sz w:val="18"/>
          <w:szCs w:val="18"/>
        </w:rPr>
        <w:t>142</w:t>
      </w:r>
      <w:r w:rsidR="00B006FD">
        <w:rPr>
          <w:rFonts w:ascii="Arial" w:hAnsi="Arial" w:cs="Arial"/>
          <w:sz w:val="18"/>
          <w:szCs w:val="18"/>
        </w:rPr>
        <w:t>,</w:t>
      </w:r>
      <w:r w:rsidR="00FA0D0F">
        <w:rPr>
          <w:rFonts w:ascii="Arial" w:hAnsi="Arial" w:cs="Arial"/>
          <w:sz w:val="18"/>
          <w:szCs w:val="18"/>
        </w:rPr>
        <w:t>853</w:t>
      </w:r>
      <w:r w:rsidR="00B006FD">
        <w:rPr>
          <w:rFonts w:ascii="Arial" w:hAnsi="Arial" w:cs="Arial"/>
          <w:sz w:val="18"/>
          <w:szCs w:val="18"/>
        </w:rPr>
        <w:t xml:space="preserve"> </w:t>
      </w:r>
      <w:r w:rsidR="00B006FD" w:rsidRPr="0073056A">
        <w:rPr>
          <w:rFonts w:ascii="Arial" w:hAnsi="Arial" w:cs="Arial"/>
          <w:sz w:val="18"/>
          <w:szCs w:val="18"/>
        </w:rPr>
        <w:t xml:space="preserve">lo </w:t>
      </w:r>
      <w:r w:rsidR="00B006FD">
        <w:rPr>
          <w:rFonts w:ascii="Arial" w:hAnsi="Arial" w:cs="Arial"/>
          <w:sz w:val="18"/>
          <w:szCs w:val="18"/>
        </w:rPr>
        <w:t>integran</w:t>
      </w:r>
      <w:r w:rsidR="00B006FD" w:rsidRPr="0073056A">
        <w:rPr>
          <w:rFonts w:ascii="Arial" w:hAnsi="Arial" w:cs="Arial"/>
          <w:sz w:val="18"/>
          <w:szCs w:val="18"/>
        </w:rPr>
        <w:t xml:space="preserve"> activos </w:t>
      </w:r>
      <w:r w:rsidR="00B006FD">
        <w:rPr>
          <w:rFonts w:ascii="Arial" w:hAnsi="Arial" w:cs="Arial"/>
          <w:sz w:val="18"/>
          <w:szCs w:val="18"/>
        </w:rPr>
        <w:t xml:space="preserve">intangibles </w:t>
      </w:r>
      <w:r w:rsidR="00B006FD" w:rsidRPr="0073056A">
        <w:rPr>
          <w:rFonts w:ascii="Arial" w:hAnsi="Arial" w:cs="Arial"/>
          <w:sz w:val="18"/>
          <w:szCs w:val="18"/>
        </w:rPr>
        <w:t>propiedad del Gobierno del Estado, constituidos</w:t>
      </w:r>
      <w:r w:rsidR="00B006FD">
        <w:rPr>
          <w:rFonts w:ascii="Arial" w:hAnsi="Arial" w:cs="Arial"/>
          <w:sz w:val="18"/>
          <w:szCs w:val="18"/>
        </w:rPr>
        <w:t xml:space="preserve"> en su totalidad </w:t>
      </w:r>
      <w:r w:rsidR="00B006FD" w:rsidRPr="0073056A">
        <w:rPr>
          <w:rFonts w:ascii="Arial" w:hAnsi="Arial" w:cs="Arial"/>
          <w:sz w:val="18"/>
          <w:szCs w:val="18"/>
        </w:rPr>
        <w:t>por software</w:t>
      </w:r>
      <w:r w:rsidR="00B006FD"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FA0D0F">
        <w:rPr>
          <w:rFonts w:ascii="Arial" w:hAnsi="Arial" w:cs="Arial"/>
          <w:sz w:val="18"/>
          <w:szCs w:val="18"/>
        </w:rPr>
        <w:t>juni</w:t>
      </w:r>
      <w:r w:rsidR="00FE75AC">
        <w:rPr>
          <w:rFonts w:ascii="Arial" w:hAnsi="Arial" w:cs="Arial"/>
          <w:sz w:val="18"/>
          <w:szCs w:val="18"/>
        </w:rPr>
        <w:t>o</w:t>
      </w:r>
      <w:r>
        <w:rPr>
          <w:rFonts w:ascii="Arial" w:hAnsi="Arial" w:cs="Arial"/>
          <w:sz w:val="18"/>
          <w:szCs w:val="18"/>
        </w:rPr>
        <w:t xml:space="preserve"> del ejercicio 20</w:t>
      </w:r>
      <w:r w:rsidR="00111884">
        <w:rPr>
          <w:rFonts w:ascii="Arial" w:hAnsi="Arial" w:cs="Arial"/>
          <w:sz w:val="18"/>
          <w:szCs w:val="18"/>
        </w:rPr>
        <w:t>2</w:t>
      </w:r>
      <w:r w:rsidR="00FE75AC">
        <w:rPr>
          <w:rFonts w:ascii="Arial" w:hAnsi="Arial" w:cs="Arial"/>
          <w:sz w:val="18"/>
          <w:szCs w:val="18"/>
        </w:rPr>
        <w:t>1</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FA0D0F">
        <w:rPr>
          <w:rFonts w:ascii="Arial" w:hAnsi="Arial" w:cs="Arial"/>
          <w:sz w:val="18"/>
          <w:szCs w:val="18"/>
        </w:rPr>
        <w:t>1</w:t>
      </w:r>
      <w:r>
        <w:rPr>
          <w:rFonts w:ascii="Arial" w:hAnsi="Arial" w:cs="Arial"/>
          <w:sz w:val="18"/>
          <w:szCs w:val="18"/>
        </w:rPr>
        <w:t>,</w:t>
      </w:r>
      <w:r w:rsidR="00FA0D0F">
        <w:rPr>
          <w:rFonts w:ascii="Arial" w:hAnsi="Arial" w:cs="Arial"/>
          <w:sz w:val="18"/>
          <w:szCs w:val="18"/>
        </w:rPr>
        <w:t>282</w:t>
      </w:r>
      <w:r>
        <w:rPr>
          <w:rFonts w:ascii="Arial" w:hAnsi="Arial" w:cs="Arial"/>
          <w:sz w:val="18"/>
          <w:szCs w:val="18"/>
        </w:rPr>
        <w:t>,</w:t>
      </w:r>
      <w:r w:rsidR="00FA0D0F">
        <w:rPr>
          <w:rFonts w:ascii="Arial" w:hAnsi="Arial" w:cs="Arial"/>
          <w:sz w:val="18"/>
          <w:szCs w:val="18"/>
        </w:rPr>
        <w:t>799</w:t>
      </w:r>
      <w:r>
        <w:rPr>
          <w:rFonts w:ascii="Arial" w:hAnsi="Arial" w:cs="Arial"/>
          <w:sz w:val="18"/>
          <w:szCs w:val="18"/>
        </w:rPr>
        <w:t>,</w:t>
      </w:r>
      <w:r w:rsidR="00FA0D0F">
        <w:rPr>
          <w:rFonts w:ascii="Arial" w:hAnsi="Arial" w:cs="Arial"/>
          <w:sz w:val="18"/>
          <w:szCs w:val="18"/>
        </w:rPr>
        <w:t>297</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lastRenderedPageBreak/>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FA0D0F">
        <w:rPr>
          <w:rFonts w:ascii="Arial" w:hAnsi="Arial" w:cs="Arial"/>
          <w:sz w:val="18"/>
          <w:szCs w:val="18"/>
          <w:lang w:val="es-ES"/>
        </w:rPr>
        <w:t>segundo</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FE75AC">
        <w:rPr>
          <w:rFonts w:ascii="Arial" w:hAnsi="Arial" w:cs="Arial"/>
          <w:sz w:val="18"/>
          <w:szCs w:val="18"/>
        </w:rPr>
        <w:t>1</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FA0D0F">
        <w:rPr>
          <w:rFonts w:ascii="Arial" w:hAnsi="Arial" w:cs="Arial"/>
          <w:sz w:val="18"/>
          <w:szCs w:val="18"/>
        </w:rPr>
        <w:t>11</w:t>
      </w:r>
      <w:r>
        <w:rPr>
          <w:rFonts w:ascii="Arial" w:hAnsi="Arial" w:cs="Arial"/>
          <w:sz w:val="18"/>
          <w:szCs w:val="18"/>
        </w:rPr>
        <w:t>,</w:t>
      </w:r>
      <w:r w:rsidR="00FA0D0F">
        <w:rPr>
          <w:rFonts w:ascii="Arial" w:hAnsi="Arial" w:cs="Arial"/>
          <w:sz w:val="18"/>
          <w:szCs w:val="18"/>
        </w:rPr>
        <w:t>585</w:t>
      </w:r>
      <w:r>
        <w:rPr>
          <w:rFonts w:ascii="Arial" w:hAnsi="Arial" w:cs="Arial"/>
          <w:sz w:val="18"/>
          <w:szCs w:val="18"/>
        </w:rPr>
        <w:t>,</w:t>
      </w:r>
      <w:r w:rsidR="00FA0D0F">
        <w:rPr>
          <w:rFonts w:ascii="Arial" w:hAnsi="Arial" w:cs="Arial"/>
          <w:sz w:val="18"/>
          <w:szCs w:val="18"/>
        </w:rPr>
        <w:t>813</w:t>
      </w:r>
      <w:r>
        <w:rPr>
          <w:rFonts w:ascii="Arial" w:hAnsi="Arial" w:cs="Arial"/>
          <w:sz w:val="18"/>
          <w:szCs w:val="18"/>
        </w:rPr>
        <w:t>,</w:t>
      </w:r>
      <w:r w:rsidR="00FA0D0F">
        <w:rPr>
          <w:rFonts w:ascii="Arial" w:hAnsi="Arial" w:cs="Arial"/>
          <w:sz w:val="18"/>
          <w:szCs w:val="18"/>
        </w:rPr>
        <w:t>896</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CE04CE">
        <w:rPr>
          <w:rFonts w:ascii="Arial" w:hAnsi="Arial" w:cs="Arial"/>
          <w:sz w:val="18"/>
          <w:szCs w:val="18"/>
        </w:rPr>
        <w:t>9</w:t>
      </w:r>
      <w:r>
        <w:rPr>
          <w:rFonts w:ascii="Arial" w:hAnsi="Arial" w:cs="Arial"/>
          <w:sz w:val="18"/>
          <w:szCs w:val="18"/>
        </w:rPr>
        <w:t>,</w:t>
      </w:r>
      <w:r w:rsidR="00CE04CE">
        <w:rPr>
          <w:rFonts w:ascii="Arial" w:hAnsi="Arial" w:cs="Arial"/>
          <w:sz w:val="18"/>
          <w:szCs w:val="18"/>
        </w:rPr>
        <w:t>982</w:t>
      </w:r>
      <w:r>
        <w:rPr>
          <w:rFonts w:ascii="Arial" w:hAnsi="Arial" w:cs="Arial"/>
          <w:sz w:val="18"/>
          <w:szCs w:val="18"/>
        </w:rPr>
        <w:t>,</w:t>
      </w:r>
      <w:r w:rsidR="00CE04CE">
        <w:rPr>
          <w:rFonts w:ascii="Arial" w:hAnsi="Arial" w:cs="Arial"/>
          <w:sz w:val="18"/>
          <w:szCs w:val="18"/>
        </w:rPr>
        <w:t>737</w:t>
      </w:r>
      <w:r>
        <w:rPr>
          <w:rFonts w:ascii="Arial" w:hAnsi="Arial" w:cs="Arial"/>
          <w:sz w:val="18"/>
          <w:szCs w:val="18"/>
        </w:rPr>
        <w:t>,</w:t>
      </w:r>
      <w:r w:rsidR="00CE04CE">
        <w:rPr>
          <w:rFonts w:ascii="Arial" w:hAnsi="Arial" w:cs="Arial"/>
          <w:sz w:val="18"/>
          <w:szCs w:val="18"/>
        </w:rPr>
        <w:t>289</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CE04CE">
        <w:rPr>
          <w:rFonts w:ascii="Arial" w:hAnsi="Arial" w:cs="Arial"/>
          <w:sz w:val="18"/>
          <w:szCs w:val="18"/>
        </w:rPr>
        <w:t xml:space="preserve"> 1,603</w:t>
      </w:r>
      <w:r>
        <w:rPr>
          <w:rFonts w:ascii="Arial" w:hAnsi="Arial" w:cs="Arial"/>
          <w:sz w:val="18"/>
          <w:szCs w:val="18"/>
        </w:rPr>
        <w:t>,</w:t>
      </w:r>
      <w:r w:rsidR="00CE04CE">
        <w:rPr>
          <w:rFonts w:ascii="Arial" w:hAnsi="Arial" w:cs="Arial"/>
          <w:sz w:val="18"/>
          <w:szCs w:val="18"/>
        </w:rPr>
        <w:t>076</w:t>
      </w:r>
      <w:r>
        <w:rPr>
          <w:rFonts w:ascii="Arial" w:hAnsi="Arial" w:cs="Arial"/>
          <w:sz w:val="18"/>
          <w:szCs w:val="18"/>
        </w:rPr>
        <w:t>,</w:t>
      </w:r>
      <w:r w:rsidR="00CE04CE">
        <w:rPr>
          <w:rFonts w:ascii="Arial" w:hAnsi="Arial" w:cs="Arial"/>
          <w:sz w:val="18"/>
          <w:szCs w:val="18"/>
        </w:rPr>
        <w:t>607</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CE04CE">
        <w:rPr>
          <w:rFonts w:ascii="Arial" w:hAnsi="Arial" w:cs="Arial"/>
          <w:sz w:val="18"/>
          <w:szCs w:val="18"/>
        </w:rPr>
        <w:t>juni</w:t>
      </w:r>
      <w:r w:rsidR="00FE75AC">
        <w:rPr>
          <w:rFonts w:ascii="Arial" w:hAnsi="Arial" w:cs="Arial"/>
          <w:sz w:val="18"/>
          <w:szCs w:val="18"/>
        </w:rPr>
        <w:t>o</w:t>
      </w:r>
      <w:r w:rsidR="00297D52">
        <w:rPr>
          <w:rFonts w:ascii="Arial" w:hAnsi="Arial" w:cs="Arial"/>
          <w:sz w:val="18"/>
          <w:szCs w:val="18"/>
        </w:rPr>
        <w:t xml:space="preserve"> </w:t>
      </w:r>
      <w:r>
        <w:rPr>
          <w:rFonts w:ascii="Arial" w:hAnsi="Arial" w:cs="Arial"/>
          <w:sz w:val="18"/>
          <w:szCs w:val="18"/>
        </w:rPr>
        <w:t>de 20</w:t>
      </w:r>
      <w:r w:rsidR="00C735F9">
        <w:rPr>
          <w:rFonts w:ascii="Arial" w:hAnsi="Arial" w:cs="Arial"/>
          <w:sz w:val="18"/>
          <w:szCs w:val="18"/>
        </w:rPr>
        <w:t>2</w:t>
      </w:r>
      <w:r w:rsidR="00FE75AC">
        <w:rPr>
          <w:rFonts w:ascii="Arial" w:hAnsi="Arial" w:cs="Arial"/>
          <w:sz w:val="18"/>
          <w:szCs w:val="18"/>
        </w:rPr>
        <w:t>1</w:t>
      </w:r>
      <w:r w:rsidRPr="0073056A">
        <w:rPr>
          <w:rFonts w:ascii="Arial" w:hAnsi="Arial" w:cs="Arial"/>
          <w:sz w:val="18"/>
          <w:szCs w:val="18"/>
        </w:rPr>
        <w:t xml:space="preserve"> se recaudó la cantidad de $</w:t>
      </w:r>
      <w:r>
        <w:rPr>
          <w:rFonts w:ascii="Arial" w:hAnsi="Arial" w:cs="Arial"/>
          <w:sz w:val="18"/>
          <w:szCs w:val="18"/>
        </w:rPr>
        <w:t xml:space="preserve"> </w:t>
      </w:r>
      <w:r w:rsidR="00CE04CE">
        <w:rPr>
          <w:rFonts w:ascii="Arial" w:hAnsi="Arial" w:cs="Arial"/>
          <w:sz w:val="18"/>
          <w:szCs w:val="18"/>
        </w:rPr>
        <w:t>32</w:t>
      </w:r>
      <w:r w:rsidR="00FE75AC">
        <w:rPr>
          <w:rFonts w:ascii="Arial" w:hAnsi="Arial" w:cs="Arial"/>
          <w:sz w:val="18"/>
          <w:szCs w:val="18"/>
        </w:rPr>
        <w:t>5</w:t>
      </w:r>
      <w:r>
        <w:rPr>
          <w:rFonts w:ascii="Arial" w:hAnsi="Arial" w:cs="Arial"/>
          <w:sz w:val="18"/>
          <w:szCs w:val="18"/>
        </w:rPr>
        <w:t>,</w:t>
      </w:r>
      <w:r w:rsidR="00CE04CE">
        <w:rPr>
          <w:rFonts w:ascii="Arial" w:hAnsi="Arial" w:cs="Arial"/>
          <w:sz w:val="18"/>
          <w:szCs w:val="18"/>
        </w:rPr>
        <w:t>862</w:t>
      </w:r>
      <w:r>
        <w:rPr>
          <w:rFonts w:ascii="Arial" w:hAnsi="Arial" w:cs="Arial"/>
          <w:sz w:val="18"/>
          <w:szCs w:val="18"/>
        </w:rPr>
        <w:t>,</w:t>
      </w:r>
      <w:r w:rsidR="00CE04CE">
        <w:rPr>
          <w:rFonts w:ascii="Arial" w:hAnsi="Arial" w:cs="Arial"/>
          <w:sz w:val="18"/>
          <w:szCs w:val="18"/>
        </w:rPr>
        <w:t>334</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CE04CE">
        <w:rPr>
          <w:rFonts w:ascii="Arial" w:hAnsi="Arial" w:cs="Arial"/>
          <w:sz w:val="18"/>
          <w:szCs w:val="18"/>
        </w:rPr>
        <w:t>305</w:t>
      </w:r>
      <w:r w:rsidR="00E004F0">
        <w:rPr>
          <w:rFonts w:ascii="Arial" w:hAnsi="Arial" w:cs="Arial"/>
          <w:sz w:val="18"/>
          <w:szCs w:val="18"/>
        </w:rPr>
        <w:t>,</w:t>
      </w:r>
      <w:r w:rsidR="00CE04CE">
        <w:rPr>
          <w:rFonts w:ascii="Arial" w:hAnsi="Arial" w:cs="Arial"/>
          <w:sz w:val="18"/>
          <w:szCs w:val="18"/>
        </w:rPr>
        <w:t>722</w:t>
      </w:r>
      <w:r>
        <w:rPr>
          <w:rFonts w:ascii="Arial" w:hAnsi="Arial" w:cs="Arial"/>
          <w:sz w:val="18"/>
          <w:szCs w:val="18"/>
        </w:rPr>
        <w:t>,</w:t>
      </w:r>
      <w:r w:rsidR="00CE04CE">
        <w:rPr>
          <w:rFonts w:ascii="Arial" w:hAnsi="Arial" w:cs="Arial"/>
          <w:sz w:val="18"/>
          <w:szCs w:val="18"/>
        </w:rPr>
        <w:t>521</w:t>
      </w:r>
      <w:r>
        <w:rPr>
          <w:rFonts w:ascii="Arial" w:hAnsi="Arial" w:cs="Arial"/>
          <w:sz w:val="18"/>
          <w:szCs w:val="18"/>
        </w:rPr>
        <w:t>; sobre la Producción, el Consumo y las transacciones por un importe de $</w:t>
      </w:r>
      <w:r w:rsidR="00192770">
        <w:rPr>
          <w:rFonts w:ascii="Arial" w:hAnsi="Arial" w:cs="Arial"/>
          <w:sz w:val="18"/>
          <w:szCs w:val="18"/>
        </w:rPr>
        <w:t xml:space="preserve"> </w:t>
      </w:r>
      <w:r w:rsidR="00CE04CE">
        <w:rPr>
          <w:rFonts w:ascii="Arial" w:hAnsi="Arial" w:cs="Arial"/>
          <w:sz w:val="18"/>
          <w:szCs w:val="18"/>
        </w:rPr>
        <w:t>15</w:t>
      </w:r>
      <w:r>
        <w:rPr>
          <w:rFonts w:ascii="Arial" w:hAnsi="Arial" w:cs="Arial"/>
          <w:sz w:val="18"/>
          <w:szCs w:val="18"/>
        </w:rPr>
        <w:t>,</w:t>
      </w:r>
      <w:r w:rsidR="00CE04CE">
        <w:rPr>
          <w:rFonts w:ascii="Arial" w:hAnsi="Arial" w:cs="Arial"/>
          <w:sz w:val="18"/>
          <w:szCs w:val="18"/>
        </w:rPr>
        <w:t>550</w:t>
      </w:r>
      <w:r>
        <w:rPr>
          <w:rFonts w:ascii="Arial" w:hAnsi="Arial" w:cs="Arial"/>
          <w:sz w:val="18"/>
          <w:szCs w:val="18"/>
        </w:rPr>
        <w:t>,</w:t>
      </w:r>
      <w:r w:rsidR="00CE04CE">
        <w:rPr>
          <w:rFonts w:ascii="Arial" w:hAnsi="Arial" w:cs="Arial"/>
          <w:sz w:val="18"/>
          <w:szCs w:val="18"/>
        </w:rPr>
        <w:t>633</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CE04CE">
        <w:rPr>
          <w:rFonts w:ascii="Arial" w:hAnsi="Arial" w:cs="Arial"/>
          <w:sz w:val="18"/>
          <w:szCs w:val="18"/>
        </w:rPr>
        <w:t>2</w:t>
      </w:r>
      <w:r>
        <w:rPr>
          <w:rFonts w:ascii="Arial" w:hAnsi="Arial" w:cs="Arial"/>
          <w:sz w:val="18"/>
          <w:szCs w:val="18"/>
        </w:rPr>
        <w:t>,</w:t>
      </w:r>
      <w:r w:rsidR="00CE04CE">
        <w:rPr>
          <w:rFonts w:ascii="Arial" w:hAnsi="Arial" w:cs="Arial"/>
          <w:sz w:val="18"/>
          <w:szCs w:val="18"/>
        </w:rPr>
        <w:t>139</w:t>
      </w:r>
      <w:r>
        <w:rPr>
          <w:rFonts w:ascii="Arial" w:hAnsi="Arial" w:cs="Arial"/>
          <w:sz w:val="18"/>
          <w:szCs w:val="18"/>
        </w:rPr>
        <w:t>,</w:t>
      </w:r>
      <w:r w:rsidR="00CE04CE">
        <w:rPr>
          <w:rFonts w:ascii="Arial" w:hAnsi="Arial" w:cs="Arial"/>
          <w:sz w:val="18"/>
          <w:szCs w:val="18"/>
        </w:rPr>
        <w:t>502</w:t>
      </w:r>
      <w:r w:rsidR="00E004F0">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CE04CE">
        <w:rPr>
          <w:rFonts w:ascii="Arial" w:hAnsi="Arial" w:cs="Arial"/>
          <w:sz w:val="18"/>
          <w:szCs w:val="18"/>
        </w:rPr>
        <w:t>junio</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CE04CE">
        <w:rPr>
          <w:rFonts w:ascii="Arial" w:hAnsi="Arial" w:cs="Arial"/>
          <w:sz w:val="18"/>
          <w:szCs w:val="18"/>
        </w:rPr>
        <w:t>267</w:t>
      </w:r>
      <w:r>
        <w:rPr>
          <w:rFonts w:ascii="Arial" w:hAnsi="Arial" w:cs="Arial"/>
          <w:sz w:val="18"/>
          <w:szCs w:val="18"/>
        </w:rPr>
        <w:t>,</w:t>
      </w:r>
      <w:r w:rsidR="00CE04CE">
        <w:rPr>
          <w:rFonts w:ascii="Arial" w:hAnsi="Arial" w:cs="Arial"/>
          <w:sz w:val="18"/>
          <w:szCs w:val="18"/>
        </w:rPr>
        <w:t>310</w:t>
      </w:r>
      <w:r>
        <w:rPr>
          <w:rFonts w:ascii="Arial" w:hAnsi="Arial" w:cs="Arial"/>
          <w:sz w:val="18"/>
          <w:szCs w:val="18"/>
        </w:rPr>
        <w:t>,</w:t>
      </w:r>
      <w:r w:rsidR="00CE04CE">
        <w:rPr>
          <w:rFonts w:ascii="Arial" w:hAnsi="Arial" w:cs="Arial"/>
          <w:sz w:val="18"/>
          <w:szCs w:val="18"/>
        </w:rPr>
        <w:t>144</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C55BBF">
        <w:rPr>
          <w:rFonts w:ascii="Arial" w:hAnsi="Arial" w:cs="Arial"/>
          <w:sz w:val="18"/>
          <w:szCs w:val="18"/>
        </w:rPr>
        <w:t>marzo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Pr="00502DDD">
        <w:rPr>
          <w:rFonts w:ascii="Arial" w:hAnsi="Arial" w:cs="Arial"/>
          <w:sz w:val="18"/>
          <w:szCs w:val="18"/>
        </w:rPr>
        <w:t xml:space="preserve"> </w:t>
      </w:r>
      <w:r w:rsidR="008A5B22">
        <w:rPr>
          <w:rFonts w:ascii="Arial" w:hAnsi="Arial" w:cs="Arial"/>
          <w:sz w:val="18"/>
          <w:szCs w:val="18"/>
        </w:rPr>
        <w:t>71</w:t>
      </w:r>
      <w:r w:rsidRPr="00502DDD">
        <w:rPr>
          <w:rFonts w:ascii="Arial" w:hAnsi="Arial" w:cs="Arial"/>
          <w:sz w:val="18"/>
          <w:szCs w:val="18"/>
        </w:rPr>
        <w:t>,</w:t>
      </w:r>
      <w:r w:rsidR="008A5B22">
        <w:rPr>
          <w:rFonts w:ascii="Arial" w:hAnsi="Arial" w:cs="Arial"/>
          <w:sz w:val="18"/>
          <w:szCs w:val="18"/>
        </w:rPr>
        <w:t>058</w:t>
      </w:r>
      <w:r w:rsidRPr="00502DDD">
        <w:rPr>
          <w:rFonts w:ascii="Arial" w:hAnsi="Arial" w:cs="Arial"/>
          <w:sz w:val="18"/>
          <w:szCs w:val="18"/>
        </w:rPr>
        <w:t>,</w:t>
      </w:r>
      <w:r w:rsidR="008A5B22">
        <w:rPr>
          <w:rFonts w:ascii="Arial" w:hAnsi="Arial" w:cs="Arial"/>
          <w:sz w:val="18"/>
          <w:szCs w:val="18"/>
        </w:rPr>
        <w:t>381</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A852D6">
        <w:rPr>
          <w:rFonts w:ascii="Arial" w:hAnsi="Arial" w:cs="Arial"/>
          <w:sz w:val="18"/>
          <w:szCs w:val="18"/>
        </w:rPr>
        <w:t>juni</w:t>
      </w:r>
      <w:r w:rsidR="00C55BBF">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C55BBF">
        <w:rPr>
          <w:rFonts w:ascii="Arial" w:hAnsi="Arial" w:cs="Arial"/>
          <w:sz w:val="18"/>
          <w:szCs w:val="18"/>
        </w:rPr>
        <w:t>1</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C55BBF">
        <w:rPr>
          <w:rFonts w:ascii="Arial" w:hAnsi="Arial" w:cs="Arial"/>
          <w:sz w:val="18"/>
          <w:szCs w:val="18"/>
        </w:rPr>
        <w:t>371</w:t>
      </w:r>
      <w:r>
        <w:rPr>
          <w:rFonts w:ascii="Arial" w:hAnsi="Arial" w:cs="Arial"/>
          <w:sz w:val="18"/>
          <w:szCs w:val="18"/>
        </w:rPr>
        <w:t>,</w:t>
      </w:r>
      <w:r w:rsidR="00C55BBF">
        <w:rPr>
          <w:rFonts w:ascii="Arial" w:hAnsi="Arial" w:cs="Arial"/>
          <w:sz w:val="18"/>
          <w:szCs w:val="18"/>
        </w:rPr>
        <w:t>203</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A852D6">
        <w:rPr>
          <w:rFonts w:ascii="Arial" w:hAnsi="Arial" w:cs="Arial"/>
          <w:sz w:val="18"/>
          <w:szCs w:val="18"/>
        </w:rPr>
        <w:t>58</w:t>
      </w:r>
      <w:r>
        <w:rPr>
          <w:rFonts w:ascii="Arial" w:hAnsi="Arial" w:cs="Arial"/>
          <w:sz w:val="18"/>
          <w:szCs w:val="18"/>
        </w:rPr>
        <w:t>,</w:t>
      </w:r>
      <w:r w:rsidR="00A852D6">
        <w:rPr>
          <w:rFonts w:ascii="Arial" w:hAnsi="Arial" w:cs="Arial"/>
          <w:sz w:val="18"/>
          <w:szCs w:val="18"/>
        </w:rPr>
        <w:t>130</w:t>
      </w:r>
      <w:r>
        <w:rPr>
          <w:rFonts w:ascii="Arial" w:hAnsi="Arial" w:cs="Arial"/>
          <w:sz w:val="18"/>
          <w:szCs w:val="18"/>
        </w:rPr>
        <w:t>,</w:t>
      </w:r>
      <w:r w:rsidR="00A852D6">
        <w:rPr>
          <w:rFonts w:ascii="Arial" w:hAnsi="Arial" w:cs="Arial"/>
          <w:sz w:val="18"/>
          <w:szCs w:val="18"/>
        </w:rPr>
        <w:t>020</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A852D6">
        <w:rPr>
          <w:rFonts w:ascii="Arial" w:hAnsi="Arial" w:cs="Arial"/>
          <w:sz w:val="18"/>
          <w:szCs w:val="18"/>
        </w:rPr>
        <w:t>10</w:t>
      </w:r>
      <w:r>
        <w:rPr>
          <w:rFonts w:ascii="Arial" w:hAnsi="Arial" w:cs="Arial"/>
          <w:sz w:val="18"/>
          <w:szCs w:val="18"/>
        </w:rPr>
        <w:t>,</w:t>
      </w:r>
      <w:r w:rsidR="00A852D6">
        <w:rPr>
          <w:rFonts w:ascii="Arial" w:hAnsi="Arial" w:cs="Arial"/>
          <w:sz w:val="18"/>
          <w:szCs w:val="18"/>
        </w:rPr>
        <w:t>863</w:t>
      </w:r>
      <w:r>
        <w:rPr>
          <w:rFonts w:ascii="Arial" w:hAnsi="Arial" w:cs="Arial"/>
          <w:sz w:val="18"/>
          <w:szCs w:val="18"/>
        </w:rPr>
        <w:t>,</w:t>
      </w:r>
      <w:r w:rsidR="00A852D6">
        <w:rPr>
          <w:rFonts w:ascii="Arial" w:hAnsi="Arial" w:cs="Arial"/>
          <w:sz w:val="18"/>
          <w:szCs w:val="18"/>
        </w:rPr>
        <w:t>081</w:t>
      </w:r>
      <w:r>
        <w:rPr>
          <w:rFonts w:ascii="Arial" w:hAnsi="Arial" w:cs="Arial"/>
          <w:sz w:val="18"/>
          <w:szCs w:val="18"/>
        </w:rPr>
        <w:t>,</w:t>
      </w:r>
      <w:r w:rsidR="00A852D6">
        <w:rPr>
          <w:rFonts w:ascii="Arial" w:hAnsi="Arial" w:cs="Arial"/>
          <w:sz w:val="18"/>
          <w:szCs w:val="18"/>
        </w:rPr>
        <w:t>814</w:t>
      </w:r>
      <w:r>
        <w:rPr>
          <w:rFonts w:ascii="Arial" w:hAnsi="Arial" w:cs="Arial"/>
          <w:sz w:val="18"/>
          <w:szCs w:val="18"/>
        </w:rPr>
        <w:t xml:space="preserve"> al mes de </w:t>
      </w:r>
      <w:r w:rsidR="00A852D6">
        <w:rPr>
          <w:rFonts w:ascii="Arial" w:hAnsi="Arial" w:cs="Arial"/>
          <w:sz w:val="18"/>
          <w:szCs w:val="18"/>
        </w:rPr>
        <w:t>juni</w:t>
      </w:r>
      <w:r w:rsidR="005D296A">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5D296A">
        <w:rPr>
          <w:rFonts w:ascii="Arial" w:hAnsi="Arial" w:cs="Arial"/>
          <w:sz w:val="18"/>
          <w:szCs w:val="18"/>
        </w:rPr>
        <w:t>1</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A852D6">
        <w:rPr>
          <w:rFonts w:ascii="Arial" w:hAnsi="Arial" w:cs="Arial"/>
          <w:sz w:val="18"/>
          <w:szCs w:val="18"/>
        </w:rPr>
        <w:t>5</w:t>
      </w:r>
      <w:r>
        <w:rPr>
          <w:rFonts w:ascii="Arial" w:hAnsi="Arial" w:cs="Arial"/>
          <w:sz w:val="18"/>
          <w:szCs w:val="18"/>
        </w:rPr>
        <w:t>,</w:t>
      </w:r>
      <w:r w:rsidR="00A852D6">
        <w:rPr>
          <w:rFonts w:ascii="Arial" w:hAnsi="Arial" w:cs="Arial"/>
          <w:sz w:val="18"/>
          <w:szCs w:val="18"/>
        </w:rPr>
        <w:t>240</w:t>
      </w:r>
      <w:r>
        <w:rPr>
          <w:rFonts w:ascii="Arial" w:hAnsi="Arial" w:cs="Arial"/>
          <w:sz w:val="18"/>
          <w:szCs w:val="18"/>
        </w:rPr>
        <w:t>,</w:t>
      </w:r>
      <w:r w:rsidR="00A852D6">
        <w:rPr>
          <w:rFonts w:ascii="Arial" w:hAnsi="Arial" w:cs="Arial"/>
          <w:sz w:val="18"/>
          <w:szCs w:val="18"/>
        </w:rPr>
        <w:t>359</w:t>
      </w:r>
      <w:r>
        <w:rPr>
          <w:rFonts w:ascii="Arial" w:hAnsi="Arial" w:cs="Arial"/>
          <w:sz w:val="18"/>
          <w:szCs w:val="18"/>
        </w:rPr>
        <w:t>,</w:t>
      </w:r>
      <w:r w:rsidR="00A852D6">
        <w:rPr>
          <w:rFonts w:ascii="Arial" w:hAnsi="Arial" w:cs="Arial"/>
          <w:sz w:val="18"/>
          <w:szCs w:val="18"/>
        </w:rPr>
        <w:t>368</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w:t>
      </w:r>
      <w:r w:rsidR="00703446">
        <w:rPr>
          <w:rFonts w:ascii="Arial" w:hAnsi="Arial" w:cs="Arial"/>
          <w:sz w:val="18"/>
          <w:szCs w:val="18"/>
        </w:rPr>
        <w:t>1</w:t>
      </w:r>
      <w:r>
        <w:rPr>
          <w:rFonts w:ascii="Arial" w:hAnsi="Arial" w:cs="Arial"/>
          <w:sz w:val="18"/>
          <w:szCs w:val="18"/>
        </w:rPr>
        <w:t xml:space="preserve"> %</w:t>
      </w:r>
      <w:r w:rsidR="001F4B7F">
        <w:rPr>
          <w:rFonts w:ascii="Arial" w:hAnsi="Arial" w:cs="Arial"/>
          <w:sz w:val="18"/>
          <w:szCs w:val="18"/>
        </w:rPr>
        <w:t>, del total de ingresos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proofErr w:type="spellStart"/>
      <w:r w:rsidR="00703446">
        <w:rPr>
          <w:rFonts w:ascii="Arial" w:hAnsi="Arial" w:cs="Arial"/>
          <w:sz w:val="18"/>
          <w:szCs w:val="18"/>
        </w:rPr>
        <w:t>jun</w:t>
      </w:r>
      <w:r w:rsidR="005D296A">
        <w:rPr>
          <w:rFonts w:ascii="Arial" w:hAnsi="Arial" w:cs="Arial"/>
          <w:sz w:val="18"/>
          <w:szCs w:val="18"/>
        </w:rPr>
        <w:t>o</w:t>
      </w:r>
      <w:proofErr w:type="spellEnd"/>
      <w:r>
        <w:rPr>
          <w:rFonts w:ascii="Arial" w:hAnsi="Arial" w:cs="Arial"/>
          <w:sz w:val="18"/>
          <w:szCs w:val="18"/>
        </w:rPr>
        <w:t xml:space="preserve"> de 20</w:t>
      </w:r>
      <w:r w:rsidR="00B27A40">
        <w:rPr>
          <w:rFonts w:ascii="Arial" w:hAnsi="Arial" w:cs="Arial"/>
          <w:sz w:val="18"/>
          <w:szCs w:val="18"/>
        </w:rPr>
        <w:t>2</w:t>
      </w:r>
      <w:r w:rsidR="005D296A">
        <w:rPr>
          <w:rFonts w:ascii="Arial" w:hAnsi="Arial" w:cs="Arial"/>
          <w:sz w:val="18"/>
          <w:szCs w:val="18"/>
        </w:rPr>
        <w:t>1</w:t>
      </w:r>
      <w:r w:rsidR="005F5707">
        <w:rPr>
          <w:rFonts w:ascii="Arial" w:hAnsi="Arial" w:cs="Arial"/>
          <w:sz w:val="18"/>
          <w:szCs w:val="18"/>
        </w:rPr>
        <w:t>sin incluir intereses</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11719" w:type="dxa"/>
        <w:jc w:val="center"/>
        <w:tblCellMar>
          <w:left w:w="70" w:type="dxa"/>
          <w:right w:w="70" w:type="dxa"/>
        </w:tblCellMar>
        <w:tblLook w:val="04A0" w:firstRow="1" w:lastRow="0" w:firstColumn="1" w:lastColumn="0" w:noHBand="0" w:noVBand="1"/>
      </w:tblPr>
      <w:tblGrid>
        <w:gridCol w:w="8222"/>
        <w:gridCol w:w="2126"/>
        <w:gridCol w:w="1371"/>
      </w:tblGrid>
      <w:tr w:rsidR="00AE0E84" w:rsidRPr="00AE0E84" w:rsidTr="00AE0E84">
        <w:trPr>
          <w:trHeight w:val="315"/>
          <w:jc w:val="center"/>
        </w:trPr>
        <w:tc>
          <w:tcPr>
            <w:tcW w:w="8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CONCEPTO</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PORCENTAJE</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DE APORTACIONES PARA LA NOMINA EDUCATIVA</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703446"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1,905,166,362</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3F4574" w:rsidP="003F4574">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42.8</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LOS SERVICIOS DE SALUD</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703446"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941,591,415</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080D6B" w:rsidP="00D10F9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D10F96">
              <w:rPr>
                <w:rFonts w:ascii="Arial" w:eastAsia="Times New Roman" w:hAnsi="Arial" w:cs="Arial"/>
                <w:color w:val="000000"/>
                <w:sz w:val="18"/>
                <w:szCs w:val="18"/>
                <w:lang w:eastAsia="es-MX"/>
              </w:rPr>
              <w:t>1</w:t>
            </w:r>
            <w:r>
              <w:rPr>
                <w:rFonts w:ascii="Arial" w:eastAsia="Times New Roman" w:hAnsi="Arial" w:cs="Arial"/>
                <w:color w:val="000000"/>
                <w:sz w:val="18"/>
                <w:szCs w:val="18"/>
                <w:lang w:eastAsia="es-MX"/>
              </w:rPr>
              <w:t>.</w:t>
            </w:r>
            <w:r w:rsidR="00D10F96">
              <w:rPr>
                <w:rFonts w:ascii="Arial" w:eastAsia="Times New Roman" w:hAnsi="Arial" w:cs="Arial"/>
                <w:color w:val="000000"/>
                <w:sz w:val="18"/>
                <w:szCs w:val="18"/>
                <w:lang w:eastAsia="es-MX"/>
              </w:rPr>
              <w:t>2</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ESTATAL)</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703446"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65,146,362</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080D6B" w:rsidP="00D10F9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D10F96">
              <w:rPr>
                <w:rFonts w:ascii="Arial" w:eastAsia="Times New Roman" w:hAnsi="Arial" w:cs="Arial"/>
                <w:color w:val="000000"/>
                <w:sz w:val="18"/>
                <w:szCs w:val="18"/>
                <w:lang w:eastAsia="es-MX"/>
              </w:rPr>
              <w:t>5</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MUNICIPAL)</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703446" w:rsidP="0070344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472</w:t>
            </w:r>
            <w:r w:rsidR="005D296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282</w:t>
            </w:r>
            <w:r w:rsidR="005D296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488</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D10F96">
              <w:rPr>
                <w:rFonts w:ascii="Arial" w:eastAsia="Times New Roman" w:hAnsi="Arial" w:cs="Arial"/>
                <w:color w:val="000000"/>
                <w:sz w:val="18"/>
                <w:szCs w:val="18"/>
                <w:lang w:eastAsia="es-MX"/>
              </w:rPr>
              <w:t>0.6</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FORTAMUN</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703446"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453,424,338</w:t>
            </w:r>
          </w:p>
        </w:tc>
        <w:tc>
          <w:tcPr>
            <w:tcW w:w="1371" w:type="dxa"/>
            <w:tcBorders>
              <w:top w:val="nil"/>
              <w:left w:val="nil"/>
              <w:bottom w:val="single" w:sz="8" w:space="0" w:color="auto"/>
              <w:right w:val="single" w:sz="8" w:space="0" w:color="auto"/>
            </w:tcBorders>
            <w:shd w:val="clear" w:color="auto" w:fill="auto"/>
            <w:noWrap/>
            <w:vAlign w:val="center"/>
          </w:tcPr>
          <w:p w:rsidR="000B552D"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D10F96">
              <w:rPr>
                <w:rFonts w:ascii="Arial" w:eastAsia="Times New Roman" w:hAnsi="Arial" w:cs="Arial"/>
                <w:color w:val="000000"/>
                <w:sz w:val="18"/>
                <w:szCs w:val="18"/>
                <w:lang w:eastAsia="es-MX"/>
              </w:rPr>
              <w:t>0.2</w:t>
            </w:r>
          </w:p>
        </w:tc>
      </w:tr>
      <w:tr w:rsidR="00E828CB"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E828CB" w:rsidRPr="00AE0E84" w:rsidRDefault="00E828CB" w:rsidP="00E828CB">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FAM</w:t>
            </w:r>
          </w:p>
        </w:tc>
        <w:tc>
          <w:tcPr>
            <w:tcW w:w="2126" w:type="dxa"/>
            <w:tcBorders>
              <w:top w:val="nil"/>
              <w:left w:val="nil"/>
              <w:bottom w:val="single" w:sz="8" w:space="0" w:color="auto"/>
              <w:right w:val="single" w:sz="8" w:space="0" w:color="auto"/>
            </w:tcBorders>
            <w:shd w:val="clear" w:color="auto" w:fill="auto"/>
            <w:noWrap/>
            <w:vAlign w:val="center"/>
          </w:tcPr>
          <w:p w:rsidR="00E828CB" w:rsidRPr="00AE0E84" w:rsidRDefault="00703446"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158,396,760</w:t>
            </w:r>
          </w:p>
        </w:tc>
        <w:tc>
          <w:tcPr>
            <w:tcW w:w="1371" w:type="dxa"/>
            <w:tcBorders>
              <w:top w:val="nil"/>
              <w:left w:val="nil"/>
              <w:bottom w:val="single" w:sz="8" w:space="0" w:color="auto"/>
              <w:right w:val="single" w:sz="8" w:space="0" w:color="auto"/>
            </w:tcBorders>
            <w:shd w:val="clear" w:color="auto" w:fill="auto"/>
            <w:noWrap/>
            <w:vAlign w:val="center"/>
          </w:tcPr>
          <w:p w:rsidR="00E828CB" w:rsidRPr="00AE0E84" w:rsidRDefault="00D10F96"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TECNOLOGICA)</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703446"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23,335,249</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D10F96">
              <w:rPr>
                <w:rFonts w:ascii="Arial" w:eastAsia="Times New Roman" w:hAnsi="Arial" w:cs="Arial"/>
                <w:color w:val="000000"/>
                <w:sz w:val="18"/>
                <w:szCs w:val="18"/>
                <w:lang w:eastAsia="es-MX"/>
              </w:rPr>
              <w:t>.5</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DE ADULTOS ITEA)</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703446"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23,709,949</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D10F96">
              <w:rPr>
                <w:rFonts w:ascii="Arial" w:eastAsia="Times New Roman" w:hAnsi="Arial" w:cs="Arial"/>
                <w:color w:val="000000"/>
                <w:sz w:val="18"/>
                <w:szCs w:val="18"/>
                <w:lang w:eastAsia="es-MX"/>
              </w:rPr>
              <w:t>.5</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LA SEGURIDAD PUBLICA</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703446"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97,986,954</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D10F96">
              <w:rPr>
                <w:rFonts w:ascii="Arial" w:eastAsia="Times New Roman" w:hAnsi="Arial" w:cs="Arial"/>
                <w:color w:val="000000"/>
                <w:sz w:val="18"/>
                <w:szCs w:val="18"/>
                <w:lang w:eastAsia="es-MX"/>
              </w:rPr>
              <w:t>2</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EL FORTALECIMIENTO DE ENTIDADES FEDERATIVAS</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3F4574"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305,236,554</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D10F96"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6.9</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TOTAL</w:t>
            </w:r>
          </w:p>
        </w:tc>
        <w:tc>
          <w:tcPr>
            <w:tcW w:w="2126" w:type="dxa"/>
            <w:tcBorders>
              <w:top w:val="nil"/>
              <w:left w:val="nil"/>
              <w:bottom w:val="single" w:sz="8" w:space="0" w:color="auto"/>
              <w:right w:val="single" w:sz="8" w:space="0" w:color="auto"/>
            </w:tcBorders>
            <w:shd w:val="clear" w:color="auto" w:fill="auto"/>
            <w:noWrap/>
            <w:vAlign w:val="bottom"/>
            <w:hideMark/>
          </w:tcPr>
          <w:p w:rsidR="00AE0E84" w:rsidRPr="00AE0E84" w:rsidRDefault="00AE0E84" w:rsidP="003F4574">
            <w:pPr>
              <w:spacing w:after="0" w:line="240" w:lineRule="auto"/>
              <w:jc w:val="right"/>
              <w:rPr>
                <w:rFonts w:ascii="Calibri" w:eastAsia="Times New Roman" w:hAnsi="Calibri" w:cs="Calibri"/>
                <w:color w:val="000000"/>
                <w:lang w:eastAsia="es-MX"/>
              </w:rPr>
            </w:pPr>
            <w:r w:rsidRPr="00AE0E84">
              <w:rPr>
                <w:rFonts w:ascii="Calibri" w:eastAsia="Times New Roman" w:hAnsi="Calibri" w:cs="Calibri"/>
                <w:color w:val="000000"/>
                <w:lang w:eastAsia="es-MX"/>
              </w:rPr>
              <w:t xml:space="preserve">   </w:t>
            </w:r>
            <w:r w:rsidR="003F4574">
              <w:rPr>
                <w:rFonts w:ascii="Calibri" w:eastAsia="Times New Roman" w:hAnsi="Calibri" w:cs="Calibri"/>
                <w:color w:val="000000"/>
                <w:lang w:eastAsia="es-MX"/>
              </w:rPr>
              <w:t>4</w:t>
            </w:r>
            <w:r w:rsidRPr="00AE0E84">
              <w:rPr>
                <w:rFonts w:ascii="Calibri" w:eastAsia="Times New Roman" w:hAnsi="Calibri" w:cs="Calibri"/>
                <w:color w:val="000000"/>
                <w:lang w:eastAsia="es-MX"/>
              </w:rPr>
              <w:t>,</w:t>
            </w:r>
            <w:r w:rsidR="003F4574">
              <w:rPr>
                <w:rFonts w:ascii="Calibri" w:eastAsia="Times New Roman" w:hAnsi="Calibri" w:cs="Calibri"/>
                <w:color w:val="000000"/>
                <w:lang w:eastAsia="es-MX"/>
              </w:rPr>
              <w:t>446</w:t>
            </w:r>
            <w:r w:rsidRPr="00AE0E84">
              <w:rPr>
                <w:rFonts w:ascii="Calibri" w:eastAsia="Times New Roman" w:hAnsi="Calibri" w:cs="Calibri"/>
                <w:color w:val="000000"/>
                <w:lang w:eastAsia="es-MX"/>
              </w:rPr>
              <w:t>,</w:t>
            </w:r>
            <w:r w:rsidR="003F4574">
              <w:rPr>
                <w:rFonts w:ascii="Calibri" w:eastAsia="Times New Roman" w:hAnsi="Calibri" w:cs="Calibri"/>
                <w:color w:val="000000"/>
                <w:lang w:eastAsia="es-MX"/>
              </w:rPr>
              <w:t>276</w:t>
            </w:r>
            <w:r w:rsidRPr="00AE0E84">
              <w:rPr>
                <w:rFonts w:ascii="Calibri" w:eastAsia="Times New Roman" w:hAnsi="Calibri" w:cs="Calibri"/>
                <w:color w:val="000000"/>
                <w:lang w:eastAsia="es-MX"/>
              </w:rPr>
              <w:t>,</w:t>
            </w:r>
            <w:r w:rsidR="003F4574">
              <w:rPr>
                <w:rFonts w:ascii="Calibri" w:eastAsia="Times New Roman" w:hAnsi="Calibri" w:cs="Calibri"/>
                <w:color w:val="000000"/>
                <w:lang w:eastAsia="es-MX"/>
              </w:rPr>
              <w:t>431</w:t>
            </w:r>
            <w:r w:rsidRPr="00AE0E84">
              <w:rPr>
                <w:rFonts w:ascii="Calibri" w:eastAsia="Times New Roman" w:hAnsi="Calibri" w:cs="Calibri"/>
                <w:color w:val="000000"/>
                <w:lang w:eastAsia="es-MX"/>
              </w:rPr>
              <w:t xml:space="preserve">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AE0E84" w:rsidRDefault="00AE0E84" w:rsidP="00134F21">
      <w:pPr>
        <w:tabs>
          <w:tab w:val="left" w:pos="284"/>
        </w:tabs>
        <w:spacing w:after="0"/>
        <w:ind w:left="284"/>
        <w:jc w:val="both"/>
        <w:rPr>
          <w:rFonts w:ascii="Arial" w:hAnsi="Arial" w:cs="Arial"/>
          <w:sz w:val="18"/>
          <w:szCs w:val="18"/>
        </w:rPr>
      </w:pPr>
    </w:p>
    <w:p w:rsidR="00134F21" w:rsidRDefault="00134F21" w:rsidP="00134F2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D10F96">
        <w:rPr>
          <w:rFonts w:ascii="Arial" w:hAnsi="Arial" w:cs="Arial"/>
          <w:sz w:val="18"/>
          <w:szCs w:val="18"/>
        </w:rPr>
        <w:t>juni</w:t>
      </w:r>
      <w:r w:rsidR="001340E0">
        <w:rPr>
          <w:rFonts w:ascii="Arial" w:hAnsi="Arial" w:cs="Arial"/>
          <w:sz w:val="18"/>
          <w:szCs w:val="18"/>
        </w:rPr>
        <w:t>o</w:t>
      </w:r>
      <w:r>
        <w:rPr>
          <w:rFonts w:ascii="Arial" w:hAnsi="Arial" w:cs="Arial"/>
          <w:sz w:val="18"/>
          <w:szCs w:val="18"/>
        </w:rPr>
        <w:t xml:space="preserve"> del ejercicio 20</w:t>
      </w:r>
      <w:r w:rsidR="001340E0">
        <w:rPr>
          <w:rFonts w:ascii="Arial" w:hAnsi="Arial" w:cs="Arial"/>
          <w:sz w:val="18"/>
          <w:szCs w:val="18"/>
        </w:rPr>
        <w:t>21</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D10F96">
        <w:rPr>
          <w:rFonts w:ascii="Arial" w:hAnsi="Arial" w:cs="Arial"/>
          <w:sz w:val="18"/>
          <w:szCs w:val="18"/>
        </w:rPr>
        <w:t>1,348</w:t>
      </w:r>
      <w:r>
        <w:rPr>
          <w:rFonts w:ascii="Arial" w:hAnsi="Arial" w:cs="Arial"/>
          <w:sz w:val="18"/>
          <w:szCs w:val="18"/>
        </w:rPr>
        <w:t>,</w:t>
      </w:r>
      <w:r w:rsidR="00D10F96">
        <w:rPr>
          <w:rFonts w:ascii="Arial" w:hAnsi="Arial" w:cs="Arial"/>
          <w:sz w:val="18"/>
          <w:szCs w:val="18"/>
        </w:rPr>
        <w:t>947</w:t>
      </w:r>
      <w:r w:rsidR="009F5E29">
        <w:rPr>
          <w:rFonts w:ascii="Arial" w:hAnsi="Arial" w:cs="Arial"/>
          <w:sz w:val="18"/>
          <w:szCs w:val="18"/>
        </w:rPr>
        <w:t>,</w:t>
      </w:r>
      <w:r w:rsidR="00D10F96">
        <w:rPr>
          <w:rFonts w:ascii="Arial" w:hAnsi="Arial" w:cs="Arial"/>
          <w:sz w:val="18"/>
          <w:szCs w:val="18"/>
        </w:rPr>
        <w:t>017</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032921" w:rsidRDefault="00032921"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D10F96">
        <w:rPr>
          <w:rFonts w:ascii="Arial" w:hAnsi="Arial" w:cs="Arial"/>
          <w:sz w:val="18"/>
          <w:szCs w:val="18"/>
        </w:rPr>
        <w:t>segundo</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5F5707">
        <w:rPr>
          <w:rFonts w:ascii="Arial" w:hAnsi="Arial" w:cs="Arial"/>
          <w:sz w:val="18"/>
          <w:szCs w:val="18"/>
        </w:rPr>
        <w:t>1</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D10F96">
        <w:rPr>
          <w:rFonts w:ascii="Arial" w:hAnsi="Arial" w:cs="Arial"/>
          <w:sz w:val="18"/>
          <w:szCs w:val="18"/>
        </w:rPr>
        <w:t>juni</w:t>
      </w:r>
      <w:r w:rsidR="005F5707">
        <w:rPr>
          <w:rFonts w:ascii="Arial" w:hAnsi="Arial" w:cs="Arial"/>
          <w:sz w:val="18"/>
          <w:szCs w:val="18"/>
        </w:rPr>
        <w:t>o</w:t>
      </w:r>
      <w:r w:rsidR="00134F21">
        <w:rPr>
          <w:rFonts w:ascii="Arial" w:hAnsi="Arial" w:cs="Arial"/>
          <w:sz w:val="18"/>
          <w:szCs w:val="18"/>
        </w:rPr>
        <w:t xml:space="preserve"> por este concepto un monto de $ </w:t>
      </w:r>
      <w:r w:rsidR="00D10F96">
        <w:rPr>
          <w:rFonts w:ascii="Arial" w:hAnsi="Arial" w:cs="Arial"/>
          <w:sz w:val="18"/>
          <w:szCs w:val="18"/>
        </w:rPr>
        <w:t>1,196</w:t>
      </w:r>
      <w:r w:rsidR="00134F21">
        <w:rPr>
          <w:rFonts w:ascii="Arial" w:hAnsi="Arial" w:cs="Arial"/>
          <w:sz w:val="18"/>
          <w:szCs w:val="18"/>
        </w:rPr>
        <w:t>,</w:t>
      </w:r>
      <w:r w:rsidR="00D10F96">
        <w:rPr>
          <w:rFonts w:ascii="Arial" w:hAnsi="Arial" w:cs="Arial"/>
          <w:sz w:val="18"/>
          <w:szCs w:val="18"/>
        </w:rPr>
        <w:t>744</w:t>
      </w:r>
      <w:r w:rsidR="00134F21">
        <w:rPr>
          <w:rFonts w:ascii="Arial" w:hAnsi="Arial" w:cs="Arial"/>
          <w:sz w:val="18"/>
          <w:szCs w:val="18"/>
        </w:rPr>
        <w:t>,</w:t>
      </w:r>
      <w:r w:rsidR="00D10F96">
        <w:rPr>
          <w:rFonts w:ascii="Arial" w:hAnsi="Arial" w:cs="Arial"/>
          <w:sz w:val="18"/>
          <w:szCs w:val="18"/>
        </w:rPr>
        <w:t>324</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5F5707">
        <w:rPr>
          <w:rFonts w:ascii="Arial" w:hAnsi="Arial" w:cs="Arial"/>
          <w:sz w:val="18"/>
          <w:szCs w:val="18"/>
        </w:rPr>
        <w:t>7</w:t>
      </w:r>
      <w:r w:rsidR="00D10F96">
        <w:rPr>
          <w:rFonts w:ascii="Arial" w:hAnsi="Arial" w:cs="Arial"/>
          <w:sz w:val="18"/>
          <w:szCs w:val="18"/>
        </w:rPr>
        <w:t>8</w:t>
      </w:r>
      <w:r>
        <w:rPr>
          <w:rFonts w:ascii="Arial" w:hAnsi="Arial" w:cs="Arial"/>
          <w:sz w:val="18"/>
          <w:szCs w:val="18"/>
        </w:rPr>
        <w:t>,</w:t>
      </w:r>
      <w:r w:rsidR="00D10F96">
        <w:rPr>
          <w:rFonts w:ascii="Arial" w:hAnsi="Arial" w:cs="Arial"/>
          <w:sz w:val="18"/>
          <w:szCs w:val="18"/>
        </w:rPr>
        <w:t>407</w:t>
      </w:r>
      <w:r>
        <w:rPr>
          <w:rFonts w:ascii="Arial" w:hAnsi="Arial" w:cs="Arial"/>
          <w:sz w:val="18"/>
          <w:szCs w:val="18"/>
        </w:rPr>
        <w:t>,</w:t>
      </w:r>
      <w:r w:rsidR="00E57C06">
        <w:rPr>
          <w:rFonts w:ascii="Arial" w:hAnsi="Arial" w:cs="Arial"/>
          <w:sz w:val="18"/>
          <w:szCs w:val="18"/>
        </w:rPr>
        <w:t>961</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E57C06">
        <w:rPr>
          <w:rFonts w:ascii="Arial" w:hAnsi="Arial" w:cs="Arial"/>
          <w:sz w:val="18"/>
          <w:szCs w:val="18"/>
        </w:rPr>
        <w:t>juni</w:t>
      </w:r>
      <w:r w:rsidR="005F5707">
        <w:rPr>
          <w:rFonts w:ascii="Arial" w:hAnsi="Arial" w:cs="Arial"/>
          <w:sz w:val="18"/>
          <w:szCs w:val="18"/>
        </w:rPr>
        <w:t>o</w:t>
      </w:r>
      <w:r>
        <w:rPr>
          <w:rFonts w:ascii="Arial" w:hAnsi="Arial" w:cs="Arial"/>
          <w:sz w:val="18"/>
          <w:szCs w:val="18"/>
        </w:rPr>
        <w:t xml:space="preserve"> de 20</w:t>
      </w:r>
      <w:r w:rsidR="00AA16F7">
        <w:rPr>
          <w:rFonts w:ascii="Arial" w:hAnsi="Arial" w:cs="Arial"/>
          <w:sz w:val="18"/>
          <w:szCs w:val="18"/>
        </w:rPr>
        <w:t>2</w:t>
      </w:r>
      <w:r w:rsidR="005F5707">
        <w:rPr>
          <w:rFonts w:ascii="Arial" w:hAnsi="Arial" w:cs="Arial"/>
          <w:sz w:val="18"/>
          <w:szCs w:val="18"/>
        </w:rPr>
        <w:t>1</w:t>
      </w:r>
      <w:r>
        <w:rPr>
          <w:rFonts w:ascii="Arial" w:hAnsi="Arial" w:cs="Arial"/>
          <w:sz w:val="18"/>
          <w:szCs w:val="18"/>
        </w:rPr>
        <w:t xml:space="preserve"> es de $ </w:t>
      </w:r>
      <w:r w:rsidR="00E57C06">
        <w:rPr>
          <w:rFonts w:ascii="Arial" w:hAnsi="Arial" w:cs="Arial"/>
          <w:sz w:val="18"/>
          <w:szCs w:val="18"/>
        </w:rPr>
        <w:t>99</w:t>
      </w:r>
      <w:r w:rsidR="00BA3B1D">
        <w:rPr>
          <w:rFonts w:ascii="Arial" w:hAnsi="Arial" w:cs="Arial"/>
          <w:sz w:val="18"/>
          <w:szCs w:val="18"/>
        </w:rPr>
        <w:t>,</w:t>
      </w:r>
      <w:r w:rsidR="00E57C06">
        <w:rPr>
          <w:rFonts w:ascii="Arial" w:hAnsi="Arial" w:cs="Arial"/>
          <w:sz w:val="18"/>
          <w:szCs w:val="18"/>
        </w:rPr>
        <w:t>578</w:t>
      </w:r>
      <w:r w:rsidR="00BA3B1D">
        <w:rPr>
          <w:rFonts w:ascii="Arial" w:hAnsi="Arial" w:cs="Arial"/>
          <w:sz w:val="18"/>
          <w:szCs w:val="18"/>
        </w:rPr>
        <w:t>,</w:t>
      </w:r>
      <w:r w:rsidR="00E57C06">
        <w:rPr>
          <w:rFonts w:ascii="Arial" w:hAnsi="Arial" w:cs="Arial"/>
          <w:sz w:val="18"/>
          <w:szCs w:val="18"/>
        </w:rPr>
        <w:t>823</w:t>
      </w:r>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proofErr w:type="gramStart"/>
      <w:r>
        <w:rPr>
          <w:rFonts w:ascii="Arial" w:hAnsi="Arial" w:cs="Arial"/>
          <w:sz w:val="18"/>
          <w:szCs w:val="18"/>
        </w:rPr>
        <w:t>que</w:t>
      </w:r>
      <w:proofErr w:type="gramEnd"/>
      <w:r>
        <w:rPr>
          <w:rFonts w:ascii="Arial" w:hAnsi="Arial" w:cs="Arial"/>
          <w:sz w:val="18"/>
          <w:szCs w:val="18"/>
        </w:rPr>
        <w:t xml:space="preserve"> al mes de </w:t>
      </w:r>
      <w:r w:rsidR="00E57C06">
        <w:rPr>
          <w:rFonts w:ascii="Arial" w:hAnsi="Arial" w:cs="Arial"/>
          <w:sz w:val="18"/>
          <w:szCs w:val="18"/>
        </w:rPr>
        <w:t>jun</w:t>
      </w:r>
      <w:r w:rsidR="00125004">
        <w:rPr>
          <w:rFonts w:ascii="Arial" w:hAnsi="Arial" w:cs="Arial"/>
          <w:sz w:val="18"/>
          <w:szCs w:val="18"/>
        </w:rPr>
        <w:t>i</w:t>
      </w:r>
      <w:r w:rsidR="005F5707">
        <w:rPr>
          <w:rFonts w:ascii="Arial" w:hAnsi="Arial" w:cs="Arial"/>
          <w:sz w:val="18"/>
          <w:szCs w:val="18"/>
        </w:rPr>
        <w:t>o</w:t>
      </w:r>
      <w:r>
        <w:rPr>
          <w:rFonts w:ascii="Arial" w:hAnsi="Arial" w:cs="Arial"/>
          <w:sz w:val="18"/>
          <w:szCs w:val="18"/>
        </w:rPr>
        <w:t xml:space="preserve"> de 20</w:t>
      </w:r>
      <w:r w:rsidR="00AA16F7">
        <w:rPr>
          <w:rFonts w:ascii="Arial" w:hAnsi="Arial" w:cs="Arial"/>
          <w:sz w:val="18"/>
          <w:szCs w:val="18"/>
        </w:rPr>
        <w:t>2</w:t>
      </w:r>
      <w:r w:rsidR="005F5707">
        <w:rPr>
          <w:rFonts w:ascii="Arial" w:hAnsi="Arial" w:cs="Arial"/>
          <w:sz w:val="18"/>
          <w:szCs w:val="18"/>
        </w:rPr>
        <w:t>1</w:t>
      </w:r>
      <w:r>
        <w:rPr>
          <w:rFonts w:ascii="Arial" w:hAnsi="Arial" w:cs="Arial"/>
          <w:sz w:val="18"/>
          <w:szCs w:val="18"/>
        </w:rPr>
        <w:t xml:space="preserve">, observan un monto de $ </w:t>
      </w:r>
      <w:r w:rsidR="00125004">
        <w:rPr>
          <w:rFonts w:ascii="Arial" w:hAnsi="Arial" w:cs="Arial"/>
          <w:sz w:val="18"/>
          <w:szCs w:val="18"/>
        </w:rPr>
        <w:t>6</w:t>
      </w:r>
      <w:r w:rsidR="001A78A4">
        <w:rPr>
          <w:rFonts w:ascii="Arial" w:hAnsi="Arial" w:cs="Arial"/>
          <w:sz w:val="18"/>
          <w:szCs w:val="18"/>
        </w:rPr>
        <w:t>,</w:t>
      </w:r>
      <w:r w:rsidR="00125004">
        <w:rPr>
          <w:rFonts w:ascii="Arial" w:hAnsi="Arial" w:cs="Arial"/>
          <w:sz w:val="18"/>
          <w:szCs w:val="18"/>
        </w:rPr>
        <w:t>099</w:t>
      </w:r>
      <w:r>
        <w:rPr>
          <w:rFonts w:ascii="Arial" w:hAnsi="Arial" w:cs="Arial"/>
          <w:sz w:val="18"/>
          <w:szCs w:val="18"/>
        </w:rPr>
        <w:t>,</w:t>
      </w:r>
      <w:r w:rsidR="00125004">
        <w:rPr>
          <w:rFonts w:ascii="Arial" w:hAnsi="Arial" w:cs="Arial"/>
          <w:sz w:val="18"/>
          <w:szCs w:val="18"/>
        </w:rPr>
        <w:t>718</w:t>
      </w:r>
      <w:r>
        <w:rPr>
          <w:rFonts w:ascii="Arial" w:hAnsi="Arial" w:cs="Arial"/>
          <w:sz w:val="18"/>
          <w:szCs w:val="18"/>
        </w:rPr>
        <w:t>,</w:t>
      </w:r>
      <w:r w:rsidR="00125004">
        <w:rPr>
          <w:rFonts w:ascii="Arial" w:hAnsi="Arial" w:cs="Arial"/>
          <w:sz w:val="18"/>
          <w:szCs w:val="18"/>
        </w:rPr>
        <w:t>346</w:t>
      </w:r>
      <w:r>
        <w:rPr>
          <w:rFonts w:ascii="Arial" w:hAnsi="Arial" w:cs="Arial"/>
          <w:sz w:val="18"/>
          <w:szCs w:val="18"/>
        </w:rPr>
        <w:t xml:space="preserve"> de los cuales los principales sectores que reciben estas asignaciones son el sector educativo al cual le corresponde el </w:t>
      </w:r>
      <w:r w:rsidR="00E514F6">
        <w:rPr>
          <w:rFonts w:ascii="Arial" w:hAnsi="Arial" w:cs="Arial"/>
          <w:sz w:val="18"/>
          <w:szCs w:val="18"/>
        </w:rPr>
        <w:t>5</w:t>
      </w:r>
      <w:r w:rsidR="00125004">
        <w:rPr>
          <w:rFonts w:ascii="Arial" w:hAnsi="Arial" w:cs="Arial"/>
          <w:sz w:val="18"/>
          <w:szCs w:val="18"/>
        </w:rPr>
        <w:t>7</w:t>
      </w:r>
      <w:r>
        <w:rPr>
          <w:rFonts w:ascii="Arial" w:hAnsi="Arial" w:cs="Arial"/>
          <w:sz w:val="18"/>
          <w:szCs w:val="18"/>
        </w:rPr>
        <w:t xml:space="preserve">% y el sector salud con un </w:t>
      </w:r>
      <w:r w:rsidR="00125004">
        <w:rPr>
          <w:rFonts w:ascii="Arial" w:hAnsi="Arial" w:cs="Arial"/>
          <w:sz w:val="18"/>
          <w:szCs w:val="18"/>
        </w:rPr>
        <w:t>37</w:t>
      </w:r>
      <w:r>
        <w:rPr>
          <w:rFonts w:ascii="Arial" w:hAnsi="Arial" w:cs="Arial"/>
          <w:sz w:val="18"/>
          <w:szCs w:val="18"/>
        </w:rPr>
        <w:t xml:space="preserve">% y el restante </w:t>
      </w:r>
      <w:r w:rsidR="00125004">
        <w:rPr>
          <w:rFonts w:ascii="Arial" w:hAnsi="Arial" w:cs="Arial"/>
          <w:sz w:val="18"/>
          <w:szCs w:val="18"/>
        </w:rPr>
        <w:t>6</w:t>
      </w:r>
      <w:r>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125004">
        <w:rPr>
          <w:rFonts w:ascii="Arial" w:hAnsi="Arial" w:cs="Arial"/>
          <w:sz w:val="18"/>
          <w:szCs w:val="18"/>
        </w:rPr>
        <w:t>juni</w:t>
      </w:r>
      <w:r w:rsidR="00E514F6">
        <w:rPr>
          <w:rFonts w:ascii="Arial" w:hAnsi="Arial" w:cs="Arial"/>
          <w:sz w:val="18"/>
          <w:szCs w:val="18"/>
        </w:rPr>
        <w:t>o</w:t>
      </w:r>
      <w:r>
        <w:rPr>
          <w:rFonts w:ascii="Arial" w:hAnsi="Arial" w:cs="Arial"/>
          <w:sz w:val="18"/>
          <w:szCs w:val="18"/>
        </w:rPr>
        <w:t xml:space="preserve"> de 20</w:t>
      </w:r>
      <w:r w:rsidR="005F4F77">
        <w:rPr>
          <w:rFonts w:ascii="Arial" w:hAnsi="Arial" w:cs="Arial"/>
          <w:sz w:val="18"/>
          <w:szCs w:val="18"/>
        </w:rPr>
        <w:t>2</w:t>
      </w:r>
      <w:r w:rsidR="00E514F6">
        <w:rPr>
          <w:rFonts w:ascii="Arial" w:hAnsi="Arial" w:cs="Arial"/>
          <w:sz w:val="18"/>
          <w:szCs w:val="18"/>
        </w:rPr>
        <w:t>1</w:t>
      </w:r>
      <w:r>
        <w:rPr>
          <w:rFonts w:ascii="Arial" w:hAnsi="Arial" w:cs="Arial"/>
          <w:sz w:val="18"/>
          <w:szCs w:val="18"/>
        </w:rPr>
        <w:t xml:space="preserve"> es de $ </w:t>
      </w:r>
      <w:r w:rsidR="00125004">
        <w:rPr>
          <w:rFonts w:ascii="Arial" w:hAnsi="Arial" w:cs="Arial"/>
          <w:sz w:val="18"/>
          <w:szCs w:val="18"/>
        </w:rPr>
        <w:t>1,603</w:t>
      </w:r>
      <w:r>
        <w:rPr>
          <w:rFonts w:ascii="Arial" w:hAnsi="Arial" w:cs="Arial"/>
          <w:sz w:val="18"/>
          <w:szCs w:val="18"/>
        </w:rPr>
        <w:t>,</w:t>
      </w:r>
      <w:r w:rsidR="00125004">
        <w:rPr>
          <w:rFonts w:ascii="Arial" w:hAnsi="Arial" w:cs="Arial"/>
          <w:sz w:val="18"/>
          <w:szCs w:val="18"/>
        </w:rPr>
        <w:t>076</w:t>
      </w:r>
      <w:r>
        <w:rPr>
          <w:rFonts w:ascii="Arial" w:hAnsi="Arial" w:cs="Arial"/>
          <w:sz w:val="18"/>
          <w:szCs w:val="18"/>
        </w:rPr>
        <w:t>,</w:t>
      </w:r>
      <w:r w:rsidR="00125004">
        <w:rPr>
          <w:rFonts w:ascii="Arial" w:hAnsi="Arial" w:cs="Arial"/>
          <w:sz w:val="18"/>
          <w:szCs w:val="18"/>
        </w:rPr>
        <w:t>607</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sidR="00125004">
        <w:rPr>
          <w:rFonts w:ascii="Arial" w:hAnsi="Arial" w:cs="Arial"/>
          <w:sz w:val="18"/>
          <w:szCs w:val="18"/>
        </w:rPr>
        <w:t>segundo</w:t>
      </w:r>
      <w:r>
        <w:rPr>
          <w:rFonts w:ascii="Arial" w:hAnsi="Arial" w:cs="Arial"/>
          <w:sz w:val="18"/>
          <w:szCs w:val="18"/>
        </w:rPr>
        <w:t xml:space="preserve"> ajuste trimestral. Los cuales al </w:t>
      </w:r>
      <w:r w:rsidRPr="00DE62C8">
        <w:rPr>
          <w:rFonts w:ascii="Arial" w:hAnsi="Arial" w:cs="Arial"/>
          <w:sz w:val="18"/>
          <w:szCs w:val="18"/>
        </w:rPr>
        <w:t>3</w:t>
      </w:r>
      <w:r w:rsidR="00125004">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125004">
        <w:rPr>
          <w:rFonts w:ascii="Arial" w:hAnsi="Arial" w:cs="Arial"/>
          <w:sz w:val="18"/>
          <w:szCs w:val="18"/>
        </w:rPr>
        <w:t>juni</w:t>
      </w:r>
      <w:r w:rsidR="00E514F6">
        <w:rPr>
          <w:rFonts w:ascii="Arial" w:hAnsi="Arial" w:cs="Arial"/>
          <w:sz w:val="18"/>
          <w:szCs w:val="18"/>
        </w:rPr>
        <w:t>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8A4453">
        <w:rPr>
          <w:rFonts w:ascii="Arial" w:hAnsi="Arial" w:cs="Arial"/>
          <w:sz w:val="18"/>
          <w:szCs w:val="18"/>
        </w:rPr>
        <w:t>juni</w:t>
      </w:r>
      <w:r w:rsidR="00E514F6">
        <w:rPr>
          <w:rFonts w:ascii="Arial" w:hAnsi="Arial" w:cs="Arial"/>
          <w:sz w:val="18"/>
          <w:szCs w:val="18"/>
        </w:rPr>
        <w:t>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117011">
        <w:rPr>
          <w:rFonts w:ascii="Arial" w:hAnsi="Arial" w:cs="Arial"/>
          <w:sz w:val="18"/>
          <w:szCs w:val="18"/>
        </w:rPr>
        <w:t>1</w:t>
      </w:r>
      <w:r>
        <w:rPr>
          <w:rFonts w:ascii="Arial" w:hAnsi="Arial" w:cs="Arial"/>
          <w:sz w:val="18"/>
          <w:szCs w:val="18"/>
        </w:rPr>
        <w:t xml:space="preserve"> </w:t>
      </w:r>
      <w:r w:rsidRPr="0073056A">
        <w:rPr>
          <w:rFonts w:ascii="Arial" w:hAnsi="Arial" w:cs="Arial"/>
          <w:sz w:val="18"/>
          <w:szCs w:val="18"/>
        </w:rPr>
        <w:t xml:space="preserve">es por la </w:t>
      </w:r>
      <w:r w:rsidRPr="005E64EF">
        <w:rPr>
          <w:rFonts w:ascii="Arial" w:hAnsi="Arial" w:cs="Arial"/>
          <w:sz w:val="18"/>
          <w:szCs w:val="18"/>
        </w:rPr>
        <w:t xml:space="preserve">cantidad de $ </w:t>
      </w:r>
      <w:r w:rsidR="008A4453" w:rsidRPr="005E64EF">
        <w:rPr>
          <w:rFonts w:ascii="Arial" w:hAnsi="Arial" w:cs="Arial"/>
          <w:sz w:val="18"/>
          <w:szCs w:val="18"/>
        </w:rPr>
        <w:t>1,659</w:t>
      </w:r>
      <w:r w:rsidRPr="005E64EF">
        <w:rPr>
          <w:rFonts w:ascii="Arial" w:eastAsia="Times New Roman" w:hAnsi="Arial" w:cs="Arial"/>
          <w:bCs/>
          <w:sz w:val="18"/>
          <w:szCs w:val="18"/>
          <w:lang w:eastAsia="es-MX"/>
        </w:rPr>
        <w:t>,</w:t>
      </w:r>
      <w:r w:rsidR="008A4453" w:rsidRPr="005E64EF">
        <w:rPr>
          <w:rFonts w:ascii="Arial" w:eastAsia="Times New Roman" w:hAnsi="Arial" w:cs="Arial"/>
          <w:bCs/>
          <w:sz w:val="18"/>
          <w:szCs w:val="18"/>
          <w:lang w:eastAsia="es-MX"/>
        </w:rPr>
        <w:t>581</w:t>
      </w:r>
      <w:r w:rsidRPr="005E64EF">
        <w:rPr>
          <w:rFonts w:ascii="Arial" w:eastAsia="Times New Roman" w:hAnsi="Arial" w:cs="Arial"/>
          <w:bCs/>
          <w:sz w:val="18"/>
          <w:szCs w:val="18"/>
          <w:lang w:eastAsia="es-MX"/>
        </w:rPr>
        <w:t>,</w:t>
      </w:r>
      <w:r w:rsidR="008A4453" w:rsidRPr="005E64EF">
        <w:rPr>
          <w:rFonts w:ascii="Arial" w:eastAsia="Times New Roman" w:hAnsi="Arial" w:cs="Arial"/>
          <w:bCs/>
          <w:sz w:val="18"/>
          <w:szCs w:val="18"/>
          <w:lang w:eastAsia="es-MX"/>
        </w:rPr>
        <w:t>947</w:t>
      </w:r>
      <w:r w:rsidR="007156AF" w:rsidRPr="005E64EF">
        <w:rPr>
          <w:rFonts w:ascii="Arial" w:eastAsia="Times New Roman" w:hAnsi="Arial" w:cs="Arial"/>
          <w:bCs/>
          <w:sz w:val="18"/>
          <w:szCs w:val="18"/>
          <w:lang w:eastAsia="es-MX"/>
        </w:rPr>
        <w:t>.</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A4453">
        <w:rPr>
          <w:lang w:val="es-MX"/>
        </w:rPr>
        <w:t>de</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8A4453">
        <w:rPr>
          <w:lang w:val="es-MX"/>
        </w:rPr>
        <w:t xml:space="preserve"> 53</w:t>
      </w:r>
      <w:r w:rsidR="00AC2CB6">
        <w:rPr>
          <w:lang w:val="es-MX"/>
        </w:rPr>
        <w:t>,</w:t>
      </w:r>
      <w:r w:rsidR="008A4453">
        <w:rPr>
          <w:lang w:val="es-MX"/>
        </w:rPr>
        <w:t>786</w:t>
      </w:r>
      <w:r w:rsidR="00AC2CB6">
        <w:rPr>
          <w:lang w:val="es-MX"/>
        </w:rPr>
        <w:t>,</w:t>
      </w:r>
      <w:r w:rsidR="008A4453">
        <w:rPr>
          <w:lang w:val="es-MX"/>
        </w:rPr>
        <w:t>735</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destinadas a pagos a proveedores y empleados, reflejando un importe de $ </w:t>
      </w:r>
      <w:r w:rsidR="00DA4A42">
        <w:rPr>
          <w:lang w:val="es-MX"/>
        </w:rPr>
        <w:t>1,603</w:t>
      </w:r>
      <w:r>
        <w:rPr>
          <w:lang w:val="es-MX"/>
        </w:rPr>
        <w:t>,</w:t>
      </w:r>
      <w:r w:rsidR="00DA4A42">
        <w:rPr>
          <w:lang w:val="es-MX"/>
        </w:rPr>
        <w:t>076</w:t>
      </w:r>
      <w:r>
        <w:rPr>
          <w:lang w:val="es-MX"/>
        </w:rPr>
        <w:t>,</w:t>
      </w:r>
      <w:r w:rsidR="00DA4A42">
        <w:rPr>
          <w:lang w:val="es-MX"/>
        </w:rPr>
        <w:t>607</w:t>
      </w:r>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DA4A42">
        <w:rPr>
          <w:lang w:val="es-MX"/>
        </w:rPr>
        <w:t>junio</w:t>
      </w:r>
      <w:r>
        <w:rPr>
          <w:lang w:val="es-MX"/>
        </w:rPr>
        <w:t xml:space="preserve"> un importe de </w:t>
      </w:r>
      <w:r w:rsidRPr="004466A7">
        <w:rPr>
          <w:lang w:val="es-MX"/>
        </w:rPr>
        <w:t>$</w:t>
      </w:r>
      <w:r>
        <w:rPr>
          <w:lang w:val="es-MX"/>
        </w:rPr>
        <w:t xml:space="preserve"> </w:t>
      </w:r>
      <w:r w:rsidR="00DA4A42">
        <w:rPr>
          <w:lang w:val="es-MX"/>
        </w:rPr>
        <w:t>-8</w:t>
      </w:r>
      <w:r w:rsidR="005907A0">
        <w:rPr>
          <w:lang w:val="es-MX"/>
        </w:rPr>
        <w:t>3</w:t>
      </w:r>
      <w:r>
        <w:rPr>
          <w:lang w:val="es-MX"/>
        </w:rPr>
        <w:t>,</w:t>
      </w:r>
      <w:r w:rsidR="00DA4A42">
        <w:rPr>
          <w:lang w:val="es-MX"/>
        </w:rPr>
        <w:t>889</w:t>
      </w:r>
      <w:r>
        <w:rPr>
          <w:lang w:val="es-MX"/>
        </w:rPr>
        <w:t>,</w:t>
      </w:r>
      <w:r w:rsidR="00DA4A42">
        <w:rPr>
          <w:lang w:val="es-MX"/>
        </w:rPr>
        <w:t>863</w:t>
      </w:r>
      <w:r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5907A0">
        <w:rPr>
          <w:lang w:val="es-MX"/>
        </w:rPr>
        <w:t>1</w:t>
      </w:r>
      <w:r w:rsidRPr="00DA18AC">
        <w:rPr>
          <w:lang w:val="es-MX"/>
        </w:rPr>
        <w:t xml:space="preserve"> de </w:t>
      </w:r>
      <w:r w:rsidR="00DA4A42">
        <w:rPr>
          <w:lang w:val="es-MX"/>
        </w:rPr>
        <w:t>junio</w:t>
      </w:r>
      <w:r w:rsidRPr="00DA18AC">
        <w:rPr>
          <w:lang w:val="es-MX"/>
        </w:rPr>
        <w:t xml:space="preserve"> de 20</w:t>
      </w:r>
      <w:r w:rsidR="00466C1E">
        <w:rPr>
          <w:lang w:val="es-MX"/>
        </w:rPr>
        <w:t>2</w:t>
      </w:r>
      <w:r w:rsidR="005907A0">
        <w:rPr>
          <w:lang w:val="es-MX"/>
        </w:rPr>
        <w:t>1</w:t>
      </w:r>
      <w:r w:rsidRPr="00DA18AC">
        <w:rPr>
          <w:lang w:val="es-MX"/>
        </w:rPr>
        <w:t xml:space="preserve"> de $ </w:t>
      </w:r>
      <w:r w:rsidR="009743B6">
        <w:rPr>
          <w:lang w:val="es-MX"/>
        </w:rPr>
        <w:t>-</w:t>
      </w:r>
      <w:r w:rsidR="00DA4A42">
        <w:rPr>
          <w:lang w:val="es-MX"/>
        </w:rPr>
        <w:t>1,5</w:t>
      </w:r>
      <w:r w:rsidR="005907A0">
        <w:rPr>
          <w:lang w:val="es-MX"/>
        </w:rPr>
        <w:t>72</w:t>
      </w:r>
      <w:r w:rsidRPr="00DA18AC">
        <w:rPr>
          <w:lang w:val="es-MX"/>
        </w:rPr>
        <w:t>,</w:t>
      </w:r>
      <w:r w:rsidR="00DA4A42">
        <w:rPr>
          <w:lang w:val="es-MX"/>
        </w:rPr>
        <w:t>973</w:t>
      </w:r>
      <w:r w:rsidRPr="00DA18AC">
        <w:rPr>
          <w:lang w:val="es-MX"/>
        </w:rPr>
        <w:t>,</w:t>
      </w:r>
      <w:r w:rsidR="00DA4A42">
        <w:rPr>
          <w:lang w:val="es-MX"/>
        </w:rPr>
        <w:t>479</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4" w:name="_MON_1499681935"/>
    <w:bookmarkEnd w:id="4"/>
    <w:p w:rsidR="009C4575" w:rsidRDefault="00CD4E92" w:rsidP="00A54D75">
      <w:pPr>
        <w:tabs>
          <w:tab w:val="left" w:pos="284"/>
        </w:tabs>
        <w:spacing w:after="0"/>
        <w:ind w:left="284"/>
        <w:jc w:val="both"/>
        <w:rPr>
          <w:rFonts w:ascii="Arial" w:hAnsi="Arial" w:cs="Arial"/>
          <w:sz w:val="18"/>
          <w:szCs w:val="18"/>
        </w:rPr>
      </w:pPr>
      <w:r>
        <w:object w:dxaOrig="25362" w:dyaOrig="13520">
          <v:shape id="_x0000_i1032" type="#_x0000_t75" style="width:675pt;height:465pt" o:ole="">
            <v:imagedata r:id="rId22" o:title=""/>
          </v:shape>
          <o:OLEObject Type="Embed" ProgID="Excel.Sheet.12" ShapeID="_x0000_i1032" DrawAspect="Content" ObjectID="_1687778118" r:id="rId23"/>
        </w:object>
      </w: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602F36" w:rsidP="006942ED">
      <w:pPr>
        <w:rPr>
          <w:lang w:eastAsia="es-ES"/>
        </w:rPr>
      </w:pPr>
      <w:r>
        <w:rPr>
          <w:noProof/>
          <w:szCs w:val="18"/>
          <w:lang w:eastAsia="es-MX"/>
        </w:rPr>
        <w:object w:dxaOrig="1440" w:dyaOrig="1440">
          <v:shape id="_x0000_s1046" type="#_x0000_t75" style="position:absolute;margin-left:34.5pt;margin-top:22.45pt;width:682.4pt;height:291.85pt;z-index:251663360">
            <v:imagedata r:id="rId24" o:title=""/>
            <w10:wrap type="topAndBottom"/>
          </v:shape>
          <o:OLEObject Type="Embed" ProgID="Excel.Sheet.12" ShapeID="_x0000_s1046" DrawAspect="Content" ObjectID="_1687778122" r:id="rId25"/>
        </w:object>
      </w: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602F36"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44.25pt;margin-top:12pt;width:611.35pt;height:418.35pt;z-index:251664384">
            <v:imagedata r:id="rId26" o:title=""/>
            <w10:wrap type="topAndBottom"/>
          </v:shape>
          <o:OLEObject Type="Embed" ProgID="Excel.Sheet.12" ShapeID="_x0000_s1047" DrawAspect="Content" ObjectID="_1687778123" r:id="rId27"/>
        </w:object>
      </w: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DA4A42">
        <w:rPr>
          <w:rFonts w:ascii="Arial" w:hAnsi="Arial" w:cs="Arial"/>
          <w:sz w:val="18"/>
          <w:szCs w:val="18"/>
        </w:rPr>
        <w:t>juni</w:t>
      </w:r>
      <w:r w:rsidR="005907A0">
        <w:rPr>
          <w:rFonts w:ascii="Arial" w:hAnsi="Arial" w:cs="Arial"/>
          <w:sz w:val="18"/>
          <w:szCs w:val="18"/>
        </w:rPr>
        <w:t>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5907A0">
        <w:rPr>
          <w:rFonts w:ascii="Arial" w:hAnsi="Arial" w:cs="Arial"/>
          <w:sz w:val="18"/>
          <w:szCs w:val="18"/>
        </w:rPr>
        <w:t>1</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lastRenderedPageBreak/>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1872A3" w:rsidRPr="0073056A" w:rsidRDefault="001872A3" w:rsidP="0032384C">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EC1988" w:rsidRPr="00EC1988" w:rsidRDefault="00EC1988" w:rsidP="00EC1988">
      <w:pPr>
        <w:pStyle w:val="Texto"/>
        <w:tabs>
          <w:tab w:val="left" w:pos="284"/>
        </w:tabs>
        <w:spacing w:after="0" w:line="276" w:lineRule="auto"/>
        <w:ind w:left="284" w:firstLine="0"/>
        <w:rPr>
          <w:b/>
          <w:szCs w:val="18"/>
          <w:lang w:val="es-MX"/>
        </w:rPr>
      </w:pP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La actividad económica, el empleo, el dinamismo comercial, los flujos de inversión y el bienestar se recuperan paulatinamente en México y el mundo, al tiempo que prosigue el combate a la pandemia de COVID-19. El rápido desarrollo de diversas vacunas y el inicio de su aplicación, sumado a los esfuerzos sostenidos de gobiernos y bancos centrales del mundo para mitigar los impactos de la pandemia, respaldan la expectativa de una reactivación en 2021 más acelerada que la prevista en 2020.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Lo anterior, sumado a la solidez mostrada por los ingresos tributarios en 2020 y el compromiso probado del Gobierno de México con la responsabilidad fiscal y la estabilidad macroeconómica, permiten anticipar el cumplimiento de los objetivos de política económica para 2021. En este sentido, se estima una reducción de la deuda en casi un punto del PIB respecto al cierre observado en 2020.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Se estima que para inicios de 2022 la economía recobrará totalmente su nivel previo a la pandemia, apuntalada por el restablecimiento del dinamismo del mercado interno que traerán la vacunación y la reapertura de actividades. La inversión en infraestructura, la profundización del sector financiero, la reducción de las distintas brechas que restringen el desarrollo y la mayor integración comercial con nuestros socios en el Tratado entre México, Estados Unidos y Canadá (T-MEC), son factores que abonarán la recuperación de la economía mexicana.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Asimismo, la continuación de la política de prudencia fiscal y manejo eficiente del endeudamiento ayudará a disminuir nuevamente la deuda pública y a colocarla en una trayectoria descendente sostenida, que asegurará la preservación de la estabilidad, la salud de largo plazo de las finanzas públicas y la disponibilidad de recursos adicionales para los programas y proyectos públicos que más inciden en el desarrollo y bienestar de nuestro país.</w:t>
      </w:r>
    </w:p>
    <w:p w:rsidR="00C53587" w:rsidRDefault="00C53587" w:rsidP="007025F4">
      <w:pPr>
        <w:tabs>
          <w:tab w:val="left" w:pos="284"/>
        </w:tabs>
        <w:ind w:left="284"/>
        <w:jc w:val="both"/>
        <w:rPr>
          <w:rFonts w:ascii="Arial" w:hAnsi="Arial" w:cs="Arial"/>
          <w:sz w:val="18"/>
          <w:szCs w:val="18"/>
        </w:rPr>
      </w:pP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lastRenderedPageBreak/>
        <w:t xml:space="preserve">Durante el primer trimestre de 2021 la economía global continuó recuperándose. A pesar del resurgimiento de nuevas olas de contagios en algunas regiones del mundo, las perspectivas de crecimiento mundial para 2021 se muestran optimistas. Esto debido al avance a nivel internacional en las campañas de vacunación, así como al importante estímulo fiscal en Estados Unidos (EE.UU.) y a la adaptación de la población y de las actividades económicas a la pandemia. En este contexto, el Fondo Monetario Internacional (FMI), en sus estimaciones de abril, aumentó su proyección de la recuperación del Producto Interno Bruto (PIB) global de 5.5 a 6.0% para 2021, al tiempo que ajustó su estimación de crecimiento para 2022 de 4.2 a 4.4%. Por su parte, en México durante el primer trimestre, los avances en materia de empleo, consumo, inversión y reapertura sostenida de actividades ante la reducción de contagios por COVID-19, más que compensaron los efectos en la economía de la suspensión parcial de actividades en enero, así como el desabasto de gas natural y la escasez de semiconductores y resinas plásticas, que impactaron particularmente a las manufacturas.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Por el lado de la demanda, la información de enero de 2021 mostró que el consumo privado en el mercado interior se recuperó respecto al mes previo al aumentar a una tasa mensual de 1.0% y acumular un incremento de 22.4% respecto al nivel mínimo observado en mayo. Asimismo, el consumo en tiendas departamentales y autoservicios de la Asociación Nacional de Tiendas de Autoservicio y Departamentales (ANTAD) presentó un crecimiento real anual en marzo de 3.9%, el más alto desde febrero de 2020. Estos resultados se encuentran en línea con la tendencia positiva que ha presentado la confianza del consumidor desde junio de 2020 y que, en marzo, tuvo un crecimiento por cuarto mes consecutivo.</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En línea con la actividad interna, el sector externo impulsado por la recuperación del comercio mundial y en particular por la economía norteamericana continuó con el dinamismo observado desde el segundo trimestre de 2020. En particular, se observó un crecimiento en el valor de las exportaciones no petroleras y las importaciones no petroleras en el primer trimestre de 2021 de 2.7 y 7.2% con respecto al primer trimestre de 2020. En cuanto al crecimiento de las importaciones no petroleras, este se explicó por el crecimiento de la actividad interna que se tradujo en mayores importaciones de bienes de capital, insumos, y consumo de bienes de 7.1, 7.3, y 6.1%, respectivamente. Cabe destacar que con la mayor demanda de importaciones de bienes consumo y bienes de capital se esperaría un aumento del consumo y la inversión doméstica durante el primer trimestre de 2021.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En cuanto al mercado laboral, el empleo continuó recuperándose de manera sostenida. Al cierre del primer trimestre, se incrementaron 956 mil 96 plazas con respeto al cierre de 2020. Con el nivel de empleo alcanzado al cierre del primer trimestre se ha recuperado el 96.5% de los empleos de marzo de 2020, los cuales se afectaron como consecuencia del cierre de actividades económicas tras la pandemia del COVID-19. Lo anterior se explica por el dinamismo del empleo en el sector secundario que alcanzó en marzo una recuperación de 97.7% de los empleos de marzo del año previo, liderado por la industria manufacturera y construcción con un avance de 98.5 y 97.1%. Igualmente, a marzo, el sector terciario recuperó el 93.2% de los empleos de marzo de 2020; en su interior, destacan el empleo de servicios sociales, de gobierno y profesionales con 99.1, 95.5 y 95.3% de recuperación, respectivamente, para el mismo periodo.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No obstante, a nivel sectorial, el Indicador Global de la Actividad Económica (IGAE) en el bimestre enero-febrero de 2021 presentó un decrecimiento de 0.4% con respecto al bimestre anterior, con datos ajustados por estacionalidad, aunque se espera que este efecto sea transitorio y se recupere en marzo. Al interior del IGAE secundario, los sectores de manufacturas y el sector de energía eléctrica registraron caídas bimestrales de 1.6 y 3.1%, respectivamente, debido al desabasto de gas natural derivado de factores climatológicos durante el 15 y 21 de febrero, así como por la escasez de semiconductores y resinas plásticas a nivel internacional a inicios del año.</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Finalmente, México cuenta con recursos suficientes para hacer frente a sus obligaciones financieras con el exterior y afrontar choques imprevistos. Las reservas internacionales tienen un saldo de 195 mil millones de dólares, y se dispone de instrumentos de liquidez ante choques adversos como la Línea de Crédito Flexible con el FMI por 63.1 mil millones de dólares (mmd) y las líneas de crédito recíproco (swap </w:t>
      </w:r>
      <w:proofErr w:type="spellStart"/>
      <w:r w:rsidRPr="00C53587">
        <w:rPr>
          <w:rFonts w:ascii="Arial" w:hAnsi="Arial" w:cs="Arial"/>
          <w:sz w:val="18"/>
          <w:szCs w:val="18"/>
        </w:rPr>
        <w:t>lines</w:t>
      </w:r>
      <w:proofErr w:type="spellEnd"/>
      <w:r w:rsidRPr="00C53587">
        <w:rPr>
          <w:rFonts w:ascii="Arial" w:hAnsi="Arial" w:cs="Arial"/>
          <w:sz w:val="18"/>
          <w:szCs w:val="18"/>
        </w:rPr>
        <w:t>) con la Reserva Federal y el Tesoro de los Estados Unidos por 60 y 9 mmd, respectivamente.</w:t>
      </w:r>
    </w:p>
    <w:p w:rsidR="00C53587" w:rsidRDefault="00C53587" w:rsidP="007025F4">
      <w:pPr>
        <w:tabs>
          <w:tab w:val="left" w:pos="284"/>
        </w:tabs>
        <w:ind w:left="284"/>
        <w:jc w:val="both"/>
        <w:rPr>
          <w:rFonts w:ascii="Arial" w:hAnsi="Arial" w:cs="Arial"/>
          <w:sz w:val="18"/>
          <w:szCs w:val="18"/>
        </w:rPr>
      </w:pP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La recuperación de la economía mundial continuó durante el primer trimestre de 2021, en un entorno de expectativas positivas. Si bien la pandemia continuó siendo un reto de salud pública en todo el mundo, particularmente en aquellos países que enfrentan un resurgimiento de los contagios, las perspectivas de crecimiento mundial se mostraron optimistas debido al avance de la campaña de vacunación más grande de la historia. En este contexto, la Directora General del Fondo Monetario Internacional (FMI), </w:t>
      </w:r>
      <w:proofErr w:type="spellStart"/>
      <w:r w:rsidRPr="00C53587">
        <w:rPr>
          <w:rFonts w:ascii="Arial" w:hAnsi="Arial" w:cs="Arial"/>
          <w:sz w:val="18"/>
          <w:szCs w:val="18"/>
        </w:rPr>
        <w:t>Kristalina</w:t>
      </w:r>
      <w:proofErr w:type="spellEnd"/>
      <w:r w:rsidRPr="00C53587">
        <w:rPr>
          <w:rFonts w:ascii="Arial" w:hAnsi="Arial" w:cs="Arial"/>
          <w:sz w:val="18"/>
          <w:szCs w:val="18"/>
        </w:rPr>
        <w:t xml:space="preserve"> </w:t>
      </w:r>
      <w:proofErr w:type="spellStart"/>
      <w:r w:rsidRPr="00C53587">
        <w:rPr>
          <w:rFonts w:ascii="Arial" w:hAnsi="Arial" w:cs="Arial"/>
          <w:sz w:val="18"/>
          <w:szCs w:val="18"/>
        </w:rPr>
        <w:t>Georgieva</w:t>
      </w:r>
      <w:proofErr w:type="spellEnd"/>
      <w:r w:rsidRPr="00C53587">
        <w:rPr>
          <w:rFonts w:ascii="Arial" w:hAnsi="Arial" w:cs="Arial"/>
          <w:sz w:val="18"/>
          <w:szCs w:val="18"/>
        </w:rPr>
        <w:t xml:space="preserve">, reconoció que “la política de vacunación es política económica”, siendo la inmunización de la población el elemento fundamental para la recuperación total de la actividad económica.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Así, en su reporte de Perspectivas Económicas de abril, el FMI mejoró sus proyecciones de recuperación del Producto Interno Bruto (PIB) mundial en 2021 de 5.5 a 6.0%. Para 2022, la tasa estimada de crecimiento global pasó de 4.2 a 4.4%. No obstante, se anticipa que la recuperación será desigual entre sectores y países; y la incertidumbre sobre la evolución de las variantes del virus, así como la capacidad de despliegue de vacunas continuarán siendo los principales riesgos a la baja para el crecimiento mundial.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La recuperación desigual entre sectores se debe a la distinta capacidad de adaptación de las actividades económicas para cohabitar con el virus. Por un lado, la producción manufacturera registró una recuperación en forma de “V” y el comercio internacional mostró señales de recuperación desde la segunda mitad de 2020. Ambos sectores impulsados, en mayor medida, por el restablecimiento de las cadenas globales de valor. Concretamente, en febrero de 2021, el índice de volumen de comercio internacional calculado por la Oficina de Análisis de Políticas de los Países Bajos (CPB </w:t>
      </w:r>
      <w:proofErr w:type="spellStart"/>
      <w:r w:rsidRPr="00C53587">
        <w:rPr>
          <w:rFonts w:ascii="Arial" w:hAnsi="Arial" w:cs="Arial"/>
          <w:sz w:val="18"/>
          <w:szCs w:val="18"/>
        </w:rPr>
        <w:t>Netherlands</w:t>
      </w:r>
      <w:proofErr w:type="spellEnd"/>
      <w:r w:rsidRPr="00C53587">
        <w:rPr>
          <w:rFonts w:ascii="Arial" w:hAnsi="Arial" w:cs="Arial"/>
          <w:sz w:val="18"/>
          <w:szCs w:val="18"/>
        </w:rPr>
        <w:t>, por sus siglas en inglés) fue 6.6 puntos porcentuales (</w:t>
      </w:r>
      <w:proofErr w:type="spellStart"/>
      <w:r w:rsidRPr="00C53587">
        <w:rPr>
          <w:rFonts w:ascii="Arial" w:hAnsi="Arial" w:cs="Arial"/>
          <w:sz w:val="18"/>
          <w:szCs w:val="18"/>
        </w:rPr>
        <w:t>pp</w:t>
      </w:r>
      <w:proofErr w:type="spellEnd"/>
      <w:r w:rsidRPr="00C53587">
        <w:rPr>
          <w:rFonts w:ascii="Arial" w:hAnsi="Arial" w:cs="Arial"/>
          <w:sz w:val="18"/>
          <w:szCs w:val="18"/>
        </w:rPr>
        <w:t xml:space="preserve">) superior al nivel pre-pandemia de enero de 2020. Asimismo, en marzo de 2021, el índice PMI manufacturero global registró 4.7 </w:t>
      </w:r>
      <w:proofErr w:type="spellStart"/>
      <w:r w:rsidRPr="00C53587">
        <w:rPr>
          <w:rFonts w:ascii="Arial" w:hAnsi="Arial" w:cs="Arial"/>
          <w:sz w:val="18"/>
          <w:szCs w:val="18"/>
        </w:rPr>
        <w:t>pp</w:t>
      </w:r>
      <w:proofErr w:type="spellEnd"/>
      <w:r w:rsidRPr="00C53587">
        <w:rPr>
          <w:rFonts w:ascii="Arial" w:hAnsi="Arial" w:cs="Arial"/>
          <w:sz w:val="18"/>
          <w:szCs w:val="18"/>
        </w:rPr>
        <w:t xml:space="preserve"> más que el nivel observado en enero de 2020. Si bien los indicadores adelantados también indican que el sector servicios ya alcanzó su nivel pre-pandemia, su recuperación fue más lenta, debido a que está conformado, en su mayoría, por actividades económicas intensivas en contacto físico; como el alojamiento, la preparación de alimentos y el transporte de pasajeros. En particular, en marzo de 2021, el índice PMI global de servicios se ubicó 2.0 </w:t>
      </w:r>
      <w:proofErr w:type="spellStart"/>
      <w:r w:rsidRPr="00C53587">
        <w:rPr>
          <w:rFonts w:ascii="Arial" w:hAnsi="Arial" w:cs="Arial"/>
          <w:sz w:val="18"/>
          <w:szCs w:val="18"/>
        </w:rPr>
        <w:t>pp</w:t>
      </w:r>
      <w:proofErr w:type="spellEnd"/>
      <w:r w:rsidRPr="00C53587">
        <w:rPr>
          <w:rFonts w:ascii="Arial" w:hAnsi="Arial" w:cs="Arial"/>
          <w:sz w:val="18"/>
          <w:szCs w:val="18"/>
        </w:rPr>
        <w:t xml:space="preserve"> por encima del nivel registrado previo a la pandemia, en enero de 2020.</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Respecto a la recuperación entre países, se espera que algunas economías emergentes podrían permanecer por debajo de su nivel pre-pandemia por más tiempo que las economías avanzadas debido a la escasez y posibles complicaciones en la distribución de las vacunas, lo cual limitaría sus oportunidades de reabrir totalmente la actividad económica. Particularmente, el FMI calculó que las economías de ingresos altos, las cuales concentran al 16% de la población mundial, han pre-comprado el 50% de las dosis disponibles actualmente. Lo cual deja a los países de ingresos medios y bajos, que concentran 84% de la población total, con menor posibilidad de asegurar vacunas para sus ciudadanos.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De esta manera, el FMI estimó que las economías avanzadas crecerán 5.1% durante 2021 y 3.6% durante 2022, y que países como Japón y Estados Unidos recuperarían su nivel de PIB pre-pandemia a mediados de 2021. Particularmente, durante el primer trimestre de 2021, el PIB de EE.UU. aceleró su ritmo de crecimiento a una tasa trimestral de 1.6%, lo que reflejó la persistencia de la recuperación económica, la reapertura de los establecimientos económicos y el apoyo gubernamental. El consumo privado y el gasto del gobierno contribuyeron con 1.7 y 0.3 </w:t>
      </w:r>
      <w:proofErr w:type="spellStart"/>
      <w:r w:rsidRPr="00C53587">
        <w:rPr>
          <w:rFonts w:ascii="Arial" w:hAnsi="Arial" w:cs="Arial"/>
          <w:sz w:val="18"/>
          <w:szCs w:val="18"/>
        </w:rPr>
        <w:t>pp</w:t>
      </w:r>
      <w:proofErr w:type="spellEnd"/>
      <w:r w:rsidRPr="00C53587">
        <w:rPr>
          <w:rFonts w:ascii="Arial" w:hAnsi="Arial" w:cs="Arial"/>
          <w:sz w:val="18"/>
          <w:szCs w:val="18"/>
        </w:rPr>
        <w:t xml:space="preserve">, mientras que la inversión y las exportaciones netas restaron -0.2 </w:t>
      </w:r>
      <w:proofErr w:type="spellStart"/>
      <w:r w:rsidRPr="00C53587">
        <w:rPr>
          <w:rFonts w:ascii="Arial" w:hAnsi="Arial" w:cs="Arial"/>
          <w:sz w:val="18"/>
          <w:szCs w:val="18"/>
        </w:rPr>
        <w:t>pp</w:t>
      </w:r>
      <w:proofErr w:type="spellEnd"/>
      <w:r w:rsidRPr="00C53587">
        <w:rPr>
          <w:rFonts w:ascii="Arial" w:hAnsi="Arial" w:cs="Arial"/>
          <w:sz w:val="18"/>
          <w:szCs w:val="18"/>
        </w:rPr>
        <w:t xml:space="preserve"> al crecimiento, cada una.</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Ahora bien, el FMI proyectó que las economías emergentes se expandirán 6.7% durante 2021 y 5.0% durante 2022. Específicamente, el organismo destacó que la recuperación entre las regiones emergentes será heterogénea y dependerá de su estructura económica, en concreto, de su conexión con las cadenas globales de valor, así como su exposición a los servicios internacionales, específicamente al turismo. En lo que respecta a América Latina y el Caribe, el FMI anticipó un crecimiento de 4.6% para 2021 y de 3.1% para 2022. En línea con la reactivación económica y las expectativas positivas generadas por las campañas de vacunación, durante el primer trimestre de 2021, los precios de las materias primas mostraron incrementos a niveles no vistos desde el último trimestre de 2014, de acuerdo con el índice de precios de materias primas del FMI. Esto se debió a una combinación de restricciones de oferta, a la alta liquidez generada por los estímulos monetarios y fiscales, así como por una sólida demanda.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lastRenderedPageBreak/>
        <w:t>Asimismo, los precios del petróleo se recuperaron de forma acelerada durante el primer trimestre del año y alcanzaron los niveles pre-pandemia desde febrero. Por el lado de la oferta, los precios presentaron un apoyo importante debido al acuerdo de producción de la OPEP+. En enero de 2021, la OPEP+ aumentó su producción en 0.5 millones de barriles diarios (</w:t>
      </w:r>
      <w:proofErr w:type="spellStart"/>
      <w:r w:rsidRPr="00C53587">
        <w:rPr>
          <w:rFonts w:ascii="Arial" w:hAnsi="Arial" w:cs="Arial"/>
          <w:sz w:val="18"/>
          <w:szCs w:val="18"/>
        </w:rPr>
        <w:t>Mbd</w:t>
      </w:r>
      <w:proofErr w:type="spellEnd"/>
      <w:r w:rsidRPr="00C53587">
        <w:rPr>
          <w:rFonts w:ascii="Arial" w:hAnsi="Arial" w:cs="Arial"/>
          <w:sz w:val="18"/>
          <w:szCs w:val="18"/>
        </w:rPr>
        <w:t xml:space="preserve">), en lugar de los casi 2 </w:t>
      </w:r>
      <w:proofErr w:type="spellStart"/>
      <w:r w:rsidRPr="00C53587">
        <w:rPr>
          <w:rFonts w:ascii="Arial" w:hAnsi="Arial" w:cs="Arial"/>
          <w:sz w:val="18"/>
          <w:szCs w:val="18"/>
        </w:rPr>
        <w:t>Mbd</w:t>
      </w:r>
      <w:proofErr w:type="spellEnd"/>
      <w:r w:rsidRPr="00C53587">
        <w:rPr>
          <w:rFonts w:ascii="Arial" w:hAnsi="Arial" w:cs="Arial"/>
          <w:sz w:val="18"/>
          <w:szCs w:val="18"/>
        </w:rPr>
        <w:t xml:space="preserve"> originalmente previstos. Entre febrero y abril se aprobaron incrementos moderados en la producción, no mayores a 0.15 </w:t>
      </w:r>
      <w:proofErr w:type="spellStart"/>
      <w:r w:rsidRPr="00C53587">
        <w:rPr>
          <w:rFonts w:ascii="Arial" w:hAnsi="Arial" w:cs="Arial"/>
          <w:sz w:val="18"/>
          <w:szCs w:val="18"/>
        </w:rPr>
        <w:t>Mbd</w:t>
      </w:r>
      <w:proofErr w:type="spellEnd"/>
      <w:r w:rsidRPr="00C53587">
        <w:rPr>
          <w:rFonts w:ascii="Arial" w:hAnsi="Arial" w:cs="Arial"/>
          <w:sz w:val="18"/>
          <w:szCs w:val="18"/>
        </w:rPr>
        <w:t xml:space="preserve">, pero Arabia Saudita se comprometió de forma voluntaria a reducir en 1 </w:t>
      </w:r>
      <w:proofErr w:type="spellStart"/>
      <w:r w:rsidRPr="00C53587">
        <w:rPr>
          <w:rFonts w:ascii="Arial" w:hAnsi="Arial" w:cs="Arial"/>
          <w:sz w:val="18"/>
          <w:szCs w:val="18"/>
        </w:rPr>
        <w:t>Mbd</w:t>
      </w:r>
      <w:proofErr w:type="spellEnd"/>
      <w:r w:rsidRPr="00C53587">
        <w:rPr>
          <w:rFonts w:ascii="Arial" w:hAnsi="Arial" w:cs="Arial"/>
          <w:sz w:val="18"/>
          <w:szCs w:val="18"/>
        </w:rPr>
        <w:t xml:space="preserve"> su oferta durante estos meses. No obstante, en la reunión más reciente de la OPEP+, realizada el 1 de abril, se aprobaron incrementos para mayo, junio y julio de 0.35, 0.35 y 0.44 </w:t>
      </w:r>
      <w:proofErr w:type="spellStart"/>
      <w:r w:rsidRPr="00C53587">
        <w:rPr>
          <w:rFonts w:ascii="Arial" w:hAnsi="Arial" w:cs="Arial"/>
          <w:sz w:val="18"/>
          <w:szCs w:val="18"/>
        </w:rPr>
        <w:t>Mbd</w:t>
      </w:r>
      <w:proofErr w:type="spellEnd"/>
      <w:r w:rsidRPr="00C53587">
        <w:rPr>
          <w:rFonts w:ascii="Arial" w:hAnsi="Arial" w:cs="Arial"/>
          <w:sz w:val="18"/>
          <w:szCs w:val="18"/>
        </w:rPr>
        <w:t xml:space="preserve">, respectivamente.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Por su parte, Arabia Saudita señaló que eliminará gradualmente su recorte voluntario adicional, por lo que añadirá a su producción 0.25 </w:t>
      </w:r>
      <w:proofErr w:type="spellStart"/>
      <w:r w:rsidRPr="00C53587">
        <w:rPr>
          <w:rFonts w:ascii="Arial" w:hAnsi="Arial" w:cs="Arial"/>
          <w:sz w:val="18"/>
          <w:szCs w:val="18"/>
        </w:rPr>
        <w:t>Mbd</w:t>
      </w:r>
      <w:proofErr w:type="spellEnd"/>
      <w:r w:rsidRPr="00C53587">
        <w:rPr>
          <w:rFonts w:ascii="Arial" w:hAnsi="Arial" w:cs="Arial"/>
          <w:sz w:val="18"/>
          <w:szCs w:val="18"/>
        </w:rPr>
        <w:t xml:space="preserve"> en mayo, 0.35 </w:t>
      </w:r>
      <w:proofErr w:type="spellStart"/>
      <w:r w:rsidRPr="00C53587">
        <w:rPr>
          <w:rFonts w:ascii="Arial" w:hAnsi="Arial" w:cs="Arial"/>
          <w:sz w:val="18"/>
          <w:szCs w:val="18"/>
        </w:rPr>
        <w:t>Mbd</w:t>
      </w:r>
      <w:proofErr w:type="spellEnd"/>
      <w:r w:rsidRPr="00C53587">
        <w:rPr>
          <w:rFonts w:ascii="Arial" w:hAnsi="Arial" w:cs="Arial"/>
          <w:sz w:val="18"/>
          <w:szCs w:val="18"/>
        </w:rPr>
        <w:t xml:space="preserve"> en junio y 0.4 </w:t>
      </w:r>
      <w:proofErr w:type="spellStart"/>
      <w:r w:rsidRPr="00C53587">
        <w:rPr>
          <w:rFonts w:ascii="Arial" w:hAnsi="Arial" w:cs="Arial"/>
          <w:sz w:val="18"/>
          <w:szCs w:val="18"/>
        </w:rPr>
        <w:t>Mbd</w:t>
      </w:r>
      <w:proofErr w:type="spellEnd"/>
      <w:r w:rsidRPr="00C53587">
        <w:rPr>
          <w:rFonts w:ascii="Arial" w:hAnsi="Arial" w:cs="Arial"/>
          <w:sz w:val="18"/>
          <w:szCs w:val="18"/>
        </w:rPr>
        <w:t xml:space="preserve"> en julio. Al 31 de marzo de 2021, los precios del WTI y el Brent fueron de 59.2 y 62.4 dólares por barril (dpb), mayores en 21.9 y 22.0%, respectivamente, con relación 31 de diciembre de 2020. Asimismo, al 31 de marzo, el precio de la mezcla mexicana fue de 58.4 dpb, lo que representó un aumento de 23.8% con respecto al registrado al cierre de 2020.</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La volatilidad en los mercados financieros se redujo y, al 31 de marzo de 2021, el índice de volatilidad de mercado VIX disminuyó 14.3% con respecto al nivel del cierre del cuarto trimestre de 2020. De esta manera, los principales índices financieros mundiales registraron una expansión durante el primer trimestre de 2021. Lo anterior, se tradujo en un restablecimiento importante de los flujos de capitales hacia economías emergentes. Particularmente, el índice que mide el flujo neto de capital hacia economías en desarrollo, calculado por Bloomberg, aumentó 10.2% durante el primer trimestre de 2021 con respecto al cuarto trimestre de 2020.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En materia de precios, durante marzo, se registraron presiones al alza para la inflación. Esto fue producto de un efecto base adverso, de los cuellos de botella experimentados en la oferta de bienes y servicios (derivados de las dificultades que enfrentan los proveedores, por </w:t>
      </w:r>
      <w:proofErr w:type="gramStart"/>
      <w:r w:rsidRPr="00C53587">
        <w:rPr>
          <w:rFonts w:ascii="Arial" w:hAnsi="Arial" w:cs="Arial"/>
          <w:sz w:val="18"/>
          <w:szCs w:val="18"/>
        </w:rPr>
        <w:t>ejemplo</w:t>
      </w:r>
      <w:proofErr w:type="gramEnd"/>
      <w:r w:rsidRPr="00C53587">
        <w:rPr>
          <w:rFonts w:ascii="Arial" w:hAnsi="Arial" w:cs="Arial"/>
          <w:sz w:val="18"/>
          <w:szCs w:val="18"/>
        </w:rPr>
        <w:t xml:space="preserve"> los de semiconductores para la industria automotriz), así como por un incremento en los precios de las materias primas y los energéticos. Por su parte, la inflación recibió presiones a la baja derivadas de que los mercados laborales y la demanda mundial continuaron por debajo de sus niveles pre-pandemia. En este contexto, se espera que los efectos atípicos que presionan al indicador al alza sean temporales y se desvanezcan hacía la segunda mitad de 2021. Asimismo, la Reserva Federal y el Banco Central Europeo mantuvieron su confianza en las herramientas de política monetaria disponibles en caso de persistentes presiones inflacionarias.</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En consecuencia, los bonos del tesoro estadounidense de largo plazo han mostrado presiones al alza en sus rendimientos. Si bien no se tiene certeza sobre la duración del efecto en los mercados financieros provocado por las mejores expectativas de la recuperación económica, este fenómeno ha elevado el costo de financiamiento de los gobiernos de todo el mundo.</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En el primer trimestre de 2021, la economía mexicana continuó en la senda de recuperación que inició desde junio de 2020, la cual se ha visto favorecida por el dinamismo del mercado interno en materia de empleo, consumo e inversión, así como por la reactivación sostenida de las actividades económicas ante la reducción de contagios por COVID-19, y el impulso adicional que ha significado el avance en los programas de vacunación en México y el resto del mundo, aunado a la reactivación económica de sus principales socios comerciales. A pesar de la suspensión parcial de actividades implementada a inicios de año para contener la pandemia y la interrupción a las actividades que tuvieron que realizar algunas empresas en febrero, por el desabasto en el suministro de gas natural desde Texas y por la escasez de semiconductores y resinas plásticas, la economía mexicana continuó recuperándose, aunque con cierto grado de heterogeneidad entre sectores.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La información más reciente sobre el IGAE muestra que, si bien la economía presentó una disminución de 0.4% el primer bimestre de 2021 con cifras ajustadas por estacionalidad, el desempeño de la actividad económica fue heterogénea al interior con una recuperación en febrero de 96.0% respecto a los niveles pre-pandemia de febrero de 2020. En los sectores secundario y terciario la recuperación alcanzó 96.9 y 95.0% del nivel </w:t>
      </w:r>
      <w:proofErr w:type="spellStart"/>
      <w:r w:rsidRPr="00C53587">
        <w:rPr>
          <w:rFonts w:ascii="Arial" w:hAnsi="Arial" w:cs="Arial"/>
          <w:sz w:val="18"/>
          <w:szCs w:val="18"/>
        </w:rPr>
        <w:t>prepandemia</w:t>
      </w:r>
      <w:proofErr w:type="spellEnd"/>
      <w:r w:rsidRPr="00C53587">
        <w:rPr>
          <w:rFonts w:ascii="Arial" w:hAnsi="Arial" w:cs="Arial"/>
          <w:sz w:val="18"/>
          <w:szCs w:val="18"/>
        </w:rPr>
        <w:t xml:space="preserve">, respectivamente, donde destaca la recuperación de estos sectores que en mayo de 2020 llegaron a estar al 71.3 y 82.7% de su nivel pre-pandemia. La dinámica sectorial del IGAE en el primer trimestre de 2021 se explica por la relativa flexibilidad para ajustar las condiciones de trabajo para continuar operando al aire libre y en estricto apego a las medidas sanitarias. En cambio, las </w:t>
      </w:r>
      <w:r w:rsidRPr="00C53587">
        <w:rPr>
          <w:rFonts w:ascii="Arial" w:hAnsi="Arial" w:cs="Arial"/>
          <w:sz w:val="18"/>
          <w:szCs w:val="18"/>
        </w:rPr>
        <w:lastRenderedPageBreak/>
        <w:t xml:space="preserve">actividades presenciales, turísticas y de trasporte tuvieron interrupciones en el bimestre y una recuperación condicionada por la evolución regional de la pandemia, las medidas sanitarias y la movilidad de la población, así como por los avances en el programa de vacunación en México y el resto del mundo.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El detalle del comportamiento del primer bimestre de 2021 fue el siguiente: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Las actividades primarias decrecieron 0.5% en enero-febrero de 2021 respecto a noviembre-diciembre del año previo, luego de un desempeño positivo a lo largo de 2020.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Las actividades secundarias mostraron un crecimiento de 0.4% respecto al bimestre previo, con cifras con ajuste por estacionalidad. Lo anterior implica un repunte de 35.2% con respecto a abril-mayo de 2020, bimestre con los niveles más bajos derivado de que la mayoría de los sectores se encontraban cerrados por la contingencia sanitaria. El crecimiento bimestral de enero-febrero de 2021 se observó debido a los aumentos de 2.3 y 2.0% en la minería y la construcción, mientras que la generación, transmisión y distribución de energía eléctrica, suministro de agua y de gas disminuyó 3.1% debido al desabasto de gas. La industria manufacturera presentó una disminución bimestral de 1.6% principalmente por reducciones en la fabricación de equipo de transporte y la industria química.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Las actividades terciarias tuvieron una disminución de 0.2% bimestral en </w:t>
      </w:r>
      <w:proofErr w:type="spellStart"/>
      <w:r w:rsidRPr="00C53587">
        <w:rPr>
          <w:rFonts w:ascii="Arial" w:hAnsi="Arial" w:cs="Arial"/>
          <w:sz w:val="18"/>
          <w:szCs w:val="18"/>
        </w:rPr>
        <w:t>enerofebrero</w:t>
      </w:r>
      <w:proofErr w:type="spellEnd"/>
      <w:r w:rsidRPr="00C53587">
        <w:rPr>
          <w:rFonts w:ascii="Arial" w:hAnsi="Arial" w:cs="Arial"/>
          <w:sz w:val="18"/>
          <w:szCs w:val="18"/>
        </w:rPr>
        <w:t xml:space="preserve"> de 2021 respecto al bimestre previo. No obstante, al mes de febrero recuperó el 95.0% del nivel alcanzado un año antes, mes de referencia </w:t>
      </w:r>
      <w:proofErr w:type="spellStart"/>
      <w:r w:rsidRPr="00C53587">
        <w:rPr>
          <w:rFonts w:ascii="Arial" w:hAnsi="Arial" w:cs="Arial"/>
          <w:sz w:val="18"/>
          <w:szCs w:val="18"/>
        </w:rPr>
        <w:t>prepandemia</w:t>
      </w:r>
      <w:proofErr w:type="spellEnd"/>
      <w:r w:rsidRPr="00C53587">
        <w:rPr>
          <w:rFonts w:ascii="Arial" w:hAnsi="Arial" w:cs="Arial"/>
          <w:sz w:val="18"/>
          <w:szCs w:val="18"/>
        </w:rPr>
        <w:t>. Al interior del sector persiste la heterogeneidad debido a las formas de llevar a cabo las actividades y su dependencia a las reglas de confinamiento. Las mayores disminuciones del bimestre fueron en transportes e información en medios masivos (-3.9%), alojamiento temporal y preparación de alimentos (-2.9%), comercio al por menor (-2.5%) y servicios financieros e inmobiliarios (-0.6%). Mientras tanto, las actividades profesionales, científicas y técnicas, las actividades del gobierno y de organismos internacionales y los servicios educativos y de salud crecieron en el bimestre 3.7, 1.0 y 0.4%, respectivamente.</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Por su parte, en el primer trimestre de 2021, las ventas totales de los establecimientos afiliados a la ANTAD se encontraron 10.6% por arriba del nivel alcanzado en el segundo trimestre de 2020, cuando se llegó al nivel más bajo de ventas en 2020. En marzo, las ventas totales presentaron un crecimiento real anual de 3.9%, el más alto desde febrero de 2020. Estos resultados se encuentran en línea con la tendencia positiva que ha presentado la confianza del consumidor desde junio de 2020 y que, en marzo de 2021, tuvo un crecimiento mensual por cuarta ocasión consecutiva.</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En cuanto a la inversión, en enero de 2021, la formación bruta de capital fijo presentó un incremento mensual de 3.3%, con cifras ajustadas por estacionalidad, que en el acumulado desde el nivel mínimo observado en mayo alcanzó 39.2% de crecimiento y ha recuperado el 92.5% del nivel pre-pandemia. La formación bruta de capital fijo presentó crecimientos mensuales en enero en todos sus componentes: 2.9% en la inversión en construcción (88.3% de su nivel del año anterior), 3.5% en la inversión en maquinaria y equipo nacional (90.4%) y 4.0% en la inversión de maquinaria y equipo importada (98.0%). Cabe destacar los crecimientos de la inversión en equipo de transporte de origen nacional y de la construcción no residencial en 8.2 y 7.4%, respectivamente.</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Por lo que se refiere a la ocupación formal, con la información disponible al 31 de marzo de 2021, el número de trabajadores asegurados en el Instituto Mexicano del Seguro Social (IMSS) ascendió a 20 millones 25 mil 709 personas, representando un aumento de 251 mil 977 plazas (1.3%) con respecto a diciembre de 2020. El aumento en el número de plazas se explicó por los contratos permanentes en 137 mil 413 (0.8%) y eventuales en 114 mil 564 (4.1%). En este contexto, el incremento de puestos de trabajo totales provino mayoritariamente del sector manufacturero (122 mil 619, 2.3% respecto a diciembre), los servicios sociales (65 mil 317 plazas, 3.0% respecto a diciembre), agropecuario (43 mil 594 plazas, 5.8% respecto a diciembre), la construcción (39 mil 779 plazas, 2.7% respecto a diciembre).</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Con la reapertura gradual y ordenada de las actividades en diversos sectores de la economía mexicana y la recuperación de los principales socios comerciales, el comercio de mercancías de México con el exterior continuó mejorando durante el primer trimestre de 2021. Cabe destacar que esta recuperación se vio favorecida por </w:t>
      </w:r>
      <w:r w:rsidRPr="00C53587">
        <w:rPr>
          <w:rFonts w:ascii="Arial" w:hAnsi="Arial" w:cs="Arial"/>
          <w:sz w:val="18"/>
          <w:szCs w:val="18"/>
        </w:rPr>
        <w:lastRenderedPageBreak/>
        <w:t xml:space="preserve">políticas monetarias más acomodaticias y por la implementación de numerosos paquetes de apoyo a nivel internacional, aunado a la relajación de las medidas de confinamiento en algunos países. Ante estas condiciones, el volumen de comercio mundial aumentó en 2.2% en el bimestre enero-febrero de 2021 respecto al bimestre previo. Si bien en septiembre de 2020 el comercio mundial recuperó su nivel pre-pandemia, a febrero de 2021 el nivel registrado fue superior en 5.4% superior respecto al observado en febrero de 2020.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En este contexto, al primer trimestre de 2021 el valor de las exportaciones mexicanas continuó recuperándose por arriba de los niveles pre-pandemia. Este creció 0.4% con respecto al cuarto trimestre de 2020 y superó en 4.5% el valor de las exportaciones totales con respecto al primer trimestre de 2020, con datos ajustados por estacionalidad.</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Por otra parte, el valor de las exportaciones petroleras aumentó en el primer trimestre 25.2% con respecto al trimestre anterior, una vez que se toma en cuenta la estacionalidad. El incremento de este rubro fue consecuencia del crecimiento de las exportaciones de crudo y de otros productos petroleros en 23.2 y 36.7% con respecto al trimestre previo. Cabe resaltar el aumento del precio de la mezcla mexicana de exportación que pasó de un promedio de 41.0 dólares por barril en el cuarto trimestre de 2020 a 55.5 dólares en el primer trimestre de 2021, que más que compensó la reducción en 12.4% del volumen exportado con respecto al último trimestre del año previo. Mientras tanto, el valor de las importaciones totales mostró un crecimiento de 11.7% respecto al trimestre anterior, debido al crecimiento de las importaciones de bienes intermedios (8.0%), de capital (12.5%) y de consumo (12.5%), en línea con la recuperación de la demanda interna y la apreciación de 1.1% del tipo de cambio real. Al interior de este rubro, el valor de las importaciones petroleras aumentó 44.2% mientras que las no petroleras creció en 8.8%. Cabe destacar que durante el primer trimestre de 2021 el valor total de las importaciones no </w:t>
      </w:r>
      <w:proofErr w:type="gramStart"/>
      <w:r w:rsidRPr="00C53587">
        <w:rPr>
          <w:rFonts w:ascii="Arial" w:hAnsi="Arial" w:cs="Arial"/>
          <w:sz w:val="18"/>
          <w:szCs w:val="18"/>
        </w:rPr>
        <w:t>petroleras</w:t>
      </w:r>
      <w:proofErr w:type="gramEnd"/>
      <w:r w:rsidRPr="00C53587">
        <w:rPr>
          <w:rFonts w:ascii="Arial" w:hAnsi="Arial" w:cs="Arial"/>
          <w:sz w:val="18"/>
          <w:szCs w:val="18"/>
        </w:rPr>
        <w:t xml:space="preserve"> así como el de todos sus componentes aumentaron y superaron los niveles pre-pandemia con crecimientos sostenidos por tres trimestres consecutivos, con datos ajustados por estacionalidad.</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El saldo de la balanza comercial de mercancías no petroleras al cuarto trimestre de 2020 se ubicó en 19 mil 208 millones de dólares (8,526 al cuarto trimestre de 2019), mientras que el saldo deficitario de la balanza de mercancías petroleras fue de 3 mil 690 millones de dólares (-5 mil 313 al cuarto trimestre de 2019). Adicionalmente, el superávit en la balanza de ingreso secundario aumentó en mil 449 millones de dólares, donde el componente de remesas presentó el segundo nivel más alto que se tiene registro de 10 mil 641 millones de dólares (3.8% del PIB acumulado en el año). De este modo, el saldo superavitario de la balanza no petrolera y el ingreso secundario más que compensaron los déficits de la balanza de ingresos primarios y de la balanza comercial de mercancías petroleras y de servicios. Finalmente, la cuenta financiera de la balanza de pagos en el cuarto trimestre registró un préstamo neto con el exterior que implicó una salida de recursos por 11 mil 578 millones de dólares. Al interior de la cuenta financiera se observó una salida de recursos por 3 mil 720 millones de dólares en la cuenta de inversión de cartera y 12 mil 930 millones en otras inversiones. Esta salida fue parcialmente compensada por la entrada neta de mil 994 millones de dólares de inversión directa y mil 894 millones de derivados financieros. Mientras tanto, los activos de reservas registraron una disminución de mil 184 millones de dólares.</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Los ingresos no tributarios del Gobierno Federal sumaron 140 mil 479 millones de pesos, monto superior en 89 mil 44 millones de pesos respecto a lo aprobado. Al interior, 19 mil 121 millones de pesos corresponden a derechos y 70 mil 961 millones de pesos por aprovechamientos. Respecto al año anterior, estos ingresos fueron mayores a lo observado en el mismo periodo en 13.6% real. Destaca en el periodo la recuperación de activos financieros del Fondo de Salud para el Bienestar por 33 mil millones de pesos, previstos en la Ley de Ingresos de la Federación (LIF) 2021 para financiar gasto en salud; del Fideicomiso Fondo de Desastres Naturales por 7 mil 600 millones de pesos, que corresponden a recursos no comprometidos y en línea con el proceso de extinción del Fideicomiso; así como, los ingresos derivados por operaciones de financiamiento (colocación sobre par) de 16 mil 979 millones de pesos.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Como resultado de la reactivación económica y del reforzamiento del marco tributario para maximizar la recaudación sin aumentar los impuestos, en el primer trimestre de 2021 prácticamente todos los rubros de ingresos tributarios mostraron mayores entradas respecto a las programadas. De manera particular, los ingresos tributarios sumaron 1 billón 24 mil 111 millones de pesos, lo que representó 28 mil 273 millones de pesos arriba del programa y una disminución de 2.0% en términos reales respecto a lo observado en 2020. Los mayores ingresos respecto al programa se concentraron en el impuesto al valor agregado.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lastRenderedPageBreak/>
        <w:t xml:space="preserve">Los ingresos propios del IMSS y del ISSSTE se ubicaron en 109 mil 701 millones de pesos, monto superior en 4 mil 141 millones de pesos con respecto al programado e inferior en 2.4% en términos reales respecto al año anterior. Los ingresos propios de CFE ascendieron a 85 mil 229 millones de pesos, cifra menor en términos reales en 14.7% respecto a 2020 e inferior en 9 mil 108 millones de pesos respecto al programa, derivado de menor venta de servicios.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Los ingresos petroleros del Sector Público se ubicaron en 204 mil 551 millones de pesos, monto inferior en 29 mil 509 millones de pesos respecto a lo programado y 45.6% mayor, en términos reales, respecto a lo observado en 2020. El resultado con respecto al programa se explica por la menor plataforma de producción de hidrocarburos; menores ventas internas y mayor compra de combustibles para reventa; que se compensan en parte con el mayor precio del petróleo y el efecto del registro de las aportaciones patrimoniales del Gobierno Federal a Pemex. El dinamismo respecto al año anterior obedece principalmente al incremento del precio del petróleo crudo y el gas natural, así como mayores aportaciones patrimoniales del Gobierno Federal a Pemex.</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En el primer trimestre de 2021, el gasto neto pagado se ubicó en 1 billón 662 mil 244 millones de pesos, monto mayor al registrado en el mismo periodo del año anterior en 7.9% real, e inferior al previsto en el programa4 en 5 mil 611 millones de pesos. Respecto al periodo enero-marzo de 2020, el gasto primario fue superior en 9.4% en términos reales; el gasto neto total excluyendo la inversión financiera, las pensiones, las participaciones y el costo financiero aumentó 7.5% real; y el gasto corriente estructural aumentó 5.2% real.</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Las menores erogaciones respecto al programa obedecen a los menores niveles de gasto no programable de 37 mil 304 millones de pesos, que se explican por un menor costo financiero de 18 mil 387 millones de pesos y por un menor pago de </w:t>
      </w:r>
      <w:proofErr w:type="spellStart"/>
      <w:r w:rsidRPr="00C53587">
        <w:rPr>
          <w:rFonts w:ascii="Arial" w:hAnsi="Arial" w:cs="Arial"/>
          <w:sz w:val="18"/>
          <w:szCs w:val="18"/>
        </w:rPr>
        <w:t>Adefas</w:t>
      </w:r>
      <w:proofErr w:type="spellEnd"/>
      <w:r w:rsidRPr="00C53587">
        <w:rPr>
          <w:rFonts w:ascii="Arial" w:hAnsi="Arial" w:cs="Arial"/>
          <w:sz w:val="18"/>
          <w:szCs w:val="18"/>
        </w:rPr>
        <w:t xml:space="preserve"> y otros de 28 mil 290 millones de pesos. El menor costo financiero y pago de </w:t>
      </w:r>
      <w:proofErr w:type="spellStart"/>
      <w:r w:rsidRPr="00C53587">
        <w:rPr>
          <w:rFonts w:ascii="Arial" w:hAnsi="Arial" w:cs="Arial"/>
          <w:sz w:val="18"/>
          <w:szCs w:val="18"/>
        </w:rPr>
        <w:t>Adefas</w:t>
      </w:r>
      <w:proofErr w:type="spellEnd"/>
      <w:r w:rsidRPr="00C53587">
        <w:rPr>
          <w:rFonts w:ascii="Arial" w:hAnsi="Arial" w:cs="Arial"/>
          <w:sz w:val="18"/>
          <w:szCs w:val="18"/>
        </w:rPr>
        <w:t xml:space="preserve"> se compensó con un mayor pago de participaciones a los estados y municipios de 9 mil 373 millones de pesos.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Por su parte, el gasto programable fue mayor en 31 mil 693 millones de pesos. A su interior destacan las erogaciones de la Administración Pública Centralizada y de las empresas productivas del Estado (Pemex y CFE), que fueron mayores por 26 mil 210 millones de pesos y por 36 mil 760 millones de pesos, respectivamente; mientras que, los organismos bajo control presupuestario directo (IMSS e ISSSTE) y los entes autónomos registraron menor gasto en 26 mil 793 millones de pesos y 13 mil 379 millones de pesos, respectivamente.</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La revisión de las estimaciones de cierre de las finanzas públicas para 2021 considera la información presentada en los Pre-Criterios Generales de Política Económica para 2022 publicados el 31 de marzo de 2021. Este escenario contempla la actualización de la información de finanzas publicas por los resultados del cierre año, la revisión del impacto previsto por la contingencia relacionada a la propagación del COVID-19 en el dinamismo de la economía, así como el avance esperado en el programa de vacunación.</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Se anticipa que el crecimiento real del PIB de México para 2021 se ubique en un rango de entre 4.3 y 6.3%. Para las estimaciones de finanzas públicas se utiliza la estimación puntual de una variación real del PIB de 5.3%, que se compara positivamente con el 4.6% utilizado para el Paquete Económico 2021.</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El tipo de cambio promedio utilizado para las estimaciones de finanzas públicas es de 20.4 pesos por dólar, en lugar de los 22.1 pesos por dólar que se utilizó para la estimación de la LIF 2021. Los pronósticos de inflación empleados son consistentes con las previsiones publicadas por el Banco de México, así como con su objetivo de inflación. Así, se prevé una inflación al cierre del año de 3.8%.</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El precio promedio anual de la mezcla mexicana de exportación de petróleo se estima en 55.0 dólares por barril (dpb), cifra mayor a los 42.1 dpb aprobados para la LIF 2021. La plataforma de producción de petróleo se prevé en 1,794 miles de barriles diarios (</w:t>
      </w:r>
      <w:proofErr w:type="spellStart"/>
      <w:r w:rsidRPr="00C53587">
        <w:rPr>
          <w:rFonts w:ascii="Arial" w:hAnsi="Arial" w:cs="Arial"/>
          <w:sz w:val="18"/>
          <w:szCs w:val="18"/>
        </w:rPr>
        <w:t>mbd</w:t>
      </w:r>
      <w:proofErr w:type="spellEnd"/>
      <w:r w:rsidRPr="00C53587">
        <w:rPr>
          <w:rFonts w:ascii="Arial" w:hAnsi="Arial" w:cs="Arial"/>
          <w:sz w:val="18"/>
          <w:szCs w:val="18"/>
        </w:rPr>
        <w:t xml:space="preserve">), en lugar de los 1,857 </w:t>
      </w:r>
      <w:proofErr w:type="spellStart"/>
      <w:r w:rsidRPr="00C53587">
        <w:rPr>
          <w:rFonts w:ascii="Arial" w:hAnsi="Arial" w:cs="Arial"/>
          <w:sz w:val="18"/>
          <w:szCs w:val="18"/>
        </w:rPr>
        <w:t>mbd</w:t>
      </w:r>
      <w:proofErr w:type="spellEnd"/>
      <w:r w:rsidRPr="00C53587">
        <w:rPr>
          <w:rFonts w:ascii="Arial" w:hAnsi="Arial" w:cs="Arial"/>
          <w:sz w:val="18"/>
          <w:szCs w:val="18"/>
        </w:rPr>
        <w:t xml:space="preserve"> previstos para las estimaciones de LIF 2021.</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lastRenderedPageBreak/>
        <w:t>En el Estado viven 1,272,847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C53587" w:rsidRPr="00C53587" w:rsidRDefault="00C53587" w:rsidP="00C53587">
      <w:pPr>
        <w:tabs>
          <w:tab w:val="left" w:pos="284"/>
        </w:tabs>
        <w:ind w:left="284"/>
        <w:jc w:val="both"/>
        <w:rPr>
          <w:rFonts w:ascii="Arial" w:hAnsi="Arial" w:cs="Arial"/>
          <w:sz w:val="18"/>
          <w:szCs w:val="18"/>
        </w:rPr>
      </w:pPr>
    </w:p>
    <w:p w:rsidR="00C53587" w:rsidRPr="00C53587" w:rsidRDefault="00C53587" w:rsidP="00C1028E">
      <w:pPr>
        <w:tabs>
          <w:tab w:val="left" w:pos="284"/>
        </w:tabs>
        <w:ind w:left="284"/>
        <w:jc w:val="center"/>
        <w:rPr>
          <w:rFonts w:ascii="Arial" w:hAnsi="Arial" w:cs="Arial"/>
          <w:sz w:val="18"/>
          <w:szCs w:val="18"/>
        </w:rPr>
      </w:pPr>
      <w:r w:rsidRPr="00C53587">
        <w:rPr>
          <w:rFonts w:ascii="Arial" w:hAnsi="Arial" w:cs="Arial"/>
          <w:noProof/>
          <w:sz w:val="18"/>
          <w:szCs w:val="18"/>
          <w:lang w:eastAsia="es-MX"/>
        </w:rPr>
        <w:drawing>
          <wp:inline distT="0" distB="0" distL="0" distR="0">
            <wp:extent cx="2320290" cy="3114040"/>
            <wp:effectExtent l="0" t="0" r="381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320290" cy="3114040"/>
                    </a:xfrm>
                    <a:prstGeom prst="rect">
                      <a:avLst/>
                    </a:prstGeom>
                    <a:noFill/>
                    <a:ln>
                      <a:noFill/>
                    </a:ln>
                  </pic:spPr>
                </pic:pic>
              </a:graphicData>
            </a:graphic>
          </wp:inline>
        </w:drawing>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lastRenderedPageBreak/>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2011 al segundo trimestre de 2020, Tlaxcala ha recibido flujos de inversión acumulados por 1 mil 895.5 millones de dólares (</w:t>
      </w:r>
      <w:proofErr w:type="spellStart"/>
      <w:r w:rsidRPr="00C53587">
        <w:rPr>
          <w:rFonts w:ascii="Arial" w:hAnsi="Arial" w:cs="Arial"/>
          <w:sz w:val="18"/>
          <w:szCs w:val="18"/>
        </w:rPr>
        <w:t>mdd</w:t>
      </w:r>
      <w:proofErr w:type="spellEnd"/>
      <w:r w:rsidRPr="00C53587">
        <w:rPr>
          <w:rFonts w:ascii="Arial" w:hAnsi="Arial" w:cs="Arial"/>
          <w:sz w:val="18"/>
          <w:szCs w:val="18"/>
        </w:rPr>
        <w:t>) equivalentes al 1% del total de flujos captados por el país de acuerdo a la Secretaría de Economía al Segundo Trimestre de 2020, la entidad pasó a ocupar la posición 28 como receptor de inversión externa en el país.</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al cuarto trimestre de 2020 es de 612 mil 523 personas y representa 1.1% del total nacional. La población ocupada representó 94% de la PEA de la entidad, es decir, 578 mil 431 personas. De esta población, 59.9 % son hombres y 40.1 % son mujeres. Un dato a destacar es el aumento de la participación laboral femenina en el estado. En 2001, la proporción de mujeres trabajadoras tlaxcaltecas dentro de la población ocupada total era de 33%. Actualmente, alcanza 41%; 2 puntos porcentuales mayor al promedio nacional.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Al mes de mayo de 2021 se tiene un incremento de 4,084 puestos de trabajo respecto a diciembre de 2020. Al mes de mayo de 2021, se tienen registrados 103,141 trabajadores asegurados en el IMSS, tal y como se muestra en los siguientes cuadros:</w:t>
      </w:r>
    </w:p>
    <w:p w:rsidR="00C53587" w:rsidRPr="00C53587" w:rsidRDefault="00C53587" w:rsidP="00C53587">
      <w:pPr>
        <w:tabs>
          <w:tab w:val="left" w:pos="284"/>
        </w:tabs>
        <w:ind w:left="284"/>
        <w:jc w:val="both"/>
        <w:rPr>
          <w:rFonts w:ascii="Arial" w:hAnsi="Arial" w:cs="Arial"/>
          <w:sz w:val="18"/>
          <w:szCs w:val="18"/>
        </w:rPr>
      </w:pPr>
    </w:p>
    <w:p w:rsidR="00C53587" w:rsidRPr="00C53587" w:rsidRDefault="00C53587" w:rsidP="00C53587">
      <w:pPr>
        <w:tabs>
          <w:tab w:val="left" w:pos="284"/>
        </w:tabs>
        <w:ind w:left="284"/>
        <w:jc w:val="both"/>
        <w:rPr>
          <w:rFonts w:ascii="Arial" w:hAnsi="Arial" w:cs="Arial"/>
          <w:sz w:val="18"/>
          <w:szCs w:val="18"/>
        </w:rPr>
      </w:pP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noProof/>
          <w:sz w:val="18"/>
          <w:szCs w:val="18"/>
          <w:lang w:eastAsia="es-MX"/>
        </w:rPr>
        <w:lastRenderedPageBreak/>
        <w:drawing>
          <wp:inline distT="0" distB="0" distL="0" distR="0">
            <wp:extent cx="8385175" cy="585724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28159" t="26385" r="27599" b="23003"/>
                    <a:stretch>
                      <a:fillRect/>
                    </a:stretch>
                  </pic:blipFill>
                  <pic:spPr bwMode="auto">
                    <a:xfrm>
                      <a:off x="0" y="0"/>
                      <a:ext cx="8385175" cy="5857240"/>
                    </a:xfrm>
                    <a:prstGeom prst="rect">
                      <a:avLst/>
                    </a:prstGeom>
                    <a:noFill/>
                    <a:ln>
                      <a:noFill/>
                    </a:ln>
                  </pic:spPr>
                </pic:pic>
              </a:graphicData>
            </a:graphic>
          </wp:inline>
        </w:drawing>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noProof/>
          <w:sz w:val="18"/>
          <w:szCs w:val="18"/>
          <w:lang w:eastAsia="es-MX"/>
        </w:rPr>
        <w:lastRenderedPageBreak/>
        <w:drawing>
          <wp:inline distT="0" distB="0" distL="0" distR="0">
            <wp:extent cx="8410575" cy="3519805"/>
            <wp:effectExtent l="0" t="0" r="9525"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28079" t="35374" r="27678" b="38716"/>
                    <a:stretch>
                      <a:fillRect/>
                    </a:stretch>
                  </pic:blipFill>
                  <pic:spPr bwMode="auto">
                    <a:xfrm>
                      <a:off x="0" y="0"/>
                      <a:ext cx="8410575" cy="3519805"/>
                    </a:xfrm>
                    <a:prstGeom prst="rect">
                      <a:avLst/>
                    </a:prstGeom>
                    <a:noFill/>
                    <a:ln>
                      <a:noFill/>
                    </a:ln>
                  </pic:spPr>
                </pic:pic>
              </a:graphicData>
            </a:graphic>
          </wp:inline>
        </w:drawing>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noProof/>
          <w:sz w:val="18"/>
          <w:szCs w:val="18"/>
          <w:lang w:eastAsia="es-MX"/>
        </w:rPr>
        <w:lastRenderedPageBreak/>
        <w:drawing>
          <wp:inline distT="0" distB="0" distL="0" distR="0">
            <wp:extent cx="8592185" cy="60991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30606" t="26613" r="28214" b="15221"/>
                    <a:stretch>
                      <a:fillRect/>
                    </a:stretch>
                  </pic:blipFill>
                  <pic:spPr bwMode="auto">
                    <a:xfrm>
                      <a:off x="0" y="0"/>
                      <a:ext cx="8592185" cy="6099175"/>
                    </a:xfrm>
                    <a:prstGeom prst="rect">
                      <a:avLst/>
                    </a:prstGeom>
                    <a:noFill/>
                    <a:ln>
                      <a:noFill/>
                    </a:ln>
                  </pic:spPr>
                </pic:pic>
              </a:graphicData>
            </a:graphic>
          </wp:inline>
        </w:drawing>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lastRenderedPageBreak/>
        <w:t>De acuerdo al Directorio Estadístico Nacional de Unidades Económicas, Tlaxcala cuenta con 81,764 Unidades Económicas, lo que representa el 1 % del total nacional. Al primer trimestre de 2021 la Población Económicamente Activa (PEA) ascendió a 585,720 personas, representando el 58 % de la población en edad de trabajar. Del Total de la PEA, el 94 % está ocupada y el 6 % se encuentra desocupada.</w:t>
      </w:r>
    </w:p>
    <w:p w:rsidR="00C53587" w:rsidRPr="00C53587" w:rsidRDefault="00C53587" w:rsidP="00C53587">
      <w:pPr>
        <w:tabs>
          <w:tab w:val="left" w:pos="284"/>
        </w:tabs>
        <w:ind w:left="284"/>
        <w:jc w:val="both"/>
        <w:rPr>
          <w:rFonts w:ascii="Arial" w:hAnsi="Arial" w:cs="Arial"/>
          <w:sz w:val="18"/>
          <w:szCs w:val="18"/>
        </w:rPr>
      </w:pP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noProof/>
          <w:sz w:val="18"/>
          <w:szCs w:val="18"/>
          <w:lang w:eastAsia="es-MX"/>
        </w:rPr>
        <w:drawing>
          <wp:inline distT="0" distB="0" distL="0" distR="0">
            <wp:extent cx="7332345" cy="4908550"/>
            <wp:effectExtent l="0" t="0" r="1905"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l="28589" t="30208" r="27838" b="13654"/>
                    <a:stretch>
                      <a:fillRect/>
                    </a:stretch>
                  </pic:blipFill>
                  <pic:spPr bwMode="auto">
                    <a:xfrm>
                      <a:off x="0" y="0"/>
                      <a:ext cx="7332345" cy="4908550"/>
                    </a:xfrm>
                    <a:prstGeom prst="rect">
                      <a:avLst/>
                    </a:prstGeom>
                    <a:noFill/>
                    <a:ln>
                      <a:noFill/>
                    </a:ln>
                  </pic:spPr>
                </pic:pic>
              </a:graphicData>
            </a:graphic>
          </wp:inline>
        </w:drawing>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lastRenderedPageBreak/>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Al mes de diciembre de 2020, la Inversión Extranjera Directa Acumulada del año 1999 al mes de diciembre de 2020 en el Estado de Tlaxcala fue de 3,608.6 millones de dólares lo que representó un aporte del 1% al total nacional, instalándose empresas de diversas nacionalidades en la Entidad.</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noProof/>
          <w:sz w:val="18"/>
          <w:szCs w:val="18"/>
          <w:lang w:eastAsia="es-MX"/>
        </w:rPr>
        <w:drawing>
          <wp:inline distT="0" distB="0" distL="0" distR="0">
            <wp:extent cx="8393430" cy="402018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6320" t="16788" r="3461" b="6474"/>
                    <a:stretch>
                      <a:fillRect/>
                    </a:stretch>
                  </pic:blipFill>
                  <pic:spPr bwMode="auto">
                    <a:xfrm>
                      <a:off x="0" y="0"/>
                      <a:ext cx="8393430" cy="4020185"/>
                    </a:xfrm>
                    <a:prstGeom prst="rect">
                      <a:avLst/>
                    </a:prstGeom>
                    <a:noFill/>
                    <a:ln>
                      <a:noFill/>
                    </a:ln>
                  </pic:spPr>
                </pic:pic>
              </a:graphicData>
            </a:graphic>
          </wp:inline>
        </w:drawing>
      </w:r>
    </w:p>
    <w:p w:rsidR="00C53587" w:rsidRPr="00C53587" w:rsidRDefault="00C53587" w:rsidP="00C53587">
      <w:pPr>
        <w:tabs>
          <w:tab w:val="left" w:pos="284"/>
        </w:tabs>
        <w:ind w:left="284"/>
        <w:jc w:val="both"/>
        <w:rPr>
          <w:rFonts w:ascii="Arial" w:hAnsi="Arial" w:cs="Arial"/>
          <w:sz w:val="18"/>
          <w:szCs w:val="18"/>
        </w:rPr>
      </w:pP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noProof/>
          <w:sz w:val="18"/>
          <w:szCs w:val="18"/>
          <w:lang w:eastAsia="es-MX"/>
        </w:rPr>
        <w:lastRenderedPageBreak/>
        <mc:AlternateContent>
          <mc:Choice Requires="wps">
            <w:drawing>
              <wp:anchor distT="0" distB="0" distL="114300" distR="114300" simplePos="0" relativeHeight="251687936" behindDoc="0" locked="0" layoutInCell="1" allowOverlap="1">
                <wp:simplePos x="0" y="0"/>
                <wp:positionH relativeFrom="page">
                  <wp:posOffset>8772525</wp:posOffset>
                </wp:positionH>
                <wp:positionV relativeFrom="page">
                  <wp:posOffset>158209615</wp:posOffset>
                </wp:positionV>
                <wp:extent cx="189865" cy="45720"/>
                <wp:effectExtent l="19050" t="38100" r="57785" b="49530"/>
                <wp:wrapNone/>
                <wp:docPr id="96" name="Flecha derecha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047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6" o:spid="_x0000_s1026" type="#_x0000_t13" style="position:absolute;margin-left:690.75pt;margin-top:12457.45pt;width:14.95pt;height:3.6pt;flip:y;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qlAIAAEsFAAAOAAAAZHJzL2Uyb0RvYy54bWysVMlu2zAQvRfoPxC8N1ocO7IROchSFwXS&#10;NkC6nGmSkthyK0lbTr++Q0p21eYW1AeaIw7fzLx5w8urg5Joz50XRte4OMsx4poaJnRb4y+fN28q&#10;jHwgmhFpNK/xE/f4av361WVvV7w0nZGMOwQg2q96W+MuBLvKMk87rog/M5ZrOGyMUySA6dqMOdID&#10;upJZmeeLrDeOWWco9x6+3g2HeJ3wm4bT8KlpPA9I1hhyC2l1ad3GNVtfklXriO0EHdMgL8hCEaEh&#10;6AnqjgSCdk48g1KCOuNNE86oUZlpGkF5qgGqKfJ/qnnsiOWpFiDH2xNN/v/B0o/7B4cEq/FygZEm&#10;Cnq0kZx2BEFj0j8cAEu99StwfrQPLtbp7b2hPzzS5rYjuuXXzpm+44RBbkX0z/66EA0PV9G2/2AY&#10;xCC7YBJhh8Yp1Ehhv8aLERpIQYfUoadTh/ghIAofi2pZLeYYUTg6n1+UqYEZWUWUeNc6H95xo1Dc&#10;1NiJtgsptYRM9vc+pC6xsVTCvhcYNUpC0/dEonkOv1EUE59y6lPky3J+DDxCQgrH0IkdIwXbCCmT&#10;4drtrXQI8IHbzTECXPFTN6lRX+NZVUACL8VQIsA0SaFqXMU4YymxL281S1oPRMhhDwlIHSPxNCcj&#10;NWYHEI8d6xETkcKymi1hhpmAoZlV+SJfXmBEZAvTToPDyJnwTYQuSTW261nFVTm7yW8G/qUFXSUe&#10;TkRHGgaCQDPQ/GP4ZE0yS3qKEhqkuDXsCeQE0ZNS4AWCTWfcL4x6mOYa+5874jhG8r0GSS6L8/M4&#10;/skYhIPc9GQ7PSGaAlSNA1SatrdheDJ2NinqqFRtrkHGjQhHvQ9ZjeKHiU1FjK9LfBKmdvL68wau&#10;fwM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J76liq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C53587">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El poco dinamismo de la economía regional, restringe al Estado para incrementar significativamente su recaudación propia; de 2011 a 2021, los ingresos propios promediaron entre el 4 y 6 por ciento de los ingresos totales captados. Se han implementado algunas medidas que incentivaron el pago de impuestos para reducir el rezago fiscal, particularmente en materia de tenencia y derechos vehiculares.</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1872A3" w:rsidRPr="004D5BEA" w:rsidRDefault="001872A3" w:rsidP="004D5BEA">
      <w:pPr>
        <w:tabs>
          <w:tab w:val="left" w:pos="284"/>
        </w:tabs>
        <w:ind w:left="284"/>
        <w:jc w:val="both"/>
        <w:rPr>
          <w:rFonts w:ascii="Arial" w:hAnsi="Arial" w:cs="Arial"/>
          <w:sz w:val="18"/>
          <w:szCs w:val="18"/>
        </w:rPr>
      </w:pPr>
    </w:p>
    <w:p w:rsidR="0032384C"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EC1988" w:rsidRPr="0073056A" w:rsidRDefault="00EC1988" w:rsidP="0032384C">
      <w:pPr>
        <w:pStyle w:val="Texto"/>
        <w:tabs>
          <w:tab w:val="left" w:pos="284"/>
        </w:tabs>
        <w:spacing w:after="0" w:line="276" w:lineRule="auto"/>
        <w:ind w:left="284" w:firstLine="0"/>
        <w:rPr>
          <w:b/>
          <w:szCs w:val="18"/>
          <w:lang w:val="es-MX"/>
        </w:rPr>
      </w:pP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34"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35"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36"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37"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38"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39"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40"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2F502D" w:rsidP="0032384C">
      <w:pPr>
        <w:tabs>
          <w:tab w:val="left" w:pos="284"/>
        </w:tabs>
        <w:ind w:left="284"/>
        <w:jc w:val="both"/>
        <w:rPr>
          <w:rFonts w:ascii="Arial" w:hAnsi="Arial" w:cs="Arial"/>
          <w:sz w:val="18"/>
          <w:szCs w:val="18"/>
        </w:rPr>
      </w:pPr>
      <w:proofErr w:type="gramStart"/>
      <w:r w:rsidRPr="0073056A">
        <w:rPr>
          <w:rFonts w:ascii="Arial" w:hAnsi="Arial" w:cs="Arial"/>
          <w:sz w:val="18"/>
          <w:szCs w:val="18"/>
        </w:rPr>
        <w:t>Los registros de las operaciones están en apego a los Postulados Básicos de Contabilidad Gubernamental y a las normas y manuales vigentes;</w:t>
      </w:r>
      <w:proofErr w:type="gramEnd"/>
      <w:r w:rsidRPr="0073056A">
        <w:rPr>
          <w:rFonts w:ascii="Arial" w:hAnsi="Arial" w:cs="Arial"/>
          <w:sz w:val="18"/>
          <w:szCs w:val="18"/>
        </w:rPr>
        <w:t xml:space="preserve"> </w:t>
      </w:r>
      <w:r w:rsidR="0032384C" w:rsidRPr="0073056A">
        <w:rPr>
          <w:rFonts w:ascii="Arial" w:hAnsi="Arial" w:cs="Arial"/>
          <w:sz w:val="18"/>
          <w:szCs w:val="18"/>
        </w:rPr>
        <w:t>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1872A3" w:rsidRDefault="001872A3"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lastRenderedPageBreak/>
        <w:t>Información sobre la Deuda y el Reporte Analítico de la Deuda</w:t>
      </w:r>
    </w:p>
    <w:p w:rsidR="0032384C" w:rsidRPr="003D14B8"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DA4A42" w:rsidRDefault="00DA4A42">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DA4A42" w:rsidRDefault="00DA4A42"/>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DA4A42" w:rsidRDefault="00DA4A42"/>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DA4A42" w:rsidRDefault="00DA4A42">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DA4A42" w:rsidRDefault="00DA4A42">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DA4A42" w:rsidRDefault="00DA4A42"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DA4A42" w:rsidRDefault="00DA4A42">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41"/>
      <w:headerReference w:type="default" r:id="rId42"/>
      <w:footerReference w:type="even" r:id="rId43"/>
      <w:footerReference w:type="default" r:id="rId44"/>
      <w:headerReference w:type="first" r:id="rId45"/>
      <w:footerReference w:type="first" r:id="rId46"/>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2F36" w:rsidRDefault="00602F36" w:rsidP="00EA5418">
      <w:pPr>
        <w:spacing w:after="0" w:line="240" w:lineRule="auto"/>
      </w:pPr>
      <w:r>
        <w:separator/>
      </w:r>
    </w:p>
  </w:endnote>
  <w:endnote w:type="continuationSeparator" w:id="0">
    <w:p w:rsidR="00602F36" w:rsidRDefault="00602F36"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A42" w:rsidRPr="004E3EA4" w:rsidRDefault="00DA4A42"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5E64EF" w:rsidRPr="005E64EF">
          <w:rPr>
            <w:rFonts w:ascii="Arial" w:hAnsi="Arial" w:cs="Arial"/>
            <w:noProof/>
            <w:sz w:val="20"/>
            <w:lang w:val="es-ES"/>
          </w:rPr>
          <w:t>24</w:t>
        </w:r>
        <w:r w:rsidRPr="004E3EA4">
          <w:rPr>
            <w:rFonts w:ascii="Arial" w:hAnsi="Arial" w:cs="Arial"/>
            <w:sz w:val="20"/>
          </w:rPr>
          <w:fldChar w:fldCharType="end"/>
        </w:r>
      </w:sdtContent>
    </w:sdt>
  </w:p>
  <w:p w:rsidR="00DA4A42" w:rsidRDefault="00DA4A4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A42" w:rsidRPr="003527CD" w:rsidRDefault="00DA4A42"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5E64EF" w:rsidRPr="005E64EF">
          <w:rPr>
            <w:rFonts w:ascii="Arial" w:hAnsi="Arial" w:cs="Arial"/>
            <w:noProof/>
            <w:lang w:val="es-ES"/>
          </w:rPr>
          <w:t>23</w:t>
        </w:r>
        <w:r w:rsidRPr="003527CD">
          <w:rPr>
            <w:rFonts w:ascii="Arial" w:hAnsi="Arial" w:cs="Arial"/>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A42" w:rsidRDefault="00DA4A4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2F36" w:rsidRDefault="00602F36" w:rsidP="00EA5418">
      <w:pPr>
        <w:spacing w:after="0" w:line="240" w:lineRule="auto"/>
      </w:pPr>
      <w:r>
        <w:separator/>
      </w:r>
    </w:p>
  </w:footnote>
  <w:footnote w:type="continuationSeparator" w:id="0">
    <w:p w:rsidR="00602F36" w:rsidRDefault="00602F36"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A42" w:rsidRDefault="002844B5" w:rsidP="007C1CF4">
    <w:pPr>
      <w:pStyle w:val="Encabezado"/>
      <w:ind w:left="720"/>
    </w:pPr>
    <w:bookmarkStart w:id="5" w:name="_GoBack"/>
    <w:bookmarkEnd w:id="5"/>
    <w:r>
      <w:rPr>
        <w:noProof/>
        <w:lang w:eastAsia="es-MX"/>
      </w:rPr>
      <mc:AlternateContent>
        <mc:Choice Requires="wps">
          <w:drawing>
            <wp:anchor distT="0" distB="0" distL="114300" distR="114300" simplePos="0" relativeHeight="251668480" behindDoc="0" locked="0" layoutInCell="1" allowOverlap="1" wp14:anchorId="405C3AC2" wp14:editId="2D46F22E">
              <wp:simplePos x="0" y="0"/>
              <wp:positionH relativeFrom="column">
                <wp:posOffset>2981325</wp:posOffset>
              </wp:positionH>
              <wp:positionV relativeFrom="paragraph">
                <wp:posOffset>-261620</wp:posOffset>
              </wp:positionV>
              <wp:extent cx="2638425" cy="600075"/>
              <wp:effectExtent l="0" t="0" r="0" b="9525"/>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A4A42" w:rsidRDefault="00DA4A4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A4A42" w:rsidRPr="00275FC6" w:rsidRDefault="00DA4A42"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5C3AC2" id="_x0000_t202" coordsize="21600,21600" o:spt="202" path="m,l,21600r21600,l21600,xe">
              <v:stroke joinstyle="miter"/>
              <v:path gradientshapeok="t" o:connecttype="rect"/>
            </v:shapetype>
            <v:shape id="Cuadro de texto 5" o:spid="_x0000_s1102" type="#_x0000_t202" style="position:absolute;left:0;text-align:left;margin-left:234.75pt;margin-top:-20.6pt;width:207.75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vpvQIAAMAFAAAOAAAAZHJzL2Uyb0RvYy54bWysVNtu3CAQfa/Uf0C8O76EvdiKN0rW66pS&#10;epHSfgBr8BrVBhfY9aZV/70D3luSl6qtHyxghjNnZg5zc7vvWrTj2gglcxxfRRhxWSkm5CbHX7+U&#10;wRwjY6lktFWS5/iJG3y7ePvmZugznqhGtYxrBCDSZEOf48baPgtDUzW8o+ZK9VyCsVa6oxa2ehMy&#10;TQdA79owiaJpOCjNeq0qbgycFqMRLzx+XfPKfqprwy1qcwzcrP9r/1+7f7i4odlG074R1YEG/QsW&#10;HRUSgp6gCmop2mrxCqoTlVZG1faqUl2o6lpU3OcA2cTRi2weG9pznwsUx/SnMpn/B1t93H3WSLAc&#10;JxhJ2kGLllvKtEKMI8v3VqGJK9LQmwx8H3vwtvt7tYdm+4RN/6CqbwZJtWyo3PA7rdXQcMqAZOxu&#10;hhdXRxzjQNbDB8UgGt1a5YH2te5cBaEmCNChWU+nBgEPVMFhMr2ek2SCUQW2aRRFM08upNnxdq+N&#10;fcdVh9wixxoE4NHp7sFYx4ZmRxcXTKpStK0XQSufHYDjeAKx4aqzORa+pz/TKF3NV3MSkGS6CkhU&#10;FMFduSTBtIxnk+K6WC6L+JeLG5OsEYxx6cIc9RWTP+vfQemjMk4KM6oVzME5SkZv1stWox0FfZf+&#10;8zUHy9ktfE7DFwFyeZFSnJDoPkmDcjqfBaQkkyCdRfMgitP7dBqRlBTl85QehOT/nhIacpxOoKc+&#10;nTPpF7lBr+F7nRvNOmFhgrSiy/H85EQzJ8GVZL61lop2XF+UwtE/lwLafWy0F6zT6KhWu1/vAcWp&#10;eK3YE0hXK1AW6BPGHiwapX9gNMAIybH5vqWaY9S+lyD/NCbEzRy/IZNZAht9aVlfWqisACrHFqNx&#10;ubTjnNr2WmwaiDQ+OKnu4MnUwqv5zOrw0GBM+KQOI83Nocu99zoP3sVvAAAA//8DAFBLAwQUAAYA&#10;CAAAACEA9ou8SeAAAAAKAQAADwAAAGRycy9kb3ducmV2LnhtbEyPy07DMBBF90j8gzVI7Fq7bVKl&#10;aSYVArEFUR5Sd248TSLicRS7Tfh7zIouR3N077nFbrKduNDgW8cIi7kCQVw503KN8PH+PMtA+KDZ&#10;6M4xIfyQh115e1Po3LiR3+iyD7WIIexzjdCE0OdS+qohq/3c9cTxd3KD1SGeQy3NoMcYbju5VGot&#10;rW45NjS6p8eGqu/92SJ8vpwOX4l6rZ9s2o9uUpLtRiLe300PWxCBpvAPw59+VIcyOh3dmY0XHUKy&#10;3qQRRZgliyWISGRZGtcdEdLVCmRZyOsJ5S8AAAD//wMAUEsBAi0AFAAGAAgAAAAhALaDOJL+AAAA&#10;4QEAABMAAAAAAAAAAAAAAAAAAAAAAFtDb250ZW50X1R5cGVzXS54bWxQSwECLQAUAAYACAAAACEA&#10;OP0h/9YAAACUAQAACwAAAAAAAAAAAAAAAAAvAQAAX3JlbHMvLnJlbHNQSwECLQAUAAYACAAAACEA&#10;G6XL6b0CAADABQAADgAAAAAAAAAAAAAAAAAuAgAAZHJzL2Uyb0RvYy54bWxQSwECLQAUAAYACAAA&#10;ACEA9ou8SeAAAAAKAQAADwAAAAAAAAAAAAAAAAAXBQAAZHJzL2Rvd25yZXYueG1sUEsFBgAAAAAE&#10;AAQA8wAAACQGAAAAAA==&#10;" filled="f" stroked="f">
              <v:textbox>
                <w:txbxContent>
                  <w:p w:rsidR="00DA4A42" w:rsidRDefault="00DA4A4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A4A42" w:rsidRDefault="00DA4A4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A4A42" w:rsidRPr="00275FC6" w:rsidRDefault="00DA4A42" w:rsidP="00040466">
                    <w:pPr>
                      <w:jc w:val="right"/>
                      <w:rPr>
                        <w:rFonts w:ascii="Soberana Titular" w:hAnsi="Soberana Titular" w:cs="Arial"/>
                        <w:color w:val="808080" w:themeColor="background1" w:themeShade="80"/>
                        <w:sz w:val="20"/>
                        <w:szCs w:val="20"/>
                      </w:rPr>
                    </w:pPr>
                  </w:p>
                </w:txbxContent>
              </v:textbox>
            </v:shape>
          </w:pict>
        </mc:Fallback>
      </mc:AlternateContent>
    </w:r>
    <w:r w:rsidR="00DA4A42">
      <w:rPr>
        <w:noProof/>
        <w:lang w:eastAsia="es-MX"/>
      </w:rPr>
      <mc:AlternateContent>
        <mc:Choice Requires="wpg">
          <w:drawing>
            <wp:anchor distT="0" distB="0" distL="114300" distR="114300" simplePos="0" relativeHeight="251669504" behindDoc="0" locked="0" layoutInCell="1" allowOverlap="1" wp14:anchorId="1AA8A997" wp14:editId="537EBE6D">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4A42" w:rsidRPr="00DE4269" w:rsidRDefault="00DA4A42"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8A997" id="9 Grupo" o:spid="_x0000_s1103" style="position:absolute;left:0;text-align:left;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zY25eBAAAmQ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YC96SxEc2cryBbilJJQDqBvwioNGI9UPj+zhRbTw9N87itdc+yCA&#10;WlkYx1jzbCee4dVM1PnM9nyGigJMLTzjEddcGujBll2veN3ASY7MQt7CA6HitgSdvIJIsAPasy37&#10;/rHRDW81fGCd9+2q04vy5j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x3/2uIA&#10;AAALAQAADwAAAGRycy9kb3ducmV2LnhtbEyPQWuDQBSE74X+h+UVektWW22N8RlCaHsKhSaFktuL&#10;vqjE3RV3o+bfd3Nqj8MMM99kq0m1YuDeNkYjhPMABOvClI2uEL7377MEhHWkS2qNZoQrW1jl93cZ&#10;paUZ9RcPO1cJX6JtSgi1c10qpS1qVmTnpmPtvZPpFTkv+0qWPY2+XLXyKQhepKJG+4WaOt7UXJx3&#10;F4XwMdK4fg7fhu35tLke9vHnzzZkxMeHab0E4Xhyf2G44Xt0yD3T0Vx0aUWLkCSRR3cIs/g1AnFL&#10;BPHC3zsiRIsEZJ7J/x/yX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IzNjbl4EAACZ&#10;CgAADgAAAAAAAAAAAAAAAAA8AgAAZHJzL2Uyb0RvYy54bWxQSwECLQAUAAYACAAAACEAWGCzG7oA&#10;AAAiAQAAGQAAAAAAAAAAAAAAAADGBgAAZHJzL19yZWxzL2Uyb0RvYy54bWwucmVsc1BLAQItABQA&#10;BgAIAAAAIQD/Hf/a4gAAAAsBAAAPAAAAAAAAAAAAAAAAALcHAABkcnMvZG93bnJldi54bWxQSwEC&#10;LQAKAAAAAAAAACEAYx6KoR4SAQAeEgEAFQAAAAAAAAAAAAAAAADGCAAAZHJzL21lZGlhL2ltYWdl&#10;MS5qcGVnUEsFBgAAAAAGAAYAfQEAABc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4"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105"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DA4A42" w:rsidRPr="00DE4269" w:rsidRDefault="00DA4A42"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txbxContent>
                </v:textbox>
              </v:shape>
            </v:group>
          </w:pict>
        </mc:Fallback>
      </mc:AlternateContent>
    </w:r>
    <w:r w:rsidR="00DA4A42">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15C5900D" wp14:editId="5734052F">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A42" w:rsidRPr="003527CD" w:rsidRDefault="00DA4A42"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A42" w:rsidRDefault="00DA4A4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15"/>
  </w:num>
  <w:num w:numId="4">
    <w:abstractNumId w:val="9"/>
  </w:num>
  <w:num w:numId="5">
    <w:abstractNumId w:val="12"/>
  </w:num>
  <w:num w:numId="6">
    <w:abstractNumId w:val="22"/>
  </w:num>
  <w:num w:numId="7">
    <w:abstractNumId w:val="18"/>
  </w:num>
  <w:num w:numId="8">
    <w:abstractNumId w:val="16"/>
  </w:num>
  <w:num w:numId="9">
    <w:abstractNumId w:val="8"/>
  </w:num>
  <w:num w:numId="10">
    <w:abstractNumId w:val="3"/>
  </w:num>
  <w:num w:numId="11">
    <w:abstractNumId w:val="0"/>
  </w:num>
  <w:num w:numId="12">
    <w:abstractNumId w:val="6"/>
  </w:num>
  <w:num w:numId="13">
    <w:abstractNumId w:val="19"/>
  </w:num>
  <w:num w:numId="14">
    <w:abstractNumId w:val="17"/>
  </w:num>
  <w:num w:numId="15">
    <w:abstractNumId w:val="11"/>
  </w:num>
  <w:num w:numId="16">
    <w:abstractNumId w:val="2"/>
  </w:num>
  <w:num w:numId="17">
    <w:abstractNumId w:val="10"/>
  </w:num>
  <w:num w:numId="18">
    <w:abstractNumId w:val="14"/>
  </w:num>
  <w:num w:numId="19">
    <w:abstractNumId w:val="13"/>
  </w:num>
  <w:num w:numId="20">
    <w:abstractNumId w:val="5"/>
  </w:num>
  <w:num w:numId="21">
    <w:abstractNumId w:val="7"/>
  </w:num>
  <w:num w:numId="22">
    <w:abstractNumId w:val="2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40CE"/>
    <w:rsid w:val="000053D1"/>
    <w:rsid w:val="00006217"/>
    <w:rsid w:val="0001342E"/>
    <w:rsid w:val="000155BC"/>
    <w:rsid w:val="000164D8"/>
    <w:rsid w:val="000202A5"/>
    <w:rsid w:val="00021787"/>
    <w:rsid w:val="00026C0E"/>
    <w:rsid w:val="000271C8"/>
    <w:rsid w:val="00031160"/>
    <w:rsid w:val="00031DC4"/>
    <w:rsid w:val="00032921"/>
    <w:rsid w:val="00037045"/>
    <w:rsid w:val="00037A4C"/>
    <w:rsid w:val="00037E57"/>
    <w:rsid w:val="00040466"/>
    <w:rsid w:val="000417DA"/>
    <w:rsid w:val="00043D1E"/>
    <w:rsid w:val="00043F64"/>
    <w:rsid w:val="0004567A"/>
    <w:rsid w:val="00045A10"/>
    <w:rsid w:val="0004695D"/>
    <w:rsid w:val="00054C4D"/>
    <w:rsid w:val="00056EDF"/>
    <w:rsid w:val="000574E6"/>
    <w:rsid w:val="00057C1C"/>
    <w:rsid w:val="00062509"/>
    <w:rsid w:val="00063159"/>
    <w:rsid w:val="000655E4"/>
    <w:rsid w:val="0006610A"/>
    <w:rsid w:val="0006668A"/>
    <w:rsid w:val="0006755E"/>
    <w:rsid w:val="00072BA1"/>
    <w:rsid w:val="0007519E"/>
    <w:rsid w:val="00076E1D"/>
    <w:rsid w:val="0008099F"/>
    <w:rsid w:val="00080D6B"/>
    <w:rsid w:val="00084D46"/>
    <w:rsid w:val="000872D9"/>
    <w:rsid w:val="00090FD9"/>
    <w:rsid w:val="0009604B"/>
    <w:rsid w:val="00097255"/>
    <w:rsid w:val="000A00F8"/>
    <w:rsid w:val="000A1DD4"/>
    <w:rsid w:val="000A4867"/>
    <w:rsid w:val="000A5776"/>
    <w:rsid w:val="000A58AB"/>
    <w:rsid w:val="000A7734"/>
    <w:rsid w:val="000A7AB8"/>
    <w:rsid w:val="000B54AD"/>
    <w:rsid w:val="000B552D"/>
    <w:rsid w:val="000B62E8"/>
    <w:rsid w:val="000B6E5A"/>
    <w:rsid w:val="000C6E95"/>
    <w:rsid w:val="000C7FBB"/>
    <w:rsid w:val="000D01E9"/>
    <w:rsid w:val="000D0EE3"/>
    <w:rsid w:val="000D4D45"/>
    <w:rsid w:val="000D553D"/>
    <w:rsid w:val="000E0A96"/>
    <w:rsid w:val="000E10A7"/>
    <w:rsid w:val="000E4072"/>
    <w:rsid w:val="000E5C7A"/>
    <w:rsid w:val="000E6692"/>
    <w:rsid w:val="000F0E08"/>
    <w:rsid w:val="000F1B18"/>
    <w:rsid w:val="000F5D5C"/>
    <w:rsid w:val="000F7AB4"/>
    <w:rsid w:val="00100FD7"/>
    <w:rsid w:val="0010182C"/>
    <w:rsid w:val="00105410"/>
    <w:rsid w:val="00111884"/>
    <w:rsid w:val="00112770"/>
    <w:rsid w:val="001130E9"/>
    <w:rsid w:val="001156F5"/>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4A5D"/>
    <w:rsid w:val="0014540D"/>
    <w:rsid w:val="001528B7"/>
    <w:rsid w:val="00155BEA"/>
    <w:rsid w:val="00161865"/>
    <w:rsid w:val="0016242F"/>
    <w:rsid w:val="001635E1"/>
    <w:rsid w:val="00165BB4"/>
    <w:rsid w:val="001660FE"/>
    <w:rsid w:val="00171788"/>
    <w:rsid w:val="00172B7D"/>
    <w:rsid w:val="00174F47"/>
    <w:rsid w:val="001769D8"/>
    <w:rsid w:val="001778B1"/>
    <w:rsid w:val="0018009C"/>
    <w:rsid w:val="0018603D"/>
    <w:rsid w:val="001872A3"/>
    <w:rsid w:val="00191085"/>
    <w:rsid w:val="00192770"/>
    <w:rsid w:val="00192B86"/>
    <w:rsid w:val="00193B2D"/>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E68"/>
    <w:rsid w:val="001F4B7F"/>
    <w:rsid w:val="00201919"/>
    <w:rsid w:val="002023F6"/>
    <w:rsid w:val="00202C27"/>
    <w:rsid w:val="00203AC0"/>
    <w:rsid w:val="00203F37"/>
    <w:rsid w:val="00204C86"/>
    <w:rsid w:val="00204F06"/>
    <w:rsid w:val="00206E09"/>
    <w:rsid w:val="00212203"/>
    <w:rsid w:val="00221C53"/>
    <w:rsid w:val="00221DB1"/>
    <w:rsid w:val="0022227A"/>
    <w:rsid w:val="00223CE1"/>
    <w:rsid w:val="0022440F"/>
    <w:rsid w:val="00227B93"/>
    <w:rsid w:val="00230B71"/>
    <w:rsid w:val="00236748"/>
    <w:rsid w:val="002431DD"/>
    <w:rsid w:val="00245E54"/>
    <w:rsid w:val="00247AD7"/>
    <w:rsid w:val="00251F0D"/>
    <w:rsid w:val="00255476"/>
    <w:rsid w:val="0025735F"/>
    <w:rsid w:val="00261B45"/>
    <w:rsid w:val="0026333F"/>
    <w:rsid w:val="00264426"/>
    <w:rsid w:val="002705C0"/>
    <w:rsid w:val="00270EC8"/>
    <w:rsid w:val="002714C7"/>
    <w:rsid w:val="00272E20"/>
    <w:rsid w:val="00274353"/>
    <w:rsid w:val="002748C9"/>
    <w:rsid w:val="0027627B"/>
    <w:rsid w:val="00280CD3"/>
    <w:rsid w:val="00280CDA"/>
    <w:rsid w:val="002844B5"/>
    <w:rsid w:val="002858C7"/>
    <w:rsid w:val="00287D90"/>
    <w:rsid w:val="00290A24"/>
    <w:rsid w:val="00295D09"/>
    <w:rsid w:val="00295FCC"/>
    <w:rsid w:val="00297D52"/>
    <w:rsid w:val="002A15A9"/>
    <w:rsid w:val="002A2013"/>
    <w:rsid w:val="002A70B3"/>
    <w:rsid w:val="002A728F"/>
    <w:rsid w:val="002B0770"/>
    <w:rsid w:val="002B32BF"/>
    <w:rsid w:val="002B44E6"/>
    <w:rsid w:val="002B4828"/>
    <w:rsid w:val="002B547F"/>
    <w:rsid w:val="002B7C62"/>
    <w:rsid w:val="002C0A9F"/>
    <w:rsid w:val="002C416F"/>
    <w:rsid w:val="002C479E"/>
    <w:rsid w:val="002C4A76"/>
    <w:rsid w:val="002C4E19"/>
    <w:rsid w:val="002C55F6"/>
    <w:rsid w:val="002C5ACA"/>
    <w:rsid w:val="002D0278"/>
    <w:rsid w:val="002D22E8"/>
    <w:rsid w:val="002D2BEE"/>
    <w:rsid w:val="002E3C2E"/>
    <w:rsid w:val="002E4A3B"/>
    <w:rsid w:val="002E52F9"/>
    <w:rsid w:val="002F502D"/>
    <w:rsid w:val="002F546C"/>
    <w:rsid w:val="00300EF3"/>
    <w:rsid w:val="00300F57"/>
    <w:rsid w:val="0030292A"/>
    <w:rsid w:val="00302E39"/>
    <w:rsid w:val="00310A44"/>
    <w:rsid w:val="00311228"/>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6B8F"/>
    <w:rsid w:val="003478FA"/>
    <w:rsid w:val="00351921"/>
    <w:rsid w:val="003527CD"/>
    <w:rsid w:val="003530FB"/>
    <w:rsid w:val="00354047"/>
    <w:rsid w:val="0035405F"/>
    <w:rsid w:val="0035468F"/>
    <w:rsid w:val="00356170"/>
    <w:rsid w:val="00357A70"/>
    <w:rsid w:val="003612CA"/>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DD7"/>
    <w:rsid w:val="00386E53"/>
    <w:rsid w:val="003900E3"/>
    <w:rsid w:val="00390936"/>
    <w:rsid w:val="00390A9A"/>
    <w:rsid w:val="00393281"/>
    <w:rsid w:val="00393659"/>
    <w:rsid w:val="00393C61"/>
    <w:rsid w:val="003951A0"/>
    <w:rsid w:val="00396C2B"/>
    <w:rsid w:val="00397076"/>
    <w:rsid w:val="003A0303"/>
    <w:rsid w:val="003A072B"/>
    <w:rsid w:val="003A3013"/>
    <w:rsid w:val="003A6C39"/>
    <w:rsid w:val="003A731F"/>
    <w:rsid w:val="003A7ADE"/>
    <w:rsid w:val="003B1B0C"/>
    <w:rsid w:val="003B55DA"/>
    <w:rsid w:val="003C35FE"/>
    <w:rsid w:val="003C3B3A"/>
    <w:rsid w:val="003C422B"/>
    <w:rsid w:val="003C4805"/>
    <w:rsid w:val="003C5C30"/>
    <w:rsid w:val="003C7A1D"/>
    <w:rsid w:val="003D0221"/>
    <w:rsid w:val="003D1331"/>
    <w:rsid w:val="003D2E3D"/>
    <w:rsid w:val="003D56C9"/>
    <w:rsid w:val="003D5DBF"/>
    <w:rsid w:val="003D6079"/>
    <w:rsid w:val="003E33EF"/>
    <w:rsid w:val="003E3D38"/>
    <w:rsid w:val="003E63CA"/>
    <w:rsid w:val="003E6BD8"/>
    <w:rsid w:val="003E7FD0"/>
    <w:rsid w:val="003F0340"/>
    <w:rsid w:val="003F0EA4"/>
    <w:rsid w:val="003F16E6"/>
    <w:rsid w:val="003F2A03"/>
    <w:rsid w:val="003F4574"/>
    <w:rsid w:val="003F5C80"/>
    <w:rsid w:val="003F6942"/>
    <w:rsid w:val="003F6B56"/>
    <w:rsid w:val="003F7393"/>
    <w:rsid w:val="00401A74"/>
    <w:rsid w:val="0040301B"/>
    <w:rsid w:val="00403B4B"/>
    <w:rsid w:val="0040746E"/>
    <w:rsid w:val="004076AC"/>
    <w:rsid w:val="0041065F"/>
    <w:rsid w:val="00411B83"/>
    <w:rsid w:val="00412CB0"/>
    <w:rsid w:val="00415099"/>
    <w:rsid w:val="004213BC"/>
    <w:rsid w:val="00424251"/>
    <w:rsid w:val="004306DA"/>
    <w:rsid w:val="004311BE"/>
    <w:rsid w:val="004373B9"/>
    <w:rsid w:val="0043780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714CF"/>
    <w:rsid w:val="00474420"/>
    <w:rsid w:val="00480F7F"/>
    <w:rsid w:val="00482E20"/>
    <w:rsid w:val="004842C3"/>
    <w:rsid w:val="00484C0D"/>
    <w:rsid w:val="00484E35"/>
    <w:rsid w:val="00487AC2"/>
    <w:rsid w:val="0049279C"/>
    <w:rsid w:val="00493E27"/>
    <w:rsid w:val="00496633"/>
    <w:rsid w:val="00497D8B"/>
    <w:rsid w:val="004A07A5"/>
    <w:rsid w:val="004A56B0"/>
    <w:rsid w:val="004A67F1"/>
    <w:rsid w:val="004A6987"/>
    <w:rsid w:val="004A7484"/>
    <w:rsid w:val="004B04CF"/>
    <w:rsid w:val="004B1994"/>
    <w:rsid w:val="004B1F00"/>
    <w:rsid w:val="004B2344"/>
    <w:rsid w:val="004B263B"/>
    <w:rsid w:val="004B5686"/>
    <w:rsid w:val="004C0ECA"/>
    <w:rsid w:val="004C1616"/>
    <w:rsid w:val="004C4F16"/>
    <w:rsid w:val="004C5E7B"/>
    <w:rsid w:val="004D30E1"/>
    <w:rsid w:val="004D3E91"/>
    <w:rsid w:val="004D41B8"/>
    <w:rsid w:val="004D5BEA"/>
    <w:rsid w:val="004E3EA4"/>
    <w:rsid w:val="004E6076"/>
    <w:rsid w:val="004F542A"/>
    <w:rsid w:val="004F5641"/>
    <w:rsid w:val="004F6EBD"/>
    <w:rsid w:val="0050183B"/>
    <w:rsid w:val="00502DDD"/>
    <w:rsid w:val="00503454"/>
    <w:rsid w:val="005111D4"/>
    <w:rsid w:val="00513054"/>
    <w:rsid w:val="00513E7E"/>
    <w:rsid w:val="00514F2B"/>
    <w:rsid w:val="00516599"/>
    <w:rsid w:val="0052034A"/>
    <w:rsid w:val="00521715"/>
    <w:rsid w:val="00521728"/>
    <w:rsid w:val="00522632"/>
    <w:rsid w:val="00522815"/>
    <w:rsid w:val="00522EF3"/>
    <w:rsid w:val="005243D9"/>
    <w:rsid w:val="0052562F"/>
    <w:rsid w:val="0052637F"/>
    <w:rsid w:val="00530DED"/>
    <w:rsid w:val="00531D66"/>
    <w:rsid w:val="0053277D"/>
    <w:rsid w:val="005327CE"/>
    <w:rsid w:val="0053400D"/>
    <w:rsid w:val="00534F38"/>
    <w:rsid w:val="00540418"/>
    <w:rsid w:val="00543F6D"/>
    <w:rsid w:val="00543F97"/>
    <w:rsid w:val="00545527"/>
    <w:rsid w:val="00550363"/>
    <w:rsid w:val="00551999"/>
    <w:rsid w:val="00553CB3"/>
    <w:rsid w:val="00556D2F"/>
    <w:rsid w:val="00556DC7"/>
    <w:rsid w:val="0056081A"/>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617"/>
    <w:rsid w:val="00584F08"/>
    <w:rsid w:val="0058542E"/>
    <w:rsid w:val="00585D38"/>
    <w:rsid w:val="00587618"/>
    <w:rsid w:val="005876AE"/>
    <w:rsid w:val="005907A0"/>
    <w:rsid w:val="0059084C"/>
    <w:rsid w:val="00590C01"/>
    <w:rsid w:val="00592B24"/>
    <w:rsid w:val="005A3CCB"/>
    <w:rsid w:val="005A53BA"/>
    <w:rsid w:val="005A57AD"/>
    <w:rsid w:val="005B048C"/>
    <w:rsid w:val="005B0F75"/>
    <w:rsid w:val="005B1C69"/>
    <w:rsid w:val="005C02A4"/>
    <w:rsid w:val="005C0524"/>
    <w:rsid w:val="005C0F25"/>
    <w:rsid w:val="005C1613"/>
    <w:rsid w:val="005C1E73"/>
    <w:rsid w:val="005C36E3"/>
    <w:rsid w:val="005C4BC3"/>
    <w:rsid w:val="005D296A"/>
    <w:rsid w:val="005D3D25"/>
    <w:rsid w:val="005D5223"/>
    <w:rsid w:val="005D568E"/>
    <w:rsid w:val="005E39FD"/>
    <w:rsid w:val="005E64EF"/>
    <w:rsid w:val="005E68A5"/>
    <w:rsid w:val="005E7914"/>
    <w:rsid w:val="005F253A"/>
    <w:rsid w:val="005F3B9E"/>
    <w:rsid w:val="005F4F77"/>
    <w:rsid w:val="005F52B3"/>
    <w:rsid w:val="005F5707"/>
    <w:rsid w:val="005F7D1B"/>
    <w:rsid w:val="00600110"/>
    <w:rsid w:val="00600878"/>
    <w:rsid w:val="00601D73"/>
    <w:rsid w:val="00602E51"/>
    <w:rsid w:val="00602F36"/>
    <w:rsid w:val="00603BFE"/>
    <w:rsid w:val="006049C8"/>
    <w:rsid w:val="00605027"/>
    <w:rsid w:val="0060657D"/>
    <w:rsid w:val="006071BA"/>
    <w:rsid w:val="00612203"/>
    <w:rsid w:val="00612216"/>
    <w:rsid w:val="006132FB"/>
    <w:rsid w:val="00622823"/>
    <w:rsid w:val="00623ACB"/>
    <w:rsid w:val="006253D1"/>
    <w:rsid w:val="00631AAA"/>
    <w:rsid w:val="00632109"/>
    <w:rsid w:val="00632C87"/>
    <w:rsid w:val="006331B3"/>
    <w:rsid w:val="0063488B"/>
    <w:rsid w:val="006356AA"/>
    <w:rsid w:val="00637A48"/>
    <w:rsid w:val="006429DB"/>
    <w:rsid w:val="0064409F"/>
    <w:rsid w:val="006441E4"/>
    <w:rsid w:val="00650760"/>
    <w:rsid w:val="006519BC"/>
    <w:rsid w:val="00651FB7"/>
    <w:rsid w:val="006537A5"/>
    <w:rsid w:val="00653A66"/>
    <w:rsid w:val="0065446E"/>
    <w:rsid w:val="0065525F"/>
    <w:rsid w:val="00655EB2"/>
    <w:rsid w:val="00660015"/>
    <w:rsid w:val="00661A17"/>
    <w:rsid w:val="006653EB"/>
    <w:rsid w:val="0067443A"/>
    <w:rsid w:val="00675B86"/>
    <w:rsid w:val="00677384"/>
    <w:rsid w:val="006774BF"/>
    <w:rsid w:val="00693B49"/>
    <w:rsid w:val="006942ED"/>
    <w:rsid w:val="006944EF"/>
    <w:rsid w:val="006A04E9"/>
    <w:rsid w:val="006A289F"/>
    <w:rsid w:val="006A33FB"/>
    <w:rsid w:val="006B1FE7"/>
    <w:rsid w:val="006B4727"/>
    <w:rsid w:val="006C2C92"/>
    <w:rsid w:val="006C4213"/>
    <w:rsid w:val="006C54B8"/>
    <w:rsid w:val="006D2166"/>
    <w:rsid w:val="006D3DF1"/>
    <w:rsid w:val="006D5097"/>
    <w:rsid w:val="006D5AC5"/>
    <w:rsid w:val="006E2D9E"/>
    <w:rsid w:val="006E77DD"/>
    <w:rsid w:val="006E78A6"/>
    <w:rsid w:val="006E7F02"/>
    <w:rsid w:val="006F0CCF"/>
    <w:rsid w:val="006F2058"/>
    <w:rsid w:val="006F23B1"/>
    <w:rsid w:val="006F4379"/>
    <w:rsid w:val="006F4C3C"/>
    <w:rsid w:val="006F5412"/>
    <w:rsid w:val="006F6AC2"/>
    <w:rsid w:val="007004C7"/>
    <w:rsid w:val="00702079"/>
    <w:rsid w:val="007025F4"/>
    <w:rsid w:val="00703446"/>
    <w:rsid w:val="0070431B"/>
    <w:rsid w:val="00707693"/>
    <w:rsid w:val="007103D4"/>
    <w:rsid w:val="007149DA"/>
    <w:rsid w:val="007156AF"/>
    <w:rsid w:val="00720256"/>
    <w:rsid w:val="00721EA3"/>
    <w:rsid w:val="007277F5"/>
    <w:rsid w:val="0073056A"/>
    <w:rsid w:val="007314A9"/>
    <w:rsid w:val="00731CA2"/>
    <w:rsid w:val="00734272"/>
    <w:rsid w:val="0073581C"/>
    <w:rsid w:val="00736F40"/>
    <w:rsid w:val="007375D6"/>
    <w:rsid w:val="007420CD"/>
    <w:rsid w:val="00742C34"/>
    <w:rsid w:val="007439D3"/>
    <w:rsid w:val="00757C3E"/>
    <w:rsid w:val="00764D64"/>
    <w:rsid w:val="00770054"/>
    <w:rsid w:val="007723AF"/>
    <w:rsid w:val="00773A43"/>
    <w:rsid w:val="00773EBC"/>
    <w:rsid w:val="007769DF"/>
    <w:rsid w:val="00776BBF"/>
    <w:rsid w:val="00777526"/>
    <w:rsid w:val="007818C3"/>
    <w:rsid w:val="00782910"/>
    <w:rsid w:val="00786193"/>
    <w:rsid w:val="0079158C"/>
    <w:rsid w:val="00794967"/>
    <w:rsid w:val="0079582C"/>
    <w:rsid w:val="00796CB0"/>
    <w:rsid w:val="007972C6"/>
    <w:rsid w:val="007A1F12"/>
    <w:rsid w:val="007A3544"/>
    <w:rsid w:val="007A799B"/>
    <w:rsid w:val="007B2FE4"/>
    <w:rsid w:val="007B4793"/>
    <w:rsid w:val="007B6BF7"/>
    <w:rsid w:val="007B72F6"/>
    <w:rsid w:val="007B7847"/>
    <w:rsid w:val="007C12A7"/>
    <w:rsid w:val="007C1CF4"/>
    <w:rsid w:val="007C5324"/>
    <w:rsid w:val="007C590E"/>
    <w:rsid w:val="007C7BD7"/>
    <w:rsid w:val="007D1332"/>
    <w:rsid w:val="007D3166"/>
    <w:rsid w:val="007D4702"/>
    <w:rsid w:val="007D59DE"/>
    <w:rsid w:val="007D6E9A"/>
    <w:rsid w:val="007D78B3"/>
    <w:rsid w:val="007D7D18"/>
    <w:rsid w:val="007E5962"/>
    <w:rsid w:val="007E6739"/>
    <w:rsid w:val="007E7450"/>
    <w:rsid w:val="007E7A7E"/>
    <w:rsid w:val="007F00B0"/>
    <w:rsid w:val="007F4F8F"/>
    <w:rsid w:val="00800925"/>
    <w:rsid w:val="00800EC0"/>
    <w:rsid w:val="00802736"/>
    <w:rsid w:val="00802B2A"/>
    <w:rsid w:val="00807FF7"/>
    <w:rsid w:val="00810D49"/>
    <w:rsid w:val="00811DAC"/>
    <w:rsid w:val="00817DFF"/>
    <w:rsid w:val="00820352"/>
    <w:rsid w:val="00822CD5"/>
    <w:rsid w:val="00826474"/>
    <w:rsid w:val="008276B2"/>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50642"/>
    <w:rsid w:val="00856CDA"/>
    <w:rsid w:val="008624D8"/>
    <w:rsid w:val="008630BA"/>
    <w:rsid w:val="0086433A"/>
    <w:rsid w:val="008643A9"/>
    <w:rsid w:val="00864C50"/>
    <w:rsid w:val="00864FE6"/>
    <w:rsid w:val="008659FD"/>
    <w:rsid w:val="00866F4E"/>
    <w:rsid w:val="00872C30"/>
    <w:rsid w:val="008742BD"/>
    <w:rsid w:val="0087478F"/>
    <w:rsid w:val="00876082"/>
    <w:rsid w:val="008805C8"/>
    <w:rsid w:val="00881BEF"/>
    <w:rsid w:val="00883D58"/>
    <w:rsid w:val="0089054E"/>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3A8C"/>
    <w:rsid w:val="008B4143"/>
    <w:rsid w:val="008B59D6"/>
    <w:rsid w:val="008B5B85"/>
    <w:rsid w:val="008C155F"/>
    <w:rsid w:val="008C2121"/>
    <w:rsid w:val="008C568D"/>
    <w:rsid w:val="008D0B37"/>
    <w:rsid w:val="008D64D4"/>
    <w:rsid w:val="008D7129"/>
    <w:rsid w:val="008E3652"/>
    <w:rsid w:val="008E3672"/>
    <w:rsid w:val="008E49AB"/>
    <w:rsid w:val="008E5316"/>
    <w:rsid w:val="008F056B"/>
    <w:rsid w:val="008F0CF5"/>
    <w:rsid w:val="008F45AC"/>
    <w:rsid w:val="008F4733"/>
    <w:rsid w:val="008F4EF3"/>
    <w:rsid w:val="008F5430"/>
    <w:rsid w:val="008F6D58"/>
    <w:rsid w:val="008F6EFE"/>
    <w:rsid w:val="008F708E"/>
    <w:rsid w:val="00902118"/>
    <w:rsid w:val="00906016"/>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7BA4"/>
    <w:rsid w:val="009301F2"/>
    <w:rsid w:val="00932300"/>
    <w:rsid w:val="0093492C"/>
    <w:rsid w:val="009364B7"/>
    <w:rsid w:val="00940901"/>
    <w:rsid w:val="0094113D"/>
    <w:rsid w:val="009418D0"/>
    <w:rsid w:val="00941FB8"/>
    <w:rsid w:val="0094203F"/>
    <w:rsid w:val="009437BD"/>
    <w:rsid w:val="009458FF"/>
    <w:rsid w:val="0095031E"/>
    <w:rsid w:val="00952714"/>
    <w:rsid w:val="00953127"/>
    <w:rsid w:val="00954137"/>
    <w:rsid w:val="00955BF1"/>
    <w:rsid w:val="00957043"/>
    <w:rsid w:val="00957060"/>
    <w:rsid w:val="00957510"/>
    <w:rsid w:val="00960EC6"/>
    <w:rsid w:val="009632A0"/>
    <w:rsid w:val="00964A60"/>
    <w:rsid w:val="009650A6"/>
    <w:rsid w:val="0096610B"/>
    <w:rsid w:val="00966C57"/>
    <w:rsid w:val="0097113C"/>
    <w:rsid w:val="009743B6"/>
    <w:rsid w:val="00974D23"/>
    <w:rsid w:val="00975CBF"/>
    <w:rsid w:val="00980D38"/>
    <w:rsid w:val="00986365"/>
    <w:rsid w:val="009869E9"/>
    <w:rsid w:val="00986BC3"/>
    <w:rsid w:val="00987EEE"/>
    <w:rsid w:val="00991656"/>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5E39"/>
    <w:rsid w:val="009C6E8E"/>
    <w:rsid w:val="009C74FB"/>
    <w:rsid w:val="009D20E7"/>
    <w:rsid w:val="009D5D4C"/>
    <w:rsid w:val="009E51F8"/>
    <w:rsid w:val="009F239C"/>
    <w:rsid w:val="009F23C4"/>
    <w:rsid w:val="009F270C"/>
    <w:rsid w:val="009F564C"/>
    <w:rsid w:val="009F5E29"/>
    <w:rsid w:val="00A018A3"/>
    <w:rsid w:val="00A01B1B"/>
    <w:rsid w:val="00A02E76"/>
    <w:rsid w:val="00A045DD"/>
    <w:rsid w:val="00A06D66"/>
    <w:rsid w:val="00A073BF"/>
    <w:rsid w:val="00A07E0D"/>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65407"/>
    <w:rsid w:val="00A70107"/>
    <w:rsid w:val="00A74CAF"/>
    <w:rsid w:val="00A764EF"/>
    <w:rsid w:val="00A8050B"/>
    <w:rsid w:val="00A8077E"/>
    <w:rsid w:val="00A8166B"/>
    <w:rsid w:val="00A83676"/>
    <w:rsid w:val="00A852D6"/>
    <w:rsid w:val="00A85EE5"/>
    <w:rsid w:val="00A90E13"/>
    <w:rsid w:val="00A9143E"/>
    <w:rsid w:val="00A92A29"/>
    <w:rsid w:val="00A94BD0"/>
    <w:rsid w:val="00A94FC9"/>
    <w:rsid w:val="00A95577"/>
    <w:rsid w:val="00A96C1F"/>
    <w:rsid w:val="00A97E66"/>
    <w:rsid w:val="00AA16F7"/>
    <w:rsid w:val="00AA3279"/>
    <w:rsid w:val="00AA6498"/>
    <w:rsid w:val="00AA7AE3"/>
    <w:rsid w:val="00AB2062"/>
    <w:rsid w:val="00AB3613"/>
    <w:rsid w:val="00AB5D6A"/>
    <w:rsid w:val="00AC2CB6"/>
    <w:rsid w:val="00AD27C1"/>
    <w:rsid w:val="00AD46DD"/>
    <w:rsid w:val="00AD4F95"/>
    <w:rsid w:val="00AD5E8D"/>
    <w:rsid w:val="00AE0E84"/>
    <w:rsid w:val="00AE2CC1"/>
    <w:rsid w:val="00AE30F7"/>
    <w:rsid w:val="00AE32DD"/>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22704"/>
    <w:rsid w:val="00B22AC4"/>
    <w:rsid w:val="00B23F18"/>
    <w:rsid w:val="00B27A40"/>
    <w:rsid w:val="00B32FA6"/>
    <w:rsid w:val="00B33522"/>
    <w:rsid w:val="00B3680C"/>
    <w:rsid w:val="00B36DB2"/>
    <w:rsid w:val="00B37C20"/>
    <w:rsid w:val="00B41E9F"/>
    <w:rsid w:val="00B42449"/>
    <w:rsid w:val="00B50783"/>
    <w:rsid w:val="00B5253D"/>
    <w:rsid w:val="00B558BB"/>
    <w:rsid w:val="00B611B8"/>
    <w:rsid w:val="00B67BC6"/>
    <w:rsid w:val="00B73EB9"/>
    <w:rsid w:val="00B82BF9"/>
    <w:rsid w:val="00B83E59"/>
    <w:rsid w:val="00B849EE"/>
    <w:rsid w:val="00B84D02"/>
    <w:rsid w:val="00B870E0"/>
    <w:rsid w:val="00B87589"/>
    <w:rsid w:val="00B95032"/>
    <w:rsid w:val="00B97444"/>
    <w:rsid w:val="00BA0268"/>
    <w:rsid w:val="00BA1AD8"/>
    <w:rsid w:val="00BA1ADB"/>
    <w:rsid w:val="00BA26B4"/>
    <w:rsid w:val="00BA2940"/>
    <w:rsid w:val="00BA3B1D"/>
    <w:rsid w:val="00BA58E7"/>
    <w:rsid w:val="00BA7B26"/>
    <w:rsid w:val="00BB327F"/>
    <w:rsid w:val="00BB3832"/>
    <w:rsid w:val="00BB7DA9"/>
    <w:rsid w:val="00BC4AD5"/>
    <w:rsid w:val="00BC6745"/>
    <w:rsid w:val="00BD1AAF"/>
    <w:rsid w:val="00BD248B"/>
    <w:rsid w:val="00BD2A8B"/>
    <w:rsid w:val="00BD3E4E"/>
    <w:rsid w:val="00BD5837"/>
    <w:rsid w:val="00BD7646"/>
    <w:rsid w:val="00BD7BBB"/>
    <w:rsid w:val="00BE0824"/>
    <w:rsid w:val="00BE43B1"/>
    <w:rsid w:val="00BE5B13"/>
    <w:rsid w:val="00BE5D56"/>
    <w:rsid w:val="00BE7A98"/>
    <w:rsid w:val="00BF11E1"/>
    <w:rsid w:val="00C00590"/>
    <w:rsid w:val="00C013A1"/>
    <w:rsid w:val="00C01580"/>
    <w:rsid w:val="00C0654D"/>
    <w:rsid w:val="00C1028E"/>
    <w:rsid w:val="00C105A6"/>
    <w:rsid w:val="00C10C63"/>
    <w:rsid w:val="00C1279C"/>
    <w:rsid w:val="00C14867"/>
    <w:rsid w:val="00C16E53"/>
    <w:rsid w:val="00C17841"/>
    <w:rsid w:val="00C255BB"/>
    <w:rsid w:val="00C26CE0"/>
    <w:rsid w:val="00C27323"/>
    <w:rsid w:val="00C30B88"/>
    <w:rsid w:val="00C346B4"/>
    <w:rsid w:val="00C379D0"/>
    <w:rsid w:val="00C404CF"/>
    <w:rsid w:val="00C411EA"/>
    <w:rsid w:val="00C431B4"/>
    <w:rsid w:val="00C4471C"/>
    <w:rsid w:val="00C458D3"/>
    <w:rsid w:val="00C502CF"/>
    <w:rsid w:val="00C50527"/>
    <w:rsid w:val="00C509E2"/>
    <w:rsid w:val="00C51FAB"/>
    <w:rsid w:val="00C5304F"/>
    <w:rsid w:val="00C53587"/>
    <w:rsid w:val="00C5373A"/>
    <w:rsid w:val="00C53B18"/>
    <w:rsid w:val="00C55BBF"/>
    <w:rsid w:val="00C55F01"/>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A20"/>
    <w:rsid w:val="00C862B1"/>
    <w:rsid w:val="00C86C59"/>
    <w:rsid w:val="00C91C5A"/>
    <w:rsid w:val="00C92668"/>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299E"/>
    <w:rsid w:val="00CD4E92"/>
    <w:rsid w:val="00CD656B"/>
    <w:rsid w:val="00CD6D9A"/>
    <w:rsid w:val="00CD7F3F"/>
    <w:rsid w:val="00CE038F"/>
    <w:rsid w:val="00CE04CE"/>
    <w:rsid w:val="00CE45FC"/>
    <w:rsid w:val="00CE5C1A"/>
    <w:rsid w:val="00CF2D36"/>
    <w:rsid w:val="00CF342E"/>
    <w:rsid w:val="00D00E92"/>
    <w:rsid w:val="00D055EC"/>
    <w:rsid w:val="00D10F96"/>
    <w:rsid w:val="00D11F33"/>
    <w:rsid w:val="00D12816"/>
    <w:rsid w:val="00D13E7D"/>
    <w:rsid w:val="00D14208"/>
    <w:rsid w:val="00D1757C"/>
    <w:rsid w:val="00D234B6"/>
    <w:rsid w:val="00D254F0"/>
    <w:rsid w:val="00D27B9B"/>
    <w:rsid w:val="00D3018F"/>
    <w:rsid w:val="00D32544"/>
    <w:rsid w:val="00D34D7A"/>
    <w:rsid w:val="00D351EE"/>
    <w:rsid w:val="00D35411"/>
    <w:rsid w:val="00D3669D"/>
    <w:rsid w:val="00D37294"/>
    <w:rsid w:val="00D378C5"/>
    <w:rsid w:val="00D37DC9"/>
    <w:rsid w:val="00D43342"/>
    <w:rsid w:val="00D4394E"/>
    <w:rsid w:val="00D44728"/>
    <w:rsid w:val="00D45237"/>
    <w:rsid w:val="00D52FF5"/>
    <w:rsid w:val="00D55E41"/>
    <w:rsid w:val="00D56088"/>
    <w:rsid w:val="00D562FF"/>
    <w:rsid w:val="00D62468"/>
    <w:rsid w:val="00D628F8"/>
    <w:rsid w:val="00D63571"/>
    <w:rsid w:val="00D66910"/>
    <w:rsid w:val="00D6706B"/>
    <w:rsid w:val="00D700D5"/>
    <w:rsid w:val="00D71A33"/>
    <w:rsid w:val="00D73B4D"/>
    <w:rsid w:val="00D7657E"/>
    <w:rsid w:val="00D844B8"/>
    <w:rsid w:val="00D854E6"/>
    <w:rsid w:val="00D8596D"/>
    <w:rsid w:val="00D86C30"/>
    <w:rsid w:val="00D92473"/>
    <w:rsid w:val="00DA1B01"/>
    <w:rsid w:val="00DA4A42"/>
    <w:rsid w:val="00DA5237"/>
    <w:rsid w:val="00DA68FB"/>
    <w:rsid w:val="00DA6BE0"/>
    <w:rsid w:val="00DB3AF6"/>
    <w:rsid w:val="00DB4C18"/>
    <w:rsid w:val="00DB53FB"/>
    <w:rsid w:val="00DC4EE2"/>
    <w:rsid w:val="00DD136E"/>
    <w:rsid w:val="00DD22DD"/>
    <w:rsid w:val="00DD2474"/>
    <w:rsid w:val="00DD2AA9"/>
    <w:rsid w:val="00DD4F48"/>
    <w:rsid w:val="00DD6C54"/>
    <w:rsid w:val="00DD6DC0"/>
    <w:rsid w:val="00DD6FB4"/>
    <w:rsid w:val="00DE2F50"/>
    <w:rsid w:val="00DE4269"/>
    <w:rsid w:val="00DE5274"/>
    <w:rsid w:val="00DE621F"/>
    <w:rsid w:val="00DE62C8"/>
    <w:rsid w:val="00DE6B8B"/>
    <w:rsid w:val="00DF0216"/>
    <w:rsid w:val="00DF2160"/>
    <w:rsid w:val="00DF325D"/>
    <w:rsid w:val="00DF386E"/>
    <w:rsid w:val="00DF56C9"/>
    <w:rsid w:val="00DF6AC4"/>
    <w:rsid w:val="00E004F0"/>
    <w:rsid w:val="00E007EC"/>
    <w:rsid w:val="00E01158"/>
    <w:rsid w:val="00E03CED"/>
    <w:rsid w:val="00E0449B"/>
    <w:rsid w:val="00E04E64"/>
    <w:rsid w:val="00E06027"/>
    <w:rsid w:val="00E1077F"/>
    <w:rsid w:val="00E119AC"/>
    <w:rsid w:val="00E23867"/>
    <w:rsid w:val="00E23A75"/>
    <w:rsid w:val="00E2421E"/>
    <w:rsid w:val="00E25A1C"/>
    <w:rsid w:val="00E30318"/>
    <w:rsid w:val="00E32708"/>
    <w:rsid w:val="00E32B77"/>
    <w:rsid w:val="00E33BBD"/>
    <w:rsid w:val="00E37034"/>
    <w:rsid w:val="00E37782"/>
    <w:rsid w:val="00E44022"/>
    <w:rsid w:val="00E442EC"/>
    <w:rsid w:val="00E505EF"/>
    <w:rsid w:val="00E514F6"/>
    <w:rsid w:val="00E545B2"/>
    <w:rsid w:val="00E57C06"/>
    <w:rsid w:val="00E651B5"/>
    <w:rsid w:val="00E65B2D"/>
    <w:rsid w:val="00E70E56"/>
    <w:rsid w:val="00E75CE5"/>
    <w:rsid w:val="00E768E8"/>
    <w:rsid w:val="00E8055E"/>
    <w:rsid w:val="00E82195"/>
    <w:rsid w:val="00E828CB"/>
    <w:rsid w:val="00E83362"/>
    <w:rsid w:val="00E87962"/>
    <w:rsid w:val="00E90D36"/>
    <w:rsid w:val="00E913D9"/>
    <w:rsid w:val="00E91553"/>
    <w:rsid w:val="00E94AAC"/>
    <w:rsid w:val="00E96135"/>
    <w:rsid w:val="00EA186A"/>
    <w:rsid w:val="00EA19C2"/>
    <w:rsid w:val="00EA5418"/>
    <w:rsid w:val="00EA5AD0"/>
    <w:rsid w:val="00EA6927"/>
    <w:rsid w:val="00EA6BE9"/>
    <w:rsid w:val="00EB2A4A"/>
    <w:rsid w:val="00EB3D8F"/>
    <w:rsid w:val="00EC0BE3"/>
    <w:rsid w:val="00EC1988"/>
    <w:rsid w:val="00EC1EBD"/>
    <w:rsid w:val="00EC2DFD"/>
    <w:rsid w:val="00EC56A4"/>
    <w:rsid w:val="00EC5C3D"/>
    <w:rsid w:val="00EC61A6"/>
    <w:rsid w:val="00EC7901"/>
    <w:rsid w:val="00ED0858"/>
    <w:rsid w:val="00ED319C"/>
    <w:rsid w:val="00ED518E"/>
    <w:rsid w:val="00ED5680"/>
    <w:rsid w:val="00ED6126"/>
    <w:rsid w:val="00ED6894"/>
    <w:rsid w:val="00ED79E2"/>
    <w:rsid w:val="00EE04FF"/>
    <w:rsid w:val="00EE0F4C"/>
    <w:rsid w:val="00EE2F63"/>
    <w:rsid w:val="00EE3D4E"/>
    <w:rsid w:val="00EE46FB"/>
    <w:rsid w:val="00EF5CC7"/>
    <w:rsid w:val="00EF62F8"/>
    <w:rsid w:val="00F011BD"/>
    <w:rsid w:val="00F016BA"/>
    <w:rsid w:val="00F01B31"/>
    <w:rsid w:val="00F03C78"/>
    <w:rsid w:val="00F057DB"/>
    <w:rsid w:val="00F16A95"/>
    <w:rsid w:val="00F177C0"/>
    <w:rsid w:val="00F17C0D"/>
    <w:rsid w:val="00F20F31"/>
    <w:rsid w:val="00F2612E"/>
    <w:rsid w:val="00F30A85"/>
    <w:rsid w:val="00F32EC8"/>
    <w:rsid w:val="00F34C98"/>
    <w:rsid w:val="00F364E9"/>
    <w:rsid w:val="00F378E3"/>
    <w:rsid w:val="00F40A84"/>
    <w:rsid w:val="00F424B7"/>
    <w:rsid w:val="00F4519D"/>
    <w:rsid w:val="00F46140"/>
    <w:rsid w:val="00F50FC7"/>
    <w:rsid w:val="00F52C6D"/>
    <w:rsid w:val="00F53A3B"/>
    <w:rsid w:val="00F54856"/>
    <w:rsid w:val="00F54920"/>
    <w:rsid w:val="00F56F0F"/>
    <w:rsid w:val="00F5748D"/>
    <w:rsid w:val="00F600C9"/>
    <w:rsid w:val="00F619D6"/>
    <w:rsid w:val="00F6319C"/>
    <w:rsid w:val="00F6438A"/>
    <w:rsid w:val="00F70304"/>
    <w:rsid w:val="00F72CE6"/>
    <w:rsid w:val="00F755D0"/>
    <w:rsid w:val="00F77058"/>
    <w:rsid w:val="00F775B3"/>
    <w:rsid w:val="00F8125E"/>
    <w:rsid w:val="00F86F78"/>
    <w:rsid w:val="00F8797F"/>
    <w:rsid w:val="00F9019F"/>
    <w:rsid w:val="00F94878"/>
    <w:rsid w:val="00F94F3B"/>
    <w:rsid w:val="00F95FC8"/>
    <w:rsid w:val="00FA0D0F"/>
    <w:rsid w:val="00FA4CD5"/>
    <w:rsid w:val="00FA7A93"/>
    <w:rsid w:val="00FB1010"/>
    <w:rsid w:val="00FB1547"/>
    <w:rsid w:val="00FB1A7D"/>
    <w:rsid w:val="00FB1D4B"/>
    <w:rsid w:val="00FB6E0E"/>
    <w:rsid w:val="00FC07F4"/>
    <w:rsid w:val="00FC23D9"/>
    <w:rsid w:val="00FC2997"/>
    <w:rsid w:val="00FC3802"/>
    <w:rsid w:val="00FC4B1B"/>
    <w:rsid w:val="00FD16BF"/>
    <w:rsid w:val="00FD5A63"/>
    <w:rsid w:val="00FE0968"/>
    <w:rsid w:val="00FE1848"/>
    <w:rsid w:val="00FE4810"/>
    <w:rsid w:val="00FE6B37"/>
    <w:rsid w:val="00FE75AC"/>
    <w:rsid w:val="00FE7EF5"/>
    <w:rsid w:val="00FF1FEF"/>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BC0A20"/>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es.wikipedia.org/wiki/Estado_de_M%C3%A9xico" TargetMode="External"/><Relationship Id="rId21" Type="http://schemas.openxmlformats.org/officeDocument/2006/relationships/package" Target="embeddings/Microsoft_Excel_Worksheet6.xlsx"/><Relationship Id="rId34" Type="http://schemas.openxmlformats.org/officeDocument/2006/relationships/hyperlink" Target="http://es.wikipedia.org/wiki/Organizaci%C3%B3n_territorial_de_M%C3%A9xico"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5.png"/><Relationship Id="rId37" Type="http://schemas.openxmlformats.org/officeDocument/2006/relationships/hyperlink" Target="http://es.wikipedia.org/wiki/Antonio_de_Mendoza" TargetMode="External"/><Relationship Id="rId40" Type="http://schemas.openxmlformats.org/officeDocument/2006/relationships/hyperlink" Target="http://es.wikipedia.org/wiki/Hidalgo_%28M%C3%A9xico%29"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png"/><Relationship Id="rId36" Type="http://schemas.openxmlformats.org/officeDocument/2006/relationships/hyperlink" Target="http://es.wikipedia.org/wiki/Nueva_Espa%C3%B1a" TargetMode="Externa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image" Target="media/image1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3.png"/><Relationship Id="rId35" Type="http://schemas.openxmlformats.org/officeDocument/2006/relationships/hyperlink" Target="http://es.wikipedia.org/wiki/M%C3%A9xico"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image" Target="media/image16.png"/><Relationship Id="rId38" Type="http://schemas.openxmlformats.org/officeDocument/2006/relationships/hyperlink" Target="http://es.wikipedia.org/wiki/Puebla" TargetMode="External"/><Relationship Id="rId46" Type="http://schemas.openxmlformats.org/officeDocument/2006/relationships/footer" Target="footer3.xml"/><Relationship Id="rId20" Type="http://schemas.openxmlformats.org/officeDocument/2006/relationships/image" Target="media/image7.emf"/><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254EE-B479-4DEC-B190-0A03D962C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10630</Words>
  <Characters>58466</Characters>
  <Application>Microsoft Office Word</Application>
  <DocSecurity>0</DocSecurity>
  <Lines>487</Lines>
  <Paragraphs>137</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cp:revision>
  <cp:lastPrinted>2021-04-14T18:29:00Z</cp:lastPrinted>
  <dcterms:created xsi:type="dcterms:W3CDTF">2021-07-14T19:29:00Z</dcterms:created>
  <dcterms:modified xsi:type="dcterms:W3CDTF">2021-07-14T19:29:00Z</dcterms:modified>
</cp:coreProperties>
</file>