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7EB5FBF0" w14:textId="77777777" w:rsidR="00CF470D" w:rsidRDefault="008674A5" w:rsidP="00386C8E">
      <w:r>
        <w:object w:dxaOrig="14217" w:dyaOrig="17308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5pt;height:624.95pt" o:ole="">
            <v:imagedata r:id="rId8" o:title=""/>
          </v:shape>
          <o:OLEObject Type="Embed" ProgID="Excel.Sheet.12" ShapeID="_x0000_i1025" DrawAspect="Content" ObjectID="_1734507245" r:id="rId9"/>
        </w:object>
      </w:r>
    </w:p>
    <w:p w14:paraId="0E541E5B" w14:textId="1BE015EE" w:rsidR="00A179AA" w:rsidRDefault="00A179AA" w:rsidP="00386C8E"/>
    <w:p w14:paraId="268F1409" w14:textId="77777777" w:rsidR="00CF470D" w:rsidRDefault="00CF470D" w:rsidP="00386C8E">
      <w:bookmarkStart w:id="1" w:name="_GoBack"/>
      <w:bookmarkEnd w:id="1"/>
    </w:p>
    <w:p w14:paraId="03EA5497" w14:textId="598E306D" w:rsidR="00372F40" w:rsidRDefault="000B54AD" w:rsidP="00774FB0">
      <w:pPr>
        <w:tabs>
          <w:tab w:val="left" w:pos="5387"/>
          <w:tab w:val="left" w:pos="5850"/>
        </w:tabs>
      </w:pPr>
      <w:r>
        <w:br w:type="textWrapping" w:clear="all"/>
      </w:r>
    </w:p>
    <w:bookmarkStart w:id="2" w:name="_MON_1710875082"/>
    <w:bookmarkEnd w:id="2"/>
    <w:p w14:paraId="3EE4BB9C" w14:textId="572CA6AB" w:rsidR="005265D0" w:rsidRDefault="006D4F40" w:rsidP="00EA0D23">
      <w:pPr>
        <w:tabs>
          <w:tab w:val="left" w:pos="5850"/>
        </w:tabs>
      </w:pPr>
      <w:r>
        <w:object w:dxaOrig="19243" w:dyaOrig="17510" w14:anchorId="67FE2CBB">
          <v:shape id="_x0000_i1026" type="#_x0000_t75" style="width:512.65pt;height:584.05pt" o:ole="">
            <v:imagedata r:id="rId10" o:title=""/>
          </v:shape>
          <o:OLEObject Type="Embed" ProgID="Excel.Sheet.12" ShapeID="_x0000_i1026" DrawAspect="Content" ObjectID="_1734507246" r:id="rId11"/>
        </w:object>
      </w:r>
    </w:p>
    <w:p w14:paraId="1D71C997" w14:textId="6E29A962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3" w:name="_MON_1710876009"/>
      <w:bookmarkEnd w:id="3"/>
      <w:r w:rsidR="00252271">
        <w:object w:dxaOrig="13673" w:dyaOrig="18366" w14:anchorId="314F73A2">
          <v:shape id="_x0000_i1027" type="#_x0000_t75" style="width:505.15pt;height:650.9pt" o:ole="">
            <v:imagedata r:id="rId12" o:title=""/>
          </v:shape>
          <o:OLEObject Type="Embed" ProgID="Excel.Sheet.12" ShapeID="_x0000_i1027" DrawAspect="Content" ObjectID="_1734507247" r:id="rId13"/>
        </w:object>
      </w:r>
    </w:p>
    <w:p w14:paraId="5F0CEED1" w14:textId="77777777" w:rsidR="00E36805" w:rsidRDefault="00E36805" w:rsidP="00927BA4">
      <w:pPr>
        <w:tabs>
          <w:tab w:val="left" w:pos="2430"/>
        </w:tabs>
      </w:pPr>
    </w:p>
    <w:bookmarkStart w:id="4" w:name="_MON_1710876893"/>
    <w:bookmarkEnd w:id="4"/>
    <w:p w14:paraId="7FA68173" w14:textId="0B5D1449" w:rsidR="005E0241" w:rsidRDefault="00252271" w:rsidP="00927BA4">
      <w:pPr>
        <w:tabs>
          <w:tab w:val="left" w:pos="2430"/>
        </w:tabs>
      </w:pPr>
      <w:r>
        <w:object w:dxaOrig="15254" w:dyaOrig="11877" w14:anchorId="31C11C34">
          <v:shape id="_x0000_i1028" type="#_x0000_t75" style="width:514.95pt;height:598.45pt" o:ole="">
            <v:imagedata r:id="rId14" o:title=""/>
          </v:shape>
          <o:OLEObject Type="Embed" ProgID="Excel.Sheet.12" ShapeID="_x0000_i1028" DrawAspect="Content" ObjectID="_1734507248" r:id="rId15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p w14:paraId="540B888F" w14:textId="77777777" w:rsidR="00E06A0E" w:rsidRDefault="00E06A0E" w:rsidP="00927BA4">
      <w:pPr>
        <w:tabs>
          <w:tab w:val="left" w:pos="2430"/>
        </w:tabs>
      </w:pPr>
    </w:p>
    <w:bookmarkStart w:id="5" w:name="_MON_1710877543"/>
    <w:bookmarkEnd w:id="5"/>
    <w:p w14:paraId="5488F948" w14:textId="14B3B86E" w:rsidR="0070003A" w:rsidRDefault="00A72691" w:rsidP="00927BA4">
      <w:pPr>
        <w:tabs>
          <w:tab w:val="left" w:pos="2430"/>
        </w:tabs>
      </w:pPr>
      <w:r>
        <w:object w:dxaOrig="14140" w:dyaOrig="14565" w14:anchorId="12C17285">
          <v:shape id="_x0000_i1029" type="#_x0000_t75" style="width:501.1pt;height:511.5pt" o:ole="">
            <v:imagedata r:id="rId16" o:title=""/>
          </v:shape>
          <o:OLEObject Type="Embed" ProgID="Excel.Sheet.12" ShapeID="_x0000_i1029" DrawAspect="Content" ObjectID="_1734507249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4D124111" w14:textId="77777777" w:rsidR="00E06A0E" w:rsidRDefault="00E06A0E" w:rsidP="00927BA4">
      <w:pPr>
        <w:tabs>
          <w:tab w:val="left" w:pos="2430"/>
        </w:tabs>
      </w:pPr>
    </w:p>
    <w:p w14:paraId="50571632" w14:textId="77777777" w:rsidR="00E06A0E" w:rsidRDefault="00E06A0E" w:rsidP="00927BA4">
      <w:pPr>
        <w:tabs>
          <w:tab w:val="left" w:pos="2430"/>
        </w:tabs>
      </w:pPr>
    </w:p>
    <w:p w14:paraId="37FB6105" w14:textId="77777777" w:rsidR="00E06A0E" w:rsidRDefault="00E06A0E" w:rsidP="00927BA4">
      <w:pPr>
        <w:tabs>
          <w:tab w:val="left" w:pos="2430"/>
        </w:tabs>
      </w:pPr>
    </w:p>
    <w:p w14:paraId="41C5C306" w14:textId="77777777" w:rsidR="00E06A0E" w:rsidRDefault="00E06A0E" w:rsidP="00927BA4">
      <w:pPr>
        <w:tabs>
          <w:tab w:val="left" w:pos="2430"/>
        </w:tabs>
      </w:pPr>
    </w:p>
    <w:p w14:paraId="5AD79E96" w14:textId="77777777" w:rsidR="00E06A0E" w:rsidRDefault="00E06A0E" w:rsidP="00927BA4">
      <w:pPr>
        <w:tabs>
          <w:tab w:val="left" w:pos="2430"/>
        </w:tabs>
      </w:pPr>
    </w:p>
    <w:bookmarkStart w:id="6" w:name="_MON_1710877960"/>
    <w:bookmarkEnd w:id="6"/>
    <w:p w14:paraId="503A043D" w14:textId="7A2A03C4" w:rsidR="00287D01" w:rsidRDefault="00A72691" w:rsidP="00927BA4">
      <w:pPr>
        <w:tabs>
          <w:tab w:val="left" w:pos="2430"/>
        </w:tabs>
      </w:pPr>
      <w:r>
        <w:object w:dxaOrig="18528" w:dyaOrig="17524" w14:anchorId="5CC17CA3">
          <v:shape id="_x0000_i1030" type="#_x0000_t75" style="width:510.35pt;height:588.1pt" o:ole="">
            <v:imagedata r:id="rId18" o:title=""/>
          </v:shape>
          <o:OLEObject Type="Embed" ProgID="Excel.Sheet.12" ShapeID="_x0000_i1030" DrawAspect="Content" ObjectID="_1734507250" r:id="rId19"/>
        </w:object>
      </w:r>
    </w:p>
    <w:p w14:paraId="6C339F5F" w14:textId="77777777" w:rsidR="00AA19CF" w:rsidRDefault="00AA19CF" w:rsidP="00927BA4">
      <w:pPr>
        <w:tabs>
          <w:tab w:val="left" w:pos="2430"/>
        </w:tabs>
      </w:pPr>
    </w:p>
    <w:p w14:paraId="082FEC79" w14:textId="77777777" w:rsidR="00F076A7" w:rsidRDefault="00F076A7" w:rsidP="00927BA4">
      <w:pPr>
        <w:tabs>
          <w:tab w:val="left" w:pos="2430"/>
        </w:tabs>
      </w:pPr>
    </w:p>
    <w:p w14:paraId="3ABAC7BE" w14:textId="77777777" w:rsidR="0021250F" w:rsidRDefault="0021250F" w:rsidP="00927BA4">
      <w:pPr>
        <w:tabs>
          <w:tab w:val="left" w:pos="2430"/>
        </w:tabs>
      </w:pPr>
    </w:p>
    <w:bookmarkStart w:id="7" w:name="_MON_1710878808"/>
    <w:bookmarkEnd w:id="7"/>
    <w:p w14:paraId="159B73F8" w14:textId="09F78F08" w:rsidR="007C37A3" w:rsidRDefault="00F076A7" w:rsidP="00927BA4">
      <w:pPr>
        <w:tabs>
          <w:tab w:val="left" w:pos="2430"/>
        </w:tabs>
      </w:pPr>
      <w:r>
        <w:object w:dxaOrig="12405" w:dyaOrig="17355" w14:anchorId="05F27B4F">
          <v:shape id="_x0000_i1031" type="#_x0000_t75" style="width:452.75pt;height:9in" o:ole="">
            <v:imagedata r:id="rId20" o:title=""/>
          </v:shape>
          <o:OLEObject Type="Embed" ProgID="Excel.Sheet.12" ShapeID="_x0000_i1031" DrawAspect="Content" ObjectID="_1734507251" r:id="rId21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78B61299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6AEC5FA0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04B2B193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F076A7">
        <w:rPr>
          <w:rFonts w:ascii="Arial" w:hAnsi="Arial" w:cs="Arial"/>
          <w:sz w:val="18"/>
          <w:szCs w:val="18"/>
        </w:rPr>
        <w:t>1</w:t>
      </w:r>
      <w:r w:rsidR="005B0A72">
        <w:rPr>
          <w:rFonts w:ascii="Arial" w:hAnsi="Arial" w:cs="Arial"/>
          <w:sz w:val="18"/>
          <w:szCs w:val="18"/>
        </w:rPr>
        <w:t xml:space="preserve"> de </w:t>
      </w:r>
      <w:r w:rsidR="00F076A7">
        <w:rPr>
          <w:rFonts w:ascii="Arial" w:hAnsi="Arial" w:cs="Arial"/>
          <w:sz w:val="18"/>
          <w:szCs w:val="18"/>
        </w:rPr>
        <w:t>diciembre</w:t>
      </w:r>
      <w:r w:rsidR="00AA19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Ejercicio Fiscal 2022,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28D73DC3" w:rsidR="007F55A8" w:rsidRDefault="005B0A72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María Carolina Hernández Pozos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07A4679" w14:textId="77777777" w:rsidR="00AA19CF" w:rsidRDefault="00AA19CF" w:rsidP="001B2D8B">
      <w:pPr>
        <w:jc w:val="center"/>
        <w:rPr>
          <w:rFonts w:ascii="Soberana Sans Light" w:hAnsi="Soberana Sans Light"/>
          <w:b/>
        </w:rPr>
      </w:pPr>
    </w:p>
    <w:p w14:paraId="1373C02F" w14:textId="77777777" w:rsidR="00EC76FA" w:rsidRDefault="00EC76FA" w:rsidP="001B2D8B">
      <w:pPr>
        <w:jc w:val="center"/>
        <w:rPr>
          <w:rFonts w:ascii="Soberana Sans Light" w:hAnsi="Soberana Sans Light"/>
          <w:b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4D809896" w:rsidR="001B2D8B" w:rsidRPr="000F6B3C" w:rsidRDefault="001B2D8B" w:rsidP="00F076A7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F076A7">
        <w:rPr>
          <w:lang w:val="es-MX"/>
        </w:rPr>
        <w:t>776,202.00</w:t>
      </w:r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3E8BD0EE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F076A7">
        <w:rPr>
          <w:lang w:val="es-MX"/>
        </w:rPr>
        <w:t>al 31</w:t>
      </w:r>
      <w:r>
        <w:rPr>
          <w:lang w:val="es-MX"/>
        </w:rPr>
        <w:t xml:space="preserve"> de </w:t>
      </w:r>
      <w:r w:rsidR="00F076A7">
        <w:rPr>
          <w:lang w:val="es-MX"/>
        </w:rPr>
        <w:t xml:space="preserve">diciembre </w:t>
      </w:r>
      <w:r w:rsidR="008139EE">
        <w:rPr>
          <w:lang w:val="es-MX"/>
        </w:rPr>
        <w:t>no</w:t>
      </w:r>
      <w:r>
        <w:rPr>
          <w:lang w:val="es-MX"/>
        </w:rPr>
        <w:t xml:space="preserve"> cuenta con Derechos a recibir efectivo y Equivalentes y Bienes y Servicios a Recibir</w:t>
      </w:r>
      <w:r w:rsidR="008139EE">
        <w:rPr>
          <w:lang w:val="es-MX"/>
        </w:rPr>
        <w:t>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   914,700.00</w:t>
      </w:r>
    </w:p>
    <w:p w14:paraId="3550FD72" w14:textId="7C12BDD2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</w:t>
      </w:r>
      <w:r w:rsidR="008139EE">
        <w:rPr>
          <w:lang w:val="es-MX"/>
        </w:rPr>
        <w:t>6,817,21</w:t>
      </w:r>
      <w:r>
        <w:rPr>
          <w:lang w:val="es-MX"/>
        </w:rPr>
        <w:t>2.00</w:t>
      </w:r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>
        <w:rPr>
          <w:lang w:val="es-MX"/>
        </w:rPr>
        <w:t>274,988.00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>
        <w:rPr>
          <w:lang w:val="es-MX"/>
        </w:rPr>
        <w:t>752,641.00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31EA4BB5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 w:rsidR="008139EE">
        <w:rPr>
          <w:b/>
          <w:lang w:val="es-MX"/>
        </w:rPr>
        <w:t>10</w:t>
      </w:r>
      <w:r>
        <w:rPr>
          <w:b/>
          <w:lang w:val="es-MX"/>
        </w:rPr>
        <w:t>,</w:t>
      </w:r>
      <w:r w:rsidR="008139EE">
        <w:rPr>
          <w:b/>
          <w:lang w:val="es-MX"/>
        </w:rPr>
        <w:t>002</w:t>
      </w:r>
      <w:r>
        <w:rPr>
          <w:b/>
          <w:lang w:val="es-MX"/>
        </w:rPr>
        <w:t>,</w:t>
      </w:r>
      <w:r w:rsidR="008139EE">
        <w:rPr>
          <w:b/>
          <w:lang w:val="es-MX"/>
        </w:rPr>
        <w:t>174</w:t>
      </w:r>
      <w:r>
        <w:rPr>
          <w:b/>
          <w:lang w:val="es-MX"/>
        </w:rPr>
        <w:t>.00</w:t>
      </w:r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38854465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</w:t>
      </w:r>
      <w:r w:rsidR="008139EE">
        <w:rPr>
          <w:lang w:val="es-MX"/>
        </w:rPr>
        <w:t>1</w:t>
      </w:r>
      <w:r>
        <w:rPr>
          <w:lang w:val="es-MX"/>
        </w:rPr>
        <w:t xml:space="preserve"> de</w:t>
      </w:r>
      <w:r w:rsidR="00AA19CF">
        <w:rPr>
          <w:lang w:val="es-MX"/>
        </w:rPr>
        <w:t xml:space="preserve"> </w:t>
      </w:r>
      <w:r w:rsidR="008139EE">
        <w:rPr>
          <w:lang w:val="es-MX"/>
        </w:rPr>
        <w:t xml:space="preserve">diciembre </w:t>
      </w:r>
      <w:r>
        <w:rPr>
          <w:lang w:val="es-MX"/>
        </w:rPr>
        <w:t>de 2022 fue modificada debido a la siguiente situación:</w:t>
      </w:r>
    </w:p>
    <w:p w14:paraId="3AED6D63" w14:textId="7E2882F5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</w:t>
      </w:r>
      <w:r w:rsidR="008139EE">
        <w:rPr>
          <w:lang w:val="es-MX"/>
        </w:rPr>
        <w:t xml:space="preserve"> por la cantidad de: $600,691.00</w:t>
      </w:r>
    </w:p>
    <w:p w14:paraId="418A4429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Baja de bienes por la cantidad de: $82,739.00</w:t>
      </w:r>
    </w:p>
    <w:p w14:paraId="7065A08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1B62F383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8139EE">
        <w:rPr>
          <w:lang w:val="es-MX"/>
        </w:rPr>
        <w:t>10,002,174.00</w:t>
      </w:r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3DC04C21" w:rsidR="001B2D8B" w:rsidRPr="00AA19CF" w:rsidRDefault="009E21FA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S</w:t>
      </w:r>
      <w:r w:rsidR="001B2D8B" w:rsidRPr="00AA19CF">
        <w:rPr>
          <w:lang w:val="es-MX"/>
        </w:rPr>
        <w:t>e registraron pasivos al 3</w:t>
      </w:r>
      <w:r w:rsidR="0015136E">
        <w:rPr>
          <w:lang w:val="es-MX"/>
        </w:rPr>
        <w:t>1</w:t>
      </w:r>
      <w:r w:rsidR="001B2D8B" w:rsidRPr="00AA19CF">
        <w:rPr>
          <w:lang w:val="es-MX"/>
        </w:rPr>
        <w:t xml:space="preserve"> de</w:t>
      </w:r>
      <w:r w:rsidR="0015136E">
        <w:rPr>
          <w:lang w:val="es-MX"/>
        </w:rPr>
        <w:t xml:space="preserve"> diciembre </w:t>
      </w:r>
      <w:r w:rsidR="005B0A72">
        <w:rPr>
          <w:lang w:val="es-MX"/>
        </w:rPr>
        <w:t>de 2022, por la cantidad de $</w:t>
      </w:r>
      <w:r w:rsidR="0015136E">
        <w:rPr>
          <w:lang w:val="es-MX"/>
        </w:rPr>
        <w:t>246,933.00</w:t>
      </w:r>
      <w:r w:rsidR="005B0A72">
        <w:rPr>
          <w:lang w:val="es-MX"/>
        </w:rPr>
        <w:t xml:space="preserve"> por concepto de p</w:t>
      </w:r>
      <w:r w:rsidR="00B82E3E">
        <w:rPr>
          <w:lang w:val="es-MX"/>
        </w:rPr>
        <w:t>ago de impuestos federales</w:t>
      </w:r>
      <w:r w:rsidR="0015136E">
        <w:rPr>
          <w:lang w:val="es-MX"/>
        </w:rPr>
        <w:t>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1BE4893F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</w:t>
      </w:r>
      <w:r w:rsidR="0015136E">
        <w:rPr>
          <w:rFonts w:ascii="Arial" w:eastAsia="Times New Roman" w:hAnsi="Arial" w:cs="Arial"/>
          <w:sz w:val="18"/>
          <w:szCs w:val="18"/>
          <w:lang w:eastAsia="es-ES"/>
        </w:rPr>
        <w:t xml:space="preserve">1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15136E">
        <w:rPr>
          <w:rFonts w:ascii="Arial" w:eastAsia="Times New Roman" w:hAnsi="Arial" w:cs="Arial"/>
          <w:sz w:val="18"/>
          <w:szCs w:val="18"/>
          <w:lang w:eastAsia="es-ES"/>
        </w:rPr>
        <w:t xml:space="preserve">diciembre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2022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W w:w="946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1843"/>
        <w:gridCol w:w="1561"/>
        <w:gridCol w:w="1660"/>
      </w:tblGrid>
      <w:tr w:rsidR="00985709" w:rsidRPr="00985709" w14:paraId="68A0F495" w14:textId="77777777" w:rsidTr="00985709">
        <w:trPr>
          <w:trHeight w:val="169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BEDC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E758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0A9D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F53D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985709" w:rsidRPr="00985709" w14:paraId="7B982C4E" w14:textId="77777777" w:rsidTr="00985709">
        <w:trPr>
          <w:trHeight w:val="334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6A7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4513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AA6C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$1,529,858.00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A46A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$1,529,858.00</w:t>
            </w:r>
          </w:p>
        </w:tc>
      </w:tr>
      <w:tr w:rsidR="00985709" w:rsidRPr="00985709" w14:paraId="55064DAE" w14:textId="77777777" w:rsidTr="00985709">
        <w:trPr>
          <w:trHeight w:val="251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9636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626B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83AD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$552,994.00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77C3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$552,994.00</w:t>
            </w:r>
          </w:p>
        </w:tc>
      </w:tr>
      <w:tr w:rsidR="00985709" w:rsidRPr="00985709" w14:paraId="1DC810FC" w14:textId="77777777" w:rsidTr="00985709">
        <w:trPr>
          <w:trHeight w:val="334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DDE1" w14:textId="37A34A98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(Cargos por concepto de Nómina).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007E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$2,352,276.00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B013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$3,190,724.00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9B9F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$5,543,000.00</w:t>
            </w:r>
          </w:p>
        </w:tc>
      </w:tr>
      <w:tr w:rsidR="00985709" w:rsidRPr="00985709" w14:paraId="0AF5E100" w14:textId="77777777" w:rsidTr="00985709">
        <w:trPr>
          <w:trHeight w:val="256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4E85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(Cargos por concepto de Impuesto sobre Nómina).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F5EC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$48,942.00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1BA8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A2FF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$48,942.00</w:t>
            </w:r>
          </w:p>
        </w:tc>
      </w:tr>
      <w:tr w:rsidR="00985709" w:rsidRPr="00985709" w14:paraId="3E09B5B0" w14:textId="77777777" w:rsidTr="00985709">
        <w:trPr>
          <w:trHeight w:val="169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6564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5D22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B6D8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$175,220.00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5FFA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$175,220.00</w:t>
            </w:r>
          </w:p>
        </w:tc>
      </w:tr>
      <w:tr w:rsidR="00985709" w:rsidRPr="00985709" w14:paraId="29FA79F6" w14:textId="77777777" w:rsidTr="00985709">
        <w:trPr>
          <w:trHeight w:val="169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FFCD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0D4D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14CB" w14:textId="77777777" w:rsidR="00985709" w:rsidRPr="00985709" w:rsidRDefault="00985709" w:rsidP="00985709">
            <w:pPr>
              <w:spacing w:after="0" w:line="240" w:lineRule="auto"/>
              <w:jc w:val="right"/>
            </w:pPr>
            <w:r w:rsidRPr="00985709">
              <w:t>$1,713.00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9714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$1,713.00</w:t>
            </w:r>
          </w:p>
        </w:tc>
      </w:tr>
      <w:tr w:rsidR="00985709" w:rsidRPr="00985709" w14:paraId="6059CDC3" w14:textId="77777777" w:rsidTr="00985709">
        <w:trPr>
          <w:trHeight w:val="107"/>
        </w:trPr>
        <w:tc>
          <w:tcPr>
            <w:tcW w:w="4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A5D8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85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F56D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$2,401,218.00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F6EE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$5,450,509.00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DD9D" w14:textId="77777777" w:rsidR="00985709" w:rsidRPr="00985709" w:rsidRDefault="00985709" w:rsidP="00985709">
            <w:pPr>
              <w:spacing w:after="0" w:line="240" w:lineRule="auto"/>
              <w:jc w:val="right"/>
              <w:rPr>
                <w:b/>
              </w:rPr>
            </w:pPr>
            <w:r w:rsidRPr="00985709">
              <w:rPr>
                <w:b/>
              </w:rPr>
              <w:t>$7,851,727.00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9825F68" w14:textId="368C578D" w:rsidR="001B2D8B" w:rsidRPr="00C735C9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Ingresos por concepto de transferencias que incluye tanto cargos presupuestales (Registro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nómina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e impuesto sobre nóminas) por el importe de $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2,401,218.00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, como financieros (ministración de recursos de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gasto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operativo</w:t>
      </w:r>
      <w:r w:rsidR="007348EC">
        <w:rPr>
          <w:rFonts w:ascii="Arial" w:eastAsia="Times New Roman" w:hAnsi="Arial" w:cs="Arial"/>
          <w:sz w:val="18"/>
          <w:szCs w:val="18"/>
          <w:lang w:eastAsia="es-ES"/>
        </w:rPr>
        <w:t>, capítulo 1000 y ampliación presupuestal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) por la cantidad de $</w:t>
      </w:r>
      <w:r w:rsidR="00985709" w:rsidRPr="00985709">
        <w:rPr>
          <w:rFonts w:ascii="Arial" w:eastAsia="Times New Roman" w:hAnsi="Arial" w:cs="Arial"/>
          <w:sz w:val="18"/>
          <w:szCs w:val="18"/>
          <w:lang w:eastAsia="es-ES"/>
        </w:rPr>
        <w:t>5,448,796.00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dando un total de transferencias efectuadas por la Secretaría de 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F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inanzas de $</w:t>
      </w:r>
      <w:r w:rsidR="00985709">
        <w:rPr>
          <w:rFonts w:ascii="Arial" w:eastAsia="Times New Roman" w:hAnsi="Arial" w:cs="Arial"/>
          <w:sz w:val="18"/>
          <w:szCs w:val="18"/>
          <w:lang w:eastAsia="es-ES"/>
        </w:rPr>
        <w:t>7,850,014.00</w:t>
      </w:r>
    </w:p>
    <w:p w14:paraId="49930128" w14:textId="1D0400E1" w:rsidR="001B2D8B" w:rsidRDefault="001B2D8B" w:rsidP="001B2D8B">
      <w:pPr>
        <w:pStyle w:val="ROMANOS"/>
        <w:numPr>
          <w:ilvl w:val="0"/>
          <w:numId w:val="39"/>
        </w:numPr>
        <w:spacing w:after="0" w:line="240" w:lineRule="exact"/>
        <w:rPr>
          <w:lang w:val="es-MX"/>
        </w:rPr>
      </w:pPr>
      <w:r>
        <w:rPr>
          <w:lang w:val="es-MX"/>
        </w:rPr>
        <w:t>Productos f</w:t>
      </w:r>
      <w:r w:rsidR="001B1AC8">
        <w:rPr>
          <w:lang w:val="es-MX"/>
        </w:rPr>
        <w:t>inancieros por la cantidad de $</w:t>
      </w:r>
      <w:r w:rsidR="00985709">
        <w:rPr>
          <w:lang w:val="es-MX"/>
        </w:rPr>
        <w:t>1,713.00</w:t>
      </w:r>
    </w:p>
    <w:p w14:paraId="27A03659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851AD81" w14:textId="2A6D503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985709">
        <w:rPr>
          <w:b/>
          <w:lang w:val="es-MX"/>
        </w:rPr>
        <w:t>7,851,727.00</w:t>
      </w:r>
    </w:p>
    <w:p w14:paraId="0079F80C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914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541"/>
        <w:gridCol w:w="2290"/>
        <w:gridCol w:w="2290"/>
      </w:tblGrid>
      <w:tr w:rsidR="00985709" w:rsidRPr="00985709" w14:paraId="5878AE13" w14:textId="77777777" w:rsidTr="00985709">
        <w:trPr>
          <w:trHeight w:val="26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0A5D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7A8A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B110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7DBF" w14:textId="77777777" w:rsidR="00985709" w:rsidRPr="00985709" w:rsidRDefault="00985709" w:rsidP="00985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985709" w:rsidRPr="00985709" w14:paraId="32CE15D1" w14:textId="77777777" w:rsidTr="00985709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F6C1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A83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$2,352,276.00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E99C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$3,437,073.00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CD3A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$5,789,349.00</w:t>
            </w:r>
          </w:p>
        </w:tc>
      </w:tr>
      <w:tr w:rsidR="00985709" w:rsidRPr="00985709" w14:paraId="19CB265B" w14:textId="77777777" w:rsidTr="00985709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D469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7FAF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379E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759,956.00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501B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$759,956.00</w:t>
            </w:r>
          </w:p>
        </w:tc>
      </w:tr>
      <w:tr w:rsidR="00985709" w:rsidRPr="00985709" w14:paraId="3E866EF0" w14:textId="77777777" w:rsidTr="00985709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2A88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6318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48,942.00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78B1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313,536.00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0A93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$362,478.00</w:t>
            </w:r>
          </w:p>
        </w:tc>
      </w:tr>
      <w:tr w:rsidR="00985709" w:rsidRPr="00985709" w14:paraId="562829C2" w14:textId="77777777" w:rsidTr="00985709">
        <w:trPr>
          <w:trHeight w:val="1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B63E" w14:textId="77777777" w:rsidR="00985709" w:rsidRPr="00985709" w:rsidRDefault="00985709" w:rsidP="009857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4630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$2,401,218.00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54DD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$4,510,565.00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6952" w14:textId="77777777" w:rsidR="00985709" w:rsidRPr="00985709" w:rsidRDefault="00985709" w:rsidP="00985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$6,911,783.00</w:t>
            </w:r>
          </w:p>
        </w:tc>
      </w:tr>
    </w:tbl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4D3F9DC6" w14:textId="23EE69F9" w:rsidR="00237D1F" w:rsidRDefault="001B2D8B" w:rsidP="00237D1F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Gastos por concepto de Servicios Personales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 xml:space="preserve"> al 30 de junio;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ascienden a $</w:t>
      </w:r>
      <w:r w:rsidR="00A167F5">
        <w:rPr>
          <w:rFonts w:ascii="Arial" w:eastAsia="Times New Roman" w:hAnsi="Arial" w:cs="Arial"/>
          <w:sz w:val="18"/>
          <w:szCs w:val="18"/>
          <w:lang w:eastAsia="es-ES"/>
        </w:rPr>
        <w:t>2,761,214.00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mismos que incluyen cargos presupuestales por la S. F. conforme al Acuerdo por el que se establecen las bases para la administración de la nómina y el cumplimiento de las obligaciones fiscales federales y estatales del ITJ, ITC, ITPCD, IDC y FOMTLAX, por remuneraciones al personal de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carácter permanente por $</w:t>
      </w:r>
      <w:r w:rsidR="00D7705A">
        <w:rPr>
          <w:rFonts w:ascii="Arial" w:eastAsia="Times New Roman" w:hAnsi="Arial" w:cs="Arial"/>
          <w:b/>
          <w:sz w:val="18"/>
          <w:szCs w:val="18"/>
          <w:lang w:eastAsia="es-ES"/>
        </w:rPr>
        <w:t>2,219,501.00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,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remuneraciones provisionadas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por la cantidad de $</w:t>
      </w:r>
      <w:r w:rsidR="00237D1F">
        <w:rPr>
          <w:rFonts w:ascii="Arial" w:eastAsia="Times New Roman" w:hAnsi="Arial" w:cs="Arial"/>
          <w:b/>
          <w:sz w:val="18"/>
          <w:szCs w:val="18"/>
          <w:lang w:eastAsia="es-ES"/>
        </w:rPr>
        <w:t>132,775.00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siendo las percepciones siguientes</w:t>
      </w:r>
      <w:r w:rsidR="00237D1F">
        <w:rPr>
          <w:rFonts w:ascii="Arial" w:eastAsia="Times New Roman" w:hAnsi="Arial" w:cs="Arial"/>
          <w:sz w:val="18"/>
          <w:szCs w:val="18"/>
          <w:lang w:eastAsia="es-ES"/>
        </w:rPr>
        <w:t xml:space="preserve">: prima vacacional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y aportaciones a pensio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>nes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;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 es importante mencionar que 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 xml:space="preserve">por </w:t>
      </w:r>
      <w:r w:rsidR="00BC26F8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>indicaciones</w:t>
      </w:r>
      <w:r w:rsid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manera económica</w:t>
      </w:r>
      <w:r w:rsidR="00BC26F8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la Secretaría de Finanzas a través de la Dirección de Presupuesto se cancelar</w:t>
      </w:r>
      <w:r w:rsidR="00237D1F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on los cargos presupuestales </w:t>
      </w:r>
      <w:r w:rsidR="002572E0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>por este concepto</w:t>
      </w:r>
      <w:r w:rsidR="00237D1F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prestaciones de fin de año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, los cuales fueron transferidos vía ministración al Instituto por la cantidad de </w:t>
      </w:r>
      <w:r w:rsidR="002572E0" w:rsidRPr="00237D1F">
        <w:rPr>
          <w:rFonts w:ascii="Arial" w:eastAsia="Times New Roman" w:hAnsi="Arial" w:cs="Arial"/>
          <w:b/>
          <w:sz w:val="18"/>
          <w:szCs w:val="18"/>
          <w:lang w:eastAsia="es-ES"/>
        </w:rPr>
        <w:t>$335,200.00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F6DF8">
        <w:rPr>
          <w:rFonts w:ascii="Arial" w:eastAsia="Times New Roman" w:hAnsi="Arial" w:cs="Arial"/>
          <w:sz w:val="18"/>
          <w:szCs w:val="18"/>
          <w:lang w:eastAsia="es-ES"/>
        </w:rPr>
        <w:t>el día 30 de junio de 2022</w:t>
      </w:r>
      <w:r w:rsidR="00237D1F">
        <w:rPr>
          <w:rFonts w:ascii="Arial" w:eastAsia="Times New Roman" w:hAnsi="Arial" w:cs="Arial"/>
          <w:sz w:val="18"/>
          <w:szCs w:val="18"/>
          <w:lang w:eastAsia="es-ES"/>
        </w:rPr>
        <w:t xml:space="preserve"> como a continuación se detalla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1B7CC5B4" w14:textId="77777777" w:rsidR="002572E0" w:rsidRDefault="002572E0" w:rsidP="002572E0">
      <w:pPr>
        <w:pStyle w:val="Prrafodelista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E6932DC" w14:textId="77777777" w:rsidR="00985709" w:rsidRDefault="00985709" w:rsidP="002572E0">
      <w:pPr>
        <w:pStyle w:val="Prrafodelista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4D11C48" w14:textId="77777777" w:rsidR="00985709" w:rsidRDefault="00985709" w:rsidP="002572E0">
      <w:pPr>
        <w:pStyle w:val="Prrafodelista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633"/>
        <w:gridCol w:w="1417"/>
      </w:tblGrid>
      <w:tr w:rsidR="002572E0" w14:paraId="251524D3" w14:textId="77777777" w:rsidTr="00237D1F">
        <w:trPr>
          <w:jc w:val="center"/>
        </w:trPr>
        <w:tc>
          <w:tcPr>
            <w:tcW w:w="1757" w:type="dxa"/>
          </w:tcPr>
          <w:p w14:paraId="241363C2" w14:textId="59889E1B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PRESTACIÓN</w:t>
            </w:r>
          </w:p>
        </w:tc>
        <w:tc>
          <w:tcPr>
            <w:tcW w:w="2633" w:type="dxa"/>
          </w:tcPr>
          <w:p w14:paraId="16E6D143" w14:textId="2B95D196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PARTIDAS AFECTADAS</w:t>
            </w:r>
          </w:p>
        </w:tc>
        <w:tc>
          <w:tcPr>
            <w:tcW w:w="1417" w:type="dxa"/>
          </w:tcPr>
          <w:p w14:paraId="2FF6AB44" w14:textId="0C236CA4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IMPORTE</w:t>
            </w:r>
          </w:p>
        </w:tc>
      </w:tr>
      <w:tr w:rsidR="002572E0" w14:paraId="479D25EE" w14:textId="77777777" w:rsidTr="00237D1F">
        <w:trPr>
          <w:jc w:val="center"/>
        </w:trPr>
        <w:tc>
          <w:tcPr>
            <w:tcW w:w="1757" w:type="dxa"/>
          </w:tcPr>
          <w:p w14:paraId="37327351" w14:textId="67596DDF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Aguinaldo</w:t>
            </w:r>
          </w:p>
        </w:tc>
        <w:tc>
          <w:tcPr>
            <w:tcW w:w="2633" w:type="dxa"/>
          </w:tcPr>
          <w:p w14:paraId="257EBAE7" w14:textId="2A29DF1D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1326,1327 y 1328</w:t>
            </w:r>
          </w:p>
        </w:tc>
        <w:tc>
          <w:tcPr>
            <w:tcW w:w="1417" w:type="dxa"/>
          </w:tcPr>
          <w:p w14:paraId="09D4E68B" w14:textId="21E2C5C0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$159,463.00</w:t>
            </w:r>
          </w:p>
        </w:tc>
      </w:tr>
      <w:tr w:rsidR="002572E0" w14:paraId="62E35F52" w14:textId="77777777" w:rsidTr="00237D1F">
        <w:trPr>
          <w:jc w:val="center"/>
        </w:trPr>
        <w:tc>
          <w:tcPr>
            <w:tcW w:w="1757" w:type="dxa"/>
          </w:tcPr>
          <w:p w14:paraId="72C50794" w14:textId="7551FB3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prestaciones</w:t>
            </w:r>
          </w:p>
        </w:tc>
        <w:tc>
          <w:tcPr>
            <w:tcW w:w="2633" w:type="dxa"/>
          </w:tcPr>
          <w:p w14:paraId="0BC0BD18" w14:textId="6BE252B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159B, 159C y 159D</w:t>
            </w:r>
          </w:p>
        </w:tc>
        <w:tc>
          <w:tcPr>
            <w:tcW w:w="1417" w:type="dxa"/>
          </w:tcPr>
          <w:p w14:paraId="7C22ECCD" w14:textId="1D857D44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39,866.00</w:t>
            </w:r>
          </w:p>
        </w:tc>
      </w:tr>
      <w:tr w:rsidR="002572E0" w14:paraId="29A1072E" w14:textId="77777777" w:rsidTr="00237D1F">
        <w:trPr>
          <w:jc w:val="center"/>
        </w:trPr>
        <w:tc>
          <w:tcPr>
            <w:tcW w:w="1757" w:type="dxa"/>
          </w:tcPr>
          <w:p w14:paraId="47CCA787" w14:textId="252C6721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Despensa especial</w:t>
            </w:r>
          </w:p>
        </w:tc>
        <w:tc>
          <w:tcPr>
            <w:tcW w:w="2633" w:type="dxa"/>
          </w:tcPr>
          <w:p w14:paraId="1143BE9D" w14:textId="337D1F6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1597 y 1598</w:t>
            </w:r>
          </w:p>
        </w:tc>
        <w:tc>
          <w:tcPr>
            <w:tcW w:w="1417" w:type="dxa"/>
          </w:tcPr>
          <w:p w14:paraId="6EF434F8" w14:textId="5A87CA84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38,862.00</w:t>
            </w:r>
          </w:p>
        </w:tc>
      </w:tr>
      <w:tr w:rsidR="002572E0" w14:paraId="6ECD0066" w14:textId="77777777" w:rsidTr="00237D1F">
        <w:trPr>
          <w:jc w:val="center"/>
        </w:trPr>
        <w:tc>
          <w:tcPr>
            <w:tcW w:w="1757" w:type="dxa"/>
          </w:tcPr>
          <w:p w14:paraId="0F9E796E" w14:textId="465C4E27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Prestaciones B y Bono Anual</w:t>
            </w:r>
          </w:p>
        </w:tc>
        <w:tc>
          <w:tcPr>
            <w:tcW w:w="2633" w:type="dxa"/>
          </w:tcPr>
          <w:p w14:paraId="4DA51C7E" w14:textId="0F451801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159J y 159K</w:t>
            </w:r>
          </w:p>
        </w:tc>
        <w:tc>
          <w:tcPr>
            <w:tcW w:w="1417" w:type="dxa"/>
          </w:tcPr>
          <w:p w14:paraId="5242FC11" w14:textId="26710B40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94,191.00</w:t>
            </w:r>
          </w:p>
        </w:tc>
      </w:tr>
      <w:tr w:rsidR="002572E0" w14:paraId="60E0CFF2" w14:textId="77777777" w:rsidTr="00237D1F">
        <w:trPr>
          <w:jc w:val="center"/>
        </w:trPr>
        <w:tc>
          <w:tcPr>
            <w:tcW w:w="1757" w:type="dxa"/>
          </w:tcPr>
          <w:p w14:paraId="51562BB2" w14:textId="01EB031E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Prima V</w:t>
            </w:r>
            <w:r w:rsidR="00237D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acaci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onal</w:t>
            </w:r>
          </w:p>
        </w:tc>
        <w:tc>
          <w:tcPr>
            <w:tcW w:w="2633" w:type="dxa"/>
          </w:tcPr>
          <w:p w14:paraId="71D73A41" w14:textId="7F056E97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1321, 1322 y 1323</w:t>
            </w:r>
          </w:p>
        </w:tc>
        <w:tc>
          <w:tcPr>
            <w:tcW w:w="1417" w:type="dxa"/>
          </w:tcPr>
          <w:p w14:paraId="68E2D3B6" w14:textId="0E7098B6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2,818.00</w:t>
            </w:r>
          </w:p>
        </w:tc>
      </w:tr>
      <w:tr w:rsidR="00237D1F" w14:paraId="740337FB" w14:textId="77777777" w:rsidTr="00237D1F">
        <w:trPr>
          <w:jc w:val="center"/>
        </w:trPr>
        <w:tc>
          <w:tcPr>
            <w:tcW w:w="4390" w:type="dxa"/>
            <w:gridSpan w:val="2"/>
          </w:tcPr>
          <w:p w14:paraId="38CEF8D0" w14:textId="106C1139" w:rsidR="00237D1F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(cancelado y transferido)</w:t>
            </w:r>
          </w:p>
        </w:tc>
        <w:tc>
          <w:tcPr>
            <w:tcW w:w="1417" w:type="dxa"/>
          </w:tcPr>
          <w:p w14:paraId="772C27E3" w14:textId="3A879697" w:rsidR="00237D1F" w:rsidRPr="00237D1F" w:rsidRDefault="00237D1F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335,200.00</w:t>
            </w:r>
          </w:p>
        </w:tc>
      </w:tr>
    </w:tbl>
    <w:p w14:paraId="61417015" w14:textId="77777777" w:rsidR="00F141BF" w:rsidRDefault="00F141BF" w:rsidP="002572E0">
      <w:pPr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148C3E" w14:textId="7C9BA3DC" w:rsidR="001B2D8B" w:rsidRDefault="00237D1F" w:rsidP="002572E0">
      <w:pPr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Siendo un t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 xml:space="preserve">otal por concepto de nómina de </w:t>
      </w:r>
      <w:r w:rsidR="001B2D8B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$</w:t>
      </w:r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2,</w:t>
      </w:r>
      <w:r w:rsidR="00FF6DF8">
        <w:rPr>
          <w:rFonts w:ascii="Arial" w:eastAsia="Times New Roman" w:hAnsi="Arial" w:cs="Arial"/>
          <w:b/>
          <w:sz w:val="18"/>
          <w:szCs w:val="18"/>
          <w:lang w:eastAsia="es-ES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52,276.00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>; y financieros por la cantidad de</w:t>
      </w:r>
      <w:r w:rsidR="001B2D8B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$</w:t>
      </w:r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73,738.00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>, por pago de servicio de gasto médico.</w:t>
      </w:r>
    </w:p>
    <w:p w14:paraId="3C53C23E" w14:textId="12D05E7C" w:rsidR="00120D11" w:rsidRPr="00F141BF" w:rsidRDefault="00120D11" w:rsidP="00F141BF">
      <w:pPr>
        <w:pStyle w:val="Prrafodelista"/>
        <w:numPr>
          <w:ilvl w:val="0"/>
          <w:numId w:val="43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141BF">
        <w:rPr>
          <w:rFonts w:ascii="Arial" w:eastAsia="Times New Roman" w:hAnsi="Arial" w:cs="Arial"/>
          <w:sz w:val="18"/>
          <w:szCs w:val="18"/>
          <w:lang w:eastAsia="es-ES"/>
        </w:rPr>
        <w:t xml:space="preserve">Sin embargo a partir del 01 de julio y de acuerdo a las indicaciones proporcionadas por la dirección de Recursos Humanos de la O.M.G y la Dirección de Presupuesto de la S.F. 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>el Instituto de Catastro se hace responsable para el pago de nómina por lo que, los pagos por prestaciones permanentes son por la cantidad de $</w:t>
      </w:r>
      <w:r w:rsidR="00FA025C">
        <w:rPr>
          <w:rFonts w:ascii="Arial" w:eastAsia="Times New Roman" w:hAnsi="Arial" w:cs="Arial"/>
          <w:sz w:val="18"/>
          <w:szCs w:val="18"/>
          <w:lang w:eastAsia="es-ES"/>
        </w:rPr>
        <w:t>3,111,208.00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 xml:space="preserve">, gasto médico por </w:t>
      </w:r>
      <w:r w:rsidR="00F141BF" w:rsidRPr="00F141BF">
        <w:rPr>
          <w:rFonts w:ascii="Arial" w:eastAsia="Times New Roman" w:hAnsi="Arial" w:cs="Arial"/>
          <w:sz w:val="18"/>
          <w:szCs w:val="18"/>
          <w:lang w:eastAsia="es-ES"/>
        </w:rPr>
        <w:t>i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>mporte de $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>76,907.69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 xml:space="preserve"> y pago de indemnización por la cantidad de $175,220.08, dando un total por concepto de servicios personales al 3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 xml:space="preserve">1 de diciembre 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>de</w:t>
      </w:r>
      <w:r w:rsidR="00D53AFF" w:rsidRPr="00F141B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="00F141BF" w:rsidRPr="00F141BF">
        <w:rPr>
          <w:rFonts w:ascii="Arial" w:eastAsia="Times New Roman" w:hAnsi="Arial" w:cs="Arial"/>
          <w:b/>
          <w:sz w:val="18"/>
          <w:szCs w:val="18"/>
          <w:lang w:eastAsia="es-ES"/>
        </w:rPr>
        <w:t>$</w:t>
      </w:r>
      <w:r w:rsidR="00FA025C">
        <w:rPr>
          <w:rFonts w:ascii="Arial" w:eastAsia="Times New Roman" w:hAnsi="Arial" w:cs="Arial"/>
          <w:b/>
          <w:sz w:val="18"/>
          <w:szCs w:val="18"/>
          <w:lang w:eastAsia="es-ES"/>
        </w:rPr>
        <w:t>5,789,349.00.</w:t>
      </w:r>
    </w:p>
    <w:p w14:paraId="57550F7F" w14:textId="0AAD7E9C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FA025C">
        <w:rPr>
          <w:lang w:val="es-MX"/>
        </w:rPr>
        <w:t>759,956.00</w:t>
      </w:r>
    </w:p>
    <w:p w14:paraId="75406755" w14:textId="32C4252A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Servicios Generales se registraron erogaciones por $</w:t>
      </w:r>
      <w:r w:rsidR="00FA025C">
        <w:rPr>
          <w:lang w:val="es-MX"/>
        </w:rPr>
        <w:t>362,478.00</w:t>
      </w:r>
      <w:r w:rsidRPr="00731C79">
        <w:rPr>
          <w:lang w:val="es-MX"/>
        </w:rPr>
        <w:t>, incluye cargo presupuestal por concepto de impuesto sobre nómina por la cantidad de $</w:t>
      </w:r>
      <w:r w:rsidR="00D7705A">
        <w:rPr>
          <w:lang w:val="es-MX"/>
        </w:rPr>
        <w:t>48,942.00</w:t>
      </w:r>
      <w:r>
        <w:rPr>
          <w:lang w:val="es-MX"/>
        </w:rPr>
        <w:t xml:space="preserve"> </w:t>
      </w:r>
      <w:r w:rsidRPr="00731C79">
        <w:rPr>
          <w:lang w:val="es-MX"/>
        </w:rPr>
        <w:t>y financieras por $</w:t>
      </w:r>
      <w:r w:rsidR="00FA025C">
        <w:rPr>
          <w:lang w:val="es-MX"/>
        </w:rPr>
        <w:t>313,536.00</w:t>
      </w:r>
      <w:r w:rsidR="00F141BF">
        <w:rPr>
          <w:lang w:val="es-MX"/>
        </w:rPr>
        <w:t>.</w:t>
      </w:r>
    </w:p>
    <w:p w14:paraId="42C90CCF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1230FF8B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FA025C">
        <w:rPr>
          <w:lang w:val="es-MX"/>
        </w:rPr>
        <w:t>334,093.00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0E7ECC19" w14:textId="09E0C654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Capítulo </w:t>
      </w:r>
      <w:r w:rsidR="00D7705A">
        <w:rPr>
          <w:lang w:val="es-MX"/>
        </w:rPr>
        <w:t xml:space="preserve">1000 </w:t>
      </w:r>
      <w:r>
        <w:rPr>
          <w:lang w:val="es-MX"/>
        </w:rPr>
        <w:t xml:space="preserve">“Servicios personales” (gasto médico </w:t>
      </w:r>
      <w:r w:rsidRPr="00D97DB8">
        <w:rPr>
          <w:lang w:val="es-MX"/>
        </w:rPr>
        <w:t>generados en 202</w:t>
      </w:r>
      <w:r>
        <w:rPr>
          <w:lang w:val="es-MX"/>
        </w:rPr>
        <w:t xml:space="preserve">1): </w:t>
      </w:r>
      <w:r w:rsidRPr="00D97DB8">
        <w:rPr>
          <w:lang w:val="es-MX"/>
        </w:rPr>
        <w:t>por la cantidad de $</w:t>
      </w:r>
      <w:r>
        <w:rPr>
          <w:lang w:val="es-MX"/>
        </w:rPr>
        <w:t>39,962.00</w:t>
      </w:r>
      <w:r w:rsidRPr="00D97DB8">
        <w:rPr>
          <w:lang w:val="es-MX"/>
        </w:rPr>
        <w:t>.</w:t>
      </w:r>
    </w:p>
    <w:p w14:paraId="18AEB1D6" w14:textId="75BC92C3" w:rsidR="00D7705A" w:rsidRPr="00D97DB8" w:rsidRDefault="00D7705A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2000 “Materiales y suministros” (adquisición de tintas para plotter): por la cantidad de $</w:t>
      </w:r>
      <w:r w:rsidR="00FA025C">
        <w:rPr>
          <w:lang w:val="es-MX"/>
        </w:rPr>
        <w:t>36,875.00</w:t>
      </w:r>
    </w:p>
    <w:p w14:paraId="316890BB" w14:textId="3CDD0AFF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3000 “Servicios generales” (seguro vehicular, emplacamiento, servicio de internet, mantenimiento de inmuebles): $</w:t>
      </w:r>
      <w:r w:rsidR="00D7705A">
        <w:rPr>
          <w:lang w:val="es-MX"/>
        </w:rPr>
        <w:t>59,934.00</w:t>
      </w:r>
    </w:p>
    <w:p w14:paraId="138531E0" w14:textId="699000D2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muebles, inmuebles e intangibles (estación total y camioneta) Adq</w:t>
      </w:r>
      <w:r w:rsidR="00FA025C">
        <w:rPr>
          <w:lang w:val="es-MX"/>
        </w:rPr>
        <w:t>uisición de activos: $188,591.00</w:t>
      </w:r>
    </w:p>
    <w:p w14:paraId="7FC671A9" w14:textId="10FDCC79" w:rsidR="00425372" w:rsidRDefault="00425372" w:rsidP="00425372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>
        <w:rPr>
          <w:lang w:val="es-MX"/>
        </w:rPr>
        <w:t>Baja de bienes por siniestro, por el importe de $8,731.00</w:t>
      </w:r>
    </w:p>
    <w:p w14:paraId="77D70CFA" w14:textId="77777777" w:rsidR="001B2D8B" w:rsidRDefault="001B2D8B" w:rsidP="001B2D8B">
      <w:pPr>
        <w:pStyle w:val="ROMANOS"/>
        <w:spacing w:after="0" w:line="240" w:lineRule="exact"/>
        <w:ind w:left="1368" w:firstLine="0"/>
        <w:rPr>
          <w:lang w:val="es-MX"/>
        </w:rPr>
      </w:pPr>
    </w:p>
    <w:p w14:paraId="49A4A038" w14:textId="0E0F8826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FA025C">
        <w:rPr>
          <w:lang w:val="es-MX"/>
        </w:rPr>
        <w:t>168,276.00</w:t>
      </w:r>
      <w:r w:rsidRPr="001B756D">
        <w:rPr>
          <w:lang w:val="es-MX"/>
        </w:rPr>
        <w:t>, integrado de un saldo presupuestal de $</w:t>
      </w:r>
      <w:r>
        <w:rPr>
          <w:lang w:val="es-MX"/>
        </w:rPr>
        <w:t>166,851.00</w:t>
      </w:r>
      <w:r w:rsidRPr="001B756D">
        <w:rPr>
          <w:lang w:val="es-MX"/>
        </w:rPr>
        <w:t xml:space="preserve"> (adquisición de activos), y saldo financiero por $</w:t>
      </w:r>
      <w:r w:rsidR="00FA025C">
        <w:rPr>
          <w:lang w:val="es-MX"/>
        </w:rPr>
        <w:t>1,425.00,</w:t>
      </w:r>
      <w:r>
        <w:rPr>
          <w:lang w:val="es-MX"/>
        </w:rPr>
        <w:t xml:space="preserve">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45"/>
        <w:gridCol w:w="2525"/>
        <w:gridCol w:w="1177"/>
      </w:tblGrid>
      <w:tr w:rsidR="001B2D8B" w:rsidRPr="00A15EA9" w14:paraId="46DA3E24" w14:textId="77777777" w:rsidTr="00F141BF">
        <w:trPr>
          <w:trHeight w:val="24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F141BF">
        <w:trPr>
          <w:trHeight w:val="2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37AA932C" w:rsidR="001B2D8B" w:rsidRPr="00A15EA9" w:rsidRDefault="001B2D8B" w:rsidP="008C27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8C2731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1,425.00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35771EBA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166,851.00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7CD9548C" w:rsidR="001B2D8B" w:rsidRPr="00A15EA9" w:rsidRDefault="001B2D8B" w:rsidP="008C273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8C273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168,276.00</w:t>
            </w:r>
          </w:p>
        </w:tc>
      </w:tr>
    </w:tbl>
    <w:p w14:paraId="69BC2D2C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9"/>
        <w:gridCol w:w="1300"/>
        <w:gridCol w:w="1219"/>
      </w:tblGrid>
      <w:tr w:rsidR="001B2D8B" w:rsidRPr="000F6B3C" w14:paraId="7FF110B6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1B2D8B" w:rsidRPr="000F6B3C" w14:paraId="38363B8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45E8306B" w:rsidR="00257DA2" w:rsidRDefault="008C2731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776,202.00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E7753EA" w:rsid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326,786.00</w:t>
            </w:r>
          </w:p>
        </w:tc>
      </w:tr>
      <w:tr w:rsidR="001B2D8B" w:rsidRPr="000F6B3C" w14:paraId="332B54C0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1F4E266C" w:rsidR="001B2D8B" w:rsidRPr="001B2D8B" w:rsidRDefault="008C2731" w:rsidP="008C2731">
            <w:pPr>
              <w:pStyle w:val="Texto"/>
              <w:spacing w:after="0" w:line="240" w:lineRule="exact"/>
              <w:ind w:firstLine="0"/>
              <w:jc w:val="center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776,202.00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05CB3F42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lastRenderedPageBreak/>
        <w:tab/>
      </w:r>
    </w:p>
    <w:p w14:paraId="0DA87D2D" w14:textId="77777777" w:rsidR="006E585E" w:rsidRDefault="006E585E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3D6DAD4" w14:textId="77777777" w:rsidR="006E585E" w:rsidRDefault="006E585E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F3497E3" w14:textId="77777777" w:rsidR="00F71709" w:rsidRDefault="00F71709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61467E32" w14:textId="71E87F40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está integrado únicamente por importes financieros (cargos y abonos) efectivamente reconocidos en bancos, de acuerdo a los artículos 272 y 302 del Código financiero para el Estado de Tlaxcala y sus Municipios y artículos 17 y 52 de la Ley General de Contabilidad Gubernamental, la elaboración de este documento, se hace en base a efectivo.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3707B66C" w14:textId="77777777" w:rsidR="001B2D8B" w:rsidRDefault="001B2D8B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3"/>
        <w:gridCol w:w="1312"/>
        <w:gridCol w:w="1134"/>
      </w:tblGrid>
      <w:tr w:rsidR="001B2D8B" w:rsidRPr="000F6B3C" w14:paraId="47C4619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757631" w:rsidRPr="000F6B3C" w14:paraId="0F40F70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4637B8E2" w:rsidR="00757631" w:rsidRDefault="008C2731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939,944.00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68B29CAE" w:rsidR="00757631" w:rsidRDefault="00757631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457,094.00</w:t>
            </w:r>
          </w:p>
        </w:tc>
      </w:tr>
      <w:tr w:rsidR="00757631" w:rsidRPr="000F6B3C" w14:paraId="7C493D13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7348EC">
        <w:trPr>
          <w:cantSplit/>
          <w:trHeight w:val="21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7348EC">
        <w:trPr>
          <w:cantSplit/>
          <w:trHeight w:val="10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13A573D4" w:rsidR="00757631" w:rsidRPr="00757631" w:rsidRDefault="008C2731" w:rsidP="008C27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939,944.00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39A5E80F" w:rsidR="00757631" w:rsidRPr="00757631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12ECC59" w14:textId="77777777" w:rsidR="001B2D8B" w:rsidRDefault="001B2D8B" w:rsidP="00F71709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E53C837" w14:textId="77777777" w:rsidR="00F71709" w:rsidRPr="001B2D8B" w:rsidRDefault="00F71709" w:rsidP="00F71709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A0D03DA" w14:textId="49AA4FB2" w:rsidR="001B2D8B" w:rsidRPr="00A86E03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A86E03" w:rsidRPr="00F71709">
        <w:rPr>
          <w:color w:val="000000" w:themeColor="text1"/>
          <w:szCs w:val="18"/>
          <w:lang w:val="es-MX"/>
        </w:rPr>
        <w:t>$</w:t>
      </w:r>
      <w:r w:rsidR="008C2731">
        <w:rPr>
          <w:color w:val="000000" w:themeColor="text1"/>
          <w:szCs w:val="18"/>
          <w:lang w:val="es-MX"/>
        </w:rPr>
        <w:t>449,415.00</w:t>
      </w:r>
    </w:p>
    <w:p w14:paraId="005993B9" w14:textId="7580874F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</w:t>
      </w:r>
      <w:r w:rsidR="008C2731">
        <w:rPr>
          <w:szCs w:val="18"/>
          <w:lang w:val="es-MX"/>
        </w:rPr>
        <w:t>ro al 31</w:t>
      </w:r>
      <w:r>
        <w:rPr>
          <w:szCs w:val="18"/>
          <w:lang w:val="es-MX"/>
        </w:rPr>
        <w:t xml:space="preserve"> de</w:t>
      </w:r>
      <w:r w:rsidR="008C2731">
        <w:rPr>
          <w:szCs w:val="18"/>
          <w:lang w:val="es-MX"/>
        </w:rPr>
        <w:t xml:space="preserve"> diciembre </w:t>
      </w:r>
      <w:r>
        <w:rPr>
          <w:szCs w:val="18"/>
          <w:lang w:val="es-MX"/>
        </w:rPr>
        <w:t>de 2022,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B91CB15" w14:textId="77777777" w:rsidR="001B2D8B" w:rsidRDefault="001B2D8B" w:rsidP="001B2D8B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665"/>
      </w:tblGrid>
      <w:tr w:rsidR="001B2D8B" w:rsidRPr="008C2731" w14:paraId="18B5A094" w14:textId="77777777" w:rsidTr="008C2731">
        <w:trPr>
          <w:trHeight w:val="18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2F11E930" w:rsidR="001B2D8B" w:rsidRPr="00400DEE" w:rsidRDefault="001B2D8B" w:rsidP="008C2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8C27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C27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diciembre 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</w:t>
            </w:r>
            <w:r w:rsidR="008C27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713.00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5B96CAAE" w:rsidR="001B2D8B" w:rsidRPr="00400DEE" w:rsidRDefault="008C2731" w:rsidP="008C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C273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527,8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44.00</w:t>
            </w:r>
          </w:p>
        </w:tc>
      </w:tr>
      <w:tr w:rsidR="001B2D8B" w:rsidRPr="00400DEE" w14:paraId="6D888451" w14:textId="77777777" w:rsidTr="008C2731">
        <w:trPr>
          <w:trHeight w:val="18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3F642560" w:rsidR="001B2D8B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5BCAA913" w:rsidR="001B2D8B" w:rsidRDefault="008C2731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246,933.00</w:t>
            </w:r>
          </w:p>
        </w:tc>
      </w:tr>
      <w:tr w:rsidR="001B2D8B" w:rsidRPr="00400DEE" w14:paraId="1EF0D0FA" w14:textId="77777777" w:rsidTr="008C2731">
        <w:trPr>
          <w:trHeight w:val="278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FFA9B81" w:rsidR="001B2D8B" w:rsidRPr="00400DEE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1FE48F7B" w:rsidR="001B2D8B" w:rsidRPr="00400DEE" w:rsidRDefault="008C2731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1,425.00</w:t>
            </w:r>
          </w:p>
        </w:tc>
      </w:tr>
      <w:tr w:rsidR="001B2D8B" w:rsidRPr="00400DEE" w14:paraId="675B05CC" w14:textId="77777777" w:rsidTr="008C2731">
        <w:trPr>
          <w:trHeight w:val="16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4C2C9694" w:rsidR="001B2D8B" w:rsidRPr="003B4183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=</w:t>
            </w:r>
            <w:r w:rsidR="001B2D8B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4CCABF32" w:rsidR="001B2D8B" w:rsidRPr="003B4183" w:rsidRDefault="001B2D8B" w:rsidP="008C2731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8C273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776,202.00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107D255" w14:textId="486EF72E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resultado del ejercicio fiscal al 3</w:t>
      </w:r>
      <w:r w:rsidR="008C2731">
        <w:rPr>
          <w:color w:val="000000" w:themeColor="text1"/>
          <w:szCs w:val="18"/>
          <w:lang w:val="es-MX"/>
        </w:rPr>
        <w:t>1</w:t>
      </w:r>
      <w:r>
        <w:rPr>
          <w:color w:val="000000" w:themeColor="text1"/>
          <w:szCs w:val="18"/>
          <w:lang w:val="es-MX"/>
        </w:rPr>
        <w:t xml:space="preserve"> de </w:t>
      </w:r>
      <w:r w:rsidR="008C2731">
        <w:rPr>
          <w:color w:val="000000" w:themeColor="text1"/>
          <w:szCs w:val="18"/>
          <w:lang w:val="es-MX"/>
        </w:rPr>
        <w:t xml:space="preserve">diciembre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34797C9D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45"/>
        <w:gridCol w:w="4252"/>
      </w:tblGrid>
      <w:tr w:rsidR="001B2D8B" w:rsidRPr="00F24F9A" w14:paraId="1B0DFFC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BC0" w14:textId="77777777" w:rsidR="00E708AC" w:rsidRDefault="001B2D8B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8C2731">
              <w:rPr>
                <w:szCs w:val="18"/>
                <w:lang w:val="es-MX"/>
              </w:rPr>
              <w:t>527,844.00</w:t>
            </w:r>
          </w:p>
          <w:p w14:paraId="61FD190E" w14:textId="111C8391" w:rsidR="008C2731" w:rsidRPr="00F24F9A" w:rsidRDefault="008C2731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17DB4A8F" w:rsidR="001B2D8B" w:rsidRPr="00F24F9A" w:rsidRDefault="001B2D8B" w:rsidP="008C27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8C2731">
              <w:rPr>
                <w:szCs w:val="18"/>
                <w:lang w:val="es-MX"/>
              </w:rPr>
              <w:t>527,844.00</w:t>
            </w:r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</w:t>
            </w:r>
            <w:r w:rsidR="008C2731">
              <w:rPr>
                <w:szCs w:val="18"/>
                <w:lang w:val="es-MX"/>
              </w:rPr>
              <w:t>1,713.00</w:t>
            </w:r>
            <w:r>
              <w:rPr>
                <w:szCs w:val="18"/>
                <w:lang w:val="es-MX"/>
              </w:rPr>
              <w:t>).</w:t>
            </w:r>
          </w:p>
        </w:tc>
      </w:tr>
      <w:tr w:rsidR="001B2D8B" w:rsidRPr="00F24F9A" w14:paraId="6B3072C9" w14:textId="77777777" w:rsidTr="006E1166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4CFF6F75" w:rsidR="001B2D8B" w:rsidRDefault="00F141BF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 w:rsidR="001B2D8B">
              <w:rPr>
                <w:szCs w:val="18"/>
                <w:lang w:val="es-MX"/>
              </w:rPr>
              <w:t>Adquisición de activos (camioneta)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412,100.00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(camioneta Frison T6 2022)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7777777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>
              <w:rPr>
                <w:b/>
                <w:szCs w:val="18"/>
                <w:lang w:val="es-MX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7B5999FF" w:rsidR="00E708AC" w:rsidRDefault="006E1166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8C2731">
              <w:rPr>
                <w:b/>
                <w:szCs w:val="18"/>
                <w:lang w:val="es-MX"/>
              </w:rPr>
              <w:t>939,944.00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3114115E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FB391E4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56F0BB08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C440EA0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9F1FF79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4AA60452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5C7561B2" w:rsidR="001B2D8B" w:rsidRPr="00CE4951" w:rsidRDefault="001B2D8B" w:rsidP="008C2731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8C273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8C273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diciembre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7A81EDFB" w:rsidR="001B2D8B" w:rsidRPr="00CE4951" w:rsidRDefault="001B2D8B" w:rsidP="008C2731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8C273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7,851,727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6B4E9B90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564E7950" w:rsidR="001B2D8B" w:rsidRPr="00CE4951" w:rsidRDefault="001B2D8B" w:rsidP="002665ED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7,851,727.00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B52C3E5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131D8D2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057C5B6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2488D4A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461363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06A88A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209DF1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FC130F3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17FDD2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154EDC7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232AA62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CBF493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167CF1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68108F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F42A50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AC10223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97BCC55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D5ACDFE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F9D5F7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363478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2BC8300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FA793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809AB4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CA96F8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01F923C6" w:rsidR="001B2D8B" w:rsidRPr="001B1163" w:rsidRDefault="001B2D8B" w:rsidP="002665ED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diciembre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22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3CC65D16" w:rsidR="001B2D8B" w:rsidRPr="001B1163" w:rsidRDefault="001B2D8B" w:rsidP="002665ED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7,323,883.00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77777777" w:rsidR="001B2D8B" w:rsidRPr="00BA0835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0652210B" w:rsidR="001B2D8B" w:rsidRPr="001B1163" w:rsidRDefault="001B2D8B" w:rsidP="002665ED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2665E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6,911,783.00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1E7F81A5" w14:textId="77777777" w:rsidR="005B0A72" w:rsidRDefault="005B0A72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D90DCB1" w14:textId="77777777" w:rsidR="00F141BF" w:rsidRDefault="00F141BF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1C9D6099" w14:textId="77777777" w:rsidR="005B0A72" w:rsidRDefault="005B0A72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17CA5B92" w14:textId="77777777" w:rsidR="002665ED" w:rsidRPr="000F6B3C" w:rsidRDefault="002665ED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2022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3BD0AEA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663C280F" w14:textId="6D1F1D96" w:rsidR="005B0A72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 y publicado en el periódico oficial del Gobierno del Estado de Tlaxcala, de $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7,674,794.00 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diciembre de 20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21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80</w:t>
      </w:r>
      <w:r w:rsidR="005B0A72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5DBEF54F" w14:textId="16F4C52D" w:rsidR="005B0A72" w:rsidRPr="005B0A72" w:rsidRDefault="005B0A72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Al 3</w:t>
      </w:r>
      <w:r w:rsidR="002665ED">
        <w:rPr>
          <w:rFonts w:ascii="Arial" w:eastAsia="Times New Roman" w:hAnsi="Arial" w:cs="Arial"/>
          <w:sz w:val="18"/>
          <w:szCs w:val="18"/>
          <w:lang w:val="es-ES" w:eastAsia="es-ES"/>
        </w:rPr>
        <w:t>1</w:t>
      </w:r>
      <w:r w:rsidR="00AB611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diciembre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se tiene un presupuesto modificado por el importe de $7,850,014.00, por concepto de ampliación presupuestal para pago finiquito.</w:t>
      </w: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57556F03" w14:textId="77777777" w:rsidR="001B2D8B" w:rsidRPr="000F6B3C" w:rsidRDefault="001B2D8B" w:rsidP="001B2D8B">
      <w:pPr>
        <w:pStyle w:val="INCISO"/>
        <w:spacing w:after="0" w:line="240" w:lineRule="exact"/>
      </w:pPr>
    </w:p>
    <w:p w14:paraId="0390B583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77777777" w:rsidR="001B2D8B" w:rsidRDefault="001B2D8B" w:rsidP="001B2D8B">
      <w:pPr>
        <w:pStyle w:val="INCISO"/>
        <w:spacing w:after="0" w:line="240" w:lineRule="exact"/>
      </w:pPr>
      <w:r>
        <w:t>c)</w:t>
      </w:r>
      <w:r>
        <w:tab/>
        <w:t>Ejercicio fiscal: 2022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>
        <w:t>tastro sólo está obligado a cumplir con el impuesto sobre nómina, sin embargo el pago está a cargo de la Secretaría de Planeación y Finanzas.</w:t>
      </w:r>
    </w:p>
    <w:p w14:paraId="4CD00799" w14:textId="77777777" w:rsidR="001B2D8B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178531A" w14:textId="77777777" w:rsidR="00F141BF" w:rsidRDefault="00F141BF" w:rsidP="001B2D8B">
      <w:pPr>
        <w:pStyle w:val="INCISO"/>
        <w:spacing w:after="0" w:line="240" w:lineRule="exact"/>
      </w:pPr>
    </w:p>
    <w:p w14:paraId="6019017B" w14:textId="77777777" w:rsidR="00F141BF" w:rsidRPr="000F6B3C" w:rsidRDefault="00F141BF" w:rsidP="001B2D8B">
      <w:pPr>
        <w:pStyle w:val="INCISO"/>
        <w:spacing w:after="0" w:line="240" w:lineRule="exact"/>
      </w:pP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14:paraId="5C65EE29" w14:textId="77777777" w:rsidR="001B2D8B" w:rsidRPr="000F6B3C" w:rsidRDefault="001B2D8B" w:rsidP="001B2D8B">
      <w:pPr>
        <w:pStyle w:val="INCISO"/>
        <w:spacing w:after="0" w:line="240" w:lineRule="exact"/>
      </w:pPr>
      <w:r>
        <w:t>3</w:t>
      </w:r>
      <w:r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77777777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>Se registra el valor de bienes en contabilidad en observancia a las Reglas Específicas del Registro y Valoración del Patrimonio, emitidas por la Secretaría de Hacienda y Crédito Público; mismos con son considerados en los resguardos que emite el Sistema de Activos Gubernamentales (SAG) administrado por la Dirección de Recursos Materiales, Servicios y</w:t>
      </w:r>
      <w:r w:rsidRPr="004526EF">
        <w:t xml:space="preserve"> </w:t>
      </w:r>
      <w:r>
        <w:t>Adquisiciones, de la Oficialía Mayor de Gobierno.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14:paraId="7C920D5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0A15B43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2022.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77BFB137" w14:textId="77777777" w:rsidR="001B2D8B" w:rsidRPr="000F6B3C" w:rsidRDefault="001B2D8B" w:rsidP="001B2D8B">
      <w:pPr>
        <w:pStyle w:val="INCISO"/>
        <w:spacing w:after="0" w:line="240" w:lineRule="exact"/>
        <w:ind w:left="0" w:firstLine="0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054E472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79845BC6" w14:textId="46B46780" w:rsidR="001B2D8B" w:rsidRDefault="001B2D8B" w:rsidP="001B2D8B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  <w:r w:rsidR="00F141BF">
        <w:t>.</w:t>
      </w:r>
    </w:p>
    <w:p w14:paraId="3A5AC13F" w14:textId="77777777" w:rsidR="00F141BF" w:rsidRDefault="00F141BF" w:rsidP="001B2D8B">
      <w:pPr>
        <w:pStyle w:val="INCISO"/>
        <w:spacing w:after="0" w:line="240" w:lineRule="exact"/>
      </w:pPr>
    </w:p>
    <w:p w14:paraId="11F37CA2" w14:textId="77777777" w:rsidR="00F141BF" w:rsidRPr="000F6B3C" w:rsidRDefault="00F141BF" w:rsidP="001B2D8B">
      <w:pPr>
        <w:pStyle w:val="INCISO"/>
        <w:spacing w:after="0" w:line="240" w:lineRule="exact"/>
      </w:pP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13725653" w14:textId="77777777" w:rsidR="00150CEC" w:rsidRDefault="00150CE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Pr="000F6B3C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7F9C7C4E" w14:textId="36799FAF" w:rsidR="00005869" w:rsidRPr="00150CEC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la información contable consolidada.</w:t>
      </w:r>
    </w:p>
    <w:p w14:paraId="3159B39F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594CBB31" w14:textId="614C1D8F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7C2A9EC3" w14:textId="79804B47" w:rsidR="00005869" w:rsidRDefault="00CF470D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object w:dxaOrig="14217" w:dyaOrig="17308" w14:anchorId="797D5920">
          <v:shape id="_x0000_s1093" type="#_x0000_t75" style="position:absolute;left:0;text-align:left;margin-left:-32.05pt;margin-top:26.8pt;width:571.65pt;height:66.4pt;z-index:251669504">
            <v:imagedata r:id="rId22" o:title=""/>
            <w10:wrap type="topAndBottom"/>
          </v:shape>
          <o:OLEObject Type="Embed" ProgID="Excel.Sheet.12" ShapeID="_x0000_s1093" DrawAspect="Content" ObjectID="_1734507252" r:id="rId23"/>
        </w:object>
      </w:r>
    </w:p>
    <w:p w14:paraId="4B315B03" w14:textId="31ED591C" w:rsidR="007C37A3" w:rsidRDefault="007C37A3" w:rsidP="00927BA4">
      <w:pPr>
        <w:tabs>
          <w:tab w:val="left" w:pos="2430"/>
        </w:tabs>
      </w:pPr>
    </w:p>
    <w:p w14:paraId="1DCBADA1" w14:textId="77777777" w:rsidR="007C37A3" w:rsidRDefault="007C37A3" w:rsidP="00927BA4">
      <w:pPr>
        <w:tabs>
          <w:tab w:val="left" w:pos="2430"/>
        </w:tabs>
      </w:pPr>
    </w:p>
    <w:p w14:paraId="5F64C555" w14:textId="6F14FF72" w:rsidR="00217C35" w:rsidRDefault="009E4F1E" w:rsidP="009E4F1E">
      <w:pPr>
        <w:tabs>
          <w:tab w:val="left" w:pos="3718"/>
        </w:tabs>
      </w:pPr>
      <w:r>
        <w:tab/>
      </w:r>
    </w:p>
    <w:p w14:paraId="37F3422B" w14:textId="77777777" w:rsidR="00217C35" w:rsidRDefault="00217C35" w:rsidP="00927BA4">
      <w:pPr>
        <w:tabs>
          <w:tab w:val="left" w:pos="2430"/>
        </w:tabs>
      </w:pPr>
    </w:p>
    <w:sectPr w:rsidR="00217C35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F6C1" w14:textId="77777777" w:rsidR="00C801A0" w:rsidRDefault="00C801A0" w:rsidP="00EA5418">
      <w:pPr>
        <w:spacing w:after="0" w:line="240" w:lineRule="auto"/>
      </w:pPr>
      <w:r>
        <w:separator/>
      </w:r>
    </w:p>
  </w:endnote>
  <w:endnote w:type="continuationSeparator" w:id="0">
    <w:p w14:paraId="16D72F19" w14:textId="77777777" w:rsidR="00C801A0" w:rsidRDefault="00C801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CF470D" w:rsidRPr="004E3EA4" w:rsidRDefault="00CF470D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F5ACF" w:rsidRPr="00FF5ACF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CF470D" w:rsidRDefault="00CF47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CF470D" w:rsidRPr="003527CD" w:rsidRDefault="00CF470D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F5ACF" w:rsidRPr="00FF5ACF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166C" w14:textId="77777777" w:rsidR="00C801A0" w:rsidRDefault="00C801A0" w:rsidP="00EA5418">
      <w:pPr>
        <w:spacing w:after="0" w:line="240" w:lineRule="auto"/>
      </w:pPr>
      <w:r>
        <w:separator/>
      </w:r>
    </w:p>
  </w:footnote>
  <w:footnote w:type="continuationSeparator" w:id="0">
    <w:p w14:paraId="27E9FEB1" w14:textId="77777777" w:rsidR="00C801A0" w:rsidRDefault="00C801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CF470D" w:rsidRDefault="00CF470D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77777777" w:rsidR="00CF470D" w:rsidRDefault="00CF470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385ADCE5" w14:textId="77777777" w:rsidR="00CF470D" w:rsidRPr="00DE4269" w:rsidRDefault="00CF470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nwgAAANsAAAAPAAAAZHJzL2Rvd25yZXYueG1sRE/basJA&#10;EH0v+A/LCL6Ibhpa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DcZfXnwgAAANsAAAAPAAAA&#10;AAAAAAAAAAAAAAcCAABkcnMvZG93bnJldi54bWxQSwUGAAAAAAMAAwC3AAAA9gIAAAAA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71F0A79B" w14:textId="77777777" w:rsidR="001B1A0D" w:rsidRDefault="001B1A0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385ADCE5" w14:textId="77777777" w:rsidR="001B1A0D" w:rsidRPr="00DE4269" w:rsidRDefault="001B1A0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CF470D" w:rsidRDefault="00CF470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CF470D" w:rsidRDefault="00CF470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480A449" w14:textId="3F4A7F98" w:rsidR="00CF470D" w:rsidRDefault="00CF470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  <w:p w14:paraId="081596E5" w14:textId="77777777" w:rsidR="00CF470D" w:rsidRPr="00275FC6" w:rsidRDefault="00CF470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6853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8674A5" w:rsidRDefault="008674A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8674A5" w:rsidRDefault="008674A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480A449" w14:textId="3F4A7F98" w:rsidR="008674A5" w:rsidRDefault="008674A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  <w:p w14:paraId="081596E5" w14:textId="77777777" w:rsidR="008674A5" w:rsidRPr="00275FC6" w:rsidRDefault="008674A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2A567D30" w:rsidR="00CF470D" w:rsidRPr="003527CD" w:rsidRDefault="00CF470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CF470D">
      <w:rPr>
        <w:rFonts w:ascii="Arial" w:hAnsi="Arial" w:cs="Arial"/>
      </w:rPr>
      <w:t>SECTOR PARAESTAT</w:t>
    </w:r>
    <w:r>
      <w:rPr>
        <w:rFonts w:ascii="Arial" w:hAnsi="Arial" w:cs="Arial"/>
      </w:rPr>
      <w:t>A</w:t>
    </w:r>
    <w:r w:rsidRPr="00CF470D">
      <w:rPr>
        <w:rFonts w:ascii="Arial" w:hAnsi="Arial" w:cs="Arial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573145"/>
    <w:multiLevelType w:val="hybridMultilevel"/>
    <w:tmpl w:val="C3AE7848"/>
    <w:lvl w:ilvl="0" w:tplc="ADF4DCA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3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6"/>
  </w:num>
  <w:num w:numId="23">
    <w:abstractNumId w:val="35"/>
  </w:num>
  <w:num w:numId="24">
    <w:abstractNumId w:val="26"/>
  </w:num>
  <w:num w:numId="25">
    <w:abstractNumId w:val="40"/>
  </w:num>
  <w:num w:numId="26">
    <w:abstractNumId w:val="18"/>
  </w:num>
  <w:num w:numId="27">
    <w:abstractNumId w:val="37"/>
  </w:num>
  <w:num w:numId="28">
    <w:abstractNumId w:val="31"/>
  </w:num>
  <w:num w:numId="29">
    <w:abstractNumId w:val="22"/>
  </w:num>
  <w:num w:numId="30">
    <w:abstractNumId w:val="42"/>
  </w:num>
  <w:num w:numId="31">
    <w:abstractNumId w:val="9"/>
  </w:num>
  <w:num w:numId="32">
    <w:abstractNumId w:val="38"/>
  </w:num>
  <w:num w:numId="33">
    <w:abstractNumId w:val="3"/>
  </w:num>
  <w:num w:numId="34">
    <w:abstractNumId w:val="34"/>
  </w:num>
  <w:num w:numId="35">
    <w:abstractNumId w:val="5"/>
  </w:num>
  <w:num w:numId="36">
    <w:abstractNumId w:val="15"/>
  </w:num>
  <w:num w:numId="37">
    <w:abstractNumId w:val="13"/>
  </w:num>
  <w:num w:numId="38">
    <w:abstractNumId w:val="39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46C8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D11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136E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0D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09B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50F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7A38"/>
    <w:rsid w:val="00237D1F"/>
    <w:rsid w:val="002431DD"/>
    <w:rsid w:val="00243D91"/>
    <w:rsid w:val="00245E54"/>
    <w:rsid w:val="00247AD7"/>
    <w:rsid w:val="00251F0D"/>
    <w:rsid w:val="00252271"/>
    <w:rsid w:val="00255476"/>
    <w:rsid w:val="002572E0"/>
    <w:rsid w:val="0025735F"/>
    <w:rsid w:val="00257DA2"/>
    <w:rsid w:val="00261B45"/>
    <w:rsid w:val="0026333F"/>
    <w:rsid w:val="00263B01"/>
    <w:rsid w:val="00264426"/>
    <w:rsid w:val="002665ED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A0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6786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7B6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A72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4F40"/>
    <w:rsid w:val="006D5097"/>
    <w:rsid w:val="006D5AC5"/>
    <w:rsid w:val="006E1166"/>
    <w:rsid w:val="006E2D9E"/>
    <w:rsid w:val="006E585E"/>
    <w:rsid w:val="006E5AEA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48EC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39EE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674A5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343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73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5709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1FA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2691"/>
    <w:rsid w:val="00A74CAF"/>
    <w:rsid w:val="00A764EF"/>
    <w:rsid w:val="00A8050B"/>
    <w:rsid w:val="00A8077E"/>
    <w:rsid w:val="00A8166B"/>
    <w:rsid w:val="00A83676"/>
    <w:rsid w:val="00A852D6"/>
    <w:rsid w:val="00A85EE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B6115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2E3E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1A0"/>
    <w:rsid w:val="00C80B78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070C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470D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3AFF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1A33"/>
    <w:rsid w:val="00D73B4D"/>
    <w:rsid w:val="00D7657E"/>
    <w:rsid w:val="00D7705A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A0E"/>
    <w:rsid w:val="00E1077F"/>
    <w:rsid w:val="00E119AC"/>
    <w:rsid w:val="00E13927"/>
    <w:rsid w:val="00E14CFE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076A7"/>
    <w:rsid w:val="00F141BF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25C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CF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F097-5BB3-4EE1-9F43-36DB64D7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17</Pages>
  <Words>3350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23</cp:revision>
  <cp:lastPrinted>2023-01-06T16:08:00Z</cp:lastPrinted>
  <dcterms:created xsi:type="dcterms:W3CDTF">2022-04-08T04:30:00Z</dcterms:created>
  <dcterms:modified xsi:type="dcterms:W3CDTF">2023-01-06T16:48:00Z</dcterms:modified>
</cp:coreProperties>
</file>