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CEF" w:rsidRDefault="006664CA" w:rsidP="00640CE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35.9pt;height:667.65pt;z-index:-251625472;mso-position-horizontal-relative:text;mso-position-vertical-relative:text;mso-width-relative:page;mso-height-relative:page">
            <v:imagedata r:id="rId8" o:title=""/>
          </v:shape>
          <o:OLEObject Type="Embed" ProgID="Excel.Sheet.12" ShapeID="_x0000_s1077" DrawAspect="Content" ObjectID="_1712395855" r:id="rId9"/>
        </w:object>
      </w:r>
    </w:p>
    <w:p w:rsidR="009B64AA" w:rsidRDefault="00E21DE3" w:rsidP="00640CEF">
      <w:pPr>
        <w:jc w:val="center"/>
      </w:pPr>
      <w:r>
        <w:tab/>
      </w:r>
    </w:p>
    <w:p w:rsidR="00EA5418" w:rsidRDefault="00EA5418"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E21DE3" w:rsidP="00E21DE3">
      <w:pPr>
        <w:tabs>
          <w:tab w:val="left" w:pos="3228"/>
        </w:tabs>
      </w:pPr>
      <w:r>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6664CA" w:rsidP="00215B92">
      <w:r>
        <w:rPr>
          <w:noProof/>
        </w:rPr>
        <w:lastRenderedPageBreak/>
        <w:object w:dxaOrig="1440" w:dyaOrig="1440">
          <v:shape id="_x0000_s1056" type="#_x0000_t75" style="position:absolute;margin-left:-42.95pt;margin-top:13.2pt;width:561pt;height:636.55pt;z-index:-251645952;mso-position-horizontal-relative:text;mso-position-vertical-relative:text">
            <v:imagedata r:id="rId10" o:title=""/>
            <w10:wrap side="right"/>
          </v:shape>
          <o:OLEObject Type="Embed" ProgID="Excel.Sheet.12" ShapeID="_x0000_s1056" DrawAspect="Content" ObjectID="_1712395856" r:id="rId11"/>
        </w:object>
      </w:r>
    </w:p>
    <w:p w:rsidR="00215B92" w:rsidRDefault="00215B92" w:rsidP="00820DB7">
      <w:pPr>
        <w:jc w:val="center"/>
      </w:pPr>
    </w:p>
    <w:p w:rsidR="00215B92" w:rsidRDefault="00215B92" w:rsidP="0081033E">
      <w:pPr>
        <w:jc w:val="center"/>
      </w:pP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6664CA" w:rsidP="00F90A31">
      <w:pPr>
        <w:tabs>
          <w:tab w:val="center" w:pos="4680"/>
        </w:tabs>
      </w:pPr>
      <w:r>
        <w:rPr>
          <w:noProof/>
        </w:rPr>
        <w:lastRenderedPageBreak/>
        <w:object w:dxaOrig="1440" w:dyaOrig="1440">
          <v:shape id="_x0000_s1078" type="#_x0000_t75" style="position:absolute;margin-left:3.55pt;margin-top:.35pt;width:509.4pt;height:656.6pt;z-index:-251623424;mso-position-horizontal-relative:text;mso-position-vertical-relative:text;mso-width-relative:page;mso-height-relative:page">
            <v:imagedata r:id="rId12" o:title=""/>
          </v:shape>
          <o:OLEObject Type="Embed" ProgID="Excel.Sheet.12" ShapeID="_x0000_s1078" DrawAspect="Content" ObjectID="_1712395857" r:id="rId13"/>
        </w:obje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F21F02" w:rsidP="00215B92">
      <w:pPr>
        <w:ind w:firstLine="708"/>
      </w:pPr>
      <w:r>
        <w:lastRenderedPageBreak/>
        <w:t xml:space="preserve"> </w:t>
      </w:r>
      <w:r w:rsidR="006664CA">
        <w:rPr>
          <w:noProof/>
        </w:rPr>
        <w:object w:dxaOrig="1440" w:dyaOrig="1440">
          <v:shape id="_x0000_s1071" type="#_x0000_t75" style="position:absolute;left:0;text-align:left;margin-left:-.05pt;margin-top:8.95pt;width:482.3pt;height:598.2pt;z-index:251683840;mso-position-horizontal-relative:text;mso-position-vertical-relative:text">
            <v:imagedata r:id="rId14" o:title=""/>
            <w10:wrap side="right"/>
          </v:shape>
          <o:OLEObject Type="Embed" ProgID="Excel.Sheet.12" ShapeID="_x0000_s1071" DrawAspect="Content" ObjectID="_1712395858"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6664CA" w:rsidP="00640CEF">
      <w:r>
        <w:rPr>
          <w:noProof/>
        </w:rPr>
        <w:lastRenderedPageBreak/>
        <w:object w:dxaOrig="1440" w:dyaOrig="1440">
          <v:shape id="_x0000_s1080" type="#_x0000_t75" style="position:absolute;margin-left:0;margin-top:18.1pt;width:465.1pt;height:516.65pt;z-index:251697152;mso-position-horizontal-relative:text;mso-position-vertical-relative:text;mso-width-relative:page;mso-height-relative:page">
            <v:imagedata r:id="rId16" o:title=""/>
          </v:shape>
          <o:OLEObject Type="Embed" ProgID="Excel.Sheet.12" ShapeID="_x0000_s1080" DrawAspect="Content" ObjectID="_1712395859" r:id="rId17"/>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640CEF" w:rsidRDefault="00640CEF" w:rsidP="00215B92">
      <w:pPr>
        <w:ind w:firstLine="708"/>
      </w:pPr>
    </w:p>
    <w:p w:rsidR="00640CEF" w:rsidRDefault="00640CEF" w:rsidP="00215B92">
      <w:pPr>
        <w:ind w:firstLine="708"/>
      </w:pPr>
    </w:p>
    <w:p w:rsidR="00640CEF" w:rsidRDefault="00640CEF" w:rsidP="00215B92">
      <w:pPr>
        <w:ind w:firstLine="708"/>
      </w:pPr>
    </w:p>
    <w:p w:rsidR="00954BB8" w:rsidRDefault="00954BB8" w:rsidP="00215B92">
      <w:pPr>
        <w:ind w:firstLine="708"/>
      </w:pPr>
    </w:p>
    <w:p w:rsidR="00954BB8" w:rsidRDefault="00954BB8" w:rsidP="00215B92">
      <w:pPr>
        <w:ind w:firstLine="708"/>
      </w:pPr>
    </w:p>
    <w:p w:rsidR="00954BB8" w:rsidRDefault="006664CA" w:rsidP="00215B92">
      <w:pPr>
        <w:ind w:firstLine="708"/>
      </w:pPr>
      <w:r>
        <w:rPr>
          <w:noProof/>
        </w:rPr>
        <w:lastRenderedPageBreak/>
        <w:object w:dxaOrig="1440" w:dyaOrig="1440">
          <v:shape id="_x0000_s1064" type="#_x0000_t75" style="position:absolute;left:0;text-align:left;margin-left:-5.25pt;margin-top:21.9pt;width:491.25pt;height:501.1pt;z-index:251679744;mso-position-horizontal-relative:text;mso-position-vertical-relative:text">
            <v:imagedata r:id="rId18" o:title=""/>
            <w10:wrap side="right"/>
          </v:shape>
          <o:OLEObject Type="Embed" ProgID="Excel.Sheet.12" ShapeID="_x0000_s1064" DrawAspect="Content" ObjectID="_1712395860" r:id="rId19"/>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640CEF" w:rsidRDefault="00640CEF" w:rsidP="00215B92">
      <w:pPr>
        <w:ind w:firstLine="708"/>
      </w:pPr>
      <w:bookmarkStart w:id="0" w:name="_GoBack"/>
      <w:bookmarkEnd w:id="0"/>
    </w:p>
    <w:p w:rsidR="00F302C1" w:rsidRDefault="00F302C1" w:rsidP="00215B92">
      <w:pPr>
        <w:ind w:firstLine="708"/>
      </w:pPr>
    </w:p>
    <w:p w:rsidR="00F302C1" w:rsidRDefault="00F302C1" w:rsidP="00215B92">
      <w:pPr>
        <w:ind w:firstLine="708"/>
      </w:pPr>
    </w:p>
    <w:p w:rsidR="00F302C1" w:rsidRDefault="006664CA" w:rsidP="00215B92">
      <w:pPr>
        <w:ind w:firstLine="708"/>
      </w:pPr>
      <w:r>
        <w:rPr>
          <w:noProof/>
        </w:rPr>
        <w:lastRenderedPageBreak/>
        <w:object w:dxaOrig="1440" w:dyaOrig="1440">
          <v:shape id="_x0000_s1079" type="#_x0000_t75" style="position:absolute;left:0;text-align:left;margin-left:-.55pt;margin-top:14.95pt;width:481.8pt;height:649.85pt;z-index:251695104;mso-position-horizontal-relative:text;mso-position-vertical-relative:text;mso-width-relative:page;mso-height-relative:page">
            <v:imagedata r:id="rId20" o:title=""/>
          </v:shape>
          <o:OLEObject Type="Embed" ProgID="Excel.Sheet.12" ShapeID="_x0000_s1079" DrawAspect="Content" ObjectID="_1712395861" r:id="rId21"/>
        </w:obje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287C7B">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BE47DE">
        <w:rPr>
          <w:rFonts w:ascii="Arial" w:hAnsi="Arial" w:cs="Arial"/>
          <w:sz w:val="18"/>
          <w:szCs w:val="18"/>
        </w:rPr>
        <w:t>2</w:t>
      </w:r>
      <w:r w:rsidR="00287C7B">
        <w:rPr>
          <w:rFonts w:ascii="Arial" w:hAnsi="Arial" w:cs="Arial"/>
          <w:sz w:val="18"/>
          <w:szCs w:val="18"/>
        </w:rPr>
        <w:t>93</w:t>
      </w:r>
      <w:r>
        <w:rPr>
          <w:rFonts w:ascii="Arial" w:hAnsi="Arial" w:cs="Arial"/>
          <w:sz w:val="18"/>
          <w:szCs w:val="18"/>
        </w:rPr>
        <w:t>,</w:t>
      </w:r>
      <w:r w:rsidR="00287C7B">
        <w:rPr>
          <w:rFonts w:ascii="Arial" w:hAnsi="Arial" w:cs="Arial"/>
          <w:sz w:val="18"/>
          <w:szCs w:val="18"/>
        </w:rPr>
        <w:t>434</w:t>
      </w:r>
      <w:r>
        <w:rPr>
          <w:rFonts w:ascii="Arial" w:hAnsi="Arial" w:cs="Arial"/>
          <w:sz w:val="18"/>
          <w:szCs w:val="18"/>
        </w:rPr>
        <w:t>,</w:t>
      </w:r>
      <w:r w:rsidR="00287C7B">
        <w:rPr>
          <w:rFonts w:ascii="Arial" w:hAnsi="Arial" w:cs="Arial"/>
          <w:sz w:val="18"/>
          <w:szCs w:val="18"/>
        </w:rPr>
        <w:t>363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287C7B">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287C7B">
        <w:rPr>
          <w:rFonts w:ascii="Arial" w:hAnsi="Arial" w:cs="Arial"/>
          <w:sz w:val="18"/>
          <w:szCs w:val="18"/>
        </w:rPr>
        <w:t>651</w:t>
      </w:r>
      <w:r w:rsidR="001340E0">
        <w:rPr>
          <w:rFonts w:ascii="Arial" w:hAnsi="Arial" w:cs="Arial"/>
          <w:sz w:val="18"/>
          <w:szCs w:val="18"/>
        </w:rPr>
        <w:t>,</w:t>
      </w:r>
      <w:r w:rsidR="00287C7B">
        <w:rPr>
          <w:rFonts w:ascii="Arial" w:hAnsi="Arial" w:cs="Arial"/>
          <w:sz w:val="18"/>
          <w:szCs w:val="18"/>
        </w:rPr>
        <w:t>897</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287C7B">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287C7B">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no se tienen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12</w:t>
      </w:r>
      <w:r w:rsidR="008D7680">
        <w:rPr>
          <w:rFonts w:ascii="Arial" w:hAnsi="Arial" w:cs="Arial"/>
          <w:sz w:val="18"/>
          <w:szCs w:val="18"/>
        </w:rPr>
        <w:t>5</w:t>
      </w:r>
      <w:r>
        <w:rPr>
          <w:rFonts w:ascii="Arial" w:hAnsi="Arial" w:cs="Arial"/>
          <w:sz w:val="18"/>
          <w:szCs w:val="18"/>
        </w:rPr>
        <w:t>,</w:t>
      </w:r>
      <w:r w:rsidR="00347BC6">
        <w:rPr>
          <w:rFonts w:ascii="Arial" w:hAnsi="Arial" w:cs="Arial"/>
          <w:sz w:val="18"/>
          <w:szCs w:val="18"/>
        </w:rPr>
        <w:t>740</w:t>
      </w:r>
      <w:r>
        <w:rPr>
          <w:rFonts w:ascii="Arial" w:hAnsi="Arial" w:cs="Arial"/>
          <w:sz w:val="18"/>
          <w:szCs w:val="18"/>
        </w:rPr>
        <w:t>,</w:t>
      </w:r>
      <w:r w:rsidR="00347BC6">
        <w:rPr>
          <w:rFonts w:ascii="Arial" w:hAnsi="Arial" w:cs="Arial"/>
          <w:sz w:val="18"/>
          <w:szCs w:val="18"/>
        </w:rPr>
        <w:t>352</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347BC6">
        <w:rPr>
          <w:rFonts w:ascii="Arial" w:hAnsi="Arial" w:cs="Arial"/>
          <w:sz w:val="18"/>
          <w:szCs w:val="18"/>
        </w:rPr>
        <w:t>7</w:t>
      </w:r>
      <w:r w:rsidRPr="00F619D6">
        <w:rPr>
          <w:rFonts w:ascii="Arial" w:hAnsi="Arial" w:cs="Arial"/>
          <w:sz w:val="18"/>
          <w:szCs w:val="18"/>
        </w:rPr>
        <w:t>,</w:t>
      </w:r>
      <w:r w:rsidR="0025548F">
        <w:rPr>
          <w:rFonts w:ascii="Arial" w:hAnsi="Arial" w:cs="Arial"/>
          <w:sz w:val="18"/>
          <w:szCs w:val="18"/>
        </w:rPr>
        <w:t>212</w:t>
      </w:r>
      <w:r w:rsidRPr="00F619D6">
        <w:rPr>
          <w:rFonts w:ascii="Arial" w:hAnsi="Arial" w:cs="Arial"/>
          <w:sz w:val="18"/>
          <w:szCs w:val="18"/>
        </w:rPr>
        <w:t>,</w:t>
      </w:r>
      <w:r w:rsidR="0025548F">
        <w:rPr>
          <w:rFonts w:ascii="Arial" w:hAnsi="Arial" w:cs="Arial"/>
          <w:sz w:val="18"/>
          <w:szCs w:val="18"/>
        </w:rPr>
        <w:t>599</w:t>
      </w:r>
      <w:r w:rsidRPr="00F619D6">
        <w:rPr>
          <w:rFonts w:ascii="Arial" w:hAnsi="Arial" w:cs="Arial"/>
          <w:sz w:val="18"/>
          <w:szCs w:val="18"/>
        </w:rPr>
        <w:t>,</w:t>
      </w:r>
      <w:r w:rsidR="0025548F">
        <w:rPr>
          <w:rFonts w:ascii="Arial" w:hAnsi="Arial" w:cs="Arial"/>
          <w:sz w:val="18"/>
          <w:szCs w:val="18"/>
        </w:rPr>
        <w:t>755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5548F">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876</w:t>
      </w:r>
      <w:r>
        <w:rPr>
          <w:rFonts w:ascii="Arial" w:hAnsi="Arial" w:cs="Arial"/>
          <w:sz w:val="18"/>
          <w:szCs w:val="18"/>
        </w:rPr>
        <w:t>,</w:t>
      </w:r>
      <w:r w:rsidR="0025548F">
        <w:rPr>
          <w:rFonts w:ascii="Arial" w:hAnsi="Arial" w:cs="Arial"/>
          <w:sz w:val="18"/>
          <w:szCs w:val="18"/>
        </w:rPr>
        <w:t>090</w:t>
      </w:r>
      <w:r>
        <w:rPr>
          <w:rFonts w:ascii="Arial" w:hAnsi="Arial" w:cs="Arial"/>
          <w:sz w:val="18"/>
          <w:szCs w:val="18"/>
        </w:rPr>
        <w:t>,</w:t>
      </w:r>
      <w:r w:rsidR="0025548F">
        <w:rPr>
          <w:rFonts w:ascii="Arial" w:hAnsi="Arial" w:cs="Arial"/>
          <w:sz w:val="18"/>
          <w:szCs w:val="18"/>
        </w:rPr>
        <w:t>505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5548F">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25548F">
        <w:rPr>
          <w:rFonts w:ascii="Arial" w:hAnsi="Arial" w:cs="Arial"/>
          <w:sz w:val="18"/>
          <w:szCs w:val="18"/>
        </w:rPr>
        <w:t>6</w:t>
      </w:r>
      <w:r>
        <w:rPr>
          <w:rFonts w:ascii="Arial" w:hAnsi="Arial" w:cs="Arial"/>
          <w:sz w:val="18"/>
          <w:szCs w:val="18"/>
        </w:rPr>
        <w:t>,</w:t>
      </w:r>
      <w:r w:rsidR="0025548F">
        <w:rPr>
          <w:rFonts w:ascii="Arial" w:hAnsi="Arial" w:cs="Arial"/>
          <w:sz w:val="18"/>
          <w:szCs w:val="18"/>
        </w:rPr>
        <w:t>009</w:t>
      </w:r>
      <w:r>
        <w:rPr>
          <w:rFonts w:ascii="Arial" w:hAnsi="Arial" w:cs="Arial"/>
          <w:sz w:val="18"/>
          <w:szCs w:val="18"/>
        </w:rPr>
        <w:t>,</w:t>
      </w:r>
      <w:r w:rsidR="0025548F">
        <w:rPr>
          <w:rFonts w:ascii="Arial" w:hAnsi="Arial" w:cs="Arial"/>
          <w:sz w:val="18"/>
          <w:szCs w:val="18"/>
        </w:rPr>
        <w:t>091</w:t>
      </w:r>
      <w:r>
        <w:rPr>
          <w:rFonts w:ascii="Arial" w:hAnsi="Arial" w:cs="Arial"/>
          <w:sz w:val="18"/>
          <w:szCs w:val="18"/>
        </w:rPr>
        <w:t>,</w:t>
      </w:r>
      <w:r w:rsidR="0025548F">
        <w:rPr>
          <w:rFonts w:ascii="Arial" w:hAnsi="Arial" w:cs="Arial"/>
          <w:sz w:val="18"/>
          <w:szCs w:val="18"/>
        </w:rPr>
        <w:t>908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7F6AFD">
        <w:rPr>
          <w:rFonts w:ascii="Arial" w:hAnsi="Arial" w:cs="Arial"/>
          <w:sz w:val="18"/>
          <w:szCs w:val="18"/>
        </w:rPr>
        <w:t>4</w:t>
      </w:r>
      <w:r>
        <w:rPr>
          <w:rFonts w:ascii="Arial" w:hAnsi="Arial" w:cs="Arial"/>
          <w:sz w:val="18"/>
          <w:szCs w:val="18"/>
        </w:rPr>
        <w:t>,</w:t>
      </w:r>
      <w:r w:rsidR="007F6AFD">
        <w:rPr>
          <w:rFonts w:ascii="Arial" w:hAnsi="Arial" w:cs="Arial"/>
          <w:sz w:val="18"/>
          <w:szCs w:val="18"/>
        </w:rPr>
        <w:t>681</w:t>
      </w:r>
      <w:r>
        <w:rPr>
          <w:rFonts w:ascii="Arial" w:hAnsi="Arial" w:cs="Arial"/>
          <w:sz w:val="18"/>
          <w:szCs w:val="18"/>
        </w:rPr>
        <w:t>,</w:t>
      </w:r>
      <w:r w:rsidR="007F6AFD">
        <w:rPr>
          <w:rFonts w:ascii="Arial" w:hAnsi="Arial" w:cs="Arial"/>
          <w:sz w:val="18"/>
          <w:szCs w:val="18"/>
        </w:rPr>
        <w:t>667</w:t>
      </w:r>
      <w:r>
        <w:rPr>
          <w:rFonts w:ascii="Arial" w:hAnsi="Arial" w:cs="Arial"/>
          <w:sz w:val="18"/>
          <w:szCs w:val="18"/>
        </w:rPr>
        <w:t>,</w:t>
      </w:r>
      <w:r w:rsidR="007F6AFD">
        <w:rPr>
          <w:rFonts w:ascii="Arial" w:hAnsi="Arial" w:cs="Arial"/>
          <w:sz w:val="18"/>
          <w:szCs w:val="18"/>
        </w:rPr>
        <w:t>90</w:t>
      </w:r>
      <w:r w:rsidR="00D17C5D">
        <w:rPr>
          <w:rFonts w:ascii="Arial" w:hAnsi="Arial" w:cs="Arial"/>
          <w:sz w:val="18"/>
          <w:szCs w:val="18"/>
        </w:rPr>
        <w:t>1</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w:t>
      </w:r>
      <w:r w:rsidR="007F6AFD">
        <w:rPr>
          <w:rFonts w:ascii="Arial" w:hAnsi="Arial" w:cs="Arial"/>
          <w:sz w:val="18"/>
          <w:szCs w:val="18"/>
        </w:rPr>
        <w:t>1,327</w:t>
      </w:r>
      <w:r>
        <w:rPr>
          <w:rFonts w:ascii="Arial" w:hAnsi="Arial" w:cs="Arial"/>
          <w:sz w:val="18"/>
          <w:szCs w:val="18"/>
        </w:rPr>
        <w:t>,</w:t>
      </w:r>
      <w:r w:rsidR="007F6AFD">
        <w:rPr>
          <w:rFonts w:ascii="Arial" w:hAnsi="Arial" w:cs="Arial"/>
          <w:sz w:val="18"/>
          <w:szCs w:val="18"/>
        </w:rPr>
        <w:t>424</w:t>
      </w:r>
      <w:r>
        <w:rPr>
          <w:rFonts w:ascii="Arial" w:hAnsi="Arial" w:cs="Arial"/>
          <w:sz w:val="18"/>
          <w:szCs w:val="18"/>
        </w:rPr>
        <w:t>,</w:t>
      </w:r>
      <w:r w:rsidR="007F6AFD">
        <w:rPr>
          <w:rFonts w:ascii="Arial" w:hAnsi="Arial" w:cs="Arial"/>
          <w:sz w:val="18"/>
          <w:szCs w:val="18"/>
        </w:rPr>
        <w:t>00</w:t>
      </w:r>
      <w:r w:rsidR="00D17C5D">
        <w:rPr>
          <w:rFonts w:ascii="Arial" w:hAnsi="Arial" w:cs="Arial"/>
          <w:sz w:val="18"/>
          <w:szCs w:val="18"/>
        </w:rPr>
        <w:t>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7F6AFD">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Pr>
          <w:rFonts w:ascii="Arial" w:hAnsi="Arial" w:cs="Arial"/>
          <w:sz w:val="18"/>
          <w:szCs w:val="18"/>
        </w:rPr>
        <w:t xml:space="preserve"> </w:t>
      </w:r>
      <w:r w:rsidR="007F6AFD">
        <w:rPr>
          <w:rFonts w:ascii="Arial" w:hAnsi="Arial" w:cs="Arial"/>
          <w:sz w:val="18"/>
          <w:szCs w:val="18"/>
        </w:rPr>
        <w:t>217</w:t>
      </w:r>
      <w:r>
        <w:rPr>
          <w:rFonts w:ascii="Arial" w:hAnsi="Arial" w:cs="Arial"/>
          <w:sz w:val="18"/>
          <w:szCs w:val="18"/>
        </w:rPr>
        <w:t>,</w:t>
      </w:r>
      <w:r w:rsidR="007F6AFD">
        <w:rPr>
          <w:rFonts w:ascii="Arial" w:hAnsi="Arial" w:cs="Arial"/>
          <w:sz w:val="18"/>
          <w:szCs w:val="18"/>
        </w:rPr>
        <w:t>257</w:t>
      </w:r>
      <w:r>
        <w:rPr>
          <w:rFonts w:ascii="Arial" w:hAnsi="Arial" w:cs="Arial"/>
          <w:sz w:val="18"/>
          <w:szCs w:val="18"/>
        </w:rPr>
        <w:t>,</w:t>
      </w:r>
      <w:r w:rsidR="007F6AFD">
        <w:rPr>
          <w:rFonts w:ascii="Arial" w:hAnsi="Arial" w:cs="Arial"/>
          <w:sz w:val="18"/>
          <w:szCs w:val="18"/>
        </w:rPr>
        <w:t>1</w:t>
      </w:r>
      <w:r w:rsidR="00D17C5D">
        <w:rPr>
          <w:rFonts w:ascii="Arial" w:hAnsi="Arial" w:cs="Arial"/>
          <w:sz w:val="18"/>
          <w:szCs w:val="18"/>
        </w:rPr>
        <w:t>56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2E1F2D">
        <w:rPr>
          <w:rFonts w:ascii="Arial" w:hAnsi="Arial" w:cs="Arial"/>
          <w:sz w:val="18"/>
          <w:szCs w:val="18"/>
        </w:rPr>
        <w:t>205</w:t>
      </w:r>
      <w:r w:rsidR="00E004F0">
        <w:rPr>
          <w:rFonts w:ascii="Arial" w:hAnsi="Arial" w:cs="Arial"/>
          <w:sz w:val="18"/>
          <w:szCs w:val="18"/>
        </w:rPr>
        <w:t>,</w:t>
      </w:r>
      <w:r w:rsidR="002E1F2D">
        <w:rPr>
          <w:rFonts w:ascii="Arial" w:hAnsi="Arial" w:cs="Arial"/>
          <w:sz w:val="18"/>
          <w:szCs w:val="18"/>
        </w:rPr>
        <w:t>232</w:t>
      </w:r>
      <w:r>
        <w:rPr>
          <w:rFonts w:ascii="Arial" w:hAnsi="Arial" w:cs="Arial"/>
          <w:sz w:val="18"/>
          <w:szCs w:val="18"/>
        </w:rPr>
        <w:t>,</w:t>
      </w:r>
      <w:r w:rsidR="002E1F2D">
        <w:rPr>
          <w:rFonts w:ascii="Arial" w:hAnsi="Arial" w:cs="Arial"/>
          <w:sz w:val="18"/>
          <w:szCs w:val="18"/>
        </w:rPr>
        <w:t>507</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480484">
        <w:rPr>
          <w:rFonts w:ascii="Arial" w:hAnsi="Arial" w:cs="Arial"/>
          <w:sz w:val="18"/>
          <w:szCs w:val="18"/>
        </w:rPr>
        <w:t>8</w:t>
      </w:r>
      <w:r>
        <w:rPr>
          <w:rFonts w:ascii="Arial" w:hAnsi="Arial" w:cs="Arial"/>
          <w:sz w:val="18"/>
          <w:szCs w:val="18"/>
        </w:rPr>
        <w:t>,</w:t>
      </w:r>
      <w:r w:rsidR="002E1F2D">
        <w:rPr>
          <w:rFonts w:ascii="Arial" w:hAnsi="Arial" w:cs="Arial"/>
          <w:sz w:val="18"/>
          <w:szCs w:val="18"/>
        </w:rPr>
        <w:t>888</w:t>
      </w:r>
      <w:r>
        <w:rPr>
          <w:rFonts w:ascii="Arial" w:hAnsi="Arial" w:cs="Arial"/>
          <w:sz w:val="18"/>
          <w:szCs w:val="18"/>
        </w:rPr>
        <w:t>,</w:t>
      </w:r>
      <w:r w:rsidR="002E1F2D">
        <w:rPr>
          <w:rFonts w:ascii="Arial" w:hAnsi="Arial" w:cs="Arial"/>
          <w:sz w:val="18"/>
          <w:szCs w:val="18"/>
        </w:rPr>
        <w:t>263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2E1F2D">
        <w:rPr>
          <w:rFonts w:ascii="Arial" w:hAnsi="Arial" w:cs="Arial"/>
          <w:sz w:val="18"/>
          <w:szCs w:val="18"/>
        </w:rPr>
        <w:t>1</w:t>
      </w:r>
      <w:r>
        <w:rPr>
          <w:rFonts w:ascii="Arial" w:hAnsi="Arial" w:cs="Arial"/>
          <w:sz w:val="18"/>
          <w:szCs w:val="18"/>
        </w:rPr>
        <w:t>,</w:t>
      </w:r>
      <w:r w:rsidR="00480484">
        <w:rPr>
          <w:rFonts w:ascii="Arial" w:hAnsi="Arial" w:cs="Arial"/>
          <w:sz w:val="18"/>
          <w:szCs w:val="18"/>
        </w:rPr>
        <w:t>8</w:t>
      </w:r>
      <w:r w:rsidR="002E1F2D">
        <w:rPr>
          <w:rFonts w:ascii="Arial" w:hAnsi="Arial" w:cs="Arial"/>
          <w:sz w:val="18"/>
          <w:szCs w:val="18"/>
        </w:rPr>
        <w:t>56</w:t>
      </w:r>
      <w:r>
        <w:rPr>
          <w:rFonts w:ascii="Arial" w:hAnsi="Arial" w:cs="Arial"/>
          <w:sz w:val="18"/>
          <w:szCs w:val="18"/>
        </w:rPr>
        <w:t>,</w:t>
      </w:r>
      <w:r w:rsidR="002E1F2D">
        <w:rPr>
          <w:rFonts w:ascii="Arial" w:hAnsi="Arial" w:cs="Arial"/>
          <w:sz w:val="18"/>
          <w:szCs w:val="18"/>
        </w:rPr>
        <w:t>515</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E1F2D">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E1F2D">
        <w:rPr>
          <w:rFonts w:ascii="Arial" w:hAnsi="Arial" w:cs="Arial"/>
          <w:sz w:val="18"/>
          <w:szCs w:val="18"/>
        </w:rPr>
        <w:t>167</w:t>
      </w:r>
      <w:r>
        <w:rPr>
          <w:rFonts w:ascii="Arial" w:hAnsi="Arial" w:cs="Arial"/>
          <w:sz w:val="18"/>
          <w:szCs w:val="18"/>
        </w:rPr>
        <w:t>,</w:t>
      </w:r>
      <w:r w:rsidR="002E1F2D">
        <w:rPr>
          <w:rFonts w:ascii="Arial" w:hAnsi="Arial" w:cs="Arial"/>
          <w:sz w:val="18"/>
          <w:szCs w:val="18"/>
        </w:rPr>
        <w:t>451</w:t>
      </w:r>
      <w:r>
        <w:rPr>
          <w:rFonts w:ascii="Arial" w:hAnsi="Arial" w:cs="Arial"/>
          <w:sz w:val="18"/>
          <w:szCs w:val="18"/>
        </w:rPr>
        <w:t>,</w:t>
      </w:r>
      <w:r w:rsidR="002E1F2D">
        <w:rPr>
          <w:rFonts w:ascii="Arial" w:hAnsi="Arial" w:cs="Arial"/>
          <w:sz w:val="18"/>
          <w:szCs w:val="18"/>
        </w:rPr>
        <w:t>449</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E1F2D">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E1F2D">
        <w:rPr>
          <w:rFonts w:ascii="Arial" w:hAnsi="Arial" w:cs="Arial"/>
          <w:sz w:val="18"/>
          <w:szCs w:val="18"/>
        </w:rPr>
        <w:t>26</w:t>
      </w:r>
      <w:r w:rsidRPr="00502DDD">
        <w:rPr>
          <w:rFonts w:ascii="Arial" w:hAnsi="Arial" w:cs="Arial"/>
          <w:sz w:val="18"/>
          <w:szCs w:val="18"/>
        </w:rPr>
        <w:t>,</w:t>
      </w:r>
      <w:r w:rsidR="002E1F2D">
        <w:rPr>
          <w:rFonts w:ascii="Arial" w:hAnsi="Arial" w:cs="Arial"/>
          <w:sz w:val="18"/>
          <w:szCs w:val="18"/>
        </w:rPr>
        <w:t>814</w:t>
      </w:r>
      <w:r w:rsidRPr="00502DDD">
        <w:rPr>
          <w:rFonts w:ascii="Arial" w:hAnsi="Arial" w:cs="Arial"/>
          <w:sz w:val="18"/>
          <w:szCs w:val="18"/>
        </w:rPr>
        <w:t>,</w:t>
      </w:r>
      <w:r w:rsidR="002E1F2D">
        <w:rPr>
          <w:rFonts w:ascii="Arial" w:hAnsi="Arial" w:cs="Arial"/>
          <w:sz w:val="18"/>
          <w:szCs w:val="18"/>
        </w:rPr>
        <w:t>608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2E1F2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2E1F2D">
        <w:rPr>
          <w:rFonts w:ascii="Arial" w:hAnsi="Arial" w:cs="Arial"/>
          <w:sz w:val="18"/>
          <w:szCs w:val="18"/>
        </w:rPr>
        <w:t>40</w:t>
      </w:r>
      <w:r>
        <w:rPr>
          <w:rFonts w:ascii="Arial" w:hAnsi="Arial" w:cs="Arial"/>
          <w:sz w:val="18"/>
          <w:szCs w:val="18"/>
        </w:rPr>
        <w:t>,</w:t>
      </w:r>
      <w:r w:rsidR="00480484">
        <w:rPr>
          <w:rFonts w:ascii="Arial" w:hAnsi="Arial" w:cs="Arial"/>
          <w:sz w:val="18"/>
          <w:szCs w:val="18"/>
        </w:rPr>
        <w:t>8</w:t>
      </w:r>
      <w:r w:rsidR="002E1F2D">
        <w:rPr>
          <w:rFonts w:ascii="Arial" w:hAnsi="Arial" w:cs="Arial"/>
          <w:sz w:val="18"/>
          <w:szCs w:val="18"/>
        </w:rPr>
        <w:t>26</w:t>
      </w:r>
      <w:r>
        <w:rPr>
          <w:rFonts w:ascii="Arial" w:hAnsi="Arial" w:cs="Arial"/>
          <w:sz w:val="18"/>
          <w:szCs w:val="18"/>
        </w:rPr>
        <w:t>,</w:t>
      </w:r>
      <w:r w:rsidR="002E1F2D">
        <w:rPr>
          <w:rFonts w:ascii="Arial" w:hAnsi="Arial" w:cs="Arial"/>
          <w:sz w:val="18"/>
          <w:szCs w:val="18"/>
        </w:rPr>
        <w:t>060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1F2D">
        <w:rPr>
          <w:rFonts w:ascii="Arial" w:hAnsi="Arial" w:cs="Arial"/>
          <w:sz w:val="18"/>
          <w:szCs w:val="18"/>
        </w:rPr>
        <w:t>5</w:t>
      </w:r>
      <w:r>
        <w:rPr>
          <w:rFonts w:ascii="Arial" w:hAnsi="Arial" w:cs="Arial"/>
          <w:sz w:val="18"/>
          <w:szCs w:val="18"/>
        </w:rPr>
        <w:t>,</w:t>
      </w:r>
      <w:r w:rsidR="002E1F2D">
        <w:rPr>
          <w:rFonts w:ascii="Arial" w:hAnsi="Arial" w:cs="Arial"/>
          <w:sz w:val="18"/>
          <w:szCs w:val="18"/>
        </w:rPr>
        <w:t>556</w:t>
      </w:r>
      <w:r>
        <w:rPr>
          <w:rFonts w:ascii="Arial" w:hAnsi="Arial" w:cs="Arial"/>
          <w:sz w:val="18"/>
          <w:szCs w:val="18"/>
        </w:rPr>
        <w:t>,</w:t>
      </w:r>
      <w:r w:rsidR="002E1F2D">
        <w:rPr>
          <w:rFonts w:ascii="Arial" w:hAnsi="Arial" w:cs="Arial"/>
          <w:sz w:val="18"/>
          <w:szCs w:val="18"/>
        </w:rPr>
        <w:t>229</w:t>
      </w:r>
      <w:r>
        <w:rPr>
          <w:rFonts w:ascii="Arial" w:hAnsi="Arial" w:cs="Arial"/>
          <w:sz w:val="18"/>
          <w:szCs w:val="18"/>
        </w:rPr>
        <w:t>,</w:t>
      </w:r>
      <w:r w:rsidR="002E1F2D">
        <w:rPr>
          <w:rFonts w:ascii="Arial" w:hAnsi="Arial" w:cs="Arial"/>
          <w:sz w:val="18"/>
          <w:szCs w:val="18"/>
        </w:rPr>
        <w:t>081</w:t>
      </w:r>
      <w:r>
        <w:rPr>
          <w:rFonts w:ascii="Arial" w:hAnsi="Arial" w:cs="Arial"/>
          <w:sz w:val="18"/>
          <w:szCs w:val="18"/>
        </w:rPr>
        <w:t xml:space="preserve"> al mes de </w:t>
      </w:r>
      <w:r w:rsidR="001854C3">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1854C3">
        <w:rPr>
          <w:rFonts w:ascii="Arial" w:hAnsi="Arial" w:cs="Arial"/>
          <w:sz w:val="18"/>
          <w:szCs w:val="18"/>
        </w:rPr>
        <w:t>2</w:t>
      </w:r>
      <w:r>
        <w:rPr>
          <w:rFonts w:ascii="Arial" w:hAnsi="Arial" w:cs="Arial"/>
          <w:sz w:val="18"/>
          <w:szCs w:val="18"/>
        </w:rPr>
        <w:t>,</w:t>
      </w:r>
      <w:r w:rsidR="001854C3">
        <w:rPr>
          <w:rFonts w:ascii="Arial" w:hAnsi="Arial" w:cs="Arial"/>
          <w:sz w:val="18"/>
          <w:szCs w:val="18"/>
        </w:rPr>
        <w:t>703</w:t>
      </w:r>
      <w:r>
        <w:rPr>
          <w:rFonts w:ascii="Arial" w:hAnsi="Arial" w:cs="Arial"/>
          <w:sz w:val="18"/>
          <w:szCs w:val="18"/>
        </w:rPr>
        <w:t>,</w:t>
      </w:r>
      <w:r w:rsidR="001854C3">
        <w:rPr>
          <w:rFonts w:ascii="Arial" w:hAnsi="Arial" w:cs="Arial"/>
          <w:sz w:val="18"/>
          <w:szCs w:val="18"/>
        </w:rPr>
        <w:t>836</w:t>
      </w:r>
      <w:r>
        <w:rPr>
          <w:rFonts w:ascii="Arial" w:hAnsi="Arial" w:cs="Arial"/>
          <w:sz w:val="18"/>
          <w:szCs w:val="18"/>
        </w:rPr>
        <w:t>,</w:t>
      </w:r>
      <w:r w:rsidR="001854C3">
        <w:rPr>
          <w:rFonts w:ascii="Arial" w:hAnsi="Arial" w:cs="Arial"/>
          <w:sz w:val="18"/>
          <w:szCs w:val="18"/>
        </w:rPr>
        <w:t>690</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854C3">
        <w:rPr>
          <w:rFonts w:ascii="Arial" w:hAnsi="Arial" w:cs="Arial"/>
          <w:sz w:val="18"/>
          <w:szCs w:val="18"/>
        </w:rPr>
        <w:t>5</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854C3">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959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768AE" w:rsidP="0072758C">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72758C">
              <w:rPr>
                <w:rFonts w:eastAsia="Times New Roman" w:cstheme="minorHAnsi"/>
                <w:color w:val="000000"/>
                <w:sz w:val="20"/>
                <w:szCs w:val="18"/>
                <w:lang w:eastAsia="es-MX"/>
              </w:rPr>
              <w:t>2</w:t>
            </w:r>
            <w:r w:rsidR="003F4574" w:rsidRPr="0004135F">
              <w:rPr>
                <w:rFonts w:eastAsia="Times New Roman" w:cstheme="minorHAnsi"/>
                <w:color w:val="000000"/>
                <w:sz w:val="20"/>
                <w:szCs w:val="18"/>
                <w:lang w:eastAsia="es-MX"/>
              </w:rPr>
              <w:t>.</w:t>
            </w:r>
            <w:r w:rsidR="0072758C">
              <w:rPr>
                <w:rFonts w:eastAsia="Times New Roman" w:cstheme="minorHAnsi"/>
                <w:color w:val="000000"/>
                <w:sz w:val="20"/>
                <w:szCs w:val="18"/>
                <w:lang w:eastAsia="es-MX"/>
              </w:rPr>
              <w:t>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086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25.2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217</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72758C">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252</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392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11.7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914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782</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11.6</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552</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480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005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967</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72758C">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302</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72758C">
              <w:rPr>
                <w:rFonts w:eastAsia="Times New Roman" w:cstheme="minorHAnsi"/>
                <w:color w:val="000000"/>
                <w:sz w:val="20"/>
                <w:szCs w:val="18"/>
                <w:lang w:eastAsia="es-MX"/>
              </w:rPr>
              <w:t>.7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226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182</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205</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942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1B0197">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1B0197">
              <w:rPr>
                <w:rFonts w:eastAsia="Times New Roman" w:cstheme="minorHAnsi"/>
                <w:color w:val="000000"/>
                <w:sz w:val="20"/>
                <w:szCs w:val="18"/>
                <w:lang w:eastAsia="es-MX"/>
              </w:rPr>
              <w:t>2</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155</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616</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806</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72758C">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72758C">
        <w:rPr>
          <w:rFonts w:ascii="Arial" w:hAnsi="Arial" w:cs="Arial"/>
          <w:sz w:val="18"/>
          <w:szCs w:val="18"/>
        </w:rPr>
        <w:t>694</w:t>
      </w:r>
      <w:r>
        <w:rPr>
          <w:rFonts w:ascii="Arial" w:hAnsi="Arial" w:cs="Arial"/>
          <w:sz w:val="18"/>
          <w:szCs w:val="18"/>
        </w:rPr>
        <w:t>,</w:t>
      </w:r>
      <w:r w:rsidR="0072758C">
        <w:rPr>
          <w:rFonts w:ascii="Arial" w:hAnsi="Arial" w:cs="Arial"/>
          <w:sz w:val="18"/>
          <w:szCs w:val="18"/>
        </w:rPr>
        <w:t>840</w:t>
      </w:r>
      <w:r w:rsidR="009F5E29">
        <w:rPr>
          <w:rFonts w:ascii="Arial" w:hAnsi="Arial" w:cs="Arial"/>
          <w:sz w:val="18"/>
          <w:szCs w:val="18"/>
        </w:rPr>
        <w:t>,</w:t>
      </w:r>
      <w:r w:rsidR="0072758C">
        <w:rPr>
          <w:rFonts w:ascii="Arial" w:hAnsi="Arial" w:cs="Arial"/>
          <w:sz w:val="18"/>
          <w:szCs w:val="18"/>
        </w:rPr>
        <w:t>701</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72758C">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72758C">
        <w:rPr>
          <w:rFonts w:ascii="Arial" w:hAnsi="Arial" w:cs="Arial"/>
          <w:sz w:val="18"/>
          <w:szCs w:val="18"/>
        </w:rPr>
        <w:t>marzo</w:t>
      </w:r>
      <w:r w:rsidR="00134F21">
        <w:rPr>
          <w:rFonts w:ascii="Arial" w:hAnsi="Arial" w:cs="Arial"/>
          <w:sz w:val="18"/>
          <w:szCs w:val="18"/>
        </w:rPr>
        <w:t xml:space="preserve"> por este concepto un monto de $ </w:t>
      </w:r>
      <w:r w:rsidR="008167D5">
        <w:rPr>
          <w:rFonts w:ascii="Arial" w:hAnsi="Arial" w:cs="Arial"/>
          <w:sz w:val="18"/>
          <w:szCs w:val="18"/>
        </w:rPr>
        <w:t>6</w:t>
      </w:r>
      <w:r w:rsidR="0072758C">
        <w:rPr>
          <w:rFonts w:ascii="Arial" w:hAnsi="Arial" w:cs="Arial"/>
          <w:sz w:val="18"/>
          <w:szCs w:val="18"/>
        </w:rPr>
        <w:t>02</w:t>
      </w:r>
      <w:r w:rsidR="00134F21">
        <w:rPr>
          <w:rFonts w:ascii="Arial" w:hAnsi="Arial" w:cs="Arial"/>
          <w:sz w:val="18"/>
          <w:szCs w:val="18"/>
        </w:rPr>
        <w:t>,</w:t>
      </w:r>
      <w:r w:rsidR="0072758C">
        <w:rPr>
          <w:rFonts w:ascii="Arial" w:hAnsi="Arial" w:cs="Arial"/>
          <w:sz w:val="18"/>
          <w:szCs w:val="18"/>
        </w:rPr>
        <w:t>673</w:t>
      </w:r>
      <w:r w:rsidR="00134F21">
        <w:rPr>
          <w:rFonts w:ascii="Arial" w:hAnsi="Arial" w:cs="Arial"/>
          <w:sz w:val="18"/>
          <w:szCs w:val="18"/>
        </w:rPr>
        <w:t>,</w:t>
      </w:r>
      <w:r w:rsidR="0072758C">
        <w:rPr>
          <w:rFonts w:ascii="Arial" w:hAnsi="Arial" w:cs="Arial"/>
          <w:sz w:val="18"/>
          <w:szCs w:val="18"/>
        </w:rPr>
        <w:t>590</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72758C">
        <w:rPr>
          <w:rFonts w:ascii="Arial" w:hAnsi="Arial" w:cs="Arial"/>
          <w:sz w:val="18"/>
          <w:szCs w:val="18"/>
        </w:rPr>
        <w:t>11</w:t>
      </w:r>
      <w:r>
        <w:rPr>
          <w:rFonts w:ascii="Arial" w:hAnsi="Arial" w:cs="Arial"/>
          <w:sz w:val="18"/>
          <w:szCs w:val="18"/>
        </w:rPr>
        <w:t>,</w:t>
      </w:r>
      <w:r w:rsidR="0072758C">
        <w:rPr>
          <w:rFonts w:ascii="Arial" w:hAnsi="Arial" w:cs="Arial"/>
          <w:sz w:val="18"/>
          <w:szCs w:val="18"/>
        </w:rPr>
        <w:t>058</w:t>
      </w:r>
      <w:r>
        <w:rPr>
          <w:rFonts w:ascii="Arial" w:hAnsi="Arial" w:cs="Arial"/>
          <w:sz w:val="18"/>
          <w:szCs w:val="18"/>
        </w:rPr>
        <w:t>,</w:t>
      </w:r>
      <w:r w:rsidR="0072758C">
        <w:rPr>
          <w:rFonts w:ascii="Arial" w:hAnsi="Arial" w:cs="Arial"/>
          <w:sz w:val="18"/>
          <w:szCs w:val="18"/>
        </w:rPr>
        <w:t>981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2758C">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 </w:t>
      </w:r>
      <w:r w:rsidR="0072758C">
        <w:rPr>
          <w:rFonts w:ascii="Arial" w:hAnsi="Arial" w:cs="Arial"/>
          <w:sz w:val="18"/>
          <w:szCs w:val="18"/>
        </w:rPr>
        <w:t>38</w:t>
      </w:r>
      <w:r w:rsidR="00BA3B1D">
        <w:rPr>
          <w:rFonts w:ascii="Arial" w:hAnsi="Arial" w:cs="Arial"/>
          <w:sz w:val="18"/>
          <w:szCs w:val="18"/>
        </w:rPr>
        <w:t>,</w:t>
      </w:r>
      <w:r w:rsidR="0072758C">
        <w:rPr>
          <w:rFonts w:ascii="Arial" w:hAnsi="Arial" w:cs="Arial"/>
          <w:sz w:val="18"/>
          <w:szCs w:val="18"/>
        </w:rPr>
        <w:t>378</w:t>
      </w:r>
      <w:r w:rsidR="00BA3B1D">
        <w:rPr>
          <w:rFonts w:ascii="Arial" w:hAnsi="Arial" w:cs="Arial"/>
          <w:sz w:val="18"/>
          <w:szCs w:val="18"/>
        </w:rPr>
        <w:t>,</w:t>
      </w:r>
      <w:r w:rsidR="001F0A5E">
        <w:rPr>
          <w:rFonts w:ascii="Arial" w:hAnsi="Arial" w:cs="Arial"/>
          <w:sz w:val="18"/>
          <w:szCs w:val="18"/>
        </w:rPr>
        <w:t>800</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303EA9">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observan un monto de $ </w:t>
      </w:r>
      <w:r w:rsidR="00303EA9">
        <w:rPr>
          <w:rFonts w:ascii="Arial" w:hAnsi="Arial" w:cs="Arial"/>
          <w:sz w:val="18"/>
          <w:szCs w:val="18"/>
        </w:rPr>
        <w:t>2</w:t>
      </w:r>
      <w:r w:rsidR="001A78A4">
        <w:rPr>
          <w:rFonts w:ascii="Arial" w:hAnsi="Arial" w:cs="Arial"/>
          <w:sz w:val="18"/>
          <w:szCs w:val="18"/>
        </w:rPr>
        <w:t>,</w:t>
      </w:r>
      <w:r w:rsidR="008167D5">
        <w:rPr>
          <w:rFonts w:ascii="Arial" w:hAnsi="Arial" w:cs="Arial"/>
          <w:sz w:val="18"/>
          <w:szCs w:val="18"/>
        </w:rPr>
        <w:t>8</w:t>
      </w:r>
      <w:r w:rsidR="00303EA9">
        <w:rPr>
          <w:rFonts w:ascii="Arial" w:hAnsi="Arial" w:cs="Arial"/>
          <w:sz w:val="18"/>
          <w:szCs w:val="18"/>
        </w:rPr>
        <w:t>8</w:t>
      </w:r>
      <w:r w:rsidR="008167D5">
        <w:rPr>
          <w:rFonts w:ascii="Arial" w:hAnsi="Arial" w:cs="Arial"/>
          <w:sz w:val="18"/>
          <w:szCs w:val="18"/>
        </w:rPr>
        <w:t>9</w:t>
      </w:r>
      <w:r>
        <w:rPr>
          <w:rFonts w:ascii="Arial" w:hAnsi="Arial" w:cs="Arial"/>
          <w:sz w:val="18"/>
          <w:szCs w:val="18"/>
        </w:rPr>
        <w:t>,</w:t>
      </w:r>
      <w:r w:rsidR="00303EA9">
        <w:rPr>
          <w:rFonts w:ascii="Arial" w:hAnsi="Arial" w:cs="Arial"/>
          <w:sz w:val="18"/>
          <w:szCs w:val="18"/>
        </w:rPr>
        <w:t>280</w:t>
      </w:r>
      <w:r>
        <w:rPr>
          <w:rFonts w:ascii="Arial" w:hAnsi="Arial" w:cs="Arial"/>
          <w:sz w:val="18"/>
          <w:szCs w:val="18"/>
        </w:rPr>
        <w:t>,</w:t>
      </w:r>
      <w:r w:rsidR="00303EA9">
        <w:rPr>
          <w:rFonts w:ascii="Arial" w:hAnsi="Arial" w:cs="Arial"/>
          <w:sz w:val="18"/>
          <w:szCs w:val="18"/>
        </w:rPr>
        <w:t>485</w:t>
      </w:r>
      <w:r>
        <w:rPr>
          <w:rFonts w:ascii="Arial" w:hAnsi="Arial" w:cs="Arial"/>
          <w:sz w:val="18"/>
          <w:szCs w:val="18"/>
        </w:rPr>
        <w:t xml:space="preserve"> de los cuales los principales sectores que reciben estas asignaciones son el sector educativo al cual le corresponde el </w:t>
      </w:r>
      <w:r w:rsidR="00303EA9">
        <w:rPr>
          <w:rFonts w:ascii="Arial" w:hAnsi="Arial" w:cs="Arial"/>
          <w:sz w:val="18"/>
          <w:szCs w:val="18"/>
        </w:rPr>
        <w:t>46</w:t>
      </w:r>
      <w:r>
        <w:rPr>
          <w:rFonts w:ascii="Arial" w:hAnsi="Arial" w:cs="Arial"/>
          <w:sz w:val="18"/>
          <w:szCs w:val="18"/>
        </w:rPr>
        <w:t xml:space="preserve">% y el sector salud con un </w:t>
      </w:r>
      <w:r w:rsidR="00303EA9">
        <w:rPr>
          <w:rFonts w:ascii="Arial" w:hAnsi="Arial" w:cs="Arial"/>
          <w:sz w:val="18"/>
          <w:szCs w:val="18"/>
        </w:rPr>
        <w:t>41</w:t>
      </w:r>
      <w:r>
        <w:rPr>
          <w:rFonts w:ascii="Arial" w:hAnsi="Arial" w:cs="Arial"/>
          <w:sz w:val="18"/>
          <w:szCs w:val="18"/>
        </w:rPr>
        <w:t xml:space="preserve">% y el restante </w:t>
      </w:r>
      <w:r w:rsidR="00303EA9">
        <w:rPr>
          <w:rFonts w:ascii="Arial" w:hAnsi="Arial" w:cs="Arial"/>
          <w:sz w:val="18"/>
          <w:szCs w:val="18"/>
        </w:rPr>
        <w:t>13</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03EA9">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 </w:t>
      </w:r>
      <w:r w:rsidR="00303EA9">
        <w:rPr>
          <w:rFonts w:ascii="Arial" w:hAnsi="Arial" w:cs="Arial"/>
          <w:sz w:val="18"/>
          <w:szCs w:val="18"/>
        </w:rPr>
        <w:t>1,327</w:t>
      </w:r>
      <w:r>
        <w:rPr>
          <w:rFonts w:ascii="Arial" w:hAnsi="Arial" w:cs="Arial"/>
          <w:sz w:val="18"/>
          <w:szCs w:val="18"/>
        </w:rPr>
        <w:t>,</w:t>
      </w:r>
      <w:r w:rsidR="00303EA9">
        <w:rPr>
          <w:rFonts w:ascii="Arial" w:hAnsi="Arial" w:cs="Arial"/>
          <w:sz w:val="18"/>
          <w:szCs w:val="18"/>
        </w:rPr>
        <w:t>424</w:t>
      </w:r>
      <w:r>
        <w:rPr>
          <w:rFonts w:ascii="Arial" w:hAnsi="Arial" w:cs="Arial"/>
          <w:sz w:val="18"/>
          <w:szCs w:val="18"/>
        </w:rPr>
        <w:t>,</w:t>
      </w:r>
      <w:r w:rsidR="00303EA9">
        <w:rPr>
          <w:rFonts w:ascii="Arial" w:hAnsi="Arial" w:cs="Arial"/>
          <w:sz w:val="18"/>
          <w:szCs w:val="18"/>
        </w:rPr>
        <w:t>007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8B407A">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03EA9">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5C9C">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7D1805">
        <w:rPr>
          <w:rFonts w:ascii="Arial" w:hAnsi="Arial" w:cs="Arial"/>
          <w:sz w:val="18"/>
          <w:szCs w:val="18"/>
        </w:rPr>
        <w:t>3</w:t>
      </w:r>
      <w:r w:rsidR="008F5C9C">
        <w:rPr>
          <w:rFonts w:ascii="Arial" w:hAnsi="Arial" w:cs="Arial"/>
          <w:sz w:val="18"/>
          <w:szCs w:val="18"/>
        </w:rPr>
        <w:t>30</w:t>
      </w:r>
      <w:r>
        <w:rPr>
          <w:rFonts w:ascii="Arial" w:eastAsia="Times New Roman" w:hAnsi="Arial" w:cs="Arial"/>
          <w:bCs/>
          <w:sz w:val="18"/>
          <w:szCs w:val="18"/>
          <w:lang w:eastAsia="es-MX"/>
        </w:rPr>
        <w:t>,</w:t>
      </w:r>
      <w:r w:rsidR="008F5C9C">
        <w:rPr>
          <w:rFonts w:ascii="Arial" w:eastAsia="Times New Roman" w:hAnsi="Arial" w:cs="Arial"/>
          <w:bCs/>
          <w:sz w:val="18"/>
          <w:szCs w:val="18"/>
          <w:lang w:eastAsia="es-MX"/>
        </w:rPr>
        <w:t>232</w:t>
      </w:r>
      <w:r>
        <w:rPr>
          <w:rFonts w:ascii="Arial" w:eastAsia="Times New Roman" w:hAnsi="Arial" w:cs="Arial"/>
          <w:bCs/>
          <w:sz w:val="18"/>
          <w:szCs w:val="18"/>
          <w:lang w:eastAsia="es-MX"/>
        </w:rPr>
        <w:t>,</w:t>
      </w:r>
      <w:r w:rsidR="008F5C9C">
        <w:rPr>
          <w:rFonts w:ascii="Arial" w:eastAsia="Times New Roman" w:hAnsi="Arial" w:cs="Arial"/>
          <w:bCs/>
          <w:sz w:val="18"/>
          <w:szCs w:val="18"/>
          <w:lang w:eastAsia="es-MX"/>
        </w:rPr>
        <w:t>102</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w:t>
      </w:r>
      <w:r w:rsidR="008F5C9C">
        <w:rPr>
          <w:lang w:val="es-MX"/>
        </w:rPr>
        <w:t>087</w:t>
      </w:r>
      <w:r w:rsidR="00AC2CB6">
        <w:rPr>
          <w:lang w:val="es-MX"/>
        </w:rPr>
        <w:t>,</w:t>
      </w:r>
      <w:r w:rsidR="008F5C9C">
        <w:rPr>
          <w:lang w:val="es-MX"/>
        </w:rPr>
        <w:t>533</w:t>
      </w:r>
      <w:r w:rsidR="00AC2CB6">
        <w:rPr>
          <w:lang w:val="es-MX"/>
        </w:rPr>
        <w:t>,</w:t>
      </w:r>
      <w:r w:rsidR="008F5C9C">
        <w:rPr>
          <w:lang w:val="es-MX"/>
        </w:rPr>
        <w:t>746</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8F5C9C">
        <w:rPr>
          <w:lang w:val="es-MX"/>
        </w:rPr>
        <w:t>1,</w:t>
      </w:r>
      <w:r w:rsidR="00DA4A42">
        <w:rPr>
          <w:lang w:val="es-MX"/>
        </w:rPr>
        <w:t>3</w:t>
      </w:r>
      <w:r w:rsidR="008F5C9C">
        <w:rPr>
          <w:lang w:val="es-MX"/>
        </w:rPr>
        <w:t>27</w:t>
      </w:r>
      <w:r>
        <w:rPr>
          <w:lang w:val="es-MX"/>
        </w:rPr>
        <w:t>,</w:t>
      </w:r>
      <w:r w:rsidR="008F5C9C">
        <w:rPr>
          <w:lang w:val="es-MX"/>
        </w:rPr>
        <w:t>424</w:t>
      </w:r>
      <w:r>
        <w:rPr>
          <w:lang w:val="es-MX"/>
        </w:rPr>
        <w:t>,</w:t>
      </w:r>
      <w:r w:rsidR="008F5C9C">
        <w:rPr>
          <w:lang w:val="es-MX"/>
        </w:rPr>
        <w:t>00</w:t>
      </w:r>
      <w:r w:rsidR="00160E16">
        <w:rPr>
          <w:lang w:val="es-MX"/>
        </w:rPr>
        <w:t>7</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60E16">
        <w:rPr>
          <w:lang w:val="es-MX"/>
        </w:rPr>
        <w:t>dic</w:t>
      </w:r>
      <w:r w:rsidR="00EA0D94">
        <w:rPr>
          <w:lang w:val="es-MX"/>
        </w:rPr>
        <w:t>iembre</w:t>
      </w:r>
      <w:r>
        <w:rPr>
          <w:lang w:val="es-MX"/>
        </w:rPr>
        <w:t xml:space="preserve"> un importe de </w:t>
      </w:r>
      <w:r w:rsidRPr="004466A7">
        <w:rPr>
          <w:lang w:val="es-MX"/>
        </w:rPr>
        <w:t>$</w:t>
      </w:r>
      <w:r>
        <w:rPr>
          <w:lang w:val="es-MX"/>
        </w:rPr>
        <w:t xml:space="preserve"> </w:t>
      </w:r>
      <w:r w:rsidR="008F5C9C">
        <w:rPr>
          <w:lang w:val="es-MX"/>
        </w:rPr>
        <w:t>134</w:t>
      </w:r>
      <w:r>
        <w:rPr>
          <w:lang w:val="es-MX"/>
        </w:rPr>
        <w:t>,</w:t>
      </w:r>
      <w:r w:rsidR="008F5C9C">
        <w:rPr>
          <w:lang w:val="es-MX"/>
        </w:rPr>
        <w:t>822</w:t>
      </w:r>
      <w:r>
        <w:rPr>
          <w:lang w:val="es-MX"/>
        </w:rPr>
        <w:t>,</w:t>
      </w:r>
      <w:r w:rsidR="008F5C9C">
        <w:rPr>
          <w:lang w:val="es-MX"/>
        </w:rPr>
        <w:t>794</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822AA">
        <w:rPr>
          <w:lang w:val="es-MX"/>
        </w:rPr>
        <w:t>1</w:t>
      </w:r>
      <w:r w:rsidRPr="00DA18AC">
        <w:rPr>
          <w:lang w:val="es-MX"/>
        </w:rPr>
        <w:t xml:space="preserve"> de </w:t>
      </w:r>
      <w:r w:rsidR="008F5C9C">
        <w:rPr>
          <w:lang w:val="es-MX"/>
        </w:rPr>
        <w:t>marzo</w:t>
      </w:r>
      <w:r w:rsidRPr="00DA18AC">
        <w:rPr>
          <w:lang w:val="es-MX"/>
        </w:rPr>
        <w:t xml:space="preserve"> de 20</w:t>
      </w:r>
      <w:r w:rsidR="00466C1E">
        <w:rPr>
          <w:lang w:val="es-MX"/>
        </w:rPr>
        <w:t>2</w:t>
      </w:r>
      <w:r w:rsidR="008F5C9C">
        <w:rPr>
          <w:lang w:val="es-MX"/>
        </w:rPr>
        <w:t>2</w:t>
      </w:r>
      <w:r w:rsidRPr="00DA18AC">
        <w:rPr>
          <w:lang w:val="es-MX"/>
        </w:rPr>
        <w:t xml:space="preserve"> de $ </w:t>
      </w:r>
      <w:r w:rsidR="009743B6">
        <w:rPr>
          <w:lang w:val="es-MX"/>
        </w:rPr>
        <w:t>-</w:t>
      </w:r>
      <w:r w:rsidR="00A16DA6">
        <w:rPr>
          <w:lang w:val="es-MX"/>
        </w:rPr>
        <w:t>374,713,055</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802877" w:rsidRDefault="00802877" w:rsidP="00C50527">
      <w:pPr>
        <w:pStyle w:val="INCISO"/>
        <w:tabs>
          <w:tab w:val="left" w:pos="284"/>
        </w:tabs>
        <w:spacing w:after="0" w:line="276" w:lineRule="auto"/>
        <w:ind w:left="284" w:firstLine="0"/>
        <w:rPr>
          <w:b/>
          <w:smallCaps/>
        </w:rPr>
      </w:pPr>
    </w:p>
    <w:p w:rsidR="00802877" w:rsidRDefault="006664CA" w:rsidP="00C50527">
      <w:pPr>
        <w:pStyle w:val="INCISO"/>
        <w:tabs>
          <w:tab w:val="left" w:pos="284"/>
        </w:tabs>
        <w:spacing w:after="0" w:line="276" w:lineRule="auto"/>
        <w:ind w:left="284" w:firstLine="0"/>
        <w:rPr>
          <w:b/>
          <w:smallCaps/>
        </w:rPr>
      </w:pPr>
      <w:r>
        <w:rPr>
          <w:noProof/>
        </w:rPr>
        <w:object w:dxaOrig="1440" w:dyaOrig="1440">
          <v:shape id="_x0000_s1081" type="#_x0000_t75" style="position:absolute;left:0;text-align:left;margin-left:0;margin-top:6.75pt;width:468.4pt;height:648.55pt;z-index:251699200;mso-position-horizontal-relative:text;mso-position-vertical-relative:text;mso-width-relative:page;mso-height-relative:page">
            <v:imagedata r:id="rId22" o:title=""/>
          </v:shape>
          <o:OLEObject Type="Embed" ProgID="Excel.Sheet.12" ShapeID="_x0000_s1081" DrawAspect="Content" ObjectID="_1712395862" r:id="rId23"/>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6664CA" w:rsidP="006942ED">
      <w:pPr>
        <w:rPr>
          <w:lang w:eastAsia="es-ES"/>
        </w:rPr>
      </w:pPr>
      <w:r>
        <w:rPr>
          <w:noProof/>
          <w:szCs w:val="18"/>
          <w:lang w:val="es-ES" w:eastAsia="es-MX"/>
        </w:rPr>
        <w:object w:dxaOrig="1440" w:dyaOrig="1440">
          <v:shape id="_x0000_s1046" type="#_x0000_t75" style="position:absolute;margin-left:18pt;margin-top:22.6pt;width:450pt;height:455.8pt;z-index:251663360">
            <v:imagedata r:id="rId24" o:title=""/>
            <w10:wrap type="topAndBottom"/>
          </v:shape>
          <o:OLEObject Type="Embed" ProgID="Excel.Sheet.12" ShapeID="_x0000_s1046" DrawAspect="Content" ObjectID="_1712395863" r:id="rId25"/>
        </w:object>
      </w:r>
    </w:p>
    <w:p w:rsidR="006942ED" w:rsidRPr="006942ED" w:rsidRDefault="006942ED" w:rsidP="006942ED">
      <w:pPr>
        <w:rPr>
          <w:lang w:eastAsia="es-ES"/>
        </w:rPr>
      </w:pPr>
    </w:p>
    <w:p w:rsidR="002C55F6" w:rsidRDefault="006664CA"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7pt;height:627.05pt;z-index:251664384">
            <v:imagedata r:id="rId26" o:title=""/>
            <w10:wrap type="topAndBottom"/>
          </v:shape>
          <o:OLEObject Type="Embed" ProgID="Excel.Sheet.12" ShapeID="_x0000_s1047" DrawAspect="Content" ObjectID="_1712395864" r:id="rId27"/>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16DA6">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Después del severo impacto social y económico que provocó la pandemia de COVID-19 en el mundo, 2021 fue un año de recuperación. El avance de la campaña de vacunación mundial más importante de la historia permitió que, paulatinamente, mediante actividades y cuidados propios de una “nueva normalidad”, la población aprendiera a vivir con una enfermedad que, de acuerdo con la Organización Mundial de la Salud, podría volverse endémica. Esto contribuyó a una reapertura generalizada de las actividades económicas, permitiendo un restablecimiento acelerado del PIB global, el cual alcanzó su nivel pre-pandemia durante el segundo trimestre de 2021, de acuerdo con la OCDE. No obstante, esta recuperación ha sido desigual entre regiones y países debido, principalmente, al despliegue heterogéneo de las vacunas y al consecuente impacto dispar de los contagios sobre los sistemas de salud mundiales. En este sentido, el Banco Mundial estimó que, mientras la mayoría de las economías avanzadas recuperarían su nivel de ingreso per cápita pre-pandemia en 2022, únicamente la mitad de los países emergentes y de ingresos bajos lograrían lo mismo.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relación con lo anterior, el FMI, en su reporte de Perspectivas Económicas de enero de 2022, mantuvo su proyección de crecimiento del PIB mundial en 5.9% para 2021. No obstante, ante el escenario complejo e incierto previsto para 2022, redujo su estimación de 4.9 a 4.4%. Entre los principales riesgos a la baja para la actividad económica se encuentran la propagación del virus y el surgimiento de nuevas variantes, la persistencia de las disrupciones en las cadenas globales de valor que mantendrían una alta inflación por un periodo más prolongado que lo anticipado, lo que, a su vez, podría acelerar la reducción del estímulo monetario tanto en economías avanzadas como emergentes. </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cuarto trimestre de 2021, la actividad económica mundial aceleró su ritmo de crecimiento, promovida por menores contagios de COVID-19 en octubre y noviembre, con respecto al pico de la variante Delta, así como por el avance de la vacunación, lo que permitió una mayor apertura que dinamizó tanto al sector servicios como a la producción industrial y al comercio internacional. No obstante, a finales de noviembre, la propagación de la variante Ómicron generó un incremento exponencial en los contagios, lo que desaceleró las ventas al menudeo en economías avanzadas como EE.UU. y la zona del euro.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Como resultado, el PMI compuesto global, indicador que registra el comportamiento aproximado del PIB mundial, aumentó 0.4 puntos durante el cuarto trimestre, con lo que cerró el año con un nivel de 54.0 puntos, con cifras ajustadas por estacionalidad. Al interior, el PMI global de servicios creció 0.9 puntos durante todo el trimestre y se ubicó en un nivel de 54.6 puntos para el cierre del año. Cabe resaltar que el crecimiento en el sector fue impulsado </w:t>
      </w:r>
      <w:r w:rsidRPr="00A16DA6">
        <w:rPr>
          <w:rFonts w:ascii="Arial" w:hAnsi="Arial" w:cs="Arial"/>
          <w:sz w:val="18"/>
          <w:szCs w:val="18"/>
        </w:rPr>
        <w:lastRenderedPageBreak/>
        <w:t xml:space="preserve">por los servicios empresariales y financieros, mientras que los servicios al consumidor disminuyeron su crecimiento en diciembre, efecto del repunte de contagios.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Adicionalmente, el PMI global del sector manufacturero aumentó 0.2 puntos durante el trimestre y se ubicó en 54.2 puntos en diciembre. Destaca que, en este sector se registró una reducción en los precios al productor y en los tiempos de entrega, aunque ambos indicadores continuaron por encima de sus niveles previos a la pandemia. En particular, el índice Harpex, que registra el costo de transporte marítimo de contenedores, se redujo 4.5% durante el cuarto trimestre de 2021, con respecto al trimestre previo. Esto, aunado a la disminución de contagios en Asia, estimuló el crecimiento de la producción industrial y el comercio internacional. En específico, entre septiembre y noviembre la actividad industrial mundial creció 2.0%, mientras que el comercio internacional se expandió 3.2%, ambos con cifras desestacionalizadas, de acuerdo con la Oficina de Análisis de Política Económica de los Países Bajos (CPB Netherlands, por sus siglas en inglés).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Respecto al desempeño de las economías avanzadas, para el cierre del cuarto trimestre de 2021, las ventas al menudeo desaceleraron su crecimiento ante la variante Ómicron en EE.UU. y la zona del euro, mientras que en Japón aumentaron su tasa de crecimiento debido a una contención de los contagios. Destaca que, en noviembre, en Japón y la zona del euro, el mismo indicador se ubicó 2.0 y 5.4% por encima de su nivel pre-pandemia, respectivamente; mientras que, en diciembre, en EE.UU. se colocó 19.2% por arriba de su nivel de febrero de 2020, con cifras ajustadas por estacionalidad. En cuanto a la producción industrial en este grupo de economías, su expansión fue impulsada por el mayor dinamismo en las cadenas globales de valor. No obstante, para noviembre, en la zona del euro y Japón, la actividad industrial se ubicó 0.4 y 1.2% por debajo de su nivel de febrero de 2020, respectivamente. En EE.UU. durante diciembre, se colocó 0.6% por encima de su nivel pre-pandemia, con cifras desestacionalizadas.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De esta manera, durante el cuarto trimestre de 2021, el PIB de EE.UU. aceleró su tasa de crecimiento trimestral a 1.7%, con cifras ajustadas por estacionalidad. Con esto, la economía estadounidense creció 5.7% en términos anuales durante 2021, su tasa más alta desde 1984, ubicándola 3.1% por encima de su nivel pre-pandemia. La expansión del último trimestre de 2021 en EE.UU. fue impulsada por la inversión y el consumo privado, que contribuyeron con 1.3 y 0.5 pp al crecimiento trimestral, mientras que el gasto público restó 0.1 pp y las exportaciones netas no aportaron al crecimiento. Por otro lado, al cierre del tercer trimestre de 2021, el PIB de Japón y de la zona del euro se ubicaron 1.9 y 0.3% por debajo de su nivel del cuarto trimestre de 2019,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Cabe señalar que, debido al impacto adverso de la variante Ómicron en el consumo de servicios, en enero de 2022, el FMI redujo su estimación de crecimiento de 2021 para las economías avanzadas de 5.2 a 5.0%. Para 2022, revisó a la baja su proyección de 4.5 a 3.9%, como consecuencia del choque negativo de la nueva variante de COVID-19 sobre la escasez de insumos en las cadenas globales de valor.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Respecto al desempeño de las economías avanzadas, para el cierre del cuarto trimestre de 2021, las ventas al menudeo desaceleraron su crecimiento ante la variante Ómicron en EE.UU. y la zona del euro, mientras que en Japón aumentaron su tasa de crecimiento debido a una contención de los contagios. Destaca que, en noviembre, en Japón y la zona del euro, el mismo indicador se ubicó 2.0 y 5.4% por encima de su nivel pre-pandemia, respectivamente; mientras que, en diciembre, en EE.UU. se colocó 19.2% por arriba de su nivel de febrero de 2020, con cifras ajustadas por estacionalidad. En cuanto a la producción industrial en este grupo de economías, su expansión fue impulsada por el mayor dinamismo en las cadenas globales de valor. No obstante, para noviembre, en la zona del euro y Japón, la actividad industrial se ubicó 0.4 y 1.2% por debajo de su nivel de febrero de 2020, respectivamente. En EE.UU. durante diciembre, se colocó 0.6% por encima de su nivel pre-pandemia,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De esta manera, durante el cuarto trimestre de 2021, el PIB de EE.UU. aceleró su tasa de crecimiento trimestral a 1.7%, con cifras ajustadas por estacionalidad. Con esto, la economía estadounidense creció 5.7% en términos anuales durante 2021, su tasa más alta desde 1984, ubicándola 3.1% por encima de su nivel pre-pandemia. La expansión del último trimestre de 2021 en EE.UU. fue impulsada por la inversión y el consumo privado, que contribuyeron con 1.3 y 0.5 pp al crecimiento trimestral, mientras que el gasto público restó 0.1 pp y las exportaciones netas no aportaron al crecimiento. Por otro lado, al cierre del tercer trimestre de 2021, el PIB de Japón y de la zona del euro se ubicaron 1.9 y 0.3% por debajo de su nivel del cuarto trimestre de 2019,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 xml:space="preserve">Cabe señalar que, debido al impacto adverso de la variante Ómicron en el consumo de servicios, en enero de 2022, el FMI redujo su estimación de crecimiento de 2021 para las economías avanzadas de 5.2 a 5.0%. Para 2022, revisó a la baja su proyección de 4.5 a 3.9%, como consecuencia del choque negativo de la nueva variante de COVID-19 sobre la escasez de insumos en las cadenas globales de valor.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el mercado laboral, al cierre del tercer trimestre de 2021, la zona del euro recuperó el 94.2% de los 5.0 millones de empleos perdidos durante la primera mitad de 2020. Por su parte, al cierre del año, en la economía estadounidense se observó una recuperación del 84.0% de los 22.4 millones de empleos perdidos entre marzo y abril de 2020.</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cuanto al desempeño de las economías emergentes, se observó un mayor ritmo de expansión, principalmente, debido a que el avance de la vacunación impulsó el crecimiento de su demanda interna. Asimismo, los altos precios de las materias primas y la reducción en el costo de transporte de 57.1% durante el último trimestre de 2021, calculado por el índice Baltic Dry, contribuyó al crecimiento de sus exportaciones netas.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este contexto, el crecimiento de las economías emergentes en Latinoamérica y el Caribe se aceleró durante el cuarto trimestre del 2021. De igual manera, en las economías emergentes de Asia se observó una menor escasez de semiconductores, insumos intermedios y una disminución en los cuellos de botella del transporte. En particular, el índice de contenedores de Drewry, que calcula el costo de transporte marítimo de Shanghái a Los Ángeles, disminuyó 16.0% durante el último trimestre de 2021, con respecto al tercer trimestre. Por lo anterior, en enero de 2022, el FMI aumentó marginalmente su expectativa de crecimiento de 2021 para las economías emergentes de 6.4 a 6.5%, mientras que para 2022 la redujo en 0.3 pp, ubicándose en 4.8%.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particular, durante el último trimestre de 2021, la economía de China aceleró su trayectoria de crecimiento a una tasa de 1.6% trimestral, desde un crecimiento de 0.7% durante el trimestre previo, con cifras desestacionalizadas. Al interior, las ventas al menudeo mantuvieron su tasa de expansión, no obstante, la política de tolerancia cero ante casos de COVID-19 continuó como una restricción a su crecimiento. Asimismo, la inversión fija bruta sostuvo su velocidad de crecimiento, y aunque la inversión inmobiliaria disminuyó de manera importante, el mismo indicador fue impulsado por la inversión en manufactura. En línea con lo anterior, la producción industrial aumentó su ritmo de crecimiento.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Con respecto al mercado petrolero mundial, los precios enfrentaron cierto grado de volatilidad. Por el lado de la demanda, el aumento de los precios del gas natural y el carbón incentivó mayores compras de petróleo y petrolíferos por parte de generadores eléctricos en Asia y Europa. Además, distintos países, incluido EE.UU., levantaron las restricciones de viajes internaciones por COVID-19 a inicios de noviembre, lo que incentivó los viajes aéreos y la demanda de combustibles. Sin embargo, durante este mes, el incremento de contagios en Europa ejerció presiones a la baja sobre los precios del petróleo, y el 26 de noviembre estos cayeron casi 10 dólares por barril (dpb) en un día, después de que la OMS clasificó a la variante Ómicron como variante de preocupación. Durante diciembre, la persistente caída de los inventarios de crudo en EE.UU. y las expectativas de que los efectos de Ómicron sobre la demanda de combustibles podrían ser menores a lo que se temía, contribuyeron a que los precios se recuperaran parcialmente, a niveles cercanos a los observados al inicio del cuarto trimestre.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Por el lado de la oferta, los precios del crudo experimentaron presiones a la baja durante noviembre debido al anuncio de que EE.UU. y otros países liberarían reservas estratégicas. No obstante, la decisión de la Organización de Países Exportadores de Petróleo y sus aliados (OPEP+), de mantener su política de incrementos mensuales de 400 mil barriles diarios contribuyó a que los precios permanecieran relativamente altos. Lo anterior se debió a que, durante la primera parte del trimestre, los incrementos de producción de la OPEP+ no se consideraron suficientes para cubrir la creciente demanda de crudo. Posterior a la aparición de Ómicron, el apego a su política de producción envió señales de confianza respecto al comportamiento de la demanda de petróleo para los próximos meses.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30 de diciembre de 2021, los precios del WTI y Brent fueron de 77.0 y 78.6 dpb, con variaciones de 2.6 y -0.2%, respectivamente, con relación al 30 de septiembre. Por su parte, el precio de la mezcla mexicana fue de 71.3 dpb, lo que representó una variación de 0.1% con respecto al registrado al cierre del tercer trimestre.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cuarto trimestre del año, la atención de los mercados financieros continuó enfocada en el desarrollo de la inflación a nivel mundial, así como en el cambio de postura monetaria por parte de la Reserva Federal de EE.UU. La inflación fue presionada al alza principalmente por los precios de los energéticos durante el trimestre, después </w:t>
      </w:r>
      <w:r w:rsidRPr="00A16DA6">
        <w:rPr>
          <w:rFonts w:ascii="Arial" w:hAnsi="Arial" w:cs="Arial"/>
          <w:sz w:val="18"/>
          <w:szCs w:val="18"/>
        </w:rPr>
        <w:lastRenderedPageBreak/>
        <w:t xml:space="preserve">de que el WTI tocara su máximo precio en siete años durante noviembre de 2021. Adicionalmente, el aumento de la demanda de bienes duraderos durante las fechas decembrinas ejerció presiones al alza en los precios dada la prevalencia de cuellos de botella en la producción mundial. Cabe mencionar que, si bien el componente de precios de insumos del PMI manufacturero mundial comenzó a disminuir durante el trimestre, el mismo se ubicó en un nivel de 69.7 puntos en diciembre de 2021, 8.7 puntos más alto que durante el mismo mes de 2020, con cifras ajustadas por estacionalidad.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este contexto, el deflactor del gasto en consumo personal (PCE) que es el indicador de referencia de inflación de la Reserva Federal, creció a una tasa anual de 5.7% en noviembre de 2021, su expansión más alta desde marzo de 1982. En la zona del euro, la inflación registró un crecimiento anual de 5.0% en diciembre de 2021, el mayor desde 1997, año en que se comenzó a registrar la inflación anual de la región.</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Ante este escenario, la Reserva Federal anunció el 3 de noviembre una disminución en su compra de activos. De esta manera, la compra de bonos del Tesoro y de activos respaldados por hipotecas por parte de la Reserva Federal, que ascendió a 120 mil millones de dólares en octubre de 2021, se redujo mensualmente en 15 mil millones de dólares entre noviembre y diciembre. Posteriormente, el 15 de diciembre, ante la aceleración de la inflación, duplicó el ritmo de reducción estipulado previamente, por lo que la Reserva Federal anunció una disminución mensual en la compra de sus activos en 30 mil millones de dólares a partir de enero de 2022. Su compra de activos terminará en marzo de 2022. Adicionalmente, en sus proyecciones de diciembre de 2021, la mediana de los participantes de la junta de gobierno anticipó al menos tres aumentos de 25 puntos base en su tasa de referencia durante 2022, cuando en septiembre no se esperaban alzas.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Asimismo, las tasas de inflación en economías emergentes aumentaron a niveles no vistos desde 2003 y, en la mayoría de los casos, se ubicaron por arriba de la meta de sus bancos centrales. Particularmente, en Brasil y Rusia, durante diciembre, se registró una inflación con variaciones anuales de 10.1 y 8.4%, respectivamente. En este contexto, durante el cuarto trimestre de 2021 continuó la ola de aumentos en las tasas de interés de referencia en las economías emergentes. Destaca que 4 de las 9 economías emergentes en el G-20, aumentaron sus tasas de interés entre 25 y 300 puntos base.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preeminente incertidumbre respecto a las nuevas variantes del virus, aunado a las altas tasas de inflación en todo el mundo y la normalización monetaria en EE.UU., más rápida que la anticipada en trimestres anteriores, tuvo consecuencias divergentes. Mientras que, en las economías avanzadas, el índice MSCI, que registra el nivel de capitalización de mercado financiero, aumentó 7.5% en el último trimestre del año, en las economías emergentes disminuyó 1.7% como consecuencia de una mayor percepción de riesgo, lo cual redujo el flujo de capitales hacia las mismas. En específico, el indicador de riesgo de las economías emergentes, el EMBI, aumentó 5.9 puntos base; y el índice de Bloomberg que mide el flujo aproximado de capital neto hacía las mismas economías se redujo 2.3% durante el cuarto trimestre del año.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se está recuperando de una pandemia que tuvo profundos impactos económicos y sociales. Los trabajadores informales, las mujeres y los jóvenes se vieron particularmente afectados, lo que exacerbó los desafíos sociales de larga data. El sólido marco de política macroeconómica de México, respaldado por una gestión innovadora de la deuda, una política monetaria sólida y un tipo de cambio flexible, salvaguardaron la estabilidad macroeconómica y un cómodo acceso a los mercados de capitales internacionales. La recuperación está en marcha, gracias a los sólidos sectores manufacturero y agrícola y la aceleración de los servicios, respaldados por la renovación de la vacunación. Pero las perspectivas de crecimiento a mediano plazo se han debilitado y el crecimiento en las últimas dos décadas ha sido bajo. Las tasas de pobreza y las desigualdades regionales siguen siendo altas. El crecimiento aumentó durante la década de 1990, gracias a la integración comercial en la economía mundial, pero se ha estancado desde la década de 2000. La informalidad, la exclusión financiera o la corrupción han obstaculizado el crecimiento de la productividad. Las bajas tasas de participación femenina y la débil inversión desde 2015 también han afectado las perspectivas de crecimiento a mediano plazo.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acuerdo comercial actualizado de América del Norte puede dar un nuevo impulso al crecimiento, ya que brinda certeza a largo plazo para el comercio, la inversión extranjera y la resolución de conflictos en la región. Sin embargo, se necesitan esfuerzos de reforma adicionales para impulsar el crecimiento y aprovechar todo el potencial de crecimiento de México. Estos esfuerzos tendrían beneficios sustanciales, según simulaciones basadas en el marco de cuantificación de la OCDE. Un paquete ambicioso que reduciría las barreras a la inversión y el comercio, particularmente en servicios, mejoraría el acceso a la financiación, impulsaría la participación laboral femenina y mejoraría el control de la corrupción aumentaría el PIB per cápita en un 25% adicional durante 10 años.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En este contexto, los principales mensajes de la Encuesta son:</w:t>
      </w:r>
    </w:p>
    <w:p w:rsidR="00A16DA6"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Mantener y fortalecer el sólido marco de política macroeconómica de México es clave para la estabilidad. La capacidad de la política fiscal para suavizar los ciclos económicos y apoyar el crecimiento durante las recesiones puede mejorarse, creando más espacio para la inversión pública.</w:t>
      </w:r>
    </w:p>
    <w:p w:rsidR="00646603" w:rsidRPr="00646603" w:rsidRDefault="00646603" w:rsidP="00646603">
      <w:pPr>
        <w:pStyle w:val="Prrafodelista"/>
        <w:tabs>
          <w:tab w:val="left" w:pos="284"/>
        </w:tabs>
        <w:ind w:left="1004"/>
        <w:jc w:val="both"/>
        <w:rPr>
          <w:rFonts w:ascii="Arial" w:hAnsi="Arial" w:cs="Arial"/>
          <w:sz w:val="18"/>
          <w:szCs w:val="18"/>
        </w:rPr>
      </w:pPr>
    </w:p>
    <w:p w:rsidR="00A16DA6"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Reactivar la inversión privada y revertir el bajo crecimiento de la productividad son prioridades fundamentales. Esto requerirá reformas integrales para mejorar las regulaciones comerciales, impulsar la competencia, reducir la informalidad, continuar luchando contra la corrupción y la transición hacia la neutralidad de carbono.</w:t>
      </w:r>
    </w:p>
    <w:p w:rsidR="00646603" w:rsidRPr="00646603" w:rsidRDefault="00646603" w:rsidP="00646603">
      <w:pPr>
        <w:pStyle w:val="Prrafodelista"/>
        <w:tabs>
          <w:tab w:val="left" w:pos="284"/>
        </w:tabs>
        <w:ind w:left="1004"/>
        <w:jc w:val="both"/>
        <w:rPr>
          <w:rFonts w:ascii="Arial" w:hAnsi="Arial" w:cs="Arial"/>
          <w:sz w:val="18"/>
          <w:szCs w:val="18"/>
        </w:rPr>
      </w:pPr>
    </w:p>
    <w:p w:rsidR="00A16DA6" w:rsidRPr="00646603"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Ampliar el acceso a la financiación y fortalecer la digitalización brindaría más igualdad de oportunidades y ayudaría a impulsar el crecimiento.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economía se está recuperando de la recesión relacionada con la pandemia. La demanda externa fue el principal motor al inicio de la recuperación, con exportaciones manufactureras por encima de sus niveles previos a la pandemia desde febrero de 2020, beneficiándose del fuerte repunte en Estados Unidos. El consumo también se ha convertido en un motor clave del crecimiento, respaldado por una mayor movilidad, la implementación de vacunas y remesas sólidas. Está un 2% por debajo de su nivel previo a la pandemia. La inversión se está recuperando a un ritmo más lento y se mantiene un 8% por debajo de su nivel anterior a la pandemia. El ritmo de la recuperación es heterogéneo entre sectores. Si bien la manufactura y la agricultura se han recuperado rápidamente y algunos servicios, como el comercio minorista, el comercio mayorista, la educación, la salud y los servicios financieros, están progresando, la recuperación en el ocio y la hospitalidad va a la zaga. El turismo, una fuente importante de empleos e ingresos para varios estados, está un 28% por debajo de los niveles previos a la pandemia.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casos de COVID-19 han comenzado recientemente a disminuir y la vacunación está progresando. La respuesta de las autoridades a la pandemia incluyó medidas de confinamiento y distanciamiento social, implementadas en marzo de 2020, luego de que se informara el primer caso confirmado a fines de febrero de 2020. La última ola infecciosa alcanzó su punto máximo en enero de 2022. Gracias al progreso en la vacunación hubo menos víctimas que en oleadas anteriores. Al 30 de enero, el 64% de la población ha recibido al menos una dosis. Esto representa alrededor del 85% de la población mayor de 18 años. El 60% de la población está totalmente vacunada. El despliegue de la vacunación está mostrando una heterogeneidad significativa entre las regiones. Acelerar al máximo la vacunación sigue siendo una prioridad fundamental y ayudaría a proteger frente a posibles brotes de nuevos virus.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mercado laboral está mejorando gradualmente, pero persisten los desafíos y la pandemia ha provocado pérdidas significativas de ingresos, aumentando la pobreza. La tasa de desempleo estándar, del 3</w:t>
      </w:r>
      <w:r w:rsidR="00646603">
        <w:rPr>
          <w:rFonts w:ascii="Arial" w:hAnsi="Arial" w:cs="Arial"/>
          <w:sz w:val="18"/>
          <w:szCs w:val="18"/>
        </w:rPr>
        <w:t>.</w:t>
      </w:r>
      <w:r w:rsidRPr="00A16DA6">
        <w:rPr>
          <w:rFonts w:ascii="Arial" w:hAnsi="Arial" w:cs="Arial"/>
          <w:sz w:val="18"/>
          <w:szCs w:val="18"/>
        </w:rPr>
        <w:t>9 %, sigue estando 0</w:t>
      </w:r>
      <w:r w:rsidR="00646603">
        <w:rPr>
          <w:rFonts w:ascii="Arial" w:hAnsi="Arial" w:cs="Arial"/>
          <w:sz w:val="18"/>
          <w:szCs w:val="18"/>
        </w:rPr>
        <w:t>.</w:t>
      </w:r>
      <w:r w:rsidRPr="00A16DA6">
        <w:rPr>
          <w:rFonts w:ascii="Arial" w:hAnsi="Arial" w:cs="Arial"/>
          <w:sz w:val="18"/>
          <w:szCs w:val="18"/>
        </w:rPr>
        <w:t>6 puntos porcentuales por encima del nivel de finales de 2019. Sin embargo, la tasa salta al 15 % si se considera también la población que permanece fuera de la fuerza laboral y aceptaría un trabajo, y al 24 % al sumar los que quisieran trabajar más horas. La participación en el mercado laboral se está recuperando gradualmente, pero se mantiene por debajo de los niveles previos a la pandemia. La recuperación de la participación está siendo más lenta para las mujeres, que se vieron especialmente afectadas por la pandemia.</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Se prevé que la economía crezca un 2</w:t>
      </w:r>
      <w:r w:rsidR="00646603">
        <w:rPr>
          <w:rFonts w:ascii="Arial" w:hAnsi="Arial" w:cs="Arial"/>
          <w:sz w:val="18"/>
          <w:szCs w:val="18"/>
        </w:rPr>
        <w:t>.</w:t>
      </w:r>
      <w:r w:rsidRPr="00A16DA6">
        <w:rPr>
          <w:rFonts w:ascii="Arial" w:hAnsi="Arial" w:cs="Arial"/>
          <w:sz w:val="18"/>
          <w:szCs w:val="18"/>
        </w:rPr>
        <w:t>3% en 2022. Las exportaciones seguirán beneficiándose del fuerte crecimiento de los Estados Unidos, y el consumo crecerá gracias a una proporción cada vez mayor de la población vacunada y la mejora gradual del mercado laboral. La inversión será respaldada por proyectos de infraestructura planificados. Según estas proyecciones, el PIB alcanzaría su nivel anterior a la pandemia en el tercer trimestre de 2022. La inflación tenderá a la baja, luego del aumento significativo en 2021, que fue desencadenado por mayores precios de la energía, cuellos de botella en el suministro de algunos insumos, como los semiconductores y presiones sobre algunos artículos de mercadería.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 incertidumbre sobre estas proyecciones sigue siendo muy alta. Si las infecciones vuelven a aumentar significativamente, puede ser necesario un refuerzo de las medidas de contención, lo que dificulta la actividad económica. La inflación puede ser más alta por más tiempo de lo anticipado, erosionando el poder adquisitivo, particularmente de los hogares vulnerables, y requiriendo un mayor endurecimiento de la política monetaria de lo </w:t>
      </w:r>
      <w:r w:rsidRPr="00A16DA6">
        <w:rPr>
          <w:rFonts w:ascii="Arial" w:hAnsi="Arial" w:cs="Arial"/>
          <w:sz w:val="18"/>
          <w:szCs w:val="18"/>
        </w:rPr>
        <w:lastRenderedPageBreak/>
        <w:t>proyectado, lo que debilitaría la recuperación. Los episodios de volatilidad financiera pueden desencadenar una mayor aversión al riesgo, reducir las entradas financieras netas y aumentar los costos de financiamiento de México. Una escalada del crimen y la violencia podría deprimir la inversión y comprometer la recuperación del turismo. Las discusiones en curso sobre la reforma con algunos posibles retrocesos en el sector energético crean incertidumbre, lo que podría debilitar aún más la recuperación. Por el lado positivo, si la recuperación de los socios comerciales es más fuerte de lo previsto, las exportaciones y la creación de empleo podrían ser más sólidas. La integración de la cadena de suministro podría profundizarse aún más gracias al acuerdo comercial actualizado con los Estados Unidos y Canadá y el relanzamiento del diálogo económico de alto nivel con los Estados Unidos. La economía también puede enfrentar shocks impredecibles, cuyos efectos son difíciles de incluir en las proyecciones. Si esos choques se materializaran, se justificarían acciones de política adicionales.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sistema financiero se ha mostrado estable y resiliente hasta el momento, manteniendo niveles considerables de capital y liquidez por encima de los mínimos regulatorios y sólidos índices de rentabilidad. Los préstamos en mora siguen contenidos hasta ahora, pero el plan de indulgencia implementado durante 2020 ha terminado y los préstamos en mora aún pueden aumentar, especialmente si las condiciones económicas se deterioran. Incluso si todos los préstamos dentro del esquema de indulgencia se vuelven morosos, esto no desencadenaría estrés sistémico. Sin embargo, los bancos pequeños y medianos, con una mayor exposición a las pymes y los préstamos al consumo, pueden verse sustancialmente afectados, incluso si han creado reservas adicionales. Las últimas pruebas de estrés realizadas por el Banco Central sugieren que el sistema bancario tiene suficientes reservas de capital y liquidez para capear eventos económicos extremo. El endeudamiento de los hogares y las empresas sigue siendo bajo desde una perspectiva internacional. Los costos del servicio de la deuda de los hogares y las empresas se mantienen contenidos. La deuda de los hogares es en gran parte en forma de hipotecas, que se concentran en la parte superior de la distribución del ingreso, que se ha visto menos afectada por el impacto del mercado laboral de la pandemia El sector empresarial permanece protegido de forma natural contra los riesgos cambiarios, ya que los pasivos están bien cubiertos por los ingresos que generan las empresas en las monedas extranjeras en las que están endeudadas.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está evaluando activamente el impacto financiero potencial del cambio climático y otras vulnerabilidades ambientales. Esto incluye riesgos de transición, como los asociados con las políticas para reducir las emisiones globales, que podrían desencadenar cambios bruscos en los precios de los activos e impactar particularmente a las empresas sin estrategias para reducir las emisiones, así como a los prestamistas de estas empresas, lo que implica riesgos financieros. También se incluyen los riesgos físicos, como los relacionados con huracanes, sequías, olas de calor o inundaciones. Una mayor intensidad o frecuencia de estos eventos, que son relativamente frecuentes en México, pueden generar riesgos para la estabilidad financiera, incluso para las compañías de seguros, reduciendo así la liquidez y disminuyendo el valor de los activos. El Ministerio de Finanzas está desarrollando una taxonomía para brindar a los actores financieros y empresas definiciones transparentes y consistentes de las actividades que califican como sostenibles. También está mejorando el marco regulatorio, al incorporar consideraciones de política de inversión ambiental y social para inversionistas institucionales, como fondos de pensiones, compañías de seguros y bancos de desarrollo. Esto tiene como objetivo facilitar que una mayor proporción de inversionistas incorporen consideraciones ambientales, sociales y de gobernanza en su proceso de inversión. De cara al futuro, con base en la taxonomía que está en progreso, la divulgación gradual obligatoria de los riesgos relacionados con el clima por parte de las instituciones financieras y las empresas que cotizan en bolsa facilitaría una gestión más transparente de estos riesgos y brindaría incentivos para asignar recursos a actividades más limpias. La evidencia de Francia, que hizo obligatoria la divulgación de riesgos climáticos para los administradores de activos, aseguradoras y fondos de pensiones en 2016, muestra que las empresas que tenían que divulgar los riesgos climáticos tenían un 40 % menos de bonos, acciones y otros valores en empresas de combustibles fósiles por valor que aquellas que no tenía que revelar los riesgos. El Banco Central también está tomando medidas para integrar los riesgos relacionados con el clima en su marco de gestión de riesgos. Esto podría ser seguido por la ejecución de pruebas de estrés del cambio climático, que han comenzado a realizarse en varias economías de la OCDE, como Francia, los Países Bajos o el Reino Unido.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Por el lado externo, la cuenta corriente pasó a un superávit de 2</w:t>
      </w:r>
      <w:r w:rsidR="00646603">
        <w:rPr>
          <w:rFonts w:ascii="Arial" w:hAnsi="Arial" w:cs="Arial"/>
          <w:sz w:val="18"/>
          <w:szCs w:val="18"/>
        </w:rPr>
        <w:t>.</w:t>
      </w:r>
      <w:r w:rsidRPr="00A16DA6">
        <w:rPr>
          <w:rFonts w:ascii="Arial" w:hAnsi="Arial" w:cs="Arial"/>
          <w:sz w:val="18"/>
          <w:szCs w:val="18"/>
        </w:rPr>
        <w:t>4% del PIB en 2020, ya que la recuperación de la demanda externa tras el shock del COVID-19 superó la recuperación de la demanda interna. La cuenta corriente también se vio respaldada por fuertes remesas del exterior. La inversión extranjera directa neta ascendió al 2</w:t>
      </w:r>
      <w:r w:rsidR="00646603">
        <w:rPr>
          <w:rFonts w:ascii="Arial" w:hAnsi="Arial" w:cs="Arial"/>
          <w:sz w:val="18"/>
          <w:szCs w:val="18"/>
        </w:rPr>
        <w:t>.</w:t>
      </w:r>
      <w:r w:rsidRPr="00A16DA6">
        <w:rPr>
          <w:rFonts w:ascii="Arial" w:hAnsi="Arial" w:cs="Arial"/>
          <w:sz w:val="18"/>
          <w:szCs w:val="18"/>
        </w:rPr>
        <w:t xml:space="preserve">3% del PIB en 2020. La deuda externa se mantiene contenida. El tipo de cambio flexible está ayudando a la economía a absorber los choques externos, con respaldo adicional proporcionado por amplias reservas internacionales que cubren el 40% de la deuda externa, acceso a las líneas de canje de la Reserva Federal y del Tesoro de EE. UU., </w:t>
      </w:r>
      <w:r w:rsidRPr="00A16DA6">
        <w:rPr>
          <w:rFonts w:ascii="Arial" w:hAnsi="Arial" w:cs="Arial"/>
          <w:sz w:val="18"/>
          <w:szCs w:val="18"/>
        </w:rPr>
        <w:lastRenderedPageBreak/>
        <w:t>así como la línea de crédito flexible del FMI. Las medidas de riesgo de México han tenido una tendencia a la baja, luego de alcanzar su punto máximo en abril de 2020.</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Gracias a un marco macroeconómico sólido, México actuó oportunamente para mitigar el impacto económico y financiero de la pandemia. La política monetaria se suavizó gradualmente y las medidas audaces e innovadoras salvaguardaron la estabilidad financiera y facilitaron la provisión de crédito. No obstante, la respuesta fiscal inicial fue una de las más bajas entre los mercados emergentes. El gasto público aumentó en torno al 0</w:t>
      </w:r>
      <w:r w:rsidR="00646603">
        <w:rPr>
          <w:rFonts w:ascii="Arial" w:hAnsi="Arial" w:cs="Arial"/>
          <w:sz w:val="18"/>
          <w:szCs w:val="18"/>
        </w:rPr>
        <w:t>.</w:t>
      </w:r>
      <w:r w:rsidRPr="00A16DA6">
        <w:rPr>
          <w:rFonts w:ascii="Arial" w:hAnsi="Arial" w:cs="Arial"/>
          <w:sz w:val="18"/>
          <w:szCs w:val="18"/>
        </w:rPr>
        <w:t>7% del PIB, frente al 4</w:t>
      </w:r>
      <w:r w:rsidR="00646603">
        <w:rPr>
          <w:rFonts w:ascii="Arial" w:hAnsi="Arial" w:cs="Arial"/>
          <w:sz w:val="18"/>
          <w:szCs w:val="18"/>
        </w:rPr>
        <w:t>.</w:t>
      </w:r>
      <w:r w:rsidRPr="00A16DA6">
        <w:rPr>
          <w:rFonts w:ascii="Arial" w:hAnsi="Arial" w:cs="Arial"/>
          <w:sz w:val="18"/>
          <w:szCs w:val="18"/>
        </w:rPr>
        <w:t>4% del PIB de las economías emergentes. En cambio, el gobierno optó por reasignar el gasto del gasto operativo hacia el social y la salud, aumentando el gasto programable del sector público en protección social y salud en 0</w:t>
      </w:r>
      <w:r w:rsidR="00646603">
        <w:rPr>
          <w:rFonts w:ascii="Arial" w:hAnsi="Arial" w:cs="Arial"/>
          <w:sz w:val="18"/>
          <w:szCs w:val="18"/>
        </w:rPr>
        <w:t>.</w:t>
      </w:r>
      <w:r w:rsidRPr="00A16DA6">
        <w:rPr>
          <w:rFonts w:ascii="Arial" w:hAnsi="Arial" w:cs="Arial"/>
          <w:sz w:val="18"/>
          <w:szCs w:val="18"/>
        </w:rPr>
        <w:t>7 y 0</w:t>
      </w:r>
      <w:r w:rsidR="00646603">
        <w:rPr>
          <w:rFonts w:ascii="Arial" w:hAnsi="Arial" w:cs="Arial"/>
          <w:sz w:val="18"/>
          <w:szCs w:val="18"/>
        </w:rPr>
        <w:t>.</w:t>
      </w:r>
      <w:r w:rsidRPr="00A16DA6">
        <w:rPr>
          <w:rFonts w:ascii="Arial" w:hAnsi="Arial" w:cs="Arial"/>
          <w:sz w:val="18"/>
          <w:szCs w:val="18"/>
        </w:rPr>
        <w:t>4 puntos porcentuales respectivamente en 2020, en relación con 2019. México también optó por ampliar el acceso a los programas sociales existentes. De cara al futuro, seguir impulsando el gasto social, incluso en educación y salud, y la inversión pública es fundamental para apoyar la recuperación en curso y hacer que llegue a más personas. Fortalecer el marco de la política fiscal también es una prioridad a mediano plazo para mejorar la capacidad de la política fiscal para suavizar los ciclos económicos y brindar apoyo durante las recesiones.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fueron muy resistentes durante la pandemia y el déficit fiscal se amplió solo marginalmente en 2020. Según las elasticidades fiscales históricas, los ingresos tributarios deberían haber disminuido significativamente, dada la caída de la actividad, pero en cambio aumentaron marginalmente. Esto se vio facilitado por los cambios en el código tributario y por el fortalecimiento del enjuiciamiento de las obligaciones tributarias pendientes, lo que resultó en importantes acuerdos tributarios con varias grandes empresas. Los ingresos también fueron respaldados por los fondos de estabilización y por una hábil cobertura petrolera, que protegió las cuentas fiscales de la caída de los precios del petróleo en 2020. Como resultado, el déficit fiscal se amplió solo levemente y la medida oficial de deuda pública aumentó de 44% a fines de 2019 a 55% del PIB a fines de 2020, debido al déficit presupuestario, la depreciación del peso y la caída del PIB. Se espera que el déficit aumente durante 2021 y el presupuesto para 2022 prevé que permanecerá prácticamente sin cambios en 2022 y disminuirá gradualmente a partir de entonces. Como tal, la postura fiscal a corto plazo, aunque sigue siendo cautelosa, es menos restrictiva de lo previsto en el presupuesto de 2021. Este es un cambio bienvenido, ya que respaldará levemente la recuperación en curso. Si la recuperación falla o la pandemia resurge, está justificado aumentar aún más el gasto social y sanitario y retrasar la reducción del déficit.</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ha sido fiscalmente prudente a lo largo de los años, cumpliendo ampliamente sus objetivos fiscales y asegurando la sostenibilidad fiscal a pesar de tener la relación impuestos/PIB más baja de la OCDE, lo cual es encomiable. Pero esto se ha logrado en gran medida recortando el gasto, en particular la inversión pública, lo que perjudicó las perspectivas de crecimiento. El gasto público general es bajo desde una perspectiva internacional, lo que sugiere que existe un espacio limitado para más recortes. El presupuesto del gobierno para 2022 prevé un aumento del gasto en protección social al 5</w:t>
      </w:r>
      <w:r w:rsidR="00646603">
        <w:rPr>
          <w:rFonts w:ascii="Arial" w:hAnsi="Arial" w:cs="Arial"/>
          <w:sz w:val="18"/>
          <w:szCs w:val="18"/>
        </w:rPr>
        <w:t>.</w:t>
      </w:r>
      <w:r w:rsidRPr="00A16DA6">
        <w:rPr>
          <w:rFonts w:ascii="Arial" w:hAnsi="Arial" w:cs="Arial"/>
          <w:sz w:val="18"/>
          <w:szCs w:val="18"/>
        </w:rPr>
        <w:t>1 % del PIB en 2022 (del 3</w:t>
      </w:r>
      <w:r w:rsidR="00646603">
        <w:rPr>
          <w:rFonts w:ascii="Arial" w:hAnsi="Arial" w:cs="Arial"/>
          <w:sz w:val="18"/>
          <w:szCs w:val="18"/>
        </w:rPr>
        <w:t>.</w:t>
      </w:r>
      <w:r w:rsidRPr="00A16DA6">
        <w:rPr>
          <w:rFonts w:ascii="Arial" w:hAnsi="Arial" w:cs="Arial"/>
          <w:sz w:val="18"/>
          <w:szCs w:val="18"/>
        </w:rPr>
        <w:t>8 % en 2018). El gasto de capital también ha aumentado hasta el 3</w:t>
      </w:r>
      <w:r w:rsidR="00646603">
        <w:rPr>
          <w:rFonts w:ascii="Arial" w:hAnsi="Arial" w:cs="Arial"/>
          <w:sz w:val="18"/>
          <w:szCs w:val="18"/>
        </w:rPr>
        <w:t>.</w:t>
      </w:r>
      <w:r w:rsidRPr="00A16DA6">
        <w:rPr>
          <w:rFonts w:ascii="Arial" w:hAnsi="Arial" w:cs="Arial"/>
          <w:sz w:val="18"/>
          <w:szCs w:val="18"/>
        </w:rPr>
        <w:t>1 % del PIB (desde el 2</w:t>
      </w:r>
      <w:r w:rsidR="00646603">
        <w:rPr>
          <w:rFonts w:ascii="Arial" w:hAnsi="Arial" w:cs="Arial"/>
          <w:sz w:val="18"/>
          <w:szCs w:val="18"/>
        </w:rPr>
        <w:t>.</w:t>
      </w:r>
      <w:r w:rsidRPr="00A16DA6">
        <w:rPr>
          <w:rFonts w:ascii="Arial" w:hAnsi="Arial" w:cs="Arial"/>
          <w:sz w:val="18"/>
          <w:szCs w:val="18"/>
        </w:rPr>
        <w:t>7 % en 2019), el nivel más alto desde 2016, aunque se prevé una caída gradual a lo largo de 2023 y 2024. Al mismo tiempo, la pandemia ha creado necesidades adicionales, como la pobreza se ha ampliado y los sistemas de salud y educación están sobrecargados. Las brechas en la infraestructura también siguen siendo significativas. Por ejemplo, el aumento de la inversión pública necesaria para cerrar la brecha de infraestructura en México se estimó en 1</w:t>
      </w:r>
      <w:r w:rsidR="00646603">
        <w:rPr>
          <w:rFonts w:ascii="Arial" w:hAnsi="Arial" w:cs="Arial"/>
          <w:sz w:val="18"/>
          <w:szCs w:val="18"/>
        </w:rPr>
        <w:t>.</w:t>
      </w:r>
      <w:r w:rsidRPr="00A16DA6">
        <w:rPr>
          <w:rFonts w:ascii="Arial" w:hAnsi="Arial" w:cs="Arial"/>
          <w:sz w:val="18"/>
          <w:szCs w:val="18"/>
        </w:rPr>
        <w:t>3 puntos porcentuales del PIB al año. La realización de un análisis costo-beneficio riguroso y transparente garantizaría una buena selección de proyectos y ayudaría a cerrar esa brecha de manera rentable.</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Responder a estas crecientes necesidades de gasto en áreas esenciales, preservando al mismo tiempo la sostenibilidad de la deuda, es la prioridad fundamental. El déficit presupuestario es relativamente bajo en comparación internacional y el acceso a los mercados sigue siendo cómodo. Si se cumplieran los objetivos fiscales de mediano plazo del gobierno, la relación deuda pública/PIB se estabilizaría a partir de 2023. Pero la dinámica de la deuda podría empeorar en un escenario de aumentos significativos en las tasas de interés globales y depreciación del tipo de cambio. Combinar los aumentos del gasto en áreas esenciales con un aumento gradual de los ingresos fiscales, como se describe a continuación, ayudaría a responder a las necesidades de gasto al tiempo que mantiene y refuerza el compromiso de México con la sostenibilidad de la deuda. El fortalecimiento de los ingresos fiscales también aumentará la capacidad de México para ejecutar políticas fiscales anticíclicas en el futuro. La capacidad de la política fiscal de México para suavizar los ciclos y respaldar el crecimiento durante las recesiones se ve obstaculizada por una base impositiva más baja que en países pares, junto con una prima de </w:t>
      </w:r>
      <w:r w:rsidRPr="00A16DA6">
        <w:rPr>
          <w:rFonts w:ascii="Arial" w:hAnsi="Arial" w:cs="Arial"/>
          <w:sz w:val="18"/>
          <w:szCs w:val="18"/>
        </w:rPr>
        <w:lastRenderedPageBreak/>
        <w:t>riesgo país y un tipo de cambio, lo que aumenta el costo del servicio de la deuda y débiles estabilizadores automáticos. en el lado del gasto (por ejemplo, no existe un sistema de beneficios de desempleo a nivel federal).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Las medidas tributarias adicionales podrían diseñarse, anunciarse y legislarse en 2022 y comenzar a implementarse en 2023. Podrían priorizarse las medidas que afecten a las personas de los deciles de ingresos más altos, que tienen la menor propensión a consumir. Los esfuerzos de reforma integral propuestos en esta encuesta en el Cuadro 1.1 también tendrían un impacto positivo significativo en la dinámica de la deuda pública.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Dado que México se encuentra apenas al comienzo de su proceso de envejecimiento de la población, los costos fiscales del envejecimiento de la población, que se incluyen en las proyecciones de referencia, no tendrán mucho peso durante la próxima década, pero comenzarán a notarse gradualmente a partir de entonces. La reforma del sistema de pensiones contributivas (más abajo) implica algunos ahorros para el presupuesto durante las próximas dos décadas. Por el contrario, los recientes aumentos en las pensiones no contributivas aumentarán el gasto. Se ha estimado que los gastos de salud pública aumentarán en un 1</w:t>
      </w:r>
      <w:r w:rsidR="00646603">
        <w:rPr>
          <w:rFonts w:ascii="Arial" w:hAnsi="Arial" w:cs="Arial"/>
          <w:sz w:val="18"/>
          <w:szCs w:val="18"/>
        </w:rPr>
        <w:t>.</w:t>
      </w:r>
      <w:r w:rsidRPr="00A16DA6">
        <w:rPr>
          <w:rFonts w:ascii="Arial" w:hAnsi="Arial" w:cs="Arial"/>
          <w:sz w:val="18"/>
          <w:szCs w:val="18"/>
        </w:rPr>
        <w:t>5 % del PIB para 2065, aunque esto no tiene en cuenta las implicaciones de la pandemia en curso ni los aumentos esperados en la atención a largo plazo.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Con el tiempo, los ingresos se han vuelto menos dependientes del petróleo, aumentando la resistencia de las finanzas públicas mexicanas a cambios repentinos y cíclicos en los precios del petróleo. Esta tendencia continuará dada la reciente reducción de impuestos a PEMEX. Los ingresos no petroleros han aumentado recientemente, a pesar de que México continúa recaudando menos ingresos, como porcentaje del PIB, de todos los impuestos (es decir, impuestos sobre la renta personal, IVA e impuestos sobre la propiedad) que la OCDE y sus pares regionales, con la excepción de los impuestos corporativos. Como resultado, la recaudación de ingresos no petroleros, en % del PIB, está aproximadamente 6 puntos porcentuales por debajo de sus pares latinoamericanos y cerca de la mitad de la de la OCDE. Además, la capacidad redistributiva del sistema de impuestos y transferencias es baja (como se analiza más detalladamente en la sección social de este capítulo).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gobierno ha tomado valiosas medidas para fortalecer la administración tributaria que continuarán materializándose en los próximos años y ha anunciado esfuerzos adicionales para fortalecer la administración tributaria en su último presupuesto. Sin embargo, la financiación de inversiones públicas de alta calidad, la mejora de la protección social y la garantía de la sostenibilidad fiscal requerirán complementar estas medidas de aplicación fiscal con medidas fiscales adicionales. Esas medidas adicionales podrían incluir la ampliación de las bases tributarias, mediante la eliminación gradual de los gastos tributarios regresivos e ineficientes, y la mejora del diseño de algunos impuestos, que actualmente siguen estando subutilizados, como los impuestos a la propiedad, a los vehículos y al medio ambiente. Tales medidas también podrían aumentar la progresividad fiscal y los incentivos para operar en la economía formal, lo que podría impulsar la productividad y el crecimiento y aumentar aún más la base impositiva.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ampliación de las bases impositivas promete aumentar significativamente los ingresos sin aumentar las tasas. Los gastos tributarios son grandes en el impuesto sobre la renta personal y corporativo y el IVA. En general, ascendieron a alrededor del 3% del PIB en 2020. Las exenciones de impuestos son particularmente grandes en el IVA. Como resultado, los ingresos por IVA son relativamente bajos en comparación con su potencial. Una parte significativa del consumo interno está gravada con tasas cero o está exenta sin derecho a créditos fiscales de entrada. Esto ofrece oportunidades para ampliar la base del IVA al reducir el alcance de la tasa cero y/o las exenciones de manera que no sean regresivas. Por ejemplo, la tasa cero que se aplica a los bienes culturales beneficia especialmente a los hogares de altos ingresos y podría abolirse o reducirse. La eliminación de la exención del IVA para alimentos y medicamentos podría generar ingresos significativos, pero incluso si se acompaña de subsidios dirigidos a los hogares en los deciles de ingresos más bajos, implica importantes dificultades de economía política. Antes de aplicar el IVA a los alimentos, es necesario mejorar las herramientas disponibles para orientar los programas sociales para garantizar que los hogares de ingresos más bajos sean debidamente compensados. Por lo tanto, podría considerarse una opción a mediano plazo. Gravar los alimentos a una tasa reducida sería otra opción, seguida recientemente por Costa Rica, que aplica una tasa del 1%.</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Los gastos del impuesto sobre la renta personal también son grandes y regresivos. Múltiples desgravaciones y exenciones fiscales reducen significativamente la base imponible. Estos incluyen provisiones para gastos médicos, aportes a ciertas cuentas de jubilación, primas de seguros de salud y depósitos en cuentas especiales de ahorro y para la adquisición de acciones de sociedades de inversión. Los gastos de intereses reales de los préstamos hipotecarios (hasta un valor máximo de propiedad) y los gastos de educación también son deducibles. Algunas de estas deducciones son generosas, en particular, cuando se combinan juntas, y tienden a beneficiar a los </w:t>
      </w:r>
      <w:r w:rsidRPr="00A16DA6">
        <w:rPr>
          <w:rFonts w:ascii="Arial" w:hAnsi="Arial" w:cs="Arial"/>
          <w:sz w:val="18"/>
          <w:szCs w:val="18"/>
        </w:rPr>
        <w:lastRenderedPageBreak/>
        <w:t>contribuyentes más ricos. Reducirlos y eliminar gradualmente los más regresivos mejoraría los ingresos de manera progresiva. Los gastos ineficientes o regresivos ascienden al menos al 0</w:t>
      </w:r>
      <w:r w:rsidR="00646603">
        <w:rPr>
          <w:rFonts w:ascii="Arial" w:hAnsi="Arial" w:cs="Arial"/>
          <w:sz w:val="18"/>
          <w:szCs w:val="18"/>
        </w:rPr>
        <w:t>.</w:t>
      </w:r>
      <w:r w:rsidRPr="00A16DA6">
        <w:rPr>
          <w:rFonts w:ascii="Arial" w:hAnsi="Arial" w:cs="Arial"/>
          <w:sz w:val="18"/>
          <w:szCs w:val="18"/>
        </w:rPr>
        <w:t>7 % del PIB. También hay margen para hacer que el impuesto sobre la renta de las personas físicas sea más progresivo mediante la reducción del umbral para el tramo superior del impuesto sobre la renta de las personas físicas, que es muy alto desde una perspectiva internacional.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fiscales también podrían aumentar significativamente al reducir la informalidad. En este sentido, las autoridades han anunciado recientemente un nuevo régimen fiscal (Régimen de confianza), dirigido a autónomos y pymes. El esquema incluye tasas impositivas planas basadas en los ingresos, reduce los requisitos contables y facilita los cálculos mediante el uso de información precargada. Esta parece una iniciativa prometedora, con un gran número de beneficiarios potenciales (21 millones de autónomos y 2 millones de pymes). Esta medida debe ser parte de una estrategia integral para disminuir la informalidad, con acciones en diferentes áreas de política.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También hay un margen significativo para fortalecer los impuestos subnacionales, a saber, los impuestos recurrentes sobre la propiedad inmobiliaria y los impuestos sobre vehículos. La recaudación de impuestos sobre la propiedad y los vehículos se ha visto obstaculizada por la baja capacidad técnica y la falta de incentivos políticos a nivel estatal o municipal. Los estados recaudan el impuesto a los vehículos, mientras que los municipios recaudan el impuesto a la propiedad. Cuando está bien diseñado, un impuesto recurrente sobre bienes inmuebles (predial) puede actuar como un impuesto de “beneficios”, que hace que los contribuyentes locales paguen por los servicios locales que reciben. México carece de un registro completo de la propiedad a nivel nacional y la información existente a veces está desactualizada. Se están dando los primeros pasos para construir una plataforma de información catastral, que facilitaría el intercambio de datos referenciados geográficamente entre los tres niveles de gobierno. La experiencia reciente de algunos municipios mexicanos sugiere que hacer uso de tecnologías modernas, como los vuelos fotogramétricos, puede ayudar a construir y actualizar el catastro con mayor precisión y rapidez, y a un costo menor que el registro documental tradicional, que requiere mucha mano de obra y costoso de implementar para municipios pequeños. Sobre la base de los esfuerzos recientes de algunos estados para apoyar a los municipios en la administración de datos catastrales, los estados pueden ayudar a establecer y coordinar el uso de tecnologías modernas en todos los municipios y ayudar a difundir las mejores prácticas. También hay margen para facilitar el pago del impuesto. Algunos estados han experimentado con éxito facilidades de pago que recorren los municipios de acuerdo con horarios y calendarios preestablecidos, facilitando que un mayor número de ciudadanos puedan realizar sus pagos de impuestos de manera fácil y rápida. La exención de propiedades de bajo valor y el establecimiento de diferentes tasas impositivas según el valor podrían ser útiles para garantizar la progresividad, como lo ejemplifican algunos países de la OCDE, como Irlanda.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impuestos sobre la propiedad o el uso de vehículos (tenencia) fueron transferidos del gobierno federal a los estados en 2012. Actualmente, menos de la mitad de los estados aumentan los impuestos sobre los vehículos. El gobierno federal podría mejorar los incentivos para que los estados recauden este impuesto, por ejemplo, asignando transferencias federales más altas a aquellos estados que aumentan los ingresos por propiedad de vehículos. Estimaciones del Ministerio de Hacienda sugieren que la r</w:t>
      </w:r>
      <w:r w:rsidR="00646603">
        <w:rPr>
          <w:rFonts w:ascii="Arial" w:hAnsi="Arial" w:cs="Arial"/>
          <w:sz w:val="18"/>
          <w:szCs w:val="18"/>
        </w:rPr>
        <w:t>ecaudación podría aumentar al 0.</w:t>
      </w:r>
      <w:r w:rsidRPr="00A16DA6">
        <w:rPr>
          <w:rFonts w:ascii="Arial" w:hAnsi="Arial" w:cs="Arial"/>
          <w:sz w:val="18"/>
          <w:szCs w:val="18"/>
        </w:rPr>
        <w:t>2% del PIB con una tasa de cumplimiento del 70%. La reestructuración de los impuestos sobre los vehículos para que tengan en cuenta el desempeño ambiental también puede incentivar el uso de vehículos más eficientes desde el punto de vista energético, como lo ejemplifican varios países de la OCDE, como Francia e Israel.</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Fomentar la recaudación de impuestos tanto a la propiedad como a la propiedad de vehículos podría ser la piedra angular para mejorar el marco del federalismo fiscal, en la línea discutida en Estudios Económicos anteriores de la OCDE. Los estados y municipios siguen dependiendo en gran medida de las transferencias federales para financiar una parte cada vez mayor del gasto público. Esto deja la carga de aumentar los ingresos fiscales recayendo casi exclusivamente en el gobierno federal y reduce los incentivos para el gasto eficiente y la recaudación activa de impuestos a nivel subnacional. Las fórmulas que determinan las transferencias del presupuesto federal a las regiones (Participaciones en español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Las autoridades mexicanas han estado considerando durante algún tiempo formas de fortalecer aún más el marco de la política fiscal de México, como una forma de salvaguardar y beneficiarse plenamente de la credibilidad que México ha ido ganando a lo largo de los años. Reforzar el marco fiscal también ayudaría a mejorar la capacidad de México para prevenir futuras crisis, reconstruir las defensas fiscales y responder a las crisis. La prioridad a corto plazo de la política fiscal es continuar apoyando la recuperación en curso. Avanzar en iniciativas para mejorar el </w:t>
      </w:r>
      <w:r w:rsidRPr="00A16DA6">
        <w:rPr>
          <w:rFonts w:ascii="Arial" w:hAnsi="Arial" w:cs="Arial"/>
          <w:sz w:val="18"/>
          <w:szCs w:val="18"/>
        </w:rPr>
        <w:lastRenderedPageBreak/>
        <w:t>marco fiscal, aunque se implemente en el mediano plazo, también tendría un impacto favorable en el corto plazo, ya que impulsaría la confianza.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cuenta con tres reglas fiscales. Sin embargo, las reglas no brindan un marco de política verdaderamente anticíclico y tienden a favorecer posiciones fiscales procíclicas. Las dos reglas de equilibrio presupuestario favorecen que las metas fiscales se cumplan mediante recortes discrecionales del gasto y carecen de un vínculo con un ancla fiscal de mediano plazo. México podría introducir un límite de deuda, reemplazando las dos reglas de equilibrio presupuestario, para anclar la política fiscal a mediano plazo, complementado con una regla de gasto mejorada. La cobertura de la regla de gasto existente, del 36 % del gasto del sector público, es demasiado limitada, lo que dificulta su capacidad para suavizar el gasto a lo largo del ciclo. Mejorar la regla de gasto ampliando la proporción del gasto público cubierto, dejando fuera solo los pagos de intereses, limitaría con mayor fuerza la prociclicidad de la política fiscal.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actualización de la regla podría complementarse con una revisión y modernización de los fondos de estabilización. Actualmente existen dos fondos de estabilización, uno para las entidades federales y otro para las entidades subnacionales. Ambos fondos reciben una parte de los ingresos petroleros anuales, y tienen como objetivo compensar las reducciones en los ingresos con respecto a los aprobados en el presupuesto en un año determinado. Por lo tanto, los fondos en su configuración actual no actúan verdaderamente como herramientas anticíclicas, sino principalmente como estabilizadores de ingresos. La creación de un fondo verdaderamente contracíclico, que permita ahorrar en los buenos tiempos y gastar durante las recesiones, aumentaría la capacidad de México para suavizar los ciclos y proteger más a la economía contra posibles contingencias. Simplificar las reglas para acceder a los fondos y enfocar los fondos en estabilizar los ingresos a lo largo del ciclo, y no con respecto a los ingresos presupuestados, son buenas opciones para avanzar en esa dirección.</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impacto de una regla fiscal mejorada se fortalecería mediante la introducción de un marco de gasto plurianual. Estos marcos han demostrado ser una herramienta eficaz para optimizar el gasto público a mediano plazo y asegurar el apoyo a las prioridades estratégicas del gobierno. Hoy en día, casi todos los miembros de la OCDE tienen un marco plurianual y se utilizan cada vez más entre las economías emergentes. México también podría establecer un marco de gasto plurianual completo, basándose en su preparación presupuestaria recientemente mejorada.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proceso presupuestario de México ha mejorado significativamente con el tiempo, ganando transparencia y rendición de cuentas. El presupuesto es analizado y debatido con el poder legislativo durante más de dos meses. Este proceso podría apoyarse y mejorarse aún más mediante el establecimiento de un consejo fiscal independiente y con los recursos adecuados, como se recomienda en el Estudio Económico de la OCDE anterior. Al proporcionar un análisis fiscal no partidista, los consejos fiscales pueden enriquecer el debate sobre política fiscal y ayudar a comunicar los riesgos fiscales y las opciones de política. También pueden proporcionar evaluaciones de sostenibilidad a largo plazo y análisis de políticas. Un número creciente de países de la OCDE y economías emergentes han establecido con éxito consejos fiscales independientes. Recientemente, varios países de la región, como Brasil, Perú o Chile, han creado un consejo.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tercer trimestre de 2021, el Indicador Trimestral de la Actividad Económica Estatal (ITAEE), muestra que a tasa trimestral y con cifras ajustadas estacionalmente, las entidades federativas que mostraron los aumentos más pronunciados en su actividad económica fueron: Quintana Roo, Tabasco y Tlaxcala. El Estado de Tlaxcala ha tenido un crecimiento respecto del trimestre anterior del 3.9% y de un 6.9% en relación al mismo periodo de 2021; con una variación del 0.04% y 7.2% respectivamente, destacándose la aportación menor en el sector terciario con un 0.03% a tasa anualizada, lo anterior como resultado de las medidas adoptadas por el Gobierno del Estado en </w:t>
      </w:r>
      <w:r w:rsidRPr="00A16DA6">
        <w:rPr>
          <w:rFonts w:ascii="Arial" w:hAnsi="Arial" w:cs="Arial"/>
          <w:sz w:val="18"/>
          <w:szCs w:val="18"/>
        </w:rPr>
        <w:lastRenderedPageBreak/>
        <w:t xml:space="preserve">consonancia con las impuestas por el Gobierno Federal, relativas a la contención de la epidemia por COVID-19, destacándose el cierre parcial o total de establecimientos comerciales y de las industrias de transformación. </w:t>
      </w:r>
    </w:p>
    <w:p w:rsidR="004E2DD2" w:rsidRDefault="004E2DD2" w:rsidP="00A16DA6">
      <w:pPr>
        <w:tabs>
          <w:tab w:val="left" w:pos="284"/>
        </w:tabs>
        <w:ind w:left="284"/>
        <w:jc w:val="both"/>
        <w:rPr>
          <w:rFonts w:ascii="Arial" w:hAnsi="Arial" w:cs="Arial"/>
          <w:sz w:val="18"/>
          <w:szCs w:val="18"/>
        </w:rPr>
      </w:pPr>
    </w:p>
    <w:p w:rsidR="004E2DD2" w:rsidRDefault="006952D9"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mc:AlternateContent>
          <mc:Choice Requires="wps">
            <w:drawing>
              <wp:anchor distT="0" distB="0" distL="114300" distR="114300" simplePos="0" relativeHeight="251712512" behindDoc="0" locked="0" layoutInCell="1" allowOverlap="1" wp14:anchorId="58D531D0" wp14:editId="05E4D793">
                <wp:simplePos x="0" y="0"/>
                <wp:positionH relativeFrom="page">
                  <wp:posOffset>1540311</wp:posOffset>
                </wp:positionH>
                <wp:positionV relativeFrom="page">
                  <wp:posOffset>7637950</wp:posOffset>
                </wp:positionV>
                <wp:extent cx="189865" cy="45720"/>
                <wp:effectExtent l="19050" t="38100" r="57785" b="49530"/>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764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0" o:spid="_x0000_s1026" type="#_x0000_t13" style="position:absolute;margin-left:121.3pt;margin-top:601.4pt;width:14.95pt;height:3.6pt;flip:y;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2MlA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" adj="15918" fillcolor="red" strokecolor="red" strokeweight="3pt">
                <v:shadow on="t" color="#823b0b" opacity=".5" offset="1pt"/>
                <w10:wrap anchorx="page" anchory="page"/>
              </v:shape>
            </w:pict>
          </mc:Fallback>
        </mc:AlternateContent>
      </w:r>
      <w:r w:rsidR="004E2DD2" w:rsidRPr="00A16DA6">
        <w:rPr>
          <w:rFonts w:ascii="Arial" w:hAnsi="Arial" w:cs="Arial"/>
          <w:noProof/>
          <w:sz w:val="18"/>
          <w:szCs w:val="18"/>
          <w:lang w:eastAsia="es-MX"/>
        </w:rPr>
        <w:drawing>
          <wp:inline distT="0" distB="0" distL="0" distR="0" wp14:anchorId="12F46547" wp14:editId="44DE1BE6">
            <wp:extent cx="4612943" cy="7353126"/>
            <wp:effectExtent l="0" t="0" r="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1577" cy="7542231"/>
                    </a:xfrm>
                    <a:prstGeom prst="rect">
                      <a:avLst/>
                    </a:prstGeom>
                    <a:noFill/>
                    <a:ln>
                      <a:noFill/>
                    </a:ln>
                  </pic:spPr>
                </pic:pic>
              </a:graphicData>
            </a:graphic>
          </wp:inline>
        </w:drawing>
      </w:r>
    </w:p>
    <w:p w:rsidR="004E2DD2" w:rsidRDefault="004E2DD2" w:rsidP="00A16DA6">
      <w:pPr>
        <w:tabs>
          <w:tab w:val="left" w:pos="284"/>
        </w:tabs>
        <w:ind w:left="284"/>
        <w:jc w:val="both"/>
        <w:rPr>
          <w:rFonts w:ascii="Arial" w:hAnsi="Arial" w:cs="Arial"/>
          <w:sz w:val="18"/>
          <w:szCs w:val="18"/>
        </w:rPr>
      </w:pPr>
    </w:p>
    <w:p w:rsidR="004E2DD2" w:rsidRDefault="006952D9"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lastRenderedPageBreak/>
        <mc:AlternateContent>
          <mc:Choice Requires="wps">
            <w:drawing>
              <wp:anchor distT="0" distB="0" distL="114300" distR="114300" simplePos="0" relativeHeight="251717632" behindDoc="0" locked="0" layoutInCell="1" allowOverlap="1" wp14:anchorId="0CD88EF6" wp14:editId="6AF1397F">
                <wp:simplePos x="0" y="0"/>
                <wp:positionH relativeFrom="page">
                  <wp:posOffset>1787113</wp:posOffset>
                </wp:positionH>
                <wp:positionV relativeFrom="page">
                  <wp:posOffset>3393770</wp:posOffset>
                </wp:positionV>
                <wp:extent cx="189865" cy="45720"/>
                <wp:effectExtent l="19050" t="38100" r="57785" b="49530"/>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1440" id="Flecha derecha 102" o:spid="_x0000_s1026" type="#_x0000_t13" style="position:absolute;margin-left:140.7pt;margin-top:267.25pt;width:14.95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" adj="15918" fillcolor="red" strokecolor="red" strokeweight="3pt">
                <v:shadow on="t" color="#823b0b" opacity=".5" offset="1pt"/>
                <w10:wrap anchorx="page" anchory="page"/>
              </v:shape>
            </w:pict>
          </mc:Fallback>
        </mc:AlternateContent>
      </w:r>
      <w:r w:rsidRPr="00A16DA6">
        <w:rPr>
          <w:rFonts w:ascii="Arial" w:hAnsi="Arial" w:cs="Arial"/>
          <w:noProof/>
          <w:sz w:val="18"/>
          <w:szCs w:val="18"/>
          <w:lang w:eastAsia="es-MX"/>
        </w:rPr>
        <mc:AlternateContent>
          <mc:Choice Requires="wps">
            <w:drawing>
              <wp:anchor distT="0" distB="0" distL="114300" distR="114300" simplePos="0" relativeHeight="251719680" behindDoc="0" locked="0" layoutInCell="1" allowOverlap="1" wp14:anchorId="2444F2C0" wp14:editId="0421730A">
                <wp:simplePos x="0" y="0"/>
                <wp:positionH relativeFrom="page">
                  <wp:posOffset>4535393</wp:posOffset>
                </wp:positionH>
                <wp:positionV relativeFrom="page">
                  <wp:posOffset>5914415</wp:posOffset>
                </wp:positionV>
                <wp:extent cx="189865" cy="45720"/>
                <wp:effectExtent l="19050" t="38100" r="57785" b="49530"/>
                <wp:wrapNone/>
                <wp:docPr id="103" name="Flecha derech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F1E6" id="Flecha derecha 103" o:spid="_x0000_s1026" type="#_x0000_t13" style="position:absolute;margin-left:357.1pt;margin-top:465.7pt;width:14.95pt;height:3.6pt;flip:y;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pqlQ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" adj="15918" fillcolor="red" strokecolor="red" strokeweight="3pt">
                <v:shadow on="t" color="#823b0b" opacity=".5" offset="1pt"/>
                <w10:wrap anchorx="page" anchory="page"/>
              </v:shape>
            </w:pict>
          </mc:Fallback>
        </mc:AlternateContent>
      </w:r>
      <w:r w:rsidR="004E2DD2" w:rsidRPr="00A16DA6">
        <w:rPr>
          <w:rFonts w:ascii="Arial" w:hAnsi="Arial" w:cs="Arial"/>
          <w:noProof/>
          <w:sz w:val="18"/>
          <w:szCs w:val="18"/>
          <w:lang w:eastAsia="es-MX"/>
        </w:rPr>
        <w:drawing>
          <wp:inline distT="0" distB="0" distL="0" distR="0" wp14:anchorId="0F654F6C" wp14:editId="3CA49F27">
            <wp:extent cx="5733415" cy="8210550"/>
            <wp:effectExtent l="0" t="0" r="63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2620" cy="8295335"/>
                    </a:xfrm>
                    <a:prstGeom prst="rect">
                      <a:avLst/>
                    </a:prstGeom>
                    <a:noFill/>
                    <a:ln>
                      <a:noFill/>
                    </a:ln>
                  </pic:spPr>
                </pic:pic>
              </a:graphicData>
            </a:graphic>
          </wp:inline>
        </w:drawing>
      </w:r>
    </w:p>
    <w:p w:rsidR="004E2DD2" w:rsidRDefault="004E2DD2" w:rsidP="00A16DA6">
      <w:pPr>
        <w:tabs>
          <w:tab w:val="left" w:pos="284"/>
        </w:tabs>
        <w:ind w:left="284"/>
        <w:jc w:val="both"/>
        <w:rPr>
          <w:rFonts w:ascii="Arial" w:hAnsi="Arial" w:cs="Arial"/>
          <w:sz w:val="18"/>
          <w:szCs w:val="18"/>
        </w:rPr>
      </w:pPr>
    </w:p>
    <w:p w:rsidR="004E2DD2" w:rsidRDefault="004E2DD2"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mes de febrero de 2022 la tasa de ocupación reflejó una participación del 1.0% al total nacional, presentando un incremento de 666, puestos de trabajo permanentes respecto a diciembre de 2021. Al mes de febrero de 2022, se tienen registrados 103,766 trabajadores asegurados en el IMSS, tal y como se muestra en los cuadros siguientes:</w:t>
      </w:r>
    </w:p>
    <w:p w:rsidR="00CF289F" w:rsidRPr="00A16DA6" w:rsidRDefault="00CF289F" w:rsidP="00A16DA6">
      <w:pPr>
        <w:tabs>
          <w:tab w:val="left" w:pos="284"/>
        </w:tabs>
        <w:ind w:left="284"/>
        <w:jc w:val="both"/>
        <w:rPr>
          <w:rFonts w:ascii="Arial" w:hAnsi="Arial" w:cs="Arial"/>
          <w:sz w:val="18"/>
          <w:szCs w:val="18"/>
        </w:rPr>
      </w:pPr>
    </w:p>
    <w:p w:rsidR="00A16DA6" w:rsidRPr="00A16DA6" w:rsidRDefault="00A16DA6"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w:drawing>
          <wp:inline distT="0" distB="0" distL="0" distR="0">
            <wp:extent cx="5749925" cy="5048835"/>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814" cy="5068055"/>
                    </a:xfrm>
                    <a:prstGeom prst="rect">
                      <a:avLst/>
                    </a:prstGeom>
                    <a:noFill/>
                    <a:ln>
                      <a:noFill/>
                    </a:ln>
                  </pic:spPr>
                </pic:pic>
              </a:graphicData>
            </a:graphic>
          </wp:inline>
        </w:drawing>
      </w:r>
    </w:p>
    <w:p w:rsidR="00A16DA6" w:rsidRPr="00A16DA6" w:rsidRDefault="00A16DA6" w:rsidP="001951AF">
      <w:pPr>
        <w:tabs>
          <w:tab w:val="left" w:pos="284"/>
        </w:tabs>
        <w:ind w:left="284"/>
        <w:jc w:val="center"/>
        <w:rPr>
          <w:rFonts w:ascii="Arial" w:hAnsi="Arial" w:cs="Arial"/>
          <w:sz w:val="18"/>
          <w:szCs w:val="18"/>
        </w:rPr>
      </w:pPr>
      <w:r w:rsidRPr="00A16DA6">
        <w:rPr>
          <w:rFonts w:ascii="Arial" w:hAnsi="Arial" w:cs="Arial"/>
          <w:noProof/>
          <w:sz w:val="18"/>
          <w:szCs w:val="18"/>
          <w:lang w:eastAsia="es-MX"/>
        </w:rPr>
        <w:lastRenderedPageBreak/>
        <w:drawing>
          <wp:inline distT="0" distB="0" distL="0" distR="0">
            <wp:extent cx="5118265" cy="3756753"/>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012" cy="3774917"/>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 acuerdo al Directorio Estadístico Nacional de Unidades Económicas, Tlaxcala cuenta con 82,497 Unidades Económicas, en los rubros siguientes:</w:t>
      </w:r>
    </w:p>
    <w:p w:rsidR="00A16DA6" w:rsidRPr="00A16DA6" w:rsidRDefault="004E2DD2"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w:drawing>
          <wp:inline distT="0" distB="0" distL="0" distR="0" wp14:anchorId="7B1F1A7C" wp14:editId="7347F5F0">
            <wp:extent cx="2749399" cy="3764478"/>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t="3467"/>
                    <a:stretch>
                      <a:fillRect/>
                    </a:stretch>
                  </pic:blipFill>
                  <pic:spPr bwMode="auto">
                    <a:xfrm>
                      <a:off x="0" y="0"/>
                      <a:ext cx="2756455" cy="3774139"/>
                    </a:xfrm>
                    <a:prstGeom prst="rect">
                      <a:avLst/>
                    </a:prstGeom>
                    <a:noFill/>
                    <a:ln>
                      <a:noFill/>
                    </a:ln>
                  </pic:spPr>
                </pic:pic>
              </a:graphicData>
            </a:graphic>
          </wp:inline>
        </w:drawing>
      </w:r>
    </w:p>
    <w:p w:rsidR="00A16DA6" w:rsidRPr="001951AF" w:rsidRDefault="00A16DA6" w:rsidP="001951AF">
      <w:pPr>
        <w:tabs>
          <w:tab w:val="left" w:pos="284"/>
        </w:tabs>
        <w:ind w:left="284"/>
        <w:jc w:val="center"/>
        <w:rPr>
          <w:rFonts w:ascii="Arial" w:hAnsi="Arial" w:cs="Arial"/>
          <w:b/>
          <w:sz w:val="14"/>
          <w:szCs w:val="18"/>
        </w:rPr>
      </w:pPr>
      <w:r w:rsidRPr="001951AF">
        <w:rPr>
          <w:rFonts w:ascii="Arial" w:hAnsi="Arial" w:cs="Arial"/>
          <w:b/>
          <w:sz w:val="14"/>
          <w:szCs w:val="18"/>
        </w:rPr>
        <w:t>FUENTE: INEGI. DENUE. Enero 2022.</w:t>
      </w:r>
    </w:p>
    <w:p w:rsidR="001951AF" w:rsidRDefault="001951AF" w:rsidP="00A16DA6">
      <w:pPr>
        <w:tabs>
          <w:tab w:val="left" w:pos="284"/>
        </w:tabs>
        <w:ind w:left="284"/>
        <w:jc w:val="both"/>
        <w:rPr>
          <w:rFonts w:ascii="Arial" w:hAnsi="Arial" w:cs="Arial"/>
          <w:sz w:val="18"/>
          <w:szCs w:val="18"/>
        </w:rPr>
      </w:pPr>
    </w:p>
    <w:p w:rsidR="001951AF" w:rsidRDefault="001951AF"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 anterior, representa el 1% del total nacional. Al cuarto trimestre de 2021 la Población Económicamente Activa (PEA) ascendió a 622,461 personas, representando el 61% de la población en edad de trabajar. Del total de la PEA, el 96% está ocupada y el 4% se encuentra desocupada.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drawing>
          <wp:inline distT="0" distB="0" distL="0" distR="0">
            <wp:extent cx="5818168" cy="349666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9513" cy="3527524"/>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drawing>
          <wp:inline distT="0" distB="0" distL="0" distR="0">
            <wp:extent cx="5753620" cy="38879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349" cy="3897244"/>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tercer trimestre de 2021, la Inversión Extranjera Directa Acumulada del año 1999 al mes de septiembre de 2021 en el Estado de Tlaxcala fue de 3,697.2 millones de dólares, lo que representó un aporte del 0.6 % al total nacional, instalándose empresas de diversas nacionalidades, tal y como se observa en el cuadro comparativo siguiente:</w:t>
      </w:r>
    </w:p>
    <w:p w:rsidR="00A16DA6" w:rsidRPr="00A16DA6" w:rsidRDefault="001951AF"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mc:AlternateContent>
          <mc:Choice Requires="wps">
            <w:drawing>
              <wp:anchor distT="0" distB="0" distL="114300" distR="114300" simplePos="0" relativeHeight="251715584" behindDoc="0" locked="0" layoutInCell="1" allowOverlap="1" wp14:anchorId="40CF5375" wp14:editId="6CC17AE1">
                <wp:simplePos x="0" y="0"/>
                <wp:positionH relativeFrom="column">
                  <wp:posOffset>210764</wp:posOffset>
                </wp:positionH>
                <wp:positionV relativeFrom="paragraph">
                  <wp:posOffset>2628900</wp:posOffset>
                </wp:positionV>
                <wp:extent cx="5757706" cy="80387"/>
                <wp:effectExtent l="0" t="0" r="14605" b="1524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706" cy="8038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CAA3" id="Rectángulo 97" o:spid="_x0000_s1026" style="position:absolute;margin-left:16.6pt;margin-top:207pt;width:453.35pt;height: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" filled="f" strokecolor="red"/>
            </w:pict>
          </mc:Fallback>
        </mc:AlternateContent>
      </w:r>
      <w:r w:rsidR="00A16DA6" w:rsidRPr="00A16DA6">
        <w:rPr>
          <w:rFonts w:ascii="Arial" w:hAnsi="Arial" w:cs="Arial"/>
          <w:noProof/>
          <w:sz w:val="18"/>
          <w:szCs w:val="18"/>
          <w:lang w:eastAsia="es-MX"/>
        </w:rPr>
        <w:drawing>
          <wp:inline distT="0" distB="0" distL="0" distR="0" wp14:anchorId="36787D5E" wp14:editId="476E4A4D">
            <wp:extent cx="5806827" cy="3230088"/>
            <wp:effectExtent l="0" t="0" r="381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l="10199" t="23830" r="13075" b="12892"/>
                    <a:stretch>
                      <a:fillRect/>
                    </a:stretch>
                  </pic:blipFill>
                  <pic:spPr bwMode="auto">
                    <a:xfrm>
                      <a:off x="0" y="0"/>
                      <a:ext cx="5831927" cy="3244050"/>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lenta y gradual en el ejercicio 2021 y 2022, derivado de la crisis sanitaria ocasionada por el COVID-19 lo que genera un escenario de incertidumbre.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 xml:space="preserve">En función de los factores antes mencionados, las perspectivas económicas locales se consideran favorables, lo cual redundará en mejores condiciones económicas para el Estado y los Municipios en los siguientes años.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w:t>
      </w:r>
      <w:r w:rsidRPr="0073056A">
        <w:rPr>
          <w:rFonts w:ascii="Arial" w:hAnsi="Arial" w:cs="Arial"/>
          <w:sz w:val="18"/>
          <w:szCs w:val="18"/>
        </w:rPr>
        <w:lastRenderedPageBreak/>
        <w:t>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43"/>
      <w:headerReference w:type="default" r:id="rId44"/>
      <w:footerReference w:type="even" r:id="rId45"/>
      <w:footerReference w:type="default" r:id="rId46"/>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4CA" w:rsidRDefault="006664CA" w:rsidP="00EA5418">
      <w:pPr>
        <w:spacing w:after="0" w:line="240" w:lineRule="auto"/>
      </w:pPr>
      <w:r>
        <w:separator/>
      </w:r>
    </w:p>
  </w:endnote>
  <w:endnote w:type="continuationSeparator" w:id="0">
    <w:p w:rsidR="006664CA" w:rsidRDefault="006664C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4E3EA4" w:rsidRDefault="001854C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F4CBD" w:rsidRPr="00DF4CBD">
          <w:rPr>
            <w:rFonts w:ascii="Arial" w:hAnsi="Arial" w:cs="Arial"/>
            <w:noProof/>
            <w:sz w:val="20"/>
            <w:lang w:val="es-ES"/>
          </w:rPr>
          <w:t>36</w:t>
        </w:r>
        <w:r w:rsidRPr="004E3EA4">
          <w:rPr>
            <w:rFonts w:ascii="Arial" w:hAnsi="Arial" w:cs="Arial"/>
            <w:sz w:val="20"/>
          </w:rPr>
          <w:fldChar w:fldCharType="end"/>
        </w:r>
      </w:sdtContent>
    </w:sdt>
  </w:p>
  <w:p w:rsidR="001854C3" w:rsidRDefault="001854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3527CD" w:rsidRDefault="001854C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F4CBD" w:rsidRPr="00DF4CBD">
          <w:rPr>
            <w:rFonts w:ascii="Arial" w:hAnsi="Arial" w:cs="Arial"/>
            <w:noProof/>
            <w:lang w:val="es-ES"/>
          </w:rPr>
          <w:t>35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4CA" w:rsidRDefault="006664CA" w:rsidP="00EA5418">
      <w:pPr>
        <w:spacing w:after="0" w:line="240" w:lineRule="auto"/>
      </w:pPr>
      <w:r>
        <w:separator/>
      </w:r>
    </w:p>
  </w:footnote>
  <w:footnote w:type="continuationSeparator" w:id="0">
    <w:p w:rsidR="006664CA" w:rsidRDefault="006664C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Default="001854C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4C3" w:rsidRDefault="001854C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854C3" w:rsidRDefault="001854C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4C3" w:rsidRPr="00DE4269" w:rsidRDefault="001854C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1854C3" w:rsidRDefault="001854C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854C3" w:rsidRDefault="001854C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854C3" w:rsidRPr="00DE4269" w:rsidRDefault="001854C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3527CD" w:rsidRDefault="001854C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18"/>
  </w:num>
  <w:num w:numId="4">
    <w:abstractNumId w:val="10"/>
  </w:num>
  <w:num w:numId="5">
    <w:abstractNumId w:val="14"/>
  </w:num>
  <w:num w:numId="6">
    <w:abstractNumId w:val="31"/>
  </w:num>
  <w:num w:numId="7">
    <w:abstractNumId w:val="25"/>
  </w:num>
  <w:num w:numId="8">
    <w:abstractNumId w:val="20"/>
  </w:num>
  <w:num w:numId="9">
    <w:abstractNumId w:val="9"/>
  </w:num>
  <w:num w:numId="10">
    <w:abstractNumId w:val="3"/>
  </w:num>
  <w:num w:numId="11">
    <w:abstractNumId w:val="0"/>
  </w:num>
  <w:num w:numId="12">
    <w:abstractNumId w:val="7"/>
  </w:num>
  <w:num w:numId="13">
    <w:abstractNumId w:val="26"/>
  </w:num>
  <w:num w:numId="14">
    <w:abstractNumId w:val="22"/>
  </w:num>
  <w:num w:numId="15">
    <w:abstractNumId w:val="13"/>
  </w:num>
  <w:num w:numId="16">
    <w:abstractNumId w:val="2"/>
  </w:num>
  <w:num w:numId="17">
    <w:abstractNumId w:val="12"/>
  </w:num>
  <w:num w:numId="18">
    <w:abstractNumId w:val="17"/>
  </w:num>
  <w:num w:numId="19">
    <w:abstractNumId w:val="16"/>
  </w:num>
  <w:num w:numId="20">
    <w:abstractNumId w:val="6"/>
  </w:num>
  <w:num w:numId="21">
    <w:abstractNumId w:val="8"/>
  </w:num>
  <w:num w:numId="22">
    <w:abstractNumId w:val="28"/>
  </w:num>
  <w:num w:numId="23">
    <w:abstractNumId w:val="27"/>
  </w:num>
  <w:num w:numId="24">
    <w:abstractNumId w:val="19"/>
  </w:num>
  <w:num w:numId="25">
    <w:abstractNumId w:val="30"/>
  </w:num>
  <w:num w:numId="26">
    <w:abstractNumId w:val="11"/>
  </w:num>
  <w:num w:numId="27">
    <w:abstractNumId w:val="29"/>
  </w:num>
  <w:num w:numId="28">
    <w:abstractNumId w:val="24"/>
  </w:num>
  <w:num w:numId="29">
    <w:abstractNumId w:val="15"/>
  </w:num>
  <w:num w:numId="30">
    <w:abstractNumId w:val="32"/>
  </w:num>
  <w:num w:numId="31">
    <w:abstractNumId w:val="5"/>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0CEF"/>
    <w:rsid w:val="006429DB"/>
    <w:rsid w:val="0064409F"/>
    <w:rsid w:val="006441E4"/>
    <w:rsid w:val="006443DF"/>
    <w:rsid w:val="00646603"/>
    <w:rsid w:val="00650760"/>
    <w:rsid w:val="006519BC"/>
    <w:rsid w:val="00651FB7"/>
    <w:rsid w:val="006537A5"/>
    <w:rsid w:val="00653A66"/>
    <w:rsid w:val="0065446E"/>
    <w:rsid w:val="0065525F"/>
    <w:rsid w:val="00655EB2"/>
    <w:rsid w:val="00660015"/>
    <w:rsid w:val="00661352"/>
    <w:rsid w:val="00661A17"/>
    <w:rsid w:val="006653EB"/>
    <w:rsid w:val="006664CA"/>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29F0"/>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47C"/>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4AE"/>
    <w:rsid w:val="00BD7646"/>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42E"/>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22F4"/>
    <w:rsid w:val="00F6319C"/>
    <w:rsid w:val="00F6438A"/>
    <w:rsid w:val="00F70304"/>
    <w:rsid w:val="00F71E45"/>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5E5C2"/>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Antonio_de_Mendoza" TargetMode="Externa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Hidalgo_%28M%C3%A9xico%2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M%C3%A9xico" TargetMode="External"/><Relationship Id="rId40" Type="http://schemas.openxmlformats.org/officeDocument/2006/relationships/hyperlink" Target="http://es.wikipedia.org/wiki/Puebl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Organizaci%C3%B3n_territorial_de_M%C3%A9xico"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Nueva_Espa%C3%B1a" TargetMode="External"/><Relationship Id="rId4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s.wikipedia.org/wiki/Estado_de_M%C3%A9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73E29-C93B-46B1-83C6-698E230C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14213</Words>
  <Characters>78174</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3</cp:revision>
  <cp:lastPrinted>2022-03-25T18:15:00Z</cp:lastPrinted>
  <dcterms:created xsi:type="dcterms:W3CDTF">2022-04-20T23:08:00Z</dcterms:created>
  <dcterms:modified xsi:type="dcterms:W3CDTF">2022-04-25T17:44:00Z</dcterms:modified>
</cp:coreProperties>
</file>