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5F66" w14:textId="77777777" w:rsidR="007D6E9A" w:rsidRDefault="00E8287D" w:rsidP="003D5DBF">
      <w:pPr>
        <w:jc w:val="center"/>
      </w:pPr>
      <w:bookmarkStart w:id="0" w:name="_Hlk132626715"/>
      <w:bookmarkEnd w:id="0"/>
      <w:r>
        <w:rPr>
          <w:noProof/>
        </w:rPr>
        <w:object w:dxaOrig="1440" w:dyaOrig="1440" w14:anchorId="6ECD6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0;text-align:left;margin-left:17.1pt;margin-top:15.9pt;width:691.55pt;height:663.9pt;z-index:-251625472;mso-position-horizontal-relative:text;mso-position-vertical-relative:text;mso-width-relative:page;mso-height-relative:page">
            <v:imagedata r:id="rId8" o:title=""/>
          </v:shape>
          <o:OLEObject Type="Embed" ProgID="Excel.Sheet.12" ShapeID="_x0000_s1077" DrawAspect="Content" ObjectID="_1743608285" r:id="rId9"/>
        </w:object>
      </w:r>
    </w:p>
    <w:p w14:paraId="199C8860" w14:textId="77777777" w:rsidR="009B64AA" w:rsidRDefault="00E21DE3" w:rsidP="00E21DE3">
      <w:pPr>
        <w:tabs>
          <w:tab w:val="left" w:pos="2628"/>
        </w:tabs>
      </w:pPr>
      <w:r>
        <w:tab/>
      </w:r>
    </w:p>
    <w:p w14:paraId="252886D2" w14:textId="77777777" w:rsidR="00EA5418" w:rsidRDefault="00EA5418" w:rsidP="001F0C04">
      <w:pPr>
        <w:jc w:val="center"/>
      </w:pPr>
    </w:p>
    <w:p w14:paraId="1EC8E5C1" w14:textId="77777777" w:rsidR="00215B92" w:rsidRDefault="00215B92" w:rsidP="001F0C04">
      <w:pPr>
        <w:jc w:val="center"/>
      </w:pPr>
    </w:p>
    <w:p w14:paraId="1C22F12F" w14:textId="77777777" w:rsidR="00215B92" w:rsidRDefault="00215B92" w:rsidP="001F0C04">
      <w:pPr>
        <w:jc w:val="center"/>
      </w:pPr>
    </w:p>
    <w:p w14:paraId="038B6A46" w14:textId="77777777" w:rsidR="00215B92" w:rsidRDefault="00215B92" w:rsidP="001F0C04">
      <w:pPr>
        <w:jc w:val="center"/>
      </w:pPr>
    </w:p>
    <w:p w14:paraId="1678BCE0" w14:textId="77777777" w:rsidR="00215B92" w:rsidRDefault="00E21DE3" w:rsidP="00E21DE3">
      <w:pPr>
        <w:tabs>
          <w:tab w:val="left" w:pos="3228"/>
        </w:tabs>
      </w:pPr>
      <w:r>
        <w:tab/>
      </w:r>
    </w:p>
    <w:p w14:paraId="30F28EC1" w14:textId="77777777" w:rsidR="00215B92" w:rsidRDefault="00215B92" w:rsidP="001F0C04">
      <w:pPr>
        <w:jc w:val="center"/>
      </w:pPr>
    </w:p>
    <w:p w14:paraId="645B507D" w14:textId="77777777" w:rsidR="00215B92" w:rsidRDefault="00215B92" w:rsidP="001F0C04">
      <w:pPr>
        <w:jc w:val="center"/>
      </w:pPr>
    </w:p>
    <w:p w14:paraId="1E2BA51A" w14:textId="77777777" w:rsidR="00215B92" w:rsidRDefault="00215B92" w:rsidP="001F0C04">
      <w:pPr>
        <w:jc w:val="center"/>
      </w:pPr>
    </w:p>
    <w:p w14:paraId="0B699A2F" w14:textId="77777777" w:rsidR="00215B92" w:rsidRDefault="00215B92" w:rsidP="001F0C04">
      <w:pPr>
        <w:jc w:val="center"/>
      </w:pPr>
    </w:p>
    <w:p w14:paraId="6D4CB857" w14:textId="77777777" w:rsidR="00215B92" w:rsidRPr="00215B92" w:rsidRDefault="00215B92" w:rsidP="00FE3B85">
      <w:pPr>
        <w:jc w:val="center"/>
      </w:pPr>
    </w:p>
    <w:p w14:paraId="3348D572" w14:textId="77777777" w:rsidR="00215B92" w:rsidRPr="00215B92" w:rsidRDefault="00215B92" w:rsidP="00215B92"/>
    <w:p w14:paraId="0C31495D" w14:textId="77777777" w:rsidR="00215B92" w:rsidRPr="00215B92" w:rsidRDefault="00215B92" w:rsidP="00215B92"/>
    <w:p w14:paraId="59D82B2F" w14:textId="77777777" w:rsidR="00215B92" w:rsidRPr="00215B92" w:rsidRDefault="00215B92" w:rsidP="00215B92"/>
    <w:p w14:paraId="54FD7EF8" w14:textId="77777777" w:rsidR="00215B92" w:rsidRPr="00215B92" w:rsidRDefault="00215B92" w:rsidP="00215B92"/>
    <w:p w14:paraId="1BFCC238" w14:textId="77777777" w:rsidR="00215B92" w:rsidRPr="00215B92" w:rsidRDefault="00215B92" w:rsidP="00215B92"/>
    <w:p w14:paraId="4AB394D1" w14:textId="77777777" w:rsidR="00215B92" w:rsidRPr="00215B92" w:rsidRDefault="00215B92" w:rsidP="00215B92"/>
    <w:p w14:paraId="6660F1C9" w14:textId="77777777" w:rsidR="00215B92" w:rsidRPr="00215B92" w:rsidRDefault="00215B92" w:rsidP="00215B92"/>
    <w:p w14:paraId="3028A062" w14:textId="77777777" w:rsidR="00215B92" w:rsidRPr="00215B92" w:rsidRDefault="00215B92" w:rsidP="00215B92"/>
    <w:p w14:paraId="219DACD1" w14:textId="77777777" w:rsidR="00215B92" w:rsidRPr="00215B92" w:rsidRDefault="00215B92" w:rsidP="00215B92"/>
    <w:p w14:paraId="38FB7FE7" w14:textId="77777777" w:rsidR="00215B92" w:rsidRPr="00215B92" w:rsidRDefault="00215B92" w:rsidP="00215B92"/>
    <w:p w14:paraId="2366A0AE" w14:textId="77777777" w:rsidR="00215B92" w:rsidRDefault="00215B92" w:rsidP="00215B92"/>
    <w:p w14:paraId="332EEBEF" w14:textId="77777777" w:rsidR="00215B92" w:rsidRDefault="00215B92" w:rsidP="00215B92"/>
    <w:p w14:paraId="2A1DF68F" w14:textId="77777777" w:rsidR="00215B92" w:rsidRDefault="00215B92" w:rsidP="00215B92"/>
    <w:p w14:paraId="5A889168" w14:textId="77777777" w:rsidR="00215B92" w:rsidRDefault="00215B92" w:rsidP="00215B92"/>
    <w:p w14:paraId="443F2B3B" w14:textId="77777777" w:rsidR="00215B92" w:rsidRDefault="00215B92" w:rsidP="00215B92"/>
    <w:p w14:paraId="466A5837" w14:textId="77777777" w:rsidR="00215B92" w:rsidRDefault="00E8287D" w:rsidP="003926A7">
      <w:pPr>
        <w:tabs>
          <w:tab w:val="right" w:pos="9360"/>
        </w:tabs>
      </w:pPr>
      <w:r>
        <w:rPr>
          <w:noProof/>
        </w:rPr>
        <w:lastRenderedPageBreak/>
        <w:object w:dxaOrig="1440" w:dyaOrig="1440" w14:anchorId="58913841">
          <v:shape id="_x0000_s1056" type="#_x0000_t75" style="position:absolute;margin-left:-53.4pt;margin-top:21.6pt;width:583.25pt;height:606.6pt;z-index:-251645952;mso-position-horizontal-relative:text;mso-position-vertical-relative:text">
            <v:imagedata r:id="rId10" o:title=""/>
            <w10:wrap side="right"/>
          </v:shape>
          <o:OLEObject Type="Embed" ProgID="Excel.Sheet.12" ShapeID="_x0000_s1056" DrawAspect="Content" ObjectID="_1743608286" r:id="rId11"/>
        </w:object>
      </w:r>
      <w:r w:rsidR="003926A7">
        <w:tab/>
      </w:r>
    </w:p>
    <w:p w14:paraId="78C71164" w14:textId="77777777" w:rsidR="00215B92" w:rsidRDefault="001B1579" w:rsidP="003926A7">
      <w:pPr>
        <w:tabs>
          <w:tab w:val="left" w:pos="3380"/>
          <w:tab w:val="center" w:pos="4680"/>
          <w:tab w:val="right" w:pos="9360"/>
        </w:tabs>
      </w:pPr>
      <w:r>
        <w:tab/>
      </w:r>
      <w:r>
        <w:tab/>
      </w:r>
      <w:r w:rsidR="003926A7">
        <w:tab/>
      </w:r>
    </w:p>
    <w:p w14:paraId="07F31A40" w14:textId="77777777" w:rsidR="00215B92" w:rsidRDefault="00215B92" w:rsidP="0081033E">
      <w:pPr>
        <w:jc w:val="center"/>
      </w:pPr>
    </w:p>
    <w:p w14:paraId="1442B28A" w14:textId="77777777" w:rsidR="00215B92" w:rsidRDefault="0081033E" w:rsidP="0081033E">
      <w:pPr>
        <w:tabs>
          <w:tab w:val="left" w:pos="2742"/>
        </w:tabs>
      </w:pPr>
      <w:r>
        <w:tab/>
      </w:r>
    </w:p>
    <w:p w14:paraId="5DC80ED4" w14:textId="77777777" w:rsidR="00215B92" w:rsidRDefault="00215B92" w:rsidP="0081033E">
      <w:pPr>
        <w:jc w:val="center"/>
      </w:pPr>
    </w:p>
    <w:p w14:paraId="5EEDCBC8" w14:textId="77777777" w:rsidR="00215B92" w:rsidRDefault="00215B92" w:rsidP="00215B92"/>
    <w:p w14:paraId="63AF9FA8" w14:textId="77777777" w:rsidR="00215B92" w:rsidRDefault="003926A7" w:rsidP="003926A7">
      <w:pPr>
        <w:tabs>
          <w:tab w:val="left" w:pos="2082"/>
        </w:tabs>
      </w:pPr>
      <w:r>
        <w:tab/>
      </w:r>
    </w:p>
    <w:p w14:paraId="638CCE5D" w14:textId="77777777" w:rsidR="00215B92" w:rsidRDefault="00215B92" w:rsidP="00215B92"/>
    <w:p w14:paraId="2BD5B9ED" w14:textId="77777777" w:rsidR="00215B92" w:rsidRDefault="001A26CD" w:rsidP="001A26CD">
      <w:pPr>
        <w:tabs>
          <w:tab w:val="left" w:pos="1380"/>
        </w:tabs>
      </w:pPr>
      <w:r>
        <w:tab/>
      </w:r>
    </w:p>
    <w:p w14:paraId="414A8167" w14:textId="77777777" w:rsidR="00215B92" w:rsidRDefault="00215B92" w:rsidP="00215B92"/>
    <w:p w14:paraId="6253311F" w14:textId="77777777" w:rsidR="00215B92" w:rsidRDefault="00215B92" w:rsidP="00215B92"/>
    <w:p w14:paraId="2C9050E6" w14:textId="77777777" w:rsidR="00215B92" w:rsidRDefault="00215B92" w:rsidP="00215B92"/>
    <w:p w14:paraId="377C4AD7" w14:textId="77777777" w:rsidR="00215B92" w:rsidRDefault="00215B92" w:rsidP="00215B92"/>
    <w:p w14:paraId="364FF84B" w14:textId="77777777" w:rsidR="00215B92" w:rsidRDefault="00215B92" w:rsidP="00215B92"/>
    <w:p w14:paraId="34F51516" w14:textId="77777777" w:rsidR="00215B92" w:rsidRDefault="00215B92" w:rsidP="00215B92"/>
    <w:p w14:paraId="3936BD8A" w14:textId="77777777" w:rsidR="00215B92" w:rsidRDefault="00215B92" w:rsidP="00215B92"/>
    <w:p w14:paraId="04123B17" w14:textId="77777777" w:rsidR="00215B92" w:rsidRDefault="00215B92" w:rsidP="00215B92"/>
    <w:p w14:paraId="4A71A0AB" w14:textId="77777777" w:rsidR="00215B92" w:rsidRDefault="00215B92" w:rsidP="00215B92"/>
    <w:p w14:paraId="042DAC9F" w14:textId="77777777" w:rsidR="00215B92" w:rsidRDefault="00215B92" w:rsidP="00215B92"/>
    <w:p w14:paraId="674403D6" w14:textId="77777777" w:rsidR="00215B92" w:rsidRDefault="00215B92" w:rsidP="00215B92"/>
    <w:p w14:paraId="37540BCC" w14:textId="77777777" w:rsidR="00215B92" w:rsidRDefault="00215B92" w:rsidP="00215B92"/>
    <w:p w14:paraId="2E556FE5" w14:textId="77777777" w:rsidR="00215B92" w:rsidRDefault="00215B92" w:rsidP="00215B92"/>
    <w:p w14:paraId="1EB2756B" w14:textId="77777777" w:rsidR="00215B92" w:rsidRDefault="00215B92" w:rsidP="00215B92"/>
    <w:p w14:paraId="3F4F3973" w14:textId="77777777" w:rsidR="00215B92" w:rsidRDefault="00215B92" w:rsidP="00215B92"/>
    <w:p w14:paraId="5D5BD7BA" w14:textId="77777777" w:rsidR="00215B92" w:rsidRDefault="00215B92" w:rsidP="00215B92"/>
    <w:p w14:paraId="276FEA71" w14:textId="77777777" w:rsidR="00215B92" w:rsidRDefault="00215B92" w:rsidP="00215B92"/>
    <w:p w14:paraId="0B81ABCC" w14:textId="77777777" w:rsidR="00215B92" w:rsidRDefault="00215B92" w:rsidP="00215B92"/>
    <w:p w14:paraId="08A8742D" w14:textId="77777777" w:rsidR="00215B92" w:rsidRDefault="00E8287D" w:rsidP="00F90A31">
      <w:pPr>
        <w:tabs>
          <w:tab w:val="center" w:pos="4680"/>
        </w:tabs>
      </w:pPr>
      <w:r>
        <w:rPr>
          <w:noProof/>
        </w:rPr>
        <w:lastRenderedPageBreak/>
        <w:object w:dxaOrig="1440" w:dyaOrig="1440" w14:anchorId="5627ED0E">
          <v:shape id="_x0000_s1078" type="#_x0000_t75" style="position:absolute;margin-left:-45.6pt;margin-top:.35pt;width:626.45pt;height:666.75pt;z-index:-251623424;mso-position-horizontal-relative:text;mso-position-vertical-relative:text;mso-width-relative:page;mso-height-relative:page">
            <v:imagedata r:id="rId12" o:title=""/>
          </v:shape>
          <o:OLEObject Type="Embed" ProgID="Excel.Sheet.12" ShapeID="_x0000_s1078" DrawAspect="Content" ObjectID="_1743608287" r:id="rId13"/>
        </w:object>
      </w:r>
      <w:r w:rsidR="00F90A31">
        <w:tab/>
      </w:r>
    </w:p>
    <w:p w14:paraId="417D8544" w14:textId="77777777" w:rsidR="00215B92" w:rsidRPr="00215B92" w:rsidRDefault="003926A7" w:rsidP="003926A7">
      <w:pPr>
        <w:tabs>
          <w:tab w:val="left" w:pos="5619"/>
        </w:tabs>
      </w:pPr>
      <w:r>
        <w:tab/>
      </w:r>
    </w:p>
    <w:p w14:paraId="076E4DE9" w14:textId="77777777" w:rsidR="00372F40" w:rsidRDefault="00372F40" w:rsidP="003E7FD0">
      <w:pPr>
        <w:jc w:val="center"/>
      </w:pPr>
    </w:p>
    <w:p w14:paraId="2DAF8CB5" w14:textId="77777777" w:rsidR="00215B92" w:rsidRDefault="000B54AD" w:rsidP="007769DF">
      <w:r>
        <w:br w:type="textWrapping" w:clear="all"/>
      </w:r>
    </w:p>
    <w:p w14:paraId="42B5C3E9" w14:textId="77777777" w:rsidR="00215B92" w:rsidRPr="00215B92" w:rsidRDefault="00215B92" w:rsidP="00215B92"/>
    <w:p w14:paraId="52299869" w14:textId="77777777" w:rsidR="00215B92" w:rsidRDefault="00215B92" w:rsidP="002A379D">
      <w:pPr>
        <w:jc w:val="center"/>
      </w:pPr>
    </w:p>
    <w:p w14:paraId="20C8DB06" w14:textId="77777777" w:rsidR="00372F40" w:rsidRDefault="00372F40" w:rsidP="00215B92">
      <w:pPr>
        <w:ind w:firstLine="708"/>
      </w:pPr>
    </w:p>
    <w:p w14:paraId="548737B7" w14:textId="77777777" w:rsidR="00215B92" w:rsidRDefault="00215B92" w:rsidP="00215B92">
      <w:pPr>
        <w:ind w:firstLine="708"/>
      </w:pPr>
    </w:p>
    <w:p w14:paraId="62714CB5" w14:textId="77777777" w:rsidR="00215B92" w:rsidRDefault="00215B92" w:rsidP="00215B92">
      <w:pPr>
        <w:ind w:firstLine="708"/>
      </w:pPr>
    </w:p>
    <w:p w14:paraId="2F98A4CE" w14:textId="77777777" w:rsidR="00215B92" w:rsidRDefault="00774FD3" w:rsidP="00774FD3">
      <w:pPr>
        <w:tabs>
          <w:tab w:val="left" w:pos="4274"/>
        </w:tabs>
        <w:ind w:firstLine="708"/>
      </w:pPr>
      <w:r>
        <w:tab/>
      </w:r>
    </w:p>
    <w:p w14:paraId="0DF73FA4" w14:textId="77777777" w:rsidR="00215B92" w:rsidRDefault="00215B92" w:rsidP="00F90A31">
      <w:pPr>
        <w:ind w:firstLine="708"/>
        <w:jc w:val="center"/>
      </w:pPr>
    </w:p>
    <w:p w14:paraId="61513105" w14:textId="77777777" w:rsidR="00215B92" w:rsidRDefault="00215B92" w:rsidP="00215B92">
      <w:pPr>
        <w:ind w:firstLine="708"/>
      </w:pPr>
    </w:p>
    <w:p w14:paraId="02D280BC" w14:textId="77777777" w:rsidR="00215B92" w:rsidRDefault="00215B92" w:rsidP="00215B92">
      <w:pPr>
        <w:ind w:firstLine="708"/>
      </w:pPr>
    </w:p>
    <w:p w14:paraId="60A15FB2" w14:textId="77777777" w:rsidR="00215B92" w:rsidRDefault="00215B92" w:rsidP="00215B92">
      <w:pPr>
        <w:ind w:firstLine="708"/>
      </w:pPr>
    </w:p>
    <w:p w14:paraId="29E120BC" w14:textId="77777777" w:rsidR="00215B92" w:rsidRDefault="00215B92" w:rsidP="00215B92">
      <w:pPr>
        <w:ind w:firstLine="708"/>
      </w:pPr>
    </w:p>
    <w:p w14:paraId="3CB19A73" w14:textId="77777777" w:rsidR="00215B92" w:rsidRDefault="00215B92" w:rsidP="00215B92">
      <w:pPr>
        <w:ind w:firstLine="708"/>
      </w:pPr>
    </w:p>
    <w:p w14:paraId="047EF291" w14:textId="77777777" w:rsidR="00215B92" w:rsidRDefault="00215B92" w:rsidP="00215B92">
      <w:pPr>
        <w:ind w:firstLine="708"/>
      </w:pPr>
    </w:p>
    <w:p w14:paraId="152C4E6A" w14:textId="77777777" w:rsidR="00215B92" w:rsidRDefault="00215B92" w:rsidP="00215B92">
      <w:pPr>
        <w:ind w:firstLine="708"/>
      </w:pPr>
    </w:p>
    <w:p w14:paraId="5FC8F2A7" w14:textId="77777777" w:rsidR="00215B92" w:rsidRDefault="00215B92" w:rsidP="00215B92">
      <w:pPr>
        <w:ind w:firstLine="708"/>
      </w:pPr>
    </w:p>
    <w:p w14:paraId="3B11C8B6" w14:textId="77777777" w:rsidR="00215B92" w:rsidRDefault="00215B92" w:rsidP="00215B92">
      <w:pPr>
        <w:ind w:firstLine="708"/>
      </w:pPr>
    </w:p>
    <w:p w14:paraId="344DB201" w14:textId="77777777" w:rsidR="00215B92" w:rsidRDefault="00215B92" w:rsidP="00215B92">
      <w:pPr>
        <w:ind w:firstLine="708"/>
      </w:pPr>
    </w:p>
    <w:p w14:paraId="23B29992" w14:textId="77777777" w:rsidR="00215B92" w:rsidRDefault="00215B92" w:rsidP="00215B92">
      <w:pPr>
        <w:ind w:firstLine="708"/>
      </w:pPr>
    </w:p>
    <w:p w14:paraId="15BA3B47" w14:textId="77777777" w:rsidR="00215B92" w:rsidRDefault="00215B92" w:rsidP="00215B92">
      <w:pPr>
        <w:ind w:firstLine="708"/>
      </w:pPr>
    </w:p>
    <w:p w14:paraId="2480BFFA" w14:textId="77777777" w:rsidR="00215B92" w:rsidRDefault="00215B92" w:rsidP="00215B92">
      <w:pPr>
        <w:ind w:firstLine="708"/>
      </w:pPr>
    </w:p>
    <w:p w14:paraId="7A51A199" w14:textId="77777777" w:rsidR="00215B92" w:rsidRDefault="00215B92" w:rsidP="00215B92">
      <w:pPr>
        <w:ind w:firstLine="708"/>
      </w:pPr>
    </w:p>
    <w:p w14:paraId="28B16B3C" w14:textId="77777777" w:rsidR="00215B92" w:rsidRDefault="00215B92" w:rsidP="00215B92">
      <w:pPr>
        <w:ind w:firstLine="708"/>
      </w:pPr>
    </w:p>
    <w:p w14:paraId="396BB1FE" w14:textId="77777777" w:rsidR="00215B92" w:rsidRDefault="00F21F02" w:rsidP="00215B92">
      <w:pPr>
        <w:ind w:firstLine="708"/>
      </w:pPr>
      <w:r>
        <w:lastRenderedPageBreak/>
        <w:t xml:space="preserve"> </w:t>
      </w:r>
    </w:p>
    <w:p w14:paraId="739824E7" w14:textId="77777777" w:rsidR="00215B92" w:rsidRDefault="00E8287D" w:rsidP="00215B92">
      <w:pPr>
        <w:ind w:firstLine="708"/>
      </w:pPr>
      <w:r>
        <w:rPr>
          <w:noProof/>
        </w:rPr>
        <w:object w:dxaOrig="1440" w:dyaOrig="1440" w14:anchorId="54BE0AF3">
          <v:shape id="_x0000_s1071" type="#_x0000_t75" style="position:absolute;left:0;text-align:left;margin-left:-61.2pt;margin-top:13.15pt;width:584.95pt;height:650pt;z-index:251683840;mso-position-horizontal-relative:text;mso-position-vertical-relative:text">
            <v:imagedata r:id="rId14" o:title=""/>
            <w10:wrap side="right"/>
          </v:shape>
          <o:OLEObject Type="Embed" ProgID="Excel.Sheet.12" ShapeID="_x0000_s1071" DrawAspect="Content" ObjectID="_1743608288" r:id="rId15"/>
        </w:object>
      </w:r>
    </w:p>
    <w:p w14:paraId="2ECCA4A2" w14:textId="77777777" w:rsidR="00215B92" w:rsidRDefault="00215B92" w:rsidP="00215B92">
      <w:pPr>
        <w:ind w:firstLine="708"/>
      </w:pPr>
    </w:p>
    <w:p w14:paraId="7BD4B849" w14:textId="77777777" w:rsidR="00215B92" w:rsidRDefault="00215B92" w:rsidP="00215B92">
      <w:pPr>
        <w:ind w:firstLine="708"/>
      </w:pPr>
    </w:p>
    <w:p w14:paraId="2AAEB5C4" w14:textId="77777777" w:rsidR="00215B92" w:rsidRDefault="00215B92" w:rsidP="00215B92">
      <w:pPr>
        <w:ind w:firstLine="708"/>
      </w:pPr>
    </w:p>
    <w:p w14:paraId="0B7FF3C0" w14:textId="77777777" w:rsidR="00215B92" w:rsidRDefault="00215B92" w:rsidP="00215B92">
      <w:pPr>
        <w:ind w:firstLine="708"/>
      </w:pPr>
    </w:p>
    <w:p w14:paraId="46B6D488" w14:textId="77777777" w:rsidR="00215B92" w:rsidRDefault="00215B92" w:rsidP="00215B92">
      <w:pPr>
        <w:ind w:firstLine="708"/>
      </w:pPr>
    </w:p>
    <w:p w14:paraId="6F043FB1" w14:textId="77777777" w:rsidR="00215B92" w:rsidRDefault="00215B92" w:rsidP="00215B92">
      <w:pPr>
        <w:ind w:firstLine="708"/>
      </w:pPr>
    </w:p>
    <w:p w14:paraId="110C64C9" w14:textId="77777777" w:rsidR="00215B92" w:rsidRDefault="00215B92" w:rsidP="00215B92">
      <w:pPr>
        <w:ind w:firstLine="708"/>
      </w:pPr>
    </w:p>
    <w:p w14:paraId="238333AF" w14:textId="77777777" w:rsidR="00215B92" w:rsidRDefault="00215B92" w:rsidP="00215B92">
      <w:pPr>
        <w:ind w:firstLine="708"/>
      </w:pPr>
    </w:p>
    <w:p w14:paraId="7B62910B" w14:textId="77777777" w:rsidR="00215B92" w:rsidRDefault="00215B92" w:rsidP="00215B92">
      <w:pPr>
        <w:ind w:firstLine="708"/>
      </w:pPr>
    </w:p>
    <w:p w14:paraId="0F635659" w14:textId="77777777" w:rsidR="00215B92" w:rsidRDefault="00215B92" w:rsidP="00215B92">
      <w:pPr>
        <w:ind w:firstLine="708"/>
      </w:pPr>
    </w:p>
    <w:p w14:paraId="70F457D7" w14:textId="77777777" w:rsidR="00215B92" w:rsidRDefault="00215B92" w:rsidP="00215B92">
      <w:pPr>
        <w:ind w:firstLine="708"/>
      </w:pPr>
    </w:p>
    <w:p w14:paraId="68DAC631" w14:textId="77777777" w:rsidR="00215B92" w:rsidRDefault="00215B92" w:rsidP="00215B92">
      <w:pPr>
        <w:ind w:firstLine="708"/>
      </w:pPr>
    </w:p>
    <w:p w14:paraId="2BF24601" w14:textId="77777777" w:rsidR="00215B92" w:rsidRDefault="00215B92" w:rsidP="00215B92">
      <w:pPr>
        <w:ind w:firstLine="708"/>
      </w:pPr>
    </w:p>
    <w:p w14:paraId="0874660A" w14:textId="77777777" w:rsidR="00215B92" w:rsidRDefault="00215B92" w:rsidP="00215B92">
      <w:pPr>
        <w:ind w:firstLine="708"/>
      </w:pPr>
    </w:p>
    <w:p w14:paraId="747B40A8" w14:textId="77777777" w:rsidR="00215B92" w:rsidRDefault="00215B92" w:rsidP="00215B92">
      <w:pPr>
        <w:ind w:firstLine="708"/>
      </w:pPr>
    </w:p>
    <w:p w14:paraId="376C619F" w14:textId="77777777" w:rsidR="00954BB8" w:rsidRDefault="00954BB8" w:rsidP="00215B92">
      <w:pPr>
        <w:ind w:firstLine="708"/>
      </w:pPr>
    </w:p>
    <w:p w14:paraId="53E9DC83" w14:textId="77777777" w:rsidR="00954BB8" w:rsidRDefault="00954BB8" w:rsidP="00215B92">
      <w:pPr>
        <w:ind w:firstLine="708"/>
      </w:pPr>
    </w:p>
    <w:p w14:paraId="4DBD7FEE" w14:textId="77777777" w:rsidR="00954BB8" w:rsidRDefault="00954BB8" w:rsidP="00215B92">
      <w:pPr>
        <w:ind w:firstLine="708"/>
      </w:pPr>
    </w:p>
    <w:p w14:paraId="79E1AE57" w14:textId="77777777" w:rsidR="00954BB8" w:rsidRDefault="00954BB8" w:rsidP="00215B92">
      <w:pPr>
        <w:ind w:firstLine="708"/>
      </w:pPr>
    </w:p>
    <w:p w14:paraId="61EA3A7C" w14:textId="77777777" w:rsidR="00954BB8" w:rsidRDefault="00954BB8" w:rsidP="00215B92">
      <w:pPr>
        <w:ind w:firstLine="708"/>
      </w:pPr>
    </w:p>
    <w:p w14:paraId="71D2A30D" w14:textId="77777777" w:rsidR="00954BB8" w:rsidRDefault="00954BB8" w:rsidP="00215B92">
      <w:pPr>
        <w:ind w:firstLine="708"/>
      </w:pPr>
    </w:p>
    <w:p w14:paraId="38C61B2A" w14:textId="77777777" w:rsidR="00954BB8" w:rsidRDefault="00954BB8" w:rsidP="00215B92">
      <w:pPr>
        <w:ind w:firstLine="708"/>
      </w:pPr>
    </w:p>
    <w:p w14:paraId="230CF466" w14:textId="77777777" w:rsidR="00954BB8" w:rsidRDefault="00954BB8" w:rsidP="00215B92">
      <w:pPr>
        <w:ind w:firstLine="708"/>
      </w:pPr>
    </w:p>
    <w:p w14:paraId="4308B43D" w14:textId="77777777" w:rsidR="00954BB8" w:rsidRDefault="00954BB8" w:rsidP="00215B92">
      <w:pPr>
        <w:ind w:firstLine="708"/>
      </w:pPr>
    </w:p>
    <w:p w14:paraId="3FF75111" w14:textId="77777777" w:rsidR="00954BB8" w:rsidRDefault="00954BB8" w:rsidP="00215B92">
      <w:pPr>
        <w:ind w:firstLine="708"/>
      </w:pPr>
    </w:p>
    <w:p w14:paraId="0DEDC8E7" w14:textId="77777777" w:rsidR="00954BB8" w:rsidRDefault="00E8287D" w:rsidP="00215B92">
      <w:pPr>
        <w:ind w:firstLine="708"/>
      </w:pPr>
      <w:r>
        <w:rPr>
          <w:noProof/>
        </w:rPr>
        <w:lastRenderedPageBreak/>
        <w:object w:dxaOrig="1440" w:dyaOrig="1440" w14:anchorId="19B6F674">
          <v:shape id="_x0000_s1080" type="#_x0000_t75" style="position:absolute;left:0;text-align:left;margin-left:-40.05pt;margin-top:23.3pt;width:549.3pt;height:663.55pt;z-index:251697152;mso-position-horizontal-relative:text;mso-position-vertical-relative:text;mso-width-relative:page;mso-height-relative:page">
            <v:imagedata r:id="rId16" o:title=""/>
          </v:shape>
          <o:OLEObject Type="Embed" ProgID="Excel.Sheet.12" ShapeID="_x0000_s1080" DrawAspect="Content" ObjectID="_1743608289" r:id="rId17"/>
        </w:object>
      </w:r>
    </w:p>
    <w:p w14:paraId="76410395" w14:textId="77777777" w:rsidR="00954BB8" w:rsidRDefault="00954BB8" w:rsidP="00215B92">
      <w:pPr>
        <w:ind w:firstLine="708"/>
      </w:pPr>
    </w:p>
    <w:p w14:paraId="373357C7" w14:textId="77777777" w:rsidR="00954BB8" w:rsidRDefault="00954BB8" w:rsidP="00215B92">
      <w:pPr>
        <w:ind w:firstLine="708"/>
      </w:pPr>
    </w:p>
    <w:p w14:paraId="47BB2F74" w14:textId="77777777" w:rsidR="00954BB8" w:rsidRDefault="00954BB8" w:rsidP="00215B92">
      <w:pPr>
        <w:ind w:firstLine="708"/>
      </w:pPr>
    </w:p>
    <w:p w14:paraId="73185DE3" w14:textId="77777777" w:rsidR="00954BB8" w:rsidRDefault="00954BB8" w:rsidP="00215B92">
      <w:pPr>
        <w:ind w:firstLine="708"/>
      </w:pPr>
    </w:p>
    <w:p w14:paraId="08D6CB20" w14:textId="77777777" w:rsidR="00954BB8" w:rsidRDefault="00954BB8" w:rsidP="00215B92">
      <w:pPr>
        <w:ind w:firstLine="708"/>
      </w:pPr>
    </w:p>
    <w:p w14:paraId="333B2F44" w14:textId="77777777" w:rsidR="00954BB8" w:rsidRDefault="00954BB8" w:rsidP="00215B92">
      <w:pPr>
        <w:ind w:firstLine="708"/>
      </w:pPr>
    </w:p>
    <w:p w14:paraId="009116BA" w14:textId="77777777" w:rsidR="00954BB8" w:rsidRDefault="00954BB8" w:rsidP="00215B92">
      <w:pPr>
        <w:ind w:firstLine="708"/>
      </w:pPr>
    </w:p>
    <w:p w14:paraId="59219AEF" w14:textId="77777777" w:rsidR="00954BB8" w:rsidRDefault="00954BB8" w:rsidP="00215B92">
      <w:pPr>
        <w:ind w:firstLine="708"/>
      </w:pPr>
    </w:p>
    <w:p w14:paraId="7941B9F5" w14:textId="77777777" w:rsidR="00954BB8" w:rsidRDefault="00954BB8" w:rsidP="00215B92">
      <w:pPr>
        <w:ind w:firstLine="708"/>
      </w:pPr>
    </w:p>
    <w:p w14:paraId="6987F053" w14:textId="77777777" w:rsidR="00954BB8" w:rsidRDefault="00954BB8" w:rsidP="00215B92">
      <w:pPr>
        <w:ind w:firstLine="708"/>
      </w:pPr>
    </w:p>
    <w:p w14:paraId="1F1B97F7" w14:textId="77777777" w:rsidR="00954BB8" w:rsidRDefault="00954BB8" w:rsidP="00215B92">
      <w:pPr>
        <w:ind w:firstLine="708"/>
      </w:pPr>
    </w:p>
    <w:p w14:paraId="00A1A338" w14:textId="77777777" w:rsidR="00954BB8" w:rsidRDefault="00954BB8" w:rsidP="00215B92">
      <w:pPr>
        <w:ind w:firstLine="708"/>
      </w:pPr>
    </w:p>
    <w:p w14:paraId="53FF4F91" w14:textId="77777777" w:rsidR="00954BB8" w:rsidRDefault="00954BB8" w:rsidP="00215B92">
      <w:pPr>
        <w:ind w:firstLine="708"/>
      </w:pPr>
    </w:p>
    <w:p w14:paraId="049C5EAC" w14:textId="77777777" w:rsidR="00954BB8" w:rsidRDefault="00954BB8" w:rsidP="00215B92">
      <w:pPr>
        <w:ind w:firstLine="708"/>
      </w:pPr>
    </w:p>
    <w:p w14:paraId="7DE8A820" w14:textId="77777777" w:rsidR="00954BB8" w:rsidRDefault="00954BB8" w:rsidP="00215B92">
      <w:pPr>
        <w:ind w:firstLine="708"/>
      </w:pPr>
    </w:p>
    <w:p w14:paraId="6186C3F1" w14:textId="77777777" w:rsidR="00954BB8" w:rsidRDefault="00954BB8" w:rsidP="00215B92">
      <w:pPr>
        <w:ind w:firstLine="708"/>
      </w:pPr>
    </w:p>
    <w:p w14:paraId="0A17D92F" w14:textId="77777777" w:rsidR="00954BB8" w:rsidRDefault="00954BB8" w:rsidP="00215B92">
      <w:pPr>
        <w:ind w:firstLine="708"/>
      </w:pPr>
    </w:p>
    <w:p w14:paraId="4FF39160" w14:textId="77777777" w:rsidR="00954BB8" w:rsidRDefault="00954BB8" w:rsidP="00215B92">
      <w:pPr>
        <w:ind w:firstLine="708"/>
      </w:pPr>
    </w:p>
    <w:p w14:paraId="4E1CFDA5" w14:textId="77777777" w:rsidR="00954BB8" w:rsidRDefault="00954BB8" w:rsidP="00215B92">
      <w:pPr>
        <w:ind w:firstLine="708"/>
      </w:pPr>
    </w:p>
    <w:p w14:paraId="493B80C0" w14:textId="77777777" w:rsidR="00954BB8" w:rsidRDefault="00954BB8" w:rsidP="00215B92">
      <w:pPr>
        <w:ind w:firstLine="708"/>
      </w:pPr>
    </w:p>
    <w:p w14:paraId="0AC72F7A" w14:textId="77777777" w:rsidR="00954BB8" w:rsidRDefault="00954BB8" w:rsidP="00215B92">
      <w:pPr>
        <w:ind w:firstLine="708"/>
      </w:pPr>
    </w:p>
    <w:p w14:paraId="16751A1D" w14:textId="77777777" w:rsidR="00954BB8" w:rsidRDefault="00954BB8" w:rsidP="00215B92">
      <w:pPr>
        <w:ind w:firstLine="708"/>
      </w:pPr>
    </w:p>
    <w:p w14:paraId="25778641" w14:textId="77777777" w:rsidR="00954BB8" w:rsidRDefault="00954BB8" w:rsidP="00215B92">
      <w:pPr>
        <w:ind w:firstLine="708"/>
      </w:pPr>
    </w:p>
    <w:p w14:paraId="75663C88" w14:textId="77777777" w:rsidR="00954BB8" w:rsidRDefault="00954BB8" w:rsidP="00215B92">
      <w:pPr>
        <w:ind w:firstLine="708"/>
      </w:pPr>
    </w:p>
    <w:p w14:paraId="6E2D3433" w14:textId="77777777" w:rsidR="00954BB8" w:rsidRDefault="00954BB8" w:rsidP="00215B92">
      <w:pPr>
        <w:ind w:firstLine="708"/>
      </w:pPr>
    </w:p>
    <w:p w14:paraId="57388009" w14:textId="77777777" w:rsidR="00954BB8" w:rsidRDefault="00954BB8" w:rsidP="00215B92">
      <w:pPr>
        <w:ind w:firstLine="708"/>
      </w:pPr>
    </w:p>
    <w:p w14:paraId="2D94CEAF" w14:textId="77777777" w:rsidR="00954BB8" w:rsidRDefault="00954BB8" w:rsidP="00215B92">
      <w:pPr>
        <w:ind w:firstLine="708"/>
      </w:pPr>
    </w:p>
    <w:p w14:paraId="40C9DB41" w14:textId="77777777" w:rsidR="00954BB8" w:rsidRDefault="00E8287D" w:rsidP="00215B92">
      <w:pPr>
        <w:ind w:firstLine="708"/>
      </w:pPr>
      <w:r>
        <w:rPr>
          <w:noProof/>
        </w:rPr>
        <w:object w:dxaOrig="1440" w:dyaOrig="1440" w14:anchorId="1B198261">
          <v:shape id="_x0000_s1064" type="#_x0000_t75" style="position:absolute;left:0;text-align:left;margin-left:-43.8pt;margin-top:14.05pt;width:544.15pt;height:624.1pt;z-index:251679744;mso-position-horizontal-relative:text;mso-position-vertical-relative:text">
            <v:imagedata r:id="rId18" o:title=""/>
            <w10:wrap side="right"/>
          </v:shape>
          <o:OLEObject Type="Embed" ProgID="Excel.Sheet.12" ShapeID="_x0000_s1064" DrawAspect="Content" ObjectID="_1743608290" r:id="rId19"/>
        </w:object>
      </w:r>
    </w:p>
    <w:p w14:paraId="1AED11A0" w14:textId="77777777" w:rsidR="00215B92" w:rsidRDefault="00215B92" w:rsidP="00215B92">
      <w:pPr>
        <w:ind w:firstLine="708"/>
      </w:pPr>
    </w:p>
    <w:p w14:paraId="13C9E5C5" w14:textId="77777777" w:rsidR="00215B92" w:rsidRDefault="00215B92" w:rsidP="00215B92">
      <w:pPr>
        <w:ind w:firstLine="708"/>
      </w:pPr>
    </w:p>
    <w:p w14:paraId="43806459" w14:textId="77777777" w:rsidR="00215B92" w:rsidRDefault="00215B92" w:rsidP="00215B92">
      <w:pPr>
        <w:ind w:firstLine="708"/>
      </w:pPr>
    </w:p>
    <w:p w14:paraId="2F96837F" w14:textId="77777777" w:rsidR="00215B92" w:rsidRDefault="00215B92" w:rsidP="00215B92">
      <w:pPr>
        <w:ind w:firstLine="708"/>
      </w:pPr>
    </w:p>
    <w:p w14:paraId="3C3F7ED2" w14:textId="77777777" w:rsidR="00215B92" w:rsidRDefault="00215B92" w:rsidP="00215B92">
      <w:pPr>
        <w:ind w:firstLine="708"/>
      </w:pPr>
    </w:p>
    <w:p w14:paraId="6AF11667" w14:textId="77777777" w:rsidR="00215B92" w:rsidRDefault="00215B92" w:rsidP="00215B92">
      <w:pPr>
        <w:ind w:firstLine="708"/>
      </w:pPr>
    </w:p>
    <w:p w14:paraId="3DF55EA3" w14:textId="77777777" w:rsidR="00215B92" w:rsidRDefault="00215B92" w:rsidP="00215B92">
      <w:pPr>
        <w:ind w:firstLine="708"/>
      </w:pPr>
    </w:p>
    <w:p w14:paraId="093C5861" w14:textId="77777777" w:rsidR="00215B92" w:rsidRDefault="00215B92" w:rsidP="00215B92">
      <w:pPr>
        <w:ind w:firstLine="708"/>
      </w:pPr>
    </w:p>
    <w:p w14:paraId="6B172773" w14:textId="77777777" w:rsidR="00215B92" w:rsidRDefault="00215B92" w:rsidP="00215B92">
      <w:pPr>
        <w:ind w:firstLine="708"/>
      </w:pPr>
    </w:p>
    <w:p w14:paraId="7251590A" w14:textId="77777777" w:rsidR="00215B92" w:rsidRDefault="00215B92" w:rsidP="00215B92">
      <w:pPr>
        <w:ind w:firstLine="708"/>
      </w:pPr>
    </w:p>
    <w:p w14:paraId="35D1D4FC" w14:textId="77777777" w:rsidR="00215B92" w:rsidRDefault="00215B92" w:rsidP="00215B92">
      <w:pPr>
        <w:ind w:firstLine="708"/>
      </w:pPr>
    </w:p>
    <w:p w14:paraId="4DE4A73B" w14:textId="77777777" w:rsidR="00215B92" w:rsidRDefault="00215B92" w:rsidP="00215B92">
      <w:pPr>
        <w:ind w:firstLine="708"/>
      </w:pPr>
    </w:p>
    <w:p w14:paraId="57F05A8C" w14:textId="77777777" w:rsidR="00215B92" w:rsidRDefault="00215B92" w:rsidP="00215B92">
      <w:pPr>
        <w:ind w:firstLine="708"/>
      </w:pPr>
    </w:p>
    <w:p w14:paraId="3ACE9E14" w14:textId="77777777" w:rsidR="00215B92" w:rsidRDefault="00215B92" w:rsidP="00215B92">
      <w:pPr>
        <w:ind w:firstLine="708"/>
      </w:pPr>
    </w:p>
    <w:p w14:paraId="23932A5A" w14:textId="77777777" w:rsidR="00215B92" w:rsidRDefault="00215B92" w:rsidP="00215B92">
      <w:pPr>
        <w:ind w:firstLine="708"/>
      </w:pPr>
    </w:p>
    <w:p w14:paraId="5FCC844D" w14:textId="77777777" w:rsidR="00F302C1" w:rsidRDefault="00F302C1" w:rsidP="00215B92">
      <w:pPr>
        <w:ind w:firstLine="708"/>
      </w:pPr>
    </w:p>
    <w:p w14:paraId="43FC745C" w14:textId="77777777" w:rsidR="00F302C1" w:rsidRDefault="00F302C1" w:rsidP="00215B92">
      <w:pPr>
        <w:ind w:firstLine="708"/>
      </w:pPr>
    </w:p>
    <w:p w14:paraId="4708C6F6" w14:textId="77777777" w:rsidR="00F302C1" w:rsidRDefault="00F302C1" w:rsidP="00215B92">
      <w:pPr>
        <w:ind w:firstLine="708"/>
      </w:pPr>
    </w:p>
    <w:p w14:paraId="36C5A788" w14:textId="77777777" w:rsidR="00F302C1" w:rsidRDefault="00F302C1" w:rsidP="00215B92">
      <w:pPr>
        <w:ind w:firstLine="708"/>
      </w:pPr>
    </w:p>
    <w:p w14:paraId="57B8CFEA" w14:textId="77777777" w:rsidR="00F302C1" w:rsidRDefault="00F302C1" w:rsidP="00215B92">
      <w:pPr>
        <w:ind w:firstLine="708"/>
      </w:pPr>
    </w:p>
    <w:p w14:paraId="680D3718" w14:textId="77777777" w:rsidR="00F302C1" w:rsidRDefault="00F302C1" w:rsidP="00215B92">
      <w:pPr>
        <w:ind w:firstLine="708"/>
      </w:pPr>
    </w:p>
    <w:p w14:paraId="5E0793EB" w14:textId="77777777" w:rsidR="00F302C1" w:rsidRDefault="00F302C1" w:rsidP="00215B92">
      <w:pPr>
        <w:ind w:firstLine="708"/>
      </w:pPr>
    </w:p>
    <w:p w14:paraId="63C29668" w14:textId="77777777" w:rsidR="00F302C1" w:rsidRDefault="00F302C1" w:rsidP="00215B92">
      <w:pPr>
        <w:ind w:firstLine="708"/>
      </w:pPr>
    </w:p>
    <w:p w14:paraId="3B10ED2C" w14:textId="77777777" w:rsidR="00F302C1" w:rsidRDefault="00F302C1" w:rsidP="00215B92">
      <w:pPr>
        <w:ind w:firstLine="708"/>
      </w:pPr>
    </w:p>
    <w:p w14:paraId="13677F36" w14:textId="77777777" w:rsidR="00F302C1" w:rsidRDefault="00F302C1" w:rsidP="00215B92">
      <w:pPr>
        <w:ind w:firstLine="708"/>
      </w:pPr>
    </w:p>
    <w:p w14:paraId="04880660" w14:textId="77777777" w:rsidR="00F302C1" w:rsidRDefault="00E8287D" w:rsidP="00215B92">
      <w:pPr>
        <w:ind w:firstLine="708"/>
      </w:pPr>
      <w:r>
        <w:rPr>
          <w:noProof/>
        </w:rPr>
        <w:lastRenderedPageBreak/>
        <w:object w:dxaOrig="1440" w:dyaOrig="1440" w14:anchorId="3CAB8C98">
          <v:shape id="_x0000_s1079" type="#_x0000_t75" style="position:absolute;left:0;text-align:left;margin-left:-36.55pt;margin-top:19.15pt;width:551.15pt;height:661.5pt;z-index:251695104;mso-position-horizontal-relative:text;mso-position-vertical-relative:text;mso-width-relative:page;mso-height-relative:page">
            <v:imagedata r:id="rId20" o:title=""/>
          </v:shape>
          <o:OLEObject Type="Embed" ProgID="Excel.Sheet.12" ShapeID="_x0000_s1079" DrawAspect="Content" ObjectID="_1743608291" r:id="rId21"/>
        </w:object>
      </w:r>
    </w:p>
    <w:p w14:paraId="7169367C" w14:textId="77777777" w:rsidR="00F302C1" w:rsidRDefault="00F302C1" w:rsidP="00215B92">
      <w:pPr>
        <w:ind w:firstLine="708"/>
      </w:pPr>
    </w:p>
    <w:p w14:paraId="6C5C3A4A" w14:textId="77777777" w:rsidR="00F302C1" w:rsidRDefault="00F302C1" w:rsidP="00215B92">
      <w:pPr>
        <w:ind w:firstLine="708"/>
      </w:pPr>
    </w:p>
    <w:p w14:paraId="293523D8" w14:textId="77777777" w:rsidR="00F302C1" w:rsidRDefault="00F302C1" w:rsidP="00215B92">
      <w:pPr>
        <w:ind w:firstLine="708"/>
      </w:pPr>
    </w:p>
    <w:p w14:paraId="76ACCBCA" w14:textId="77777777" w:rsidR="00F302C1" w:rsidRDefault="00F302C1" w:rsidP="00215B92">
      <w:pPr>
        <w:ind w:firstLine="708"/>
      </w:pPr>
    </w:p>
    <w:p w14:paraId="5E12F8AC" w14:textId="77777777" w:rsidR="00F302C1" w:rsidRDefault="00F302C1" w:rsidP="00215B92">
      <w:pPr>
        <w:ind w:firstLine="708"/>
      </w:pPr>
    </w:p>
    <w:p w14:paraId="18DAB4BB" w14:textId="77777777" w:rsidR="00F302C1" w:rsidRDefault="00F302C1" w:rsidP="00215B92">
      <w:pPr>
        <w:ind w:firstLine="708"/>
      </w:pPr>
    </w:p>
    <w:p w14:paraId="19542009" w14:textId="77777777" w:rsidR="00F302C1" w:rsidRDefault="00F302C1" w:rsidP="00215B92">
      <w:pPr>
        <w:ind w:firstLine="708"/>
      </w:pPr>
    </w:p>
    <w:p w14:paraId="4B5DB24A" w14:textId="77777777" w:rsidR="00F302C1" w:rsidRDefault="00F302C1" w:rsidP="00215B92">
      <w:pPr>
        <w:ind w:firstLine="708"/>
      </w:pPr>
    </w:p>
    <w:p w14:paraId="648DA37D" w14:textId="77777777" w:rsidR="00F302C1" w:rsidRDefault="00F302C1" w:rsidP="00215B92">
      <w:pPr>
        <w:ind w:firstLine="708"/>
      </w:pPr>
    </w:p>
    <w:p w14:paraId="28C5CDC0" w14:textId="77777777" w:rsidR="00F302C1" w:rsidRDefault="00F302C1" w:rsidP="00215B92">
      <w:pPr>
        <w:ind w:firstLine="708"/>
      </w:pPr>
    </w:p>
    <w:p w14:paraId="47730256" w14:textId="77777777" w:rsidR="00F302C1" w:rsidRDefault="00F302C1" w:rsidP="00215B92">
      <w:pPr>
        <w:ind w:firstLine="708"/>
      </w:pPr>
    </w:p>
    <w:p w14:paraId="222D70F0" w14:textId="77777777" w:rsidR="00F302C1" w:rsidRDefault="00F302C1" w:rsidP="00215B92">
      <w:pPr>
        <w:ind w:firstLine="708"/>
      </w:pPr>
    </w:p>
    <w:p w14:paraId="44527CE8" w14:textId="77777777" w:rsidR="00F302C1" w:rsidRDefault="00F302C1" w:rsidP="00215B92">
      <w:pPr>
        <w:ind w:firstLine="708"/>
      </w:pPr>
    </w:p>
    <w:p w14:paraId="2B8EA254" w14:textId="77777777" w:rsidR="00F302C1" w:rsidRDefault="00F302C1" w:rsidP="00215B92">
      <w:pPr>
        <w:ind w:firstLine="708"/>
      </w:pPr>
    </w:p>
    <w:p w14:paraId="19F64663" w14:textId="77777777" w:rsidR="00F302C1" w:rsidRDefault="00F302C1" w:rsidP="00215B92">
      <w:pPr>
        <w:ind w:firstLine="708"/>
      </w:pPr>
    </w:p>
    <w:p w14:paraId="17F6FD96" w14:textId="77777777" w:rsidR="00F302C1" w:rsidRDefault="00F302C1" w:rsidP="00215B92">
      <w:pPr>
        <w:ind w:firstLine="708"/>
      </w:pPr>
    </w:p>
    <w:p w14:paraId="796B311D" w14:textId="77777777" w:rsidR="00F302C1" w:rsidRDefault="00F302C1" w:rsidP="00215B92">
      <w:pPr>
        <w:ind w:firstLine="708"/>
      </w:pPr>
    </w:p>
    <w:p w14:paraId="20482CA2" w14:textId="77777777" w:rsidR="00F302C1" w:rsidRDefault="00F302C1" w:rsidP="00215B92">
      <w:pPr>
        <w:ind w:firstLine="708"/>
      </w:pPr>
    </w:p>
    <w:p w14:paraId="0BE50983" w14:textId="77777777" w:rsidR="00F302C1" w:rsidRDefault="00F302C1" w:rsidP="00215B92">
      <w:pPr>
        <w:ind w:firstLine="708"/>
      </w:pPr>
    </w:p>
    <w:p w14:paraId="6CAAA514" w14:textId="77777777" w:rsidR="00F302C1" w:rsidRDefault="00F302C1" w:rsidP="00215B92">
      <w:pPr>
        <w:ind w:firstLine="708"/>
      </w:pPr>
    </w:p>
    <w:p w14:paraId="698BDCD6" w14:textId="77777777" w:rsidR="00F302C1" w:rsidRDefault="00F302C1" w:rsidP="00215B92">
      <w:pPr>
        <w:ind w:firstLine="708"/>
      </w:pPr>
    </w:p>
    <w:p w14:paraId="35A3DF3A" w14:textId="77777777" w:rsidR="00F302C1" w:rsidRDefault="00F302C1" w:rsidP="00215B92">
      <w:pPr>
        <w:ind w:firstLine="708"/>
      </w:pPr>
    </w:p>
    <w:p w14:paraId="6AB7739B" w14:textId="77777777" w:rsidR="00F302C1" w:rsidRDefault="00F302C1" w:rsidP="00215B92">
      <w:pPr>
        <w:ind w:firstLine="708"/>
      </w:pPr>
    </w:p>
    <w:p w14:paraId="1ADB02B6" w14:textId="77777777" w:rsidR="00F302C1" w:rsidRDefault="00F302C1" w:rsidP="00215B92">
      <w:pPr>
        <w:ind w:firstLine="708"/>
      </w:pPr>
    </w:p>
    <w:p w14:paraId="5F03CE31" w14:textId="77777777" w:rsidR="00F302C1" w:rsidRDefault="00F302C1" w:rsidP="00215B92">
      <w:pPr>
        <w:ind w:firstLine="708"/>
      </w:pPr>
    </w:p>
    <w:p w14:paraId="300A11FB" w14:textId="77777777" w:rsidR="00F302C1" w:rsidRDefault="00F302C1" w:rsidP="00215B92">
      <w:pPr>
        <w:ind w:firstLine="708"/>
      </w:pPr>
    </w:p>
    <w:p w14:paraId="0D609E68" w14:textId="77777777" w:rsidR="00372F40" w:rsidRDefault="00372F40"/>
    <w:p w14:paraId="4EA9B58D" w14:textId="77777777" w:rsidR="00802877" w:rsidRDefault="00332091" w:rsidP="00802877">
      <w:pPr>
        <w:spacing w:after="0"/>
        <w:jc w:val="center"/>
        <w:rPr>
          <w:rFonts w:ascii="Arial" w:hAnsi="Arial" w:cs="Arial"/>
          <w:sz w:val="18"/>
          <w:szCs w:val="18"/>
        </w:rPr>
      </w:pPr>
      <w:r w:rsidRPr="00661A17">
        <w:rPr>
          <w:rFonts w:ascii="Arial" w:hAnsi="Arial" w:cs="Arial"/>
          <w:sz w:val="18"/>
          <w:szCs w:val="18"/>
        </w:rPr>
        <w:t>Informe de Pasivos Contingentes</w:t>
      </w:r>
    </w:p>
    <w:p w14:paraId="5FA6BDC9" w14:textId="77777777" w:rsidR="00802877" w:rsidRDefault="00802877" w:rsidP="00802877">
      <w:pPr>
        <w:spacing w:after="0"/>
        <w:rPr>
          <w:rFonts w:ascii="Arial" w:hAnsi="Arial" w:cs="Arial"/>
          <w:sz w:val="18"/>
          <w:szCs w:val="18"/>
        </w:rPr>
      </w:pPr>
    </w:p>
    <w:p w14:paraId="1ACBA083" w14:textId="77777777" w:rsidR="00802877" w:rsidRDefault="00802877" w:rsidP="00802877">
      <w:pPr>
        <w:spacing w:after="0"/>
        <w:rPr>
          <w:rFonts w:ascii="Arial" w:hAnsi="Arial" w:cs="Arial"/>
          <w:sz w:val="18"/>
          <w:szCs w:val="18"/>
        </w:rPr>
      </w:pPr>
    </w:p>
    <w:p w14:paraId="10D988ED" w14:textId="77777777" w:rsidR="00802877" w:rsidRDefault="00802877" w:rsidP="00802877">
      <w:pPr>
        <w:spacing w:after="0"/>
        <w:rPr>
          <w:rFonts w:ascii="Arial" w:hAnsi="Arial" w:cs="Arial"/>
          <w:sz w:val="18"/>
          <w:szCs w:val="18"/>
        </w:rPr>
      </w:pPr>
    </w:p>
    <w:p w14:paraId="04669C95" w14:textId="4266A9E4" w:rsidR="00332091" w:rsidRPr="00AE47E9" w:rsidRDefault="004466A7" w:rsidP="00802877">
      <w:pPr>
        <w:spacing w:after="0"/>
        <w:rPr>
          <w:rFonts w:ascii="Arial" w:hAnsi="Arial" w:cs="Arial"/>
          <w:sz w:val="18"/>
          <w:szCs w:val="18"/>
        </w:rPr>
      </w:pPr>
      <w:r>
        <w:rPr>
          <w:rFonts w:ascii="Arial" w:hAnsi="Arial" w:cs="Arial"/>
          <w:sz w:val="18"/>
          <w:szCs w:val="18"/>
        </w:rPr>
        <w:t xml:space="preserve">Al mes de </w:t>
      </w:r>
      <w:r w:rsidR="004E283B">
        <w:rPr>
          <w:rFonts w:ascii="Arial" w:hAnsi="Arial" w:cs="Arial"/>
          <w:sz w:val="18"/>
          <w:szCs w:val="18"/>
        </w:rPr>
        <w:t>Marzo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14:paraId="6F91A13F" w14:textId="77777777" w:rsidR="00332091" w:rsidRDefault="00332091">
      <w:pPr>
        <w:rPr>
          <w:rFonts w:ascii="Arial" w:hAnsi="Arial" w:cs="Arial"/>
          <w:sz w:val="18"/>
          <w:szCs w:val="18"/>
        </w:rPr>
      </w:pPr>
    </w:p>
    <w:p w14:paraId="40E3D2AA" w14:textId="77777777" w:rsidR="00332091" w:rsidRDefault="00332091">
      <w:pPr>
        <w:rPr>
          <w:rFonts w:ascii="Arial" w:hAnsi="Arial" w:cs="Arial"/>
          <w:sz w:val="18"/>
          <w:szCs w:val="18"/>
        </w:rPr>
      </w:pPr>
    </w:p>
    <w:p w14:paraId="7F15A96F" w14:textId="77777777" w:rsidR="00332091" w:rsidRDefault="00332091">
      <w:pPr>
        <w:rPr>
          <w:rFonts w:ascii="Arial" w:hAnsi="Arial" w:cs="Arial"/>
          <w:sz w:val="18"/>
          <w:szCs w:val="18"/>
        </w:rPr>
      </w:pPr>
    </w:p>
    <w:p w14:paraId="7D11F3D1" w14:textId="77777777" w:rsidR="00332091" w:rsidRDefault="00332091">
      <w:pPr>
        <w:rPr>
          <w:rFonts w:ascii="Arial" w:hAnsi="Arial" w:cs="Arial"/>
          <w:sz w:val="18"/>
          <w:szCs w:val="18"/>
        </w:rPr>
      </w:pPr>
    </w:p>
    <w:p w14:paraId="34C399BB" w14:textId="77777777" w:rsidR="00332091" w:rsidRDefault="00332091">
      <w:pPr>
        <w:rPr>
          <w:rFonts w:ascii="Arial" w:hAnsi="Arial" w:cs="Arial"/>
          <w:sz w:val="18"/>
          <w:szCs w:val="18"/>
        </w:rPr>
      </w:pPr>
    </w:p>
    <w:p w14:paraId="4EED57B3" w14:textId="77777777" w:rsidR="00332091" w:rsidRDefault="00332091">
      <w:pPr>
        <w:rPr>
          <w:rFonts w:ascii="Arial" w:hAnsi="Arial" w:cs="Arial"/>
          <w:sz w:val="18"/>
          <w:szCs w:val="18"/>
        </w:rPr>
      </w:pPr>
    </w:p>
    <w:p w14:paraId="024A53C9" w14:textId="77777777" w:rsidR="00332091" w:rsidRDefault="00332091">
      <w:pPr>
        <w:rPr>
          <w:rFonts w:ascii="Arial" w:hAnsi="Arial" w:cs="Arial"/>
          <w:sz w:val="18"/>
          <w:szCs w:val="18"/>
        </w:rPr>
      </w:pPr>
    </w:p>
    <w:p w14:paraId="787CECC1" w14:textId="77777777" w:rsidR="00332091" w:rsidRDefault="00332091">
      <w:pPr>
        <w:rPr>
          <w:rFonts w:ascii="Arial" w:hAnsi="Arial" w:cs="Arial"/>
          <w:sz w:val="18"/>
          <w:szCs w:val="18"/>
        </w:rPr>
      </w:pPr>
    </w:p>
    <w:p w14:paraId="6B93A4CB" w14:textId="77777777" w:rsidR="00332091" w:rsidRDefault="00332091">
      <w:pPr>
        <w:rPr>
          <w:rFonts w:ascii="Arial" w:hAnsi="Arial" w:cs="Arial"/>
          <w:sz w:val="18"/>
          <w:szCs w:val="18"/>
        </w:rPr>
      </w:pPr>
    </w:p>
    <w:p w14:paraId="1A25FA42" w14:textId="77777777" w:rsidR="00332091" w:rsidRDefault="00332091">
      <w:pPr>
        <w:rPr>
          <w:rFonts w:ascii="Arial" w:hAnsi="Arial" w:cs="Arial"/>
          <w:sz w:val="18"/>
          <w:szCs w:val="18"/>
        </w:rPr>
      </w:pPr>
    </w:p>
    <w:p w14:paraId="3DFE68DA" w14:textId="77777777" w:rsidR="00332091" w:rsidRDefault="00332091">
      <w:pPr>
        <w:rPr>
          <w:rFonts w:ascii="Arial" w:hAnsi="Arial" w:cs="Arial"/>
          <w:sz w:val="18"/>
          <w:szCs w:val="18"/>
        </w:rPr>
      </w:pPr>
    </w:p>
    <w:p w14:paraId="640959D8" w14:textId="77777777" w:rsidR="00332091" w:rsidRDefault="00332091">
      <w:pPr>
        <w:rPr>
          <w:rFonts w:ascii="Arial" w:hAnsi="Arial" w:cs="Arial"/>
          <w:sz w:val="18"/>
          <w:szCs w:val="18"/>
        </w:rPr>
      </w:pPr>
    </w:p>
    <w:p w14:paraId="55C8ADD3" w14:textId="77777777" w:rsidR="00332091" w:rsidRDefault="00332091">
      <w:pPr>
        <w:rPr>
          <w:rFonts w:ascii="Arial" w:hAnsi="Arial" w:cs="Arial"/>
          <w:sz w:val="18"/>
          <w:szCs w:val="18"/>
        </w:rPr>
      </w:pPr>
    </w:p>
    <w:p w14:paraId="0EC1693F" w14:textId="77777777" w:rsidR="00540418" w:rsidRPr="00661A17" w:rsidRDefault="00540418">
      <w:pPr>
        <w:rPr>
          <w:rFonts w:ascii="Arial" w:hAnsi="Arial" w:cs="Arial"/>
          <w:sz w:val="18"/>
          <w:szCs w:val="18"/>
        </w:rPr>
      </w:pPr>
      <w:r w:rsidRPr="00661A17">
        <w:rPr>
          <w:rFonts w:ascii="Arial" w:hAnsi="Arial" w:cs="Arial"/>
          <w:sz w:val="18"/>
          <w:szCs w:val="18"/>
        </w:rPr>
        <w:br w:type="page"/>
      </w:r>
    </w:p>
    <w:p w14:paraId="2CEF5773" w14:textId="77777777"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0674A7DF" w14:textId="77777777" w:rsidR="00332091" w:rsidRPr="0073056A" w:rsidRDefault="00332091" w:rsidP="00987ABB">
      <w:pPr>
        <w:pStyle w:val="INCISO"/>
        <w:numPr>
          <w:ilvl w:val="0"/>
          <w:numId w:val="1"/>
        </w:numPr>
        <w:spacing w:after="0" w:line="276" w:lineRule="auto"/>
        <w:ind w:left="284" w:hanging="284"/>
        <w:rPr>
          <w:b/>
          <w:smallCaps/>
        </w:rPr>
      </w:pPr>
      <w:r w:rsidRPr="0073056A">
        <w:rPr>
          <w:b/>
          <w:smallCaps/>
        </w:rPr>
        <w:t>Notas al Estado de Situación Financiera</w:t>
      </w:r>
    </w:p>
    <w:p w14:paraId="4458B867" w14:textId="77777777" w:rsidR="00332091" w:rsidRPr="0073056A" w:rsidRDefault="00332091" w:rsidP="00332091">
      <w:pPr>
        <w:pStyle w:val="Texto"/>
        <w:spacing w:after="0" w:line="276" w:lineRule="auto"/>
        <w:rPr>
          <w:b/>
          <w:szCs w:val="18"/>
          <w:lang w:val="es-MX"/>
        </w:rPr>
      </w:pPr>
    </w:p>
    <w:p w14:paraId="1AA72F92" w14:textId="77777777" w:rsidR="00332091" w:rsidRPr="0073056A" w:rsidRDefault="00332091" w:rsidP="00332091">
      <w:pPr>
        <w:pStyle w:val="Texto"/>
        <w:spacing w:after="0" w:line="276" w:lineRule="auto"/>
        <w:rPr>
          <w:b/>
          <w:szCs w:val="18"/>
          <w:lang w:val="es-MX"/>
        </w:rPr>
      </w:pPr>
      <w:r w:rsidRPr="0073056A">
        <w:rPr>
          <w:b/>
          <w:szCs w:val="18"/>
          <w:lang w:val="es-MX"/>
        </w:rPr>
        <w:t>Activo</w:t>
      </w:r>
    </w:p>
    <w:p w14:paraId="1AD8B9F3"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076264D1" w14:textId="77777777"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14:paraId="64C2489E" w14:textId="5A74E772"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6A291D">
        <w:rPr>
          <w:rFonts w:ascii="Arial" w:hAnsi="Arial" w:cs="Arial"/>
          <w:sz w:val="18"/>
          <w:szCs w:val="18"/>
        </w:rPr>
        <w:t>2</w:t>
      </w:r>
      <w:r>
        <w:rPr>
          <w:rFonts w:ascii="Arial" w:hAnsi="Arial" w:cs="Arial"/>
          <w:sz w:val="18"/>
          <w:szCs w:val="18"/>
        </w:rPr>
        <w:t>,</w:t>
      </w:r>
      <w:r w:rsidR="006A291D">
        <w:rPr>
          <w:rFonts w:ascii="Arial" w:hAnsi="Arial" w:cs="Arial"/>
          <w:sz w:val="18"/>
          <w:szCs w:val="18"/>
        </w:rPr>
        <w:t>505</w:t>
      </w:r>
      <w:r>
        <w:rPr>
          <w:rFonts w:ascii="Arial" w:hAnsi="Arial" w:cs="Arial"/>
          <w:sz w:val="18"/>
          <w:szCs w:val="18"/>
        </w:rPr>
        <w:t>,</w:t>
      </w:r>
      <w:r w:rsidR="006A291D">
        <w:rPr>
          <w:rFonts w:ascii="Arial" w:hAnsi="Arial" w:cs="Arial"/>
          <w:sz w:val="18"/>
          <w:szCs w:val="18"/>
        </w:rPr>
        <w:t>567</w:t>
      </w:r>
      <w:r>
        <w:rPr>
          <w:rFonts w:ascii="Arial" w:hAnsi="Arial" w:cs="Arial"/>
          <w:sz w:val="18"/>
          <w:szCs w:val="18"/>
        </w:rPr>
        <w:t>,</w:t>
      </w:r>
      <w:r w:rsidR="006A291D">
        <w:rPr>
          <w:rFonts w:ascii="Arial" w:hAnsi="Arial" w:cs="Arial"/>
          <w:sz w:val="18"/>
          <w:szCs w:val="18"/>
        </w:rPr>
        <w:t>055</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6A291D">
        <w:rPr>
          <w:rFonts w:ascii="Arial" w:hAnsi="Arial" w:cs="Arial"/>
          <w:sz w:val="18"/>
          <w:szCs w:val="18"/>
        </w:rPr>
        <w:t>Primer</w:t>
      </w:r>
      <w:r>
        <w:rPr>
          <w:rFonts w:ascii="Arial" w:hAnsi="Arial" w:cs="Arial"/>
          <w:sz w:val="18"/>
          <w:szCs w:val="18"/>
        </w:rPr>
        <w:t xml:space="preserve"> Ajuste Trimestral 20</w:t>
      </w:r>
      <w:r w:rsidR="00496633">
        <w:rPr>
          <w:rFonts w:ascii="Arial" w:hAnsi="Arial" w:cs="Arial"/>
          <w:sz w:val="18"/>
          <w:szCs w:val="18"/>
        </w:rPr>
        <w:t>2</w:t>
      </w:r>
      <w:r w:rsidR="006A291D">
        <w:rPr>
          <w:rFonts w:ascii="Arial" w:hAnsi="Arial" w:cs="Arial"/>
          <w:sz w:val="18"/>
          <w:szCs w:val="18"/>
        </w:rPr>
        <w:t>3</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F3142D">
        <w:rPr>
          <w:rFonts w:ascii="Arial" w:hAnsi="Arial" w:cs="Arial"/>
          <w:sz w:val="18"/>
          <w:szCs w:val="18"/>
        </w:rPr>
        <w:t>, observando una diferencia de 4</w:t>
      </w:r>
      <w:r w:rsidR="006A291D">
        <w:rPr>
          <w:rFonts w:ascii="Arial" w:hAnsi="Arial" w:cs="Arial"/>
          <w:sz w:val="18"/>
          <w:szCs w:val="18"/>
        </w:rPr>
        <w:t>0</w:t>
      </w:r>
      <w:r w:rsidR="00F3142D">
        <w:rPr>
          <w:rFonts w:ascii="Arial" w:hAnsi="Arial" w:cs="Arial"/>
          <w:sz w:val="18"/>
          <w:szCs w:val="18"/>
        </w:rPr>
        <w:t>.</w:t>
      </w:r>
      <w:r w:rsidR="006A291D">
        <w:rPr>
          <w:rFonts w:ascii="Arial" w:hAnsi="Arial" w:cs="Arial"/>
          <w:sz w:val="18"/>
          <w:szCs w:val="18"/>
        </w:rPr>
        <w:t>9</w:t>
      </w:r>
      <w:r w:rsidR="00F3142D">
        <w:rPr>
          <w:rFonts w:ascii="Arial" w:hAnsi="Arial" w:cs="Arial"/>
          <w:sz w:val="18"/>
          <w:szCs w:val="18"/>
        </w:rPr>
        <w:t>% equivalente a $72</w:t>
      </w:r>
      <w:r w:rsidR="006A291D">
        <w:rPr>
          <w:rFonts w:ascii="Arial" w:hAnsi="Arial" w:cs="Arial"/>
          <w:sz w:val="18"/>
          <w:szCs w:val="18"/>
        </w:rPr>
        <w:t>7</w:t>
      </w:r>
      <w:r w:rsidR="00F3142D">
        <w:rPr>
          <w:rFonts w:ascii="Arial" w:hAnsi="Arial" w:cs="Arial"/>
          <w:sz w:val="18"/>
          <w:szCs w:val="18"/>
        </w:rPr>
        <w:t>,3</w:t>
      </w:r>
      <w:r w:rsidR="006A291D">
        <w:rPr>
          <w:rFonts w:ascii="Arial" w:hAnsi="Arial" w:cs="Arial"/>
          <w:sz w:val="18"/>
          <w:szCs w:val="18"/>
        </w:rPr>
        <w:t>39</w:t>
      </w:r>
      <w:r w:rsidR="00F3142D">
        <w:rPr>
          <w:rFonts w:ascii="Arial" w:hAnsi="Arial" w:cs="Arial"/>
          <w:sz w:val="18"/>
          <w:szCs w:val="18"/>
        </w:rPr>
        <w:t>,</w:t>
      </w:r>
      <w:r w:rsidR="006A291D">
        <w:rPr>
          <w:rFonts w:ascii="Arial" w:hAnsi="Arial" w:cs="Arial"/>
          <w:sz w:val="18"/>
          <w:szCs w:val="18"/>
        </w:rPr>
        <w:t>058</w:t>
      </w:r>
      <w:r w:rsidR="00F3142D">
        <w:rPr>
          <w:rFonts w:ascii="Arial" w:hAnsi="Arial" w:cs="Arial"/>
          <w:sz w:val="18"/>
          <w:szCs w:val="18"/>
        </w:rPr>
        <w:t xml:space="preserve">, respecto al </w:t>
      </w:r>
      <w:r w:rsidR="007A327C">
        <w:rPr>
          <w:rFonts w:ascii="Arial" w:hAnsi="Arial" w:cs="Arial"/>
          <w:sz w:val="18"/>
          <w:szCs w:val="18"/>
        </w:rPr>
        <w:t>ejercicio</w:t>
      </w:r>
      <w:r w:rsidR="00F3142D">
        <w:rPr>
          <w:rFonts w:ascii="Arial" w:hAnsi="Arial" w:cs="Arial"/>
          <w:sz w:val="18"/>
          <w:szCs w:val="18"/>
        </w:rPr>
        <w:t xml:space="preserve"> de 202</w:t>
      </w:r>
      <w:r w:rsidR="006A291D">
        <w:rPr>
          <w:rFonts w:ascii="Arial" w:hAnsi="Arial" w:cs="Arial"/>
          <w:sz w:val="18"/>
          <w:szCs w:val="18"/>
        </w:rPr>
        <w:t>2</w:t>
      </w:r>
      <w:r w:rsidR="00EA19C2">
        <w:rPr>
          <w:rFonts w:ascii="Arial" w:hAnsi="Arial" w:cs="Arial"/>
          <w:sz w:val="18"/>
          <w:szCs w:val="18"/>
        </w:rPr>
        <w:t>.</w:t>
      </w:r>
    </w:p>
    <w:p w14:paraId="0C68B310"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27AA223D" w14:textId="77777777"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4F04531" w14:textId="3B1C7776"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sidR="00F3142D">
        <w:rPr>
          <w:rFonts w:ascii="Arial" w:hAnsi="Arial" w:cs="Arial"/>
          <w:sz w:val="18"/>
          <w:szCs w:val="18"/>
        </w:rPr>
        <w:t>3</w:t>
      </w:r>
      <w:r w:rsidR="006A291D">
        <w:rPr>
          <w:rFonts w:ascii="Arial" w:hAnsi="Arial" w:cs="Arial"/>
          <w:sz w:val="18"/>
          <w:szCs w:val="18"/>
        </w:rPr>
        <w:t>2</w:t>
      </w:r>
      <w:r w:rsidR="001340E0">
        <w:rPr>
          <w:rFonts w:ascii="Arial" w:hAnsi="Arial" w:cs="Arial"/>
          <w:sz w:val="18"/>
          <w:szCs w:val="18"/>
        </w:rPr>
        <w:t>,</w:t>
      </w:r>
      <w:r w:rsidR="006A291D">
        <w:rPr>
          <w:rFonts w:ascii="Arial" w:hAnsi="Arial" w:cs="Arial"/>
          <w:sz w:val="18"/>
          <w:szCs w:val="18"/>
        </w:rPr>
        <w:t>794</w:t>
      </w:r>
      <w:r w:rsidR="001340E0">
        <w:rPr>
          <w:rFonts w:ascii="Arial" w:hAnsi="Arial" w:cs="Arial"/>
          <w:sz w:val="18"/>
          <w:szCs w:val="18"/>
        </w:rPr>
        <w:t>,</w:t>
      </w:r>
      <w:r w:rsidR="006A291D">
        <w:rPr>
          <w:rFonts w:ascii="Arial" w:hAnsi="Arial" w:cs="Arial"/>
          <w:sz w:val="18"/>
          <w:szCs w:val="18"/>
        </w:rPr>
        <w:t>186</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6A291D">
        <w:rPr>
          <w:rFonts w:ascii="Arial" w:hAnsi="Arial" w:cs="Arial"/>
          <w:sz w:val="18"/>
          <w:szCs w:val="18"/>
        </w:rPr>
        <w:t>primer</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6A291D">
        <w:rPr>
          <w:rFonts w:ascii="Arial" w:hAnsi="Arial" w:cs="Arial"/>
          <w:sz w:val="18"/>
          <w:szCs w:val="18"/>
        </w:rPr>
        <w:t>3</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F3142D">
        <w:rPr>
          <w:rFonts w:ascii="Arial" w:hAnsi="Arial" w:cs="Arial"/>
          <w:sz w:val="18"/>
          <w:szCs w:val="18"/>
        </w:rPr>
        <w:t xml:space="preserve">, siendo </w:t>
      </w:r>
      <w:r w:rsidR="006A291D">
        <w:rPr>
          <w:rFonts w:ascii="Arial" w:hAnsi="Arial" w:cs="Arial"/>
          <w:sz w:val="18"/>
          <w:szCs w:val="18"/>
        </w:rPr>
        <w:t>menor en un 15.6%</w:t>
      </w:r>
      <w:r w:rsidR="00F3142D">
        <w:rPr>
          <w:rFonts w:ascii="Arial" w:hAnsi="Arial" w:cs="Arial"/>
          <w:sz w:val="18"/>
          <w:szCs w:val="18"/>
        </w:rPr>
        <w:t xml:space="preserve"> respecto al </w:t>
      </w:r>
      <w:r w:rsidR="007A327C">
        <w:rPr>
          <w:rFonts w:ascii="Arial" w:hAnsi="Arial" w:cs="Arial"/>
          <w:sz w:val="18"/>
          <w:szCs w:val="18"/>
        </w:rPr>
        <w:t>ejercicio</w:t>
      </w:r>
      <w:r w:rsidR="00F3142D">
        <w:rPr>
          <w:rFonts w:ascii="Arial" w:hAnsi="Arial" w:cs="Arial"/>
          <w:sz w:val="18"/>
          <w:szCs w:val="18"/>
        </w:rPr>
        <w:t xml:space="preserve"> de 202</w:t>
      </w:r>
      <w:r w:rsidR="006A291D">
        <w:rPr>
          <w:rFonts w:ascii="Arial" w:hAnsi="Arial" w:cs="Arial"/>
          <w:sz w:val="18"/>
          <w:szCs w:val="18"/>
        </w:rPr>
        <w:t>2</w:t>
      </w:r>
      <w:r>
        <w:rPr>
          <w:rFonts w:ascii="Arial" w:hAnsi="Arial" w:cs="Arial"/>
          <w:sz w:val="18"/>
          <w:szCs w:val="18"/>
        </w:rPr>
        <w:t>.</w:t>
      </w:r>
    </w:p>
    <w:p w14:paraId="509B4A22" w14:textId="31A7AE78"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6A291D">
        <w:rPr>
          <w:rFonts w:ascii="Arial" w:hAnsi="Arial" w:cs="Arial"/>
          <w:sz w:val="18"/>
          <w:szCs w:val="18"/>
        </w:rPr>
        <w:t>primer</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refleja un saldo de $</w:t>
      </w:r>
      <w:r w:rsidR="00D01486">
        <w:rPr>
          <w:rFonts w:ascii="Arial" w:hAnsi="Arial" w:cs="Arial"/>
          <w:sz w:val="18"/>
          <w:szCs w:val="18"/>
        </w:rPr>
        <w:t>29,002,089</w:t>
      </w:r>
      <w:r w:rsidR="007D6C18">
        <w:rPr>
          <w:rFonts w:ascii="Arial" w:hAnsi="Arial" w:cs="Arial"/>
          <w:sz w:val="18"/>
          <w:szCs w:val="18"/>
        </w:rPr>
        <w:t>.00</w:t>
      </w:r>
      <w:r w:rsidR="00602CD5">
        <w:rPr>
          <w:rFonts w:ascii="Arial" w:hAnsi="Arial" w:cs="Arial"/>
          <w:sz w:val="18"/>
          <w:szCs w:val="18"/>
        </w:rPr>
        <w:t xml:space="preserve"> por</w:t>
      </w:r>
      <w:r w:rsidR="005C58B3">
        <w:rPr>
          <w:rFonts w:ascii="Arial" w:hAnsi="Arial" w:cs="Arial"/>
          <w:sz w:val="18"/>
          <w:szCs w:val="18"/>
        </w:rPr>
        <w:t xml:space="preserve"> derechos a recibir bienes o servicios</w:t>
      </w:r>
      <w:r w:rsidRPr="0073056A">
        <w:rPr>
          <w:rFonts w:ascii="Arial" w:hAnsi="Arial" w:cs="Arial"/>
          <w:sz w:val="18"/>
          <w:szCs w:val="18"/>
        </w:rPr>
        <w:t>.</w:t>
      </w:r>
    </w:p>
    <w:p w14:paraId="7077D251" w14:textId="77777777" w:rsidR="00892C87" w:rsidRDefault="00892C87" w:rsidP="00332091">
      <w:pPr>
        <w:pStyle w:val="ROMANOS"/>
        <w:tabs>
          <w:tab w:val="clear" w:pos="720"/>
          <w:tab w:val="left" w:pos="284"/>
        </w:tabs>
        <w:spacing w:after="0" w:line="276" w:lineRule="auto"/>
        <w:ind w:left="284" w:firstLine="0"/>
        <w:rPr>
          <w:b/>
          <w:lang w:val="es-MX"/>
        </w:rPr>
      </w:pPr>
    </w:p>
    <w:p w14:paraId="3FCC50B5"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1C40FD28" w14:textId="74166B61"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D01486">
        <w:rPr>
          <w:rFonts w:ascii="Arial" w:hAnsi="Arial" w:cs="Arial"/>
          <w:sz w:val="18"/>
          <w:szCs w:val="18"/>
        </w:rPr>
        <w:t>primer</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no cuenta con Bienes Disponibles para su Transformación o Consumo (inventarios).</w:t>
      </w:r>
    </w:p>
    <w:p w14:paraId="043CB35D" w14:textId="77777777"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14:paraId="27B9A35F" w14:textId="2F2BEF7A"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D01486">
        <w:rPr>
          <w:rFonts w:ascii="Arial" w:hAnsi="Arial" w:cs="Arial"/>
          <w:sz w:val="18"/>
          <w:szCs w:val="18"/>
        </w:rPr>
        <w:t>primer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cuenta con Inversiones Financieras a Largo Plazo por un importe de $</w:t>
      </w:r>
      <w:r w:rsidR="007D6C18">
        <w:rPr>
          <w:rFonts w:ascii="Arial" w:hAnsi="Arial" w:cs="Arial"/>
          <w:sz w:val="18"/>
          <w:szCs w:val="18"/>
        </w:rPr>
        <w:t>256</w:t>
      </w:r>
      <w:r>
        <w:rPr>
          <w:rFonts w:ascii="Arial" w:hAnsi="Arial" w:cs="Arial"/>
          <w:sz w:val="18"/>
          <w:szCs w:val="18"/>
        </w:rPr>
        <w:t>,</w:t>
      </w:r>
      <w:r w:rsidR="007D6C18">
        <w:rPr>
          <w:rFonts w:ascii="Arial" w:hAnsi="Arial" w:cs="Arial"/>
          <w:sz w:val="18"/>
          <w:szCs w:val="18"/>
        </w:rPr>
        <w:t>270</w:t>
      </w:r>
      <w:r>
        <w:rPr>
          <w:rFonts w:ascii="Arial" w:hAnsi="Arial" w:cs="Arial"/>
          <w:sz w:val="18"/>
          <w:szCs w:val="18"/>
        </w:rPr>
        <w:t>,</w:t>
      </w:r>
      <w:r w:rsidR="007D6C18">
        <w:rPr>
          <w:rFonts w:ascii="Arial" w:hAnsi="Arial" w:cs="Arial"/>
          <w:sz w:val="18"/>
          <w:szCs w:val="18"/>
        </w:rPr>
        <w:t>405</w:t>
      </w:r>
      <w:r>
        <w:rPr>
          <w:rFonts w:ascii="Arial" w:hAnsi="Arial" w:cs="Arial"/>
          <w:sz w:val="18"/>
          <w:szCs w:val="18"/>
        </w:rPr>
        <w:t>, que respaldan los diversos fondos de contingencia del Ejecutivo del Estado</w:t>
      </w:r>
      <w:r w:rsidR="00D01486">
        <w:rPr>
          <w:rFonts w:ascii="Arial" w:hAnsi="Arial" w:cs="Arial"/>
          <w:sz w:val="18"/>
          <w:szCs w:val="18"/>
        </w:rPr>
        <w:t>.</w:t>
      </w:r>
    </w:p>
    <w:p w14:paraId="17BD29EA"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4EFDA48A" w14:textId="7237601B"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D01486">
        <w:rPr>
          <w:rFonts w:ascii="Arial" w:hAnsi="Arial" w:cs="Arial"/>
          <w:sz w:val="18"/>
          <w:szCs w:val="18"/>
        </w:rPr>
        <w:t>primer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sidR="00347BC6">
        <w:rPr>
          <w:rFonts w:ascii="Arial" w:hAnsi="Arial" w:cs="Arial"/>
          <w:sz w:val="18"/>
          <w:szCs w:val="18"/>
        </w:rPr>
        <w:t>2</w:t>
      </w:r>
      <w:r>
        <w:rPr>
          <w:rFonts w:ascii="Arial" w:hAnsi="Arial" w:cs="Arial"/>
          <w:sz w:val="18"/>
          <w:szCs w:val="18"/>
        </w:rPr>
        <w:t>,</w:t>
      </w:r>
      <w:r w:rsidR="007D6C18">
        <w:rPr>
          <w:rFonts w:ascii="Arial" w:hAnsi="Arial" w:cs="Arial"/>
          <w:sz w:val="18"/>
          <w:szCs w:val="18"/>
        </w:rPr>
        <w:t>25</w:t>
      </w:r>
      <w:r w:rsidR="00D01486">
        <w:rPr>
          <w:rFonts w:ascii="Arial" w:hAnsi="Arial" w:cs="Arial"/>
          <w:sz w:val="18"/>
          <w:szCs w:val="18"/>
        </w:rPr>
        <w:t>5</w:t>
      </w:r>
      <w:r>
        <w:rPr>
          <w:rFonts w:ascii="Arial" w:hAnsi="Arial" w:cs="Arial"/>
          <w:sz w:val="18"/>
          <w:szCs w:val="18"/>
        </w:rPr>
        <w:t>,</w:t>
      </w:r>
      <w:r w:rsidR="00D01486">
        <w:rPr>
          <w:rFonts w:ascii="Arial" w:hAnsi="Arial" w:cs="Arial"/>
          <w:sz w:val="18"/>
          <w:szCs w:val="18"/>
        </w:rPr>
        <w:t>215</w:t>
      </w:r>
      <w:r>
        <w:rPr>
          <w:rFonts w:ascii="Arial" w:hAnsi="Arial" w:cs="Arial"/>
          <w:sz w:val="18"/>
          <w:szCs w:val="18"/>
        </w:rPr>
        <w:t>,</w:t>
      </w:r>
      <w:r w:rsidR="00D01486">
        <w:rPr>
          <w:rFonts w:ascii="Arial" w:hAnsi="Arial" w:cs="Arial"/>
          <w:sz w:val="18"/>
          <w:szCs w:val="18"/>
        </w:rPr>
        <w:t>669</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7D6C18">
        <w:rPr>
          <w:rFonts w:ascii="Arial" w:hAnsi="Arial" w:cs="Arial"/>
          <w:sz w:val="18"/>
          <w:szCs w:val="18"/>
        </w:rPr>
        <w:t>, presentando un</w:t>
      </w:r>
      <w:r w:rsidR="00D01486">
        <w:rPr>
          <w:rFonts w:ascii="Arial" w:hAnsi="Arial" w:cs="Arial"/>
          <w:sz w:val="18"/>
          <w:szCs w:val="18"/>
        </w:rPr>
        <w:t>a</w:t>
      </w:r>
      <w:r w:rsidR="007D6C18">
        <w:rPr>
          <w:rFonts w:ascii="Arial" w:hAnsi="Arial" w:cs="Arial"/>
          <w:sz w:val="18"/>
          <w:szCs w:val="18"/>
        </w:rPr>
        <w:t xml:space="preserve"> </w:t>
      </w:r>
      <w:r w:rsidR="00D01486">
        <w:rPr>
          <w:rFonts w:ascii="Arial" w:hAnsi="Arial" w:cs="Arial"/>
          <w:sz w:val="18"/>
          <w:szCs w:val="18"/>
        </w:rPr>
        <w:t>disminución</w:t>
      </w:r>
      <w:r w:rsidR="007D6C18">
        <w:rPr>
          <w:rFonts w:ascii="Arial" w:hAnsi="Arial" w:cs="Arial"/>
          <w:sz w:val="18"/>
          <w:szCs w:val="18"/>
        </w:rPr>
        <w:t xml:space="preserve"> del </w:t>
      </w:r>
      <w:r w:rsidR="00D01486">
        <w:rPr>
          <w:rFonts w:ascii="Arial" w:hAnsi="Arial" w:cs="Arial"/>
          <w:sz w:val="18"/>
          <w:szCs w:val="18"/>
        </w:rPr>
        <w:t>0.06</w:t>
      </w:r>
      <w:r w:rsidR="007D6C18">
        <w:rPr>
          <w:rFonts w:ascii="Arial" w:hAnsi="Arial" w:cs="Arial"/>
          <w:sz w:val="18"/>
          <w:szCs w:val="18"/>
        </w:rPr>
        <w:t xml:space="preserve">% respecto del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sidRPr="0073056A">
        <w:rPr>
          <w:rFonts w:ascii="Arial" w:hAnsi="Arial" w:cs="Arial"/>
          <w:sz w:val="18"/>
          <w:szCs w:val="18"/>
        </w:rPr>
        <w:t>.</w:t>
      </w:r>
    </w:p>
    <w:p w14:paraId="739E1440" w14:textId="73F617C6"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7D6C18">
        <w:rPr>
          <w:rFonts w:ascii="Arial" w:hAnsi="Arial" w:cs="Arial"/>
          <w:sz w:val="18"/>
          <w:szCs w:val="18"/>
        </w:rPr>
        <w:t>8</w:t>
      </w:r>
      <w:r w:rsidRPr="00F619D6">
        <w:rPr>
          <w:rFonts w:ascii="Arial" w:hAnsi="Arial" w:cs="Arial"/>
          <w:sz w:val="18"/>
          <w:szCs w:val="18"/>
        </w:rPr>
        <w:t>,</w:t>
      </w:r>
      <w:r w:rsidR="00D01486">
        <w:rPr>
          <w:rFonts w:ascii="Arial" w:hAnsi="Arial" w:cs="Arial"/>
          <w:sz w:val="18"/>
          <w:szCs w:val="18"/>
        </w:rPr>
        <w:t>103</w:t>
      </w:r>
      <w:r w:rsidRPr="00F619D6">
        <w:rPr>
          <w:rFonts w:ascii="Arial" w:hAnsi="Arial" w:cs="Arial"/>
          <w:sz w:val="18"/>
          <w:szCs w:val="18"/>
        </w:rPr>
        <w:t>,</w:t>
      </w:r>
      <w:r w:rsidR="00D01486">
        <w:rPr>
          <w:rFonts w:ascii="Arial" w:hAnsi="Arial" w:cs="Arial"/>
          <w:sz w:val="18"/>
          <w:szCs w:val="18"/>
        </w:rPr>
        <w:t>528</w:t>
      </w:r>
      <w:r w:rsidRPr="00F619D6">
        <w:rPr>
          <w:rFonts w:ascii="Arial" w:hAnsi="Arial" w:cs="Arial"/>
          <w:sz w:val="18"/>
          <w:szCs w:val="18"/>
        </w:rPr>
        <w:t>,</w:t>
      </w:r>
      <w:r w:rsidR="00D01486">
        <w:rPr>
          <w:rFonts w:ascii="Arial" w:hAnsi="Arial" w:cs="Arial"/>
          <w:sz w:val="18"/>
          <w:szCs w:val="18"/>
        </w:rPr>
        <w:t>288</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7D6C18">
        <w:rPr>
          <w:rFonts w:ascii="Arial" w:hAnsi="Arial" w:cs="Arial"/>
          <w:sz w:val="18"/>
          <w:szCs w:val="18"/>
        </w:rPr>
        <w:t>, reflejando un</w:t>
      </w:r>
      <w:r w:rsidR="00D01486">
        <w:rPr>
          <w:rFonts w:ascii="Arial" w:hAnsi="Arial" w:cs="Arial"/>
          <w:sz w:val="18"/>
          <w:szCs w:val="18"/>
        </w:rPr>
        <w:t>a</w:t>
      </w:r>
      <w:r w:rsidR="007D6C18">
        <w:rPr>
          <w:rFonts w:ascii="Arial" w:hAnsi="Arial" w:cs="Arial"/>
          <w:sz w:val="18"/>
          <w:szCs w:val="18"/>
        </w:rPr>
        <w:t xml:space="preserve"> </w:t>
      </w:r>
      <w:r w:rsidR="00D01486">
        <w:rPr>
          <w:rFonts w:ascii="Arial" w:hAnsi="Arial" w:cs="Arial"/>
          <w:sz w:val="18"/>
          <w:szCs w:val="18"/>
        </w:rPr>
        <w:t>disminución</w:t>
      </w:r>
      <w:r w:rsidR="007D6C18">
        <w:rPr>
          <w:rFonts w:ascii="Arial" w:hAnsi="Arial" w:cs="Arial"/>
          <w:sz w:val="18"/>
          <w:szCs w:val="18"/>
        </w:rPr>
        <w:t xml:space="preserve"> del 1.</w:t>
      </w:r>
      <w:r w:rsidR="00D01486">
        <w:rPr>
          <w:rFonts w:ascii="Arial" w:hAnsi="Arial" w:cs="Arial"/>
          <w:sz w:val="18"/>
          <w:szCs w:val="18"/>
        </w:rPr>
        <w:t>2</w:t>
      </w:r>
      <w:r w:rsidR="007D6C18">
        <w:rPr>
          <w:rFonts w:ascii="Arial" w:hAnsi="Arial" w:cs="Arial"/>
          <w:sz w:val="18"/>
          <w:szCs w:val="18"/>
        </w:rPr>
        <w:t xml:space="preserve">% respecto al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Pr>
          <w:rFonts w:ascii="Arial" w:hAnsi="Arial" w:cs="Arial"/>
          <w:sz w:val="18"/>
          <w:szCs w:val="18"/>
        </w:rPr>
        <w:t>.</w:t>
      </w:r>
    </w:p>
    <w:p w14:paraId="127BDE74" w14:textId="0060C654" w:rsidR="007D6C18" w:rsidRPr="0073056A" w:rsidRDefault="00FE75AC" w:rsidP="007D6C18">
      <w:pPr>
        <w:tabs>
          <w:tab w:val="left" w:pos="284"/>
        </w:tabs>
        <w:ind w:left="284"/>
        <w:jc w:val="both"/>
        <w:rPr>
          <w:rFonts w:ascii="Arial" w:hAnsi="Arial" w:cs="Arial"/>
          <w:sz w:val="18"/>
          <w:szCs w:val="18"/>
        </w:rPr>
      </w:pPr>
      <w:r>
        <w:rPr>
          <w:rFonts w:ascii="Arial" w:hAnsi="Arial" w:cs="Arial"/>
          <w:sz w:val="18"/>
          <w:szCs w:val="18"/>
        </w:rPr>
        <w:t>El saldo de $1</w:t>
      </w:r>
      <w:r w:rsidR="007D6C18">
        <w:rPr>
          <w:rFonts w:ascii="Arial" w:hAnsi="Arial" w:cs="Arial"/>
          <w:sz w:val="18"/>
          <w:szCs w:val="18"/>
        </w:rPr>
        <w:t>90</w:t>
      </w:r>
      <w:r w:rsidR="00B006FD">
        <w:rPr>
          <w:rFonts w:ascii="Arial" w:hAnsi="Arial" w:cs="Arial"/>
          <w:sz w:val="18"/>
          <w:szCs w:val="18"/>
        </w:rPr>
        <w:t>,</w:t>
      </w:r>
      <w:r w:rsidR="007D6C18">
        <w:rPr>
          <w:rFonts w:ascii="Arial" w:hAnsi="Arial" w:cs="Arial"/>
          <w:sz w:val="18"/>
          <w:szCs w:val="18"/>
        </w:rPr>
        <w:t>957</w:t>
      </w:r>
      <w:r w:rsidR="00B006FD">
        <w:rPr>
          <w:rFonts w:ascii="Arial" w:hAnsi="Arial" w:cs="Arial"/>
          <w:sz w:val="18"/>
          <w:szCs w:val="18"/>
        </w:rPr>
        <w:t>,</w:t>
      </w:r>
      <w:r w:rsidR="007D6C18">
        <w:rPr>
          <w:rFonts w:ascii="Arial" w:hAnsi="Arial" w:cs="Arial"/>
          <w:sz w:val="18"/>
          <w:szCs w:val="18"/>
        </w:rPr>
        <w:t>851</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7D6C18">
        <w:rPr>
          <w:rFonts w:ascii="Arial" w:hAnsi="Arial" w:cs="Arial"/>
          <w:sz w:val="18"/>
          <w:szCs w:val="18"/>
        </w:rPr>
        <w:t xml:space="preserve">, </w:t>
      </w:r>
      <w:r w:rsidR="00D01486">
        <w:rPr>
          <w:rFonts w:ascii="Arial" w:hAnsi="Arial" w:cs="Arial"/>
          <w:sz w:val="18"/>
          <w:szCs w:val="18"/>
        </w:rPr>
        <w:t xml:space="preserve">no observándose variaciones </w:t>
      </w:r>
      <w:r w:rsidR="007D6C18">
        <w:rPr>
          <w:rFonts w:ascii="Arial" w:hAnsi="Arial" w:cs="Arial"/>
          <w:sz w:val="18"/>
          <w:szCs w:val="18"/>
        </w:rPr>
        <w:t xml:space="preserve">en relación al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sidR="007D6C18" w:rsidRPr="00137E93">
        <w:rPr>
          <w:rFonts w:ascii="Arial" w:hAnsi="Arial" w:cs="Arial"/>
          <w:sz w:val="18"/>
          <w:szCs w:val="18"/>
        </w:rPr>
        <w:t>.</w:t>
      </w:r>
    </w:p>
    <w:p w14:paraId="3511BDB7" w14:textId="77777777" w:rsidR="0025548F" w:rsidRDefault="0025548F" w:rsidP="00332091">
      <w:pPr>
        <w:pStyle w:val="ROMANOS"/>
        <w:tabs>
          <w:tab w:val="clear" w:pos="720"/>
          <w:tab w:val="left" w:pos="284"/>
        </w:tabs>
        <w:spacing w:after="0" w:line="276" w:lineRule="auto"/>
        <w:ind w:left="284" w:firstLine="0"/>
        <w:rPr>
          <w:b/>
          <w:lang w:val="es-MX"/>
        </w:rPr>
      </w:pPr>
    </w:p>
    <w:p w14:paraId="04A7EA74" w14:textId="77777777" w:rsidR="0025548F" w:rsidRDefault="0025548F" w:rsidP="00332091">
      <w:pPr>
        <w:pStyle w:val="ROMANOS"/>
        <w:tabs>
          <w:tab w:val="clear" w:pos="720"/>
          <w:tab w:val="left" w:pos="284"/>
        </w:tabs>
        <w:spacing w:after="0" w:line="276" w:lineRule="auto"/>
        <w:ind w:left="284" w:firstLine="0"/>
        <w:rPr>
          <w:b/>
          <w:lang w:val="es-MX"/>
        </w:rPr>
      </w:pPr>
    </w:p>
    <w:p w14:paraId="38DA16DE" w14:textId="77777777" w:rsidR="0025548F" w:rsidRDefault="0025548F" w:rsidP="00332091">
      <w:pPr>
        <w:pStyle w:val="ROMANOS"/>
        <w:tabs>
          <w:tab w:val="clear" w:pos="720"/>
          <w:tab w:val="left" w:pos="284"/>
        </w:tabs>
        <w:spacing w:after="0" w:line="276" w:lineRule="auto"/>
        <w:ind w:left="284" w:firstLine="0"/>
        <w:rPr>
          <w:b/>
          <w:lang w:val="es-MX"/>
        </w:rPr>
      </w:pPr>
    </w:p>
    <w:p w14:paraId="21AC1B5E" w14:textId="77777777"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lastRenderedPageBreak/>
        <w:t>Depreciación, Deterioro y Amortización Acumulada de Bienes</w:t>
      </w:r>
    </w:p>
    <w:p w14:paraId="62A29B05" w14:textId="77777777" w:rsidR="00661352" w:rsidRPr="00FB6E0E" w:rsidRDefault="00661352" w:rsidP="00332091">
      <w:pPr>
        <w:pStyle w:val="ROMANOS"/>
        <w:tabs>
          <w:tab w:val="clear" w:pos="720"/>
          <w:tab w:val="left" w:pos="284"/>
        </w:tabs>
        <w:spacing w:after="0" w:line="276" w:lineRule="auto"/>
        <w:ind w:left="284" w:firstLine="0"/>
        <w:rPr>
          <w:b/>
          <w:lang w:val="es-MX"/>
        </w:rPr>
      </w:pPr>
    </w:p>
    <w:p w14:paraId="1321FFA9" w14:textId="77777777"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1A59BF01" w14:textId="77777777"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00013D38"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14:paraId="4A963521" w14:textId="62057D4D"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0E5D7B">
        <w:rPr>
          <w:rFonts w:ascii="Arial" w:hAnsi="Arial" w:cs="Arial"/>
          <w:sz w:val="18"/>
          <w:szCs w:val="18"/>
        </w:rPr>
        <w:t>marzo</w:t>
      </w:r>
      <w:r>
        <w:rPr>
          <w:rFonts w:ascii="Arial" w:hAnsi="Arial" w:cs="Arial"/>
          <w:sz w:val="18"/>
          <w:szCs w:val="18"/>
        </w:rPr>
        <w:t xml:space="preserve"> del ejercicio 20</w:t>
      </w:r>
      <w:r w:rsidR="00111884">
        <w:rPr>
          <w:rFonts w:ascii="Arial" w:hAnsi="Arial" w:cs="Arial"/>
          <w:sz w:val="18"/>
          <w:szCs w:val="18"/>
        </w:rPr>
        <w:t>2</w:t>
      </w:r>
      <w:r w:rsidR="000E5D7B">
        <w:rPr>
          <w:rFonts w:ascii="Arial" w:hAnsi="Arial" w:cs="Arial"/>
          <w:sz w:val="18"/>
          <w:szCs w:val="18"/>
        </w:rPr>
        <w:t>3</w:t>
      </w:r>
      <w:r>
        <w:rPr>
          <w:rFonts w:ascii="Arial" w:hAnsi="Arial" w:cs="Arial"/>
          <w:sz w:val="18"/>
          <w:szCs w:val="18"/>
        </w:rPr>
        <w:t>, el Poder Ejecutivo no cuenta con Otros Activos.</w:t>
      </w:r>
    </w:p>
    <w:p w14:paraId="7F811E22"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14:paraId="176E02AE" w14:textId="77777777"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269784B" w14:textId="77777777"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5338C018" w14:textId="751CE206" w:rsidR="00332091" w:rsidRDefault="00026DF6" w:rsidP="00B006FD">
      <w:pPr>
        <w:tabs>
          <w:tab w:val="left" w:pos="284"/>
        </w:tabs>
        <w:ind w:left="284"/>
        <w:jc w:val="both"/>
        <w:rPr>
          <w:rFonts w:ascii="Arial" w:hAnsi="Arial" w:cs="Arial"/>
          <w:sz w:val="18"/>
          <w:szCs w:val="18"/>
        </w:rPr>
      </w:pPr>
      <w:r>
        <w:rPr>
          <w:rFonts w:ascii="Arial" w:hAnsi="Arial" w:cs="Arial"/>
          <w:sz w:val="18"/>
          <w:szCs w:val="18"/>
        </w:rPr>
        <w:t>El saldo de $</w:t>
      </w:r>
      <w:r w:rsidR="00892C87">
        <w:rPr>
          <w:rFonts w:ascii="Arial" w:hAnsi="Arial" w:cs="Arial"/>
          <w:sz w:val="18"/>
          <w:szCs w:val="18"/>
        </w:rPr>
        <w:t>1,</w:t>
      </w:r>
      <w:r w:rsidR="000E5D7B">
        <w:rPr>
          <w:rFonts w:ascii="Arial" w:hAnsi="Arial" w:cs="Arial"/>
          <w:sz w:val="18"/>
          <w:szCs w:val="18"/>
        </w:rPr>
        <w:t>188</w:t>
      </w:r>
      <w:r w:rsidR="00B006FD">
        <w:rPr>
          <w:rFonts w:ascii="Arial" w:hAnsi="Arial" w:cs="Arial"/>
          <w:sz w:val="18"/>
          <w:szCs w:val="18"/>
        </w:rPr>
        <w:t>,</w:t>
      </w:r>
      <w:r w:rsidR="000E5D7B">
        <w:rPr>
          <w:rFonts w:ascii="Arial" w:hAnsi="Arial" w:cs="Arial"/>
          <w:sz w:val="18"/>
          <w:szCs w:val="18"/>
        </w:rPr>
        <w:t>718</w:t>
      </w:r>
      <w:r w:rsidR="00B006FD">
        <w:rPr>
          <w:rFonts w:ascii="Arial" w:hAnsi="Arial" w:cs="Arial"/>
          <w:sz w:val="18"/>
          <w:szCs w:val="18"/>
        </w:rPr>
        <w:t>,</w:t>
      </w:r>
      <w:r w:rsidR="000E5D7B">
        <w:rPr>
          <w:rFonts w:ascii="Arial" w:hAnsi="Arial" w:cs="Arial"/>
          <w:sz w:val="18"/>
          <w:szCs w:val="18"/>
        </w:rPr>
        <w:t>160</w:t>
      </w:r>
      <w:r w:rsidR="00B006FD" w:rsidRPr="001528B7">
        <w:rPr>
          <w:rFonts w:ascii="Arial" w:hAnsi="Arial" w:cs="Arial"/>
          <w:sz w:val="18"/>
          <w:szCs w:val="18"/>
        </w:rPr>
        <w:t xml:space="preserve"> constituyen adeudos originados por </w:t>
      </w:r>
      <w:r w:rsidR="00B006FD">
        <w:rPr>
          <w:rFonts w:ascii="Arial" w:hAnsi="Arial" w:cs="Arial"/>
          <w:sz w:val="18"/>
          <w:szCs w:val="18"/>
        </w:rPr>
        <w:t xml:space="preserve">el pago de servicios personales; </w:t>
      </w:r>
      <w:r w:rsidR="00B006FD" w:rsidRPr="001528B7">
        <w:rPr>
          <w:rFonts w:ascii="Arial" w:hAnsi="Arial" w:cs="Arial"/>
          <w:sz w:val="18"/>
          <w:szCs w:val="18"/>
        </w:rPr>
        <w:t xml:space="preserve">la adquisición de bienes y servicios necesarios para la realización </w:t>
      </w:r>
      <w:r w:rsidR="00B006FD">
        <w:rPr>
          <w:rFonts w:ascii="Arial" w:hAnsi="Arial" w:cs="Arial"/>
          <w:sz w:val="18"/>
          <w:szCs w:val="18"/>
        </w:rPr>
        <w:t>de funciones de derecho público;</w:t>
      </w:r>
      <w:r w:rsidR="00B006FD" w:rsidRPr="001528B7">
        <w:rPr>
          <w:rFonts w:ascii="Arial" w:hAnsi="Arial" w:cs="Arial"/>
          <w:sz w:val="18"/>
          <w:szCs w:val="18"/>
        </w:rPr>
        <w:t xml:space="preserve"> adeudos contraídos por la ejecución de obra pública, así como </w:t>
      </w:r>
      <w:r w:rsidR="00B006FD">
        <w:rPr>
          <w:rFonts w:ascii="Arial" w:hAnsi="Arial" w:cs="Arial"/>
          <w:sz w:val="18"/>
          <w:szCs w:val="18"/>
        </w:rPr>
        <w:t xml:space="preserve">las retenciones y contribuciones, mismas </w:t>
      </w:r>
      <w:r w:rsidR="00B006FD" w:rsidRPr="001528B7">
        <w:rPr>
          <w:rFonts w:ascii="Arial" w:hAnsi="Arial" w:cs="Arial"/>
          <w:sz w:val="18"/>
          <w:szCs w:val="18"/>
        </w:rPr>
        <w:t>que se enteran en el mes inmediato posterior en los plazos establecidos en las disposiciones legales que le son aplicables.</w:t>
      </w:r>
      <w:r w:rsidR="00892C87">
        <w:rPr>
          <w:rFonts w:ascii="Arial" w:hAnsi="Arial" w:cs="Arial"/>
          <w:sz w:val="18"/>
          <w:szCs w:val="18"/>
        </w:rPr>
        <w:t xml:space="preserve"> En este rubro se tiene un</w:t>
      </w:r>
      <w:r w:rsidR="000E5D7B">
        <w:rPr>
          <w:rFonts w:ascii="Arial" w:hAnsi="Arial" w:cs="Arial"/>
          <w:sz w:val="18"/>
          <w:szCs w:val="18"/>
        </w:rPr>
        <w:t>a</w:t>
      </w:r>
      <w:r w:rsidR="00892C87">
        <w:rPr>
          <w:rFonts w:ascii="Arial" w:hAnsi="Arial" w:cs="Arial"/>
          <w:sz w:val="18"/>
          <w:szCs w:val="18"/>
        </w:rPr>
        <w:t xml:space="preserve"> </w:t>
      </w:r>
      <w:r w:rsidR="000E5D7B">
        <w:rPr>
          <w:rFonts w:ascii="Arial" w:hAnsi="Arial" w:cs="Arial"/>
          <w:sz w:val="18"/>
          <w:szCs w:val="18"/>
        </w:rPr>
        <w:t>disminución</w:t>
      </w:r>
      <w:r w:rsidR="00892C87">
        <w:rPr>
          <w:rFonts w:ascii="Arial" w:hAnsi="Arial" w:cs="Arial"/>
          <w:sz w:val="18"/>
          <w:szCs w:val="18"/>
        </w:rPr>
        <w:t xml:space="preserve"> del </w:t>
      </w:r>
      <w:r w:rsidR="000E5D7B">
        <w:rPr>
          <w:rFonts w:ascii="Arial" w:hAnsi="Arial" w:cs="Arial"/>
          <w:sz w:val="18"/>
          <w:szCs w:val="18"/>
        </w:rPr>
        <w:t>29</w:t>
      </w:r>
      <w:r w:rsidR="00892C87">
        <w:rPr>
          <w:rFonts w:ascii="Arial" w:hAnsi="Arial" w:cs="Arial"/>
          <w:sz w:val="18"/>
          <w:szCs w:val="18"/>
        </w:rPr>
        <w:t>% respecto del ejercicio 202</w:t>
      </w:r>
      <w:r w:rsidR="000E5D7B">
        <w:rPr>
          <w:rFonts w:ascii="Arial" w:hAnsi="Arial" w:cs="Arial"/>
          <w:sz w:val="18"/>
          <w:szCs w:val="18"/>
        </w:rPr>
        <w:t>2</w:t>
      </w:r>
      <w:r w:rsidR="00892C87">
        <w:rPr>
          <w:rFonts w:ascii="Arial" w:hAnsi="Arial" w:cs="Arial"/>
          <w:sz w:val="18"/>
          <w:szCs w:val="18"/>
        </w:rPr>
        <w:t>.</w:t>
      </w:r>
    </w:p>
    <w:p w14:paraId="432E3375" w14:textId="77777777"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4ADAEF37"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874341">
        <w:rPr>
          <w:rFonts w:ascii="Arial" w:hAnsi="Arial" w:cs="Arial"/>
          <w:sz w:val="18"/>
          <w:szCs w:val="18"/>
          <w:lang w:val="es-ES"/>
        </w:rPr>
        <w:t>primer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874341">
        <w:rPr>
          <w:rFonts w:ascii="Arial" w:hAnsi="Arial" w:cs="Arial"/>
          <w:sz w:val="18"/>
          <w:szCs w:val="18"/>
        </w:rPr>
        <w:t>3</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874341">
        <w:rPr>
          <w:rFonts w:ascii="Arial" w:hAnsi="Arial" w:cs="Arial"/>
          <w:sz w:val="18"/>
          <w:szCs w:val="18"/>
        </w:rPr>
        <w:t>6</w:t>
      </w:r>
      <w:r>
        <w:rPr>
          <w:rFonts w:ascii="Arial" w:hAnsi="Arial" w:cs="Arial"/>
          <w:sz w:val="18"/>
          <w:szCs w:val="18"/>
        </w:rPr>
        <w:t>,</w:t>
      </w:r>
      <w:r w:rsidR="001F3D67">
        <w:rPr>
          <w:rFonts w:ascii="Arial" w:hAnsi="Arial" w:cs="Arial"/>
          <w:sz w:val="18"/>
          <w:szCs w:val="18"/>
        </w:rPr>
        <w:t>261</w:t>
      </w:r>
      <w:r>
        <w:rPr>
          <w:rFonts w:ascii="Arial" w:hAnsi="Arial" w:cs="Arial"/>
          <w:sz w:val="18"/>
          <w:szCs w:val="18"/>
        </w:rPr>
        <w:t>,</w:t>
      </w:r>
      <w:r w:rsidR="001F3D67">
        <w:rPr>
          <w:rFonts w:ascii="Arial" w:hAnsi="Arial" w:cs="Arial"/>
          <w:sz w:val="18"/>
          <w:szCs w:val="18"/>
        </w:rPr>
        <w:t>905</w:t>
      </w:r>
      <w:r>
        <w:rPr>
          <w:rFonts w:ascii="Arial" w:hAnsi="Arial" w:cs="Arial"/>
          <w:sz w:val="18"/>
          <w:szCs w:val="18"/>
        </w:rPr>
        <w:t>,</w:t>
      </w:r>
      <w:r w:rsidR="001F3D67">
        <w:rPr>
          <w:rFonts w:ascii="Arial" w:hAnsi="Arial" w:cs="Arial"/>
          <w:sz w:val="18"/>
          <w:szCs w:val="18"/>
        </w:rPr>
        <w:t>498</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1F3D67">
        <w:rPr>
          <w:rFonts w:ascii="Arial" w:hAnsi="Arial" w:cs="Arial"/>
          <w:sz w:val="18"/>
          <w:szCs w:val="18"/>
        </w:rPr>
        <w:t>4</w:t>
      </w:r>
      <w:r>
        <w:rPr>
          <w:rFonts w:ascii="Arial" w:hAnsi="Arial" w:cs="Arial"/>
          <w:sz w:val="18"/>
          <w:szCs w:val="18"/>
        </w:rPr>
        <w:t>,</w:t>
      </w:r>
      <w:r w:rsidR="001F3D67">
        <w:rPr>
          <w:rFonts w:ascii="Arial" w:hAnsi="Arial" w:cs="Arial"/>
          <w:sz w:val="18"/>
          <w:szCs w:val="18"/>
        </w:rPr>
        <w:t>983</w:t>
      </w:r>
      <w:r>
        <w:rPr>
          <w:rFonts w:ascii="Arial" w:hAnsi="Arial" w:cs="Arial"/>
          <w:sz w:val="18"/>
          <w:szCs w:val="18"/>
        </w:rPr>
        <w:t>,</w:t>
      </w:r>
      <w:r w:rsidR="001F3D67">
        <w:rPr>
          <w:rFonts w:ascii="Arial" w:hAnsi="Arial" w:cs="Arial"/>
          <w:sz w:val="18"/>
          <w:szCs w:val="18"/>
        </w:rPr>
        <w:t>084</w:t>
      </w:r>
      <w:r>
        <w:rPr>
          <w:rFonts w:ascii="Arial" w:hAnsi="Arial" w:cs="Arial"/>
          <w:sz w:val="18"/>
          <w:szCs w:val="18"/>
        </w:rPr>
        <w:t>,</w:t>
      </w:r>
      <w:r w:rsidR="001F3D67">
        <w:rPr>
          <w:rFonts w:ascii="Arial" w:hAnsi="Arial" w:cs="Arial"/>
          <w:sz w:val="18"/>
          <w:szCs w:val="18"/>
        </w:rPr>
        <w:t>723</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1F3D67">
        <w:rPr>
          <w:rFonts w:ascii="Arial" w:hAnsi="Arial" w:cs="Arial"/>
          <w:sz w:val="18"/>
          <w:szCs w:val="18"/>
        </w:rPr>
        <w:t>1</w:t>
      </w:r>
      <w:r w:rsidR="007F6AFD">
        <w:rPr>
          <w:rFonts w:ascii="Arial" w:hAnsi="Arial" w:cs="Arial"/>
          <w:sz w:val="18"/>
          <w:szCs w:val="18"/>
        </w:rPr>
        <w:t>,</w:t>
      </w:r>
      <w:r w:rsidR="001F3D67">
        <w:rPr>
          <w:rFonts w:ascii="Arial" w:hAnsi="Arial" w:cs="Arial"/>
          <w:sz w:val="18"/>
          <w:szCs w:val="18"/>
        </w:rPr>
        <w:t>278</w:t>
      </w:r>
      <w:r>
        <w:rPr>
          <w:rFonts w:ascii="Arial" w:hAnsi="Arial" w:cs="Arial"/>
          <w:sz w:val="18"/>
          <w:szCs w:val="18"/>
        </w:rPr>
        <w:t>,</w:t>
      </w:r>
      <w:r w:rsidR="001F3D67">
        <w:rPr>
          <w:rFonts w:ascii="Arial" w:hAnsi="Arial" w:cs="Arial"/>
          <w:sz w:val="18"/>
          <w:szCs w:val="18"/>
        </w:rPr>
        <w:t>820</w:t>
      </w:r>
      <w:r>
        <w:rPr>
          <w:rFonts w:ascii="Arial" w:hAnsi="Arial" w:cs="Arial"/>
          <w:sz w:val="18"/>
          <w:szCs w:val="18"/>
        </w:rPr>
        <w:t>,</w:t>
      </w:r>
      <w:r w:rsidR="001F3D67">
        <w:rPr>
          <w:rFonts w:ascii="Arial" w:hAnsi="Arial" w:cs="Arial"/>
          <w:sz w:val="18"/>
          <w:szCs w:val="18"/>
        </w:rPr>
        <w:t>775</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1F3D67">
        <w:rPr>
          <w:rFonts w:ascii="Arial" w:hAnsi="Arial" w:cs="Arial"/>
          <w:sz w:val="18"/>
          <w:szCs w:val="18"/>
        </w:rPr>
        <w:t>significativamente menor</w:t>
      </w:r>
      <w:r w:rsidR="00304672">
        <w:rPr>
          <w:rFonts w:ascii="Arial" w:hAnsi="Arial" w:cs="Arial"/>
          <w:sz w:val="18"/>
          <w:szCs w:val="18"/>
        </w:rPr>
        <w:t xml:space="preserve">, respecto al </w:t>
      </w:r>
      <w:r w:rsidR="007A327C">
        <w:rPr>
          <w:rFonts w:ascii="Arial" w:hAnsi="Arial" w:cs="Arial"/>
          <w:sz w:val="18"/>
          <w:szCs w:val="18"/>
        </w:rPr>
        <w:t>ejercicio de</w:t>
      </w:r>
      <w:r w:rsidR="00304672">
        <w:rPr>
          <w:rFonts w:ascii="Arial" w:hAnsi="Arial" w:cs="Arial"/>
          <w:sz w:val="18"/>
          <w:szCs w:val="18"/>
        </w:rPr>
        <w:t xml:space="preserve"> 202</w:t>
      </w:r>
      <w:r w:rsidR="007A327C">
        <w:rPr>
          <w:rFonts w:ascii="Arial" w:hAnsi="Arial" w:cs="Arial"/>
          <w:sz w:val="18"/>
          <w:szCs w:val="18"/>
        </w:rPr>
        <w:t>2</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36A292A5"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DC16A9">
        <w:rPr>
          <w:rFonts w:ascii="Arial" w:hAnsi="Arial" w:cs="Arial"/>
          <w:sz w:val="18"/>
          <w:szCs w:val="18"/>
        </w:rPr>
        <w:t>marzo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DC16A9">
        <w:rPr>
          <w:rFonts w:ascii="Arial" w:hAnsi="Arial" w:cs="Arial"/>
          <w:sz w:val="18"/>
          <w:szCs w:val="18"/>
        </w:rPr>
        <w:t>3</w:t>
      </w:r>
      <w:r w:rsidRPr="0073056A">
        <w:rPr>
          <w:rFonts w:ascii="Arial" w:hAnsi="Arial" w:cs="Arial"/>
          <w:sz w:val="18"/>
          <w:szCs w:val="18"/>
        </w:rPr>
        <w:t xml:space="preserve"> se recaudó la cantidad de $</w:t>
      </w:r>
      <w:r w:rsidR="00DC16A9">
        <w:rPr>
          <w:rFonts w:ascii="Arial" w:hAnsi="Arial" w:cs="Arial"/>
          <w:sz w:val="18"/>
          <w:szCs w:val="18"/>
        </w:rPr>
        <w:t>215</w:t>
      </w:r>
      <w:r>
        <w:rPr>
          <w:rFonts w:ascii="Arial" w:hAnsi="Arial" w:cs="Arial"/>
          <w:sz w:val="18"/>
          <w:szCs w:val="18"/>
        </w:rPr>
        <w:t>,</w:t>
      </w:r>
      <w:r w:rsidR="00DC16A9">
        <w:rPr>
          <w:rFonts w:ascii="Arial" w:hAnsi="Arial" w:cs="Arial"/>
          <w:sz w:val="18"/>
          <w:szCs w:val="18"/>
        </w:rPr>
        <w:t>839</w:t>
      </w:r>
      <w:r>
        <w:rPr>
          <w:rFonts w:ascii="Arial" w:hAnsi="Arial" w:cs="Arial"/>
          <w:sz w:val="18"/>
          <w:szCs w:val="18"/>
        </w:rPr>
        <w:t>,</w:t>
      </w:r>
      <w:r w:rsidR="00DC16A9">
        <w:rPr>
          <w:rFonts w:ascii="Arial" w:hAnsi="Arial" w:cs="Arial"/>
          <w:sz w:val="18"/>
          <w:szCs w:val="18"/>
        </w:rPr>
        <w:t>170</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DC16A9">
        <w:rPr>
          <w:rFonts w:ascii="Arial" w:hAnsi="Arial" w:cs="Arial"/>
          <w:sz w:val="18"/>
          <w:szCs w:val="18"/>
        </w:rPr>
        <w:t>195</w:t>
      </w:r>
      <w:r w:rsidR="00E004F0">
        <w:rPr>
          <w:rFonts w:ascii="Arial" w:hAnsi="Arial" w:cs="Arial"/>
          <w:sz w:val="18"/>
          <w:szCs w:val="18"/>
        </w:rPr>
        <w:t>,</w:t>
      </w:r>
      <w:r w:rsidR="00DC16A9">
        <w:rPr>
          <w:rFonts w:ascii="Arial" w:hAnsi="Arial" w:cs="Arial"/>
          <w:sz w:val="18"/>
          <w:szCs w:val="18"/>
        </w:rPr>
        <w:t>818</w:t>
      </w:r>
      <w:r w:rsidR="00AB0983">
        <w:rPr>
          <w:rFonts w:ascii="Arial" w:hAnsi="Arial" w:cs="Arial"/>
          <w:sz w:val="18"/>
          <w:szCs w:val="18"/>
        </w:rPr>
        <w:t>,</w:t>
      </w:r>
      <w:r w:rsidR="00DC16A9">
        <w:rPr>
          <w:rFonts w:ascii="Arial" w:hAnsi="Arial" w:cs="Arial"/>
          <w:sz w:val="18"/>
          <w:szCs w:val="18"/>
        </w:rPr>
        <w:t>075</w:t>
      </w:r>
      <w:r>
        <w:rPr>
          <w:rFonts w:ascii="Arial" w:hAnsi="Arial" w:cs="Arial"/>
          <w:sz w:val="18"/>
          <w:szCs w:val="18"/>
        </w:rPr>
        <w:t>; sobre la Producción, el Consumo y las transacciones por un importe de $</w:t>
      </w:r>
      <w:r w:rsidR="00DC16A9">
        <w:rPr>
          <w:rFonts w:ascii="Arial" w:hAnsi="Arial" w:cs="Arial"/>
          <w:sz w:val="18"/>
          <w:szCs w:val="18"/>
        </w:rPr>
        <w:t>14</w:t>
      </w:r>
      <w:r>
        <w:rPr>
          <w:rFonts w:ascii="Arial" w:hAnsi="Arial" w:cs="Arial"/>
          <w:sz w:val="18"/>
          <w:szCs w:val="18"/>
        </w:rPr>
        <w:t>,</w:t>
      </w:r>
      <w:r w:rsidR="00DC16A9">
        <w:rPr>
          <w:rFonts w:ascii="Arial" w:hAnsi="Arial" w:cs="Arial"/>
          <w:sz w:val="18"/>
          <w:szCs w:val="18"/>
        </w:rPr>
        <w:t>100</w:t>
      </w:r>
      <w:r>
        <w:rPr>
          <w:rFonts w:ascii="Arial" w:hAnsi="Arial" w:cs="Arial"/>
          <w:sz w:val="18"/>
          <w:szCs w:val="18"/>
        </w:rPr>
        <w:t>,</w:t>
      </w:r>
      <w:r w:rsidR="00DC16A9">
        <w:rPr>
          <w:rFonts w:ascii="Arial" w:hAnsi="Arial" w:cs="Arial"/>
          <w:sz w:val="18"/>
          <w:szCs w:val="18"/>
        </w:rPr>
        <w:t>295</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DC16A9">
        <w:rPr>
          <w:rFonts w:ascii="Arial" w:hAnsi="Arial" w:cs="Arial"/>
          <w:sz w:val="18"/>
          <w:szCs w:val="18"/>
        </w:rPr>
        <w:t>3</w:t>
      </w:r>
      <w:r>
        <w:rPr>
          <w:rFonts w:ascii="Arial" w:hAnsi="Arial" w:cs="Arial"/>
          <w:sz w:val="18"/>
          <w:szCs w:val="18"/>
        </w:rPr>
        <w:t>,</w:t>
      </w:r>
      <w:r w:rsidR="00DC16A9">
        <w:rPr>
          <w:rFonts w:ascii="Arial" w:hAnsi="Arial" w:cs="Arial"/>
          <w:sz w:val="18"/>
          <w:szCs w:val="18"/>
        </w:rPr>
        <w:t>300</w:t>
      </w:r>
      <w:r>
        <w:rPr>
          <w:rFonts w:ascii="Arial" w:hAnsi="Arial" w:cs="Arial"/>
          <w:sz w:val="18"/>
          <w:szCs w:val="18"/>
        </w:rPr>
        <w:t>,</w:t>
      </w:r>
      <w:r w:rsidR="00DC16A9">
        <w:rPr>
          <w:rFonts w:ascii="Arial" w:hAnsi="Arial" w:cs="Arial"/>
          <w:sz w:val="18"/>
          <w:szCs w:val="18"/>
        </w:rPr>
        <w:t>414</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DC16A9">
        <w:rPr>
          <w:rFonts w:ascii="Arial" w:hAnsi="Arial" w:cs="Arial"/>
          <w:sz w:val="18"/>
          <w:szCs w:val="18"/>
        </w:rPr>
        <w:t>de</w:t>
      </w:r>
      <w:r w:rsidR="00304672">
        <w:rPr>
          <w:rFonts w:ascii="Arial" w:hAnsi="Arial" w:cs="Arial"/>
          <w:sz w:val="18"/>
          <w:szCs w:val="18"/>
        </w:rPr>
        <w:t xml:space="preserve">cremento en impuestos del </w:t>
      </w:r>
      <w:r w:rsidR="00DC16A9">
        <w:rPr>
          <w:rFonts w:ascii="Arial" w:hAnsi="Arial" w:cs="Arial"/>
          <w:sz w:val="18"/>
          <w:szCs w:val="18"/>
        </w:rPr>
        <w:t>71</w:t>
      </w:r>
      <w:r w:rsidR="00304672">
        <w:rPr>
          <w:rFonts w:ascii="Arial" w:hAnsi="Arial" w:cs="Arial"/>
          <w:sz w:val="18"/>
          <w:szCs w:val="18"/>
        </w:rPr>
        <w:t>.</w:t>
      </w:r>
      <w:r w:rsidR="00DC16A9">
        <w:rPr>
          <w:rFonts w:ascii="Arial" w:hAnsi="Arial" w:cs="Arial"/>
          <w:sz w:val="18"/>
          <w:szCs w:val="18"/>
        </w:rPr>
        <w:t>1</w:t>
      </w:r>
      <w:r w:rsidR="00304672">
        <w:rPr>
          <w:rFonts w:ascii="Arial" w:hAnsi="Arial" w:cs="Arial"/>
          <w:sz w:val="18"/>
          <w:szCs w:val="18"/>
        </w:rPr>
        <w:t>% respecto del ejercicio 202</w:t>
      </w:r>
      <w:r w:rsidR="00DC16A9">
        <w:rPr>
          <w:rFonts w:ascii="Arial" w:hAnsi="Arial" w:cs="Arial"/>
          <w:sz w:val="18"/>
          <w:szCs w:val="18"/>
        </w:rPr>
        <w:t>2</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20DF0D77"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7A327C">
        <w:rPr>
          <w:rFonts w:ascii="Arial" w:hAnsi="Arial" w:cs="Arial"/>
          <w:sz w:val="18"/>
          <w:szCs w:val="18"/>
        </w:rPr>
        <w:t>marzo</w:t>
      </w:r>
      <w:r>
        <w:rPr>
          <w:rFonts w:ascii="Arial" w:hAnsi="Arial" w:cs="Arial"/>
          <w:sz w:val="18"/>
          <w:szCs w:val="18"/>
        </w:rPr>
        <w:t xml:space="preserve"> es por</w:t>
      </w:r>
      <w:r w:rsidRPr="0073056A">
        <w:rPr>
          <w:rFonts w:ascii="Arial" w:hAnsi="Arial" w:cs="Arial"/>
          <w:sz w:val="18"/>
          <w:szCs w:val="18"/>
        </w:rPr>
        <w:t xml:space="preserve"> un monto de $</w:t>
      </w:r>
      <w:r w:rsidR="007A327C">
        <w:rPr>
          <w:rFonts w:ascii="Arial" w:hAnsi="Arial" w:cs="Arial"/>
          <w:sz w:val="18"/>
          <w:szCs w:val="18"/>
        </w:rPr>
        <w:t>230</w:t>
      </w:r>
      <w:r>
        <w:rPr>
          <w:rFonts w:ascii="Arial" w:hAnsi="Arial" w:cs="Arial"/>
          <w:sz w:val="18"/>
          <w:szCs w:val="18"/>
        </w:rPr>
        <w:t>,</w:t>
      </w:r>
      <w:r w:rsidR="007A327C">
        <w:rPr>
          <w:rFonts w:ascii="Arial" w:hAnsi="Arial" w:cs="Arial"/>
          <w:sz w:val="18"/>
          <w:szCs w:val="18"/>
        </w:rPr>
        <w:t>120</w:t>
      </w:r>
      <w:r>
        <w:rPr>
          <w:rFonts w:ascii="Arial" w:hAnsi="Arial" w:cs="Arial"/>
          <w:sz w:val="18"/>
          <w:szCs w:val="18"/>
        </w:rPr>
        <w:t>,</w:t>
      </w:r>
      <w:r w:rsidR="007A327C">
        <w:rPr>
          <w:rFonts w:ascii="Arial" w:hAnsi="Arial" w:cs="Arial"/>
          <w:sz w:val="18"/>
          <w:szCs w:val="18"/>
        </w:rPr>
        <w:t>104</w:t>
      </w:r>
      <w:r w:rsidRPr="0073056A">
        <w:rPr>
          <w:rFonts w:ascii="Arial" w:hAnsi="Arial" w:cs="Arial"/>
          <w:sz w:val="18"/>
          <w:szCs w:val="18"/>
        </w:rPr>
        <w:t>.</w:t>
      </w:r>
      <w:r w:rsidR="00304672">
        <w:rPr>
          <w:rFonts w:ascii="Arial" w:hAnsi="Arial" w:cs="Arial"/>
          <w:sz w:val="18"/>
          <w:szCs w:val="18"/>
        </w:rPr>
        <w:t xml:space="preserve"> Mostrando un </w:t>
      </w:r>
      <w:r w:rsidR="007A327C">
        <w:rPr>
          <w:rFonts w:ascii="Arial" w:hAnsi="Arial" w:cs="Arial"/>
          <w:sz w:val="18"/>
          <w:szCs w:val="18"/>
        </w:rPr>
        <w:t>de</w:t>
      </w:r>
      <w:r w:rsidR="00304672">
        <w:rPr>
          <w:rFonts w:ascii="Arial" w:hAnsi="Arial" w:cs="Arial"/>
          <w:sz w:val="18"/>
          <w:szCs w:val="18"/>
        </w:rPr>
        <w:t xml:space="preserve">cremento del </w:t>
      </w:r>
      <w:r w:rsidR="007A327C">
        <w:rPr>
          <w:rFonts w:ascii="Arial" w:hAnsi="Arial" w:cs="Arial"/>
          <w:sz w:val="18"/>
          <w:szCs w:val="18"/>
        </w:rPr>
        <w:t>56</w:t>
      </w:r>
      <w:r w:rsidR="00304672">
        <w:rPr>
          <w:rFonts w:ascii="Arial" w:hAnsi="Arial" w:cs="Arial"/>
          <w:sz w:val="18"/>
          <w:szCs w:val="18"/>
        </w:rPr>
        <w:t>.</w:t>
      </w:r>
      <w:r w:rsidR="007A327C">
        <w:rPr>
          <w:rFonts w:ascii="Arial" w:hAnsi="Arial" w:cs="Arial"/>
          <w:sz w:val="18"/>
          <w:szCs w:val="18"/>
        </w:rPr>
        <w:t>3</w:t>
      </w:r>
      <w:r w:rsidR="00304672">
        <w:rPr>
          <w:rFonts w:ascii="Arial" w:hAnsi="Arial" w:cs="Arial"/>
          <w:sz w:val="18"/>
          <w:szCs w:val="18"/>
        </w:rPr>
        <w:t xml:space="preserve">% respecto al </w:t>
      </w:r>
      <w:r w:rsidR="007A327C">
        <w:rPr>
          <w:rFonts w:ascii="Arial" w:hAnsi="Arial" w:cs="Arial"/>
          <w:sz w:val="18"/>
          <w:szCs w:val="18"/>
        </w:rPr>
        <w:t>ejercicio</w:t>
      </w:r>
      <w:r w:rsidR="00304672">
        <w:rPr>
          <w:rFonts w:ascii="Arial" w:hAnsi="Arial" w:cs="Arial"/>
          <w:sz w:val="18"/>
          <w:szCs w:val="18"/>
        </w:rPr>
        <w:t xml:space="preserve"> de 202</w:t>
      </w:r>
      <w:r w:rsidR="007A327C">
        <w:rPr>
          <w:rFonts w:ascii="Arial" w:hAnsi="Arial" w:cs="Arial"/>
          <w:sz w:val="18"/>
          <w:szCs w:val="18"/>
        </w:rPr>
        <w:t>2</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7F1C2113"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7A327C">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7A327C">
        <w:rPr>
          <w:rFonts w:ascii="Arial" w:hAnsi="Arial" w:cs="Arial"/>
          <w:sz w:val="18"/>
          <w:szCs w:val="18"/>
        </w:rPr>
        <w:t>52</w:t>
      </w:r>
      <w:r w:rsidRPr="00502DDD">
        <w:rPr>
          <w:rFonts w:ascii="Arial" w:hAnsi="Arial" w:cs="Arial"/>
          <w:sz w:val="18"/>
          <w:szCs w:val="18"/>
        </w:rPr>
        <w:t>,</w:t>
      </w:r>
      <w:r w:rsidR="007A327C">
        <w:rPr>
          <w:rFonts w:ascii="Arial" w:hAnsi="Arial" w:cs="Arial"/>
          <w:sz w:val="18"/>
          <w:szCs w:val="18"/>
        </w:rPr>
        <w:t>332</w:t>
      </w:r>
      <w:r w:rsidRPr="00502DDD">
        <w:rPr>
          <w:rFonts w:ascii="Arial" w:hAnsi="Arial" w:cs="Arial"/>
          <w:sz w:val="18"/>
          <w:szCs w:val="18"/>
        </w:rPr>
        <w:t>,</w:t>
      </w:r>
      <w:r w:rsidR="007A327C">
        <w:rPr>
          <w:rFonts w:ascii="Arial" w:hAnsi="Arial" w:cs="Arial"/>
          <w:sz w:val="18"/>
          <w:szCs w:val="18"/>
        </w:rPr>
        <w:t>697</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7A327C">
        <w:rPr>
          <w:rFonts w:ascii="Arial" w:hAnsi="Arial" w:cs="Arial"/>
          <w:sz w:val="18"/>
          <w:szCs w:val="18"/>
        </w:rPr>
        <w:t>de</w:t>
      </w:r>
      <w:r w:rsidR="00304672">
        <w:rPr>
          <w:rFonts w:ascii="Arial" w:hAnsi="Arial" w:cs="Arial"/>
          <w:sz w:val="18"/>
          <w:szCs w:val="18"/>
        </w:rPr>
        <w:t xml:space="preserve">cremento del </w:t>
      </w:r>
      <w:r w:rsidR="007A327C">
        <w:rPr>
          <w:rFonts w:ascii="Arial" w:hAnsi="Arial" w:cs="Arial"/>
          <w:sz w:val="18"/>
          <w:szCs w:val="18"/>
        </w:rPr>
        <w:t>71</w:t>
      </w:r>
      <w:r w:rsidR="00EC5C97">
        <w:rPr>
          <w:rFonts w:ascii="Arial" w:hAnsi="Arial" w:cs="Arial"/>
          <w:sz w:val="18"/>
          <w:szCs w:val="18"/>
        </w:rPr>
        <w:t>.</w:t>
      </w:r>
      <w:r w:rsidR="007A327C">
        <w:rPr>
          <w:rFonts w:ascii="Arial" w:hAnsi="Arial" w:cs="Arial"/>
          <w:sz w:val="18"/>
          <w:szCs w:val="18"/>
        </w:rPr>
        <w:t>2</w:t>
      </w:r>
      <w:r w:rsidR="00304672">
        <w:rPr>
          <w:rFonts w:ascii="Arial" w:hAnsi="Arial" w:cs="Arial"/>
          <w:sz w:val="18"/>
          <w:szCs w:val="18"/>
        </w:rPr>
        <w:t>% respecto del ejercicio 202</w:t>
      </w:r>
      <w:r w:rsidR="007A327C">
        <w:rPr>
          <w:rFonts w:ascii="Arial" w:hAnsi="Arial" w:cs="Arial"/>
          <w:sz w:val="18"/>
          <w:szCs w:val="18"/>
        </w:rPr>
        <w:t>2</w:t>
      </w:r>
      <w:r w:rsidR="00304672">
        <w:rPr>
          <w:rFonts w:ascii="Arial" w:hAnsi="Arial" w:cs="Arial"/>
          <w:sz w:val="18"/>
          <w:szCs w:val="18"/>
        </w:rPr>
        <w:t>.</w:t>
      </w:r>
    </w:p>
    <w:p w14:paraId="3629EEAD" w14:textId="77777777" w:rsidR="00304672" w:rsidRDefault="00304672" w:rsidP="00304672">
      <w:pPr>
        <w:tabs>
          <w:tab w:val="left" w:pos="284"/>
        </w:tabs>
        <w:spacing w:after="0"/>
        <w:ind w:left="284"/>
        <w:jc w:val="both"/>
        <w:rPr>
          <w:rFonts w:ascii="Arial" w:hAnsi="Arial" w:cs="Arial"/>
          <w:b/>
          <w:sz w:val="18"/>
          <w:szCs w:val="18"/>
        </w:rPr>
      </w:pP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2D0EAFDD" w14:textId="2875CE17"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lastRenderedPageBreak/>
        <w:t xml:space="preserve">Al mes de </w:t>
      </w:r>
      <w:r w:rsidR="007A327C">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7A327C">
        <w:rPr>
          <w:rFonts w:ascii="Arial" w:hAnsi="Arial" w:cs="Arial"/>
          <w:sz w:val="18"/>
          <w:szCs w:val="18"/>
        </w:rPr>
        <w:t>3</w:t>
      </w:r>
      <w:r w:rsidRPr="0073056A">
        <w:rPr>
          <w:rFonts w:ascii="Arial" w:hAnsi="Arial" w:cs="Arial"/>
          <w:sz w:val="18"/>
          <w:szCs w:val="18"/>
        </w:rPr>
        <w:t>, el Estado obtuvo ingresos por concepto de Aprovechamientos por un monto de $</w:t>
      </w:r>
      <w:r w:rsidR="007A327C">
        <w:rPr>
          <w:rFonts w:ascii="Arial" w:hAnsi="Arial" w:cs="Arial"/>
          <w:sz w:val="18"/>
          <w:szCs w:val="18"/>
        </w:rPr>
        <w:t>2</w:t>
      </w:r>
      <w:r>
        <w:rPr>
          <w:rFonts w:ascii="Arial" w:hAnsi="Arial" w:cs="Arial"/>
          <w:sz w:val="18"/>
          <w:szCs w:val="18"/>
        </w:rPr>
        <w:t>,</w:t>
      </w:r>
      <w:r w:rsidR="007A327C">
        <w:rPr>
          <w:rFonts w:ascii="Arial" w:hAnsi="Arial" w:cs="Arial"/>
          <w:sz w:val="18"/>
          <w:szCs w:val="18"/>
        </w:rPr>
        <w:t>781</w:t>
      </w:r>
      <w:r w:rsidR="00363494">
        <w:rPr>
          <w:rFonts w:ascii="Arial" w:hAnsi="Arial" w:cs="Arial"/>
          <w:sz w:val="18"/>
          <w:szCs w:val="18"/>
        </w:rPr>
        <w:t>,</w:t>
      </w:r>
      <w:r w:rsidR="007A327C">
        <w:rPr>
          <w:rFonts w:ascii="Arial" w:hAnsi="Arial" w:cs="Arial"/>
          <w:sz w:val="18"/>
          <w:szCs w:val="18"/>
        </w:rPr>
        <w:t>715</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7A327C">
        <w:rPr>
          <w:rFonts w:ascii="Arial" w:hAnsi="Arial" w:cs="Arial"/>
          <w:sz w:val="18"/>
          <w:szCs w:val="18"/>
        </w:rPr>
        <w:t>de</w:t>
      </w:r>
      <w:r w:rsidR="00EC5C97">
        <w:rPr>
          <w:rFonts w:ascii="Arial" w:hAnsi="Arial" w:cs="Arial"/>
          <w:sz w:val="18"/>
          <w:szCs w:val="18"/>
        </w:rPr>
        <w:t xml:space="preserve">cremento del </w:t>
      </w:r>
      <w:r w:rsidR="007A327C">
        <w:rPr>
          <w:rFonts w:ascii="Arial" w:hAnsi="Arial" w:cs="Arial"/>
          <w:sz w:val="18"/>
          <w:szCs w:val="18"/>
        </w:rPr>
        <w:t>83</w:t>
      </w:r>
      <w:r w:rsidR="00EC5C97">
        <w:rPr>
          <w:rFonts w:ascii="Arial" w:hAnsi="Arial" w:cs="Arial"/>
          <w:sz w:val="18"/>
          <w:szCs w:val="18"/>
        </w:rPr>
        <w:t>.</w:t>
      </w:r>
      <w:r w:rsidR="007A327C">
        <w:rPr>
          <w:rFonts w:ascii="Arial" w:hAnsi="Arial" w:cs="Arial"/>
          <w:sz w:val="18"/>
          <w:szCs w:val="18"/>
        </w:rPr>
        <w:t>2</w:t>
      </w:r>
      <w:r w:rsidR="00EC5C97">
        <w:rPr>
          <w:rFonts w:ascii="Arial" w:hAnsi="Arial" w:cs="Arial"/>
          <w:sz w:val="18"/>
          <w:szCs w:val="18"/>
        </w:rPr>
        <w:t xml:space="preserve">% en relación al </w:t>
      </w:r>
      <w:r w:rsidR="007A327C">
        <w:rPr>
          <w:rFonts w:ascii="Arial" w:hAnsi="Arial" w:cs="Arial"/>
          <w:sz w:val="18"/>
          <w:szCs w:val="18"/>
        </w:rPr>
        <w:t>ejercicio</w:t>
      </w:r>
      <w:r w:rsidR="00EC5C97">
        <w:rPr>
          <w:rFonts w:ascii="Arial" w:hAnsi="Arial" w:cs="Arial"/>
          <w:sz w:val="18"/>
          <w:szCs w:val="18"/>
        </w:rPr>
        <w:t xml:space="preserve"> de 202</w:t>
      </w:r>
      <w:r w:rsidR="007A327C">
        <w:rPr>
          <w:rFonts w:ascii="Arial" w:hAnsi="Arial" w:cs="Arial"/>
          <w:sz w:val="18"/>
          <w:szCs w:val="18"/>
        </w:rPr>
        <w:t>2</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128433C5"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El saldo de $</w:t>
      </w:r>
      <w:r w:rsidR="007A327C">
        <w:rPr>
          <w:rFonts w:ascii="Arial" w:hAnsi="Arial" w:cs="Arial"/>
          <w:sz w:val="18"/>
          <w:szCs w:val="18"/>
        </w:rPr>
        <w:t>31</w:t>
      </w:r>
      <w:r>
        <w:rPr>
          <w:rFonts w:ascii="Arial" w:hAnsi="Arial" w:cs="Arial"/>
          <w:sz w:val="18"/>
          <w:szCs w:val="18"/>
        </w:rPr>
        <w:t>,</w:t>
      </w:r>
      <w:r w:rsidR="007A327C">
        <w:rPr>
          <w:rFonts w:ascii="Arial" w:hAnsi="Arial" w:cs="Arial"/>
          <w:sz w:val="18"/>
          <w:szCs w:val="18"/>
        </w:rPr>
        <w:t>589</w:t>
      </w:r>
      <w:r>
        <w:rPr>
          <w:rFonts w:ascii="Arial" w:hAnsi="Arial" w:cs="Arial"/>
          <w:sz w:val="18"/>
          <w:szCs w:val="18"/>
        </w:rPr>
        <w:t>,</w:t>
      </w:r>
      <w:r w:rsidR="007A327C">
        <w:rPr>
          <w:rFonts w:ascii="Arial" w:hAnsi="Arial" w:cs="Arial"/>
          <w:sz w:val="18"/>
          <w:szCs w:val="18"/>
        </w:rPr>
        <w:t>835</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222D09">
        <w:rPr>
          <w:rFonts w:ascii="Arial" w:hAnsi="Arial" w:cs="Arial"/>
          <w:sz w:val="18"/>
          <w:szCs w:val="18"/>
        </w:rPr>
        <w:t>de</w:t>
      </w:r>
      <w:r w:rsidR="00EC5C97">
        <w:rPr>
          <w:rFonts w:ascii="Arial" w:hAnsi="Arial" w:cs="Arial"/>
          <w:sz w:val="18"/>
          <w:szCs w:val="18"/>
        </w:rPr>
        <w:t xml:space="preserve">cremento del </w:t>
      </w:r>
      <w:r w:rsidR="00222D09">
        <w:rPr>
          <w:rFonts w:ascii="Arial" w:hAnsi="Arial" w:cs="Arial"/>
          <w:sz w:val="18"/>
          <w:szCs w:val="18"/>
        </w:rPr>
        <w:t>74.5</w:t>
      </w:r>
      <w:r w:rsidR="00EC5C97">
        <w:rPr>
          <w:rFonts w:ascii="Arial" w:hAnsi="Arial" w:cs="Arial"/>
          <w:sz w:val="18"/>
          <w:szCs w:val="18"/>
        </w:rPr>
        <w:t>% en este rubro, respecto del ejercicio 202</w:t>
      </w:r>
      <w:r w:rsidR="007A327C">
        <w:rPr>
          <w:rFonts w:ascii="Arial" w:hAnsi="Arial" w:cs="Arial"/>
          <w:sz w:val="18"/>
          <w:szCs w:val="18"/>
        </w:rPr>
        <w:t>2</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29FB256F"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222D09">
        <w:rPr>
          <w:rFonts w:ascii="Arial" w:hAnsi="Arial" w:cs="Arial"/>
          <w:sz w:val="18"/>
          <w:szCs w:val="18"/>
        </w:rPr>
        <w:t>5</w:t>
      </w:r>
      <w:r>
        <w:rPr>
          <w:rFonts w:ascii="Arial" w:hAnsi="Arial" w:cs="Arial"/>
          <w:sz w:val="18"/>
          <w:szCs w:val="18"/>
        </w:rPr>
        <w:t>,</w:t>
      </w:r>
      <w:r w:rsidR="00222D09">
        <w:rPr>
          <w:rFonts w:ascii="Arial" w:hAnsi="Arial" w:cs="Arial"/>
          <w:sz w:val="18"/>
          <w:szCs w:val="18"/>
        </w:rPr>
        <w:t>729</w:t>
      </w:r>
      <w:r>
        <w:rPr>
          <w:rFonts w:ascii="Arial" w:hAnsi="Arial" w:cs="Arial"/>
          <w:sz w:val="18"/>
          <w:szCs w:val="18"/>
        </w:rPr>
        <w:t>,</w:t>
      </w:r>
      <w:r w:rsidR="00222D09">
        <w:rPr>
          <w:rFonts w:ascii="Arial" w:hAnsi="Arial" w:cs="Arial"/>
          <w:sz w:val="18"/>
          <w:szCs w:val="18"/>
        </w:rPr>
        <w:t>241</w:t>
      </w:r>
      <w:r>
        <w:rPr>
          <w:rFonts w:ascii="Arial" w:hAnsi="Arial" w:cs="Arial"/>
          <w:sz w:val="18"/>
          <w:szCs w:val="18"/>
        </w:rPr>
        <w:t>,</w:t>
      </w:r>
      <w:r w:rsidR="00222D09">
        <w:rPr>
          <w:rFonts w:ascii="Arial" w:hAnsi="Arial" w:cs="Arial"/>
          <w:sz w:val="18"/>
          <w:szCs w:val="18"/>
        </w:rPr>
        <w:t>977</w:t>
      </w:r>
      <w:r>
        <w:rPr>
          <w:rFonts w:ascii="Arial" w:hAnsi="Arial" w:cs="Arial"/>
          <w:sz w:val="18"/>
          <w:szCs w:val="18"/>
        </w:rPr>
        <w:t xml:space="preserve"> al mes de </w:t>
      </w:r>
      <w:r w:rsidR="00222D09">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222D09">
        <w:rPr>
          <w:rFonts w:ascii="Arial" w:hAnsi="Arial" w:cs="Arial"/>
          <w:sz w:val="18"/>
          <w:szCs w:val="18"/>
        </w:rPr>
        <w:t>3</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222D09">
        <w:rPr>
          <w:rFonts w:ascii="Arial" w:hAnsi="Arial" w:cs="Arial"/>
          <w:sz w:val="18"/>
          <w:szCs w:val="18"/>
        </w:rPr>
        <w:t>ejercicio</w:t>
      </w:r>
      <w:r w:rsidR="00EC5C97">
        <w:rPr>
          <w:rFonts w:ascii="Arial" w:hAnsi="Arial" w:cs="Arial"/>
          <w:sz w:val="18"/>
          <w:szCs w:val="18"/>
        </w:rPr>
        <w:t xml:space="preserve"> de 202</w:t>
      </w:r>
      <w:r w:rsidR="00222D09">
        <w:rPr>
          <w:rFonts w:ascii="Arial" w:hAnsi="Arial" w:cs="Arial"/>
          <w:sz w:val="18"/>
          <w:szCs w:val="18"/>
        </w:rPr>
        <w:t>2</w:t>
      </w:r>
      <w:r w:rsidR="00EC5C97">
        <w:rPr>
          <w:rFonts w:ascii="Arial" w:hAnsi="Arial" w:cs="Arial"/>
          <w:sz w:val="18"/>
          <w:szCs w:val="18"/>
        </w:rPr>
        <w:t xml:space="preserve">, presenta un </w:t>
      </w:r>
      <w:r w:rsidR="00222D09">
        <w:rPr>
          <w:rFonts w:ascii="Arial" w:hAnsi="Arial" w:cs="Arial"/>
          <w:sz w:val="18"/>
          <w:szCs w:val="18"/>
        </w:rPr>
        <w:t>de</w:t>
      </w:r>
      <w:r w:rsidR="00EC5C97">
        <w:rPr>
          <w:rFonts w:ascii="Arial" w:hAnsi="Arial" w:cs="Arial"/>
          <w:sz w:val="18"/>
          <w:szCs w:val="18"/>
        </w:rPr>
        <w:t xml:space="preserve">cremento del </w:t>
      </w:r>
      <w:r w:rsidR="00222D09">
        <w:rPr>
          <w:rFonts w:ascii="Arial" w:hAnsi="Arial" w:cs="Arial"/>
          <w:sz w:val="18"/>
          <w:szCs w:val="18"/>
        </w:rPr>
        <w:t>76.1</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5DB38582" w14:textId="52A70EE8"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222D09">
        <w:rPr>
          <w:rFonts w:ascii="Arial" w:hAnsi="Arial" w:cs="Arial"/>
          <w:sz w:val="18"/>
          <w:szCs w:val="18"/>
        </w:rPr>
        <w:t>2</w:t>
      </w:r>
      <w:r>
        <w:rPr>
          <w:rFonts w:ascii="Arial" w:hAnsi="Arial" w:cs="Arial"/>
          <w:sz w:val="18"/>
          <w:szCs w:val="18"/>
        </w:rPr>
        <w:t>,</w:t>
      </w:r>
      <w:r w:rsidR="00222D09">
        <w:rPr>
          <w:rFonts w:ascii="Arial" w:hAnsi="Arial" w:cs="Arial"/>
          <w:sz w:val="18"/>
          <w:szCs w:val="18"/>
        </w:rPr>
        <w:t>900</w:t>
      </w:r>
      <w:r>
        <w:rPr>
          <w:rFonts w:ascii="Arial" w:hAnsi="Arial" w:cs="Arial"/>
          <w:sz w:val="18"/>
          <w:szCs w:val="18"/>
        </w:rPr>
        <w:t>,</w:t>
      </w:r>
      <w:r w:rsidR="00222D09">
        <w:rPr>
          <w:rFonts w:ascii="Arial" w:hAnsi="Arial" w:cs="Arial"/>
          <w:sz w:val="18"/>
          <w:szCs w:val="18"/>
        </w:rPr>
        <w:t>494</w:t>
      </w:r>
      <w:r>
        <w:rPr>
          <w:rFonts w:ascii="Arial" w:hAnsi="Arial" w:cs="Arial"/>
          <w:sz w:val="18"/>
          <w:szCs w:val="18"/>
        </w:rPr>
        <w:t>,</w:t>
      </w:r>
      <w:r w:rsidR="00222D09">
        <w:rPr>
          <w:rFonts w:ascii="Arial" w:hAnsi="Arial" w:cs="Arial"/>
          <w:sz w:val="18"/>
          <w:szCs w:val="18"/>
        </w:rPr>
        <w:t>448</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222D09">
        <w:rPr>
          <w:rFonts w:ascii="Arial" w:hAnsi="Arial" w:cs="Arial"/>
          <w:sz w:val="18"/>
          <w:szCs w:val="18"/>
        </w:rPr>
        <w:t>2.8</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4B15A551" w14:textId="77777777" w:rsidR="00295FCC" w:rsidRDefault="00295FCC" w:rsidP="00295FCC">
      <w:pPr>
        <w:tabs>
          <w:tab w:val="left" w:pos="284"/>
        </w:tabs>
        <w:spacing w:after="0"/>
        <w:ind w:left="284"/>
        <w:jc w:val="both"/>
        <w:rPr>
          <w:rFonts w:ascii="Arial" w:hAnsi="Arial" w:cs="Arial"/>
          <w:sz w:val="18"/>
          <w:szCs w:val="18"/>
        </w:rPr>
      </w:pPr>
    </w:p>
    <w:p w14:paraId="1873ED25" w14:textId="77777777"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325D5A51" w14:textId="20A69FE0"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222D09">
        <w:rPr>
          <w:rFonts w:ascii="Arial" w:hAnsi="Arial" w:cs="Arial"/>
          <w:sz w:val="18"/>
          <w:szCs w:val="18"/>
        </w:rPr>
        <w:t>marzo</w:t>
      </w:r>
      <w:r>
        <w:rPr>
          <w:rFonts w:ascii="Arial" w:hAnsi="Arial" w:cs="Arial"/>
          <w:sz w:val="18"/>
          <w:szCs w:val="18"/>
        </w:rPr>
        <w:t xml:space="preserve"> de 20</w:t>
      </w:r>
      <w:r w:rsidR="00B27A40">
        <w:rPr>
          <w:rFonts w:ascii="Arial" w:hAnsi="Arial" w:cs="Arial"/>
          <w:sz w:val="18"/>
          <w:szCs w:val="18"/>
        </w:rPr>
        <w:t>2</w:t>
      </w:r>
      <w:r w:rsidR="00222D09">
        <w:rPr>
          <w:rFonts w:ascii="Arial" w:hAnsi="Arial" w:cs="Arial"/>
          <w:sz w:val="18"/>
          <w:szCs w:val="18"/>
        </w:rPr>
        <w:t>3</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12A8FB37" w:rsidR="00AE0E84" w:rsidRPr="0004135F" w:rsidRDefault="00222D09"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768</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164</w:t>
            </w:r>
            <w:r w:rsidR="00363494">
              <w:rPr>
                <w:rFonts w:eastAsia="Times New Roman" w:cstheme="minorHAnsi"/>
                <w:color w:val="000000"/>
                <w:sz w:val="20"/>
                <w:szCs w:val="18"/>
                <w:lang w:eastAsia="es-MX"/>
              </w:rPr>
              <w:t>,</w:t>
            </w:r>
            <w:r w:rsidR="00EC5C97">
              <w:rPr>
                <w:rFonts w:eastAsia="Times New Roman" w:cstheme="minorHAnsi"/>
                <w:color w:val="000000"/>
                <w:sz w:val="20"/>
                <w:szCs w:val="18"/>
                <w:lang w:eastAsia="es-MX"/>
              </w:rPr>
              <w:t>14</w:t>
            </w:r>
            <w:r>
              <w:rPr>
                <w:rFonts w:eastAsia="Times New Roman" w:cstheme="minorHAnsi"/>
                <w:color w:val="000000"/>
                <w:sz w:val="20"/>
                <w:szCs w:val="18"/>
                <w:lang w:eastAsia="es-MX"/>
              </w:rPr>
              <w:t>2</w:t>
            </w:r>
          </w:p>
        </w:tc>
        <w:tc>
          <w:tcPr>
            <w:tcW w:w="1214" w:type="dxa"/>
            <w:tcBorders>
              <w:top w:val="nil"/>
              <w:left w:val="nil"/>
              <w:bottom w:val="single" w:sz="8" w:space="0" w:color="auto"/>
              <w:right w:val="single" w:sz="8" w:space="0" w:color="auto"/>
            </w:tcBorders>
            <w:shd w:val="clear" w:color="auto" w:fill="auto"/>
            <w:noWrap/>
            <w:vAlign w:val="center"/>
          </w:tcPr>
          <w:p w14:paraId="6E3D10BF" w14:textId="76AE8568"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0A4C66DE" w:rsidR="00AE0E84" w:rsidRPr="0004135F" w:rsidRDefault="00222D09"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605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739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922</w:t>
            </w:r>
          </w:p>
        </w:tc>
        <w:tc>
          <w:tcPr>
            <w:tcW w:w="1214" w:type="dxa"/>
            <w:tcBorders>
              <w:top w:val="nil"/>
              <w:left w:val="nil"/>
              <w:bottom w:val="single" w:sz="8" w:space="0" w:color="auto"/>
              <w:right w:val="single" w:sz="8" w:space="0" w:color="auto"/>
            </w:tcBorders>
            <w:shd w:val="clear" w:color="auto" w:fill="auto"/>
            <w:noWrap/>
            <w:vAlign w:val="center"/>
          </w:tcPr>
          <w:p w14:paraId="279F69EC" w14:textId="2A412CB0"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2D611600" w:rsidR="00AE0E84" w:rsidRPr="0004135F" w:rsidRDefault="00222D09"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658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605</w:t>
            </w:r>
          </w:p>
        </w:tc>
        <w:tc>
          <w:tcPr>
            <w:tcW w:w="1214" w:type="dxa"/>
            <w:tcBorders>
              <w:top w:val="nil"/>
              <w:left w:val="nil"/>
              <w:bottom w:val="single" w:sz="8" w:space="0" w:color="auto"/>
              <w:right w:val="single" w:sz="8" w:space="0" w:color="auto"/>
            </w:tcBorders>
            <w:shd w:val="clear" w:color="auto" w:fill="auto"/>
            <w:noWrap/>
            <w:vAlign w:val="center"/>
          </w:tcPr>
          <w:p w14:paraId="5E3983A1" w14:textId="6765BD89" w:rsidR="00AE0E84" w:rsidRPr="0004135F" w:rsidRDefault="00080D6B" w:rsidP="008A44D6">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5D67E1">
              <w:rPr>
                <w:rFonts w:eastAsia="Times New Roman" w:cstheme="minorHAnsi"/>
                <w:color w:val="000000"/>
                <w:sz w:val="20"/>
                <w:szCs w:val="18"/>
                <w:lang w:eastAsia="es-MX"/>
              </w:rPr>
              <w:t>7</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013F7822" w:rsidR="00AE0E84" w:rsidRPr="0004135F" w:rsidRDefault="00222D09"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309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267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921</w:t>
            </w:r>
          </w:p>
        </w:tc>
        <w:tc>
          <w:tcPr>
            <w:tcW w:w="1214" w:type="dxa"/>
            <w:tcBorders>
              <w:top w:val="nil"/>
              <w:left w:val="nil"/>
              <w:bottom w:val="single" w:sz="8" w:space="0" w:color="auto"/>
              <w:right w:val="single" w:sz="8" w:space="0" w:color="auto"/>
            </w:tcBorders>
            <w:shd w:val="clear" w:color="auto" w:fill="auto"/>
            <w:noWrap/>
            <w:vAlign w:val="center"/>
          </w:tcPr>
          <w:p w14:paraId="7F8B696D" w14:textId="04825B56"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7D695625"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299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557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080</w:t>
            </w:r>
          </w:p>
        </w:tc>
        <w:tc>
          <w:tcPr>
            <w:tcW w:w="1214" w:type="dxa"/>
            <w:tcBorders>
              <w:top w:val="nil"/>
              <w:left w:val="nil"/>
              <w:bottom w:val="single" w:sz="8" w:space="0" w:color="auto"/>
              <w:right w:val="single" w:sz="8" w:space="0" w:color="auto"/>
            </w:tcBorders>
            <w:shd w:val="clear" w:color="auto" w:fill="auto"/>
            <w:noWrap/>
            <w:vAlign w:val="center"/>
          </w:tcPr>
          <w:p w14:paraId="7186E41E" w14:textId="285C13D5" w:rsidR="000B552D"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12</w:t>
            </w:r>
            <w:r w:rsidR="004F5AA8">
              <w:rPr>
                <w:rFonts w:eastAsia="Times New Roman" w:cstheme="minorHAnsi"/>
                <w:color w:val="000000"/>
                <w:sz w:val="20"/>
                <w:szCs w:val="18"/>
                <w:lang w:eastAsia="es-MX"/>
              </w:rPr>
              <w:t>.</w:t>
            </w:r>
            <w:r>
              <w:rPr>
                <w:rFonts w:eastAsia="Times New Roman" w:cstheme="minorHAnsi"/>
                <w:color w:val="000000"/>
                <w:sz w:val="20"/>
                <w:szCs w:val="18"/>
                <w:lang w:eastAsia="es-MX"/>
              </w:rPr>
              <w:t>0</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0966D6D4" w:rsidR="00E828CB"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167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341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032</w:t>
            </w:r>
          </w:p>
        </w:tc>
        <w:tc>
          <w:tcPr>
            <w:tcW w:w="1214" w:type="dxa"/>
            <w:tcBorders>
              <w:top w:val="nil"/>
              <w:left w:val="nil"/>
              <w:bottom w:val="single" w:sz="8" w:space="0" w:color="auto"/>
              <w:right w:val="single" w:sz="8" w:space="0" w:color="auto"/>
            </w:tcBorders>
            <w:shd w:val="clear" w:color="auto" w:fill="auto"/>
            <w:noWrap/>
            <w:vAlign w:val="center"/>
          </w:tcPr>
          <w:p w14:paraId="173E7ADB" w14:textId="75FCFC9E" w:rsidR="00E828CB"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6</w:t>
            </w:r>
            <w:r w:rsidR="0072758C">
              <w:rPr>
                <w:rFonts w:eastAsia="Times New Roman" w:cstheme="minorHAnsi"/>
                <w:color w:val="000000"/>
                <w:sz w:val="20"/>
                <w:szCs w:val="18"/>
                <w:lang w:eastAsia="es-MX"/>
              </w:rPr>
              <w:t>.</w:t>
            </w:r>
            <w:r w:rsidR="008A44D6">
              <w:rPr>
                <w:rFonts w:eastAsia="Times New Roman" w:cstheme="minorHAnsi"/>
                <w:color w:val="000000"/>
                <w:sz w:val="20"/>
                <w:szCs w:val="18"/>
                <w:lang w:eastAsia="es-MX"/>
              </w:rPr>
              <w:t>7</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017BDB94"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654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212</w:t>
            </w:r>
          </w:p>
        </w:tc>
        <w:tc>
          <w:tcPr>
            <w:tcW w:w="1214" w:type="dxa"/>
            <w:tcBorders>
              <w:top w:val="nil"/>
              <w:left w:val="nil"/>
              <w:bottom w:val="single" w:sz="8" w:space="0" w:color="auto"/>
              <w:right w:val="single" w:sz="8" w:space="0" w:color="auto"/>
            </w:tcBorders>
            <w:shd w:val="clear" w:color="auto" w:fill="auto"/>
            <w:noWrap/>
            <w:vAlign w:val="center"/>
          </w:tcPr>
          <w:p w14:paraId="6C945F4F" w14:textId="77777777"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6A398B24"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FE59F7">
              <w:rPr>
                <w:rFonts w:eastAsia="Times New Roman" w:cstheme="minorHAnsi"/>
                <w:color w:val="000000"/>
                <w:sz w:val="20"/>
                <w:szCs w:val="18"/>
                <w:lang w:eastAsia="es-MX"/>
              </w:rPr>
              <w:t>5</w:t>
            </w:r>
            <w:r w:rsidR="006141F9">
              <w:rPr>
                <w:rFonts w:eastAsia="Times New Roman" w:cstheme="minorHAnsi"/>
                <w:color w:val="000000"/>
                <w:sz w:val="20"/>
                <w:szCs w:val="18"/>
                <w:lang w:eastAsia="es-MX"/>
              </w:rPr>
              <w:t>,</w:t>
            </w:r>
            <w:r w:rsidR="00FE59F7">
              <w:rPr>
                <w:rFonts w:eastAsia="Times New Roman" w:cstheme="minorHAnsi"/>
                <w:color w:val="000000"/>
                <w:sz w:val="20"/>
                <w:szCs w:val="18"/>
                <w:lang w:eastAsia="es-MX"/>
              </w:rPr>
              <w:t>199</w:t>
            </w:r>
            <w:r w:rsidR="006141F9">
              <w:rPr>
                <w:rFonts w:eastAsia="Times New Roman" w:cstheme="minorHAnsi"/>
                <w:color w:val="000000"/>
                <w:sz w:val="20"/>
                <w:szCs w:val="18"/>
                <w:lang w:eastAsia="es-MX"/>
              </w:rPr>
              <w:t>,</w:t>
            </w:r>
            <w:r w:rsidR="00FE59F7">
              <w:rPr>
                <w:rFonts w:eastAsia="Times New Roman" w:cstheme="minorHAnsi"/>
                <w:color w:val="000000"/>
                <w:sz w:val="20"/>
                <w:szCs w:val="18"/>
                <w:lang w:eastAsia="es-MX"/>
              </w:rPr>
              <w:t>972</w:t>
            </w:r>
          </w:p>
        </w:tc>
        <w:tc>
          <w:tcPr>
            <w:tcW w:w="1214" w:type="dxa"/>
            <w:tcBorders>
              <w:top w:val="nil"/>
              <w:left w:val="nil"/>
              <w:bottom w:val="single" w:sz="8" w:space="0" w:color="auto"/>
              <w:right w:val="single" w:sz="8" w:space="0" w:color="auto"/>
            </w:tcBorders>
            <w:shd w:val="clear" w:color="auto" w:fill="auto"/>
            <w:noWrap/>
            <w:vAlign w:val="center"/>
          </w:tcPr>
          <w:p w14:paraId="4FDD53D7" w14:textId="55A7A824"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8A44D6">
              <w:rPr>
                <w:rFonts w:eastAsia="Times New Roman" w:cstheme="minorHAnsi"/>
                <w:color w:val="000000"/>
                <w:sz w:val="20"/>
                <w:szCs w:val="18"/>
                <w:lang w:eastAsia="es-MX"/>
              </w:rPr>
              <w:t>.</w:t>
            </w:r>
            <w:r w:rsidR="005D67E1">
              <w:rPr>
                <w:rFonts w:eastAsia="Times New Roman" w:cstheme="minorHAnsi"/>
                <w:color w:val="000000"/>
                <w:sz w:val="20"/>
                <w:szCs w:val="18"/>
                <w:lang w:eastAsia="es-MX"/>
              </w:rPr>
              <w:t>6</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0A32850A"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940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751</w:t>
            </w:r>
          </w:p>
        </w:tc>
        <w:tc>
          <w:tcPr>
            <w:tcW w:w="1214" w:type="dxa"/>
            <w:tcBorders>
              <w:top w:val="nil"/>
              <w:left w:val="nil"/>
              <w:bottom w:val="single" w:sz="8" w:space="0" w:color="auto"/>
              <w:right w:val="single" w:sz="8" w:space="0" w:color="auto"/>
            </w:tcBorders>
            <w:shd w:val="clear" w:color="auto" w:fill="auto"/>
            <w:noWrap/>
            <w:vAlign w:val="center"/>
          </w:tcPr>
          <w:p w14:paraId="73AE023E" w14:textId="220409AD"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4F5AA8">
              <w:rPr>
                <w:rFonts w:eastAsia="Times New Roman" w:cstheme="minorHAnsi"/>
                <w:color w:val="000000"/>
                <w:sz w:val="20"/>
                <w:szCs w:val="18"/>
                <w:lang w:eastAsia="es-MX"/>
              </w:rPr>
              <w:t>.</w:t>
            </w:r>
            <w:r>
              <w:rPr>
                <w:rFonts w:eastAsia="Times New Roman" w:cstheme="minorHAnsi"/>
                <w:color w:val="000000"/>
                <w:sz w:val="20"/>
                <w:szCs w:val="18"/>
                <w:lang w:eastAsia="es-MX"/>
              </w:rPr>
              <w:t>2</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0EF7B0F6"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224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348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979</w:t>
            </w:r>
          </w:p>
        </w:tc>
        <w:tc>
          <w:tcPr>
            <w:tcW w:w="1214" w:type="dxa"/>
            <w:tcBorders>
              <w:top w:val="nil"/>
              <w:left w:val="nil"/>
              <w:bottom w:val="single" w:sz="8" w:space="0" w:color="auto"/>
              <w:right w:val="single" w:sz="8" w:space="0" w:color="auto"/>
            </w:tcBorders>
            <w:shd w:val="clear" w:color="auto" w:fill="auto"/>
            <w:noWrap/>
            <w:vAlign w:val="center"/>
          </w:tcPr>
          <w:p w14:paraId="2DD88D54" w14:textId="5841B93A"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9</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0</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00013F3D"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 xml:space="preserve">  </w:t>
            </w:r>
            <w:r w:rsidR="00FE59F7">
              <w:rPr>
                <w:rFonts w:eastAsia="Times New Roman" w:cstheme="minorHAnsi"/>
                <w:color w:val="000000"/>
                <w:sz w:val="20"/>
                <w:szCs w:val="18"/>
                <w:lang w:eastAsia="es-MX"/>
              </w:rPr>
              <w:t>2</w:t>
            </w:r>
            <w:r w:rsidR="00AE0E84" w:rsidRPr="0004135F">
              <w:rPr>
                <w:rFonts w:eastAsia="Times New Roman" w:cstheme="minorHAnsi"/>
                <w:color w:val="000000"/>
                <w:sz w:val="20"/>
                <w:szCs w:val="18"/>
                <w:lang w:eastAsia="es-MX"/>
              </w:rPr>
              <w:t>,</w:t>
            </w:r>
            <w:r w:rsidR="004F5AA8">
              <w:rPr>
                <w:rFonts w:eastAsia="Times New Roman" w:cstheme="minorHAnsi"/>
                <w:color w:val="000000"/>
                <w:sz w:val="20"/>
                <w:szCs w:val="18"/>
                <w:lang w:eastAsia="es-MX"/>
              </w:rPr>
              <w:t>5</w:t>
            </w:r>
            <w:r w:rsidR="00FE59F7">
              <w:rPr>
                <w:rFonts w:eastAsia="Times New Roman" w:cstheme="minorHAnsi"/>
                <w:color w:val="000000"/>
                <w:sz w:val="20"/>
                <w:szCs w:val="18"/>
                <w:lang w:eastAsia="es-MX"/>
              </w:rPr>
              <w:t>0</w:t>
            </w:r>
            <w:r>
              <w:rPr>
                <w:rFonts w:eastAsia="Times New Roman" w:cstheme="minorHAnsi"/>
                <w:color w:val="000000"/>
                <w:sz w:val="20"/>
                <w:szCs w:val="18"/>
                <w:lang w:eastAsia="es-MX"/>
              </w:rPr>
              <w:t>1</w:t>
            </w:r>
            <w:r w:rsidR="00AE0E84" w:rsidRPr="0004135F">
              <w:rPr>
                <w:rFonts w:eastAsia="Times New Roman" w:cstheme="minorHAnsi"/>
                <w:color w:val="000000"/>
                <w:sz w:val="20"/>
                <w:szCs w:val="18"/>
                <w:lang w:eastAsia="es-MX"/>
              </w:rPr>
              <w:t>,</w:t>
            </w:r>
            <w:r w:rsidR="00FE59F7">
              <w:rPr>
                <w:rFonts w:eastAsia="Times New Roman" w:cstheme="minorHAnsi"/>
                <w:color w:val="000000"/>
                <w:sz w:val="20"/>
                <w:szCs w:val="18"/>
                <w:lang w:eastAsia="es-MX"/>
              </w:rPr>
              <w:t>872</w:t>
            </w:r>
            <w:r w:rsidR="00AE0E84" w:rsidRPr="0004135F">
              <w:rPr>
                <w:rFonts w:eastAsia="Times New Roman" w:cstheme="minorHAnsi"/>
                <w:color w:val="000000"/>
                <w:sz w:val="20"/>
                <w:szCs w:val="18"/>
                <w:lang w:eastAsia="es-MX"/>
              </w:rPr>
              <w:t>,</w:t>
            </w:r>
            <w:r w:rsidR="00FE59F7">
              <w:rPr>
                <w:rFonts w:eastAsia="Times New Roman" w:cstheme="minorHAnsi"/>
                <w:color w:val="000000"/>
                <w:sz w:val="20"/>
                <w:szCs w:val="18"/>
                <w:lang w:eastAsia="es-MX"/>
              </w:rPr>
              <w:t>616</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77777777"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398E1137"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F50835">
        <w:rPr>
          <w:rFonts w:ascii="Arial" w:hAnsi="Arial" w:cs="Arial"/>
          <w:sz w:val="18"/>
          <w:szCs w:val="18"/>
        </w:rPr>
        <w:t>marzo</w:t>
      </w:r>
      <w:r>
        <w:rPr>
          <w:rFonts w:ascii="Arial" w:hAnsi="Arial" w:cs="Arial"/>
          <w:sz w:val="18"/>
          <w:szCs w:val="18"/>
        </w:rPr>
        <w:t xml:space="preserve"> del ejercicio 20</w:t>
      </w:r>
      <w:r w:rsidR="001340E0">
        <w:rPr>
          <w:rFonts w:ascii="Arial" w:hAnsi="Arial" w:cs="Arial"/>
          <w:sz w:val="18"/>
          <w:szCs w:val="18"/>
        </w:rPr>
        <w:t>2</w:t>
      </w:r>
      <w:r w:rsidR="00F50835">
        <w:rPr>
          <w:rFonts w:ascii="Arial" w:hAnsi="Arial" w:cs="Arial"/>
          <w:sz w:val="18"/>
          <w:szCs w:val="18"/>
        </w:rPr>
        <w:t>3</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F50835">
        <w:rPr>
          <w:rFonts w:ascii="Arial" w:hAnsi="Arial" w:cs="Arial"/>
          <w:sz w:val="18"/>
          <w:szCs w:val="18"/>
        </w:rPr>
        <w:t>323</w:t>
      </w:r>
      <w:r w:rsidR="0098545B">
        <w:rPr>
          <w:rFonts w:ascii="Arial" w:hAnsi="Arial" w:cs="Arial"/>
          <w:sz w:val="18"/>
          <w:szCs w:val="18"/>
        </w:rPr>
        <w:t>,</w:t>
      </w:r>
      <w:r w:rsidR="00F50835">
        <w:rPr>
          <w:rFonts w:ascii="Arial" w:hAnsi="Arial" w:cs="Arial"/>
          <w:sz w:val="18"/>
          <w:szCs w:val="18"/>
        </w:rPr>
        <w:t>594</w:t>
      </w:r>
      <w:r w:rsidR="0098545B">
        <w:rPr>
          <w:rFonts w:ascii="Arial" w:hAnsi="Arial" w:cs="Arial"/>
          <w:sz w:val="18"/>
          <w:szCs w:val="18"/>
        </w:rPr>
        <w:t>,</w:t>
      </w:r>
      <w:r w:rsidR="00F50835">
        <w:rPr>
          <w:rFonts w:ascii="Arial" w:hAnsi="Arial" w:cs="Arial"/>
          <w:sz w:val="18"/>
          <w:szCs w:val="18"/>
        </w:rPr>
        <w:t>472</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5C019D0D"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F50835">
        <w:rPr>
          <w:rFonts w:ascii="Arial" w:hAnsi="Arial" w:cs="Arial"/>
          <w:sz w:val="18"/>
          <w:szCs w:val="18"/>
        </w:rPr>
        <w:t>primer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50835">
        <w:rPr>
          <w:rFonts w:ascii="Arial" w:hAnsi="Arial" w:cs="Arial"/>
          <w:sz w:val="18"/>
          <w:szCs w:val="18"/>
        </w:rPr>
        <w:t>3</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F50835">
        <w:rPr>
          <w:rFonts w:ascii="Arial" w:hAnsi="Arial" w:cs="Arial"/>
          <w:sz w:val="18"/>
          <w:szCs w:val="18"/>
        </w:rPr>
        <w:t>marzo</w:t>
      </w:r>
      <w:r w:rsidR="00134F21">
        <w:rPr>
          <w:rFonts w:ascii="Arial" w:hAnsi="Arial" w:cs="Arial"/>
          <w:sz w:val="18"/>
          <w:szCs w:val="18"/>
        </w:rPr>
        <w:t xml:space="preserve"> por este concepto un monto de $</w:t>
      </w:r>
      <w:r w:rsidR="00F50835">
        <w:rPr>
          <w:rFonts w:ascii="Arial" w:hAnsi="Arial" w:cs="Arial"/>
          <w:sz w:val="18"/>
          <w:szCs w:val="18"/>
        </w:rPr>
        <w:t>706</w:t>
      </w:r>
      <w:r w:rsidR="00134F21">
        <w:rPr>
          <w:rFonts w:ascii="Arial" w:hAnsi="Arial" w:cs="Arial"/>
          <w:sz w:val="18"/>
          <w:szCs w:val="18"/>
        </w:rPr>
        <w:t>,</w:t>
      </w:r>
      <w:r w:rsidR="00F50835">
        <w:rPr>
          <w:rFonts w:ascii="Arial" w:hAnsi="Arial" w:cs="Arial"/>
          <w:sz w:val="18"/>
          <w:szCs w:val="18"/>
        </w:rPr>
        <w:t>458</w:t>
      </w:r>
      <w:r w:rsidR="00134F21">
        <w:rPr>
          <w:rFonts w:ascii="Arial" w:hAnsi="Arial" w:cs="Arial"/>
          <w:sz w:val="18"/>
          <w:szCs w:val="18"/>
        </w:rPr>
        <w:t>,</w:t>
      </w:r>
      <w:r w:rsidR="00F50835">
        <w:rPr>
          <w:rFonts w:ascii="Arial" w:hAnsi="Arial" w:cs="Arial"/>
          <w:sz w:val="18"/>
          <w:szCs w:val="18"/>
        </w:rPr>
        <w:t>986</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F50835">
        <w:rPr>
          <w:rFonts w:ascii="Arial" w:hAnsi="Arial" w:cs="Arial"/>
          <w:sz w:val="18"/>
          <w:szCs w:val="18"/>
        </w:rPr>
        <w:t>de</w:t>
      </w:r>
      <w:r w:rsidR="007615D9">
        <w:rPr>
          <w:rFonts w:ascii="Arial" w:hAnsi="Arial" w:cs="Arial"/>
          <w:sz w:val="18"/>
          <w:szCs w:val="18"/>
        </w:rPr>
        <w:t>cremento del 7</w:t>
      </w:r>
      <w:r w:rsidR="00F50835">
        <w:rPr>
          <w:rFonts w:ascii="Arial" w:hAnsi="Arial" w:cs="Arial"/>
          <w:sz w:val="18"/>
          <w:szCs w:val="18"/>
        </w:rPr>
        <w:t>5</w:t>
      </w:r>
      <w:r w:rsidR="007615D9">
        <w:rPr>
          <w:rFonts w:ascii="Arial" w:hAnsi="Arial" w:cs="Arial"/>
          <w:sz w:val="18"/>
          <w:szCs w:val="18"/>
        </w:rPr>
        <w:t>.</w:t>
      </w:r>
      <w:r w:rsidR="00F50835">
        <w:rPr>
          <w:rFonts w:ascii="Arial" w:hAnsi="Arial" w:cs="Arial"/>
          <w:sz w:val="18"/>
          <w:szCs w:val="18"/>
        </w:rPr>
        <w:t>4</w:t>
      </w:r>
      <w:r w:rsidR="007615D9">
        <w:rPr>
          <w:rFonts w:ascii="Arial" w:hAnsi="Arial" w:cs="Arial"/>
          <w:sz w:val="18"/>
          <w:szCs w:val="18"/>
        </w:rPr>
        <w:t>% respecto al ejercicio 202</w:t>
      </w:r>
      <w:r w:rsidR="00F50835">
        <w:rPr>
          <w:rFonts w:ascii="Arial" w:hAnsi="Arial" w:cs="Arial"/>
          <w:sz w:val="18"/>
          <w:szCs w:val="18"/>
        </w:rPr>
        <w:t>2</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2EDC500" w14:textId="3F2F8ECC"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F50835">
        <w:rPr>
          <w:rFonts w:ascii="Arial" w:hAnsi="Arial" w:cs="Arial"/>
          <w:sz w:val="18"/>
          <w:szCs w:val="18"/>
        </w:rPr>
        <w:t>17</w:t>
      </w:r>
      <w:r>
        <w:rPr>
          <w:rFonts w:ascii="Arial" w:hAnsi="Arial" w:cs="Arial"/>
          <w:sz w:val="18"/>
          <w:szCs w:val="18"/>
        </w:rPr>
        <w:t>,</w:t>
      </w:r>
      <w:r w:rsidR="00F50835">
        <w:rPr>
          <w:rFonts w:ascii="Arial" w:hAnsi="Arial" w:cs="Arial"/>
          <w:sz w:val="18"/>
          <w:szCs w:val="18"/>
        </w:rPr>
        <w:t>744</w:t>
      </w:r>
      <w:r>
        <w:rPr>
          <w:rFonts w:ascii="Arial" w:hAnsi="Arial" w:cs="Arial"/>
          <w:sz w:val="18"/>
          <w:szCs w:val="18"/>
        </w:rPr>
        <w:t>,</w:t>
      </w:r>
      <w:r w:rsidR="00663540">
        <w:rPr>
          <w:rFonts w:ascii="Arial" w:hAnsi="Arial" w:cs="Arial"/>
          <w:sz w:val="18"/>
          <w:szCs w:val="18"/>
        </w:rPr>
        <w:t>495</w:t>
      </w:r>
      <w:r w:rsidRPr="0073056A">
        <w:rPr>
          <w:rFonts w:ascii="Arial" w:hAnsi="Arial" w:cs="Arial"/>
          <w:sz w:val="18"/>
          <w:szCs w:val="18"/>
        </w:rPr>
        <w:t>.</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18D67DB6"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663540">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7615D9">
        <w:rPr>
          <w:rFonts w:ascii="Arial" w:hAnsi="Arial" w:cs="Arial"/>
          <w:sz w:val="18"/>
          <w:szCs w:val="18"/>
        </w:rPr>
        <w:t>5</w:t>
      </w:r>
      <w:r w:rsidR="00663540">
        <w:rPr>
          <w:rFonts w:ascii="Arial" w:hAnsi="Arial" w:cs="Arial"/>
          <w:sz w:val="18"/>
          <w:szCs w:val="18"/>
        </w:rPr>
        <w:t>5</w:t>
      </w:r>
      <w:r w:rsidR="00BA3B1D">
        <w:rPr>
          <w:rFonts w:ascii="Arial" w:hAnsi="Arial" w:cs="Arial"/>
          <w:sz w:val="18"/>
          <w:szCs w:val="18"/>
        </w:rPr>
        <w:t>,</w:t>
      </w:r>
      <w:r w:rsidR="00663540">
        <w:rPr>
          <w:rFonts w:ascii="Arial" w:hAnsi="Arial" w:cs="Arial"/>
          <w:sz w:val="18"/>
          <w:szCs w:val="18"/>
        </w:rPr>
        <w:t>838</w:t>
      </w:r>
      <w:r w:rsidR="00BA3B1D">
        <w:rPr>
          <w:rFonts w:ascii="Arial" w:hAnsi="Arial" w:cs="Arial"/>
          <w:sz w:val="18"/>
          <w:szCs w:val="18"/>
        </w:rPr>
        <w:t>,</w:t>
      </w:r>
      <w:r w:rsidR="007615D9">
        <w:rPr>
          <w:rFonts w:ascii="Arial" w:hAnsi="Arial" w:cs="Arial"/>
          <w:sz w:val="18"/>
          <w:szCs w:val="18"/>
        </w:rPr>
        <w:t>4</w:t>
      </w:r>
      <w:r w:rsidR="00663540">
        <w:rPr>
          <w:rFonts w:ascii="Arial" w:hAnsi="Arial" w:cs="Arial"/>
          <w:sz w:val="18"/>
          <w:szCs w:val="18"/>
        </w:rPr>
        <w:t>83</w:t>
      </w:r>
      <w:r w:rsidRPr="0073056A">
        <w:rPr>
          <w:rFonts w:ascii="Arial" w:hAnsi="Arial" w:cs="Arial"/>
          <w:sz w:val="18"/>
          <w:szCs w:val="18"/>
        </w:rPr>
        <w:t>.</w:t>
      </w:r>
      <w:r w:rsidR="007615D9">
        <w:rPr>
          <w:rFonts w:ascii="Arial" w:hAnsi="Arial" w:cs="Arial"/>
          <w:sz w:val="18"/>
          <w:szCs w:val="18"/>
        </w:rPr>
        <w:t xml:space="preserve"> Lo que representa un </w:t>
      </w:r>
      <w:r w:rsidR="00663540">
        <w:rPr>
          <w:rFonts w:ascii="Arial" w:hAnsi="Arial" w:cs="Arial"/>
          <w:sz w:val="18"/>
          <w:szCs w:val="18"/>
        </w:rPr>
        <w:t>de</w:t>
      </w:r>
      <w:r w:rsidR="007615D9">
        <w:rPr>
          <w:rFonts w:ascii="Arial" w:hAnsi="Arial" w:cs="Arial"/>
          <w:sz w:val="18"/>
          <w:szCs w:val="18"/>
        </w:rPr>
        <w:t xml:space="preserve">cremento del </w:t>
      </w:r>
      <w:r w:rsidR="00663540">
        <w:rPr>
          <w:rFonts w:ascii="Arial" w:hAnsi="Arial" w:cs="Arial"/>
          <w:sz w:val="18"/>
          <w:szCs w:val="18"/>
        </w:rPr>
        <w:t>88</w:t>
      </w:r>
      <w:r w:rsidR="007615D9">
        <w:rPr>
          <w:rFonts w:ascii="Arial" w:hAnsi="Arial" w:cs="Arial"/>
          <w:sz w:val="18"/>
          <w:szCs w:val="18"/>
        </w:rPr>
        <w:t>.</w:t>
      </w:r>
      <w:r w:rsidR="00663540">
        <w:rPr>
          <w:rFonts w:ascii="Arial" w:hAnsi="Arial" w:cs="Arial"/>
          <w:sz w:val="18"/>
          <w:szCs w:val="18"/>
        </w:rPr>
        <w:t>9</w:t>
      </w:r>
      <w:r w:rsidR="007615D9">
        <w:rPr>
          <w:rFonts w:ascii="Arial" w:hAnsi="Arial" w:cs="Arial"/>
          <w:sz w:val="18"/>
          <w:szCs w:val="18"/>
        </w:rPr>
        <w:t>% respecto al ejercicio 202</w:t>
      </w:r>
      <w:r w:rsidR="00663540">
        <w:rPr>
          <w:rFonts w:ascii="Arial" w:hAnsi="Arial" w:cs="Arial"/>
          <w:sz w:val="18"/>
          <w:szCs w:val="18"/>
        </w:rPr>
        <w:t>2</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A282576" w14:textId="391F6F39"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663540">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observan un monto de $</w:t>
      </w:r>
      <w:r w:rsidR="00663540">
        <w:rPr>
          <w:rFonts w:ascii="Arial" w:hAnsi="Arial" w:cs="Arial"/>
          <w:sz w:val="18"/>
          <w:szCs w:val="18"/>
        </w:rPr>
        <w:t>2</w:t>
      </w:r>
      <w:r w:rsidR="001A78A4">
        <w:rPr>
          <w:rFonts w:ascii="Arial" w:hAnsi="Arial" w:cs="Arial"/>
          <w:sz w:val="18"/>
          <w:szCs w:val="18"/>
        </w:rPr>
        <w:t>,</w:t>
      </w:r>
      <w:r w:rsidR="00663540">
        <w:rPr>
          <w:rFonts w:ascii="Arial" w:hAnsi="Arial" w:cs="Arial"/>
          <w:sz w:val="18"/>
          <w:szCs w:val="18"/>
        </w:rPr>
        <w:t>907</w:t>
      </w:r>
      <w:r>
        <w:rPr>
          <w:rFonts w:ascii="Arial" w:hAnsi="Arial" w:cs="Arial"/>
          <w:sz w:val="18"/>
          <w:szCs w:val="18"/>
        </w:rPr>
        <w:t>,</w:t>
      </w:r>
      <w:r w:rsidR="007615D9">
        <w:rPr>
          <w:rFonts w:ascii="Arial" w:hAnsi="Arial" w:cs="Arial"/>
          <w:sz w:val="18"/>
          <w:szCs w:val="18"/>
        </w:rPr>
        <w:t>5</w:t>
      </w:r>
      <w:r w:rsidR="00663540">
        <w:rPr>
          <w:rFonts w:ascii="Arial" w:hAnsi="Arial" w:cs="Arial"/>
          <w:sz w:val="18"/>
          <w:szCs w:val="18"/>
        </w:rPr>
        <w:t>98</w:t>
      </w:r>
      <w:r>
        <w:rPr>
          <w:rFonts w:ascii="Arial" w:hAnsi="Arial" w:cs="Arial"/>
          <w:sz w:val="18"/>
          <w:szCs w:val="18"/>
        </w:rPr>
        <w:t>,</w:t>
      </w:r>
      <w:r w:rsidR="00663540">
        <w:rPr>
          <w:rFonts w:ascii="Arial" w:hAnsi="Arial" w:cs="Arial"/>
          <w:sz w:val="18"/>
          <w:szCs w:val="18"/>
        </w:rPr>
        <w:t>692</w:t>
      </w:r>
      <w:r>
        <w:rPr>
          <w:rFonts w:ascii="Arial" w:hAnsi="Arial" w:cs="Arial"/>
          <w:sz w:val="18"/>
          <w:szCs w:val="18"/>
        </w:rPr>
        <w:t xml:space="preserve"> de los cuales los principales sectores que reciben estas asignaciones son el sector educativo al cual le corresponde el </w:t>
      </w:r>
      <w:r w:rsidR="007615D9">
        <w:rPr>
          <w:rFonts w:ascii="Arial" w:hAnsi="Arial" w:cs="Arial"/>
          <w:sz w:val="18"/>
          <w:szCs w:val="18"/>
        </w:rPr>
        <w:t>5</w:t>
      </w:r>
      <w:r w:rsidR="00663540">
        <w:rPr>
          <w:rFonts w:ascii="Arial" w:hAnsi="Arial" w:cs="Arial"/>
          <w:sz w:val="18"/>
          <w:szCs w:val="18"/>
        </w:rPr>
        <w:t>3.5</w:t>
      </w:r>
      <w:r>
        <w:rPr>
          <w:rFonts w:ascii="Arial" w:hAnsi="Arial" w:cs="Arial"/>
          <w:sz w:val="18"/>
          <w:szCs w:val="18"/>
        </w:rPr>
        <w:t xml:space="preserve">% y el sector salud con un </w:t>
      </w:r>
      <w:r w:rsidR="00663540">
        <w:rPr>
          <w:rFonts w:ascii="Arial" w:hAnsi="Arial" w:cs="Arial"/>
          <w:sz w:val="18"/>
          <w:szCs w:val="18"/>
        </w:rPr>
        <w:t>38.5</w:t>
      </w:r>
      <w:r>
        <w:rPr>
          <w:rFonts w:ascii="Arial" w:hAnsi="Arial" w:cs="Arial"/>
          <w:sz w:val="18"/>
          <w:szCs w:val="18"/>
        </w:rPr>
        <w:t xml:space="preserve">% y el restante </w:t>
      </w:r>
      <w:r w:rsidR="00663540">
        <w:rPr>
          <w:rFonts w:ascii="Arial" w:hAnsi="Arial" w:cs="Arial"/>
          <w:sz w:val="18"/>
          <w:szCs w:val="18"/>
        </w:rPr>
        <w:t>8</w:t>
      </w:r>
      <w:r>
        <w:rPr>
          <w:rFonts w:ascii="Arial" w:hAnsi="Arial" w:cs="Arial"/>
          <w:sz w:val="18"/>
          <w:szCs w:val="18"/>
        </w:rPr>
        <w:t>% a otros organismos del sector público</w:t>
      </w:r>
      <w:r w:rsidR="00FF6FFD">
        <w:rPr>
          <w:rFonts w:ascii="Arial" w:hAnsi="Arial" w:cs="Arial"/>
          <w:sz w:val="18"/>
          <w:szCs w:val="18"/>
        </w:rPr>
        <w:t>.</w:t>
      </w: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3172339A"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663540">
        <w:rPr>
          <w:rFonts w:ascii="Arial" w:hAnsi="Arial" w:cs="Arial"/>
          <w:sz w:val="18"/>
          <w:szCs w:val="18"/>
        </w:rPr>
        <w:t>marzo</w:t>
      </w:r>
      <w:r>
        <w:rPr>
          <w:rFonts w:ascii="Arial" w:hAnsi="Arial" w:cs="Arial"/>
          <w:sz w:val="18"/>
          <w:szCs w:val="18"/>
        </w:rPr>
        <w:t xml:space="preserve"> de 20</w:t>
      </w:r>
      <w:r w:rsidR="005F4F7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663540">
        <w:rPr>
          <w:rFonts w:ascii="Arial" w:hAnsi="Arial" w:cs="Arial"/>
          <w:sz w:val="18"/>
          <w:szCs w:val="18"/>
        </w:rPr>
        <w:t>1</w:t>
      </w:r>
      <w:r w:rsidR="00303EA9">
        <w:rPr>
          <w:rFonts w:ascii="Arial" w:hAnsi="Arial" w:cs="Arial"/>
          <w:sz w:val="18"/>
          <w:szCs w:val="18"/>
        </w:rPr>
        <w:t>,</w:t>
      </w:r>
      <w:r w:rsidR="00663540">
        <w:rPr>
          <w:rFonts w:ascii="Arial" w:hAnsi="Arial" w:cs="Arial"/>
          <w:sz w:val="18"/>
          <w:szCs w:val="18"/>
        </w:rPr>
        <w:t>278</w:t>
      </w:r>
      <w:r>
        <w:rPr>
          <w:rFonts w:ascii="Arial" w:hAnsi="Arial" w:cs="Arial"/>
          <w:sz w:val="18"/>
          <w:szCs w:val="18"/>
        </w:rPr>
        <w:t>,</w:t>
      </w:r>
      <w:r w:rsidR="00663540">
        <w:rPr>
          <w:rFonts w:ascii="Arial" w:hAnsi="Arial" w:cs="Arial"/>
          <w:sz w:val="18"/>
          <w:szCs w:val="18"/>
        </w:rPr>
        <w:t>820</w:t>
      </w:r>
      <w:r>
        <w:rPr>
          <w:rFonts w:ascii="Arial" w:hAnsi="Arial" w:cs="Arial"/>
          <w:sz w:val="18"/>
          <w:szCs w:val="18"/>
        </w:rPr>
        <w:t>,</w:t>
      </w:r>
      <w:r w:rsidR="00663540">
        <w:rPr>
          <w:rFonts w:ascii="Arial" w:hAnsi="Arial" w:cs="Arial"/>
          <w:sz w:val="18"/>
          <w:szCs w:val="18"/>
        </w:rPr>
        <w:t>775</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663540">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7615D9">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663540">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663540">
        <w:rPr>
          <w:rFonts w:ascii="Arial" w:hAnsi="Arial" w:cs="Arial"/>
          <w:sz w:val="18"/>
          <w:szCs w:val="18"/>
        </w:rPr>
        <w:t>negativa</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202</w:t>
      </w:r>
      <w:r w:rsidR="00663540">
        <w:rPr>
          <w:rFonts w:ascii="Arial" w:hAnsi="Arial" w:cs="Arial"/>
          <w:sz w:val="18"/>
          <w:szCs w:val="18"/>
        </w:rPr>
        <w:t>2</w:t>
      </w:r>
      <w:r w:rsidR="002C060D">
        <w:rPr>
          <w:rFonts w:ascii="Arial" w:hAnsi="Arial" w:cs="Arial"/>
          <w:sz w:val="18"/>
          <w:szCs w:val="18"/>
        </w:rPr>
        <w:t>.</w:t>
      </w:r>
    </w:p>
    <w:p w14:paraId="33CF0007" w14:textId="77777777" w:rsidR="009B20EA" w:rsidRDefault="009B20EA" w:rsidP="009B20EA">
      <w:pPr>
        <w:tabs>
          <w:tab w:val="left" w:pos="284"/>
        </w:tabs>
        <w:spacing w:after="0"/>
        <w:ind w:left="284"/>
        <w:jc w:val="both"/>
        <w:rPr>
          <w:rFonts w:ascii="Arial" w:hAnsi="Arial" w:cs="Arial"/>
          <w:sz w:val="18"/>
          <w:szCs w:val="18"/>
        </w:rPr>
      </w:pPr>
    </w:p>
    <w:p w14:paraId="2740C8A3" w14:textId="77777777" w:rsidR="00543F97" w:rsidRDefault="00543F97" w:rsidP="00CB45AD">
      <w:pPr>
        <w:tabs>
          <w:tab w:val="left" w:pos="284"/>
        </w:tabs>
        <w:spacing w:after="0"/>
        <w:ind w:left="284"/>
        <w:jc w:val="both"/>
        <w:rPr>
          <w:rFonts w:ascii="Arial" w:hAnsi="Arial" w:cs="Arial"/>
          <w:sz w:val="18"/>
          <w:szCs w:val="18"/>
        </w:rPr>
      </w:pPr>
    </w:p>
    <w:p w14:paraId="7B5DE29D" w14:textId="77777777" w:rsidR="005F52B3" w:rsidRPr="0073056A" w:rsidRDefault="005F52B3" w:rsidP="005F52B3">
      <w:pPr>
        <w:pStyle w:val="INCISO"/>
        <w:tabs>
          <w:tab w:val="left" w:pos="284"/>
        </w:tabs>
        <w:spacing w:after="0" w:line="276" w:lineRule="auto"/>
        <w:ind w:left="284" w:firstLine="0"/>
        <w:rPr>
          <w:b/>
          <w:smallCaps/>
        </w:rPr>
      </w:pPr>
      <w:r w:rsidRPr="00762268">
        <w:rPr>
          <w:b/>
          <w:smallCaps/>
        </w:rPr>
        <w:t>III)</w:t>
      </w:r>
      <w:r w:rsidRPr="00762268">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3EDE8608"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A90730">
        <w:rPr>
          <w:rFonts w:ascii="Arial" w:hAnsi="Arial" w:cs="Arial"/>
          <w:sz w:val="18"/>
          <w:szCs w:val="18"/>
        </w:rPr>
        <w:t>marzo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A90730">
        <w:rPr>
          <w:rFonts w:ascii="Arial" w:hAnsi="Arial" w:cs="Arial"/>
          <w:sz w:val="18"/>
          <w:szCs w:val="18"/>
        </w:rPr>
        <w:t>3</w:t>
      </w:r>
      <w:r>
        <w:rPr>
          <w:rFonts w:ascii="Arial" w:hAnsi="Arial" w:cs="Arial"/>
          <w:sz w:val="18"/>
          <w:szCs w:val="18"/>
        </w:rPr>
        <w:t xml:space="preserve"> </w:t>
      </w:r>
      <w:r w:rsidRPr="0073056A">
        <w:rPr>
          <w:rFonts w:ascii="Arial" w:hAnsi="Arial" w:cs="Arial"/>
          <w:sz w:val="18"/>
          <w:szCs w:val="18"/>
        </w:rPr>
        <w:t>es por la cantidad de $</w:t>
      </w:r>
      <w:r w:rsidR="00A90730">
        <w:rPr>
          <w:rFonts w:ascii="Arial" w:hAnsi="Arial" w:cs="Arial"/>
          <w:sz w:val="18"/>
          <w:szCs w:val="18"/>
        </w:rPr>
        <w:t>1</w:t>
      </w:r>
      <w:r w:rsidR="008A4453">
        <w:rPr>
          <w:rFonts w:ascii="Arial" w:hAnsi="Arial" w:cs="Arial"/>
          <w:sz w:val="18"/>
          <w:szCs w:val="18"/>
        </w:rPr>
        <w:t>,</w:t>
      </w:r>
      <w:r w:rsidR="00A90730">
        <w:rPr>
          <w:rFonts w:ascii="Arial" w:hAnsi="Arial" w:cs="Arial"/>
          <w:sz w:val="18"/>
          <w:szCs w:val="18"/>
        </w:rPr>
        <w:t>281</w:t>
      </w:r>
      <w:r>
        <w:rPr>
          <w:rFonts w:ascii="Arial" w:eastAsia="Times New Roman" w:hAnsi="Arial" w:cs="Arial"/>
          <w:bCs/>
          <w:sz w:val="18"/>
          <w:szCs w:val="18"/>
          <w:lang w:eastAsia="es-MX"/>
        </w:rPr>
        <w:t>,</w:t>
      </w:r>
      <w:r w:rsidR="00A90730">
        <w:rPr>
          <w:rFonts w:ascii="Arial" w:eastAsia="Times New Roman" w:hAnsi="Arial" w:cs="Arial"/>
          <w:bCs/>
          <w:sz w:val="18"/>
          <w:szCs w:val="18"/>
          <w:lang w:eastAsia="es-MX"/>
        </w:rPr>
        <w:t>467</w:t>
      </w:r>
      <w:r>
        <w:rPr>
          <w:rFonts w:ascii="Arial" w:eastAsia="Times New Roman" w:hAnsi="Arial" w:cs="Arial"/>
          <w:bCs/>
          <w:sz w:val="18"/>
          <w:szCs w:val="18"/>
          <w:lang w:eastAsia="es-MX"/>
        </w:rPr>
        <w:t>,</w:t>
      </w:r>
      <w:r w:rsidR="00A90730">
        <w:rPr>
          <w:rFonts w:ascii="Arial" w:eastAsia="Times New Roman" w:hAnsi="Arial" w:cs="Arial"/>
          <w:bCs/>
          <w:sz w:val="18"/>
          <w:szCs w:val="18"/>
          <w:lang w:eastAsia="es-MX"/>
        </w:rPr>
        <w:t>256</w:t>
      </w:r>
      <w:r w:rsidR="007156AF">
        <w:rPr>
          <w:rFonts w:ascii="Arial" w:eastAsia="Times New Roman" w:hAnsi="Arial" w:cs="Arial"/>
          <w:bCs/>
          <w:sz w:val="18"/>
          <w:szCs w:val="18"/>
          <w:lang w:eastAsia="es-MX"/>
        </w:rPr>
        <w:t>.</w:t>
      </w:r>
    </w:p>
    <w:p w14:paraId="26152A80" w14:textId="77777777" w:rsidR="00762268" w:rsidRDefault="00762268" w:rsidP="005C02A4">
      <w:pPr>
        <w:ind w:left="284"/>
        <w:jc w:val="both"/>
        <w:rPr>
          <w:rFonts w:ascii="Arial" w:eastAsia="Times New Roman" w:hAnsi="Arial" w:cs="Arial"/>
          <w:bCs/>
          <w:sz w:val="18"/>
          <w:szCs w:val="18"/>
          <w:lang w:eastAsia="es-MX"/>
        </w:rPr>
      </w:pP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77777777"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14:paraId="1E7FC799" w14:textId="42A5DF5F"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A90730">
        <w:rPr>
          <w:lang w:val="es-MX"/>
        </w:rPr>
        <w:t>727</w:t>
      </w:r>
      <w:r w:rsidR="00AC2CB6">
        <w:rPr>
          <w:lang w:val="es-MX"/>
        </w:rPr>
        <w:t>,</w:t>
      </w:r>
      <w:r w:rsidR="00A90730">
        <w:rPr>
          <w:lang w:val="es-MX"/>
        </w:rPr>
        <w:t>339</w:t>
      </w:r>
      <w:r w:rsidR="00AC2CB6">
        <w:rPr>
          <w:lang w:val="es-MX"/>
        </w:rPr>
        <w:t>,</w:t>
      </w:r>
      <w:r w:rsidR="00A90730">
        <w:rPr>
          <w:lang w:val="es-MX"/>
        </w:rPr>
        <w:t>058</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3CB69898"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A90730">
        <w:rPr>
          <w:lang w:val="es-MX"/>
        </w:rPr>
        <w:t>1</w:t>
      </w:r>
      <w:r w:rsidR="008F5C9C">
        <w:rPr>
          <w:lang w:val="es-MX"/>
        </w:rPr>
        <w:t>,</w:t>
      </w:r>
      <w:r w:rsidR="00A90730">
        <w:rPr>
          <w:lang w:val="es-MX"/>
        </w:rPr>
        <w:t>278</w:t>
      </w:r>
      <w:r>
        <w:rPr>
          <w:lang w:val="es-MX"/>
        </w:rPr>
        <w:t>,</w:t>
      </w:r>
      <w:r w:rsidR="00A90730">
        <w:rPr>
          <w:lang w:val="es-MX"/>
        </w:rPr>
        <w:t>820</w:t>
      </w:r>
      <w:r>
        <w:rPr>
          <w:lang w:val="es-MX"/>
        </w:rPr>
        <w:t>,</w:t>
      </w:r>
      <w:r w:rsidR="00A90730">
        <w:rPr>
          <w:lang w:val="es-MX"/>
        </w:rPr>
        <w:t>775</w:t>
      </w:r>
      <w:r>
        <w:rPr>
          <w:lang w:val="es-MX"/>
        </w:rPr>
        <w:t>.</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14:paraId="7970C10E" w14:textId="2E957D63"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A90730">
        <w:rPr>
          <w:lang w:val="es-MX"/>
        </w:rPr>
        <w:t>marzo</w:t>
      </w:r>
      <w:r>
        <w:rPr>
          <w:lang w:val="es-MX"/>
        </w:rPr>
        <w:t xml:space="preserve"> un importe de </w:t>
      </w:r>
      <w:r w:rsidRPr="004466A7">
        <w:rPr>
          <w:lang w:val="es-MX"/>
        </w:rPr>
        <w:t>$</w:t>
      </w:r>
      <w:r w:rsidR="00A90730">
        <w:rPr>
          <w:lang w:val="es-MX"/>
        </w:rPr>
        <w:t>106</w:t>
      </w:r>
      <w:r>
        <w:rPr>
          <w:lang w:val="es-MX"/>
        </w:rPr>
        <w:t>,</w:t>
      </w:r>
      <w:r w:rsidR="00A90730">
        <w:rPr>
          <w:lang w:val="es-MX"/>
        </w:rPr>
        <w:t>141</w:t>
      </w:r>
      <w:r>
        <w:rPr>
          <w:lang w:val="es-MX"/>
        </w:rPr>
        <w:t>,</w:t>
      </w:r>
      <w:r w:rsidR="00A90730">
        <w:rPr>
          <w:lang w:val="es-MX"/>
        </w:rPr>
        <w:t>918</w:t>
      </w:r>
      <w:r w:rsidRPr="004466A7">
        <w:rPr>
          <w:lang w:val="es-MX"/>
        </w:rPr>
        <w:t>.</w:t>
      </w:r>
    </w:p>
    <w:p w14:paraId="75AB3F20" w14:textId="77777777" w:rsidR="00661352" w:rsidRDefault="00661352"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14:paraId="68047E04" w14:textId="3CB0D01B" w:rsidR="00D71A33" w:rsidRDefault="0032384C" w:rsidP="005F52B3">
      <w:pPr>
        <w:pStyle w:val="ROMANOS"/>
        <w:tabs>
          <w:tab w:val="clear" w:pos="720"/>
          <w:tab w:val="left" w:pos="284"/>
        </w:tabs>
        <w:spacing w:after="0" w:line="276" w:lineRule="auto"/>
        <w:ind w:left="284" w:firstLine="0"/>
        <w:rPr>
          <w:lang w:val="es-MX"/>
        </w:rPr>
      </w:pPr>
      <w:r>
        <w:rPr>
          <w:lang w:val="es-MX"/>
        </w:rPr>
        <w:lastRenderedPageBreak/>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762268">
        <w:rPr>
          <w:lang w:val="es-MX"/>
        </w:rPr>
        <w:t>1</w:t>
      </w:r>
      <w:r w:rsidRPr="00DA18AC">
        <w:rPr>
          <w:lang w:val="es-MX"/>
        </w:rPr>
        <w:t xml:space="preserve"> de </w:t>
      </w:r>
      <w:r w:rsidR="00A90730">
        <w:rPr>
          <w:lang w:val="es-MX"/>
        </w:rPr>
        <w:t>marzo</w:t>
      </w:r>
      <w:r w:rsidRPr="00DA18AC">
        <w:rPr>
          <w:lang w:val="es-MX"/>
        </w:rPr>
        <w:t xml:space="preserve"> de 20</w:t>
      </w:r>
      <w:r w:rsidR="00466C1E">
        <w:rPr>
          <w:lang w:val="es-MX"/>
        </w:rPr>
        <w:t>2</w:t>
      </w:r>
      <w:r w:rsidR="00A90730">
        <w:rPr>
          <w:lang w:val="es-MX"/>
        </w:rPr>
        <w:t>3</w:t>
      </w:r>
      <w:r w:rsidRPr="00DA18AC">
        <w:rPr>
          <w:lang w:val="es-MX"/>
        </w:rPr>
        <w:t xml:space="preserve"> de $</w:t>
      </w:r>
      <w:r w:rsidR="009743B6">
        <w:rPr>
          <w:lang w:val="es-MX"/>
        </w:rPr>
        <w:t>-</w:t>
      </w:r>
      <w:r w:rsidR="00A90730">
        <w:rPr>
          <w:lang w:val="es-MX"/>
        </w:rPr>
        <w:t>657</w:t>
      </w:r>
      <w:r w:rsidR="00A16DA6">
        <w:rPr>
          <w:lang w:val="es-MX"/>
        </w:rPr>
        <w:t>,</w:t>
      </w:r>
      <w:r w:rsidR="00A90730">
        <w:rPr>
          <w:lang w:val="es-MX"/>
        </w:rPr>
        <w:t>623</w:t>
      </w:r>
      <w:r w:rsidR="00A16DA6">
        <w:rPr>
          <w:lang w:val="es-MX"/>
        </w:rPr>
        <w:t>,</w:t>
      </w:r>
      <w:r w:rsidR="00A90730">
        <w:rPr>
          <w:lang w:val="es-MX"/>
        </w:rPr>
        <w:t>635</w:t>
      </w:r>
      <w:r w:rsidRPr="00DA18AC">
        <w:rPr>
          <w:lang w:val="es-MX"/>
        </w:rPr>
        <w:t>.</w:t>
      </w:r>
    </w:p>
    <w:p w14:paraId="0F635CBD" w14:textId="77777777" w:rsidR="005C02A4" w:rsidRDefault="00E8287D" w:rsidP="005F52B3">
      <w:pPr>
        <w:pStyle w:val="ROMANOS"/>
        <w:tabs>
          <w:tab w:val="clear" w:pos="720"/>
          <w:tab w:val="left" w:pos="284"/>
        </w:tabs>
        <w:spacing w:after="0" w:line="276" w:lineRule="auto"/>
        <w:ind w:left="284" w:firstLine="0"/>
        <w:rPr>
          <w:lang w:val="es-MX"/>
        </w:rPr>
      </w:pPr>
      <w:r>
        <w:rPr>
          <w:noProof/>
        </w:rPr>
        <w:object w:dxaOrig="1440" w:dyaOrig="1440" w14:anchorId="1C3D7664">
          <v:shape id="_x0000_s1081" type="#_x0000_t75" style="position:absolute;left:0;text-align:left;margin-left:-11.35pt;margin-top:12.7pt;width:553.45pt;height:587.15pt;z-index:251699200;mso-position-horizontal-relative:text;mso-position-vertical-relative:text;mso-width-relative:page;mso-height-relative:page">
            <v:imagedata r:id="rId22" o:title=""/>
          </v:shape>
          <o:OLEObject Type="Embed" ProgID="Excel.Sheet.12" ShapeID="_x0000_s1081" DrawAspect="Content" ObjectID="_1743608292" r:id="rId23"/>
        </w:object>
      </w:r>
    </w:p>
    <w:p w14:paraId="71E966BE" w14:textId="77777777" w:rsidR="00802877" w:rsidRDefault="00802877" w:rsidP="00C50527">
      <w:pPr>
        <w:pStyle w:val="INCISO"/>
        <w:tabs>
          <w:tab w:val="left" w:pos="284"/>
        </w:tabs>
        <w:spacing w:after="0" w:line="276" w:lineRule="auto"/>
        <w:ind w:left="284" w:firstLine="0"/>
        <w:rPr>
          <w:b/>
          <w:smallCaps/>
        </w:rPr>
      </w:pPr>
    </w:p>
    <w:p w14:paraId="22178E0C" w14:textId="77777777" w:rsidR="00802877" w:rsidRDefault="00802877" w:rsidP="00C50527">
      <w:pPr>
        <w:pStyle w:val="INCISO"/>
        <w:tabs>
          <w:tab w:val="left" w:pos="284"/>
        </w:tabs>
        <w:spacing w:after="0" w:line="276" w:lineRule="auto"/>
        <w:ind w:left="284" w:firstLine="0"/>
        <w:rPr>
          <w:b/>
          <w:smallCaps/>
        </w:rPr>
      </w:pPr>
    </w:p>
    <w:p w14:paraId="7CB1221F" w14:textId="77777777" w:rsidR="00802877" w:rsidRDefault="00802877" w:rsidP="00C50527">
      <w:pPr>
        <w:pStyle w:val="INCISO"/>
        <w:tabs>
          <w:tab w:val="left" w:pos="284"/>
        </w:tabs>
        <w:spacing w:after="0" w:line="276" w:lineRule="auto"/>
        <w:ind w:left="284" w:firstLine="0"/>
        <w:rPr>
          <w:b/>
          <w:smallCaps/>
        </w:rPr>
      </w:pPr>
    </w:p>
    <w:p w14:paraId="3276EF35" w14:textId="77777777" w:rsidR="00802877" w:rsidRDefault="00802877" w:rsidP="00C50527">
      <w:pPr>
        <w:pStyle w:val="INCISO"/>
        <w:tabs>
          <w:tab w:val="left" w:pos="284"/>
        </w:tabs>
        <w:spacing w:after="0" w:line="276" w:lineRule="auto"/>
        <w:ind w:left="284" w:firstLine="0"/>
        <w:rPr>
          <w:b/>
          <w:smallCaps/>
        </w:rPr>
      </w:pPr>
    </w:p>
    <w:p w14:paraId="17C3861E" w14:textId="77777777" w:rsidR="00802877" w:rsidRDefault="00802877" w:rsidP="00C50527">
      <w:pPr>
        <w:pStyle w:val="INCISO"/>
        <w:tabs>
          <w:tab w:val="left" w:pos="284"/>
        </w:tabs>
        <w:spacing w:after="0" w:line="276" w:lineRule="auto"/>
        <w:ind w:left="284" w:firstLine="0"/>
        <w:rPr>
          <w:b/>
          <w:smallCaps/>
        </w:rPr>
      </w:pPr>
    </w:p>
    <w:p w14:paraId="42FCF9C6" w14:textId="77777777" w:rsidR="00802877" w:rsidRDefault="00802877" w:rsidP="00C50527">
      <w:pPr>
        <w:pStyle w:val="INCISO"/>
        <w:tabs>
          <w:tab w:val="left" w:pos="284"/>
        </w:tabs>
        <w:spacing w:after="0" w:line="276" w:lineRule="auto"/>
        <w:ind w:left="284" w:firstLine="0"/>
        <w:rPr>
          <w:b/>
          <w:smallCaps/>
        </w:rPr>
      </w:pPr>
    </w:p>
    <w:p w14:paraId="7E0708B4" w14:textId="77777777" w:rsidR="00802877" w:rsidRDefault="00802877" w:rsidP="00C50527">
      <w:pPr>
        <w:pStyle w:val="INCISO"/>
        <w:tabs>
          <w:tab w:val="left" w:pos="284"/>
        </w:tabs>
        <w:spacing w:after="0" w:line="276" w:lineRule="auto"/>
        <w:ind w:left="284" w:firstLine="0"/>
        <w:rPr>
          <w:b/>
          <w:smallCaps/>
        </w:rPr>
      </w:pPr>
    </w:p>
    <w:p w14:paraId="6EE5D12E" w14:textId="77777777" w:rsidR="00802877" w:rsidRDefault="00802877" w:rsidP="00C50527">
      <w:pPr>
        <w:pStyle w:val="INCISO"/>
        <w:tabs>
          <w:tab w:val="left" w:pos="284"/>
        </w:tabs>
        <w:spacing w:after="0" w:line="276" w:lineRule="auto"/>
        <w:ind w:left="284" w:firstLine="0"/>
        <w:rPr>
          <w:b/>
          <w:smallCaps/>
        </w:rPr>
      </w:pPr>
    </w:p>
    <w:p w14:paraId="0196D238" w14:textId="77777777" w:rsidR="00802877" w:rsidRDefault="00802877" w:rsidP="00C50527">
      <w:pPr>
        <w:pStyle w:val="INCISO"/>
        <w:tabs>
          <w:tab w:val="left" w:pos="284"/>
        </w:tabs>
        <w:spacing w:after="0" w:line="276" w:lineRule="auto"/>
        <w:ind w:left="284" w:firstLine="0"/>
        <w:rPr>
          <w:b/>
          <w:smallCaps/>
        </w:rPr>
      </w:pPr>
    </w:p>
    <w:p w14:paraId="120B4F3E" w14:textId="77777777" w:rsidR="00802877" w:rsidRDefault="00802877" w:rsidP="00C50527">
      <w:pPr>
        <w:pStyle w:val="INCISO"/>
        <w:tabs>
          <w:tab w:val="left" w:pos="284"/>
        </w:tabs>
        <w:spacing w:after="0" w:line="276" w:lineRule="auto"/>
        <w:ind w:left="284" w:firstLine="0"/>
        <w:rPr>
          <w:b/>
          <w:smallCaps/>
        </w:rPr>
      </w:pPr>
    </w:p>
    <w:p w14:paraId="56EBA709" w14:textId="77777777" w:rsidR="00802877" w:rsidRDefault="00802877" w:rsidP="00C50527">
      <w:pPr>
        <w:pStyle w:val="INCISO"/>
        <w:tabs>
          <w:tab w:val="left" w:pos="284"/>
        </w:tabs>
        <w:spacing w:after="0" w:line="276" w:lineRule="auto"/>
        <w:ind w:left="284" w:firstLine="0"/>
        <w:rPr>
          <w:b/>
          <w:smallCaps/>
        </w:rPr>
      </w:pPr>
    </w:p>
    <w:p w14:paraId="2973DB60" w14:textId="77777777" w:rsidR="00802877" w:rsidRDefault="00802877" w:rsidP="00C50527">
      <w:pPr>
        <w:pStyle w:val="INCISO"/>
        <w:tabs>
          <w:tab w:val="left" w:pos="284"/>
        </w:tabs>
        <w:spacing w:after="0" w:line="276" w:lineRule="auto"/>
        <w:ind w:left="284" w:firstLine="0"/>
        <w:rPr>
          <w:b/>
          <w:smallCaps/>
        </w:rPr>
      </w:pPr>
    </w:p>
    <w:p w14:paraId="5CB3BE9A" w14:textId="77777777" w:rsidR="00802877" w:rsidRDefault="00802877" w:rsidP="00C50527">
      <w:pPr>
        <w:pStyle w:val="INCISO"/>
        <w:tabs>
          <w:tab w:val="left" w:pos="284"/>
        </w:tabs>
        <w:spacing w:after="0" w:line="276" w:lineRule="auto"/>
        <w:ind w:left="284" w:firstLine="0"/>
        <w:rPr>
          <w:b/>
          <w:smallCaps/>
        </w:rPr>
      </w:pPr>
    </w:p>
    <w:p w14:paraId="76A3F3C8" w14:textId="77777777" w:rsidR="00802877" w:rsidRDefault="00802877" w:rsidP="00C50527">
      <w:pPr>
        <w:pStyle w:val="INCISO"/>
        <w:tabs>
          <w:tab w:val="left" w:pos="284"/>
        </w:tabs>
        <w:spacing w:after="0" w:line="276" w:lineRule="auto"/>
        <w:ind w:left="284" w:firstLine="0"/>
        <w:rPr>
          <w:b/>
          <w:smallCaps/>
        </w:rPr>
      </w:pPr>
    </w:p>
    <w:p w14:paraId="0ACC37B2" w14:textId="77777777" w:rsidR="00802877" w:rsidRDefault="00802877" w:rsidP="00C50527">
      <w:pPr>
        <w:pStyle w:val="INCISO"/>
        <w:tabs>
          <w:tab w:val="left" w:pos="284"/>
        </w:tabs>
        <w:spacing w:after="0" w:line="276" w:lineRule="auto"/>
        <w:ind w:left="284" w:firstLine="0"/>
        <w:rPr>
          <w:b/>
          <w:smallCaps/>
        </w:rPr>
      </w:pPr>
    </w:p>
    <w:p w14:paraId="57815AD7" w14:textId="77777777" w:rsidR="00802877" w:rsidRDefault="00802877" w:rsidP="00C50527">
      <w:pPr>
        <w:pStyle w:val="INCISO"/>
        <w:tabs>
          <w:tab w:val="left" w:pos="284"/>
        </w:tabs>
        <w:spacing w:after="0" w:line="276" w:lineRule="auto"/>
        <w:ind w:left="284" w:firstLine="0"/>
        <w:rPr>
          <w:b/>
          <w:smallCaps/>
        </w:rPr>
      </w:pPr>
    </w:p>
    <w:p w14:paraId="1886C645" w14:textId="77777777" w:rsidR="00802877" w:rsidRDefault="00802877" w:rsidP="00C50527">
      <w:pPr>
        <w:pStyle w:val="INCISO"/>
        <w:tabs>
          <w:tab w:val="left" w:pos="284"/>
        </w:tabs>
        <w:spacing w:after="0" w:line="276" w:lineRule="auto"/>
        <w:ind w:left="284" w:firstLine="0"/>
        <w:rPr>
          <w:b/>
          <w:smallCaps/>
        </w:rPr>
      </w:pPr>
    </w:p>
    <w:p w14:paraId="05710895" w14:textId="77777777" w:rsidR="00802877" w:rsidRDefault="00802877" w:rsidP="00C50527">
      <w:pPr>
        <w:pStyle w:val="INCISO"/>
        <w:tabs>
          <w:tab w:val="left" w:pos="284"/>
        </w:tabs>
        <w:spacing w:after="0" w:line="276" w:lineRule="auto"/>
        <w:ind w:left="284" w:firstLine="0"/>
        <w:rPr>
          <w:b/>
          <w:smallCaps/>
        </w:rPr>
      </w:pPr>
    </w:p>
    <w:p w14:paraId="5C62E27E" w14:textId="77777777" w:rsidR="00802877" w:rsidRDefault="00802877" w:rsidP="00C50527">
      <w:pPr>
        <w:pStyle w:val="INCISO"/>
        <w:tabs>
          <w:tab w:val="left" w:pos="284"/>
        </w:tabs>
        <w:spacing w:after="0" w:line="276" w:lineRule="auto"/>
        <w:ind w:left="284" w:firstLine="0"/>
        <w:rPr>
          <w:b/>
          <w:smallCaps/>
        </w:rPr>
      </w:pPr>
    </w:p>
    <w:p w14:paraId="5897D59C" w14:textId="77777777" w:rsidR="00802877" w:rsidRDefault="00802877" w:rsidP="00C50527">
      <w:pPr>
        <w:pStyle w:val="INCISO"/>
        <w:tabs>
          <w:tab w:val="left" w:pos="284"/>
        </w:tabs>
        <w:spacing w:after="0" w:line="276" w:lineRule="auto"/>
        <w:ind w:left="284" w:firstLine="0"/>
        <w:rPr>
          <w:b/>
          <w:smallCaps/>
        </w:rPr>
      </w:pPr>
    </w:p>
    <w:p w14:paraId="53EAB9B5" w14:textId="77777777" w:rsidR="00802877" w:rsidRDefault="00802877" w:rsidP="00C50527">
      <w:pPr>
        <w:pStyle w:val="INCISO"/>
        <w:tabs>
          <w:tab w:val="left" w:pos="284"/>
        </w:tabs>
        <w:spacing w:after="0" w:line="276" w:lineRule="auto"/>
        <w:ind w:left="284" w:firstLine="0"/>
        <w:rPr>
          <w:b/>
          <w:smallCaps/>
        </w:rPr>
      </w:pPr>
    </w:p>
    <w:p w14:paraId="6EE32E24" w14:textId="77777777" w:rsidR="00802877" w:rsidRDefault="00802877" w:rsidP="00C50527">
      <w:pPr>
        <w:pStyle w:val="INCISO"/>
        <w:tabs>
          <w:tab w:val="left" w:pos="284"/>
        </w:tabs>
        <w:spacing w:after="0" w:line="276" w:lineRule="auto"/>
        <w:ind w:left="284" w:firstLine="0"/>
        <w:rPr>
          <w:b/>
          <w:smallCaps/>
        </w:rPr>
      </w:pPr>
    </w:p>
    <w:p w14:paraId="1C6E0FAB" w14:textId="77777777" w:rsidR="00802877" w:rsidRDefault="00802877" w:rsidP="00C50527">
      <w:pPr>
        <w:pStyle w:val="INCISO"/>
        <w:tabs>
          <w:tab w:val="left" w:pos="284"/>
        </w:tabs>
        <w:spacing w:after="0" w:line="276" w:lineRule="auto"/>
        <w:ind w:left="284" w:firstLine="0"/>
        <w:rPr>
          <w:b/>
          <w:smallCaps/>
        </w:rPr>
      </w:pPr>
    </w:p>
    <w:p w14:paraId="455BDEE0" w14:textId="77777777" w:rsidR="00802877" w:rsidRDefault="00802877" w:rsidP="00C50527">
      <w:pPr>
        <w:pStyle w:val="INCISO"/>
        <w:tabs>
          <w:tab w:val="left" w:pos="284"/>
        </w:tabs>
        <w:spacing w:after="0" w:line="276" w:lineRule="auto"/>
        <w:ind w:left="284" w:firstLine="0"/>
        <w:rPr>
          <w:b/>
          <w:smallCaps/>
        </w:rPr>
      </w:pPr>
    </w:p>
    <w:p w14:paraId="7082035A" w14:textId="77777777" w:rsidR="00802877" w:rsidRDefault="00802877" w:rsidP="00C50527">
      <w:pPr>
        <w:pStyle w:val="INCISO"/>
        <w:tabs>
          <w:tab w:val="left" w:pos="284"/>
        </w:tabs>
        <w:spacing w:after="0" w:line="276" w:lineRule="auto"/>
        <w:ind w:left="284" w:firstLine="0"/>
        <w:rPr>
          <w:b/>
          <w:smallCaps/>
        </w:rPr>
      </w:pPr>
    </w:p>
    <w:p w14:paraId="46C77494" w14:textId="77777777" w:rsidR="00802877" w:rsidRDefault="00802877" w:rsidP="00C50527">
      <w:pPr>
        <w:pStyle w:val="INCISO"/>
        <w:tabs>
          <w:tab w:val="left" w:pos="284"/>
        </w:tabs>
        <w:spacing w:after="0" w:line="276" w:lineRule="auto"/>
        <w:ind w:left="284" w:firstLine="0"/>
        <w:rPr>
          <w:b/>
          <w:smallCaps/>
        </w:rPr>
      </w:pPr>
    </w:p>
    <w:p w14:paraId="6CD0265B" w14:textId="77777777" w:rsidR="00802877" w:rsidRDefault="00802877" w:rsidP="00C50527">
      <w:pPr>
        <w:pStyle w:val="INCISO"/>
        <w:tabs>
          <w:tab w:val="left" w:pos="284"/>
        </w:tabs>
        <w:spacing w:after="0" w:line="276" w:lineRule="auto"/>
        <w:ind w:left="284" w:firstLine="0"/>
        <w:rPr>
          <w:b/>
          <w:smallCaps/>
        </w:rPr>
      </w:pPr>
    </w:p>
    <w:p w14:paraId="085C7409" w14:textId="77777777" w:rsidR="00802877" w:rsidRDefault="00802877" w:rsidP="00C50527">
      <w:pPr>
        <w:pStyle w:val="INCISO"/>
        <w:tabs>
          <w:tab w:val="left" w:pos="284"/>
        </w:tabs>
        <w:spacing w:after="0" w:line="276" w:lineRule="auto"/>
        <w:ind w:left="284" w:firstLine="0"/>
        <w:rPr>
          <w:b/>
          <w:smallCaps/>
        </w:rPr>
      </w:pPr>
    </w:p>
    <w:p w14:paraId="5DDC443A" w14:textId="77777777" w:rsidR="00802877" w:rsidRDefault="00802877" w:rsidP="00C50527">
      <w:pPr>
        <w:pStyle w:val="INCISO"/>
        <w:tabs>
          <w:tab w:val="left" w:pos="284"/>
        </w:tabs>
        <w:spacing w:after="0" w:line="276" w:lineRule="auto"/>
        <w:ind w:left="284" w:firstLine="0"/>
        <w:rPr>
          <w:b/>
          <w:smallCaps/>
        </w:rPr>
      </w:pPr>
    </w:p>
    <w:p w14:paraId="66323F6F" w14:textId="77777777" w:rsidR="00802877" w:rsidRDefault="00802877" w:rsidP="00C50527">
      <w:pPr>
        <w:pStyle w:val="INCISO"/>
        <w:tabs>
          <w:tab w:val="left" w:pos="284"/>
        </w:tabs>
        <w:spacing w:after="0" w:line="276" w:lineRule="auto"/>
        <w:ind w:left="284" w:firstLine="0"/>
        <w:rPr>
          <w:b/>
          <w:smallCaps/>
        </w:rPr>
      </w:pPr>
    </w:p>
    <w:p w14:paraId="30B8616A" w14:textId="77777777" w:rsidR="00802877" w:rsidRDefault="00802877" w:rsidP="00C50527">
      <w:pPr>
        <w:pStyle w:val="INCISO"/>
        <w:tabs>
          <w:tab w:val="left" w:pos="284"/>
        </w:tabs>
        <w:spacing w:after="0" w:line="276" w:lineRule="auto"/>
        <w:ind w:left="284" w:firstLine="0"/>
        <w:rPr>
          <w:b/>
          <w:smallCaps/>
        </w:rPr>
      </w:pPr>
    </w:p>
    <w:p w14:paraId="2C7DDC0D" w14:textId="77777777" w:rsidR="00802877" w:rsidRDefault="00802877" w:rsidP="00C50527">
      <w:pPr>
        <w:pStyle w:val="INCISO"/>
        <w:tabs>
          <w:tab w:val="left" w:pos="284"/>
        </w:tabs>
        <w:spacing w:after="0" w:line="276" w:lineRule="auto"/>
        <w:ind w:left="284" w:firstLine="0"/>
        <w:rPr>
          <w:b/>
          <w:smallCaps/>
        </w:rPr>
      </w:pPr>
    </w:p>
    <w:p w14:paraId="736FAF91" w14:textId="77777777" w:rsidR="00802877" w:rsidRDefault="00802877" w:rsidP="00C50527">
      <w:pPr>
        <w:pStyle w:val="INCISO"/>
        <w:tabs>
          <w:tab w:val="left" w:pos="284"/>
        </w:tabs>
        <w:spacing w:after="0" w:line="276" w:lineRule="auto"/>
        <w:ind w:left="284" w:firstLine="0"/>
        <w:rPr>
          <w:b/>
          <w:smallCaps/>
        </w:rPr>
      </w:pPr>
    </w:p>
    <w:p w14:paraId="1EAF4D81" w14:textId="77777777" w:rsidR="00802877" w:rsidRDefault="00802877" w:rsidP="00C50527">
      <w:pPr>
        <w:pStyle w:val="INCISO"/>
        <w:tabs>
          <w:tab w:val="left" w:pos="284"/>
        </w:tabs>
        <w:spacing w:after="0" w:line="276" w:lineRule="auto"/>
        <w:ind w:left="284" w:firstLine="0"/>
        <w:rPr>
          <w:b/>
          <w:smallCaps/>
        </w:rPr>
      </w:pPr>
    </w:p>
    <w:p w14:paraId="463D2335" w14:textId="77777777" w:rsidR="00802877" w:rsidRDefault="00802877" w:rsidP="00C50527">
      <w:pPr>
        <w:pStyle w:val="INCISO"/>
        <w:tabs>
          <w:tab w:val="left" w:pos="284"/>
        </w:tabs>
        <w:spacing w:after="0" w:line="276" w:lineRule="auto"/>
        <w:ind w:left="284" w:firstLine="0"/>
        <w:rPr>
          <w:b/>
          <w:smallCaps/>
        </w:rPr>
      </w:pPr>
    </w:p>
    <w:p w14:paraId="327C7DD3" w14:textId="77777777" w:rsidR="00802877" w:rsidRDefault="00802877" w:rsidP="00C50527">
      <w:pPr>
        <w:pStyle w:val="INCISO"/>
        <w:tabs>
          <w:tab w:val="left" w:pos="284"/>
        </w:tabs>
        <w:spacing w:after="0" w:line="276" w:lineRule="auto"/>
        <w:ind w:left="284" w:firstLine="0"/>
        <w:rPr>
          <w:b/>
          <w:smallCaps/>
        </w:rPr>
      </w:pPr>
    </w:p>
    <w:p w14:paraId="6CF3CBC2" w14:textId="77777777" w:rsidR="00802877" w:rsidRDefault="00802877" w:rsidP="00C50527">
      <w:pPr>
        <w:pStyle w:val="INCISO"/>
        <w:tabs>
          <w:tab w:val="left" w:pos="284"/>
        </w:tabs>
        <w:spacing w:after="0" w:line="276" w:lineRule="auto"/>
        <w:ind w:left="284" w:firstLine="0"/>
        <w:rPr>
          <w:b/>
          <w:smallCaps/>
        </w:rPr>
      </w:pPr>
    </w:p>
    <w:p w14:paraId="5FDCD5F3" w14:textId="77777777" w:rsidR="00802877" w:rsidRDefault="00802877" w:rsidP="00C50527">
      <w:pPr>
        <w:pStyle w:val="INCISO"/>
        <w:tabs>
          <w:tab w:val="left" w:pos="284"/>
        </w:tabs>
        <w:spacing w:after="0" w:line="276" w:lineRule="auto"/>
        <w:ind w:left="284" w:firstLine="0"/>
        <w:rPr>
          <w:b/>
          <w:smallCaps/>
        </w:rPr>
      </w:pPr>
    </w:p>
    <w:p w14:paraId="3608AA83" w14:textId="77777777" w:rsidR="00802877" w:rsidRDefault="00802877" w:rsidP="00C50527">
      <w:pPr>
        <w:pStyle w:val="INCISO"/>
        <w:tabs>
          <w:tab w:val="left" w:pos="284"/>
        </w:tabs>
        <w:spacing w:after="0" w:line="276" w:lineRule="auto"/>
        <w:ind w:left="284" w:firstLine="0"/>
        <w:rPr>
          <w:b/>
          <w:smallCaps/>
        </w:rPr>
      </w:pPr>
    </w:p>
    <w:p w14:paraId="05823843" w14:textId="77777777" w:rsidR="00802877" w:rsidRDefault="00802877" w:rsidP="00C50527">
      <w:pPr>
        <w:pStyle w:val="INCISO"/>
        <w:tabs>
          <w:tab w:val="left" w:pos="284"/>
        </w:tabs>
        <w:spacing w:after="0" w:line="276" w:lineRule="auto"/>
        <w:ind w:left="284" w:firstLine="0"/>
        <w:rPr>
          <w:b/>
          <w:smallCaps/>
        </w:rPr>
      </w:pPr>
    </w:p>
    <w:p w14:paraId="6FB51F8E" w14:textId="77777777" w:rsidR="00802877" w:rsidRDefault="00802877" w:rsidP="00C50527">
      <w:pPr>
        <w:pStyle w:val="INCISO"/>
        <w:tabs>
          <w:tab w:val="left" w:pos="284"/>
        </w:tabs>
        <w:spacing w:after="0" w:line="276" w:lineRule="auto"/>
        <w:ind w:left="284" w:firstLine="0"/>
        <w:rPr>
          <w:b/>
          <w:smallCaps/>
        </w:rPr>
      </w:pPr>
    </w:p>
    <w:p w14:paraId="128873CA" w14:textId="77777777" w:rsidR="00802877" w:rsidRDefault="00802877" w:rsidP="00C50527">
      <w:pPr>
        <w:pStyle w:val="INCISO"/>
        <w:tabs>
          <w:tab w:val="left" w:pos="284"/>
        </w:tabs>
        <w:spacing w:after="0" w:line="276" w:lineRule="auto"/>
        <w:ind w:left="284" w:firstLine="0"/>
        <w:rPr>
          <w:b/>
          <w:smallCaps/>
        </w:rPr>
      </w:pPr>
    </w:p>
    <w:p w14:paraId="17CEC0C3" w14:textId="77777777" w:rsidR="00802877" w:rsidRDefault="00802877" w:rsidP="00C50527">
      <w:pPr>
        <w:pStyle w:val="INCISO"/>
        <w:tabs>
          <w:tab w:val="left" w:pos="284"/>
        </w:tabs>
        <w:spacing w:after="0" w:line="276" w:lineRule="auto"/>
        <w:ind w:left="284" w:firstLine="0"/>
        <w:rPr>
          <w:b/>
          <w:smallCaps/>
        </w:rPr>
      </w:pPr>
    </w:p>
    <w:p w14:paraId="71C5AB0A" w14:textId="77777777" w:rsidR="00802877" w:rsidRDefault="00802877" w:rsidP="00C50527">
      <w:pPr>
        <w:pStyle w:val="INCISO"/>
        <w:tabs>
          <w:tab w:val="left" w:pos="284"/>
        </w:tabs>
        <w:spacing w:after="0" w:line="276" w:lineRule="auto"/>
        <w:ind w:left="284" w:firstLine="0"/>
        <w:rPr>
          <w:b/>
          <w:smallCaps/>
        </w:rPr>
      </w:pPr>
    </w:p>
    <w:p w14:paraId="473F934C" w14:textId="77777777" w:rsidR="00802877" w:rsidRDefault="00802877" w:rsidP="00C50527">
      <w:pPr>
        <w:pStyle w:val="INCISO"/>
        <w:tabs>
          <w:tab w:val="left" w:pos="284"/>
        </w:tabs>
        <w:spacing w:after="0" w:line="276" w:lineRule="auto"/>
        <w:ind w:left="284" w:firstLine="0"/>
        <w:rPr>
          <w:b/>
          <w:smallCaps/>
        </w:rPr>
      </w:pPr>
    </w:p>
    <w:p w14:paraId="6D029D67" w14:textId="77777777" w:rsidR="00802877" w:rsidRDefault="00802877" w:rsidP="00C50527">
      <w:pPr>
        <w:pStyle w:val="INCISO"/>
        <w:tabs>
          <w:tab w:val="left" w:pos="284"/>
        </w:tabs>
        <w:spacing w:after="0" w:line="276" w:lineRule="auto"/>
        <w:ind w:left="284" w:firstLine="0"/>
        <w:rPr>
          <w:b/>
          <w:smallCaps/>
        </w:rPr>
      </w:pPr>
    </w:p>
    <w:p w14:paraId="185D6D9C" w14:textId="77777777" w:rsidR="00802877" w:rsidRDefault="00802877" w:rsidP="00C50527">
      <w:pPr>
        <w:pStyle w:val="INCISO"/>
        <w:tabs>
          <w:tab w:val="left" w:pos="284"/>
        </w:tabs>
        <w:spacing w:after="0" w:line="276" w:lineRule="auto"/>
        <w:ind w:left="284" w:firstLine="0"/>
        <w:rPr>
          <w:b/>
          <w:smallCaps/>
        </w:rPr>
      </w:pPr>
    </w:p>
    <w:p w14:paraId="5342B072" w14:textId="77777777" w:rsidR="00802877" w:rsidRDefault="00802877" w:rsidP="00C50527">
      <w:pPr>
        <w:pStyle w:val="INCISO"/>
        <w:tabs>
          <w:tab w:val="left" w:pos="284"/>
        </w:tabs>
        <w:spacing w:after="0" w:line="276" w:lineRule="auto"/>
        <w:ind w:left="284" w:firstLine="0"/>
        <w:rPr>
          <w:b/>
          <w:smallCaps/>
        </w:rPr>
      </w:pPr>
    </w:p>
    <w:p w14:paraId="4077D6C9" w14:textId="77777777" w:rsidR="00802877" w:rsidRDefault="00802877" w:rsidP="00C50527">
      <w:pPr>
        <w:pStyle w:val="INCISO"/>
        <w:tabs>
          <w:tab w:val="left" w:pos="284"/>
        </w:tabs>
        <w:spacing w:after="0" w:line="276" w:lineRule="auto"/>
        <w:ind w:left="284" w:firstLine="0"/>
        <w:rPr>
          <w:b/>
          <w:smallCaps/>
        </w:rPr>
      </w:pPr>
    </w:p>
    <w:p w14:paraId="5077C0E6"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lastRenderedPageBreak/>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77777777"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5E53D7C0" w14:textId="77777777" w:rsidR="00C013A1" w:rsidRPr="0073056A" w:rsidRDefault="00C013A1" w:rsidP="00C50527">
      <w:pPr>
        <w:pStyle w:val="Texto"/>
        <w:tabs>
          <w:tab w:val="left" w:pos="284"/>
        </w:tabs>
        <w:spacing w:after="0" w:line="276" w:lineRule="auto"/>
        <w:ind w:left="284" w:firstLine="0"/>
        <w:rPr>
          <w:szCs w:val="18"/>
          <w:lang w:val="es-MX"/>
        </w:rPr>
      </w:pPr>
    </w:p>
    <w:p w14:paraId="5188D424" w14:textId="77777777" w:rsidR="006942ED" w:rsidRDefault="006942ED" w:rsidP="00C50527">
      <w:pPr>
        <w:pStyle w:val="Texto"/>
        <w:tabs>
          <w:tab w:val="left" w:pos="284"/>
        </w:tabs>
        <w:spacing w:after="0" w:line="276" w:lineRule="auto"/>
        <w:ind w:left="284" w:firstLine="0"/>
        <w:rPr>
          <w:szCs w:val="18"/>
          <w:lang w:val="es-MX"/>
        </w:rPr>
      </w:pPr>
    </w:p>
    <w:p w14:paraId="093F386E" w14:textId="77777777" w:rsidR="006942ED" w:rsidRPr="006942ED" w:rsidRDefault="00E8287D" w:rsidP="006942ED">
      <w:pPr>
        <w:rPr>
          <w:lang w:eastAsia="es-ES"/>
        </w:rPr>
      </w:pPr>
      <w:r>
        <w:rPr>
          <w:noProof/>
          <w:szCs w:val="18"/>
          <w:lang w:val="es-ES" w:eastAsia="es-MX"/>
        </w:rPr>
        <w:object w:dxaOrig="1440" w:dyaOrig="1440" w14:anchorId="7CF3A5A1">
          <v:shape id="_x0000_s1046" type="#_x0000_t75" style="position:absolute;margin-left:-26.6pt;margin-top:24.9pt;width:532.9pt;height:473.35pt;z-index:251663360">
            <v:imagedata r:id="rId24" o:title=""/>
            <w10:wrap type="topAndBottom"/>
          </v:shape>
          <o:OLEObject Type="Embed" ProgID="Excel.Sheet.12" ShapeID="_x0000_s1046" DrawAspect="Content" ObjectID="_1743608293" r:id="rId25"/>
        </w:object>
      </w:r>
    </w:p>
    <w:p w14:paraId="59649526" w14:textId="77777777" w:rsidR="006942ED" w:rsidRPr="006942ED" w:rsidRDefault="006942ED" w:rsidP="006942ED">
      <w:pPr>
        <w:rPr>
          <w:lang w:eastAsia="es-ES"/>
        </w:rPr>
      </w:pPr>
    </w:p>
    <w:p w14:paraId="02BAADB2" w14:textId="77777777" w:rsidR="002A62AF" w:rsidRDefault="002A62AF" w:rsidP="006942ED">
      <w:pPr>
        <w:ind w:firstLine="708"/>
        <w:rPr>
          <w:lang w:eastAsia="es-ES"/>
        </w:rPr>
      </w:pPr>
    </w:p>
    <w:p w14:paraId="4EA645CD" w14:textId="77777777" w:rsidR="002C55F6" w:rsidRDefault="00E8287D" w:rsidP="006942ED">
      <w:pPr>
        <w:ind w:firstLine="708"/>
        <w:rPr>
          <w:lang w:eastAsia="es-ES"/>
        </w:rPr>
      </w:pPr>
      <w:r>
        <w:rPr>
          <w:b/>
          <w:smallCaps/>
          <w:noProof/>
          <w:szCs w:val="18"/>
          <w:lang w:eastAsia="es-MX"/>
        </w:rPr>
        <w:lastRenderedPageBreak/>
        <w:object w:dxaOrig="1440" w:dyaOrig="1440" w14:anchorId="2A260062">
          <v:shape id="_x0000_s1047" type="#_x0000_t75" style="position:absolute;left:0;text-align:left;margin-left:-40pt;margin-top:9.7pt;width:542.75pt;height:614.6pt;z-index:251664384">
            <v:imagedata r:id="rId26" o:title=""/>
            <w10:wrap type="topAndBottom"/>
          </v:shape>
          <o:OLEObject Type="Embed" ProgID="Excel.Sheet.12" ShapeID="_x0000_s1047" DrawAspect="Content" ObjectID="_1743608294" r:id="rId27"/>
        </w:object>
      </w:r>
    </w:p>
    <w:p w14:paraId="5BD0B5E5" w14:textId="77777777" w:rsidR="006942ED" w:rsidRPr="006942ED" w:rsidRDefault="006942ED" w:rsidP="006942ED">
      <w:pPr>
        <w:ind w:firstLine="708"/>
        <w:rPr>
          <w:lang w:eastAsia="es-ES"/>
        </w:rPr>
      </w:pPr>
    </w:p>
    <w:p w14:paraId="70DEFCA9" w14:textId="77777777" w:rsidR="00802877" w:rsidRDefault="00802877" w:rsidP="005F52B3">
      <w:pPr>
        <w:pStyle w:val="Texto"/>
        <w:tabs>
          <w:tab w:val="left" w:pos="284"/>
        </w:tabs>
        <w:spacing w:after="0" w:line="276" w:lineRule="auto"/>
        <w:ind w:left="284" w:firstLine="0"/>
        <w:jc w:val="center"/>
        <w:rPr>
          <w:b/>
          <w:szCs w:val="18"/>
        </w:rPr>
      </w:pPr>
    </w:p>
    <w:p w14:paraId="358FE3DE" w14:textId="77777777" w:rsidR="002A62AF" w:rsidRDefault="002A62AF"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14:paraId="79B3A4C4" w14:textId="77777777" w:rsidR="005F52B3" w:rsidRPr="0073056A" w:rsidRDefault="005F52B3" w:rsidP="005F52B3">
      <w:pPr>
        <w:pStyle w:val="Texto"/>
        <w:tabs>
          <w:tab w:val="left" w:pos="284"/>
        </w:tabs>
        <w:spacing w:after="0" w:line="276" w:lineRule="auto"/>
        <w:ind w:left="284" w:firstLine="0"/>
        <w:rPr>
          <w:b/>
          <w:szCs w:val="18"/>
          <w:lang w:val="es-MX"/>
        </w:rPr>
      </w:pP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A14EB0A" w14:textId="77777777" w:rsidR="005F52B3" w:rsidRPr="0073056A" w:rsidRDefault="005F52B3" w:rsidP="005F52B3">
      <w:pPr>
        <w:tabs>
          <w:tab w:val="left" w:pos="284"/>
        </w:tabs>
        <w:ind w:left="284"/>
        <w:jc w:val="both"/>
        <w:rPr>
          <w:rFonts w:ascii="Arial" w:hAnsi="Arial" w:cs="Arial"/>
          <w:sz w:val="18"/>
          <w:szCs w:val="18"/>
        </w:rPr>
      </w:pPr>
    </w:p>
    <w:p w14:paraId="3F89E129" w14:textId="77777777"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178ADF62"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2615F9">
        <w:rPr>
          <w:rFonts w:ascii="Arial" w:hAnsi="Arial" w:cs="Arial"/>
          <w:sz w:val="18"/>
          <w:szCs w:val="18"/>
        </w:rPr>
        <w:t>marzo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2615F9">
        <w:rPr>
          <w:rFonts w:ascii="Arial" w:hAnsi="Arial" w:cs="Arial"/>
          <w:sz w:val="18"/>
          <w:szCs w:val="18"/>
        </w:rPr>
        <w:t>3</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73056A" w:rsidRDefault="003D0221" w:rsidP="003D0221">
      <w:pPr>
        <w:tabs>
          <w:tab w:val="left" w:pos="284"/>
        </w:tabs>
        <w:ind w:left="284"/>
        <w:jc w:val="both"/>
        <w:rPr>
          <w:rFonts w:ascii="Arial" w:hAnsi="Arial" w:cs="Arial"/>
          <w:sz w:val="18"/>
          <w:szCs w:val="18"/>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7F7A8338" w14:textId="77777777" w:rsidR="0070431B" w:rsidRDefault="0070431B" w:rsidP="00C50527">
      <w:pPr>
        <w:pStyle w:val="Texto"/>
        <w:tabs>
          <w:tab w:val="left" w:pos="284"/>
        </w:tabs>
        <w:spacing w:after="0" w:line="276" w:lineRule="auto"/>
        <w:ind w:left="284" w:firstLine="0"/>
        <w:jc w:val="center"/>
        <w:rPr>
          <w:b/>
          <w:szCs w:val="18"/>
          <w:lang w:val="es-MX"/>
        </w:rPr>
      </w:pPr>
    </w:p>
    <w:p w14:paraId="1A08EFEF"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63E96F93" w14:textId="77777777" w:rsidR="005F52B3" w:rsidRDefault="005F52B3" w:rsidP="005F52B3">
      <w:pPr>
        <w:pStyle w:val="Texto"/>
        <w:tabs>
          <w:tab w:val="left" w:pos="284"/>
        </w:tabs>
        <w:spacing w:after="0" w:line="276" w:lineRule="auto"/>
        <w:ind w:left="284" w:firstLine="0"/>
        <w:rPr>
          <w:b/>
          <w:szCs w:val="18"/>
          <w:lang w:val="es-MX"/>
        </w:rPr>
      </w:pPr>
    </w:p>
    <w:p w14:paraId="0D6A4CBF" w14:textId="77777777"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14:paraId="420EF5E8"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52FC99CD"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3FA5231E" w14:textId="77777777"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3D4100FA" w14:textId="77777777"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14:paraId="585F9AE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14:paraId="66C7825D" w14:textId="77777777" w:rsidR="002615F9" w:rsidRPr="002615F9" w:rsidRDefault="002615F9" w:rsidP="002615F9">
      <w:pPr>
        <w:tabs>
          <w:tab w:val="left" w:pos="284"/>
        </w:tabs>
        <w:ind w:left="284"/>
        <w:jc w:val="both"/>
        <w:rPr>
          <w:rFonts w:ascii="Arial" w:hAnsi="Arial" w:cs="Arial"/>
          <w:sz w:val="18"/>
          <w:szCs w:val="18"/>
        </w:rPr>
      </w:pPr>
    </w:p>
    <w:p w14:paraId="0EE104D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5CF423B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7C8B1A3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062A657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2022, las finanzas públicas presentaron resultados positivos. Destacó el desempeño de la deuda pública, medida por el SHRFSP, la cual alcanzó un nivel de 49.5% del PIB, menor al estimado en el Paquete Económico 2022 de 51.0% y al nivel observado en 2021 de 50.8%. El dato observado en 2022 implicó un incremento de 9.4% real respecto a lo registrado en 2018; no obstante, esta cifra es menor al crecimiento promedio observado en las tres administraciones anteriores de 27.0% para el mismo horizonte de tiempo. </w:t>
      </w:r>
    </w:p>
    <w:p w14:paraId="299B1C78"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El déficit público alcanzó el 3.4% del PIB, lo que implicó una desviación de 0.3 </w:t>
      </w:r>
      <w:proofErr w:type="spellStart"/>
      <w:r w:rsidRPr="002615F9">
        <w:rPr>
          <w:rFonts w:ascii="Arial" w:hAnsi="Arial" w:cs="Arial"/>
          <w:sz w:val="18"/>
          <w:szCs w:val="18"/>
        </w:rPr>
        <w:t>pp</w:t>
      </w:r>
      <w:proofErr w:type="spellEnd"/>
      <w:r w:rsidRPr="002615F9">
        <w:rPr>
          <w:rFonts w:ascii="Arial" w:hAnsi="Arial" w:cs="Arial"/>
          <w:sz w:val="18"/>
          <w:szCs w:val="18"/>
        </w:rPr>
        <w:t xml:space="preserve"> respecto a lo aprobado debido a las presiones en el costo financiero ligadas al endurecimiento de la política monetaria, así como al aumento de las necesidades de inversión, el cual estuvo acompañado de un incremento en el costo de las materias primas y materiales de construcción. En cuanto a los RFSP, en 2022 alcanzaron un nivel de 4.4% del PIB, como resultado del mayor balance público, y del componente inflacionario de los bonos indexados, el cual contribuyó con 0.7% del PIB. Al interior, los ingresos petroleros del Sector Público tuvieron un excedente respecto a lo previsto en el programa para 2022 de 269.2 mil millones de pesos y alcanzaron un nivel de 5.2% del PIB, el más alto desde 2014 cuando ascendieron a 7.0% del PIB, año en que el precio promedio del petróleo se ubicó en 89.5 dpb y la plataforma de producción alcanzó los 2,429 </w:t>
      </w:r>
      <w:proofErr w:type="spellStart"/>
      <w:r w:rsidRPr="002615F9">
        <w:rPr>
          <w:rFonts w:ascii="Arial" w:hAnsi="Arial" w:cs="Arial"/>
          <w:sz w:val="18"/>
          <w:szCs w:val="18"/>
        </w:rPr>
        <w:t>mbd</w:t>
      </w:r>
      <w:proofErr w:type="spellEnd"/>
      <w:r w:rsidRPr="002615F9">
        <w:rPr>
          <w:rFonts w:ascii="Arial" w:hAnsi="Arial" w:cs="Arial"/>
          <w:sz w:val="18"/>
          <w:szCs w:val="18"/>
        </w:rPr>
        <w:t xml:space="preserve">. En 2022, el incremento en el precio del crudo se debió principalmente a los efectos de la guerra en Ucrania y las sanciones impuestas a Rusia, factores que favorecieron a que la mezcla mexicana de exportación (MME) alcanzara los 88.8 dpb, en comparación con los 55.1 dpb previstos en el presupuesto para 2022. Asimismo, se observó una plataforma de producción de 1,849 </w:t>
      </w:r>
      <w:proofErr w:type="spellStart"/>
      <w:r w:rsidRPr="002615F9">
        <w:rPr>
          <w:rFonts w:ascii="Arial" w:hAnsi="Arial" w:cs="Arial"/>
          <w:sz w:val="18"/>
          <w:szCs w:val="18"/>
        </w:rPr>
        <w:t>mbd</w:t>
      </w:r>
      <w:proofErr w:type="spellEnd"/>
      <w:r w:rsidRPr="002615F9">
        <w:rPr>
          <w:rFonts w:ascii="Arial" w:hAnsi="Arial" w:cs="Arial"/>
          <w:sz w:val="18"/>
          <w:szCs w:val="18"/>
        </w:rPr>
        <w:t xml:space="preserve"> (incluyendo condensados, Pemex, socios y privados), resultado superior al nivel presupuestado de 1,826 </w:t>
      </w:r>
      <w:proofErr w:type="spellStart"/>
      <w:r w:rsidRPr="002615F9">
        <w:rPr>
          <w:rFonts w:ascii="Arial" w:hAnsi="Arial" w:cs="Arial"/>
          <w:sz w:val="18"/>
          <w:szCs w:val="18"/>
        </w:rPr>
        <w:t>mbd</w:t>
      </w:r>
      <w:proofErr w:type="spellEnd"/>
      <w:r w:rsidRPr="002615F9">
        <w:rPr>
          <w:rFonts w:ascii="Arial" w:hAnsi="Arial" w:cs="Arial"/>
          <w:sz w:val="18"/>
          <w:szCs w:val="18"/>
        </w:rPr>
        <w:t>.</w:t>
      </w:r>
    </w:p>
    <w:p w14:paraId="1822368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Las reducciones al DUC que esta administración llevó a cabo desde 2019 situaron la tasa del DUC en 2022 en 40.0%, en lugar del 65.0% existente en 2018. Como resultado de ello, se ha logrado reducir la carga tributaria a Pemex, lo cual permitió que en 2022 la empresa recibiera un 56.8% del total de los ingresos petroleros, a diferencia de 2014 cuando Pemex sólo recibió el 36.1%. En este contexto, en 2022 los ingresos petroleros del Gobierno Federal se ubicaron en 2.2% del PIB, mientras que los ingresos propios de Pemex ascendieron a 3.0% del PIB. </w:t>
      </w:r>
    </w:p>
    <w:p w14:paraId="36761FF7"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respecto al desempeño de Pemex, la solidez de sus ingresos propios en el contexto de los altos precios del petróleo favoreció que su balance de operación registrara un superávit de 38.2 mil millones de pesos al cierre de 2022. Al mismo tiempo, su deuda bruta continuó disminuyendo, acumulando una caída equivalente al 2.0% del PIB desde el inicio de la administración. Esta tendencia favorable también obedece a los efectos de la reducción de la carga fiscal de la empresa por medio del DUC y de las aportaciones patrimoniales del Gobierno Federal, mismas que, en su conjunto, han permitido que Pemex haya aumentado su inversión física en un 45.0% real entre 2018 y 2022. </w:t>
      </w:r>
    </w:p>
    <w:p w14:paraId="7D2AC1A3"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 xml:space="preserve">La puesta en marcha de mejoras en materia de eficiencia tributaria y combate a la corrupción han contribuido a incrementar los ingresos tributarios en 0.4 </w:t>
      </w:r>
      <w:proofErr w:type="spellStart"/>
      <w:r w:rsidRPr="002615F9">
        <w:rPr>
          <w:rFonts w:ascii="Arial" w:hAnsi="Arial" w:cs="Arial"/>
          <w:sz w:val="18"/>
          <w:szCs w:val="18"/>
        </w:rPr>
        <w:t>pp</w:t>
      </w:r>
      <w:proofErr w:type="spellEnd"/>
      <w:r w:rsidRPr="002615F9">
        <w:rPr>
          <w:rFonts w:ascii="Arial" w:hAnsi="Arial" w:cs="Arial"/>
          <w:sz w:val="18"/>
          <w:szCs w:val="18"/>
        </w:rPr>
        <w:t xml:space="preserve"> del PIB entre 2018 y 2022 sin la necesidad de crear o aumentar impuestos. No obstante, en 2022 los mayores precios del crudo se tradujeron en incrementos en los precios internacionales de los combustibles, lo cual llevó al Gobierno de México a aplicar estímulos al precio de los combustibles complementarios al propio mecanismo legal del IEPS que prevalece desde noviembre de 2018, el cual continúa con el objetivo de aminorar el impacto de éstos sobre el nivel general de precios. Por lo anterior, los ingresos tributarios del Gobierno Federal se ubicaron 135.8 mil millones de pesos por debajo del programa. Esta caída se explicó, fundamentalmente, por los menores ingresos del IEPS federal de combustibles que al cierre de 2022 resultó en 396.6 millones de pesos de menor recaudación respecto al programa. </w:t>
      </w:r>
    </w:p>
    <w:p w14:paraId="5ADE0908"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No obstante, los ingresos tributarios excluyendo el IEPS de combustibles federal fueron superiores a lo previsto en la Ley de Ingresos de la Federación (LIF) 2022 en 260.9 mil millones de pesos y alcanzaron un nivel de 13.8% del PIB, el cual representó un máximo histórico. Además, cabe destacar que los ingresos tributarios sin IEPS de combustibles federal tuvieron un crecimiento real anual de 7.7%, superior al crecimiento real de la economía e incluso al crecimiento real programado en el Paquete Económico 2022. </w:t>
      </w:r>
    </w:p>
    <w:p w14:paraId="03CEBDFD"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Al interior de los ingresos tributarios, destacó la recaudación del ISR con un crecimiento real de 11.0% y un nivel alcanzado de 8.0% del PIB, monto sin precedentes, que reflejó los resultados positivos en las utilidades de las empresas en nuestro país, así como el efecto de mayores niveles de empleo formal y el incremento de los salarios reales. La recaudación del IVA, por su parte, alcanzó un nivel de 4.3% del PIB, superior al promedio de los últimos cinco años, apoyada también por el desempeño de la economía y el consumo, en particular. </w:t>
      </w:r>
    </w:p>
    <w:p w14:paraId="23A7BE9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respecto al gasto público, la política promovida por el Gobierno de México durante 2022 continuó impulsando el desarrollo económico, al tiempo que fomentó el bienestar de la población a través de una asignación de recursos con el objetivo de reducir las desigualdades entre grupos de la población y regiones. Lo anterior, bajo los principios de austeridad, disciplina y transparencia plasmados en el Plan Nacional de Desarrollo 2019-2024. En 2022, se continuó invirtiendo en proyectos de infraestructura en la región sur-sureste del país, principalmente, lo que ha permitido integrar a regiones históricamente rezagadas, aumentar la capacidad productiva del país y fomentar el desarrollo económico en el mediano plazo. Asimismo, desde el segundo año de la administración se logró revertir la tendencia a la baja de la inversión física registrada desde 2014, de tal manera que, en términos reales, entre 2019 y 2022 la inversión física creció 41.2%, lo que se compara favorablemente con la reducción registrada entre 2014 y 2018 de 38.1% real. </w:t>
      </w:r>
    </w:p>
    <w:p w14:paraId="7A9BB79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Dentro de los recursos ejercidos en 2022, destacó la construcción del Tren Maya, con una inversión equivalente al 0.6% del PIB en el año; proyecto que conectará a las comunidades vecinas de la Península de Yucatán, lo cual estimulará el comercio, el turismo sustentable y el desarrollo de la región. Asimismo, se asignaron recursos para la construcción de la refinería Olmeca-Dos Bocas, que, junto con el fortalecimiento de la inversión en exploración y producción de petróleo crudo, forma parte de la estrategia para garantizar la soberanía energética de México. En este contexto, el gasto en inversión física alcanzó un nivel de 3.3% del PIB, el más alto desde 2016. Al mismo tiempo, el gasto en desarrollo económico alcanzó un nivel equivalente al 6.2% del PIB, superior al promedio de los últimos cinco años. </w:t>
      </w:r>
    </w:p>
    <w:p w14:paraId="33F717D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Además del gasto ejercido en infraestructura, destaca el gasto en desarrollo social, que incluye erogaciones en salud, educación y otros rubros relacionados, se ubicó en 12.1% del PIB, cifra superior en 1.0 </w:t>
      </w:r>
      <w:proofErr w:type="spellStart"/>
      <w:r w:rsidRPr="002615F9">
        <w:rPr>
          <w:rFonts w:ascii="Arial" w:hAnsi="Arial" w:cs="Arial"/>
          <w:sz w:val="18"/>
          <w:szCs w:val="18"/>
        </w:rPr>
        <w:t>pp</w:t>
      </w:r>
      <w:proofErr w:type="spellEnd"/>
      <w:r w:rsidRPr="002615F9">
        <w:rPr>
          <w:rFonts w:ascii="Arial" w:hAnsi="Arial" w:cs="Arial"/>
          <w:sz w:val="18"/>
          <w:szCs w:val="18"/>
        </w:rPr>
        <w:t xml:space="preserve"> del PIB al promedio de los últimos cinco años. Al interior, al cierre de 2022 el gasto en salud mostró un máximo histórico en términos reales desde que se tiene registro. Comparado con el cierre de 2018, este rubro registró un crecimiento real de 13.4% y fue mayor en 0.3 </w:t>
      </w:r>
      <w:proofErr w:type="spellStart"/>
      <w:r w:rsidRPr="002615F9">
        <w:rPr>
          <w:rFonts w:ascii="Arial" w:hAnsi="Arial" w:cs="Arial"/>
          <w:sz w:val="18"/>
          <w:szCs w:val="18"/>
        </w:rPr>
        <w:t>pp</w:t>
      </w:r>
      <w:proofErr w:type="spellEnd"/>
      <w:r w:rsidRPr="002615F9">
        <w:rPr>
          <w:rFonts w:ascii="Arial" w:hAnsi="Arial" w:cs="Arial"/>
          <w:sz w:val="18"/>
          <w:szCs w:val="18"/>
        </w:rPr>
        <w:t xml:space="preserve"> del PIB respecto al nivel que habría registrado si hubiera continuado con la tendencia observada en administraciones pasadas. Por último, la inversión física destinada al sector salud fue mayor en 39.0% en términos reales en comparación con lo registrado en 2018. </w:t>
      </w:r>
    </w:p>
    <w:p w14:paraId="6F6AC72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Asimismo, para impulsar la educación, el Gobierno Federal destinó 71.4 mil millones de pesos en becas para todos los niveles educativos durante 2022, monto superior en 6.8 veces respecto a lo destinado en 2018 en términos reales. Los resultados de gasto social también reflejan el avance de los programas prioritarios impulsados por esta administración. Por ejemplo, los recursos destinados para el programa de Pensión para el Bienestar de las Personas Adultas Mayores se incrementaron en 5.6 veces entre 2018 y 2022 en términos reales. Por su parte, el programa de Pensión para el Bienestar de las Personas con Discapacidad Permanente, creado en 2019, registró recursos por 18.9 mil millones de pesos al cierre de 2022. Además, el programa Sembrando Vida recibió 29.5 mil </w:t>
      </w:r>
      <w:r w:rsidRPr="002615F9">
        <w:rPr>
          <w:rFonts w:ascii="Arial" w:hAnsi="Arial" w:cs="Arial"/>
          <w:sz w:val="18"/>
          <w:szCs w:val="18"/>
        </w:rPr>
        <w:lastRenderedPageBreak/>
        <w:t xml:space="preserve">millones de pesos en 2022, monto superior en un 77.2% real anual respecto a lo observado en 2019 como parte de la estrategia de apoyo al campo. </w:t>
      </w:r>
    </w:p>
    <w:p w14:paraId="673D04D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La cooperación entre el Gobierno Federal, los estados y los municipios resulta esencial para avanzar de manera conjunta en los objetivos de política pública relacionados con el desarrollo económico y el bienestar de las personas. Con respecto al gasto federalizado, este alcanzó un monto equivalente al 7.8% del PIB al cierre de 2022. Al interior, y como porcentaje del PIB, las participaciones correspondieron a un 3.7%, mientras que las aportaciones federales (a través de los ramos 25 y 33) se ubicaron en 3.1% y los subsidios y convenios, en su conjunto, a un 1.0%.</w:t>
      </w:r>
    </w:p>
    <w:p w14:paraId="259B2D0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El costo financiero del Sector Público se encuentra controlado y no representa un riesgo para la estabilidad de las finanzas públicas. Al cierre de 2022, este ascendió a 815.2 mil millones de pesos, monto superior a lo previsto en el programa en 23.8 mil millones de pesos, pero inferior en 89.7 mil millones de pesos respecto a la estimación presentada en los Criterios Generales de Política Económica para el ejercicio 2023. En el agregado, el mayor costo financiero fue compensado por un menor pago de </w:t>
      </w:r>
      <w:proofErr w:type="spellStart"/>
      <w:r w:rsidRPr="002615F9">
        <w:rPr>
          <w:rFonts w:ascii="Arial" w:hAnsi="Arial" w:cs="Arial"/>
          <w:sz w:val="18"/>
          <w:szCs w:val="18"/>
        </w:rPr>
        <w:t>Adefas</w:t>
      </w:r>
      <w:proofErr w:type="spellEnd"/>
      <w:r w:rsidRPr="002615F9">
        <w:rPr>
          <w:rFonts w:ascii="Arial" w:hAnsi="Arial" w:cs="Arial"/>
          <w:sz w:val="18"/>
          <w:szCs w:val="18"/>
        </w:rPr>
        <w:t xml:space="preserve"> y otros por 26.8 mil millones de pesos, con lo cual no fue necesario llevar a cabo recortes de gasto programable que perjudicaran la asignación de recursos con impacto directo en el bienestar de la población. </w:t>
      </w:r>
    </w:p>
    <w:p w14:paraId="078F298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Por último, conviene destacar que en 2022 el 80.6% de la deuda se emitió en pesos en el mercado local, cuyo perfil está denominado mayoritariamente a tasa fija (77.1%) y con un plazo de vencimiento promedio de 9.8 años. Esta condición seguirá contribuyendo a hacer frente a los choques económicos, lo cual ha sido reconocido por los principales organismos internacionales y agencias calificadoras. Para muestra, el pasado 12 de enero de 2023 se cerró el ciclo de calificaciones de 2022, tras el cual nuestro país mantuvo el grado de inversión y una perspectiva estable por parte de las ocho agencias que evalúan a nuestro país. En particular, estas agencias han destacado la fortaleza de los fundamentos macroeconómicos y el compromiso de la actual administración por mantener finanzas públicas sanas.</w:t>
      </w:r>
    </w:p>
    <w:p w14:paraId="2FB9063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 estimación de finanzas públicas para el presente ejercicio fiscal está basada en las proyecciones económicas presentadas por el Ejecutivo Federal, en el Documento Relativo al Cumplimiento de las Disposiciones Contenidas en el artículo 42, fracción I, de la Ley Federal de Presupuesto y Responsabilidad Hacendaria al considerar una tasa de crecimiento del PIB igual al valor medio del intervalo presentado en el marco macroeconómico. De esta manera, para el cierre de 2023 se anticipa un superávit del balance presupuestario de 0.2% del PIB, al excluir la inversión pública presupuestaria, en cumplimiento con lo previsto en la LIF 2023. Se prevé, además, un déficit primario de 0.1% del PIB y un nivel de los RFSP de 4.2% del PIB, cifra que mantendrá la deuda pública en 49.9% del PIB, con lo cual se garantiza una trayectoria estable y sostenible hacia el cierre de la administración. </w:t>
      </w:r>
    </w:p>
    <w:p w14:paraId="765EEE57"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respecto a la evolución de los ingresos presupuestarios, se espera que estos sean inferiores a los previstos en la LIF 2023 en 131 mil 537 millones de pesos. Esto se explica, fundamentalmente, por los menores ingresos petroleros en 162 mil 807 millones de pesos, asociados a menores precios del crudo y del gas natural que han venido a la baja ante las expectativas de una menor demanda global, así como a un tipo de cambio más apreciado que impacta negativamente el valor en pesos de venta. </w:t>
      </w:r>
    </w:p>
    <w:p w14:paraId="6A6C6BFA"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cuanto a la recaudación tributaria, se estima que al cierre de 2023 muestre un nivel inferior en 66 mil 928 millones de pesos con respecto a lo aprobado en la LIF 2023. Lo anterior se explica, entre otros factores, por una moderación en los resultados al cierre de 2022 y de las expectativas en ciertos rubros de ingresos. Esta situación se podría atenuar, en parte, con esfuerzos adicionales por parte del Sistema de Administración Tributaria para reducir la evasión fiscal. Finalmente, se esperan mayores ingresos propios de los organismos y empresas distintas de Pemex por 60 mil 710 millones de pesos y mayores ingresos no tributarios del Gobierno Federal en 37 mil 487 millones de pesos los cuales, de acuerdo con la LFPRH, se destinarán a ampliaciones de gasto para las mismas entidades y dependencias que los generaron. </w:t>
      </w:r>
    </w:p>
    <w:p w14:paraId="66B0B26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Ante la expectativa de menores ingresos presupuestarios y con el objetivo de seguir garantizando la sostenibilidad de las cuentas fiscales, se estima una disminución del gasto neto presupuestario de 131 mil 537 millones de pesos con respecto al monto aprobado. Al interior, se prevé una disminución en el gasto programable en 117 mil 249 millones de pesos, como resultado de las medidas de contención establecidas en la LFPRH, priorizando la continuidad de las erogaciones destinadas a los programas sociales, así como a las relacionadas con los proyectos de infraestructura que permitirán conectar a las zonas con mayores tasas de marginación y pobreza con el resto del país, logrando un país más equitativo y con una base productiva más extensa. Cabe destacar que, desde su </w:t>
      </w:r>
      <w:r w:rsidRPr="002615F9">
        <w:rPr>
          <w:rFonts w:ascii="Arial" w:hAnsi="Arial" w:cs="Arial"/>
          <w:sz w:val="18"/>
          <w:szCs w:val="18"/>
        </w:rPr>
        <w:lastRenderedPageBreak/>
        <w:t xml:space="preserve">diseño, el Presupuesto de Egresos de la Federación consideró un crecimiento significativo de la inversión pública en términos reales respecto a lo aprobado para 2022, mismo que se mantendrá según lo programado. </w:t>
      </w:r>
    </w:p>
    <w:p w14:paraId="35C75CE8"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lo que respecta al costo financiero, se estima un incremento de 21 mil 227 millones de pesos con respecto a lo aprobado. Lo anterior es resultado de mayores tasas de interés, además de revisiones constantes al alza en las expectativas relativas al nivel terminal de las tasas y el tiempo en que permanecerán en tales niveles. Estas expectativas podrían moderarse en el contexto de múltiples episodios de volatilidad asociados a los problemas financieros en parte del sector bancario estadounidense. Con independencia de lo anterior, el costo financiero no representa una presión significativa para la estabilidad de las finanzas públicas o pone en riesgo la ejecución del gasto presupuestado. Se anticipa, además, un menor pago de participaciones a entidades federativas y municipios de 23 mil 515 millones de pesos y un menor pago de </w:t>
      </w:r>
      <w:proofErr w:type="spellStart"/>
      <w:r w:rsidRPr="002615F9">
        <w:rPr>
          <w:rFonts w:ascii="Arial" w:hAnsi="Arial" w:cs="Arial"/>
          <w:sz w:val="18"/>
          <w:szCs w:val="18"/>
        </w:rPr>
        <w:t>Adefas</w:t>
      </w:r>
      <w:proofErr w:type="spellEnd"/>
      <w:r w:rsidRPr="002615F9">
        <w:rPr>
          <w:rFonts w:ascii="Arial" w:hAnsi="Arial" w:cs="Arial"/>
          <w:sz w:val="18"/>
          <w:szCs w:val="18"/>
        </w:rPr>
        <w:t xml:space="preserve"> y otros de 12 mil millones de pesos.</w:t>
      </w:r>
    </w:p>
    <w:p w14:paraId="5F908CE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El panorama económico global presenta retos importantes para 2023 que posiblemente se extiendan hacia 2024. Entre los más destacados se encuentran el entorno inflacionario global, principalmente en los precios de alimentos y servicios, que aún no muestran un ritmo acelerado para regresar a los niveles anteriores a la pandemia. Adicionalmente, el conflicto geopolítico derivado de la guerra en Ucrania y las tensiones entre EE.UU. y China ha dado un impulso adicional a las presiones inflacionarias y llevado a una reconfiguración del comercio global. </w:t>
      </w:r>
    </w:p>
    <w:p w14:paraId="167F2EA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Derivado de la política monetaria restrictiva de la FED que inició en marzo de 2022 y de una alta base de comparación, la actividad económica de EE.UU. podría disminuir su ritmo de crecimiento. Para 2023 y 2024, se espera un aumento de 1.5 y 1.2% anual, respectivamente, inferior en 0.3 y en 0.8 </w:t>
      </w:r>
      <w:proofErr w:type="spellStart"/>
      <w:r w:rsidRPr="002615F9">
        <w:rPr>
          <w:rFonts w:ascii="Arial" w:hAnsi="Arial" w:cs="Arial"/>
          <w:sz w:val="18"/>
          <w:szCs w:val="18"/>
        </w:rPr>
        <w:t>pp</w:t>
      </w:r>
      <w:proofErr w:type="spellEnd"/>
      <w:r w:rsidRPr="002615F9">
        <w:rPr>
          <w:rFonts w:ascii="Arial" w:hAnsi="Arial" w:cs="Arial"/>
          <w:sz w:val="18"/>
          <w:szCs w:val="18"/>
        </w:rPr>
        <w:t xml:space="preserve"> a lo publicado en el Paquete Económico 2023. Respecto a la producción industrial, se prevé un crecimiento positivo derivado de la normalización de las cadenas globales de valor, el fin de la política de confinamientos en China y la relocalización de empresas hacia EE.UU. No obstante, podría reducir su ritmo de crecimiento, respecto a años previos, por una menor demanda global de insumos y productos estadounidenses derivado de la persistencia inflacionaria a nivel internacional y el efecto restrictivo de las altas tasas de interés. Por ello, se anticipa que dicha variable alcance tasas anuales de 1.1% en 2023 y 1.0% en 2024, las cuales son inferiores en 1.1 </w:t>
      </w:r>
      <w:proofErr w:type="spellStart"/>
      <w:r w:rsidRPr="002615F9">
        <w:rPr>
          <w:rFonts w:ascii="Arial" w:hAnsi="Arial" w:cs="Arial"/>
          <w:sz w:val="18"/>
          <w:szCs w:val="18"/>
        </w:rPr>
        <w:t>pp</w:t>
      </w:r>
      <w:proofErr w:type="spellEnd"/>
      <w:r w:rsidRPr="002615F9">
        <w:rPr>
          <w:rFonts w:ascii="Arial" w:hAnsi="Arial" w:cs="Arial"/>
          <w:sz w:val="18"/>
          <w:szCs w:val="18"/>
        </w:rPr>
        <w:t xml:space="preserve"> a lo publicado en los CGPE 2023.</w:t>
      </w:r>
    </w:p>
    <w:p w14:paraId="22DE1C9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Para la economía mexicana, el factor inflacionario es relevante porque definirá la postura monetaria del Banco de México y la Reserva Federal de EE.UU., así como las condiciones financieras y parte de la dinámica económica que se tendrán en el curso de estos dos años. En cambio, el factor geopolítico presenta una oportunidad para que México utilice sus ventajas geográficas, demográficas y económicas para atraer e impulsar nuevas inversiones que detonen un crecimiento más acelerado y un desarrollo compartido para toda su población.</w:t>
      </w:r>
    </w:p>
    <w:p w14:paraId="1F22231D"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este contexto, para 2023 se estima un crecimiento de 3.0% con un rango que va de 2.2 a 3.0% y para 2024 un crecimiento de 3.0% con un rango de 1.6 a 3.0%. Cabe resaltar que no se modifica la estimación puntual para 2023 debido a que los supuestos sobre la economía mundial se mantienen. Sin embargo, el cambio sí modifica el nivel mínimo del rango y la media del pronóstico de 2023 que pasan, respectivamente, de 1.2 a 2.2% y de 2.1 a 2.6%, como resultado del buen desempeño de la economía nacional que da un piso de crecimiento superior al estimado en los CGPE 2023. En particular, este desempeño se encuentra sustentado, principalmente, en las condiciones globales, pero en mayor medida en los factores internos que han mostrado un alto dinamismo desde el fin de la pandemia y han sido apoyados por las políticas públicas de esta administración. </w:t>
      </w:r>
    </w:p>
    <w:p w14:paraId="3F2EA7C6"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primer lugar, se prevé que la inversión pública con el portafolio de proyectos prioritarios de infraestructura emprendido al inicio de esta administración alcance este año un nivel de 3.6% del PIB, no visto en los últimos seis años. Asimismo, se espera que en 2024 y hacia adelante esta tendencia se mantenga. Lo anterior derivado de la construcción de los proyectos en el sur-sureste del país, así como la edificación de diez parques industriales en el Corredor de Istmo de Tehuantepec para atraer inversión privada en el contexto de la relocalización de empresas. En particular, para 2023 se tiene contempladas la inauguración del Tren Maya, el Aeropuerto Felipe Carrillo Puerto en Tulum, el Tren Interurbano México Toluca y el Corredor Interoceánico en el Istmo de Tehuantepec; además, se espera que en este mismo año la Refinería Dos Bocas comience a operar al 100% de su capacidad. Por otra parte, en 2024 se concluirá la obra de Agua Saludable para la Laguna en Durango y Coahuila, así como otras obras pendientes en carreteras y caminos y puentes.  </w:t>
      </w:r>
    </w:p>
    <w:p w14:paraId="6E27542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También la inversión privada será una fuente adicional de crecimiento, sobre todo con la disipación de presiones como la escasez de insumos industriales y los altos precios de materiales de construcción que afectaron a la construcción y el equipo de transporte, así como el hecho de que continuará la relocalización de empresas </w:t>
      </w:r>
      <w:r w:rsidRPr="002615F9">
        <w:rPr>
          <w:rFonts w:ascii="Arial" w:hAnsi="Arial" w:cs="Arial"/>
          <w:sz w:val="18"/>
          <w:szCs w:val="18"/>
        </w:rPr>
        <w:lastRenderedPageBreak/>
        <w:t xml:space="preserve">manufactureras hacia México. En su conjunto, la inversión pública y privada sentarán las bases para ampliar la capacidad productiva del país y aumentar el crecimiento de mediano plazo. </w:t>
      </w:r>
    </w:p>
    <w:p w14:paraId="046082F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Al respecto, mediante una colaboración con el Gobierno de México, destaca el parque solar de Puerto Peñasco, el cual será el séptimo más grande a nivel mundial y el primero en Latinoamérica. Se prevé que la primera fase iniciará actividades comerciales en mayo de 2023 y la segunda fase en junio de 2024. Dicho proyecto garantizará el abasto de energía eléctrica limpia en los próximos 30 años y beneficiará a 1.6 millones de consumidores a nivel nacional. Simultáneamente, en Sonora se desarrollarán parques tecnológicos con industrias de semiconductores y empresas relacionadas a la electro-movilidad, lo cual apoyará el incremento del capital humano, la tecnificación y la especialización de la mano de obra, así como mayores salarios.  </w:t>
      </w:r>
    </w:p>
    <w:p w14:paraId="320A8EE8"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Respecto al sector externo, se prevé que, pese a una posible desaceleración de la economía global, continué la demanda de productos de origen mexicano, a la par que se prolongue el ritmo positivo del turismo, las remesas y la inversión extranjera directa. En particular, el efecto de la relocalización de empresas abre la posibilidad de que, a pesar de una desaceleración en la demanda global y estadounidense por importaciones mexicanas, se registre un aumento relativo a China por un efecto de sustitución que se complementaría con nuevas líneas de productos mexicanos para ser exportados. </w:t>
      </w:r>
    </w:p>
    <w:p w14:paraId="140E19A5"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este sentido, desde el año anterior, diversas empresas automotrices han acelerado la reconversión de sus plantas de producción hacia vehículos eléctricos, y compañías de autopartes relacionadas con la electro-movilidad han estado invirtiendo en México para fortalecer su cadena de valor. De acuerdo con información de la Industria Nacional de Autopartes, hacia finales de este año podría comenzar una fuerte producción nacional de baterías eléctricas, lo cual apoyaría la mayor fabricación de vehículos eléctricos. Otro elemento positivo para 2023 y 2024 será una menor inflación que permeará en toda la cadena productiva del país. Por una parte, continuará la disminución de la inflación de los materiales de la construcción como el alambrón y varilla, con lo cual disminuirán las presiones en el sector de la construcción que tiene un peso de 7.3% del PIB total. Adicionalmente, se prevé que la inflación de alimentos ceda en la medida que se normalicen las cadenas de valor, aumenten los insumos que se utilizan para los envases y contenedores, se incremente la producción nacional de alimentos y fertilizantes.  </w:t>
      </w:r>
    </w:p>
    <w:p w14:paraId="53EB9A3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Los programas públicos para el control de la inflación como el PACIC y el APECIC, así como la política de estabilización del precio de combustibles y tarifas eléctricas seguirán contribuyendo a paliar los efectos adversos en la economía global en el poder adquisitivo de la población, particularmente aquella de menores ingresos. Asimismo, esta administración seguirá buscando mecanismos de cooperación internacional y comerciales para contribuir al abatimiento de la inflación, esto en el marco de la Cumbre Antiinflacionaria y de Seguridad Alimentaria con varios países Latinoamericanos y del Caribe.  </w:t>
      </w:r>
    </w:p>
    <w:p w14:paraId="690E568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adición a lo anterior, el mercado laboral seguirá mostrando resultados favorables en términos de generación de empleo, participación laboral e ingresos como sucedió en 2021 y 2022. Estos resultados seguirán apoyados por las reformas en materia de contratación, derechos laborales, aumento salarial, pensiones y seguridad social. Ello aunado al despliegue de los diversos programas sociales que contribuirán a una sólida base para el consumo privado nacional y la reducción de la pobreza laboral. Al respecto, primero destacan los aumentos en el salario mínimo de 90% en términos reales desde diciembre de 2018, lo que benefició a más de seis millones de personas. Segundo, la eliminación de la subcontratación en 2021 con implicaciones positivas para 2.9 millones de personas, derivado del mayor acceso a las prestaciones en salud y vivienda que además aumentaron el ingreso disponible de las familias, junto con mayores remuneraciones como bonos y aguinaldos. Tercero, en mayo de 2023 será obligatoria la incorporación de los trabajadores del hogar a la seguridad social, con lo que se prevé que cerca de tres millones de personas se beneficien de esa medida.</w:t>
      </w:r>
    </w:p>
    <w:p w14:paraId="00CC6697"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Cuarto, en 2022 entró en vigor la ley que establece un incremento de seis a doce en los días de vacaciones para el primer año, con aumentos subsecuentes de dos días por año hasta llegar a los 20 días. Lo anterior será positivo para la salud y la productividad de los trabajadores, así como para el turismo nacional y el consumo privado. Quinto, el impulso sin precedentes en desarrollo social a través de programas como la Pensión para el Bienestar de las Personas Adultas Mayores, la Pensión para el Bienestar de las Personas con Discapacidad Permanente, Jóvenes Construyendo el Futuro, Sembrado Vida, entre otros, continuarán fortaleciendo el consumo durante este y el siguiente año.</w:t>
      </w:r>
    </w:p>
    <w:p w14:paraId="5656B26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2023, se espera que, después de los altos niveles de precios observados desde febrero del año anterior tras el inicio de la guerra entre Rusia y Ucrania, éstos se desaceleren convergiendo hacia el rango objetivo de Banco de </w:t>
      </w:r>
      <w:r w:rsidRPr="002615F9">
        <w:rPr>
          <w:rFonts w:ascii="Arial" w:hAnsi="Arial" w:cs="Arial"/>
          <w:sz w:val="18"/>
          <w:szCs w:val="18"/>
        </w:rPr>
        <w:lastRenderedPageBreak/>
        <w:t xml:space="preserve">México. Lo anterior, derivado de las políticas y paquetes de apoyo contra la inflación y la carestía que han sido complementadas por las acciones de política monetaria y fiscal, así como de las mejores condiciones en las cadenas globales de valor. Por ello, se estima que la inflación para el fin de periodo cerrará 2023 en 5.0%, lo cual representa un ajuste al alza respecto a la cifra presentada en el Paquete Económico 2023 de 3.2% anual. No obstante, en 2024, la inflación convergerá hacia el rango objetivo del banco central ya que se estima que disminuirán las presiones de oferta provenientes del exterior, y seguirá contribuyendo la política monetaria a contener las presiones de demanda y contribuir al anclaje de las expectativas de inflación de coto plazo. </w:t>
      </w:r>
    </w:p>
    <w:p w14:paraId="20C88C1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Derivado de lo anterior, la inflación cerrará en 4.0% anual, mayor en 1.0 </w:t>
      </w:r>
      <w:proofErr w:type="spellStart"/>
      <w:r w:rsidRPr="002615F9">
        <w:rPr>
          <w:rFonts w:ascii="Arial" w:hAnsi="Arial" w:cs="Arial"/>
          <w:sz w:val="18"/>
          <w:szCs w:val="18"/>
        </w:rPr>
        <w:t>pp</w:t>
      </w:r>
      <w:proofErr w:type="spellEnd"/>
      <w:r w:rsidRPr="002615F9">
        <w:rPr>
          <w:rFonts w:ascii="Arial" w:hAnsi="Arial" w:cs="Arial"/>
          <w:sz w:val="18"/>
          <w:szCs w:val="18"/>
        </w:rPr>
        <w:t xml:space="preserve"> a la cifra presentada en el Paquete Económico 2023. Respecto a la tasa de interés, se espera que el Banco de México continúe con una política monetaria restrictiva con el fin de mantener ancladas las expectativas de inflación y alcanzar una trayectoria estable y descendente en la inflación hacia su objetivo. De esta manera, se anticipa que las tasas de CETES de 28 días se ubiquen al cierre de año en 11.3% y 8.5% para 2023 y 2024, respectivamente. Lo anterior es superior en 2.8 y 1.0 </w:t>
      </w:r>
      <w:proofErr w:type="spellStart"/>
      <w:r w:rsidRPr="002615F9">
        <w:rPr>
          <w:rFonts w:ascii="Arial" w:hAnsi="Arial" w:cs="Arial"/>
          <w:sz w:val="18"/>
          <w:szCs w:val="18"/>
        </w:rPr>
        <w:t>pp</w:t>
      </w:r>
      <w:proofErr w:type="spellEnd"/>
      <w:r w:rsidRPr="002615F9">
        <w:rPr>
          <w:rFonts w:ascii="Arial" w:hAnsi="Arial" w:cs="Arial"/>
          <w:sz w:val="18"/>
          <w:szCs w:val="18"/>
        </w:rPr>
        <w:t xml:space="preserve"> al Paquete Económico 2023.   </w:t>
      </w:r>
    </w:p>
    <w:p w14:paraId="74DB7BD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cuanto al tipo de cambio, se prevé que el peso mexicano continúe mostrando fortaleza consistente con los fundamentales macroeconómicos del país, la estabilidad política, los niveles de deuda pública estables y una menor percepción de riesgo del país. Así, se espera un compartimento favorable del tipo de cambio promedio, incluso comparado con otras monedas de países emergentes, en 18.9 y 19.2 pesos por dólar en 2023 y en 2024, respectivamente. Lo anterior es inferior en 1.7 y 1.5 pesos al Paquete Económico 2023. No obstante, no se descartan episodios de volatilidad ante la incertidumbre en torno a la tasa terminal de la FED, la desaceleración económica global, un posible escalamiento de la guerra en Ucrania y un entorno de condiciones financieras restrictivas que pueda crear un ambiente de estrés para empresas y bancos que tomaron riesgos en un entorno de bajas tasas de interés. </w:t>
      </w:r>
    </w:p>
    <w:p w14:paraId="2B6F200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Se espera que los precios internacionales se mantengan presionados a la baja por una oferta mayor a la demanda global, así como por la acumulación de inventarios. No obstante, la presión estará limitada por la alta demanda de crudo por parte de las refinerías, las cuales tratarán de reemplazar la oferta rusa de petrolíferos, especialmente de diésel. Por ello, se prevé que en promedio la cotización de la mezcla mexicana se ubique en 66.6 dpb en 2023 y resulte en una disminución respecto a los 68.7 dpb de CGPE 2023. Para 2024, se estima una cotización de 56.3 dpb, la cual se encuentra en línea con la metodología establecida en el artículo 31 de la LFPRH y el 15 de su Reglamento.</w:t>
      </w:r>
    </w:p>
    <w:p w14:paraId="312A491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Por otra parte, se estima que la plataforma de producción de petróleo promedie 1,877 </w:t>
      </w:r>
      <w:proofErr w:type="spellStart"/>
      <w:r w:rsidRPr="002615F9">
        <w:rPr>
          <w:rFonts w:ascii="Arial" w:hAnsi="Arial" w:cs="Arial"/>
          <w:sz w:val="18"/>
          <w:szCs w:val="18"/>
        </w:rPr>
        <w:t>mbd</w:t>
      </w:r>
      <w:proofErr w:type="spellEnd"/>
      <w:r w:rsidRPr="002615F9">
        <w:rPr>
          <w:rFonts w:ascii="Arial" w:hAnsi="Arial" w:cs="Arial"/>
          <w:sz w:val="18"/>
          <w:szCs w:val="18"/>
        </w:rPr>
        <w:t xml:space="preserve"> en 2023, cifra ligeramente mayor a la plataforma aprobada en el Paquete Económico 2023 de 1,872 </w:t>
      </w:r>
      <w:proofErr w:type="spellStart"/>
      <w:r w:rsidRPr="002615F9">
        <w:rPr>
          <w:rFonts w:ascii="Arial" w:hAnsi="Arial" w:cs="Arial"/>
          <w:sz w:val="18"/>
          <w:szCs w:val="18"/>
        </w:rPr>
        <w:t>mbd</w:t>
      </w:r>
      <w:proofErr w:type="spellEnd"/>
      <w:r w:rsidRPr="002615F9">
        <w:rPr>
          <w:rFonts w:ascii="Arial" w:hAnsi="Arial" w:cs="Arial"/>
          <w:sz w:val="18"/>
          <w:szCs w:val="18"/>
        </w:rPr>
        <w:t xml:space="preserve">. Cabe destacar, como cada año, que en la elaboración de las proyecciones la plataforma contempla la producción agregada de Pemex, socios, condensados y las empresas privadas. Para 2024 se estima que la plataforma promedie 1,914 </w:t>
      </w:r>
      <w:proofErr w:type="spellStart"/>
      <w:r w:rsidRPr="002615F9">
        <w:rPr>
          <w:rFonts w:ascii="Arial" w:hAnsi="Arial" w:cs="Arial"/>
          <w:sz w:val="18"/>
          <w:szCs w:val="18"/>
        </w:rPr>
        <w:t>mbd</w:t>
      </w:r>
      <w:proofErr w:type="spellEnd"/>
      <w:r w:rsidRPr="002615F9">
        <w:rPr>
          <w:rFonts w:ascii="Arial" w:hAnsi="Arial" w:cs="Arial"/>
          <w:sz w:val="18"/>
          <w:szCs w:val="18"/>
        </w:rPr>
        <w:t>, ligeramente por arriba de lo previsto en los CGPE 2023. En ambos casos las cifras son conservadoras para garantizar los equilibrios fiscales sin presionar a las finanzas públicas y toman en cuenta el desempeño de la producción de Pemex, socios, condensados y los productores privados durante los primeros meses de 2023.</w:t>
      </w:r>
    </w:p>
    <w:p w14:paraId="778193F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2022 la actividad económica registró un crecimiento de 3.1% anual, superior a su promedio histórico de 2011 a 2019. Cabe destacar que, desde el cuarto trimestre de 2021, la actividad ha registrado crecimientos trimestrales consecutivos, derivado del buen ritmo de los sectores servicios e industrial, los cuales presentaron alzas trimestrales continuas por cinco y siete trimestres, respectivamente. Con estos resultados, el nivel del PIB en el cuarto trimestre de 2022 alcanzó un nuevo máximo histórico. En el mercado interno destacó el crecimiento del consumo privado de bienes y, en particular, el de los servicios que cerraron su brecha respecto a sus niveles prepandemia.</w:t>
      </w:r>
    </w:p>
    <w:p w14:paraId="31F7EC4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Los elementos principales que contribuyeron a dicho resultado fueron la solidez del mercado laboral, las alzas en la confianza del consumidor, el aumento del crédito al consumo, los ingresos por remesas y los efectos de los programas sociales impulsados por esta administración. Adicionalmente, la inversión fija bruta continuó con su tendencia al alza. En particular, la inversión en construcción cerró el año con un mejor desempeño al observado al inicio de 2022 por la desaceleración de los precios de materiales de construcción, así como las perspectivas de demanda futura por la relocalización de empresas y los grandes proyectos de obra pública con enfoque regional. </w:t>
      </w:r>
    </w:p>
    <w:p w14:paraId="21882A05"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Por otra parte, el sector externo se vio favorecido por la entrada de divisas proveniente de la Inversión Extranjera Directa (IED), así como de los niveles de las exportaciones manufactureras y petroleras, las cuales registraron </w:t>
      </w:r>
      <w:r w:rsidRPr="002615F9">
        <w:rPr>
          <w:rFonts w:ascii="Arial" w:hAnsi="Arial" w:cs="Arial"/>
          <w:sz w:val="18"/>
          <w:szCs w:val="18"/>
        </w:rPr>
        <w:lastRenderedPageBreak/>
        <w:t xml:space="preserve">niveles máximos históricos. Por otra parte, los flujos de remesas y los ingresos por turismo también registraron máximos históricos con los altos niveles de masa salarial de los migrantes mexicanos en EE.UU. y la llegada récord de visitantes internacionales. Todos estos factores continuaron impulsando a la economía nacional y los altos niveles de reservas internacionales. </w:t>
      </w:r>
    </w:p>
    <w:p w14:paraId="201A22D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Con información al primer bimestre del 2023, la actividad económica siguió en su senda de crecimiento. En particular, destacó el crecimiento del consumo en tiendas departamentales y de autoservicios, la venta de vehículos, la confianza del consumidor, los servicios relacionados al turismo, así como la moderación en la dinámica de la inflación y los costos de producción. Por ello, se anticipa que la demanda interna seguirá siendo el principal motor de la actividad económica en 2023. Asimismo, los niveles de la balanza comercial y los flujos de remesas en enero indicaron que el sector externo continuará con buen ritmo y apoyará al crecimiento económico del año.</w:t>
      </w:r>
    </w:p>
    <w:p w14:paraId="2082E26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términos sectoriales, las actividades primarias crecieron 2.8% anual en 2022 derivado de los incrementos de 3.6% en el sector agrícola y de 2.4% en la ganadería, lo cual más que compensó las caídas del aprovechamiento forestal (- 3.0%), pesca, caza y captura (- 3.9%) y servicios relacionados (- 11.1%). Las condiciones climatológicas explicaron el desempeño del sector en 2022: si bien a inicios se registraron mayores sequías respecto a las del año previo, en el segundo semestre dicha situación se normalizó y prevalecieron las mejores condiciones climatológicas.  </w:t>
      </w:r>
    </w:p>
    <w:p w14:paraId="7F85953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Respecto a las actividades secundarias, se registró un crecimiento de 3.3% anual en 2022 derivado de la contribución positiva de las manufacturas en 3.0 </w:t>
      </w:r>
      <w:proofErr w:type="spellStart"/>
      <w:r w:rsidRPr="002615F9">
        <w:rPr>
          <w:rFonts w:ascii="Arial" w:hAnsi="Arial" w:cs="Arial"/>
          <w:sz w:val="18"/>
          <w:szCs w:val="18"/>
        </w:rPr>
        <w:t>pp</w:t>
      </w:r>
      <w:proofErr w:type="spellEnd"/>
      <w:r w:rsidRPr="002615F9">
        <w:rPr>
          <w:rFonts w:ascii="Arial" w:hAnsi="Arial" w:cs="Arial"/>
          <w:sz w:val="18"/>
          <w:szCs w:val="18"/>
        </w:rPr>
        <w:t xml:space="preserve">, seguida de la energía eléctrica en 0.2 </w:t>
      </w:r>
      <w:proofErr w:type="spellStart"/>
      <w:r w:rsidRPr="002615F9">
        <w:rPr>
          <w:rFonts w:ascii="Arial" w:hAnsi="Arial" w:cs="Arial"/>
          <w:sz w:val="18"/>
          <w:szCs w:val="18"/>
        </w:rPr>
        <w:t>pp</w:t>
      </w:r>
      <w:proofErr w:type="spellEnd"/>
      <w:r w:rsidRPr="002615F9">
        <w:rPr>
          <w:rFonts w:ascii="Arial" w:hAnsi="Arial" w:cs="Arial"/>
          <w:sz w:val="18"/>
          <w:szCs w:val="18"/>
        </w:rPr>
        <w:t xml:space="preserve"> y de la construcción en 0.1 pp. En particular, destacaron las manufacturas de alimentos y bebidas; la fabricación de equipo de computación y otros aparatos electrónicos; la fabricación de equipo de transporte; la generación, transmisión y distribución de energía eléctrica; y la construcción de obra pública y los trabajos especializados en la construcción. </w:t>
      </w:r>
    </w:p>
    <w:p w14:paraId="5AC6ADC6"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Las actividades terciarias en 2022 crecieron 2.8% anual, principalmente, por la fuerte recuperación de los subsectores más afectados por la pandemia: los servicios de esparcimiento (50.8%), alojamiento y restaurantes (26.3%) y los servicios de transportes (11.4%). No obstante, a finales de 2022 los servicios de alojamiento y restaurantes continuaron con niveles por debajo de los observados antes de la pandemia. Por otra parte, el comercio al por mayor y por menor registraron alzas de 6.9 y 4.1%, respectivamente, los cuales desaceleraron su ritmo de crecimiento hacia finales de 2022. En cuanto a los servicios financieros, éstos apuntalaron su crecimiento hacia finales de 2022 por el componente de seguros, con lo que se aproximaron a sus niveles </w:t>
      </w:r>
      <w:proofErr w:type="spellStart"/>
      <w:r w:rsidRPr="002615F9">
        <w:rPr>
          <w:rFonts w:ascii="Arial" w:hAnsi="Arial" w:cs="Arial"/>
          <w:sz w:val="18"/>
          <w:szCs w:val="18"/>
        </w:rPr>
        <w:t>pre-pandemia</w:t>
      </w:r>
      <w:proofErr w:type="spellEnd"/>
      <w:r w:rsidRPr="002615F9">
        <w:rPr>
          <w:rFonts w:ascii="Arial" w:hAnsi="Arial" w:cs="Arial"/>
          <w:sz w:val="18"/>
          <w:szCs w:val="18"/>
        </w:rPr>
        <w:t xml:space="preserve"> en un 99.8%. </w:t>
      </w:r>
    </w:p>
    <w:p w14:paraId="4F62252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lo que respecta a 2023, durante enero, las actividades primarias tuvieron una disminución de 5.7% mensual, con cifras ajustadas por la estacionalidad, debido a la menor producción del sector agrícola por las mayores sequías en el país respecto a otros años. Al menos durante la primera mitad del 2023, y derivado de la presencia del fenómeno de La Niña, se estima que aumente la probabilidad de sequías en el país. De concretarse, el sector agrícola presentaría un menor dinamismo en el primer semestre de 2023 para posteriormente recuperar impulso hacia la segunda parte del año. Adicionalmente, un elemento que seguirá repercutiendo es la evolución de los precios al productor relacionados al sector, los cuales se prevén que continúen en desaceleración durante 2023. </w:t>
      </w:r>
    </w:p>
    <w:p w14:paraId="7681E113"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cuanto a las actividades secundarias, en enero de 2023 no se registró variación mensual, con cifras ajustadas por estacionalidad, derivado de la caída de 1.0 mensual en la construcción por los retrocesos en las obras de ingeniería civil (- 8.6%) y los trabajos especializados (- 7.5%). No obstante, el resto de los subsectores crecieron, siendo las manufacturas las de mayor incremento mensual (0.7%) por las alzas de 13 de 21 subsectores, dentro de los que destacan los alimentos y bebidas (2.1%), equipo y aparatos eléctricos (1.3%), la industria química (1.0%), y la fabricación de muebles (11.1%).</w:t>
      </w:r>
    </w:p>
    <w:p w14:paraId="1975832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Además, el sector que incluye la generación, transmisión y distribución de energía eléctrica, y el suministro de agua y gas creció 0.8% mensual por el componente eléctrico. Con respecto a la minería, ésta creció 0.2% mensual por el crecimiento de la extracción de petróleo y gas (1.3%) y de minerales metálicos y no metálicos (1.9%), así como por la caída en los servicios relacionados con la minería (- 2.2%). En lo que resta de 2023, se prevé que los siguientes elementos contribuyan al mayor dinamismo del sector de la construcción: la tendencia a la baja de los costos de materiales de construcción, los altos niveles de empleo formal, la confianza del consumidor acerca de posibilidades de compra o remodelación de vivienda, el crecimiento del crédito a la vivienda, los proyectos de obra </w:t>
      </w:r>
      <w:r w:rsidRPr="002615F9">
        <w:rPr>
          <w:rFonts w:ascii="Arial" w:hAnsi="Arial" w:cs="Arial"/>
          <w:sz w:val="18"/>
          <w:szCs w:val="18"/>
        </w:rPr>
        <w:lastRenderedPageBreak/>
        <w:t xml:space="preserve">pública y las construcciones en edificación para satisfacer la demanda de vivienda y de parques industriales por la relocalización de empresas, principalmente en el norte del país. </w:t>
      </w:r>
    </w:p>
    <w:p w14:paraId="4B1DD07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cuanto a la manufactura, se beneficiará de los menores costos de producción por parte de las empresas y el mayor abasto de insumos con la normalización de las cadenas globales de valor, así como la demanda nacional e internacional que continuará buscando satisfacerse en el mercado mexicano. Prueba de ello son los indicadores de sentimiento empresarial de las manufacturas en enero y febrero de 2023, los cuales mostraron que los empresarios anticipan que continuará el crecimiento del sector en buena parte del primer trimestre. </w:t>
      </w:r>
    </w:p>
    <w:p w14:paraId="1CA947B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Respecto al sector de energía, se espera que continúe su ritmo positivo por las intenciones de inversión que ascienden a un monto de alrededor de 1,400 millones de dólares, que de concretarse permitirían un crecimiento de 30% anual en la IED del sector. Adicionalmente, otro elemento positivo será el inicio de las operaciones comerciales de la planta fotovoltaica de Puerto Peñasco en Sonora en mayo de 2023 que suministrará energía eléctrica limpia. Para el caso de la minería, ésta prolongará su ritmo de crecimiento ya que la reactivación económica en China y la India para el 2023 podría traducirse en una mayor demanda de minerales metálicos y no metálicos con beneficios para los sectores mineros en países productores como México. </w:t>
      </w:r>
    </w:p>
    <w:p w14:paraId="6EE9A6F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Finalmente, las actividades terciarias aumentaron en 1.2% mensual en enero de 2023, con cifras ajustadas por estacionalidad, como consecuencia de los incrementos en seis de nueve subsectores. En particular, destacó el crecimiento de los servicios de transporte (4.5%), el comercio al por menor (2.4%) y los servicios de alojamiento (3.3%), los cuales crecieron por arriba de sus promedios históricos para dicho mes. Para lo que resta del año, el desempeño esperado estará apoyado principalmente de un mayor tráfico en las tiendas físicas dentro de los centros comerciales, un sólido mercado laboral, los altos niveles de confianza del consumidor y la desaceleración de la inflación y los costos de insumos.</w:t>
      </w:r>
    </w:p>
    <w:p w14:paraId="3B04DB2A"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 inicios de 2023, los indicadores relacionados al consumo privado prolongaron su desempeño positivo. En enero, con cifras ajustadas por estacionalidad, las ventas totales de la Asociación Nacional de Tiendas de Autoservicio y Departamentales (ANTAD) registraron un alza de 0.4% mensual, mientras que en febrero se observó un crecimiento de 0.1%, acumulando así tres meses continuos de crecimiento. Adicionalmente, en enero la confianza del consumidor aumentó 1.5 </w:t>
      </w:r>
      <w:proofErr w:type="spellStart"/>
      <w:r w:rsidRPr="002615F9">
        <w:rPr>
          <w:rFonts w:ascii="Arial" w:hAnsi="Arial" w:cs="Arial"/>
          <w:sz w:val="18"/>
          <w:szCs w:val="18"/>
        </w:rPr>
        <w:t>pp</w:t>
      </w:r>
      <w:proofErr w:type="spellEnd"/>
      <w:r w:rsidRPr="002615F9">
        <w:rPr>
          <w:rFonts w:ascii="Arial" w:hAnsi="Arial" w:cs="Arial"/>
          <w:sz w:val="18"/>
          <w:szCs w:val="18"/>
        </w:rPr>
        <w:t xml:space="preserve"> respecto al mes previo y presentó un mejor desempeño respecto a su promedio histórico (- 0.7 </w:t>
      </w:r>
      <w:proofErr w:type="spellStart"/>
      <w:r w:rsidRPr="002615F9">
        <w:rPr>
          <w:rFonts w:ascii="Arial" w:hAnsi="Arial" w:cs="Arial"/>
          <w:sz w:val="18"/>
          <w:szCs w:val="18"/>
        </w:rPr>
        <w:t>pp</w:t>
      </w:r>
      <w:proofErr w:type="spellEnd"/>
      <w:r w:rsidRPr="002615F9">
        <w:rPr>
          <w:rFonts w:ascii="Arial" w:hAnsi="Arial" w:cs="Arial"/>
          <w:sz w:val="18"/>
          <w:szCs w:val="18"/>
        </w:rPr>
        <w:t xml:space="preserve">). Mientras que, en febrero, la confianza aumentó en 0.5 </w:t>
      </w:r>
      <w:proofErr w:type="spellStart"/>
      <w:r w:rsidRPr="002615F9">
        <w:rPr>
          <w:rFonts w:ascii="Arial" w:hAnsi="Arial" w:cs="Arial"/>
          <w:sz w:val="18"/>
          <w:szCs w:val="18"/>
        </w:rPr>
        <w:t>pp</w:t>
      </w:r>
      <w:proofErr w:type="spellEnd"/>
      <w:r w:rsidRPr="002615F9">
        <w:rPr>
          <w:rFonts w:ascii="Arial" w:hAnsi="Arial" w:cs="Arial"/>
          <w:sz w:val="18"/>
          <w:szCs w:val="18"/>
        </w:rPr>
        <w:t xml:space="preserve">, sumando seis meses de crecimientos continuos. Para lo que resta del año, se prevé que el consumo privado continúe impulsando a la demanda agregada y contribuyendo positivamente a la actividad económica. Lo anterior se explica por los sólidos fundamentales del consumo privado, dentro de los que destacan los crecimientos de la masa salarial en México, una menor inflación, mayores niveles de confianza del consumidor y un tipo de cambio más apreciado. Adicionalmente, derivado de la normalización de las cadenas de suministros, habrá una mayor disponibilidad de bienes como es el caso de automóviles. </w:t>
      </w:r>
    </w:p>
    <w:p w14:paraId="17B4AF45"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cuanto a la inversión, en 2023 se espera que continúe el buen ritmo, principalmente explicado por un mejor desempeño en el componente de equipo de transporte en la medida que se incremente la disponibilidad de componentes para la fabricación de automóviles. Asimismo, los menores precios de los materiales de la construcción, el mayor abastecimiento de insumos, la relocalización de empresas que demandará vivienda y naves industriales, y la próxima finalización de algunas obras públicas, serán elementos positivos para que aumente la inversión en la construcción. En 2023, con información de la ENOE, al cierre de enero se crearon un total de 2.8 millones de empleos respecto al mismo mes de 2022 y se observó un incremento mensual de 409 mil personas. La mayor contribución del crecimiento mensual provino del sector formal, al aumentar en 236 mil mensuales, por lo que la tasa de informalidad laboral no registró cambios relevantes respecto al año previo (54.8%). </w:t>
      </w:r>
    </w:p>
    <w:p w14:paraId="711B0E85"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Los sectores que presentaron mayor crecimiento mensual fueron el agropecuario (352 mil), el comercio (279 mil), el gobierno y organismos internacionales (222 mil), los servicios diversos (160 mil), y las manufacturas (45 mil).  Por su parte, la tasa de participación se ubicó en 60.3%, resultado superior al promedio de 2022 (59.7%). Otro indicador positivo fue la tasa de desempleo que se situó en 3.0% durante enero de 2023, el nivel más bajo para un mismo mes desde que se tiene registro. Adicionalmente, la tasa de subocupación se encontró en 7.7%, inferior en 0.6 </w:t>
      </w:r>
      <w:proofErr w:type="spellStart"/>
      <w:r w:rsidRPr="002615F9">
        <w:rPr>
          <w:rFonts w:ascii="Arial" w:hAnsi="Arial" w:cs="Arial"/>
          <w:sz w:val="18"/>
          <w:szCs w:val="18"/>
        </w:rPr>
        <w:t>pp</w:t>
      </w:r>
      <w:proofErr w:type="spellEnd"/>
      <w:r w:rsidRPr="002615F9">
        <w:rPr>
          <w:rFonts w:ascii="Arial" w:hAnsi="Arial" w:cs="Arial"/>
          <w:sz w:val="18"/>
          <w:szCs w:val="18"/>
        </w:rPr>
        <w:t xml:space="preserve"> a la tasa promedio de 2022. Finalmente, la población disponible disminuyó en 159 mil respecto al mes anterior, por lo que su nivel se encuentra por debajo de los niveles previos a la pandemia, cerca de medio millón.</w:t>
      </w:r>
    </w:p>
    <w:p w14:paraId="0FD7787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información del IMSS, el número de plazas de trabajo aumentó en 49 mil en enero y 74 mil en febrero, con cifras ajustadas por estacionalidad. Así, a febrero de 2023, el número de afiliados al IMSS creció en 122 mil, lo </w:t>
      </w:r>
      <w:r w:rsidRPr="002615F9">
        <w:rPr>
          <w:rFonts w:ascii="Arial" w:hAnsi="Arial" w:cs="Arial"/>
          <w:sz w:val="18"/>
          <w:szCs w:val="18"/>
        </w:rPr>
        <w:lastRenderedPageBreak/>
        <w:t>cual se encuentra por arriba de su promedio histórico en cerca de 20 mil plazas. Por sectores, destacaron los servicios de empresas y hogares (54 mil), comercio (35 mil) y la industria manufacturera (26 mil). Los salarios reales registraron una tendencia positiva en los primeros meses de 2023, lo cual podría prolongarse hacia adelante en la medida que continúe la desaceleración de la inflación. Por un lado, los salarios promedio reales del IMSS en 2023, subieron 3.1% anual en enero y 3.3% anual en febrero. Mientras tanto, los ingresos laborales del empleo total registrados en la ENOE mostraron un alza anual de 2.9% en enero. Adicionalmente, los salarios contractuales de jurisdicción federal registraron un incremento anual real de 2.9% en enero y 0.7% en febrero.</w:t>
      </w:r>
    </w:p>
    <w:p w14:paraId="234A050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Derivado de lo anterior, se observa que el mercado laboral prolongó su tendencia positiva a inicios de 2023, lo cual seguirá contribuyendo al buen ritmo de la demanda interna. Para lo que resta de 2023, derivado de la perspectiva positiva para la actividad económica (ver la sección III para mayor detalle), se prevé que la creación de empleos formales registrados en el IMSS oscile entre 600 y 700 mil. En particular, sectores como el de la construcción, manufacturas y servicios se verán favorecidos. Finalmente, se prevé que continúen las mejores condiciones laborales como consecuencia del aumento del salario mínimo de 20% en 2023, la implementación de políticas públicas para tener un mercado laboral más incluyente para cerrar las brechas salariales en materia de género, la mayor demanda laboral con la relocalización de empresas y las menores presiones inflacionarias. Asimismo, en mayo de 2023 entrará en vigor la ley que hace obligatoria la incorporación de personas trabajadoras del hogar al IMSS. Al respecto, se tienen identificadas más de dos millones de personas que podrían afiliarse en los siguientes dos años para cumplir con dicho requisito.</w:t>
      </w:r>
    </w:p>
    <w:p w14:paraId="6F6F0E2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los primeros meses del 2023, se observó un menor ritmo inflacionario en diversos genéricos y un patrón regular de alzas en otros genéricos por las revisiones anuales de algunos servicios y tarifas del gobierno, así como la estacionalidad de algunas frutas y verduras. En enero, la inflación general se ubicó en 0.7% mensual derivado del alza del componente subyacente en 0.7% mensual, principalmente, por bebidas como refrescos y algunas alcohólicas, así como del no subyacente de 0.6% mensual, principalmente, por algunos agropecuarios, las tarifas del gobierno y la electricidad. No obstante, disminuyó el ritmo de inflación en alimentos como la tortilla de maíz, el pan dulce y la leche, así como en servicios de telefonía móvil y restaurantes. En febrero, la inflación general se situó en 0.6% respecto al mes anterior, aunque mostró una menor inflación en el componente subyacente (0.6% mensual) por la tortilla de maíz, aceites vegetales y pollo rostizado, así como los servicios de loncherías, fondas y torterías; mientras que el componente no subyacente se situó en 0.4% mensual, principalmente, por una disminución en la inflación de algunas frutas y verduras, así como energéticos como el gas LP y la gasolina.</w:t>
      </w:r>
    </w:p>
    <w:p w14:paraId="3287486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 información más reciente muestra que en los primeros dos meses de 2023, el comercio exterior mostró signos de mejoría respecto a los últimos meses de 2022, en línea con el ligero repunte de la producción manufacturera en EE.UU. Así, con datos ajustados por estacionalidad, el valor de las exportaciones manufactureras se incrementó 1.4% en el primer bimestre de 2023 respecto al último bimestre del año previo; en su interior, el valor de las exportaciones automotrices creció 1.5%, mientras que el de las no automotrices aumentó 1.4% bimestral. Por su parte, las exportaciones petroleras crecieron 0.8% respecto al bimestre anterior. En cuanto al valor de las importaciones totales, éste registró un alza de 3.8% bimestral, con cifras ajustadas por estacionalidad. En particular, las no petroleras crecieron 2.6% en el primer bimestre de 2023; por rubro, los bienes de consumo, los intermedios y de capital crecieron 16.7%, 0.3% y 5.6% con respecto al bimestre previo. Por su parte, las petroleras crecieron 15.2% bimestral derivado de los recientes aumentos en los precios del gas. Al considerar lo anterior, en lo que resta del año se espera que el comercio exterior mantenga un ritmo de crecimiento positivo. </w:t>
      </w:r>
    </w:p>
    <w:p w14:paraId="4EAEAF67"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Por otra parte, en enero de 2023, los ingresos por remesas registraron un crecimiento anual de 12.5% y, con cifras ajustadas por estacionalidad, un retroceso mensual de 1.5%. Derivado de lo anterior, se prevé que a lo largo del año se registre una moderación de las remesas, pero también que se ubiquen en niveles elevados en la medida que se mantenga la fortaleza del mercado laboral en EE.UU. Respecto al ingreso por viajeros internacionales, en enero de 2023, éste aumentó 0.9% mensual como consecuencia de la continua llegada de turistas. Se prevé que, durante 2023, estos flujos mantengan una tendencia creciente por los ahorros de las familias en el mundo y particularmente de EE.UU., derivados de dos años de contingencia sanitaria y estímulos fiscales, así como de la alta demanda por viajes. Así, se prevé que en 2023 el sector turístico mantenga la tendencia creciente que ha superado los niveles previos a la pandemia. </w:t>
      </w:r>
    </w:p>
    <w:p w14:paraId="78C3E82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todo lo anterior, se prevé que en 2023 la cuenta corriente presente un saldo deficitario moderado, financiado en su mayor parte por la esperada entrada de recursos del exterior en la cuenta financiera. Esto último es derivado de que se tienen registrados anuncios de inversión que podrían materializarse en 2023 por un monto de alrededor de 9 mil 130 millones de dólares, impulsados principalmente por las ventajas competitivas de México y la </w:t>
      </w:r>
      <w:r w:rsidRPr="002615F9">
        <w:rPr>
          <w:rFonts w:ascii="Arial" w:hAnsi="Arial" w:cs="Arial"/>
          <w:sz w:val="18"/>
          <w:szCs w:val="18"/>
        </w:rPr>
        <w:lastRenderedPageBreak/>
        <w:t>relocalización de empresas. Tan sólo Tesla, una empresa de automóviles eléctricos, invertirá entre 5 y 10 mil millones de dólares en nuestro país.</w:t>
      </w:r>
    </w:p>
    <w:p w14:paraId="64B1A67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w:t>
      </w:r>
    </w:p>
    <w:p w14:paraId="07B35D6A" w14:textId="77777777" w:rsid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Durante el trimestre julio-septiembre de 2022, a tasa trimestral y con cifras ajustadas estacionalmente, las entidades federativas que mostraron los aumentos más pronunciados en su actividad económica fueron: Baja California Sur, Oaxaca, Sinaloa, Nayarit y Tlaxcala. En el tercer trimestre de 2022, a tasa anual y con cifras desestacionalizadas, reportaron los avances más significativos en su actividad económica: Hidalgo, Jalisco, Baja California Sur, Chiapas, Tabasco y Puebla.</w:t>
      </w:r>
    </w:p>
    <w:p w14:paraId="0CC53A4F" w14:textId="055AAC51" w:rsidR="008C1333" w:rsidRDefault="008C1333"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mc:AlternateContent>
          <mc:Choice Requires="wps">
            <w:drawing>
              <wp:anchor distT="0" distB="0" distL="114300" distR="114300" simplePos="0" relativeHeight="251705344" behindDoc="0" locked="0" layoutInCell="1" allowOverlap="1" wp14:anchorId="17294ACF" wp14:editId="08F07A76">
                <wp:simplePos x="0" y="0"/>
                <wp:positionH relativeFrom="margin">
                  <wp:posOffset>3073400</wp:posOffset>
                </wp:positionH>
                <wp:positionV relativeFrom="paragraph">
                  <wp:posOffset>3161030</wp:posOffset>
                </wp:positionV>
                <wp:extent cx="147955" cy="52705"/>
                <wp:effectExtent l="19050" t="38100" r="61595" b="61595"/>
                <wp:wrapNone/>
                <wp:docPr id="51" name="Flecha: a la derecha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9F2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1" o:spid="_x0000_s1026" type="#_x0000_t13" style="position:absolute;margin-left:242pt;margin-top:248.9pt;width:11.65pt;height:4.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" adj="13194" fillcolor="red" strokecolor="red" strokeweight="3pt">
                <v:shadow on="t" color="#823b0b" opacity=".5" offset="1pt"/>
                <w10:wrap anchorx="margin"/>
              </v:shape>
            </w:pict>
          </mc:Fallback>
        </mc:AlternateContent>
      </w:r>
      <w:r w:rsidRPr="002615F9">
        <w:rPr>
          <w:rFonts w:ascii="Arial" w:hAnsi="Arial" w:cs="Arial"/>
          <w:noProof/>
          <w:sz w:val="18"/>
          <w:szCs w:val="18"/>
          <w:lang w:eastAsia="es-MX"/>
        </w:rPr>
        <mc:AlternateContent>
          <mc:Choice Requires="wps">
            <w:drawing>
              <wp:anchor distT="0" distB="0" distL="114300" distR="114300" simplePos="0" relativeHeight="251703296" behindDoc="0" locked="0" layoutInCell="1" allowOverlap="1" wp14:anchorId="5081B5F5" wp14:editId="5DE75FBC">
                <wp:simplePos x="0" y="0"/>
                <wp:positionH relativeFrom="margin">
                  <wp:posOffset>4540250</wp:posOffset>
                </wp:positionH>
                <wp:positionV relativeFrom="paragraph">
                  <wp:posOffset>3249930</wp:posOffset>
                </wp:positionV>
                <wp:extent cx="147955" cy="52705"/>
                <wp:effectExtent l="19050" t="38100" r="61595" b="61595"/>
                <wp:wrapNone/>
                <wp:docPr id="50" name="Flecha: a la derecha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6E089" id="Flecha: a la derecha 50" o:spid="_x0000_s1026" type="#_x0000_t13" style="position:absolute;margin-left:357.5pt;margin-top:255.9pt;width:11.65pt;height:4.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" adj="13194" fillcolor="red" strokecolor="red" strokeweight="3pt">
                <v:shadow on="t" color="#823b0b" opacity=".5" offset="1pt"/>
                <w10:wrap anchorx="margin"/>
              </v:shape>
            </w:pict>
          </mc:Fallback>
        </mc:AlternateContent>
      </w:r>
      <w:r w:rsidRPr="002615F9">
        <w:rPr>
          <w:rFonts w:ascii="Arial" w:hAnsi="Arial" w:cs="Arial"/>
          <w:noProof/>
          <w:sz w:val="18"/>
          <w:szCs w:val="18"/>
          <w:lang w:eastAsia="es-MX"/>
        </w:rPr>
        <mc:AlternateContent>
          <mc:Choice Requires="wps">
            <w:drawing>
              <wp:anchor distT="0" distB="0" distL="114300" distR="114300" simplePos="0" relativeHeight="251701248" behindDoc="0" locked="0" layoutInCell="1" allowOverlap="1" wp14:anchorId="0BA094DF" wp14:editId="13028F43">
                <wp:simplePos x="0" y="0"/>
                <wp:positionH relativeFrom="margin">
                  <wp:posOffset>69850</wp:posOffset>
                </wp:positionH>
                <wp:positionV relativeFrom="paragraph">
                  <wp:posOffset>3402330</wp:posOffset>
                </wp:positionV>
                <wp:extent cx="147955" cy="52705"/>
                <wp:effectExtent l="19050" t="38100" r="61595" b="61595"/>
                <wp:wrapNone/>
                <wp:docPr id="47" name="Flecha: a la derecha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C83CD" id="Flecha: a la derecha 47" o:spid="_x0000_s1026" type="#_x0000_t13" style="position:absolute;margin-left:5.5pt;margin-top:267.9pt;width:11.65pt;height:4.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" adj="13194" fillcolor="red" strokecolor="red" strokeweight="3pt">
                <v:shadow on="t" color="#823b0b" opacity=".5" offset="1pt"/>
                <w10:wrap anchorx="margin"/>
              </v:shape>
            </w:pict>
          </mc:Fallback>
        </mc:AlternateContent>
      </w:r>
      <w:r w:rsidR="002615F9" w:rsidRPr="002615F9">
        <w:rPr>
          <w:rFonts w:ascii="Arial" w:hAnsi="Arial" w:cs="Arial"/>
          <w:noProof/>
          <w:sz w:val="18"/>
          <w:szCs w:val="18"/>
          <w:lang w:eastAsia="es-MX"/>
        </w:rPr>
        <w:drawing>
          <wp:inline distT="0" distB="0" distL="0" distR="0" wp14:anchorId="5BB1FBDF" wp14:editId="0255FC6E">
            <wp:extent cx="2635439" cy="40830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35815" t="12502" r="35440" b="8344"/>
                    <a:stretch>
                      <a:fillRect/>
                    </a:stretch>
                  </pic:blipFill>
                  <pic:spPr bwMode="auto">
                    <a:xfrm>
                      <a:off x="0" y="0"/>
                      <a:ext cx="2643580" cy="4095662"/>
                    </a:xfrm>
                    <a:prstGeom prst="rect">
                      <a:avLst/>
                    </a:prstGeom>
                    <a:noFill/>
                    <a:ln>
                      <a:noFill/>
                    </a:ln>
                  </pic:spPr>
                </pic:pic>
              </a:graphicData>
            </a:graphic>
          </wp:inline>
        </w:drawing>
      </w:r>
      <w:r w:rsidR="002615F9" w:rsidRPr="002615F9">
        <w:rPr>
          <w:rFonts w:ascii="Arial" w:hAnsi="Arial" w:cs="Arial"/>
          <w:noProof/>
          <w:sz w:val="18"/>
          <w:szCs w:val="18"/>
          <w:lang w:eastAsia="es-MX"/>
        </w:rPr>
        <w:drawing>
          <wp:inline distT="0" distB="0" distL="0" distR="0" wp14:anchorId="5E71187B" wp14:editId="100E4E1B">
            <wp:extent cx="2940050" cy="393149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29718" t="18117" r="29469" b="8284"/>
                    <a:stretch>
                      <a:fillRect/>
                    </a:stretch>
                  </pic:blipFill>
                  <pic:spPr bwMode="auto">
                    <a:xfrm>
                      <a:off x="0" y="0"/>
                      <a:ext cx="2954905" cy="3951355"/>
                    </a:xfrm>
                    <a:prstGeom prst="rect">
                      <a:avLst/>
                    </a:prstGeom>
                    <a:noFill/>
                    <a:ln>
                      <a:noFill/>
                    </a:ln>
                  </pic:spPr>
                </pic:pic>
              </a:graphicData>
            </a:graphic>
          </wp:inline>
        </w:drawing>
      </w:r>
    </w:p>
    <w:p w14:paraId="5BE61FF6" w14:textId="0C96B5B3"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w:t>
      </w:r>
      <w:proofErr w:type="gramStart"/>
      <w:r w:rsidRPr="002615F9">
        <w:rPr>
          <w:rFonts w:ascii="Arial" w:hAnsi="Arial" w:cs="Arial"/>
          <w:sz w:val="18"/>
          <w:szCs w:val="18"/>
        </w:rPr>
        <w:t>ésta</w:t>
      </w:r>
      <w:proofErr w:type="gramEnd"/>
      <w:r w:rsidRPr="002615F9">
        <w:rPr>
          <w:rFonts w:ascii="Arial" w:hAnsi="Arial" w:cs="Arial"/>
          <w:sz w:val="18"/>
          <w:szCs w:val="18"/>
        </w:rPr>
        <w:t xml:space="preserve"> industria, continúe con su dinamismo en el mediano plazo.</w:t>
      </w:r>
    </w:p>
    <w:p w14:paraId="0DD672C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Durante el tercer trimestre de 2022, el Indicador Trimestral de la Actividad Económica Estatal (ITAEE), muestra que el Estado de Tlaxcala ha tenido un crecimiento mixto, en relación al trimestre anterior y al mismo periodo de 2021; con una variación del 0.4%, destacándose la aportación del sector terciario con un 3.2% a tasa anualizada.</w:t>
      </w:r>
    </w:p>
    <w:p w14:paraId="16013C2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A tasa anual y con series ajustadas por estacionalidad, los estados que reportaron los crecimientos más significativos en el tercer respecto al trimestre anterior fueron: Baja California Sur, Oaxaca, Sinaloa, Nayarit y Tlaxcala.</w:t>
      </w:r>
    </w:p>
    <w:p w14:paraId="3F11835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el tercer trimestre de 2022 y a tasa anual, la variación nacional del total de la economía 21 entidades reportaron variaciones positivas. Dos más no reportaron movimiento alguno y las nueve restantes retrocedieron. Jalisco, </w:t>
      </w:r>
      <w:r w:rsidRPr="002615F9">
        <w:rPr>
          <w:rFonts w:ascii="Arial" w:hAnsi="Arial" w:cs="Arial"/>
          <w:sz w:val="18"/>
          <w:szCs w:val="18"/>
        </w:rPr>
        <w:lastRenderedPageBreak/>
        <w:t>Chihuahua y Sinaloa fueron los estados con los ascensos más pronunciados. Jalisco y Chihuahua contribuyeron, en mayor medida, a la recuperación de la economía en el periodo de estudio.</w:t>
      </w:r>
    </w:p>
    <w:p w14:paraId="2919627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el tercer trimestre de 2022, las Actividades Secundarias sin minería petrolera mostró incrementos en 19 entidades federativas y las trece restantes tuvieron una disminución en el periodo de estudio o se mantuvieron sin cambios. Los aumentos más importantes se dieron en Jalisco con 0.67%, así como en Puebla con 0.51% y Guanajuato con 0.37%. Los estados que más influyeron en la variación del nacional fueron: Jalisco y Puebla.</w:t>
      </w:r>
    </w:p>
    <w:p w14:paraId="11ADD61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El Gobierno del Estado considera prioritaria una estrategia de inclusión social con perspectiva de género, por lo que la atención de los derechos de las niñas, niños y adolescentes de 0 a 5 años y adolescentes hasta los 18 años es fundamental, pues con estas acciones se previenen posibles rezagos y desigualdades en este sector de la población, para lo cual se incorporarán propuestas y estrategias de desarrollo con perspectiva de género.</w:t>
      </w:r>
    </w:p>
    <w:p w14:paraId="165977C6"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Al mes de febrero de 2023 la tasa de ocupación reflejó una participación del 0.51% al total nacional, presentando un incremento de 2,235, puestos de trabajo permanentes respecto a diciembre de 2022. Al mes de febrero de 2023, se tienen registrados 112,119 trabajadores asegurados en el IMSS, tal y como se muestra en los cuadros siguientes:</w:t>
      </w:r>
    </w:p>
    <w:p w14:paraId="01549BE8" w14:textId="77777777" w:rsidR="002615F9" w:rsidRPr="002615F9" w:rsidRDefault="002615F9" w:rsidP="002615F9">
      <w:pPr>
        <w:tabs>
          <w:tab w:val="left" w:pos="284"/>
        </w:tabs>
        <w:ind w:left="284"/>
        <w:jc w:val="both"/>
        <w:rPr>
          <w:rFonts w:ascii="Arial" w:hAnsi="Arial" w:cs="Arial"/>
          <w:sz w:val="18"/>
          <w:szCs w:val="18"/>
        </w:rPr>
      </w:pPr>
    </w:p>
    <w:p w14:paraId="25EDD6DE" w14:textId="7E210DFB" w:rsidR="002615F9" w:rsidRDefault="002615F9" w:rsidP="008C1333">
      <w:pPr>
        <w:tabs>
          <w:tab w:val="left" w:pos="284"/>
        </w:tabs>
        <w:ind w:left="284"/>
        <w:jc w:val="center"/>
        <w:rPr>
          <w:rFonts w:ascii="Arial" w:hAnsi="Arial" w:cs="Arial"/>
          <w:sz w:val="18"/>
          <w:szCs w:val="18"/>
        </w:rPr>
      </w:pPr>
      <w:r w:rsidRPr="002615F9">
        <w:rPr>
          <w:rFonts w:ascii="Arial" w:hAnsi="Arial" w:cs="Arial"/>
          <w:noProof/>
          <w:sz w:val="18"/>
          <w:szCs w:val="18"/>
          <w:lang w:eastAsia="es-MX"/>
        </w:rPr>
        <w:drawing>
          <wp:inline distT="0" distB="0" distL="0" distR="0" wp14:anchorId="0362A0A8" wp14:editId="2D276AA6">
            <wp:extent cx="5943600" cy="5480050"/>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5438" t="23486" r="26950" b="11850"/>
                    <a:stretch>
                      <a:fillRect/>
                    </a:stretch>
                  </pic:blipFill>
                  <pic:spPr bwMode="auto">
                    <a:xfrm>
                      <a:off x="0" y="0"/>
                      <a:ext cx="5943600" cy="5480050"/>
                    </a:xfrm>
                    <a:prstGeom prst="rect">
                      <a:avLst/>
                    </a:prstGeom>
                    <a:noFill/>
                    <a:ln>
                      <a:noFill/>
                    </a:ln>
                  </pic:spPr>
                </pic:pic>
              </a:graphicData>
            </a:graphic>
          </wp:inline>
        </w:drawing>
      </w:r>
    </w:p>
    <w:p w14:paraId="3349B81E" w14:textId="77777777" w:rsidR="008C1333" w:rsidRDefault="008C1333" w:rsidP="008C1333">
      <w:pPr>
        <w:tabs>
          <w:tab w:val="left" w:pos="284"/>
        </w:tabs>
        <w:ind w:left="284"/>
        <w:jc w:val="center"/>
        <w:rPr>
          <w:rFonts w:ascii="Arial" w:hAnsi="Arial" w:cs="Arial"/>
          <w:sz w:val="18"/>
          <w:szCs w:val="18"/>
        </w:rPr>
      </w:pPr>
    </w:p>
    <w:p w14:paraId="7A14F8CC" w14:textId="77777777" w:rsidR="008C1333" w:rsidRPr="002615F9" w:rsidRDefault="008C1333" w:rsidP="008C1333">
      <w:pPr>
        <w:tabs>
          <w:tab w:val="left" w:pos="284"/>
        </w:tabs>
        <w:ind w:left="284"/>
        <w:jc w:val="center"/>
        <w:rPr>
          <w:rFonts w:ascii="Arial" w:hAnsi="Arial" w:cs="Arial"/>
          <w:sz w:val="18"/>
          <w:szCs w:val="18"/>
        </w:rPr>
      </w:pPr>
    </w:p>
    <w:p w14:paraId="3058D659" w14:textId="5ACADA02"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w:drawing>
          <wp:inline distT="0" distB="0" distL="0" distR="0" wp14:anchorId="79B9FF28" wp14:editId="2886E9FA">
            <wp:extent cx="5943600" cy="4354830"/>
            <wp:effectExtent l="0" t="0" r="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4431" t="20815" r="25525" b="13867"/>
                    <a:stretch>
                      <a:fillRect/>
                    </a:stretch>
                  </pic:blipFill>
                  <pic:spPr bwMode="auto">
                    <a:xfrm>
                      <a:off x="0" y="0"/>
                      <a:ext cx="5943600" cy="4354830"/>
                    </a:xfrm>
                    <a:prstGeom prst="rect">
                      <a:avLst/>
                    </a:prstGeom>
                    <a:noFill/>
                    <a:ln>
                      <a:noFill/>
                    </a:ln>
                  </pic:spPr>
                </pic:pic>
              </a:graphicData>
            </a:graphic>
          </wp:inline>
        </w:drawing>
      </w:r>
    </w:p>
    <w:p w14:paraId="5B23CF3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De acuerdo al Directorio Estadístico Nacional de Unidades Económicas, Tlaxcala cuenta con 82,520 Unidades Económicas al mes de marzo de 2023, en los rubros siguientes:</w:t>
      </w:r>
    </w:p>
    <w:p w14:paraId="07D04523" w14:textId="3148FE69" w:rsidR="002615F9" w:rsidRPr="002615F9" w:rsidRDefault="002615F9" w:rsidP="008C1333">
      <w:pPr>
        <w:tabs>
          <w:tab w:val="left" w:pos="284"/>
        </w:tabs>
        <w:ind w:left="284"/>
        <w:jc w:val="center"/>
        <w:rPr>
          <w:rFonts w:ascii="Arial" w:hAnsi="Arial" w:cs="Arial"/>
          <w:sz w:val="18"/>
          <w:szCs w:val="18"/>
        </w:rPr>
      </w:pPr>
      <w:r w:rsidRPr="002615F9">
        <w:rPr>
          <w:rFonts w:ascii="Arial" w:hAnsi="Arial" w:cs="Arial"/>
          <w:noProof/>
          <w:sz w:val="18"/>
          <w:szCs w:val="18"/>
          <w:lang w:eastAsia="es-MX"/>
        </w:rPr>
        <w:drawing>
          <wp:inline distT="0" distB="0" distL="0" distR="0" wp14:anchorId="6F7E8F39" wp14:editId="5414279E">
            <wp:extent cx="2660650" cy="2981325"/>
            <wp:effectExtent l="0" t="0" r="635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3442" cy="2984454"/>
                    </a:xfrm>
                    <a:prstGeom prst="rect">
                      <a:avLst/>
                    </a:prstGeom>
                    <a:noFill/>
                    <a:ln>
                      <a:noFill/>
                    </a:ln>
                  </pic:spPr>
                </pic:pic>
              </a:graphicData>
            </a:graphic>
          </wp:inline>
        </w:drawing>
      </w:r>
    </w:p>
    <w:p w14:paraId="5BF8FFAB" w14:textId="77777777" w:rsidR="002615F9" w:rsidRPr="002615F9" w:rsidRDefault="002615F9" w:rsidP="008C1333">
      <w:pPr>
        <w:ind w:left="2694"/>
        <w:rPr>
          <w:rFonts w:ascii="Arial" w:hAnsi="Arial" w:cs="Arial"/>
          <w:sz w:val="18"/>
          <w:szCs w:val="18"/>
        </w:rPr>
      </w:pPr>
      <w:r w:rsidRPr="008C1333">
        <w:rPr>
          <w:rFonts w:ascii="Arial" w:hAnsi="Arial" w:cs="Arial"/>
          <w:sz w:val="14"/>
          <w:szCs w:val="14"/>
        </w:rPr>
        <w:t>FUENTE: INEGI. DENUE. Marzo 2023.</w:t>
      </w:r>
    </w:p>
    <w:p w14:paraId="7A75268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Lo que representa una participación del 1.5% del Estado en el total nacional. Al cuarto trimestre de 2022 la Población Económicamente Activa (PEA) ascendió a 648,539 personas, representando el 61.1% de la población en edad de trabajar. Del total de la PEA, el 96.6% está ocupada y el 3.4% se encuentra desocupada.</w:t>
      </w:r>
    </w:p>
    <w:p w14:paraId="7EE8DA2C" w14:textId="08F2EA8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w:drawing>
          <wp:inline distT="0" distB="0" distL="0" distR="0" wp14:anchorId="65497AE9" wp14:editId="5ED7AE97">
            <wp:extent cx="5943600" cy="36766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25018" t="20134" r="26070" b="14549"/>
                    <a:stretch>
                      <a:fillRect/>
                    </a:stretch>
                  </pic:blipFill>
                  <pic:spPr bwMode="auto">
                    <a:xfrm>
                      <a:off x="0" y="0"/>
                      <a:ext cx="5943600" cy="3676650"/>
                    </a:xfrm>
                    <a:prstGeom prst="rect">
                      <a:avLst/>
                    </a:prstGeom>
                    <a:noFill/>
                    <a:ln>
                      <a:noFill/>
                    </a:ln>
                  </pic:spPr>
                </pic:pic>
              </a:graphicData>
            </a:graphic>
          </wp:inline>
        </w:drawing>
      </w:r>
    </w:p>
    <w:p w14:paraId="4606D62D" w14:textId="7930FD56"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w:drawing>
          <wp:inline distT="0" distB="0" distL="0" distR="0" wp14:anchorId="4EFD2A90" wp14:editId="60A6293F">
            <wp:extent cx="5943600" cy="42291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27429" t="21939" r="26651" b="14903"/>
                    <a:stretch>
                      <a:fillRect/>
                    </a:stretch>
                  </pic:blipFill>
                  <pic:spPr bwMode="auto">
                    <a:xfrm>
                      <a:off x="0" y="0"/>
                      <a:ext cx="5943600" cy="4229100"/>
                    </a:xfrm>
                    <a:prstGeom prst="rect">
                      <a:avLst/>
                    </a:prstGeom>
                    <a:noFill/>
                    <a:ln>
                      <a:noFill/>
                    </a:ln>
                  </pic:spPr>
                </pic:pic>
              </a:graphicData>
            </a:graphic>
          </wp:inline>
        </w:drawing>
      </w:r>
    </w:p>
    <w:p w14:paraId="0F53507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El año 2020 marcó el inicio de una década de acción ambiciosa a fin de alcanzar los objetivos para el 2030, por lo que en nuestro Estado conscientes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 e internacional identificando las oportunidades de una economía globalizada y aprovecharlas, dado que se presentan mayores complejidades.</w:t>
      </w:r>
    </w:p>
    <w:p w14:paraId="65CD38D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Al cuarto trimestre de 2022, la Inversión Extranjera Directa Acumulada del año 1999 al mes de diciembre de 2022 en el Estado de Tlaxcala fue de 3,947.5 millones de dólares, lo que representó un aporte del 0.58 % al total nacional, instalándose empresas de diversas nacionalidades, tal y como se observa en el cuadro comparativo siguiente:</w:t>
      </w:r>
    </w:p>
    <w:p w14:paraId="114B0BD8" w14:textId="59944165"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w:drawing>
          <wp:inline distT="0" distB="0" distL="0" distR="0" wp14:anchorId="6156C20F" wp14:editId="63AF5D1E">
            <wp:extent cx="5943600" cy="31305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130550"/>
                    </a:xfrm>
                    <a:prstGeom prst="rect">
                      <a:avLst/>
                    </a:prstGeom>
                    <a:noFill/>
                    <a:ln>
                      <a:noFill/>
                    </a:ln>
                  </pic:spPr>
                </pic:pic>
              </a:graphicData>
            </a:graphic>
          </wp:inline>
        </w:drawing>
      </w:r>
    </w:p>
    <w:p w14:paraId="5DC4673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 economía del Estado es débil en relación con otras Entidades Federativas, lo que limita su capacidad de generación de ingresos de la base fiscal regional; se espera que la recuperación en las actividades productivas del Estado sea gradual en el ejercicio 2023, derivado de la crisis sanitaria ocasionada por el COVID-19 y por las expectativas a la baja en el precio de los energéticos. Para promover la normalización de las actividades económicas, el Gobierno del Estado ha llevado a cabo una serie de acciones, entre las que encontramos una mayor promoción de la inversión pública y </w:t>
      </w:r>
      <w:proofErr w:type="gramStart"/>
      <w:r w:rsidRPr="002615F9">
        <w:rPr>
          <w:rFonts w:ascii="Arial" w:hAnsi="Arial" w:cs="Arial"/>
          <w:sz w:val="18"/>
          <w:szCs w:val="18"/>
        </w:rPr>
        <w:t>privada</w:t>
      </w:r>
      <w:proofErr w:type="gramEnd"/>
      <w:r w:rsidRPr="002615F9">
        <w:rPr>
          <w:rFonts w:ascii="Arial" w:hAnsi="Arial" w:cs="Arial"/>
          <w:sz w:val="18"/>
          <w:szCs w:val="18"/>
        </w:rPr>
        <w:t xml:space="preserve"> así como del turismo, la incorporación de causantes informales, intensificar la fiscalización y el cobro de impuestos para fomentar la economía e incrementar la recaudación de ingresos propios.</w:t>
      </w:r>
    </w:p>
    <w:p w14:paraId="6D483FF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19E2C836"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0096CFF9" w14:textId="77777777" w:rsid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477B701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Autorización e Historia</w:t>
      </w:r>
    </w:p>
    <w:p w14:paraId="6587C2F3"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244EBE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7BF475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6C52DD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420E9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44417AD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1F12B2F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2B69A426" w14:textId="77777777" w:rsidR="0087691B" w:rsidRDefault="0087691B" w:rsidP="0087691B">
      <w:pPr>
        <w:pStyle w:val="Texto"/>
        <w:tabs>
          <w:tab w:val="left" w:pos="284"/>
        </w:tabs>
        <w:spacing w:after="0" w:line="276" w:lineRule="auto"/>
        <w:ind w:left="284" w:firstLine="0"/>
        <w:rPr>
          <w:b/>
          <w:szCs w:val="18"/>
          <w:lang w:val="es-MX"/>
        </w:rPr>
      </w:pPr>
    </w:p>
    <w:p w14:paraId="0ECB1289"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Organización y Objeto Social</w:t>
      </w:r>
    </w:p>
    <w:p w14:paraId="1F92C53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5CA5D38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lastRenderedPageBreak/>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60B1EE56" w14:textId="77777777" w:rsidR="0087691B" w:rsidRDefault="0087691B" w:rsidP="0087691B">
      <w:pPr>
        <w:pStyle w:val="Texto"/>
        <w:tabs>
          <w:tab w:val="left" w:pos="284"/>
        </w:tabs>
        <w:spacing w:after="0" w:line="276" w:lineRule="auto"/>
        <w:ind w:left="284" w:firstLine="0"/>
        <w:rPr>
          <w:b/>
          <w:szCs w:val="18"/>
          <w:lang w:val="es-MX"/>
        </w:rPr>
      </w:pPr>
    </w:p>
    <w:p w14:paraId="25114DD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Bases de Preparación de los Estados Financieros</w:t>
      </w:r>
    </w:p>
    <w:p w14:paraId="23E3B022"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70E8D454"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2F267B6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7258CC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53AFD8EA" w14:textId="77777777" w:rsidR="0087691B" w:rsidRDefault="0087691B" w:rsidP="0087691B">
      <w:pPr>
        <w:pStyle w:val="Texto"/>
        <w:tabs>
          <w:tab w:val="left" w:pos="284"/>
        </w:tabs>
        <w:spacing w:after="0" w:line="276" w:lineRule="auto"/>
        <w:ind w:left="284" w:firstLine="0"/>
        <w:rPr>
          <w:b/>
          <w:szCs w:val="18"/>
          <w:lang w:val="es-MX"/>
        </w:rPr>
      </w:pPr>
    </w:p>
    <w:p w14:paraId="1C21765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Políticas de Contabilidad Significativas</w:t>
      </w:r>
    </w:p>
    <w:p w14:paraId="4AC54EE1"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0E6FE9D4" w14:textId="77777777" w:rsidR="0087691B" w:rsidRDefault="0087691B" w:rsidP="0087691B">
      <w:pPr>
        <w:tabs>
          <w:tab w:val="left" w:pos="284"/>
        </w:tabs>
        <w:ind w:left="284"/>
        <w:jc w:val="both"/>
        <w:rPr>
          <w:rFonts w:ascii="Arial" w:hAnsi="Arial" w:cs="Arial"/>
          <w:sz w:val="18"/>
          <w:szCs w:val="18"/>
        </w:rPr>
      </w:pPr>
      <w:proofErr w:type="gramStart"/>
      <w:r>
        <w:rPr>
          <w:rFonts w:ascii="Arial" w:hAnsi="Arial" w:cs="Arial"/>
          <w:sz w:val="18"/>
          <w:szCs w:val="18"/>
        </w:rPr>
        <w:t>Los registros de las operaciones están en apego a los Postulados Básicos de Contabilidad Gubernamental y a las normas y manuales vigentes;</w:t>
      </w:r>
      <w:proofErr w:type="gramEnd"/>
      <w:r>
        <w:rPr>
          <w:rFonts w:ascii="Arial" w:hAnsi="Arial" w:cs="Arial"/>
          <w:sz w:val="18"/>
          <w:szCs w:val="18"/>
        </w:rPr>
        <w:t xml:space="preserve">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766A268E"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61560CCC"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lastRenderedPageBreak/>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3D35C7A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53390777" w14:textId="77777777" w:rsidR="0087691B" w:rsidRDefault="0087691B" w:rsidP="0087691B">
      <w:pPr>
        <w:pStyle w:val="Texto"/>
        <w:tabs>
          <w:tab w:val="left" w:pos="284"/>
        </w:tabs>
        <w:spacing w:after="0" w:line="276" w:lineRule="auto"/>
        <w:ind w:left="284" w:firstLine="0"/>
        <w:rPr>
          <w:b/>
          <w:szCs w:val="18"/>
          <w:lang w:val="es-MX"/>
        </w:rPr>
      </w:pPr>
    </w:p>
    <w:p w14:paraId="4DE04A1B"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Información sobre la Deuda y el Reporte Analítico de la Deuda</w:t>
      </w:r>
    </w:p>
    <w:p w14:paraId="3087BA8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p>
    <w:p w14:paraId="620BF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materia de deuda pública, se ha mantenido la política de no acceder a esquemas de financiamiento, con la finalidad de mantener sanas las finanzas estatales, más sin embargo se prevén acciones que permitan mejorar la capacidad crediticia de la Entidad para generar mecanismos adicionales de financiamiento de proyectos y la operación de servicios públicos estatales y municipales.</w:t>
      </w:r>
    </w:p>
    <w:p w14:paraId="03C2BEB3" w14:textId="77777777" w:rsidR="0087691B" w:rsidRDefault="0087691B" w:rsidP="002615F9">
      <w:pPr>
        <w:tabs>
          <w:tab w:val="left" w:pos="284"/>
        </w:tabs>
        <w:ind w:left="284"/>
        <w:jc w:val="both"/>
        <w:rPr>
          <w:rFonts w:ascii="Arial" w:hAnsi="Arial" w:cs="Arial"/>
          <w:sz w:val="18"/>
          <w:szCs w:val="18"/>
        </w:rPr>
      </w:pPr>
    </w:p>
    <w:p w14:paraId="537B97CD" w14:textId="77777777" w:rsidR="0087691B" w:rsidRPr="002615F9" w:rsidRDefault="0087691B" w:rsidP="002615F9">
      <w:pPr>
        <w:tabs>
          <w:tab w:val="left" w:pos="284"/>
        </w:tabs>
        <w:ind w:left="284"/>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14:paraId="2DC33FAD" w14:textId="77777777" w:rsidTr="0074488D">
        <w:trPr>
          <w:trHeight w:val="1671"/>
        </w:trPr>
        <w:tc>
          <w:tcPr>
            <w:tcW w:w="9350" w:type="dxa"/>
            <w:gridSpan w:val="3"/>
          </w:tcPr>
          <w:p w14:paraId="0ED1991C" w14:textId="77777777"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19EB721C" w14:textId="77777777" w:rsidR="005B3728" w:rsidRDefault="005B3728" w:rsidP="00540418">
            <w:pPr>
              <w:pStyle w:val="Texto"/>
              <w:spacing w:after="0" w:line="240" w:lineRule="exact"/>
              <w:ind w:firstLine="0"/>
              <w:rPr>
                <w:szCs w:val="18"/>
              </w:rPr>
            </w:pPr>
          </w:p>
          <w:p w14:paraId="788552B7" w14:textId="77777777" w:rsidR="005B3728" w:rsidRDefault="005B3728" w:rsidP="00540418">
            <w:pPr>
              <w:pStyle w:val="Texto"/>
              <w:spacing w:after="0" w:line="240" w:lineRule="exact"/>
              <w:ind w:firstLine="0"/>
              <w:rPr>
                <w:szCs w:val="18"/>
              </w:rPr>
            </w:pPr>
          </w:p>
        </w:tc>
      </w:tr>
      <w:tr w:rsidR="005B3728" w14:paraId="611616CE" w14:textId="77777777" w:rsidTr="0074488D">
        <w:tc>
          <w:tcPr>
            <w:tcW w:w="4106" w:type="dxa"/>
          </w:tcPr>
          <w:p w14:paraId="366E99CE" w14:textId="77777777" w:rsidR="005B3728" w:rsidRDefault="005B3728" w:rsidP="005B3728">
            <w:pPr>
              <w:jc w:val="center"/>
              <w:rPr>
                <w:rFonts w:ascii="Arial" w:hAnsi="Arial" w:cs="Arial"/>
                <w:color w:val="000000"/>
                <w:sz w:val="18"/>
                <w:szCs w:val="18"/>
              </w:rPr>
            </w:pPr>
          </w:p>
          <w:p w14:paraId="4C0F3207" w14:textId="77777777" w:rsidR="005B3728" w:rsidRDefault="005B3728" w:rsidP="005B3728">
            <w:pPr>
              <w:jc w:val="center"/>
              <w:rPr>
                <w:rFonts w:ascii="Arial" w:hAnsi="Arial" w:cs="Arial"/>
                <w:color w:val="000000"/>
                <w:sz w:val="18"/>
                <w:szCs w:val="18"/>
              </w:rPr>
            </w:pPr>
          </w:p>
          <w:p w14:paraId="7DFF073D" w14:textId="77777777"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14:paraId="3BC5A10D" w14:textId="77777777"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27C04D29" w14:textId="77777777"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175CE4C8" w14:textId="77777777" w:rsidR="005B3728" w:rsidRDefault="005B3728" w:rsidP="005B3728">
            <w:pPr>
              <w:pStyle w:val="Texto"/>
              <w:spacing w:after="0" w:line="240" w:lineRule="exact"/>
              <w:ind w:firstLine="0"/>
              <w:jc w:val="center"/>
              <w:rPr>
                <w:szCs w:val="18"/>
              </w:rPr>
            </w:pPr>
          </w:p>
        </w:tc>
        <w:tc>
          <w:tcPr>
            <w:tcW w:w="1134" w:type="dxa"/>
          </w:tcPr>
          <w:p w14:paraId="61C179B0" w14:textId="77777777" w:rsidR="005B3728" w:rsidRDefault="005B3728" w:rsidP="00540418">
            <w:pPr>
              <w:pStyle w:val="Texto"/>
              <w:spacing w:after="0" w:line="240" w:lineRule="exact"/>
              <w:ind w:firstLine="0"/>
              <w:rPr>
                <w:szCs w:val="18"/>
              </w:rPr>
            </w:pPr>
          </w:p>
        </w:tc>
        <w:tc>
          <w:tcPr>
            <w:tcW w:w="4110" w:type="dxa"/>
          </w:tcPr>
          <w:p w14:paraId="56663525" w14:textId="77777777" w:rsidR="005B3728" w:rsidRPr="00F3142D" w:rsidRDefault="005B3728" w:rsidP="005B3728">
            <w:pPr>
              <w:pStyle w:val="Texto"/>
              <w:spacing w:after="0" w:line="240" w:lineRule="exact"/>
              <w:ind w:firstLine="0"/>
              <w:jc w:val="center"/>
              <w:rPr>
                <w:color w:val="000000"/>
                <w:szCs w:val="18"/>
              </w:rPr>
            </w:pPr>
          </w:p>
          <w:p w14:paraId="2A11AEF9" w14:textId="77777777" w:rsidR="005B3728" w:rsidRPr="00F3142D" w:rsidRDefault="005B3728" w:rsidP="005B3728">
            <w:pPr>
              <w:pStyle w:val="Texto"/>
              <w:spacing w:after="0" w:line="240" w:lineRule="exact"/>
              <w:ind w:firstLine="0"/>
              <w:jc w:val="center"/>
              <w:rPr>
                <w:color w:val="000000"/>
                <w:szCs w:val="18"/>
              </w:rPr>
            </w:pPr>
          </w:p>
          <w:p w14:paraId="03725AD5"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____________________________________</w:t>
            </w:r>
          </w:p>
          <w:p w14:paraId="55133EB9"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C.P. Román Muñoz Calva</w:t>
            </w:r>
          </w:p>
          <w:p w14:paraId="5E5A1287" w14:textId="77777777"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40859E48" w14:textId="77777777" w:rsidR="005B3728" w:rsidRDefault="005B3728" w:rsidP="005B3728">
            <w:pPr>
              <w:pStyle w:val="Texto"/>
              <w:spacing w:after="0" w:line="240" w:lineRule="exact"/>
              <w:ind w:firstLine="0"/>
              <w:jc w:val="center"/>
              <w:rPr>
                <w:szCs w:val="18"/>
              </w:rPr>
            </w:pPr>
          </w:p>
        </w:tc>
      </w:tr>
    </w:tbl>
    <w:p w14:paraId="2775D732" w14:textId="77777777" w:rsidR="00757C3E" w:rsidRPr="00661A17" w:rsidRDefault="00757C3E" w:rsidP="00540418">
      <w:pPr>
        <w:pStyle w:val="Texto"/>
        <w:spacing w:after="0" w:line="240" w:lineRule="exact"/>
        <w:rPr>
          <w:szCs w:val="18"/>
        </w:rPr>
      </w:pPr>
    </w:p>
    <w:sectPr w:rsidR="00757C3E" w:rsidRPr="00661A17" w:rsidSect="00215B92">
      <w:headerReference w:type="even" r:id="rId36"/>
      <w:headerReference w:type="default" r:id="rId37"/>
      <w:footerReference w:type="even" r:id="rId38"/>
      <w:footerReference w:type="default" r:id="rId39"/>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C1039" w14:textId="77777777" w:rsidR="00987ABB" w:rsidRDefault="00987ABB" w:rsidP="00EA5418">
      <w:pPr>
        <w:spacing w:after="0" w:line="240" w:lineRule="auto"/>
      </w:pPr>
      <w:r>
        <w:separator/>
      </w:r>
    </w:p>
  </w:endnote>
  <w:endnote w:type="continuationSeparator" w:id="0">
    <w:p w14:paraId="6DDE1E4F" w14:textId="77777777" w:rsidR="00987ABB" w:rsidRDefault="00987AB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E62F" w14:textId="0CF053E7" w:rsidR="00046F70" w:rsidRPr="004E3EA4" w:rsidRDefault="00046F70"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9F3A79" w:rsidRPr="009F3A79">
          <w:rPr>
            <w:rFonts w:ascii="Arial" w:hAnsi="Arial" w:cs="Arial"/>
            <w:noProof/>
            <w:sz w:val="20"/>
            <w:lang w:val="es-ES"/>
          </w:rPr>
          <w:t>32</w:t>
        </w:r>
        <w:r w:rsidRPr="004E3EA4">
          <w:rPr>
            <w:rFonts w:ascii="Arial" w:hAnsi="Arial" w:cs="Arial"/>
            <w:sz w:val="20"/>
          </w:rPr>
          <w:fldChar w:fldCharType="end"/>
        </w:r>
      </w:sdtContent>
    </w:sdt>
  </w:p>
  <w:p w14:paraId="62447935" w14:textId="77777777" w:rsidR="00046F70" w:rsidRDefault="00046F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476C" w14:textId="0791E69B" w:rsidR="00046F70" w:rsidRPr="003527CD" w:rsidRDefault="00046F70"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9F3A79" w:rsidRPr="009F3A79">
          <w:rPr>
            <w:rFonts w:ascii="Arial" w:hAnsi="Arial" w:cs="Arial"/>
            <w:noProof/>
            <w:lang w:val="es-ES"/>
          </w:rPr>
          <w:t>33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3D85A" w14:textId="77777777" w:rsidR="00987ABB" w:rsidRDefault="00987ABB" w:rsidP="00EA5418">
      <w:pPr>
        <w:spacing w:after="0" w:line="240" w:lineRule="auto"/>
      </w:pPr>
      <w:r>
        <w:separator/>
      </w:r>
    </w:p>
  </w:footnote>
  <w:footnote w:type="continuationSeparator" w:id="0">
    <w:p w14:paraId="4ACA2A28" w14:textId="77777777" w:rsidR="00987ABB" w:rsidRDefault="00987ABB"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78E5" w14:textId="77777777" w:rsidR="00046F70" w:rsidRDefault="00046F70"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1BBA" w14:textId="77777777" w:rsidR="00046F70" w:rsidRPr="003527CD" w:rsidRDefault="00046F70"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88941501">
    <w:abstractNumId w:val="1"/>
  </w:num>
  <w:num w:numId="2" w16cid:durableId="213629020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55BC"/>
    <w:rsid w:val="000164D8"/>
    <w:rsid w:val="000202A5"/>
    <w:rsid w:val="00021787"/>
    <w:rsid w:val="00026C0E"/>
    <w:rsid w:val="00026DF6"/>
    <w:rsid w:val="000271C8"/>
    <w:rsid w:val="00031160"/>
    <w:rsid w:val="00031DC4"/>
    <w:rsid w:val="00032921"/>
    <w:rsid w:val="00037045"/>
    <w:rsid w:val="00037A4C"/>
    <w:rsid w:val="00037E57"/>
    <w:rsid w:val="000401B4"/>
    <w:rsid w:val="00040466"/>
    <w:rsid w:val="0004135F"/>
    <w:rsid w:val="000417DA"/>
    <w:rsid w:val="00043D1E"/>
    <w:rsid w:val="00043F64"/>
    <w:rsid w:val="0004567A"/>
    <w:rsid w:val="00045A10"/>
    <w:rsid w:val="0004695D"/>
    <w:rsid w:val="00046F70"/>
    <w:rsid w:val="00054C4D"/>
    <w:rsid w:val="00056EDF"/>
    <w:rsid w:val="000574E6"/>
    <w:rsid w:val="00057C1C"/>
    <w:rsid w:val="00062509"/>
    <w:rsid w:val="00063159"/>
    <w:rsid w:val="000655E4"/>
    <w:rsid w:val="0006610A"/>
    <w:rsid w:val="0006668A"/>
    <w:rsid w:val="0006755E"/>
    <w:rsid w:val="00071309"/>
    <w:rsid w:val="00072BA1"/>
    <w:rsid w:val="00074536"/>
    <w:rsid w:val="0007519E"/>
    <w:rsid w:val="00075588"/>
    <w:rsid w:val="00076E1D"/>
    <w:rsid w:val="00077A1F"/>
    <w:rsid w:val="0008099F"/>
    <w:rsid w:val="00080D6B"/>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6E95"/>
    <w:rsid w:val="000C7FBB"/>
    <w:rsid w:val="000D01E9"/>
    <w:rsid w:val="000D0EE3"/>
    <w:rsid w:val="000D4D45"/>
    <w:rsid w:val="000D553D"/>
    <w:rsid w:val="000E0A96"/>
    <w:rsid w:val="000E10A7"/>
    <w:rsid w:val="000E4072"/>
    <w:rsid w:val="000E5C7A"/>
    <w:rsid w:val="000E5D7B"/>
    <w:rsid w:val="000E6692"/>
    <w:rsid w:val="000F0E08"/>
    <w:rsid w:val="000F1B18"/>
    <w:rsid w:val="000F5D5C"/>
    <w:rsid w:val="000F7AB4"/>
    <w:rsid w:val="00100FD7"/>
    <w:rsid w:val="0010182C"/>
    <w:rsid w:val="001049BA"/>
    <w:rsid w:val="00105410"/>
    <w:rsid w:val="00111884"/>
    <w:rsid w:val="00112770"/>
    <w:rsid w:val="001130E9"/>
    <w:rsid w:val="001144E5"/>
    <w:rsid w:val="00114FC2"/>
    <w:rsid w:val="001156F5"/>
    <w:rsid w:val="00115921"/>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3EA"/>
    <w:rsid w:val="00144A5D"/>
    <w:rsid w:val="0014540D"/>
    <w:rsid w:val="001528B7"/>
    <w:rsid w:val="001547B6"/>
    <w:rsid w:val="00155BEA"/>
    <w:rsid w:val="001562E4"/>
    <w:rsid w:val="00160E16"/>
    <w:rsid w:val="00161865"/>
    <w:rsid w:val="0016242F"/>
    <w:rsid w:val="001635E1"/>
    <w:rsid w:val="00165BB4"/>
    <w:rsid w:val="001660FE"/>
    <w:rsid w:val="00167E33"/>
    <w:rsid w:val="00171788"/>
    <w:rsid w:val="00172B7D"/>
    <w:rsid w:val="00174F47"/>
    <w:rsid w:val="001769D8"/>
    <w:rsid w:val="001778B1"/>
    <w:rsid w:val="0018009C"/>
    <w:rsid w:val="0018055B"/>
    <w:rsid w:val="001837A5"/>
    <w:rsid w:val="001854C3"/>
    <w:rsid w:val="0018603D"/>
    <w:rsid w:val="0018652F"/>
    <w:rsid w:val="001872A3"/>
    <w:rsid w:val="00191085"/>
    <w:rsid w:val="00192770"/>
    <w:rsid w:val="00192B86"/>
    <w:rsid w:val="00193B2D"/>
    <w:rsid w:val="001951AF"/>
    <w:rsid w:val="001A26CD"/>
    <w:rsid w:val="001A3F6A"/>
    <w:rsid w:val="001A575F"/>
    <w:rsid w:val="001A78A4"/>
    <w:rsid w:val="001B011B"/>
    <w:rsid w:val="001B0197"/>
    <w:rsid w:val="001B13BF"/>
    <w:rsid w:val="001B1579"/>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584E"/>
    <w:rsid w:val="001C66C1"/>
    <w:rsid w:val="001C6C21"/>
    <w:rsid w:val="001C6FD8"/>
    <w:rsid w:val="001D0747"/>
    <w:rsid w:val="001D1569"/>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C27"/>
    <w:rsid w:val="00203AC0"/>
    <w:rsid w:val="00203F37"/>
    <w:rsid w:val="00204C86"/>
    <w:rsid w:val="00204F06"/>
    <w:rsid w:val="00206E09"/>
    <w:rsid w:val="00212203"/>
    <w:rsid w:val="00215B92"/>
    <w:rsid w:val="00221C53"/>
    <w:rsid w:val="00221DB1"/>
    <w:rsid w:val="0022227A"/>
    <w:rsid w:val="00222D09"/>
    <w:rsid w:val="00223CE1"/>
    <w:rsid w:val="0022440F"/>
    <w:rsid w:val="002253A0"/>
    <w:rsid w:val="00227B93"/>
    <w:rsid w:val="00230B71"/>
    <w:rsid w:val="00236748"/>
    <w:rsid w:val="002431DD"/>
    <w:rsid w:val="00243D91"/>
    <w:rsid w:val="00244D40"/>
    <w:rsid w:val="00245E54"/>
    <w:rsid w:val="00247AD7"/>
    <w:rsid w:val="00251F0D"/>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80CD3"/>
    <w:rsid w:val="00280CDA"/>
    <w:rsid w:val="002833DA"/>
    <w:rsid w:val="002858C7"/>
    <w:rsid w:val="00287C7B"/>
    <w:rsid w:val="00287D90"/>
    <w:rsid w:val="00290A24"/>
    <w:rsid w:val="00295D09"/>
    <w:rsid w:val="00295FCC"/>
    <w:rsid w:val="00297D52"/>
    <w:rsid w:val="002A15A9"/>
    <w:rsid w:val="002A2013"/>
    <w:rsid w:val="002A379D"/>
    <w:rsid w:val="002A62AF"/>
    <w:rsid w:val="002A70B3"/>
    <w:rsid w:val="002A728F"/>
    <w:rsid w:val="002A7396"/>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E1B6E"/>
    <w:rsid w:val="002E1F2D"/>
    <w:rsid w:val="002E3C2E"/>
    <w:rsid w:val="002E4A3B"/>
    <w:rsid w:val="002E52F9"/>
    <w:rsid w:val="002F3005"/>
    <w:rsid w:val="002F502D"/>
    <w:rsid w:val="002F546C"/>
    <w:rsid w:val="00300EF3"/>
    <w:rsid w:val="00300F57"/>
    <w:rsid w:val="0030292A"/>
    <w:rsid w:val="00302E39"/>
    <w:rsid w:val="00303EA9"/>
    <w:rsid w:val="00304672"/>
    <w:rsid w:val="00310A44"/>
    <w:rsid w:val="00311228"/>
    <w:rsid w:val="00311255"/>
    <w:rsid w:val="00312040"/>
    <w:rsid w:val="003121C3"/>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46328"/>
    <w:rsid w:val="003478FA"/>
    <w:rsid w:val="00347BC6"/>
    <w:rsid w:val="00351921"/>
    <w:rsid w:val="003527CD"/>
    <w:rsid w:val="003530FB"/>
    <w:rsid w:val="00354047"/>
    <w:rsid w:val="0035405F"/>
    <w:rsid w:val="0035468F"/>
    <w:rsid w:val="00355DA8"/>
    <w:rsid w:val="00356170"/>
    <w:rsid w:val="00357A70"/>
    <w:rsid w:val="003612CA"/>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72B"/>
    <w:rsid w:val="003A3013"/>
    <w:rsid w:val="003A4518"/>
    <w:rsid w:val="003A698E"/>
    <w:rsid w:val="003A6C39"/>
    <w:rsid w:val="003A731F"/>
    <w:rsid w:val="003A7ADE"/>
    <w:rsid w:val="003B1B0C"/>
    <w:rsid w:val="003B55DA"/>
    <w:rsid w:val="003C35FE"/>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5A64"/>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42C3"/>
    <w:rsid w:val="00484C0D"/>
    <w:rsid w:val="00484E35"/>
    <w:rsid w:val="00487AC2"/>
    <w:rsid w:val="0049279C"/>
    <w:rsid w:val="00493E27"/>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ECA"/>
    <w:rsid w:val="004C1616"/>
    <w:rsid w:val="004C187E"/>
    <w:rsid w:val="004C3F0D"/>
    <w:rsid w:val="004C4F16"/>
    <w:rsid w:val="004C5E7B"/>
    <w:rsid w:val="004D30E1"/>
    <w:rsid w:val="004D3E91"/>
    <w:rsid w:val="004D41B8"/>
    <w:rsid w:val="004D5BEA"/>
    <w:rsid w:val="004E283B"/>
    <w:rsid w:val="004E2DD2"/>
    <w:rsid w:val="004E3EA4"/>
    <w:rsid w:val="004E4A13"/>
    <w:rsid w:val="004E6076"/>
    <w:rsid w:val="004F53E3"/>
    <w:rsid w:val="004F542A"/>
    <w:rsid w:val="004F5641"/>
    <w:rsid w:val="004F5AA8"/>
    <w:rsid w:val="004F6EBD"/>
    <w:rsid w:val="005008D3"/>
    <w:rsid w:val="0050183B"/>
    <w:rsid w:val="00502DDD"/>
    <w:rsid w:val="00503454"/>
    <w:rsid w:val="005111D4"/>
    <w:rsid w:val="00513054"/>
    <w:rsid w:val="00513E7E"/>
    <w:rsid w:val="00514F2B"/>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3CB3"/>
    <w:rsid w:val="0055463A"/>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36E3"/>
    <w:rsid w:val="005C4BC3"/>
    <w:rsid w:val="005C58B3"/>
    <w:rsid w:val="005D0D10"/>
    <w:rsid w:val="005D296A"/>
    <w:rsid w:val="005D2D11"/>
    <w:rsid w:val="005D3D25"/>
    <w:rsid w:val="005D5223"/>
    <w:rsid w:val="005D568E"/>
    <w:rsid w:val="005D67E1"/>
    <w:rsid w:val="005E162B"/>
    <w:rsid w:val="005E39FD"/>
    <w:rsid w:val="005E68A5"/>
    <w:rsid w:val="005E7914"/>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429DB"/>
    <w:rsid w:val="0064409F"/>
    <w:rsid w:val="006441E4"/>
    <w:rsid w:val="006443DF"/>
    <w:rsid w:val="00646603"/>
    <w:rsid w:val="00650760"/>
    <w:rsid w:val="006519BC"/>
    <w:rsid w:val="00651FB7"/>
    <w:rsid w:val="006537A5"/>
    <w:rsid w:val="00653A66"/>
    <w:rsid w:val="0065446E"/>
    <w:rsid w:val="00654B92"/>
    <w:rsid w:val="0065525F"/>
    <w:rsid w:val="00655EB2"/>
    <w:rsid w:val="00660015"/>
    <w:rsid w:val="00661352"/>
    <w:rsid w:val="00661A17"/>
    <w:rsid w:val="00663540"/>
    <w:rsid w:val="006653EB"/>
    <w:rsid w:val="00667535"/>
    <w:rsid w:val="0067443A"/>
    <w:rsid w:val="00675B86"/>
    <w:rsid w:val="00677384"/>
    <w:rsid w:val="006774BF"/>
    <w:rsid w:val="006822AA"/>
    <w:rsid w:val="00693B49"/>
    <w:rsid w:val="006942ED"/>
    <w:rsid w:val="006944EF"/>
    <w:rsid w:val="006952D9"/>
    <w:rsid w:val="006966D2"/>
    <w:rsid w:val="00696AA9"/>
    <w:rsid w:val="006A04E9"/>
    <w:rsid w:val="006A289F"/>
    <w:rsid w:val="006A291D"/>
    <w:rsid w:val="006A33FB"/>
    <w:rsid w:val="006A7D6D"/>
    <w:rsid w:val="006B1FE7"/>
    <w:rsid w:val="006B4558"/>
    <w:rsid w:val="006B4727"/>
    <w:rsid w:val="006B72E6"/>
    <w:rsid w:val="006C1B54"/>
    <w:rsid w:val="006C2C92"/>
    <w:rsid w:val="006C4213"/>
    <w:rsid w:val="006C54B8"/>
    <w:rsid w:val="006C5BA2"/>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0FA6"/>
    <w:rsid w:val="00731487"/>
    <w:rsid w:val="007314A9"/>
    <w:rsid w:val="00731CA2"/>
    <w:rsid w:val="00732B8A"/>
    <w:rsid w:val="00734272"/>
    <w:rsid w:val="0073581C"/>
    <w:rsid w:val="00736F40"/>
    <w:rsid w:val="007375D6"/>
    <w:rsid w:val="007420CD"/>
    <w:rsid w:val="00742C34"/>
    <w:rsid w:val="007439D3"/>
    <w:rsid w:val="0074488D"/>
    <w:rsid w:val="00751158"/>
    <w:rsid w:val="00753BE8"/>
    <w:rsid w:val="00757C3E"/>
    <w:rsid w:val="007615D9"/>
    <w:rsid w:val="00762268"/>
    <w:rsid w:val="00762F48"/>
    <w:rsid w:val="00764D64"/>
    <w:rsid w:val="00770054"/>
    <w:rsid w:val="007723AF"/>
    <w:rsid w:val="00773003"/>
    <w:rsid w:val="00773067"/>
    <w:rsid w:val="00773A43"/>
    <w:rsid w:val="00773EBC"/>
    <w:rsid w:val="00774FD3"/>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27C"/>
    <w:rsid w:val="007A3544"/>
    <w:rsid w:val="007A40B0"/>
    <w:rsid w:val="007A799B"/>
    <w:rsid w:val="007B2FE4"/>
    <w:rsid w:val="007B36E3"/>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DAC"/>
    <w:rsid w:val="008167D5"/>
    <w:rsid w:val="008168EE"/>
    <w:rsid w:val="00817DFF"/>
    <w:rsid w:val="00820352"/>
    <w:rsid w:val="00820DB7"/>
    <w:rsid w:val="00822CD5"/>
    <w:rsid w:val="00823256"/>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6CDA"/>
    <w:rsid w:val="008573E2"/>
    <w:rsid w:val="008624D8"/>
    <w:rsid w:val="008630BA"/>
    <w:rsid w:val="0086433A"/>
    <w:rsid w:val="008643A9"/>
    <w:rsid w:val="00864C50"/>
    <w:rsid w:val="00864FE6"/>
    <w:rsid w:val="008659FD"/>
    <w:rsid w:val="00866F4E"/>
    <w:rsid w:val="00870F4E"/>
    <w:rsid w:val="00872C30"/>
    <w:rsid w:val="008742BD"/>
    <w:rsid w:val="00874341"/>
    <w:rsid w:val="0087478F"/>
    <w:rsid w:val="00876082"/>
    <w:rsid w:val="0087691B"/>
    <w:rsid w:val="008805C8"/>
    <w:rsid w:val="00881BEF"/>
    <w:rsid w:val="008838EF"/>
    <w:rsid w:val="00883D58"/>
    <w:rsid w:val="00885671"/>
    <w:rsid w:val="00885AD1"/>
    <w:rsid w:val="0089054E"/>
    <w:rsid w:val="00892C87"/>
    <w:rsid w:val="00894C50"/>
    <w:rsid w:val="00895EF7"/>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45AC"/>
    <w:rsid w:val="008F4733"/>
    <w:rsid w:val="008F4EF3"/>
    <w:rsid w:val="008F5430"/>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610B"/>
    <w:rsid w:val="00966C57"/>
    <w:rsid w:val="00970543"/>
    <w:rsid w:val="0097113C"/>
    <w:rsid w:val="009729F0"/>
    <w:rsid w:val="009743B6"/>
    <w:rsid w:val="00974D23"/>
    <w:rsid w:val="00975CBF"/>
    <w:rsid w:val="009768AE"/>
    <w:rsid w:val="00980D38"/>
    <w:rsid w:val="0098545B"/>
    <w:rsid w:val="00986365"/>
    <w:rsid w:val="009869E9"/>
    <w:rsid w:val="00986BC3"/>
    <w:rsid w:val="00987ABB"/>
    <w:rsid w:val="00987EEE"/>
    <w:rsid w:val="00991656"/>
    <w:rsid w:val="00996671"/>
    <w:rsid w:val="009A00D4"/>
    <w:rsid w:val="009A1077"/>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4A84"/>
    <w:rsid w:val="009C5E39"/>
    <w:rsid w:val="009C6E8E"/>
    <w:rsid w:val="009C74FB"/>
    <w:rsid w:val="009D20E7"/>
    <w:rsid w:val="009D5D4C"/>
    <w:rsid w:val="009E13DF"/>
    <w:rsid w:val="009E13F9"/>
    <w:rsid w:val="009E2520"/>
    <w:rsid w:val="009E51F8"/>
    <w:rsid w:val="009F239C"/>
    <w:rsid w:val="009F23C4"/>
    <w:rsid w:val="009F270C"/>
    <w:rsid w:val="009F3A79"/>
    <w:rsid w:val="009F564C"/>
    <w:rsid w:val="009F5E29"/>
    <w:rsid w:val="00A018A3"/>
    <w:rsid w:val="00A01B1B"/>
    <w:rsid w:val="00A02E76"/>
    <w:rsid w:val="00A045DD"/>
    <w:rsid w:val="00A06D66"/>
    <w:rsid w:val="00A073BF"/>
    <w:rsid w:val="00A07E0D"/>
    <w:rsid w:val="00A14DCC"/>
    <w:rsid w:val="00A16DA6"/>
    <w:rsid w:val="00A228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5407"/>
    <w:rsid w:val="00A70107"/>
    <w:rsid w:val="00A74CAF"/>
    <w:rsid w:val="00A764EF"/>
    <w:rsid w:val="00A8050B"/>
    <w:rsid w:val="00A8077E"/>
    <w:rsid w:val="00A8166B"/>
    <w:rsid w:val="00A83676"/>
    <w:rsid w:val="00A852D6"/>
    <w:rsid w:val="00A85EE5"/>
    <w:rsid w:val="00A8751B"/>
    <w:rsid w:val="00A90730"/>
    <w:rsid w:val="00A90E13"/>
    <w:rsid w:val="00A9143E"/>
    <w:rsid w:val="00A92A29"/>
    <w:rsid w:val="00A94BD0"/>
    <w:rsid w:val="00A94FC9"/>
    <w:rsid w:val="00A95577"/>
    <w:rsid w:val="00A96270"/>
    <w:rsid w:val="00A96C1F"/>
    <w:rsid w:val="00A97E66"/>
    <w:rsid w:val="00AA16F7"/>
    <w:rsid w:val="00AA1AB3"/>
    <w:rsid w:val="00AA3279"/>
    <w:rsid w:val="00AA6498"/>
    <w:rsid w:val="00AA6892"/>
    <w:rsid w:val="00AA7AE3"/>
    <w:rsid w:val="00AB0983"/>
    <w:rsid w:val="00AB2062"/>
    <w:rsid w:val="00AB31F3"/>
    <w:rsid w:val="00AB3613"/>
    <w:rsid w:val="00AB5524"/>
    <w:rsid w:val="00AB5D6A"/>
    <w:rsid w:val="00AC2CB6"/>
    <w:rsid w:val="00AD27C1"/>
    <w:rsid w:val="00AD344C"/>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5B81"/>
    <w:rsid w:val="00B06D4E"/>
    <w:rsid w:val="00B073ED"/>
    <w:rsid w:val="00B10AE5"/>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2B88"/>
    <w:rsid w:val="00B67BC6"/>
    <w:rsid w:val="00B73EB9"/>
    <w:rsid w:val="00B818B2"/>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20A8"/>
    <w:rsid w:val="00C0654D"/>
    <w:rsid w:val="00C06709"/>
    <w:rsid w:val="00C1028E"/>
    <w:rsid w:val="00C105A6"/>
    <w:rsid w:val="00C10C63"/>
    <w:rsid w:val="00C1279C"/>
    <w:rsid w:val="00C14867"/>
    <w:rsid w:val="00C16822"/>
    <w:rsid w:val="00C16E53"/>
    <w:rsid w:val="00C17841"/>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87443"/>
    <w:rsid w:val="00C90A40"/>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D00E92"/>
    <w:rsid w:val="00D01486"/>
    <w:rsid w:val="00D055EC"/>
    <w:rsid w:val="00D06FE8"/>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2047"/>
    <w:rsid w:val="00E23867"/>
    <w:rsid w:val="00E23A75"/>
    <w:rsid w:val="00E2421E"/>
    <w:rsid w:val="00E25A1C"/>
    <w:rsid w:val="00E30318"/>
    <w:rsid w:val="00E32708"/>
    <w:rsid w:val="00E32B77"/>
    <w:rsid w:val="00E33BBD"/>
    <w:rsid w:val="00E37034"/>
    <w:rsid w:val="00E37782"/>
    <w:rsid w:val="00E40F44"/>
    <w:rsid w:val="00E44022"/>
    <w:rsid w:val="00E442EC"/>
    <w:rsid w:val="00E449D6"/>
    <w:rsid w:val="00E45112"/>
    <w:rsid w:val="00E505EF"/>
    <w:rsid w:val="00E514F6"/>
    <w:rsid w:val="00E545B2"/>
    <w:rsid w:val="00E549EA"/>
    <w:rsid w:val="00E57C06"/>
    <w:rsid w:val="00E651B5"/>
    <w:rsid w:val="00E65B2D"/>
    <w:rsid w:val="00E70E56"/>
    <w:rsid w:val="00E755A9"/>
    <w:rsid w:val="00E75CE5"/>
    <w:rsid w:val="00E768E8"/>
    <w:rsid w:val="00E8055E"/>
    <w:rsid w:val="00E81279"/>
    <w:rsid w:val="00E82195"/>
    <w:rsid w:val="00E8287D"/>
    <w:rsid w:val="00E828CB"/>
    <w:rsid w:val="00E83362"/>
    <w:rsid w:val="00E849B4"/>
    <w:rsid w:val="00E87962"/>
    <w:rsid w:val="00E90D36"/>
    <w:rsid w:val="00E913D9"/>
    <w:rsid w:val="00E91553"/>
    <w:rsid w:val="00E94AAC"/>
    <w:rsid w:val="00E96135"/>
    <w:rsid w:val="00E9721C"/>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2F63"/>
    <w:rsid w:val="00EE3D4E"/>
    <w:rsid w:val="00EE46FB"/>
    <w:rsid w:val="00EF2991"/>
    <w:rsid w:val="00EF5CC7"/>
    <w:rsid w:val="00EF62F8"/>
    <w:rsid w:val="00EF7710"/>
    <w:rsid w:val="00F011BD"/>
    <w:rsid w:val="00F016BA"/>
    <w:rsid w:val="00F01B31"/>
    <w:rsid w:val="00F03AE7"/>
    <w:rsid w:val="00F03C78"/>
    <w:rsid w:val="00F057DB"/>
    <w:rsid w:val="00F07D53"/>
    <w:rsid w:val="00F11C4A"/>
    <w:rsid w:val="00F16A95"/>
    <w:rsid w:val="00F177C0"/>
    <w:rsid w:val="00F17C0D"/>
    <w:rsid w:val="00F20F31"/>
    <w:rsid w:val="00F21F02"/>
    <w:rsid w:val="00F233E1"/>
    <w:rsid w:val="00F2612E"/>
    <w:rsid w:val="00F302C1"/>
    <w:rsid w:val="00F304B3"/>
    <w:rsid w:val="00F30A85"/>
    <w:rsid w:val="00F3142D"/>
    <w:rsid w:val="00F32EC8"/>
    <w:rsid w:val="00F34C98"/>
    <w:rsid w:val="00F364E9"/>
    <w:rsid w:val="00F36FF1"/>
    <w:rsid w:val="00F378E3"/>
    <w:rsid w:val="00F40A48"/>
    <w:rsid w:val="00F40A84"/>
    <w:rsid w:val="00F424B7"/>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6E0E"/>
    <w:rsid w:val="00FC07F4"/>
    <w:rsid w:val="00FC23D9"/>
    <w:rsid w:val="00FC2997"/>
    <w:rsid w:val="00FC3802"/>
    <w:rsid w:val="00FC4B1B"/>
    <w:rsid w:val="00FC6EA4"/>
    <w:rsid w:val="00FD16BF"/>
    <w:rsid w:val="00FD5A63"/>
    <w:rsid w:val="00FE00AA"/>
    <w:rsid w:val="00FE0968"/>
    <w:rsid w:val="00FE1848"/>
    <w:rsid w:val="00FE3B85"/>
    <w:rsid w:val="00FE4810"/>
    <w:rsid w:val="00FE59F7"/>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oter" Target="footer2.xml"/><Relationship Id="rId21" Type="http://schemas.openxmlformats.org/officeDocument/2006/relationships/package" Target="embeddings/Microsoft_Excel_Worksheet6.xlsx"/><Relationship Id="rId34"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3.png"/><Relationship Id="rId35" Type="http://schemas.openxmlformats.org/officeDocument/2006/relationships/image" Target="media/image18.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6.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71EB1-B90B-4FA6-9E30-66E862C1B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13231</Words>
  <Characters>72772</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85832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2023-04-14T18:47:00Z</cp:lastPrinted>
  <dcterms:created xsi:type="dcterms:W3CDTF">2023-04-22T00:51:00Z</dcterms:created>
  <dcterms:modified xsi:type="dcterms:W3CDTF">2023-04-22T00:51:00Z</dcterms:modified>
</cp:coreProperties>
</file>