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AF" w14:textId="232A94C7" w:rsidR="005269BE" w:rsidRDefault="00000000" w:rsidP="00386C8E">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9.75pt;margin-top:22.4pt;width:486.8pt;height:661.9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5CFCDE53" w14:textId="4F992635" w:rsidR="009425D6" w:rsidRDefault="00000000" w:rsidP="009425D6">
      <w:pPr>
        <w:jc w:val="center"/>
      </w:pPr>
      <w:r>
        <w:rPr>
          <w:noProof/>
        </w:rPr>
        <w:object w:dxaOrig="1440" w:dyaOrig="1440" w14:anchorId="0FB504EE">
          <v:shape id="_x0000_s2102" type="#_x0000_t75" style="position:absolute;left:0;text-align:left;margin-left:-9pt;margin-top:14.2pt;width:485.5pt;height:615.6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6BE9EC51" w14:textId="01C73C7B" w:rsidR="009425D6" w:rsidRDefault="009425D6" w:rsidP="009425D6">
      <w:pPr>
        <w:jc w:val="center"/>
      </w:pPr>
    </w:p>
    <w:p w14:paraId="081BDB49" w14:textId="781AFEEC" w:rsidR="009425D6" w:rsidRDefault="009425D6" w:rsidP="009425D6">
      <w:pPr>
        <w:jc w:val="center"/>
      </w:pPr>
    </w:p>
    <w:p w14:paraId="2FB83CBD" w14:textId="7F1734F6" w:rsidR="00372F40" w:rsidRDefault="000B54AD" w:rsidP="007769DF">
      <w:r>
        <w:br w:type="textWrapping" w:clear="all"/>
      </w:r>
    </w:p>
    <w:p w14:paraId="49FEE17F" w14:textId="67695971"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D17838D" w14:textId="35A635E5" w:rsidR="00217C35" w:rsidRDefault="00217C35" w:rsidP="00927BA4">
      <w:pPr>
        <w:tabs>
          <w:tab w:val="left" w:pos="2430"/>
        </w:tabs>
      </w:pPr>
    </w:p>
    <w:p w14:paraId="2A03D20A" w14:textId="77777777" w:rsidR="002974B6" w:rsidRDefault="002974B6" w:rsidP="00927BA4">
      <w:pPr>
        <w:tabs>
          <w:tab w:val="left" w:pos="2430"/>
        </w:tabs>
      </w:pPr>
    </w:p>
    <w:p w14:paraId="4A1E8267" w14:textId="1CE0B72B" w:rsidR="00217C35" w:rsidRDefault="00217C35" w:rsidP="00927BA4">
      <w:pPr>
        <w:tabs>
          <w:tab w:val="left" w:pos="2430"/>
        </w:tabs>
      </w:pPr>
    </w:p>
    <w:p w14:paraId="72D29428" w14:textId="77777777" w:rsidR="00C46EB4" w:rsidRDefault="00C46EB4" w:rsidP="00927BA4">
      <w:pPr>
        <w:tabs>
          <w:tab w:val="left" w:pos="2430"/>
        </w:tabs>
      </w:pPr>
    </w:p>
    <w:p w14:paraId="5C1E9849" w14:textId="6BFB64D9" w:rsidR="00217C35" w:rsidRDefault="00B90D46" w:rsidP="00DD47AF">
      <w:pPr>
        <w:tabs>
          <w:tab w:val="left" w:pos="2430"/>
        </w:tabs>
        <w:jc w:val="center"/>
      </w:pPr>
      <w:r>
        <w:object w:dxaOrig="12585" w:dyaOrig="18945" w14:anchorId="7DB90234">
          <v:shape id="_x0000_i1035" type="#_x0000_t75" style="width:413.65pt;height:662.25pt" o:ole="">
            <v:imagedata r:id="rId12" o:title=""/>
          </v:shape>
          <o:OLEObject Type="Link" ProgID="Excel.Sheet.12" ShapeID="_x0000_i1035"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2D4CCF93" w:rsidR="005C162E" w:rsidRDefault="005C162E" w:rsidP="00DD47AF">
      <w:pPr>
        <w:tabs>
          <w:tab w:val="left" w:pos="2430"/>
        </w:tabs>
        <w:jc w:val="center"/>
      </w:pPr>
    </w:p>
    <w:p w14:paraId="2A3A84BE" w14:textId="76C409F9" w:rsidR="00217C35" w:rsidRDefault="00000000" w:rsidP="00927BA4">
      <w:pPr>
        <w:tabs>
          <w:tab w:val="left" w:pos="2430"/>
        </w:tabs>
      </w:pPr>
      <w:r>
        <w:rPr>
          <w:noProof/>
        </w:rPr>
        <w:object w:dxaOrig="1440" w:dyaOrig="1440" w14:anchorId="1F4B6E5C">
          <v:shape id="_x0000_s2105" type="#_x0000_t75" style="position:absolute;margin-left:2.05pt;margin-top:20.5pt;width:469.45pt;height:434.55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72DAD684" w14:textId="17391FCE" w:rsidR="00217C35" w:rsidRDefault="00217C35" w:rsidP="00927BA4">
      <w:pPr>
        <w:tabs>
          <w:tab w:val="left" w:pos="2430"/>
        </w:tabs>
      </w:pPr>
    </w:p>
    <w:p w14:paraId="50647346" w14:textId="0585D398" w:rsidR="00217C35" w:rsidRDefault="00000000" w:rsidP="00927BA4">
      <w:pPr>
        <w:tabs>
          <w:tab w:val="left" w:pos="2430"/>
        </w:tabs>
      </w:pPr>
      <w:r>
        <w:rPr>
          <w:noProof/>
        </w:rPr>
        <w:object w:dxaOrig="1440" w:dyaOrig="1440" w14:anchorId="2BD58FF9">
          <v:shape id="_x0000_s2106" type="#_x0000_t75" style="position:absolute;margin-left:-9.5pt;margin-top:18.85pt;width:490.25pt;height:549.3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36131CAC" w:rsidR="00593097" w:rsidRDefault="00593097" w:rsidP="00593097">
      <w:pPr>
        <w:tabs>
          <w:tab w:val="left" w:pos="2430"/>
        </w:tabs>
        <w:jc w:val="center"/>
      </w:pPr>
    </w:p>
    <w:p w14:paraId="60254F37" w14:textId="6ED4AC15" w:rsidR="00217C35" w:rsidRDefault="00217C35" w:rsidP="00927BA4">
      <w:pPr>
        <w:tabs>
          <w:tab w:val="left" w:pos="2430"/>
        </w:tabs>
      </w:pPr>
    </w:p>
    <w:p w14:paraId="125CDD2E" w14:textId="2A5D48DF" w:rsidR="00217C35" w:rsidRDefault="00000000" w:rsidP="00927BA4">
      <w:pPr>
        <w:tabs>
          <w:tab w:val="left" w:pos="2430"/>
        </w:tabs>
      </w:pPr>
      <w:r>
        <w:rPr>
          <w:noProof/>
        </w:rPr>
        <w:object w:dxaOrig="1440" w:dyaOrig="1440" w14:anchorId="3B01010C">
          <v:shape id="_x0000_s2107" type="#_x0000_t75" style="position:absolute;margin-left:-7.45pt;margin-top:28.25pt;width:485.25pt;height:567.1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0F9DEC48" w14:textId="44AFE126" w:rsidR="00217C35" w:rsidRDefault="00217C35" w:rsidP="00927BA4">
      <w:pPr>
        <w:tabs>
          <w:tab w:val="left" w:pos="2430"/>
        </w:tabs>
      </w:pPr>
    </w:p>
    <w:p w14:paraId="387E2CF8" w14:textId="46381216" w:rsidR="00217C35" w:rsidRDefault="00217C35" w:rsidP="00927BA4">
      <w:pPr>
        <w:tabs>
          <w:tab w:val="left" w:pos="2430"/>
        </w:tabs>
      </w:pPr>
    </w:p>
    <w:p w14:paraId="5B900361" w14:textId="143A24B8" w:rsidR="00217C35" w:rsidRDefault="00217C35" w:rsidP="00927BA4">
      <w:pPr>
        <w:tabs>
          <w:tab w:val="left" w:pos="2430"/>
        </w:tabs>
      </w:pPr>
    </w:p>
    <w:p w14:paraId="3EDE7F8C" w14:textId="465745F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41A1EB18" w14:textId="77777777" w:rsidR="00C95480" w:rsidRDefault="00C95480" w:rsidP="006D21D0">
      <w:pPr>
        <w:tabs>
          <w:tab w:val="left" w:pos="2430"/>
        </w:tabs>
        <w:jc w:val="center"/>
      </w:pPr>
    </w:p>
    <w:p w14:paraId="30A89EF5" w14:textId="651914BD" w:rsidR="006D21D0" w:rsidRDefault="00672955" w:rsidP="006D21D0">
      <w:pPr>
        <w:tabs>
          <w:tab w:val="left" w:pos="2430"/>
        </w:tabs>
        <w:jc w:val="center"/>
      </w:pPr>
      <w:r>
        <w:rPr>
          <w:noProof/>
        </w:rPr>
        <w:lastRenderedPageBreak/>
        <w:object w:dxaOrig="1440" w:dyaOrig="1440" w14:anchorId="30920F0A">
          <v:shape id="_x0000_s2109" type="#_x0000_t75" style="position:absolute;left:0;text-align:left;margin-left:-13.55pt;margin-top:10.3pt;width:492.5pt;height:680.3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4FE6F7BE" w14:textId="70CC34F8" w:rsidR="006D21D0" w:rsidRDefault="006D21D0" w:rsidP="006D21D0">
      <w:pPr>
        <w:tabs>
          <w:tab w:val="left" w:pos="2430"/>
        </w:tabs>
        <w:jc w:val="center"/>
      </w:pPr>
    </w:p>
    <w:p w14:paraId="6ABB0C96" w14:textId="3229E915" w:rsidR="00217C35" w:rsidRDefault="00217C35" w:rsidP="00927BA4">
      <w:pPr>
        <w:tabs>
          <w:tab w:val="left" w:pos="2430"/>
        </w:tabs>
      </w:pPr>
    </w:p>
    <w:p w14:paraId="24DECB28" w14:textId="2BDBA498" w:rsidR="00217C35" w:rsidRDefault="00217C35" w:rsidP="00927BA4">
      <w:pPr>
        <w:tabs>
          <w:tab w:val="left" w:pos="2430"/>
        </w:tabs>
      </w:pPr>
    </w:p>
    <w:p w14:paraId="12249041" w14:textId="473ECB59" w:rsidR="00217C35" w:rsidRDefault="00217C35" w:rsidP="00927BA4">
      <w:pPr>
        <w:tabs>
          <w:tab w:val="left" w:pos="2430"/>
        </w:tabs>
      </w:pPr>
    </w:p>
    <w:p w14:paraId="1FBED579" w14:textId="6838F0A7" w:rsidR="00217C35" w:rsidRDefault="00217C35" w:rsidP="00927BA4">
      <w:pPr>
        <w:tabs>
          <w:tab w:val="left" w:pos="2430"/>
        </w:tabs>
      </w:pPr>
    </w:p>
    <w:p w14:paraId="77103DD9" w14:textId="08531E60" w:rsidR="00217C35" w:rsidRDefault="00217C35" w:rsidP="00927BA4">
      <w:pPr>
        <w:tabs>
          <w:tab w:val="left" w:pos="2430"/>
        </w:tabs>
      </w:pPr>
    </w:p>
    <w:p w14:paraId="4521A531" w14:textId="683A80A3" w:rsidR="00217C35" w:rsidRDefault="00217C35" w:rsidP="00927BA4">
      <w:pPr>
        <w:tabs>
          <w:tab w:val="left" w:pos="2430"/>
        </w:tabs>
      </w:pPr>
    </w:p>
    <w:p w14:paraId="36CB3047" w14:textId="3731EE78" w:rsidR="00217C35" w:rsidRDefault="00217C35" w:rsidP="00927BA4">
      <w:pPr>
        <w:tabs>
          <w:tab w:val="left" w:pos="2430"/>
        </w:tabs>
      </w:pPr>
    </w:p>
    <w:p w14:paraId="2C07E7B7" w14:textId="7A343826" w:rsidR="00217C35" w:rsidRDefault="00217C35" w:rsidP="00927BA4">
      <w:pPr>
        <w:tabs>
          <w:tab w:val="left" w:pos="2430"/>
        </w:tabs>
      </w:pPr>
    </w:p>
    <w:p w14:paraId="46511BBD" w14:textId="1718BCFB"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2EEDE874"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 xml:space="preserve">Del 1 de </w:t>
            </w:r>
            <w:r w:rsidR="00EF3CD5">
              <w:rPr>
                <w:rFonts w:ascii="Arial" w:eastAsia="Times New Roman" w:hAnsi="Arial" w:cs="Arial"/>
                <w:b/>
                <w:bCs/>
                <w:sz w:val="18"/>
                <w:szCs w:val="18"/>
                <w:lang w:eastAsia="es-MX"/>
              </w:rPr>
              <w:t>enero</w:t>
            </w:r>
            <w:r w:rsidRPr="009A0EF7">
              <w:rPr>
                <w:rFonts w:ascii="Arial" w:eastAsia="Times New Roman" w:hAnsi="Arial" w:cs="Arial"/>
                <w:b/>
                <w:bCs/>
                <w:sz w:val="18"/>
                <w:szCs w:val="18"/>
                <w:lang w:eastAsia="es-MX"/>
              </w:rPr>
              <w:t xml:space="preserve"> al 3</w:t>
            </w:r>
            <w:r w:rsidR="00AC10F6">
              <w:rPr>
                <w:rFonts w:ascii="Arial" w:eastAsia="Times New Roman" w:hAnsi="Arial" w:cs="Arial"/>
                <w:b/>
                <w:bCs/>
                <w:sz w:val="18"/>
                <w:szCs w:val="18"/>
                <w:lang w:eastAsia="es-MX"/>
              </w:rPr>
              <w:t>0</w:t>
            </w:r>
            <w:r w:rsidRPr="009A0EF7">
              <w:rPr>
                <w:rFonts w:ascii="Arial" w:eastAsia="Times New Roman" w:hAnsi="Arial" w:cs="Arial"/>
                <w:b/>
                <w:bCs/>
                <w:sz w:val="18"/>
                <w:szCs w:val="18"/>
                <w:lang w:eastAsia="es-MX"/>
              </w:rPr>
              <w:t xml:space="preserve"> de </w:t>
            </w:r>
            <w:r w:rsidR="00F83261">
              <w:rPr>
                <w:rFonts w:ascii="Arial" w:eastAsia="Times New Roman" w:hAnsi="Arial" w:cs="Arial"/>
                <w:b/>
                <w:bCs/>
                <w:sz w:val="18"/>
                <w:szCs w:val="18"/>
                <w:lang w:eastAsia="es-MX"/>
              </w:rPr>
              <w:t>septiembre</w:t>
            </w:r>
            <w:r w:rsidRPr="009A0EF7">
              <w:rPr>
                <w:rFonts w:ascii="Arial" w:eastAsia="Times New Roman" w:hAnsi="Arial" w:cs="Arial"/>
                <w:b/>
                <w:bCs/>
                <w:sz w:val="18"/>
                <w:szCs w:val="18"/>
                <w:lang w:eastAsia="es-MX"/>
              </w:rPr>
              <w:t xml:space="preserve"> de 202</w:t>
            </w:r>
            <w:r w:rsidR="005640F0">
              <w:rPr>
                <w:rFonts w:ascii="Arial" w:eastAsia="Times New Roman" w:hAnsi="Arial" w:cs="Arial"/>
                <w:b/>
                <w:bCs/>
                <w:sz w:val="18"/>
                <w:szCs w:val="18"/>
                <w:lang w:eastAsia="es-MX"/>
              </w:rPr>
              <w:t>3</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5640F0">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A6DF40A" w14:textId="77777777" w:rsidR="00FD2E2B" w:rsidRDefault="00FD2E2B" w:rsidP="00B742A5">
            <w:pPr>
              <w:spacing w:after="0" w:line="240" w:lineRule="auto"/>
              <w:jc w:val="center"/>
              <w:rPr>
                <w:rFonts w:ascii="Arial" w:eastAsia="Times New Roman" w:hAnsi="Arial" w:cs="Arial"/>
                <w:color w:val="000000"/>
                <w:sz w:val="18"/>
                <w:szCs w:val="18"/>
                <w:lang w:eastAsia="es-MX"/>
              </w:rPr>
            </w:pPr>
          </w:p>
          <w:p w14:paraId="085949E2" w14:textId="0E6E0500" w:rsidR="009A0EF7" w:rsidRPr="009A0EF7" w:rsidRDefault="009A0EF7" w:rsidP="00B742A5">
            <w:pPr>
              <w:spacing w:after="0" w:line="240" w:lineRule="auto"/>
              <w:jc w:val="center"/>
              <w:rPr>
                <w:rFonts w:ascii="Arial" w:eastAsia="Times New Roman" w:hAnsi="Arial" w:cs="Arial"/>
                <w:color w:val="000000"/>
                <w:sz w:val="18"/>
                <w:szCs w:val="18"/>
                <w:lang w:eastAsia="es-MX"/>
              </w:rPr>
            </w:pPr>
          </w:p>
        </w:tc>
        <w:tc>
          <w:tcPr>
            <w:tcW w:w="5006" w:type="dxa"/>
            <w:gridSpan w:val="3"/>
            <w:tcBorders>
              <w:top w:val="nil"/>
              <w:left w:val="nil"/>
              <w:bottom w:val="nil"/>
              <w:right w:val="nil"/>
            </w:tcBorders>
            <w:shd w:val="clear" w:color="000000" w:fill="FFFFFF"/>
            <w:noWrap/>
            <w:vAlign w:val="center"/>
            <w:hideMark/>
          </w:tcPr>
          <w:p w14:paraId="271A7B8A" w14:textId="77777777" w:rsidR="005640F0" w:rsidRDefault="005640F0" w:rsidP="00BA4CC7">
            <w:pPr>
              <w:spacing w:after="0" w:line="240" w:lineRule="auto"/>
              <w:rPr>
                <w:rFonts w:ascii="Arial" w:eastAsia="Times New Roman" w:hAnsi="Arial" w:cs="Arial"/>
                <w:color w:val="000000"/>
                <w:sz w:val="18"/>
                <w:szCs w:val="18"/>
                <w:lang w:eastAsia="es-MX"/>
              </w:rPr>
            </w:pPr>
          </w:p>
          <w:p w14:paraId="54FA78C8" w14:textId="6B704D0D" w:rsidR="005640F0" w:rsidRPr="009A0EF7" w:rsidRDefault="005640F0" w:rsidP="00325BA2">
            <w:pPr>
              <w:spacing w:after="0" w:line="240" w:lineRule="auto"/>
              <w:rPr>
                <w:rFonts w:ascii="Arial" w:eastAsia="Times New Roman" w:hAnsi="Arial" w:cs="Arial"/>
                <w:color w:val="000000"/>
                <w:sz w:val="18"/>
                <w:szCs w:val="18"/>
                <w:lang w:eastAsia="es-MX"/>
              </w:rPr>
            </w:pPr>
          </w:p>
        </w:tc>
        <w:tc>
          <w:tcPr>
            <w:tcW w:w="1615" w:type="dxa"/>
            <w:tcBorders>
              <w:top w:val="nil"/>
              <w:left w:val="nil"/>
              <w:bottom w:val="nil"/>
              <w:right w:val="single" w:sz="4" w:space="0" w:color="auto"/>
            </w:tcBorders>
            <w:shd w:val="clear" w:color="000000" w:fill="FFFFFF"/>
            <w:noWrap/>
            <w:vAlign w:val="center"/>
            <w:hideMark/>
          </w:tcPr>
          <w:p w14:paraId="77211DDD" w14:textId="77777777" w:rsidR="00FD2E2B" w:rsidRDefault="00FD2E2B" w:rsidP="00B742A5">
            <w:pPr>
              <w:spacing w:after="0" w:line="240" w:lineRule="auto"/>
              <w:jc w:val="right"/>
              <w:rPr>
                <w:rFonts w:ascii="Arial" w:eastAsia="Times New Roman" w:hAnsi="Arial" w:cs="Arial"/>
                <w:color w:val="000000"/>
                <w:sz w:val="18"/>
                <w:szCs w:val="18"/>
                <w:lang w:eastAsia="es-MX"/>
              </w:rPr>
            </w:pPr>
          </w:p>
          <w:p w14:paraId="27F86F25" w14:textId="3737EA3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7910B684"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proofErr w:type="spellStart"/>
            <w:r w:rsidRPr="009A0EF7">
              <w:rPr>
                <w:rFonts w:ascii="Arial" w:eastAsia="Times New Roman" w:hAnsi="Arial" w:cs="Arial"/>
                <w:b/>
                <w:bCs/>
                <w:color w:val="000000"/>
                <w:sz w:val="18"/>
                <w:szCs w:val="18"/>
                <w:lang w:eastAsia="es-MX"/>
              </w:rPr>
              <w:t>Jakqueline</w:t>
            </w:r>
            <w:proofErr w:type="spellEnd"/>
            <w:r w:rsidRPr="009A0EF7">
              <w:rPr>
                <w:rFonts w:ascii="Arial" w:eastAsia="Times New Roman" w:hAnsi="Arial" w:cs="Arial"/>
                <w:b/>
                <w:bCs/>
                <w:color w:val="000000"/>
                <w:sz w:val="18"/>
                <w:szCs w:val="18"/>
                <w:lang w:eastAsia="es-MX"/>
              </w:rPr>
              <w:t xml:space="preserve"> Ordoñez </w:t>
            </w:r>
            <w:proofErr w:type="spellStart"/>
            <w:r w:rsidRPr="009A0EF7">
              <w:rPr>
                <w:rFonts w:ascii="Arial" w:eastAsia="Times New Roman" w:hAnsi="Arial" w:cs="Arial"/>
                <w:b/>
                <w:bCs/>
                <w:color w:val="000000"/>
                <w:sz w:val="18"/>
                <w:szCs w:val="18"/>
                <w:lang w:eastAsia="es-MX"/>
              </w:rPr>
              <w:t>Brasdefer</w:t>
            </w:r>
            <w:proofErr w:type="spellEnd"/>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35F52304"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EF3CD5">
        <w:rPr>
          <w:rFonts w:ascii="Soberana Sans Light" w:hAnsi="Soberana Sans Light"/>
          <w:sz w:val="22"/>
          <w:szCs w:val="22"/>
        </w:rPr>
        <w:t>enero</w:t>
      </w:r>
      <w:r>
        <w:rPr>
          <w:rFonts w:ascii="Soberana Sans Light" w:hAnsi="Soberana Sans Light"/>
          <w:sz w:val="22"/>
          <w:szCs w:val="22"/>
        </w:rPr>
        <w:t xml:space="preserve"> al 3</w:t>
      </w:r>
      <w:r w:rsidR="00CF0154">
        <w:rPr>
          <w:rFonts w:ascii="Soberana Sans Light" w:hAnsi="Soberana Sans Light"/>
          <w:sz w:val="22"/>
          <w:szCs w:val="22"/>
        </w:rPr>
        <w:t>0</w:t>
      </w:r>
      <w:r>
        <w:rPr>
          <w:rFonts w:ascii="Soberana Sans Light" w:hAnsi="Soberana Sans Light"/>
          <w:sz w:val="22"/>
          <w:szCs w:val="22"/>
        </w:rPr>
        <w:t xml:space="preserve"> de </w:t>
      </w:r>
      <w:r w:rsidR="00FE50E0">
        <w:rPr>
          <w:rFonts w:ascii="Soberana Sans Light" w:hAnsi="Soberana Sans Light"/>
          <w:sz w:val="22"/>
          <w:szCs w:val="22"/>
        </w:rPr>
        <w:t>septiembre</w:t>
      </w:r>
      <w:r>
        <w:rPr>
          <w:rFonts w:ascii="Soberana Sans Light" w:hAnsi="Soberana Sans Light"/>
          <w:sz w:val="22"/>
          <w:szCs w:val="22"/>
        </w:rPr>
        <w:t xml:space="preserve"> 202</w:t>
      </w:r>
      <w:r w:rsidR="009C55C5">
        <w:rPr>
          <w:rFonts w:ascii="Soberana Sans Light" w:hAnsi="Soberana Sans Light"/>
          <w:sz w:val="22"/>
          <w:szCs w:val="22"/>
        </w:rPr>
        <w:t>3</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49DB56FD"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3</w:t>
            </w:r>
          </w:p>
        </w:tc>
        <w:tc>
          <w:tcPr>
            <w:tcW w:w="1418" w:type="dxa"/>
            <w:shd w:val="clear" w:color="auto" w:fill="833C0C"/>
            <w:noWrap/>
            <w:vAlign w:val="center"/>
            <w:hideMark/>
          </w:tcPr>
          <w:p w14:paraId="2DFE2465" w14:textId="4FA5152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626D3D">
              <w:rPr>
                <w:rFonts w:ascii="Arial" w:hAnsi="Arial" w:cs="Arial"/>
                <w:b/>
                <w:bCs/>
                <w:color w:val="FFFFFF" w:themeColor="background1"/>
                <w:sz w:val="18"/>
                <w:szCs w:val="18"/>
              </w:rPr>
              <w:t>2</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3E9A4122" w:rsidR="009A0EF7" w:rsidRPr="00BC2554" w:rsidRDefault="009243CC"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3,440,808</w:t>
            </w:r>
          </w:p>
        </w:tc>
        <w:tc>
          <w:tcPr>
            <w:tcW w:w="1418" w:type="dxa"/>
            <w:shd w:val="clear" w:color="auto" w:fill="auto"/>
            <w:noWrap/>
            <w:vAlign w:val="center"/>
            <w:hideMark/>
          </w:tcPr>
          <w:p w14:paraId="1055C7B2" w14:textId="21A0C202" w:rsidR="009A0EF7" w:rsidRPr="00BC2554" w:rsidRDefault="00480A55"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4,836,445</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4420B8EA" w:rsidR="009A0EF7" w:rsidRPr="002F31D1" w:rsidRDefault="009243CC"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3,440,808</w:t>
            </w:r>
          </w:p>
        </w:tc>
        <w:tc>
          <w:tcPr>
            <w:tcW w:w="1418" w:type="dxa"/>
            <w:shd w:val="clear" w:color="auto" w:fill="auto"/>
            <w:noWrap/>
            <w:hideMark/>
          </w:tcPr>
          <w:p w14:paraId="180F6F66" w14:textId="2E894FBE" w:rsidR="009A0EF7" w:rsidRPr="002F31D1" w:rsidRDefault="00480A55"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4,836,445</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32CC881E"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0B953F59" w14:textId="48AD54E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7ED9AB62" w14:textId="77777777" w:rsidTr="00B742A5">
        <w:trPr>
          <w:trHeight w:val="251"/>
          <w:jc w:val="center"/>
        </w:trPr>
        <w:tc>
          <w:tcPr>
            <w:tcW w:w="0" w:type="auto"/>
            <w:shd w:val="clear" w:color="auto" w:fill="auto"/>
            <w:noWrap/>
            <w:vAlign w:val="bottom"/>
            <w:hideMark/>
          </w:tcPr>
          <w:p w14:paraId="18D3DC72" w14:textId="77777777" w:rsidR="00480A55" w:rsidRPr="002F31D1" w:rsidRDefault="00480A55" w:rsidP="00480A5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720598ED" w:rsidR="00480A55" w:rsidRPr="002F31D1" w:rsidRDefault="00480A55" w:rsidP="00480A55">
            <w:pPr>
              <w:jc w:val="right"/>
              <w:rPr>
                <w:rFonts w:ascii="Arial" w:hAnsi="Arial" w:cs="Arial"/>
                <w:sz w:val="18"/>
                <w:szCs w:val="18"/>
              </w:rPr>
            </w:pPr>
            <w:r>
              <w:rPr>
                <w:rFonts w:ascii="Arial" w:hAnsi="Arial" w:cs="Arial"/>
                <w:sz w:val="18"/>
                <w:szCs w:val="18"/>
              </w:rPr>
              <w:t xml:space="preserve">                                       7,551</w:t>
            </w:r>
          </w:p>
        </w:tc>
        <w:tc>
          <w:tcPr>
            <w:tcW w:w="1418" w:type="dxa"/>
            <w:shd w:val="clear" w:color="auto" w:fill="auto"/>
            <w:noWrap/>
            <w:vAlign w:val="bottom"/>
            <w:hideMark/>
          </w:tcPr>
          <w:p w14:paraId="6C1864A3" w14:textId="3E8F18DC" w:rsidR="00480A55" w:rsidRPr="002F31D1" w:rsidRDefault="00480A55" w:rsidP="00480A55">
            <w:pPr>
              <w:jc w:val="right"/>
              <w:rPr>
                <w:rFonts w:ascii="Arial" w:hAnsi="Arial" w:cs="Arial"/>
                <w:sz w:val="18"/>
                <w:szCs w:val="18"/>
              </w:rPr>
            </w:pPr>
            <w:r>
              <w:rPr>
                <w:rFonts w:ascii="Arial" w:hAnsi="Arial" w:cs="Arial"/>
                <w:sz w:val="18"/>
                <w:szCs w:val="18"/>
              </w:rPr>
              <w:t xml:space="preserve">                                       7,551</w:t>
            </w:r>
          </w:p>
        </w:tc>
      </w:tr>
      <w:tr w:rsidR="00480A55" w:rsidRPr="002F31D1" w14:paraId="0CAB879C" w14:textId="77777777" w:rsidTr="00B742A5">
        <w:trPr>
          <w:trHeight w:val="251"/>
          <w:jc w:val="center"/>
        </w:trPr>
        <w:tc>
          <w:tcPr>
            <w:tcW w:w="0" w:type="auto"/>
            <w:shd w:val="clear" w:color="auto" w:fill="auto"/>
            <w:noWrap/>
            <w:vAlign w:val="bottom"/>
          </w:tcPr>
          <w:p w14:paraId="7F90DDA3" w14:textId="77777777" w:rsidR="00480A55" w:rsidRPr="002F31D1" w:rsidRDefault="00480A55" w:rsidP="00480A5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480A55" w:rsidRPr="002F31D1"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1881F49" w:rsidR="00480A55" w:rsidRPr="002F31D1"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3DDE4F82" w14:textId="77777777" w:rsidTr="00B742A5">
        <w:trPr>
          <w:trHeight w:val="251"/>
          <w:jc w:val="center"/>
        </w:trPr>
        <w:tc>
          <w:tcPr>
            <w:tcW w:w="0" w:type="auto"/>
            <w:shd w:val="clear" w:color="auto" w:fill="auto"/>
            <w:noWrap/>
            <w:vAlign w:val="bottom"/>
            <w:hideMark/>
          </w:tcPr>
          <w:p w14:paraId="2B7E33E8" w14:textId="77777777" w:rsidR="00480A55" w:rsidRPr="002F31D1" w:rsidRDefault="00480A55" w:rsidP="00480A5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3F1D8572"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sidR="00C6019D">
              <w:rPr>
                <w:rFonts w:ascii="Arial" w:hAnsi="Arial" w:cs="Arial"/>
                <w:sz w:val="18"/>
                <w:szCs w:val="18"/>
              </w:rPr>
              <w:t>8</w:t>
            </w:r>
            <w:r w:rsidR="009A2FE0">
              <w:rPr>
                <w:rFonts w:ascii="Arial" w:hAnsi="Arial" w:cs="Arial"/>
                <w:sz w:val="18"/>
                <w:szCs w:val="18"/>
              </w:rPr>
              <w:t>4</w:t>
            </w:r>
            <w:r w:rsidR="00C6019D">
              <w:rPr>
                <w:rFonts w:ascii="Arial" w:hAnsi="Arial" w:cs="Arial"/>
                <w:sz w:val="18"/>
                <w:szCs w:val="18"/>
              </w:rPr>
              <w:t>,500</w:t>
            </w:r>
            <w:r>
              <w:rPr>
                <w:rFonts w:ascii="Arial" w:hAnsi="Arial" w:cs="Arial"/>
                <w:sz w:val="18"/>
                <w:szCs w:val="18"/>
              </w:rPr>
              <w:t xml:space="preserve"> </w:t>
            </w:r>
          </w:p>
        </w:tc>
        <w:tc>
          <w:tcPr>
            <w:tcW w:w="1418" w:type="dxa"/>
            <w:shd w:val="clear" w:color="auto" w:fill="auto"/>
            <w:noWrap/>
            <w:vAlign w:val="bottom"/>
            <w:hideMark/>
          </w:tcPr>
          <w:p w14:paraId="6664A36C" w14:textId="44C80BBF" w:rsidR="00480A55" w:rsidRPr="002F31D1" w:rsidRDefault="00480A55" w:rsidP="00480A5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22,000 </w:t>
            </w:r>
          </w:p>
        </w:tc>
      </w:tr>
      <w:tr w:rsidR="00480A55" w:rsidRPr="002F31D1" w14:paraId="37DB9139" w14:textId="77777777" w:rsidTr="00B742A5">
        <w:trPr>
          <w:trHeight w:val="251"/>
          <w:jc w:val="center"/>
        </w:trPr>
        <w:tc>
          <w:tcPr>
            <w:tcW w:w="0" w:type="auto"/>
            <w:shd w:val="clear" w:color="auto" w:fill="auto"/>
            <w:noWrap/>
            <w:vAlign w:val="bottom"/>
          </w:tcPr>
          <w:p w14:paraId="149D0FF0" w14:textId="77777777" w:rsidR="00480A55" w:rsidRDefault="00480A55" w:rsidP="00480A5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480A55" w:rsidRPr="00201077" w:rsidRDefault="00480A55" w:rsidP="00480A5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076039D7" w:rsidR="00480A55" w:rsidRDefault="00480A55" w:rsidP="00480A55">
            <w:pPr>
              <w:jc w:val="right"/>
              <w:rPr>
                <w:rFonts w:ascii="Arial" w:hAnsi="Arial" w:cs="Arial"/>
                <w:sz w:val="18"/>
                <w:szCs w:val="18"/>
              </w:rPr>
            </w:pPr>
            <w:r>
              <w:rPr>
                <w:rFonts w:ascii="Arial" w:hAnsi="Arial" w:cs="Arial"/>
                <w:sz w:val="18"/>
                <w:szCs w:val="18"/>
              </w:rPr>
              <w:t>0</w:t>
            </w:r>
          </w:p>
        </w:tc>
      </w:tr>
      <w:tr w:rsidR="00480A55" w:rsidRPr="002F31D1" w14:paraId="0B3FE29A" w14:textId="77777777" w:rsidTr="00B742A5">
        <w:trPr>
          <w:trHeight w:val="251"/>
          <w:jc w:val="center"/>
        </w:trPr>
        <w:tc>
          <w:tcPr>
            <w:tcW w:w="0" w:type="auto"/>
            <w:shd w:val="clear" w:color="auto" w:fill="auto"/>
            <w:noWrap/>
            <w:vAlign w:val="bottom"/>
            <w:hideMark/>
          </w:tcPr>
          <w:p w14:paraId="7D5F1151" w14:textId="77777777" w:rsidR="00480A55" w:rsidRPr="002F31D1" w:rsidRDefault="00480A55" w:rsidP="00480A5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2BC751D6" w:rsidR="00480A55" w:rsidRPr="002F31D1" w:rsidRDefault="009A2FE0" w:rsidP="00480A55">
            <w:pPr>
              <w:jc w:val="right"/>
              <w:rPr>
                <w:rFonts w:ascii="Arial" w:hAnsi="Arial" w:cs="Arial"/>
                <w:b/>
                <w:bCs/>
                <w:sz w:val="18"/>
                <w:szCs w:val="18"/>
                <w:u w:val="double"/>
              </w:rPr>
            </w:pPr>
            <w:r>
              <w:rPr>
                <w:rFonts w:ascii="Arial" w:hAnsi="Arial" w:cs="Arial"/>
                <w:b/>
                <w:bCs/>
                <w:sz w:val="18"/>
                <w:szCs w:val="18"/>
                <w:u w:val="double"/>
              </w:rPr>
              <w:t>92</w:t>
            </w:r>
            <w:r w:rsidR="00C6019D">
              <w:rPr>
                <w:rFonts w:ascii="Arial" w:hAnsi="Arial" w:cs="Arial"/>
                <w:b/>
                <w:bCs/>
                <w:sz w:val="18"/>
                <w:szCs w:val="18"/>
                <w:u w:val="double"/>
              </w:rPr>
              <w:t>,051</w:t>
            </w:r>
          </w:p>
        </w:tc>
        <w:tc>
          <w:tcPr>
            <w:tcW w:w="1418" w:type="dxa"/>
            <w:shd w:val="clear" w:color="auto" w:fill="auto"/>
            <w:noWrap/>
            <w:vAlign w:val="bottom"/>
            <w:hideMark/>
          </w:tcPr>
          <w:p w14:paraId="7E0E7232" w14:textId="02541628" w:rsidR="00480A55" w:rsidRPr="002F31D1" w:rsidRDefault="00480A55" w:rsidP="00480A55">
            <w:pPr>
              <w:jc w:val="right"/>
              <w:rPr>
                <w:rFonts w:ascii="Arial" w:hAnsi="Arial" w:cs="Arial"/>
                <w:b/>
                <w:bCs/>
                <w:sz w:val="18"/>
                <w:szCs w:val="18"/>
                <w:u w:val="double"/>
              </w:rPr>
            </w:pPr>
            <w:r>
              <w:rPr>
                <w:rFonts w:ascii="Arial" w:hAnsi="Arial" w:cs="Arial"/>
                <w:b/>
                <w:bCs/>
                <w:sz w:val="18"/>
                <w:szCs w:val="18"/>
                <w:u w:val="double"/>
              </w:rPr>
              <w:t>29,551</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3DF52458"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1418" w:type="dxa"/>
            <w:shd w:val="clear" w:color="auto" w:fill="833C0C"/>
            <w:noWrap/>
            <w:vAlign w:val="center"/>
            <w:hideMark/>
          </w:tcPr>
          <w:p w14:paraId="3671E590" w14:textId="069D656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3C8F4DF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3</w:t>
            </w:r>
          </w:p>
        </w:tc>
        <w:tc>
          <w:tcPr>
            <w:tcW w:w="0" w:type="auto"/>
            <w:shd w:val="clear" w:color="auto" w:fill="833C0C"/>
            <w:vAlign w:val="center"/>
            <w:hideMark/>
          </w:tcPr>
          <w:p w14:paraId="3F36366E" w14:textId="38738989"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480A55">
              <w:rPr>
                <w:rFonts w:ascii="Arial" w:hAnsi="Arial" w:cs="Arial"/>
                <w:b/>
                <w:bCs/>
                <w:color w:val="FFFFFF"/>
                <w:sz w:val="18"/>
                <w:szCs w:val="18"/>
              </w:rPr>
              <w:t>2</w:t>
            </w:r>
          </w:p>
        </w:tc>
      </w:tr>
      <w:tr w:rsidR="00480A55" w:rsidRPr="002F31D1" w14:paraId="26A799FF" w14:textId="77777777" w:rsidTr="00B742A5">
        <w:trPr>
          <w:trHeight w:val="88"/>
          <w:jc w:val="center"/>
        </w:trPr>
        <w:tc>
          <w:tcPr>
            <w:tcW w:w="3841" w:type="dxa"/>
            <w:shd w:val="clear" w:color="auto" w:fill="auto"/>
            <w:noWrap/>
            <w:vAlign w:val="bottom"/>
            <w:hideMark/>
          </w:tcPr>
          <w:p w14:paraId="3D7E9812"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402A722B" w:rsidR="00480A55" w:rsidRPr="002F31D1" w:rsidRDefault="004050B3" w:rsidP="00480A55">
            <w:pPr>
              <w:jc w:val="right"/>
              <w:rPr>
                <w:rFonts w:ascii="Arial" w:hAnsi="Arial" w:cs="Arial"/>
                <w:color w:val="000000"/>
                <w:sz w:val="18"/>
                <w:szCs w:val="18"/>
              </w:rPr>
            </w:pPr>
            <w:r>
              <w:rPr>
                <w:rFonts w:ascii="Arial" w:hAnsi="Arial" w:cs="Arial"/>
                <w:color w:val="000000"/>
                <w:sz w:val="18"/>
                <w:szCs w:val="18"/>
              </w:rPr>
              <w:t>1,649,034</w:t>
            </w:r>
          </w:p>
        </w:tc>
        <w:tc>
          <w:tcPr>
            <w:tcW w:w="0" w:type="auto"/>
            <w:shd w:val="clear" w:color="auto" w:fill="auto"/>
            <w:noWrap/>
            <w:vAlign w:val="bottom"/>
          </w:tcPr>
          <w:p w14:paraId="6700D992" w14:textId="36E4AD73"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1,449,073</w:t>
            </w:r>
          </w:p>
        </w:tc>
      </w:tr>
      <w:tr w:rsidR="00480A55" w:rsidRPr="002F31D1" w14:paraId="1D75DF35" w14:textId="77777777" w:rsidTr="00B742A5">
        <w:trPr>
          <w:trHeight w:val="88"/>
          <w:jc w:val="center"/>
        </w:trPr>
        <w:tc>
          <w:tcPr>
            <w:tcW w:w="3841" w:type="dxa"/>
            <w:shd w:val="clear" w:color="auto" w:fill="auto"/>
            <w:noWrap/>
            <w:vAlign w:val="bottom"/>
            <w:hideMark/>
          </w:tcPr>
          <w:p w14:paraId="06CB8AF4"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11EF1AB5" w:rsidR="00480A55" w:rsidRPr="002F31D1" w:rsidRDefault="006C66A5" w:rsidP="00480A55">
            <w:pPr>
              <w:jc w:val="right"/>
              <w:rPr>
                <w:rFonts w:ascii="Arial" w:hAnsi="Arial" w:cs="Arial"/>
                <w:color w:val="000000"/>
                <w:sz w:val="18"/>
                <w:szCs w:val="18"/>
              </w:rPr>
            </w:pPr>
            <w:r>
              <w:rPr>
                <w:rFonts w:ascii="Arial" w:hAnsi="Arial" w:cs="Arial"/>
                <w:color w:val="000000"/>
                <w:sz w:val="18"/>
                <w:szCs w:val="18"/>
              </w:rPr>
              <w:t>46,872</w:t>
            </w:r>
          </w:p>
        </w:tc>
        <w:tc>
          <w:tcPr>
            <w:tcW w:w="0" w:type="auto"/>
            <w:shd w:val="clear" w:color="auto" w:fill="auto"/>
            <w:noWrap/>
            <w:vAlign w:val="bottom"/>
          </w:tcPr>
          <w:p w14:paraId="5F8C1E5E" w14:textId="6D46CBA1"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30,873</w:t>
            </w:r>
          </w:p>
        </w:tc>
      </w:tr>
      <w:tr w:rsidR="00480A55" w:rsidRPr="002F31D1" w14:paraId="3C0847A3" w14:textId="77777777" w:rsidTr="00B742A5">
        <w:trPr>
          <w:trHeight w:val="88"/>
          <w:jc w:val="center"/>
        </w:trPr>
        <w:tc>
          <w:tcPr>
            <w:tcW w:w="3841" w:type="dxa"/>
            <w:shd w:val="clear" w:color="auto" w:fill="auto"/>
            <w:noWrap/>
            <w:vAlign w:val="bottom"/>
            <w:hideMark/>
          </w:tcPr>
          <w:p w14:paraId="4E00ACAD"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480A55" w:rsidRPr="002F31D1"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AF3136E" w:rsidR="00480A55" w:rsidRPr="00CE7422" w:rsidRDefault="00480A55" w:rsidP="00480A55">
            <w:pPr>
              <w:jc w:val="right"/>
              <w:rPr>
                <w:rFonts w:ascii="Arial" w:hAnsi="Arial" w:cs="Arial"/>
                <w:color w:val="000000"/>
                <w:sz w:val="18"/>
                <w:szCs w:val="18"/>
              </w:rPr>
            </w:pPr>
            <w:r w:rsidRPr="009B7CA5">
              <w:rPr>
                <w:rFonts w:ascii="Arial" w:hAnsi="Arial" w:cs="Arial"/>
                <w:color w:val="000000"/>
                <w:sz w:val="18"/>
                <w:szCs w:val="18"/>
              </w:rPr>
              <w:t>5,900</w:t>
            </w:r>
          </w:p>
        </w:tc>
      </w:tr>
      <w:tr w:rsidR="00480A55" w:rsidRPr="002F31D1" w14:paraId="1E4B39AC" w14:textId="77777777" w:rsidTr="00B742A5">
        <w:trPr>
          <w:trHeight w:val="88"/>
          <w:jc w:val="center"/>
        </w:trPr>
        <w:tc>
          <w:tcPr>
            <w:tcW w:w="3841" w:type="dxa"/>
            <w:shd w:val="clear" w:color="auto" w:fill="auto"/>
            <w:noWrap/>
            <w:vAlign w:val="bottom"/>
            <w:hideMark/>
          </w:tcPr>
          <w:p w14:paraId="24B101B9"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001AB3B2"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2,655,075</w:t>
            </w:r>
          </w:p>
        </w:tc>
      </w:tr>
      <w:tr w:rsidR="00480A55" w:rsidRPr="002F31D1" w14:paraId="5AAFB951" w14:textId="77777777" w:rsidTr="00B742A5">
        <w:trPr>
          <w:trHeight w:val="88"/>
          <w:jc w:val="center"/>
        </w:trPr>
        <w:tc>
          <w:tcPr>
            <w:tcW w:w="3841" w:type="dxa"/>
            <w:shd w:val="clear" w:color="auto" w:fill="auto"/>
            <w:noWrap/>
            <w:vAlign w:val="bottom"/>
            <w:hideMark/>
          </w:tcPr>
          <w:p w14:paraId="46F047B0" w14:textId="77777777" w:rsidR="00480A55" w:rsidRPr="002F31D1" w:rsidRDefault="00480A55" w:rsidP="00480A5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480A55" w:rsidRPr="002F31D1" w:rsidRDefault="00480A55" w:rsidP="00480A55">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28E8BFD0" w:rsidR="00480A55" w:rsidRPr="00CE7422" w:rsidRDefault="00480A55" w:rsidP="00480A55">
            <w:pPr>
              <w:jc w:val="right"/>
              <w:rPr>
                <w:rFonts w:ascii="Arial" w:hAnsi="Arial" w:cs="Arial"/>
                <w:color w:val="000000"/>
                <w:sz w:val="18"/>
                <w:szCs w:val="18"/>
              </w:rPr>
            </w:pPr>
            <w:r>
              <w:rPr>
                <w:rFonts w:ascii="Arial" w:hAnsi="Arial" w:cs="Arial"/>
                <w:color w:val="000000"/>
                <w:sz w:val="18"/>
                <w:szCs w:val="18"/>
              </w:rPr>
              <w:t>40,769</w:t>
            </w:r>
          </w:p>
        </w:tc>
      </w:tr>
      <w:tr w:rsidR="00480A55" w:rsidRPr="00DE4ED4" w14:paraId="6D56DA35" w14:textId="77777777" w:rsidTr="00B742A5">
        <w:trPr>
          <w:trHeight w:val="88"/>
          <w:jc w:val="center"/>
        </w:trPr>
        <w:tc>
          <w:tcPr>
            <w:tcW w:w="3841" w:type="dxa"/>
            <w:shd w:val="clear" w:color="auto" w:fill="auto"/>
            <w:noWrap/>
            <w:vAlign w:val="bottom"/>
            <w:hideMark/>
          </w:tcPr>
          <w:p w14:paraId="22653F4E" w14:textId="77777777" w:rsidR="00480A55" w:rsidRPr="002F31D1" w:rsidRDefault="00480A55" w:rsidP="00480A5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3BF19950" w:rsidR="00480A55" w:rsidRPr="002F31D1" w:rsidRDefault="00632D11" w:rsidP="00480A55">
            <w:pPr>
              <w:jc w:val="right"/>
              <w:rPr>
                <w:rFonts w:ascii="Arial" w:hAnsi="Arial" w:cs="Arial"/>
                <w:b/>
                <w:bCs/>
                <w:sz w:val="18"/>
                <w:szCs w:val="18"/>
                <w:u w:val="double"/>
              </w:rPr>
            </w:pPr>
            <w:r>
              <w:rPr>
                <w:rFonts w:ascii="Arial" w:hAnsi="Arial" w:cs="Arial"/>
                <w:b/>
                <w:bCs/>
                <w:sz w:val="18"/>
                <w:szCs w:val="18"/>
                <w:u w:val="double"/>
              </w:rPr>
              <w:t>4,3</w:t>
            </w:r>
            <w:r w:rsidR="00004601">
              <w:rPr>
                <w:rFonts w:ascii="Arial" w:hAnsi="Arial" w:cs="Arial"/>
                <w:b/>
                <w:bCs/>
                <w:sz w:val="18"/>
                <w:szCs w:val="18"/>
                <w:u w:val="double"/>
              </w:rPr>
              <w:t>97</w:t>
            </w:r>
            <w:r>
              <w:rPr>
                <w:rFonts w:ascii="Arial" w:hAnsi="Arial" w:cs="Arial"/>
                <w:b/>
                <w:bCs/>
                <w:sz w:val="18"/>
                <w:szCs w:val="18"/>
                <w:u w:val="double"/>
              </w:rPr>
              <w:t>,</w:t>
            </w:r>
            <w:r w:rsidR="00004601">
              <w:rPr>
                <w:rFonts w:ascii="Arial" w:hAnsi="Arial" w:cs="Arial"/>
                <w:b/>
                <w:bCs/>
                <w:sz w:val="18"/>
                <w:szCs w:val="18"/>
                <w:u w:val="double"/>
              </w:rPr>
              <w:t>650</w:t>
            </w:r>
          </w:p>
        </w:tc>
        <w:tc>
          <w:tcPr>
            <w:tcW w:w="0" w:type="auto"/>
            <w:shd w:val="clear" w:color="auto" w:fill="auto"/>
            <w:noWrap/>
            <w:vAlign w:val="center"/>
            <w:hideMark/>
          </w:tcPr>
          <w:p w14:paraId="55FD313D" w14:textId="762BF983" w:rsidR="00480A55" w:rsidRPr="00CE7422" w:rsidRDefault="00480A55" w:rsidP="00480A55">
            <w:pPr>
              <w:jc w:val="right"/>
              <w:rPr>
                <w:rFonts w:ascii="Arial" w:hAnsi="Arial" w:cs="Arial"/>
                <w:b/>
                <w:bCs/>
                <w:sz w:val="18"/>
                <w:szCs w:val="18"/>
                <w:u w:val="double"/>
              </w:rPr>
            </w:pPr>
            <w:r>
              <w:rPr>
                <w:rFonts w:ascii="Arial" w:hAnsi="Arial" w:cs="Arial"/>
                <w:b/>
                <w:bCs/>
                <w:sz w:val="18"/>
                <w:szCs w:val="18"/>
                <w:u w:val="double"/>
              </w:rPr>
              <w:t>4,181,690</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40BAEDC2"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3</w:t>
            </w:r>
          </w:p>
        </w:tc>
        <w:tc>
          <w:tcPr>
            <w:tcW w:w="1554" w:type="dxa"/>
            <w:shd w:val="clear" w:color="auto" w:fill="833C0C"/>
            <w:noWrap/>
            <w:vAlign w:val="center"/>
            <w:hideMark/>
          </w:tcPr>
          <w:p w14:paraId="688836B3" w14:textId="564A266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596035">
              <w:rPr>
                <w:rFonts w:ascii="Arial" w:hAnsi="Arial" w:cs="Arial"/>
                <w:b/>
                <w:bCs/>
                <w:color w:val="FFFFFF"/>
                <w:sz w:val="18"/>
                <w:szCs w:val="18"/>
              </w:rPr>
              <w:t>2</w:t>
            </w:r>
          </w:p>
        </w:tc>
      </w:tr>
      <w:tr w:rsidR="00596035" w:rsidRPr="002F31D1" w14:paraId="5F94E610" w14:textId="77777777" w:rsidTr="00B742A5">
        <w:trPr>
          <w:trHeight w:val="100"/>
          <w:jc w:val="center"/>
        </w:trPr>
        <w:tc>
          <w:tcPr>
            <w:tcW w:w="3710" w:type="dxa"/>
            <w:shd w:val="clear" w:color="auto" w:fill="auto"/>
            <w:noWrap/>
            <w:vAlign w:val="bottom"/>
            <w:hideMark/>
          </w:tcPr>
          <w:p w14:paraId="4D62451B" w14:textId="77777777" w:rsidR="00596035" w:rsidRPr="002F31D1" w:rsidRDefault="00596035" w:rsidP="0059603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1061E"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c>
          <w:tcPr>
            <w:tcW w:w="1554" w:type="dxa"/>
            <w:noWrap/>
            <w:hideMark/>
          </w:tcPr>
          <w:p w14:paraId="3EF5323B" w14:textId="08D5DE2F" w:rsidR="00596035" w:rsidRPr="009F6C1F" w:rsidRDefault="00596035" w:rsidP="00596035">
            <w:pPr>
              <w:jc w:val="right"/>
              <w:rPr>
                <w:rFonts w:ascii="Arial" w:hAnsi="Arial" w:cs="Arial"/>
                <w:color w:val="000000"/>
                <w:sz w:val="18"/>
                <w:szCs w:val="18"/>
              </w:rPr>
            </w:pPr>
            <w:r>
              <w:rPr>
                <w:rFonts w:ascii="Arial" w:hAnsi="Arial" w:cs="Arial"/>
                <w:sz w:val="18"/>
                <w:szCs w:val="18"/>
              </w:rPr>
              <w:t>-254,898</w:t>
            </w:r>
          </w:p>
        </w:tc>
      </w:tr>
      <w:tr w:rsidR="00596035" w:rsidRPr="002F31D1" w14:paraId="635081DA" w14:textId="77777777" w:rsidTr="00B742A5">
        <w:trPr>
          <w:trHeight w:val="100"/>
          <w:jc w:val="center"/>
        </w:trPr>
        <w:tc>
          <w:tcPr>
            <w:tcW w:w="3710" w:type="dxa"/>
            <w:shd w:val="clear" w:color="auto" w:fill="auto"/>
            <w:noWrap/>
            <w:vAlign w:val="bottom"/>
            <w:hideMark/>
          </w:tcPr>
          <w:p w14:paraId="6E4ACB7A" w14:textId="77777777" w:rsidR="00596035" w:rsidRPr="002F31D1" w:rsidRDefault="00596035" w:rsidP="0059603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574A7BC5" w:rsidR="00596035" w:rsidRPr="009F6C1F" w:rsidRDefault="00596035" w:rsidP="0059603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596035" w:rsidRPr="002F31D1" w14:paraId="55A9413E" w14:textId="77777777" w:rsidTr="00B742A5">
        <w:trPr>
          <w:trHeight w:val="100"/>
          <w:jc w:val="center"/>
        </w:trPr>
        <w:tc>
          <w:tcPr>
            <w:tcW w:w="3710" w:type="dxa"/>
            <w:shd w:val="clear" w:color="auto" w:fill="auto"/>
            <w:noWrap/>
            <w:vAlign w:val="bottom"/>
            <w:hideMark/>
          </w:tcPr>
          <w:p w14:paraId="2292693B" w14:textId="77777777" w:rsidR="00596035" w:rsidRPr="002F31D1" w:rsidRDefault="00596035" w:rsidP="00596035">
            <w:pPr>
              <w:rPr>
                <w:rFonts w:ascii="Arial" w:hAnsi="Arial" w:cs="Arial"/>
                <w:sz w:val="18"/>
                <w:szCs w:val="18"/>
              </w:rPr>
            </w:pPr>
            <w:r w:rsidRPr="002F31D1">
              <w:rPr>
                <w:rFonts w:ascii="Arial" w:hAnsi="Arial" w:cs="Arial"/>
                <w:b/>
                <w:sz w:val="18"/>
                <w:szCs w:val="18"/>
              </w:rPr>
              <w:t>Total</w:t>
            </w:r>
          </w:p>
        </w:tc>
        <w:tc>
          <w:tcPr>
            <w:tcW w:w="1554" w:type="dxa"/>
          </w:tcPr>
          <w:p w14:paraId="65DBB886" w14:textId="3B355E6B"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c>
          <w:tcPr>
            <w:tcW w:w="1554" w:type="dxa"/>
            <w:noWrap/>
            <w:hideMark/>
          </w:tcPr>
          <w:p w14:paraId="3942E072" w14:textId="13344BCC" w:rsidR="00596035" w:rsidRDefault="00596035" w:rsidP="00596035">
            <w:pPr>
              <w:jc w:val="right"/>
              <w:rPr>
                <w:rFonts w:ascii="Arial" w:hAnsi="Arial" w:cs="Arial"/>
                <w:b/>
                <w:bCs/>
                <w:sz w:val="18"/>
                <w:szCs w:val="18"/>
                <w:u w:val="double"/>
              </w:rPr>
            </w:pPr>
            <w:r>
              <w:rPr>
                <w:rFonts w:ascii="Arial" w:hAnsi="Arial" w:cs="Arial"/>
                <w:b/>
                <w:bCs/>
                <w:sz w:val="18"/>
                <w:szCs w:val="18"/>
                <w:u w:val="double"/>
              </w:rPr>
              <w:t>-1,950,373</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0F68E593"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w:t>
      </w:r>
      <w:r w:rsidR="008A0FD3">
        <w:rPr>
          <w:rFonts w:ascii="Arial" w:hAnsi="Arial" w:cs="Arial"/>
          <w:sz w:val="18"/>
          <w:szCs w:val="18"/>
        </w:rPr>
        <w:t>,</w:t>
      </w:r>
      <w:r>
        <w:rPr>
          <w:rFonts w:ascii="Arial" w:hAnsi="Arial" w:cs="Arial"/>
          <w:sz w:val="18"/>
          <w:szCs w:val="18"/>
        </w:rPr>
        <w:t xml:space="preserve"> 2021</w:t>
      </w:r>
      <w:r w:rsidR="008A0FD3">
        <w:rPr>
          <w:rFonts w:ascii="Arial" w:hAnsi="Arial" w:cs="Arial"/>
          <w:sz w:val="18"/>
          <w:szCs w:val="18"/>
        </w:rPr>
        <w:t xml:space="preserve"> y 2022</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3E09E30D"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3</w:t>
            </w:r>
          </w:p>
        </w:tc>
        <w:tc>
          <w:tcPr>
            <w:tcW w:w="1418" w:type="dxa"/>
            <w:shd w:val="clear" w:color="auto" w:fill="833C0C"/>
            <w:vAlign w:val="center"/>
          </w:tcPr>
          <w:p w14:paraId="7DCC108B" w14:textId="040E65D4"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A0FD3">
              <w:rPr>
                <w:rFonts w:ascii="Arial" w:hAnsi="Arial" w:cs="Arial"/>
                <w:b/>
                <w:bCs/>
                <w:color w:val="FFFFFF"/>
                <w:sz w:val="18"/>
                <w:szCs w:val="18"/>
              </w:rPr>
              <w:t>2</w:t>
            </w:r>
          </w:p>
        </w:tc>
      </w:tr>
      <w:tr w:rsidR="008A0FD3" w:rsidRPr="002F31D1" w14:paraId="16C68BB5" w14:textId="77777777" w:rsidTr="00B742A5">
        <w:trPr>
          <w:trHeight w:val="199"/>
          <w:jc w:val="center"/>
        </w:trPr>
        <w:tc>
          <w:tcPr>
            <w:tcW w:w="0" w:type="auto"/>
            <w:shd w:val="clear" w:color="auto" w:fill="auto"/>
            <w:noWrap/>
            <w:vAlign w:val="center"/>
            <w:hideMark/>
          </w:tcPr>
          <w:p w14:paraId="58A1BC65" w14:textId="77777777" w:rsidR="008A0FD3" w:rsidRPr="002F31D1" w:rsidRDefault="008A0FD3" w:rsidP="008A0FD3">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38EFDBE" w:rsidR="008A0FD3" w:rsidRPr="002F31D1" w:rsidRDefault="008A0FD3" w:rsidP="008A0FD3">
            <w:pPr>
              <w:jc w:val="right"/>
              <w:rPr>
                <w:rFonts w:ascii="Arial" w:hAnsi="Arial" w:cs="Arial"/>
                <w:sz w:val="18"/>
                <w:szCs w:val="18"/>
              </w:rPr>
            </w:pPr>
            <w:r w:rsidRPr="002F31D1">
              <w:rPr>
                <w:rFonts w:ascii="Arial" w:hAnsi="Arial" w:cs="Arial"/>
                <w:sz w:val="18"/>
                <w:szCs w:val="18"/>
              </w:rPr>
              <w:t>1,140,000</w:t>
            </w:r>
          </w:p>
        </w:tc>
      </w:tr>
      <w:tr w:rsidR="008A0FD3" w:rsidRPr="002F31D1" w14:paraId="594401A2" w14:textId="77777777" w:rsidTr="00B742A5">
        <w:trPr>
          <w:trHeight w:val="199"/>
          <w:jc w:val="center"/>
        </w:trPr>
        <w:tc>
          <w:tcPr>
            <w:tcW w:w="0" w:type="auto"/>
            <w:shd w:val="clear" w:color="auto" w:fill="auto"/>
            <w:noWrap/>
            <w:vAlign w:val="center"/>
          </w:tcPr>
          <w:p w14:paraId="32DC08CD" w14:textId="7054B37D" w:rsidR="008A0FD3" w:rsidRPr="002F31D1" w:rsidRDefault="008A0FD3" w:rsidP="008A0FD3">
            <w:pPr>
              <w:rPr>
                <w:rFonts w:ascii="Arial" w:hAnsi="Arial" w:cs="Arial"/>
                <w:sz w:val="18"/>
                <w:szCs w:val="18"/>
              </w:rPr>
            </w:pPr>
            <w:r>
              <w:rPr>
                <w:rFonts w:ascii="Arial" w:hAnsi="Arial" w:cs="Arial"/>
                <w:sz w:val="18"/>
                <w:szCs w:val="18"/>
              </w:rPr>
              <w:t>Edificación</w:t>
            </w:r>
          </w:p>
        </w:tc>
        <w:tc>
          <w:tcPr>
            <w:tcW w:w="1418" w:type="dxa"/>
            <w:shd w:val="clear" w:color="auto" w:fill="auto"/>
            <w:noWrap/>
            <w:vAlign w:val="center"/>
          </w:tcPr>
          <w:p w14:paraId="3E4A737E" w14:textId="1D405E84" w:rsidR="008A0FD3" w:rsidRPr="002F31D1" w:rsidRDefault="008A0FD3" w:rsidP="008A0FD3">
            <w:pPr>
              <w:jc w:val="right"/>
              <w:rPr>
                <w:rFonts w:ascii="Arial" w:hAnsi="Arial" w:cs="Arial"/>
                <w:sz w:val="18"/>
                <w:szCs w:val="18"/>
              </w:rPr>
            </w:pPr>
            <w:r>
              <w:rPr>
                <w:rFonts w:ascii="Arial" w:hAnsi="Arial" w:cs="Arial"/>
                <w:sz w:val="18"/>
                <w:szCs w:val="18"/>
              </w:rPr>
              <w:t>3,597,601</w:t>
            </w:r>
          </w:p>
        </w:tc>
        <w:tc>
          <w:tcPr>
            <w:tcW w:w="1418" w:type="dxa"/>
            <w:vAlign w:val="center"/>
          </w:tcPr>
          <w:p w14:paraId="493D8C81" w14:textId="2E24B419" w:rsidR="008A0FD3" w:rsidRPr="002F31D1" w:rsidRDefault="008A0FD3" w:rsidP="008A0FD3">
            <w:pPr>
              <w:jc w:val="right"/>
              <w:rPr>
                <w:rFonts w:ascii="Arial" w:hAnsi="Arial" w:cs="Arial"/>
                <w:sz w:val="18"/>
                <w:szCs w:val="18"/>
              </w:rPr>
            </w:pPr>
            <w:r>
              <w:rPr>
                <w:rFonts w:ascii="Arial" w:hAnsi="Arial" w:cs="Arial"/>
                <w:sz w:val="18"/>
                <w:szCs w:val="18"/>
              </w:rPr>
              <w:t>3,597,601</w:t>
            </w:r>
          </w:p>
        </w:tc>
      </w:tr>
      <w:tr w:rsidR="008A0FD3" w:rsidRPr="00AF6A66" w14:paraId="100DEB96" w14:textId="77777777" w:rsidTr="00B742A5">
        <w:trPr>
          <w:trHeight w:val="235"/>
          <w:jc w:val="center"/>
        </w:trPr>
        <w:tc>
          <w:tcPr>
            <w:tcW w:w="0" w:type="auto"/>
            <w:shd w:val="clear" w:color="auto" w:fill="auto"/>
            <w:noWrap/>
            <w:vAlign w:val="bottom"/>
            <w:hideMark/>
          </w:tcPr>
          <w:p w14:paraId="59EA68B5" w14:textId="77777777" w:rsidR="008A0FD3" w:rsidRPr="00D71C75" w:rsidRDefault="008A0FD3" w:rsidP="008A0FD3">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2A0D67B"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c>
          <w:tcPr>
            <w:tcW w:w="1418" w:type="dxa"/>
            <w:vAlign w:val="center"/>
          </w:tcPr>
          <w:p w14:paraId="290DC366" w14:textId="03A57C21" w:rsidR="008A0FD3" w:rsidRPr="00D71C75" w:rsidRDefault="008A0FD3" w:rsidP="008A0FD3">
            <w:pPr>
              <w:jc w:val="right"/>
              <w:rPr>
                <w:rFonts w:ascii="Arial" w:hAnsi="Arial" w:cs="Arial"/>
                <w:b/>
                <w:bCs/>
                <w:sz w:val="18"/>
                <w:szCs w:val="18"/>
                <w:u w:val="double"/>
              </w:rPr>
            </w:pPr>
            <w:r w:rsidRPr="00D71C75">
              <w:rPr>
                <w:rFonts w:ascii="Arial" w:hAnsi="Arial" w:cs="Arial"/>
                <w:b/>
                <w:bCs/>
                <w:sz w:val="18"/>
                <w:szCs w:val="18"/>
                <w:u w:val="double"/>
              </w:rPr>
              <w:t xml:space="preserve">  </w:t>
            </w:r>
            <w:r>
              <w:rPr>
                <w:rFonts w:ascii="Arial" w:hAnsi="Arial" w:cs="Arial"/>
                <w:b/>
                <w:bCs/>
                <w:sz w:val="18"/>
                <w:szCs w:val="18"/>
                <w:u w:val="double"/>
              </w:rPr>
              <w:t>4</w:t>
            </w:r>
            <w:r>
              <w:rPr>
                <w:rFonts w:ascii="Arial" w:hAnsi="Arial" w:cs="Arial"/>
                <w:b/>
                <w:sz w:val="18"/>
                <w:szCs w:val="18"/>
                <w:u w:val="double"/>
              </w:rPr>
              <w:t>,737,601</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66"/>
        <w:gridCol w:w="135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07BE2E4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3</w:t>
            </w:r>
          </w:p>
        </w:tc>
        <w:tc>
          <w:tcPr>
            <w:tcW w:w="1418" w:type="dxa"/>
            <w:shd w:val="clear" w:color="auto" w:fill="833C0C"/>
            <w:noWrap/>
            <w:vAlign w:val="center"/>
            <w:hideMark/>
          </w:tcPr>
          <w:p w14:paraId="129D42FB" w14:textId="2235F763"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994F26">
              <w:rPr>
                <w:rFonts w:ascii="Arial" w:hAnsi="Arial" w:cs="Arial"/>
                <w:b/>
                <w:bCs/>
                <w:color w:val="FFFFFF"/>
                <w:sz w:val="18"/>
                <w:szCs w:val="18"/>
              </w:rPr>
              <w:t>2</w:t>
            </w:r>
          </w:p>
        </w:tc>
      </w:tr>
      <w:tr w:rsidR="00994F26" w:rsidRPr="00215D25" w14:paraId="14A200F6" w14:textId="77777777" w:rsidTr="00B742A5">
        <w:trPr>
          <w:trHeight w:val="312"/>
          <w:jc w:val="center"/>
        </w:trPr>
        <w:tc>
          <w:tcPr>
            <w:tcW w:w="0" w:type="auto"/>
            <w:shd w:val="clear" w:color="000000" w:fill="FFFFFF"/>
            <w:noWrap/>
            <w:vAlign w:val="bottom"/>
            <w:hideMark/>
          </w:tcPr>
          <w:p w14:paraId="69520922" w14:textId="77777777" w:rsidR="00994F26" w:rsidRPr="002F31D1" w:rsidRDefault="00994F26" w:rsidP="00994F2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6AA59D06" w:rsidR="00994F26" w:rsidRPr="002F31D1" w:rsidRDefault="00994F26" w:rsidP="00994F26">
            <w:pPr>
              <w:jc w:val="right"/>
              <w:rPr>
                <w:rFonts w:ascii="Arial" w:hAnsi="Arial" w:cs="Arial"/>
                <w:sz w:val="18"/>
                <w:szCs w:val="18"/>
              </w:rPr>
            </w:pPr>
            <w:r>
              <w:rPr>
                <w:rFonts w:ascii="Arial" w:hAnsi="Arial" w:cs="Arial"/>
                <w:sz w:val="18"/>
                <w:szCs w:val="18"/>
              </w:rPr>
              <w:t xml:space="preserve">  </w:t>
            </w:r>
            <w:r w:rsidR="00C20930">
              <w:rPr>
                <w:rFonts w:ascii="Arial" w:hAnsi="Arial" w:cs="Arial"/>
                <w:sz w:val="18"/>
                <w:szCs w:val="18"/>
              </w:rPr>
              <w:t>167,242</w:t>
            </w:r>
          </w:p>
        </w:tc>
        <w:tc>
          <w:tcPr>
            <w:tcW w:w="1418" w:type="dxa"/>
            <w:shd w:val="clear" w:color="000000" w:fill="FFFFFF"/>
            <w:noWrap/>
            <w:vAlign w:val="bottom"/>
          </w:tcPr>
          <w:p w14:paraId="7E7CCBC3" w14:textId="35FB2F76"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 xml:space="preserve">  736,323</w:t>
            </w:r>
          </w:p>
        </w:tc>
      </w:tr>
      <w:tr w:rsidR="00994F26" w:rsidRPr="00215D25" w14:paraId="00BB73CC" w14:textId="77777777" w:rsidTr="00B742A5">
        <w:trPr>
          <w:trHeight w:val="312"/>
          <w:jc w:val="center"/>
        </w:trPr>
        <w:tc>
          <w:tcPr>
            <w:tcW w:w="0" w:type="auto"/>
            <w:shd w:val="clear" w:color="000000" w:fill="FFFFFF"/>
            <w:noWrap/>
            <w:vAlign w:val="bottom"/>
          </w:tcPr>
          <w:p w14:paraId="260BA06E" w14:textId="0C097979" w:rsidR="00994F26" w:rsidRPr="002F31D1" w:rsidRDefault="00994F26" w:rsidP="00994F2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r>
              <w:rPr>
                <w:rFonts w:ascii="Arial" w:hAnsi="Arial" w:cs="Arial"/>
                <w:sz w:val="18"/>
                <w:szCs w:val="18"/>
              </w:rPr>
              <w:t>, RESICO</w:t>
            </w:r>
          </w:p>
        </w:tc>
        <w:tc>
          <w:tcPr>
            <w:tcW w:w="0" w:type="auto"/>
            <w:shd w:val="clear" w:color="000000" w:fill="FFFFFF"/>
            <w:noWrap/>
            <w:vAlign w:val="bottom"/>
          </w:tcPr>
          <w:p w14:paraId="2716653E"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61A4ACEA" w:rsidR="00994F26" w:rsidRPr="00D11AD3" w:rsidRDefault="00C20930" w:rsidP="00994F26">
            <w:pPr>
              <w:jc w:val="right"/>
              <w:rPr>
                <w:rFonts w:ascii="Arial" w:hAnsi="Arial" w:cs="Arial"/>
                <w:color w:val="FF0000"/>
                <w:sz w:val="18"/>
                <w:szCs w:val="18"/>
              </w:rPr>
            </w:pPr>
            <w:r>
              <w:rPr>
                <w:rFonts w:ascii="Arial" w:hAnsi="Arial" w:cs="Arial"/>
                <w:sz w:val="18"/>
                <w:szCs w:val="18"/>
              </w:rPr>
              <w:t>139</w:t>
            </w:r>
          </w:p>
        </w:tc>
        <w:tc>
          <w:tcPr>
            <w:tcW w:w="1418" w:type="dxa"/>
            <w:shd w:val="clear" w:color="000000" w:fill="FFFFFF"/>
            <w:noWrap/>
            <w:vAlign w:val="bottom"/>
          </w:tcPr>
          <w:p w14:paraId="4D98F9FE" w14:textId="6063370E"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2,475</w:t>
            </w:r>
          </w:p>
        </w:tc>
      </w:tr>
      <w:tr w:rsidR="00994F26" w:rsidRPr="00215D25" w14:paraId="54DAEF3F" w14:textId="77777777" w:rsidTr="00B742A5">
        <w:trPr>
          <w:trHeight w:val="312"/>
          <w:jc w:val="center"/>
        </w:trPr>
        <w:tc>
          <w:tcPr>
            <w:tcW w:w="0" w:type="auto"/>
            <w:shd w:val="clear" w:color="000000" w:fill="FFFFFF"/>
            <w:noWrap/>
            <w:vAlign w:val="bottom"/>
            <w:hideMark/>
          </w:tcPr>
          <w:p w14:paraId="32560984" w14:textId="2AF5C8E8" w:rsidR="00994F26" w:rsidRPr="002F31D1" w:rsidRDefault="00994F26" w:rsidP="00994F26">
            <w:pPr>
              <w:rPr>
                <w:rFonts w:ascii="Arial" w:hAnsi="Arial" w:cs="Arial"/>
                <w:sz w:val="18"/>
                <w:szCs w:val="18"/>
              </w:rPr>
            </w:pPr>
            <w:r w:rsidRPr="002F31D1">
              <w:rPr>
                <w:rFonts w:ascii="Arial" w:hAnsi="Arial" w:cs="Arial"/>
                <w:sz w:val="18"/>
                <w:szCs w:val="18"/>
              </w:rPr>
              <w:t xml:space="preserve">Retenciones </w:t>
            </w:r>
            <w:r w:rsidR="00C20930">
              <w:rPr>
                <w:rFonts w:ascii="Arial" w:hAnsi="Arial" w:cs="Arial"/>
                <w:sz w:val="18"/>
                <w:szCs w:val="18"/>
              </w:rPr>
              <w:t xml:space="preserve">ISR </w:t>
            </w:r>
            <w:r w:rsidRPr="002F31D1">
              <w:rPr>
                <w:rFonts w:ascii="Arial" w:hAnsi="Arial" w:cs="Arial"/>
                <w:sz w:val="18"/>
                <w:szCs w:val="18"/>
              </w:rPr>
              <w:t>por arrendamientos</w:t>
            </w:r>
          </w:p>
        </w:tc>
        <w:tc>
          <w:tcPr>
            <w:tcW w:w="0" w:type="auto"/>
            <w:shd w:val="clear" w:color="000000" w:fill="FFFFFF"/>
            <w:noWrap/>
            <w:vAlign w:val="bottom"/>
            <w:hideMark/>
          </w:tcPr>
          <w:p w14:paraId="29B7CD78"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6BFBEF38" w:rsidR="00994F26" w:rsidRPr="00D11AD3" w:rsidRDefault="00994F26" w:rsidP="00994F26">
            <w:pPr>
              <w:jc w:val="right"/>
              <w:rPr>
                <w:rFonts w:ascii="Arial" w:hAnsi="Arial" w:cs="Arial"/>
                <w:color w:val="FF0000"/>
                <w:sz w:val="18"/>
                <w:szCs w:val="18"/>
              </w:rPr>
            </w:pPr>
            <w:r w:rsidRPr="00D11AD3">
              <w:rPr>
                <w:rFonts w:ascii="Arial" w:hAnsi="Arial" w:cs="Arial"/>
                <w:sz w:val="18"/>
                <w:szCs w:val="18"/>
              </w:rPr>
              <w:t>1,204</w:t>
            </w:r>
          </w:p>
        </w:tc>
        <w:tc>
          <w:tcPr>
            <w:tcW w:w="1418" w:type="dxa"/>
            <w:shd w:val="clear" w:color="000000" w:fill="FFFFFF"/>
            <w:noWrap/>
            <w:vAlign w:val="bottom"/>
          </w:tcPr>
          <w:p w14:paraId="6DD30E5D" w14:textId="2291E90A"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1,206</w:t>
            </w:r>
          </w:p>
        </w:tc>
      </w:tr>
      <w:tr w:rsidR="00994F26" w:rsidRPr="00215D25" w14:paraId="419065F5" w14:textId="77777777" w:rsidTr="00B742A5">
        <w:trPr>
          <w:trHeight w:val="312"/>
          <w:jc w:val="center"/>
        </w:trPr>
        <w:tc>
          <w:tcPr>
            <w:tcW w:w="0" w:type="auto"/>
            <w:shd w:val="clear" w:color="000000" w:fill="FFFFFF"/>
            <w:noWrap/>
            <w:vAlign w:val="bottom"/>
            <w:hideMark/>
          </w:tcPr>
          <w:p w14:paraId="6E1923DE" w14:textId="77777777" w:rsidR="00994F26" w:rsidRPr="002F31D1" w:rsidRDefault="00994F26" w:rsidP="00994F2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94F26" w:rsidRPr="00343189" w:rsidRDefault="00994F26" w:rsidP="00994F2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378DE9CB" w:rsidR="00994F26" w:rsidRPr="00D11AD3" w:rsidRDefault="00994F26" w:rsidP="00994F26">
            <w:pPr>
              <w:jc w:val="right"/>
              <w:rPr>
                <w:rFonts w:ascii="Arial" w:hAnsi="Arial" w:cs="Arial"/>
                <w:sz w:val="18"/>
                <w:szCs w:val="18"/>
              </w:rPr>
            </w:pPr>
            <w:r w:rsidRPr="00D11AD3">
              <w:rPr>
                <w:rFonts w:ascii="Arial" w:hAnsi="Arial" w:cs="Arial"/>
                <w:sz w:val="18"/>
                <w:szCs w:val="18"/>
              </w:rPr>
              <w:t>1,28</w:t>
            </w:r>
            <w:r w:rsidR="003A4023">
              <w:rPr>
                <w:rFonts w:ascii="Arial" w:hAnsi="Arial" w:cs="Arial"/>
                <w:sz w:val="18"/>
                <w:szCs w:val="18"/>
              </w:rPr>
              <w:t>5</w:t>
            </w:r>
          </w:p>
        </w:tc>
        <w:tc>
          <w:tcPr>
            <w:tcW w:w="1418" w:type="dxa"/>
            <w:shd w:val="clear" w:color="000000" w:fill="FFFFFF"/>
            <w:noWrap/>
            <w:vAlign w:val="bottom"/>
          </w:tcPr>
          <w:p w14:paraId="62A3D0DC" w14:textId="42AAB5F4"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1,187</w:t>
            </w:r>
          </w:p>
        </w:tc>
      </w:tr>
      <w:tr w:rsidR="00994F26" w:rsidRPr="00215D25" w14:paraId="63BA4D4A" w14:textId="77777777" w:rsidTr="00B742A5">
        <w:trPr>
          <w:trHeight w:val="312"/>
          <w:jc w:val="center"/>
        </w:trPr>
        <w:tc>
          <w:tcPr>
            <w:tcW w:w="0" w:type="auto"/>
            <w:shd w:val="clear" w:color="000000" w:fill="FFFFFF"/>
            <w:noWrap/>
            <w:vAlign w:val="bottom"/>
            <w:hideMark/>
          </w:tcPr>
          <w:p w14:paraId="5BA44045" w14:textId="77777777" w:rsidR="00994F26" w:rsidRPr="002F31D1" w:rsidRDefault="00994F26" w:rsidP="00994F2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94F26" w:rsidRPr="00343189" w:rsidRDefault="00994F26" w:rsidP="00994F2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6B95FB1E" w:rsidR="00994F26" w:rsidRPr="00D11AD3" w:rsidRDefault="001F2C72" w:rsidP="00994F26">
            <w:pPr>
              <w:jc w:val="right"/>
              <w:rPr>
                <w:rFonts w:ascii="Arial" w:hAnsi="Arial" w:cs="Arial"/>
                <w:sz w:val="18"/>
                <w:szCs w:val="18"/>
              </w:rPr>
            </w:pPr>
            <w:r>
              <w:rPr>
                <w:rFonts w:ascii="Arial" w:hAnsi="Arial" w:cs="Arial"/>
                <w:sz w:val="18"/>
                <w:szCs w:val="18"/>
              </w:rPr>
              <w:t>28,284</w:t>
            </w:r>
          </w:p>
        </w:tc>
        <w:tc>
          <w:tcPr>
            <w:tcW w:w="1418" w:type="dxa"/>
            <w:shd w:val="clear" w:color="000000" w:fill="FFFFFF"/>
            <w:noWrap/>
            <w:vAlign w:val="center"/>
          </w:tcPr>
          <w:p w14:paraId="1398B090" w14:textId="39AC1F8F" w:rsidR="00994F26" w:rsidRPr="00215D25" w:rsidRDefault="00994F26" w:rsidP="00994F26">
            <w:pPr>
              <w:jc w:val="right"/>
              <w:rPr>
                <w:rFonts w:ascii="Arial" w:hAnsi="Arial" w:cs="Arial"/>
                <w:color w:val="000000" w:themeColor="text1"/>
                <w:sz w:val="18"/>
                <w:szCs w:val="18"/>
              </w:rPr>
            </w:pPr>
            <w:r>
              <w:rPr>
                <w:rFonts w:ascii="Arial" w:hAnsi="Arial" w:cs="Arial"/>
                <w:sz w:val="18"/>
                <w:szCs w:val="18"/>
              </w:rPr>
              <w:t>81,858</w:t>
            </w:r>
          </w:p>
        </w:tc>
      </w:tr>
      <w:tr w:rsidR="00DB32F2" w:rsidRPr="00215D25" w14:paraId="3BF7EB6D" w14:textId="77777777" w:rsidTr="00B742A5">
        <w:trPr>
          <w:trHeight w:val="312"/>
          <w:jc w:val="center"/>
        </w:trPr>
        <w:tc>
          <w:tcPr>
            <w:tcW w:w="0" w:type="auto"/>
            <w:shd w:val="clear" w:color="000000" w:fill="FFFFFF"/>
            <w:noWrap/>
            <w:vAlign w:val="bottom"/>
          </w:tcPr>
          <w:p w14:paraId="64F40022" w14:textId="3EDDCA07" w:rsidR="00DB32F2" w:rsidRPr="002F31D1" w:rsidRDefault="00DB32F2" w:rsidP="00994F26">
            <w:pPr>
              <w:rPr>
                <w:rFonts w:ascii="Arial" w:hAnsi="Arial" w:cs="Arial"/>
                <w:sz w:val="18"/>
                <w:szCs w:val="18"/>
              </w:rPr>
            </w:pPr>
            <w:r>
              <w:rPr>
                <w:rFonts w:ascii="Arial" w:hAnsi="Arial" w:cs="Arial"/>
                <w:sz w:val="18"/>
                <w:szCs w:val="18"/>
              </w:rPr>
              <w:t>5 al Millar</w:t>
            </w:r>
          </w:p>
        </w:tc>
        <w:tc>
          <w:tcPr>
            <w:tcW w:w="0" w:type="auto"/>
            <w:shd w:val="clear" w:color="000000" w:fill="FFFFFF"/>
            <w:noWrap/>
            <w:vAlign w:val="bottom"/>
          </w:tcPr>
          <w:p w14:paraId="7FB5FCE7" w14:textId="4D0DC63E" w:rsidR="00DB32F2" w:rsidRPr="00343189" w:rsidRDefault="00DB32F2" w:rsidP="00994F26">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center"/>
          </w:tcPr>
          <w:p w14:paraId="03B420FC" w14:textId="48FCBEC1" w:rsidR="00DB32F2" w:rsidRDefault="00D11AD3" w:rsidP="00994F2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center"/>
          </w:tcPr>
          <w:p w14:paraId="306208CA" w14:textId="612FE757" w:rsidR="00DB32F2" w:rsidRDefault="00DB32F2" w:rsidP="00994F26">
            <w:pPr>
              <w:jc w:val="right"/>
              <w:rPr>
                <w:rFonts w:ascii="Arial" w:hAnsi="Arial" w:cs="Arial"/>
                <w:sz w:val="18"/>
                <w:szCs w:val="18"/>
              </w:rPr>
            </w:pPr>
            <w:r>
              <w:rPr>
                <w:rFonts w:ascii="Arial" w:hAnsi="Arial" w:cs="Arial"/>
                <w:sz w:val="18"/>
                <w:szCs w:val="18"/>
              </w:rPr>
              <w:t>0</w:t>
            </w:r>
          </w:p>
        </w:tc>
      </w:tr>
      <w:tr w:rsidR="00994F26" w:rsidRPr="00215D25" w14:paraId="51AAF529" w14:textId="77777777" w:rsidTr="00B742A5">
        <w:trPr>
          <w:trHeight w:val="312"/>
          <w:jc w:val="center"/>
        </w:trPr>
        <w:tc>
          <w:tcPr>
            <w:tcW w:w="0" w:type="auto"/>
            <w:shd w:val="clear" w:color="000000" w:fill="FFFFFF"/>
            <w:noWrap/>
            <w:hideMark/>
          </w:tcPr>
          <w:p w14:paraId="7D340CEF" w14:textId="77777777" w:rsidR="00994F26" w:rsidRPr="002F31D1" w:rsidRDefault="00994F26" w:rsidP="00994F26">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50E13318" w14:textId="77777777" w:rsidR="00994F26" w:rsidRPr="002F31D1" w:rsidRDefault="00994F26" w:rsidP="00994F2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5F96BF4B" w:rsidR="00994F26" w:rsidRPr="008B1EB7" w:rsidRDefault="00027374" w:rsidP="00994F26">
            <w:pPr>
              <w:jc w:val="right"/>
              <w:rPr>
                <w:rFonts w:ascii="Arial" w:hAnsi="Arial" w:cs="Arial"/>
                <w:b/>
                <w:bCs/>
                <w:sz w:val="18"/>
                <w:szCs w:val="18"/>
                <w:u w:val="double"/>
              </w:rPr>
            </w:pPr>
            <w:r>
              <w:rPr>
                <w:rFonts w:ascii="Arial" w:hAnsi="Arial" w:cs="Arial"/>
                <w:b/>
                <w:bCs/>
                <w:sz w:val="18"/>
                <w:szCs w:val="18"/>
                <w:u w:val="double"/>
              </w:rPr>
              <w:t>198,154</w:t>
            </w:r>
          </w:p>
        </w:tc>
        <w:tc>
          <w:tcPr>
            <w:tcW w:w="1418" w:type="dxa"/>
            <w:shd w:val="clear" w:color="000000" w:fill="FFFFFF"/>
            <w:noWrap/>
            <w:hideMark/>
          </w:tcPr>
          <w:p w14:paraId="345F9384" w14:textId="07AC2A84" w:rsidR="00994F26" w:rsidRPr="00215D25" w:rsidRDefault="00994F26" w:rsidP="00994F26">
            <w:pPr>
              <w:jc w:val="right"/>
              <w:rPr>
                <w:rFonts w:ascii="Arial" w:hAnsi="Arial" w:cs="Arial"/>
                <w:b/>
                <w:bCs/>
                <w:color w:val="000000" w:themeColor="text1"/>
                <w:sz w:val="18"/>
                <w:szCs w:val="18"/>
                <w:u w:val="double"/>
              </w:rPr>
            </w:pPr>
            <w:r>
              <w:rPr>
                <w:rFonts w:ascii="Arial" w:hAnsi="Arial" w:cs="Arial"/>
                <w:b/>
                <w:bCs/>
                <w:sz w:val="18"/>
                <w:szCs w:val="18"/>
                <w:u w:val="double"/>
              </w:rPr>
              <w:t>823,049</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6E9D1ECF"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3</w:t>
            </w:r>
          </w:p>
        </w:tc>
        <w:tc>
          <w:tcPr>
            <w:tcW w:w="1754" w:type="dxa"/>
            <w:tcBorders>
              <w:top w:val="nil"/>
              <w:left w:val="nil"/>
              <w:bottom w:val="nil"/>
              <w:right w:val="nil"/>
            </w:tcBorders>
            <w:shd w:val="clear" w:color="auto" w:fill="833C0C"/>
            <w:vAlign w:val="center"/>
            <w:hideMark/>
          </w:tcPr>
          <w:p w14:paraId="51D2B557" w14:textId="3A3B84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8C47E0">
              <w:rPr>
                <w:rFonts w:ascii="Arial" w:hAnsi="Arial" w:cs="Arial"/>
                <w:b/>
                <w:bCs/>
                <w:color w:val="FFFFFF"/>
                <w:sz w:val="18"/>
                <w:szCs w:val="18"/>
              </w:rPr>
              <w:t>2</w:t>
            </w:r>
          </w:p>
        </w:tc>
      </w:tr>
      <w:tr w:rsidR="008C47E0"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8C47E0" w:rsidRPr="002F31D1" w:rsidRDefault="008C47E0" w:rsidP="008C47E0">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5B20B9E8" w:rsidR="008C47E0" w:rsidRPr="002F31D1" w:rsidRDefault="00436D3C" w:rsidP="008C47E0">
            <w:pPr>
              <w:jc w:val="center"/>
              <w:rPr>
                <w:rFonts w:ascii="Arial" w:hAnsi="Arial" w:cs="Arial"/>
                <w:color w:val="000000"/>
                <w:sz w:val="18"/>
                <w:szCs w:val="18"/>
              </w:rPr>
            </w:pPr>
            <w:r>
              <w:rPr>
                <w:rFonts w:ascii="Arial" w:hAnsi="Arial" w:cs="Arial"/>
                <w:color w:val="000000"/>
                <w:sz w:val="18"/>
                <w:szCs w:val="18"/>
              </w:rPr>
              <w:t>19,317,631</w:t>
            </w:r>
          </w:p>
        </w:tc>
        <w:tc>
          <w:tcPr>
            <w:tcW w:w="1754" w:type="dxa"/>
            <w:tcBorders>
              <w:top w:val="nil"/>
              <w:left w:val="nil"/>
              <w:bottom w:val="nil"/>
              <w:right w:val="nil"/>
            </w:tcBorders>
            <w:shd w:val="clear" w:color="000000" w:fill="FFFFFF"/>
            <w:noWrap/>
            <w:vAlign w:val="center"/>
            <w:hideMark/>
          </w:tcPr>
          <w:p w14:paraId="6388D6DB" w14:textId="064CACD1" w:rsidR="008C47E0" w:rsidRPr="002F31D1" w:rsidRDefault="008C47E0" w:rsidP="008C47E0">
            <w:pPr>
              <w:jc w:val="center"/>
              <w:rPr>
                <w:rFonts w:ascii="Arial" w:hAnsi="Arial" w:cs="Arial"/>
                <w:color w:val="000000"/>
                <w:sz w:val="18"/>
                <w:szCs w:val="18"/>
              </w:rPr>
            </w:pPr>
            <w:r>
              <w:rPr>
                <w:rFonts w:ascii="Arial" w:hAnsi="Arial" w:cs="Arial"/>
                <w:color w:val="000000"/>
                <w:sz w:val="18"/>
                <w:szCs w:val="18"/>
              </w:rPr>
              <w:t>26,371,942</w:t>
            </w:r>
          </w:p>
        </w:tc>
      </w:tr>
      <w:tr w:rsidR="008C47E0"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8C47E0" w:rsidRPr="002F31D1" w:rsidRDefault="008C47E0" w:rsidP="008C47E0">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530" w:type="dxa"/>
            <w:tcBorders>
              <w:top w:val="nil"/>
              <w:left w:val="nil"/>
              <w:bottom w:val="nil"/>
              <w:right w:val="nil"/>
            </w:tcBorders>
            <w:shd w:val="clear" w:color="000000" w:fill="FFFFFF"/>
            <w:noWrap/>
            <w:vAlign w:val="center"/>
            <w:hideMark/>
          </w:tcPr>
          <w:p w14:paraId="26BCE2D6" w14:textId="15EBA069" w:rsidR="008C47E0" w:rsidRPr="00EA6951" w:rsidRDefault="00436D3C" w:rsidP="008C47E0">
            <w:pPr>
              <w:jc w:val="center"/>
              <w:rPr>
                <w:rFonts w:ascii="Arial" w:hAnsi="Arial" w:cs="Arial"/>
                <w:b/>
                <w:color w:val="000000"/>
                <w:sz w:val="18"/>
                <w:szCs w:val="18"/>
                <w:u w:val="double"/>
              </w:rPr>
            </w:pPr>
            <w:r>
              <w:rPr>
                <w:rFonts w:ascii="Arial" w:hAnsi="Arial" w:cs="Arial"/>
                <w:b/>
                <w:color w:val="000000"/>
                <w:sz w:val="18"/>
                <w:szCs w:val="18"/>
                <w:u w:val="double"/>
              </w:rPr>
              <w:t>19,317,631</w:t>
            </w:r>
          </w:p>
        </w:tc>
        <w:tc>
          <w:tcPr>
            <w:tcW w:w="1754" w:type="dxa"/>
            <w:tcBorders>
              <w:top w:val="nil"/>
              <w:left w:val="nil"/>
              <w:bottom w:val="nil"/>
              <w:right w:val="nil"/>
            </w:tcBorders>
            <w:shd w:val="clear" w:color="000000" w:fill="FFFFFF"/>
            <w:noWrap/>
            <w:vAlign w:val="center"/>
            <w:hideMark/>
          </w:tcPr>
          <w:p w14:paraId="375701FC" w14:textId="64AAF6B7" w:rsidR="008C47E0" w:rsidRPr="00EA6951" w:rsidRDefault="008C47E0" w:rsidP="008C47E0">
            <w:pPr>
              <w:jc w:val="center"/>
              <w:rPr>
                <w:rFonts w:ascii="Arial" w:hAnsi="Arial" w:cs="Arial"/>
                <w:b/>
                <w:color w:val="000000"/>
                <w:sz w:val="18"/>
                <w:szCs w:val="18"/>
                <w:u w:val="double"/>
              </w:rPr>
            </w:pPr>
            <w:r>
              <w:rPr>
                <w:rFonts w:ascii="Arial" w:hAnsi="Arial" w:cs="Arial"/>
                <w:b/>
                <w:color w:val="000000"/>
                <w:sz w:val="18"/>
                <w:szCs w:val="18"/>
                <w:u w:val="double"/>
              </w:rPr>
              <w:t>26,371,942</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227BC6FA"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3</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32DF5B1E"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w:t>
            </w:r>
            <w:r w:rsidR="00291BDA">
              <w:rPr>
                <w:rFonts w:ascii="Arial" w:hAnsi="Arial" w:cs="Arial"/>
                <w:b/>
                <w:bCs/>
                <w:color w:val="FFFFFF"/>
                <w:sz w:val="18"/>
                <w:szCs w:val="18"/>
              </w:rPr>
              <w:t>2</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291BDA"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2378A812" w:rsidR="00291BDA" w:rsidRPr="002F31D1" w:rsidRDefault="00651A45" w:rsidP="00291BDA">
            <w:pPr>
              <w:jc w:val="right"/>
              <w:rPr>
                <w:rFonts w:ascii="Arial" w:hAnsi="Arial" w:cs="Arial"/>
                <w:sz w:val="18"/>
                <w:szCs w:val="18"/>
              </w:rPr>
            </w:pPr>
            <w:r>
              <w:rPr>
                <w:rFonts w:ascii="Arial" w:hAnsi="Arial" w:cs="Arial"/>
                <w:sz w:val="18"/>
                <w:szCs w:val="18"/>
              </w:rPr>
              <w:t>13,289,299</w:t>
            </w:r>
          </w:p>
        </w:tc>
        <w:tc>
          <w:tcPr>
            <w:tcW w:w="0" w:type="auto"/>
            <w:tcBorders>
              <w:top w:val="nil"/>
              <w:left w:val="nil"/>
              <w:bottom w:val="nil"/>
              <w:right w:val="nil"/>
            </w:tcBorders>
            <w:shd w:val="clear" w:color="auto" w:fill="auto"/>
            <w:noWrap/>
            <w:vAlign w:val="center"/>
          </w:tcPr>
          <w:p w14:paraId="562047E7" w14:textId="5E7F0E84"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F53AB7">
              <w:rPr>
                <w:rFonts w:ascii="Arial" w:hAnsi="Arial" w:cs="Arial"/>
                <w:sz w:val="18"/>
                <w:szCs w:val="18"/>
              </w:rPr>
              <w:t>8</w:t>
            </w:r>
            <w:r w:rsidR="00651A45">
              <w:rPr>
                <w:rFonts w:ascii="Arial" w:hAnsi="Arial" w:cs="Arial"/>
                <w:sz w:val="18"/>
                <w:szCs w:val="18"/>
              </w:rPr>
              <w:t>3</w:t>
            </w:r>
            <w:r w:rsidR="00F53AB7">
              <w:rPr>
                <w:rFonts w:ascii="Arial" w:hAnsi="Arial" w:cs="Arial"/>
                <w:sz w:val="18"/>
                <w:szCs w:val="18"/>
              </w:rPr>
              <w:t>.</w:t>
            </w:r>
            <w:r w:rsidR="00651A45">
              <w:rPr>
                <w:rFonts w:ascii="Arial" w:hAnsi="Arial" w:cs="Arial"/>
                <w:sz w:val="18"/>
                <w:szCs w:val="18"/>
              </w:rPr>
              <w:t>34</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01DF369F" w:rsidR="00291BDA" w:rsidRPr="002F31D1" w:rsidRDefault="00291BDA" w:rsidP="00291BDA">
            <w:pPr>
              <w:jc w:val="right"/>
              <w:rPr>
                <w:rFonts w:ascii="Arial" w:hAnsi="Arial" w:cs="Arial"/>
                <w:sz w:val="18"/>
                <w:szCs w:val="18"/>
              </w:rPr>
            </w:pPr>
            <w:r>
              <w:rPr>
                <w:rFonts w:ascii="Arial" w:hAnsi="Arial" w:cs="Arial"/>
                <w:sz w:val="18"/>
                <w:szCs w:val="18"/>
              </w:rPr>
              <w:t>19,313,003</w:t>
            </w:r>
          </w:p>
        </w:tc>
        <w:tc>
          <w:tcPr>
            <w:tcW w:w="1910" w:type="dxa"/>
            <w:gridSpan w:val="2"/>
            <w:tcBorders>
              <w:top w:val="nil"/>
              <w:left w:val="nil"/>
              <w:bottom w:val="nil"/>
              <w:right w:val="nil"/>
            </w:tcBorders>
            <w:shd w:val="clear" w:color="auto" w:fill="auto"/>
            <w:noWrap/>
            <w:vAlign w:val="center"/>
            <w:hideMark/>
          </w:tcPr>
          <w:p w14:paraId="774196B3" w14:textId="77DDE976" w:rsidR="00291BDA" w:rsidRPr="002F31D1" w:rsidRDefault="00291BDA" w:rsidP="00291BDA">
            <w:pPr>
              <w:jc w:val="center"/>
              <w:rPr>
                <w:rFonts w:ascii="Arial" w:hAnsi="Arial" w:cs="Arial"/>
                <w:sz w:val="18"/>
                <w:szCs w:val="18"/>
              </w:rPr>
            </w:pPr>
            <w:r>
              <w:rPr>
                <w:rFonts w:ascii="Arial" w:hAnsi="Arial" w:cs="Arial"/>
                <w:sz w:val="18"/>
                <w:szCs w:val="18"/>
              </w:rPr>
              <w:t xml:space="preserve">      86.95%</w:t>
            </w:r>
          </w:p>
        </w:tc>
      </w:tr>
      <w:tr w:rsidR="00291BDA"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1082320B" w:rsidR="00291BDA" w:rsidRPr="002F31D1" w:rsidRDefault="00651A45" w:rsidP="00291BDA">
            <w:pPr>
              <w:jc w:val="right"/>
              <w:rPr>
                <w:rFonts w:ascii="Arial" w:hAnsi="Arial" w:cs="Arial"/>
                <w:sz w:val="18"/>
                <w:szCs w:val="18"/>
              </w:rPr>
            </w:pPr>
            <w:r>
              <w:rPr>
                <w:rFonts w:ascii="Arial" w:hAnsi="Arial" w:cs="Arial"/>
                <w:sz w:val="18"/>
                <w:szCs w:val="18"/>
              </w:rPr>
              <w:t>903,203</w:t>
            </w:r>
          </w:p>
        </w:tc>
        <w:tc>
          <w:tcPr>
            <w:tcW w:w="0" w:type="auto"/>
            <w:tcBorders>
              <w:top w:val="nil"/>
              <w:left w:val="nil"/>
              <w:bottom w:val="nil"/>
              <w:right w:val="nil"/>
            </w:tcBorders>
            <w:shd w:val="clear" w:color="auto" w:fill="auto"/>
            <w:noWrap/>
            <w:vAlign w:val="center"/>
          </w:tcPr>
          <w:p w14:paraId="3055C4DA" w14:textId="5503F2C0"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5.</w:t>
            </w:r>
            <w:r w:rsidR="00651A45">
              <w:rPr>
                <w:rFonts w:ascii="Arial" w:hAnsi="Arial" w:cs="Arial"/>
                <w:sz w:val="18"/>
                <w:szCs w:val="18"/>
              </w:rPr>
              <w:t>66</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6F9E712E" w:rsidR="00291BDA" w:rsidRPr="002F31D1" w:rsidRDefault="00291BDA" w:rsidP="00291BDA">
            <w:pPr>
              <w:jc w:val="right"/>
              <w:rPr>
                <w:rFonts w:ascii="Arial" w:hAnsi="Arial" w:cs="Arial"/>
                <w:sz w:val="18"/>
                <w:szCs w:val="18"/>
              </w:rPr>
            </w:pPr>
            <w:r>
              <w:rPr>
                <w:rFonts w:ascii="Arial" w:hAnsi="Arial" w:cs="Arial"/>
                <w:sz w:val="18"/>
                <w:szCs w:val="18"/>
              </w:rPr>
              <w:t>936,421</w:t>
            </w:r>
          </w:p>
        </w:tc>
        <w:tc>
          <w:tcPr>
            <w:tcW w:w="1910" w:type="dxa"/>
            <w:gridSpan w:val="2"/>
            <w:tcBorders>
              <w:top w:val="nil"/>
              <w:left w:val="nil"/>
              <w:bottom w:val="nil"/>
              <w:right w:val="nil"/>
            </w:tcBorders>
            <w:shd w:val="clear" w:color="auto" w:fill="auto"/>
            <w:noWrap/>
            <w:vAlign w:val="center"/>
            <w:hideMark/>
          </w:tcPr>
          <w:p w14:paraId="3DED399B" w14:textId="4E10D575" w:rsidR="00291BDA" w:rsidRPr="002F31D1" w:rsidRDefault="00291BDA" w:rsidP="00291BDA">
            <w:pPr>
              <w:jc w:val="center"/>
              <w:rPr>
                <w:rFonts w:ascii="Arial" w:hAnsi="Arial" w:cs="Arial"/>
                <w:sz w:val="18"/>
                <w:szCs w:val="18"/>
              </w:rPr>
            </w:pPr>
            <w:r>
              <w:rPr>
                <w:rFonts w:ascii="Arial" w:hAnsi="Arial" w:cs="Arial"/>
                <w:sz w:val="18"/>
                <w:szCs w:val="18"/>
              </w:rPr>
              <w:t xml:space="preserve">        4.22%</w:t>
            </w:r>
          </w:p>
        </w:tc>
      </w:tr>
      <w:tr w:rsidR="00291BDA"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291BDA" w:rsidRPr="002F31D1" w:rsidRDefault="00291BDA" w:rsidP="00291BDA">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3610ED69" w:rsidR="00291BDA" w:rsidRPr="002F31D1" w:rsidRDefault="00F53AB7" w:rsidP="00291BDA">
            <w:pPr>
              <w:jc w:val="right"/>
              <w:rPr>
                <w:rFonts w:ascii="Arial" w:hAnsi="Arial" w:cs="Arial"/>
                <w:sz w:val="18"/>
                <w:szCs w:val="18"/>
              </w:rPr>
            </w:pPr>
            <w:r>
              <w:rPr>
                <w:rFonts w:ascii="Arial" w:hAnsi="Arial" w:cs="Arial"/>
                <w:sz w:val="18"/>
                <w:szCs w:val="18"/>
              </w:rPr>
              <w:t>1,</w:t>
            </w:r>
            <w:r w:rsidR="00651A45">
              <w:rPr>
                <w:rFonts w:ascii="Arial" w:hAnsi="Arial" w:cs="Arial"/>
                <w:sz w:val="18"/>
                <w:szCs w:val="18"/>
              </w:rPr>
              <w:t>753,456</w:t>
            </w:r>
          </w:p>
        </w:tc>
        <w:tc>
          <w:tcPr>
            <w:tcW w:w="0" w:type="auto"/>
            <w:tcBorders>
              <w:top w:val="nil"/>
              <w:left w:val="nil"/>
              <w:bottom w:val="nil"/>
              <w:right w:val="nil"/>
            </w:tcBorders>
            <w:shd w:val="clear" w:color="auto" w:fill="auto"/>
            <w:noWrap/>
            <w:vAlign w:val="center"/>
          </w:tcPr>
          <w:p w14:paraId="4083ACC1" w14:textId="5625F41E" w:rsidR="00291BDA" w:rsidRPr="002F31D1" w:rsidRDefault="00291BDA" w:rsidP="00291BDA">
            <w:pPr>
              <w:jc w:val="center"/>
              <w:rPr>
                <w:rFonts w:ascii="Arial" w:hAnsi="Arial" w:cs="Arial"/>
                <w:sz w:val="18"/>
                <w:szCs w:val="18"/>
              </w:rPr>
            </w:pPr>
            <w:r>
              <w:rPr>
                <w:rFonts w:ascii="Arial" w:hAnsi="Arial" w:cs="Arial"/>
                <w:sz w:val="18"/>
                <w:szCs w:val="18"/>
              </w:rPr>
              <w:t xml:space="preserve">       </w:t>
            </w:r>
            <w:r w:rsidR="00654460">
              <w:rPr>
                <w:rFonts w:ascii="Arial" w:hAnsi="Arial" w:cs="Arial"/>
                <w:sz w:val="18"/>
                <w:szCs w:val="18"/>
              </w:rPr>
              <w:t>1</w:t>
            </w:r>
            <w:r w:rsidR="00651A45">
              <w:rPr>
                <w:rFonts w:ascii="Arial" w:hAnsi="Arial" w:cs="Arial"/>
                <w:sz w:val="18"/>
                <w:szCs w:val="18"/>
              </w:rPr>
              <w:t>1</w:t>
            </w:r>
            <w:r w:rsidR="00654460">
              <w:rPr>
                <w:rFonts w:ascii="Arial" w:hAnsi="Arial" w:cs="Arial"/>
                <w:sz w:val="18"/>
                <w:szCs w:val="18"/>
              </w:rPr>
              <w:t>.</w:t>
            </w:r>
            <w:r w:rsidR="00651A45">
              <w:rPr>
                <w:rFonts w:ascii="Arial" w:hAnsi="Arial" w:cs="Arial"/>
                <w:sz w:val="18"/>
                <w:szCs w:val="18"/>
              </w:rPr>
              <w:t>00</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4C63E5D0" w:rsidR="00291BDA" w:rsidRPr="002F31D1" w:rsidRDefault="00291BDA" w:rsidP="00291BDA">
            <w:pPr>
              <w:jc w:val="right"/>
              <w:rPr>
                <w:rFonts w:ascii="Arial" w:hAnsi="Arial" w:cs="Arial"/>
                <w:sz w:val="18"/>
                <w:szCs w:val="18"/>
              </w:rPr>
            </w:pPr>
            <w:r>
              <w:rPr>
                <w:rFonts w:ascii="Arial" w:hAnsi="Arial" w:cs="Arial"/>
                <w:sz w:val="18"/>
                <w:szCs w:val="18"/>
              </w:rPr>
              <w:t>1,963,328</w:t>
            </w:r>
          </w:p>
        </w:tc>
        <w:tc>
          <w:tcPr>
            <w:tcW w:w="1910" w:type="dxa"/>
            <w:gridSpan w:val="2"/>
            <w:tcBorders>
              <w:top w:val="nil"/>
              <w:left w:val="nil"/>
              <w:bottom w:val="nil"/>
              <w:right w:val="nil"/>
            </w:tcBorders>
            <w:shd w:val="clear" w:color="auto" w:fill="auto"/>
            <w:noWrap/>
            <w:vAlign w:val="center"/>
            <w:hideMark/>
          </w:tcPr>
          <w:p w14:paraId="5B8A3B60" w14:textId="1D865D5B" w:rsidR="00291BDA" w:rsidRPr="002F31D1" w:rsidRDefault="00291BDA" w:rsidP="00291BDA">
            <w:pPr>
              <w:jc w:val="center"/>
              <w:rPr>
                <w:rFonts w:ascii="Arial" w:hAnsi="Arial" w:cs="Arial"/>
                <w:sz w:val="18"/>
                <w:szCs w:val="18"/>
              </w:rPr>
            </w:pPr>
            <w:r>
              <w:rPr>
                <w:rFonts w:ascii="Arial" w:hAnsi="Arial" w:cs="Arial"/>
                <w:sz w:val="18"/>
                <w:szCs w:val="18"/>
              </w:rPr>
              <w:t xml:space="preserve">       8.83%     </w:t>
            </w:r>
          </w:p>
        </w:tc>
      </w:tr>
      <w:tr w:rsidR="00291BDA"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705AF39C"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xml:space="preserve">$ </w:t>
            </w:r>
            <w:r w:rsidR="00651A45">
              <w:rPr>
                <w:rFonts w:ascii="Arial" w:hAnsi="Arial" w:cs="Arial"/>
                <w:b/>
                <w:bCs/>
                <w:sz w:val="18"/>
                <w:szCs w:val="18"/>
                <w:u w:val="double"/>
              </w:rPr>
              <w:t>15,945,958</w:t>
            </w:r>
          </w:p>
        </w:tc>
        <w:tc>
          <w:tcPr>
            <w:tcW w:w="0" w:type="auto"/>
            <w:tcBorders>
              <w:top w:val="nil"/>
              <w:left w:val="nil"/>
              <w:bottom w:val="nil"/>
              <w:right w:val="nil"/>
            </w:tcBorders>
            <w:shd w:val="clear" w:color="auto" w:fill="auto"/>
            <w:noWrap/>
            <w:vAlign w:val="center"/>
            <w:hideMark/>
          </w:tcPr>
          <w:p w14:paraId="762C7D58" w14:textId="77777777" w:rsidR="00291BDA" w:rsidRPr="002F31D1" w:rsidRDefault="00291BDA" w:rsidP="00291BDA">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18C23A4F" w:rsidR="00291BDA" w:rsidRPr="002F31D1" w:rsidRDefault="00291BDA" w:rsidP="00291BDA">
            <w:pPr>
              <w:spacing w:before="80"/>
              <w:jc w:val="right"/>
              <w:rPr>
                <w:rFonts w:ascii="Arial" w:hAnsi="Arial" w:cs="Arial"/>
                <w:b/>
                <w:bCs/>
                <w:sz w:val="18"/>
                <w:szCs w:val="18"/>
                <w:u w:val="double"/>
              </w:rPr>
            </w:pPr>
            <w:r>
              <w:rPr>
                <w:rFonts w:ascii="Arial" w:hAnsi="Arial" w:cs="Arial"/>
                <w:b/>
                <w:bCs/>
                <w:sz w:val="18"/>
                <w:szCs w:val="18"/>
                <w:u w:val="double"/>
              </w:rPr>
              <w:t>$ 22,212,752</w:t>
            </w:r>
          </w:p>
        </w:tc>
        <w:tc>
          <w:tcPr>
            <w:tcW w:w="1700" w:type="dxa"/>
            <w:tcBorders>
              <w:top w:val="nil"/>
              <w:left w:val="nil"/>
              <w:bottom w:val="nil"/>
              <w:right w:val="nil"/>
            </w:tcBorders>
            <w:shd w:val="clear" w:color="auto" w:fill="auto"/>
            <w:noWrap/>
            <w:vAlign w:val="center"/>
            <w:hideMark/>
          </w:tcPr>
          <w:p w14:paraId="3AA6220A" w14:textId="77777777" w:rsidR="00291BDA" w:rsidRPr="002F31D1" w:rsidRDefault="00291BDA" w:rsidP="00291BDA">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36B5F819"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9D7C14">
        <w:rPr>
          <w:rFonts w:ascii="Arial" w:hAnsi="Arial" w:cs="Arial"/>
          <w:sz w:val="18"/>
          <w:szCs w:val="18"/>
        </w:rPr>
        <w:t>segundo</w:t>
      </w:r>
      <w:r>
        <w:rPr>
          <w:rFonts w:ascii="Arial" w:hAnsi="Arial" w:cs="Arial"/>
          <w:sz w:val="18"/>
          <w:szCs w:val="18"/>
        </w:rPr>
        <w:t xml:space="preserve"> trimestre 202</w:t>
      </w:r>
      <w:r w:rsidR="00A45BFA">
        <w:rPr>
          <w:rFonts w:ascii="Arial" w:hAnsi="Arial" w:cs="Arial"/>
          <w:sz w:val="18"/>
          <w:szCs w:val="18"/>
        </w:rPr>
        <w:t>3</w:t>
      </w:r>
      <w:r w:rsidRPr="002F31D1">
        <w:rPr>
          <w:rFonts w:ascii="Arial" w:hAnsi="Arial" w:cs="Arial"/>
          <w:sz w:val="18"/>
          <w:szCs w:val="18"/>
        </w:rPr>
        <w:t xml:space="preserve"> los Servicios Personales </w:t>
      </w:r>
      <w:r>
        <w:rPr>
          <w:rFonts w:ascii="Arial" w:hAnsi="Arial" w:cs="Arial"/>
          <w:sz w:val="18"/>
          <w:szCs w:val="18"/>
        </w:rPr>
        <w:t xml:space="preserve">son </w:t>
      </w:r>
      <w:r w:rsidR="009F3470">
        <w:rPr>
          <w:rFonts w:ascii="Arial" w:hAnsi="Arial" w:cs="Arial"/>
          <w:sz w:val="18"/>
          <w:szCs w:val="18"/>
        </w:rPr>
        <w:t xml:space="preserve">el </w:t>
      </w:r>
      <w:r w:rsidR="009F3470">
        <w:rPr>
          <w:rFonts w:ascii="Arial" w:hAnsi="Arial" w:cs="Arial"/>
          <w:color w:val="000000" w:themeColor="text1"/>
          <w:sz w:val="18"/>
          <w:szCs w:val="18"/>
        </w:rPr>
        <w:t>8</w:t>
      </w:r>
      <w:r w:rsidR="00E04F3E">
        <w:rPr>
          <w:rFonts w:ascii="Arial" w:hAnsi="Arial" w:cs="Arial"/>
          <w:color w:val="000000" w:themeColor="text1"/>
          <w:sz w:val="18"/>
          <w:szCs w:val="18"/>
        </w:rPr>
        <w:t>3</w:t>
      </w:r>
      <w:r w:rsidR="009F3470">
        <w:rPr>
          <w:rFonts w:ascii="Arial" w:hAnsi="Arial" w:cs="Arial"/>
          <w:color w:val="000000" w:themeColor="text1"/>
          <w:sz w:val="18"/>
          <w:szCs w:val="18"/>
        </w:rPr>
        <w:t>.</w:t>
      </w:r>
      <w:r w:rsidR="00E04F3E">
        <w:rPr>
          <w:rFonts w:ascii="Arial" w:hAnsi="Arial" w:cs="Arial"/>
          <w:color w:val="000000" w:themeColor="text1"/>
          <w:sz w:val="18"/>
          <w:szCs w:val="18"/>
        </w:rPr>
        <w:t>34</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25C1CA9B"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202</w:t>
      </w:r>
      <w:r w:rsidR="00611725">
        <w:rPr>
          <w:rFonts w:ascii="Arial" w:hAnsi="Arial" w:cs="Arial"/>
          <w:sz w:val="18"/>
          <w:szCs w:val="18"/>
        </w:rPr>
        <w:t>3</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3BF2437A"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w:t>
            </w:r>
            <w:r w:rsidR="006A4477">
              <w:rPr>
                <w:rFonts w:ascii="Arial" w:hAnsi="Arial" w:cs="Arial"/>
                <w:b/>
                <w:bCs/>
                <w:color w:val="FFFFFF"/>
                <w:sz w:val="18"/>
                <w:szCs w:val="18"/>
              </w:rPr>
              <w:t>3</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02960A78" w:rsidR="009A0EF7" w:rsidRPr="00771E65" w:rsidRDefault="00E7660E" w:rsidP="00B742A5">
            <w:pPr>
              <w:jc w:val="right"/>
              <w:rPr>
                <w:rFonts w:ascii="Arial" w:hAnsi="Arial" w:cs="Arial"/>
                <w:sz w:val="18"/>
                <w:szCs w:val="18"/>
              </w:rPr>
            </w:pPr>
            <w:r>
              <w:rPr>
                <w:rFonts w:ascii="Arial" w:hAnsi="Arial" w:cs="Arial"/>
                <w:sz w:val="18"/>
                <w:szCs w:val="18"/>
              </w:rPr>
              <w:t>7,424,264</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5C0F5AE8" w:rsidR="009A0EF7" w:rsidRPr="00771E65" w:rsidRDefault="00DE5FF7" w:rsidP="00B742A5">
            <w:pPr>
              <w:jc w:val="right"/>
              <w:rPr>
                <w:rFonts w:ascii="Arial" w:hAnsi="Arial" w:cs="Arial"/>
                <w:sz w:val="18"/>
                <w:szCs w:val="18"/>
              </w:rPr>
            </w:pPr>
            <w:r>
              <w:rPr>
                <w:rFonts w:ascii="Arial" w:hAnsi="Arial" w:cs="Arial"/>
                <w:sz w:val="18"/>
                <w:szCs w:val="18"/>
              </w:rPr>
              <w:t>3,371,673</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1710C087" w:rsidR="009A0EF7" w:rsidRPr="00771E65" w:rsidRDefault="00FB1CCA" w:rsidP="00B742A5">
            <w:pPr>
              <w:jc w:val="right"/>
              <w:rPr>
                <w:rFonts w:ascii="Arial" w:hAnsi="Arial" w:cs="Arial"/>
                <w:sz w:val="18"/>
                <w:szCs w:val="18"/>
              </w:rPr>
            </w:pPr>
            <w:r>
              <w:rPr>
                <w:rFonts w:ascii="Arial" w:hAnsi="Arial" w:cs="Arial"/>
                <w:sz w:val="18"/>
                <w:szCs w:val="18"/>
              </w:rPr>
              <w:t>-</w:t>
            </w:r>
            <w:r w:rsidR="00E7660E">
              <w:rPr>
                <w:rFonts w:ascii="Arial" w:hAnsi="Arial" w:cs="Arial"/>
                <w:sz w:val="18"/>
                <w:szCs w:val="18"/>
              </w:rPr>
              <w:t>2</w:t>
            </w:r>
            <w:r w:rsidR="004D1443">
              <w:rPr>
                <w:rFonts w:ascii="Arial" w:hAnsi="Arial" w:cs="Arial"/>
                <w:sz w:val="18"/>
                <w:szCs w:val="18"/>
              </w:rPr>
              <w:t>66</w:t>
            </w:r>
            <w:r w:rsidR="00E7660E">
              <w:rPr>
                <w:rFonts w:ascii="Arial" w:hAnsi="Arial" w:cs="Arial"/>
                <w:sz w:val="18"/>
                <w:szCs w:val="18"/>
              </w:rPr>
              <w:t>,3</w:t>
            </w:r>
            <w:r w:rsidR="004D1443">
              <w:rPr>
                <w:rFonts w:ascii="Arial" w:hAnsi="Arial" w:cs="Arial"/>
                <w:sz w:val="18"/>
                <w:szCs w:val="18"/>
              </w:rPr>
              <w:t>54</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B530BA3"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w:t>
            </w:r>
            <w:r w:rsidR="006A4477">
              <w:rPr>
                <w:rFonts w:ascii="Arial" w:hAnsi="Arial" w:cs="Arial"/>
                <w:color w:val="000000"/>
                <w:sz w:val="18"/>
                <w:szCs w:val="18"/>
              </w:rPr>
              <w:t>3</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1DBF2A9C" w:rsidR="009A0EF7" w:rsidRPr="003123A1" w:rsidRDefault="00DE5FF7"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10,529,583</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1FF57E23"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3</w:t>
            </w:r>
          </w:p>
        </w:tc>
        <w:tc>
          <w:tcPr>
            <w:tcW w:w="1174" w:type="dxa"/>
            <w:tcBorders>
              <w:top w:val="nil"/>
              <w:left w:val="nil"/>
              <w:bottom w:val="nil"/>
              <w:right w:val="nil"/>
            </w:tcBorders>
            <w:shd w:val="clear" w:color="auto" w:fill="833C0C"/>
          </w:tcPr>
          <w:p w14:paraId="7F3B5CA1" w14:textId="76B1CEC6"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E7660E">
              <w:rPr>
                <w:rFonts w:ascii="Arial" w:hAnsi="Arial" w:cs="Arial"/>
                <w:b/>
                <w:bCs/>
                <w:color w:val="FFFFFF"/>
                <w:sz w:val="18"/>
                <w:szCs w:val="18"/>
              </w:rPr>
              <w:t>2</w:t>
            </w:r>
          </w:p>
        </w:tc>
      </w:tr>
      <w:tr w:rsidR="00E7660E"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E7660E" w:rsidRPr="002F31D1" w:rsidRDefault="00E7660E" w:rsidP="00E7660E">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1061EFA7" w:rsidR="00E7660E" w:rsidRPr="002F31D1" w:rsidRDefault="008651D8" w:rsidP="00E7660E">
            <w:pPr>
              <w:spacing w:before="80"/>
              <w:jc w:val="right"/>
              <w:rPr>
                <w:rFonts w:ascii="Arial" w:hAnsi="Arial" w:cs="Arial"/>
                <w:sz w:val="18"/>
                <w:szCs w:val="18"/>
              </w:rPr>
            </w:pPr>
            <w:r>
              <w:rPr>
                <w:rFonts w:ascii="Arial" w:hAnsi="Arial" w:cs="Arial"/>
                <w:sz w:val="18"/>
                <w:szCs w:val="18"/>
              </w:rPr>
              <w:t>3,440,808</w:t>
            </w:r>
          </w:p>
        </w:tc>
        <w:tc>
          <w:tcPr>
            <w:tcW w:w="1174" w:type="dxa"/>
            <w:tcBorders>
              <w:top w:val="nil"/>
              <w:left w:val="nil"/>
              <w:bottom w:val="nil"/>
              <w:right w:val="nil"/>
            </w:tcBorders>
            <w:shd w:val="clear" w:color="auto" w:fill="auto"/>
            <w:vAlign w:val="bottom"/>
          </w:tcPr>
          <w:p w14:paraId="218FF7B0" w14:textId="6F3672A8" w:rsidR="00E7660E" w:rsidRPr="002F31D1" w:rsidRDefault="00E7660E" w:rsidP="00E7660E">
            <w:pPr>
              <w:spacing w:before="80"/>
              <w:jc w:val="right"/>
              <w:rPr>
                <w:rFonts w:ascii="Arial" w:hAnsi="Arial" w:cs="Arial"/>
                <w:sz w:val="18"/>
                <w:szCs w:val="18"/>
              </w:rPr>
            </w:pPr>
            <w:r>
              <w:rPr>
                <w:rFonts w:ascii="Arial" w:hAnsi="Arial" w:cs="Arial"/>
                <w:sz w:val="18"/>
                <w:szCs w:val="18"/>
              </w:rPr>
              <w:t>4,836,445</w:t>
            </w:r>
          </w:p>
        </w:tc>
      </w:tr>
      <w:tr w:rsidR="00E7660E"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E7660E" w:rsidRPr="002F31D1" w:rsidRDefault="00E7660E" w:rsidP="00E7660E">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4C8FAA92" w14:textId="42935847" w:rsidR="00E7660E" w:rsidRPr="002F31D1" w:rsidRDefault="008651D8" w:rsidP="00E7660E">
            <w:pPr>
              <w:spacing w:before="80"/>
              <w:jc w:val="right"/>
              <w:rPr>
                <w:rFonts w:ascii="Arial" w:hAnsi="Arial" w:cs="Arial"/>
                <w:b/>
                <w:sz w:val="18"/>
                <w:szCs w:val="18"/>
                <w:u w:val="double"/>
              </w:rPr>
            </w:pPr>
            <w:r>
              <w:rPr>
                <w:rFonts w:ascii="Arial" w:hAnsi="Arial" w:cs="Arial"/>
                <w:b/>
                <w:sz w:val="18"/>
                <w:szCs w:val="18"/>
                <w:u w:val="double"/>
              </w:rPr>
              <w:t>3,440,808</w:t>
            </w:r>
          </w:p>
        </w:tc>
        <w:tc>
          <w:tcPr>
            <w:tcW w:w="1174" w:type="dxa"/>
            <w:tcBorders>
              <w:top w:val="nil"/>
              <w:left w:val="nil"/>
              <w:bottom w:val="nil"/>
              <w:right w:val="nil"/>
            </w:tcBorders>
            <w:shd w:val="clear" w:color="auto" w:fill="auto"/>
            <w:vAlign w:val="bottom"/>
          </w:tcPr>
          <w:p w14:paraId="3E8F7682" w14:textId="34E4C69C" w:rsidR="00E7660E" w:rsidRPr="002F31D1" w:rsidRDefault="00E7660E" w:rsidP="00E7660E">
            <w:pPr>
              <w:spacing w:before="80"/>
              <w:jc w:val="right"/>
              <w:rPr>
                <w:rFonts w:ascii="Arial" w:hAnsi="Arial" w:cs="Arial"/>
                <w:b/>
                <w:sz w:val="18"/>
                <w:szCs w:val="18"/>
                <w:u w:val="double"/>
              </w:rPr>
            </w:pPr>
            <w:r>
              <w:rPr>
                <w:rFonts w:ascii="Arial" w:hAnsi="Arial" w:cs="Arial"/>
                <w:b/>
                <w:sz w:val="18"/>
                <w:szCs w:val="18"/>
                <w:u w:val="double"/>
              </w:rPr>
              <w:t>4,836,445</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6FCDEC60"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w:t>
      </w:r>
      <w:r w:rsidR="00DD7B59">
        <w:rPr>
          <w:rFonts w:ascii="Arial" w:hAnsi="Arial" w:cs="Arial"/>
          <w:sz w:val="18"/>
          <w:szCs w:val="18"/>
        </w:rPr>
        <w:t>3</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742"/>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2899CFEC" w:rsidR="009A0EF7" w:rsidRPr="009D7A6E" w:rsidRDefault="00115BD6" w:rsidP="00B742A5">
            <w:pPr>
              <w:spacing w:before="80"/>
              <w:jc w:val="right"/>
              <w:rPr>
                <w:rFonts w:ascii="Arial" w:hAnsi="Arial" w:cs="Arial"/>
                <w:sz w:val="18"/>
                <w:szCs w:val="18"/>
              </w:rPr>
            </w:pPr>
            <w:r>
              <w:rPr>
                <w:rFonts w:ascii="Arial" w:hAnsi="Arial" w:cs="Arial"/>
                <w:sz w:val="18"/>
                <w:szCs w:val="18"/>
              </w:rPr>
              <w:t>199,961</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5091B63C" w:rsidR="009A0EF7" w:rsidRPr="002F31D1" w:rsidRDefault="0043708D" w:rsidP="00B742A5">
            <w:pPr>
              <w:spacing w:before="80"/>
              <w:jc w:val="both"/>
              <w:rPr>
                <w:rFonts w:ascii="Arial" w:hAnsi="Arial" w:cs="Arial"/>
                <w:sz w:val="18"/>
                <w:szCs w:val="18"/>
              </w:rPr>
            </w:pPr>
            <w:r>
              <w:rPr>
                <w:rFonts w:ascii="Arial" w:hAnsi="Arial" w:cs="Arial"/>
                <w:sz w:val="18"/>
                <w:szCs w:val="18"/>
              </w:rPr>
              <w:t>1.2.4.2</w:t>
            </w:r>
          </w:p>
        </w:tc>
        <w:tc>
          <w:tcPr>
            <w:tcW w:w="0" w:type="auto"/>
            <w:tcBorders>
              <w:top w:val="nil"/>
              <w:left w:val="nil"/>
              <w:bottom w:val="nil"/>
              <w:right w:val="nil"/>
            </w:tcBorders>
            <w:shd w:val="clear" w:color="auto" w:fill="auto"/>
            <w:noWrap/>
            <w:vAlign w:val="center"/>
          </w:tcPr>
          <w:p w14:paraId="743D0545" w14:textId="2F838FAD" w:rsidR="009A0EF7" w:rsidRPr="002F31D1" w:rsidRDefault="0043708D" w:rsidP="00B742A5">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64001AC8" w14:textId="7DDC40FB" w:rsidR="009A0EF7" w:rsidRPr="009D7A6E" w:rsidRDefault="0043708D" w:rsidP="00B742A5">
            <w:pPr>
              <w:spacing w:before="80"/>
              <w:jc w:val="right"/>
              <w:rPr>
                <w:rFonts w:ascii="Arial" w:hAnsi="Arial" w:cs="Arial"/>
                <w:sz w:val="18"/>
                <w:szCs w:val="18"/>
              </w:rPr>
            </w:pPr>
            <w:r>
              <w:rPr>
                <w:rFonts w:ascii="Arial" w:hAnsi="Arial" w:cs="Arial"/>
                <w:sz w:val="18"/>
                <w:szCs w:val="18"/>
              </w:rPr>
              <w:t>15,999</w:t>
            </w: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3D91B754" w:rsidR="009A0EF7" w:rsidRPr="00C34178" w:rsidRDefault="00115BD6" w:rsidP="00B742A5">
            <w:pPr>
              <w:spacing w:before="80"/>
              <w:jc w:val="right"/>
              <w:rPr>
                <w:rFonts w:ascii="Arial" w:hAnsi="Arial" w:cs="Arial"/>
                <w:b/>
                <w:sz w:val="18"/>
                <w:szCs w:val="18"/>
                <w:u w:val="double"/>
              </w:rPr>
            </w:pPr>
            <w:r>
              <w:rPr>
                <w:rFonts w:ascii="Arial" w:hAnsi="Arial" w:cs="Arial"/>
                <w:b/>
                <w:sz w:val="18"/>
                <w:szCs w:val="18"/>
                <w:u w:val="double"/>
              </w:rPr>
              <w:t>215,960</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A3F1B91"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3</w:t>
            </w:r>
          </w:p>
        </w:tc>
        <w:tc>
          <w:tcPr>
            <w:tcW w:w="160" w:type="dxa"/>
            <w:shd w:val="clear" w:color="auto" w:fill="833C0C"/>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54EEF98D"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907935">
              <w:rPr>
                <w:rFonts w:ascii="Arial" w:hAnsi="Arial" w:cs="Arial"/>
                <w:b/>
                <w:bCs/>
                <w:color w:val="FFFFFF"/>
                <w:sz w:val="18"/>
                <w:szCs w:val="18"/>
              </w:rPr>
              <w:t>2</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0E6E9495" w:rsidR="009A0EF7" w:rsidRPr="00FC3DE2" w:rsidRDefault="006C20D0" w:rsidP="00B742A5">
            <w:pPr>
              <w:spacing w:before="80"/>
              <w:jc w:val="right"/>
              <w:rPr>
                <w:rFonts w:ascii="Arial" w:hAnsi="Arial" w:cs="Arial"/>
                <w:bCs/>
                <w:sz w:val="18"/>
                <w:szCs w:val="18"/>
              </w:rPr>
            </w:pPr>
            <w:r>
              <w:rPr>
                <w:rFonts w:ascii="Arial" w:hAnsi="Arial" w:cs="Arial"/>
                <w:bCs/>
                <w:sz w:val="18"/>
                <w:szCs w:val="18"/>
              </w:rPr>
              <w:t>3,371,673</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56F08481" w:rsidR="009A0EF7" w:rsidRPr="00FC3DE2" w:rsidRDefault="00907935" w:rsidP="00B742A5">
            <w:pPr>
              <w:spacing w:before="80"/>
              <w:jc w:val="right"/>
              <w:rPr>
                <w:rFonts w:ascii="Arial" w:hAnsi="Arial" w:cs="Arial"/>
                <w:bCs/>
                <w:sz w:val="18"/>
                <w:szCs w:val="18"/>
              </w:rPr>
            </w:pPr>
            <w:r>
              <w:rPr>
                <w:rFonts w:ascii="Arial" w:hAnsi="Arial" w:cs="Arial"/>
                <w:bCs/>
                <w:sz w:val="18"/>
                <w:szCs w:val="18"/>
              </w:rPr>
              <w:t>4,028,204</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000000"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113" type="#_x0000_t75" style="position:absolute;margin-left:71.35pt;margin-top:12.75pt;width:351.15pt;height:282pt;z-index:251673600">
            <v:imagedata r:id="rId22" o:title=""/>
            <w10:wrap type="topAndBottom"/>
          </v:shape>
          <o:OLEObject Type="Embed" ProgID="Excel.Sheet.12" ShapeID="_x0000_s2113" DrawAspect="Content" ObjectID="_1758616679"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000000" w:rsidP="009A0EF7">
      <w:pPr>
        <w:spacing w:line="240" w:lineRule="auto"/>
        <w:rPr>
          <w:rFonts w:ascii="Arial" w:hAnsi="Arial" w:cs="Arial"/>
          <w:sz w:val="18"/>
          <w:szCs w:val="18"/>
        </w:rPr>
      </w:pPr>
      <w:r>
        <w:rPr>
          <w:rFonts w:ascii="Arial" w:hAnsi="Arial" w:cs="Arial"/>
          <w:noProof/>
          <w:sz w:val="18"/>
          <w:szCs w:val="18"/>
        </w:rPr>
        <w:lastRenderedPageBreak/>
        <w:object w:dxaOrig="1440" w:dyaOrig="1440" w14:anchorId="345F936C">
          <v:shape id="_x0000_s2114" type="#_x0000_t75" style="position:absolute;margin-left:45.1pt;margin-top:28.1pt;width:394.35pt;height:431pt;z-index:251672576">
            <v:imagedata r:id="rId24" o:title=""/>
            <w10:wrap type="topAndBottom"/>
          </v:shape>
          <o:OLEObject Type="Embed" ProgID="Excel.Sheet.12" ShapeID="_x0000_s2114" DrawAspect="Content" ObjectID="_1758616680"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284EF76D" w14:textId="77777777" w:rsidR="00ED47CB" w:rsidRDefault="00ED47CB"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763EAD" w14:textId="77777777" w:rsidR="00B90D46" w:rsidRDefault="00B90D46" w:rsidP="009A0EF7">
      <w:pPr>
        <w:autoSpaceDE w:val="0"/>
        <w:autoSpaceDN w:val="0"/>
        <w:adjustRightInd w:val="0"/>
        <w:spacing w:before="80" w:after="0"/>
        <w:ind w:left="360"/>
        <w:jc w:val="both"/>
        <w:rPr>
          <w:rFonts w:ascii="Arial" w:hAnsi="Arial" w:cs="Arial"/>
          <w:b/>
          <w:sz w:val="18"/>
          <w:szCs w:val="18"/>
        </w:rPr>
      </w:pPr>
    </w:p>
    <w:p w14:paraId="50AB5FB7" w14:textId="77777777" w:rsidR="00B90D46" w:rsidRDefault="00B90D4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5A9481A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w:t>
            </w:r>
            <w:r w:rsidR="00D751B2">
              <w:rPr>
                <w:rFonts w:ascii="Arial" w:hAnsi="Arial" w:cs="Arial"/>
                <w:b/>
                <w:bCs/>
                <w:color w:val="FFFFFF"/>
                <w:sz w:val="18"/>
                <w:szCs w:val="18"/>
              </w:rPr>
              <w:t>3</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1E70483E" w:rsidR="009A0EF7" w:rsidRPr="00020047" w:rsidRDefault="00D751B2"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25,352,221</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6A045FB8" w:rsidR="009A0EF7" w:rsidRPr="00020047" w:rsidRDefault="00A94B18"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2,422,620</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32EF0C13" w:rsidR="009A0EF7" w:rsidRPr="00020047" w:rsidRDefault="00984A6F"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27,</w:t>
            </w:r>
            <w:r w:rsidR="00A94B18">
              <w:rPr>
                <w:rFonts w:ascii="Arial" w:hAnsi="Arial" w:cs="Arial"/>
                <w:color w:val="000000" w:themeColor="text1"/>
                <w:sz w:val="18"/>
                <w:szCs w:val="18"/>
              </w:rPr>
              <w:t>774,841</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636502F0" w:rsidR="009A0EF7" w:rsidRPr="00020047" w:rsidRDefault="00A94B18"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19,317,631</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2A27F71E" w:rsidR="009A0EF7" w:rsidRPr="00020047" w:rsidRDefault="00A94B18"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19,317,631</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6573CEF6"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sidR="00D751B2">
        <w:rPr>
          <w:rFonts w:ascii="Arial" w:hAnsi="Arial" w:cs="Arial"/>
          <w:sz w:val="18"/>
          <w:szCs w:val="18"/>
        </w:rPr>
        <w:t>25,352,221</w:t>
      </w:r>
      <w:r>
        <w:rPr>
          <w:rFonts w:ascii="Arial" w:hAnsi="Arial" w:cs="Arial"/>
          <w:sz w:val="18"/>
          <w:szCs w:val="18"/>
        </w:rPr>
        <w:t xml:space="preserve">.00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1EC7BC53"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30EBAE50" w14:textId="27DAC8CE" w:rsidR="009A0EF7" w:rsidRDefault="000C4C46"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34,882</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6FC83647"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517E46A8" w14:textId="186D460F" w:rsidR="009A0EF7" w:rsidRDefault="0047310A"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0</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19E127E8" w:rsidR="009A0EF7" w:rsidRDefault="009A0EF7" w:rsidP="00B742A5">
            <w:pPr>
              <w:autoSpaceDE w:val="0"/>
              <w:autoSpaceDN w:val="0"/>
              <w:adjustRightInd w:val="0"/>
              <w:rPr>
                <w:rFonts w:ascii="Arial" w:hAnsi="Arial" w:cs="Arial"/>
                <w:sz w:val="18"/>
                <w:szCs w:val="18"/>
              </w:rPr>
            </w:pPr>
            <w:r>
              <w:rPr>
                <w:rFonts w:ascii="Arial" w:hAnsi="Arial" w:cs="Arial"/>
                <w:sz w:val="18"/>
                <w:szCs w:val="18"/>
              </w:rPr>
              <w:t xml:space="preserve">Ene - </w:t>
            </w:r>
            <w:r w:rsidR="002C4376">
              <w:rPr>
                <w:rFonts w:ascii="Arial" w:hAnsi="Arial" w:cs="Arial"/>
                <w:sz w:val="18"/>
                <w:szCs w:val="18"/>
              </w:rPr>
              <w:t>Jun</w:t>
            </w:r>
          </w:p>
        </w:tc>
        <w:tc>
          <w:tcPr>
            <w:tcW w:w="1714" w:type="dxa"/>
          </w:tcPr>
          <w:p w14:paraId="4B6F7CBB" w14:textId="726FDB78" w:rsidR="009A0EF7" w:rsidRDefault="000C4C46" w:rsidP="00B742A5">
            <w:pPr>
              <w:autoSpaceDE w:val="0"/>
              <w:autoSpaceDN w:val="0"/>
              <w:adjustRightInd w:val="0"/>
              <w:jc w:val="right"/>
              <w:rPr>
                <w:rFonts w:ascii="Arial" w:hAnsi="Arial" w:cs="Arial"/>
                <w:sz w:val="18"/>
                <w:szCs w:val="18"/>
              </w:rPr>
            </w:pPr>
            <w:r>
              <w:rPr>
                <w:rFonts w:ascii="Arial" w:hAnsi="Arial" w:cs="Arial"/>
                <w:sz w:val="18"/>
                <w:szCs w:val="18"/>
              </w:rPr>
              <w:t>2,387,738</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4907F4AC" w:rsidR="009A0EF7" w:rsidRPr="00BD5912" w:rsidRDefault="000C4C46" w:rsidP="00B742A5">
            <w:pPr>
              <w:autoSpaceDE w:val="0"/>
              <w:autoSpaceDN w:val="0"/>
              <w:adjustRightInd w:val="0"/>
              <w:jc w:val="right"/>
              <w:rPr>
                <w:rFonts w:ascii="Arial" w:hAnsi="Arial" w:cs="Arial"/>
                <w:b/>
                <w:sz w:val="18"/>
                <w:szCs w:val="18"/>
              </w:rPr>
            </w:pPr>
            <w:r>
              <w:rPr>
                <w:rFonts w:ascii="Arial" w:hAnsi="Arial" w:cs="Arial"/>
                <w:b/>
                <w:sz w:val="18"/>
                <w:szCs w:val="18"/>
              </w:rPr>
              <w:t>2,422,620</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008045D8" w:rsidR="007126D6" w:rsidRDefault="007126D6" w:rsidP="009A0EF7">
      <w:pPr>
        <w:autoSpaceDE w:val="0"/>
        <w:autoSpaceDN w:val="0"/>
        <w:adjustRightInd w:val="0"/>
        <w:spacing w:before="80" w:after="0"/>
        <w:jc w:val="both"/>
        <w:rPr>
          <w:rFonts w:ascii="Arial" w:hAnsi="Arial" w:cs="Arial"/>
          <w:color w:val="FFFFFF"/>
          <w:sz w:val="18"/>
          <w:szCs w:val="18"/>
        </w:rPr>
      </w:pPr>
    </w:p>
    <w:p w14:paraId="54041FA6" w14:textId="77777777" w:rsidR="00ED1558" w:rsidRDefault="00ED1558"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3417BAD1"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w:t>
            </w:r>
            <w:r w:rsidR="00514E77">
              <w:rPr>
                <w:rFonts w:ascii="Arial" w:hAnsi="Arial" w:cs="Arial"/>
                <w:b/>
                <w:bCs/>
                <w:color w:val="FFFFFF"/>
                <w:sz w:val="18"/>
                <w:szCs w:val="18"/>
              </w:rPr>
              <w:t>3</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24C8AB2D" w:rsidR="009A0EF7" w:rsidRPr="00F60271" w:rsidRDefault="00514E77" w:rsidP="00B742A5">
            <w:pPr>
              <w:spacing w:line="240" w:lineRule="auto"/>
              <w:jc w:val="right"/>
              <w:rPr>
                <w:rFonts w:ascii="Arial" w:hAnsi="Arial" w:cs="Arial"/>
                <w:sz w:val="18"/>
                <w:szCs w:val="18"/>
              </w:rPr>
            </w:pPr>
            <w:r>
              <w:rPr>
                <w:rFonts w:ascii="Arial" w:hAnsi="Arial" w:cs="Arial"/>
                <w:color w:val="000000" w:themeColor="text1"/>
                <w:sz w:val="18"/>
                <w:szCs w:val="18"/>
              </w:rPr>
              <w:t>25,352,221</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469E74E0" w:rsidR="009A0EF7" w:rsidRPr="00F60271" w:rsidRDefault="000C4C46" w:rsidP="00B742A5">
            <w:pPr>
              <w:spacing w:line="240" w:lineRule="auto"/>
              <w:jc w:val="right"/>
              <w:rPr>
                <w:rFonts w:ascii="Arial" w:hAnsi="Arial" w:cs="Arial"/>
                <w:sz w:val="18"/>
                <w:szCs w:val="18"/>
              </w:rPr>
            </w:pPr>
            <w:r>
              <w:rPr>
                <w:rFonts w:ascii="Arial" w:hAnsi="Arial" w:cs="Arial"/>
                <w:color w:val="000000" w:themeColor="text1"/>
                <w:sz w:val="18"/>
                <w:szCs w:val="18"/>
              </w:rPr>
              <w:t>2,422,620</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4C32252B" w:rsidR="009A0EF7" w:rsidRPr="00F60271" w:rsidRDefault="00D3716E" w:rsidP="00B742A5">
            <w:pPr>
              <w:spacing w:line="240" w:lineRule="auto"/>
              <w:jc w:val="right"/>
              <w:rPr>
                <w:rFonts w:ascii="Arial" w:hAnsi="Arial" w:cs="Arial"/>
                <w:sz w:val="18"/>
                <w:szCs w:val="18"/>
              </w:rPr>
            </w:pPr>
            <w:r>
              <w:rPr>
                <w:rFonts w:ascii="Arial" w:hAnsi="Arial" w:cs="Arial"/>
                <w:color w:val="000000" w:themeColor="text1"/>
                <w:sz w:val="18"/>
                <w:szCs w:val="18"/>
              </w:rPr>
              <w:t>27,</w:t>
            </w:r>
            <w:r w:rsidR="000C4C46">
              <w:rPr>
                <w:rFonts w:ascii="Arial" w:hAnsi="Arial" w:cs="Arial"/>
                <w:color w:val="000000" w:themeColor="text1"/>
                <w:sz w:val="18"/>
                <w:szCs w:val="18"/>
              </w:rPr>
              <w:t>774,841</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7DE46138" w:rsidR="009A0EF7" w:rsidRPr="00F60271" w:rsidRDefault="000C4C46" w:rsidP="00B742A5">
            <w:pPr>
              <w:spacing w:line="240" w:lineRule="auto"/>
              <w:jc w:val="right"/>
              <w:rPr>
                <w:rFonts w:ascii="Arial" w:hAnsi="Arial" w:cs="Arial"/>
                <w:sz w:val="18"/>
                <w:szCs w:val="18"/>
              </w:rPr>
            </w:pPr>
            <w:r>
              <w:rPr>
                <w:rFonts w:ascii="Arial" w:hAnsi="Arial" w:cs="Arial"/>
                <w:sz w:val="18"/>
                <w:szCs w:val="18"/>
              </w:rPr>
              <w:t>16,161,918</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0E1D9B09" w:rsidR="009A0EF7" w:rsidRPr="00F60271" w:rsidRDefault="000C4C46" w:rsidP="00B742A5">
            <w:pPr>
              <w:spacing w:line="240" w:lineRule="auto"/>
              <w:jc w:val="right"/>
              <w:rPr>
                <w:rFonts w:ascii="Arial" w:hAnsi="Arial" w:cs="Arial"/>
                <w:sz w:val="18"/>
                <w:szCs w:val="18"/>
              </w:rPr>
            </w:pPr>
            <w:r>
              <w:rPr>
                <w:rFonts w:ascii="Arial" w:hAnsi="Arial" w:cs="Arial"/>
                <w:sz w:val="18"/>
                <w:szCs w:val="18"/>
              </w:rPr>
              <w:t>16,133,634</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5C863835"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r w:rsidR="001B63FE">
        <w:rPr>
          <w:rFonts w:ascii="Arial" w:hAnsi="Arial" w:cs="Arial"/>
          <w:sz w:val="18"/>
          <w:szCs w:val="18"/>
        </w:rPr>
        <w:t>.</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0A4D9FF5"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C87409">
        <w:rPr>
          <w:rFonts w:ascii="Arial" w:hAnsi="Arial" w:cs="Arial"/>
          <w:sz w:val="18"/>
          <w:szCs w:val="18"/>
        </w:rPr>
        <w:t>0</w:t>
      </w:r>
      <w:r>
        <w:rPr>
          <w:rFonts w:ascii="Arial" w:hAnsi="Arial" w:cs="Arial"/>
          <w:sz w:val="18"/>
          <w:szCs w:val="18"/>
        </w:rPr>
        <w:t xml:space="preserve"> de </w:t>
      </w:r>
      <w:r w:rsidR="00070980">
        <w:rPr>
          <w:rFonts w:ascii="Arial" w:hAnsi="Arial" w:cs="Arial"/>
          <w:sz w:val="18"/>
          <w:szCs w:val="18"/>
        </w:rPr>
        <w:t>septiembre</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7FEA3569"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w:t>
      </w:r>
      <w:r w:rsidR="00C87409">
        <w:rPr>
          <w:rFonts w:ascii="Arial" w:hAnsi="Arial" w:cs="Arial"/>
          <w:sz w:val="18"/>
          <w:szCs w:val="18"/>
        </w:rPr>
        <w:t xml:space="preserve"> Regionales</w:t>
      </w:r>
      <w:r w:rsidRPr="002F31D1">
        <w:rPr>
          <w:rFonts w:ascii="Arial" w:hAnsi="Arial" w:cs="Arial"/>
          <w:sz w:val="18"/>
          <w:szCs w:val="18"/>
        </w:rPr>
        <w:t>,</w:t>
      </w:r>
      <w:r w:rsidR="00C87409">
        <w:rPr>
          <w:rFonts w:ascii="Arial" w:hAnsi="Arial" w:cs="Arial"/>
          <w:sz w:val="18"/>
          <w:szCs w:val="18"/>
        </w:rPr>
        <w:t xml:space="preserve"> Defensorías de Derechos Humanos,</w:t>
      </w:r>
      <w:r w:rsidRPr="002F31D1">
        <w:rPr>
          <w:rFonts w:ascii="Arial" w:hAnsi="Arial" w:cs="Arial"/>
          <w:sz w:val="18"/>
          <w:szCs w:val="18"/>
        </w:rPr>
        <w:t xml:space="preserve"> una Secretar</w:t>
      </w:r>
      <w:r w:rsidR="00486F28">
        <w:rPr>
          <w:rFonts w:ascii="Arial" w:hAnsi="Arial" w:cs="Arial"/>
          <w:sz w:val="18"/>
          <w:szCs w:val="18"/>
        </w:rPr>
        <w:t>í</w:t>
      </w:r>
      <w:r w:rsidRPr="002F31D1">
        <w:rPr>
          <w:rFonts w:ascii="Arial" w:hAnsi="Arial" w:cs="Arial"/>
          <w:sz w:val="18"/>
          <w:szCs w:val="18"/>
        </w:rPr>
        <w:t>a Ejecutiva</w:t>
      </w:r>
      <w:r w:rsidR="00C87409">
        <w:rPr>
          <w:rFonts w:ascii="Arial" w:hAnsi="Arial" w:cs="Arial"/>
          <w:sz w:val="18"/>
          <w:szCs w:val="18"/>
        </w:rPr>
        <w:t>, una Secretaría Técnica</w:t>
      </w:r>
      <w:r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01187A3E"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C87409">
        <w:rPr>
          <w:rFonts w:ascii="Arial" w:hAnsi="Arial" w:cs="Arial"/>
          <w:sz w:val="18"/>
          <w:szCs w:val="18"/>
        </w:rPr>
        <w:t>0</w:t>
      </w:r>
      <w:r>
        <w:rPr>
          <w:rFonts w:ascii="Arial" w:hAnsi="Arial" w:cs="Arial"/>
          <w:sz w:val="18"/>
          <w:szCs w:val="18"/>
        </w:rPr>
        <w:t xml:space="preserve"> de </w:t>
      </w:r>
      <w:r w:rsidR="00070980">
        <w:rPr>
          <w:rFonts w:ascii="Arial" w:hAnsi="Arial" w:cs="Arial"/>
          <w:sz w:val="18"/>
          <w:szCs w:val="18"/>
        </w:rPr>
        <w:t>septiembre</w:t>
      </w:r>
      <w:r>
        <w:rPr>
          <w:rFonts w:ascii="Arial" w:hAnsi="Arial" w:cs="Arial"/>
          <w:sz w:val="18"/>
          <w:szCs w:val="18"/>
        </w:rPr>
        <w:t xml:space="preserve"> del ejercicio 202</w:t>
      </w:r>
      <w:r w:rsidR="00514E77">
        <w:rPr>
          <w:rFonts w:ascii="Arial" w:hAnsi="Arial" w:cs="Arial"/>
          <w:sz w:val="18"/>
          <w:szCs w:val="18"/>
        </w:rPr>
        <w:t>3</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w:t>
      </w:r>
      <w:r w:rsidR="00514E77">
        <w:rPr>
          <w:rFonts w:ascii="Arial" w:hAnsi="Arial" w:cs="Arial"/>
          <w:sz w:val="18"/>
          <w:szCs w:val="18"/>
        </w:rPr>
        <w:t>2</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la </w:t>
      </w:r>
      <w:proofErr w:type="gramStart"/>
      <w:r>
        <w:rPr>
          <w:rFonts w:ascii="Arial" w:hAnsi="Arial" w:cs="Arial"/>
          <w:sz w:val="18"/>
          <w:szCs w:val="18"/>
        </w:rPr>
        <w:t>Presidenta</w:t>
      </w:r>
      <w:proofErr w:type="gramEnd"/>
      <w:r>
        <w:rPr>
          <w:rFonts w:ascii="Arial" w:hAnsi="Arial" w:cs="Arial"/>
          <w:sz w:val="18"/>
          <w:szCs w:val="18"/>
        </w:rPr>
        <w:t xml:space="preserve">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D0BA" w14:textId="77777777" w:rsidR="000872B0" w:rsidRDefault="000872B0" w:rsidP="00EA5418">
      <w:pPr>
        <w:spacing w:after="0" w:line="240" w:lineRule="auto"/>
      </w:pPr>
      <w:r>
        <w:separator/>
      </w:r>
    </w:p>
  </w:endnote>
  <w:endnote w:type="continuationSeparator" w:id="0">
    <w:p w14:paraId="621EDBC2" w14:textId="77777777" w:rsidR="000872B0" w:rsidRDefault="000872B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43D1C8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" strokecolor="#833c0c"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BE3A6F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925BE" w14:textId="77777777" w:rsidR="000872B0" w:rsidRDefault="000872B0" w:rsidP="00EA5418">
      <w:pPr>
        <w:spacing w:after="0" w:line="240" w:lineRule="auto"/>
      </w:pPr>
      <w:r>
        <w:separator/>
      </w:r>
    </w:p>
  </w:footnote>
  <w:footnote w:type="continuationSeparator" w:id="0">
    <w:p w14:paraId="68030823" w14:textId="77777777" w:rsidR="000872B0" w:rsidRDefault="000872B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E2A893"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" strokecolor="#833c0c"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0C747ABF"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502031">
                        <w:rPr>
                          <w:rFonts w:ascii="Soberana Titular" w:hAnsi="Soberana Titular" w:cs="Arial"/>
                          <w:color w:val="808080" w:themeColor="background1" w:themeShade="80"/>
                          <w:sz w:val="42"/>
                          <w:szCs w:val="42"/>
                        </w:rPr>
                        <w:t>3</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68B511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" strokecolor="#833c0c"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601"/>
    <w:rsid w:val="000053D1"/>
    <w:rsid w:val="00006217"/>
    <w:rsid w:val="00006517"/>
    <w:rsid w:val="00012366"/>
    <w:rsid w:val="00012573"/>
    <w:rsid w:val="0001342E"/>
    <w:rsid w:val="00014B47"/>
    <w:rsid w:val="000155BC"/>
    <w:rsid w:val="000164D8"/>
    <w:rsid w:val="000202A5"/>
    <w:rsid w:val="00021365"/>
    <w:rsid w:val="00021787"/>
    <w:rsid w:val="00026C0E"/>
    <w:rsid w:val="000271C8"/>
    <w:rsid w:val="00027374"/>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3EF1"/>
    <w:rsid w:val="000655E4"/>
    <w:rsid w:val="0006610A"/>
    <w:rsid w:val="00066325"/>
    <w:rsid w:val="0006668A"/>
    <w:rsid w:val="0006755E"/>
    <w:rsid w:val="000675C4"/>
    <w:rsid w:val="00070980"/>
    <w:rsid w:val="00072BA1"/>
    <w:rsid w:val="0007333B"/>
    <w:rsid w:val="0007519E"/>
    <w:rsid w:val="0007549C"/>
    <w:rsid w:val="00076097"/>
    <w:rsid w:val="00076E1D"/>
    <w:rsid w:val="00077A1F"/>
    <w:rsid w:val="0008099F"/>
    <w:rsid w:val="00080D6B"/>
    <w:rsid w:val="00084D46"/>
    <w:rsid w:val="0008570D"/>
    <w:rsid w:val="000872B0"/>
    <w:rsid w:val="000872D9"/>
    <w:rsid w:val="000879B9"/>
    <w:rsid w:val="00090FD9"/>
    <w:rsid w:val="00094F19"/>
    <w:rsid w:val="0009604B"/>
    <w:rsid w:val="00097255"/>
    <w:rsid w:val="000A00F8"/>
    <w:rsid w:val="000A1DD4"/>
    <w:rsid w:val="000A4867"/>
    <w:rsid w:val="000A5776"/>
    <w:rsid w:val="000A58AB"/>
    <w:rsid w:val="000A7734"/>
    <w:rsid w:val="000A7AB8"/>
    <w:rsid w:val="000B0542"/>
    <w:rsid w:val="000B0742"/>
    <w:rsid w:val="000B0910"/>
    <w:rsid w:val="000B15F5"/>
    <w:rsid w:val="000B54AD"/>
    <w:rsid w:val="000B552D"/>
    <w:rsid w:val="000B62E8"/>
    <w:rsid w:val="000B6DEA"/>
    <w:rsid w:val="000B6E5A"/>
    <w:rsid w:val="000C4C46"/>
    <w:rsid w:val="000C6E95"/>
    <w:rsid w:val="000C7FBB"/>
    <w:rsid w:val="000D01E9"/>
    <w:rsid w:val="000D0EE3"/>
    <w:rsid w:val="000D4D45"/>
    <w:rsid w:val="000D553D"/>
    <w:rsid w:val="000E0A96"/>
    <w:rsid w:val="000E0C3C"/>
    <w:rsid w:val="000E10A7"/>
    <w:rsid w:val="000E4072"/>
    <w:rsid w:val="000E5C7A"/>
    <w:rsid w:val="000E6692"/>
    <w:rsid w:val="000F0C50"/>
    <w:rsid w:val="000F0E08"/>
    <w:rsid w:val="000F1B18"/>
    <w:rsid w:val="000F3D73"/>
    <w:rsid w:val="000F5D5C"/>
    <w:rsid w:val="000F7AB4"/>
    <w:rsid w:val="00100FD7"/>
    <w:rsid w:val="0010182C"/>
    <w:rsid w:val="001049BA"/>
    <w:rsid w:val="00105410"/>
    <w:rsid w:val="0010558B"/>
    <w:rsid w:val="00107D53"/>
    <w:rsid w:val="00111884"/>
    <w:rsid w:val="00112770"/>
    <w:rsid w:val="001130E9"/>
    <w:rsid w:val="001156F5"/>
    <w:rsid w:val="00115BD6"/>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1128"/>
    <w:rsid w:val="001330F9"/>
    <w:rsid w:val="001340E0"/>
    <w:rsid w:val="00134F21"/>
    <w:rsid w:val="00135548"/>
    <w:rsid w:val="00136E7D"/>
    <w:rsid w:val="00142035"/>
    <w:rsid w:val="00142567"/>
    <w:rsid w:val="001435CE"/>
    <w:rsid w:val="00144A5D"/>
    <w:rsid w:val="0014540D"/>
    <w:rsid w:val="00146698"/>
    <w:rsid w:val="001528B7"/>
    <w:rsid w:val="001547B6"/>
    <w:rsid w:val="00155BEA"/>
    <w:rsid w:val="0015710D"/>
    <w:rsid w:val="00160E16"/>
    <w:rsid w:val="00161865"/>
    <w:rsid w:val="0016242F"/>
    <w:rsid w:val="001635E1"/>
    <w:rsid w:val="00163ED1"/>
    <w:rsid w:val="00165BB4"/>
    <w:rsid w:val="001660FE"/>
    <w:rsid w:val="001674BF"/>
    <w:rsid w:val="00171788"/>
    <w:rsid w:val="00172B7D"/>
    <w:rsid w:val="0017394F"/>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1D0A"/>
    <w:rsid w:val="001B2632"/>
    <w:rsid w:val="001B267D"/>
    <w:rsid w:val="001B3E80"/>
    <w:rsid w:val="001B3F35"/>
    <w:rsid w:val="001B40F3"/>
    <w:rsid w:val="001B4EE5"/>
    <w:rsid w:val="001B51F1"/>
    <w:rsid w:val="001B63FE"/>
    <w:rsid w:val="001B6F95"/>
    <w:rsid w:val="001B7DDA"/>
    <w:rsid w:val="001C2435"/>
    <w:rsid w:val="001C37DA"/>
    <w:rsid w:val="001C47EF"/>
    <w:rsid w:val="001C4842"/>
    <w:rsid w:val="001C48E8"/>
    <w:rsid w:val="001C4CB9"/>
    <w:rsid w:val="001C66C1"/>
    <w:rsid w:val="001C6C21"/>
    <w:rsid w:val="001C6F0D"/>
    <w:rsid w:val="001C6FD8"/>
    <w:rsid w:val="001D0747"/>
    <w:rsid w:val="001D1569"/>
    <w:rsid w:val="001D3572"/>
    <w:rsid w:val="001E2A65"/>
    <w:rsid w:val="001E3216"/>
    <w:rsid w:val="001E327A"/>
    <w:rsid w:val="001E46CF"/>
    <w:rsid w:val="001E5F48"/>
    <w:rsid w:val="001E7072"/>
    <w:rsid w:val="001F0C04"/>
    <w:rsid w:val="001F18C1"/>
    <w:rsid w:val="001F2C72"/>
    <w:rsid w:val="001F2E68"/>
    <w:rsid w:val="001F3E1C"/>
    <w:rsid w:val="001F4B7F"/>
    <w:rsid w:val="002003CC"/>
    <w:rsid w:val="00201919"/>
    <w:rsid w:val="002023F6"/>
    <w:rsid w:val="00202C27"/>
    <w:rsid w:val="00203AC0"/>
    <w:rsid w:val="00203F37"/>
    <w:rsid w:val="00204C86"/>
    <w:rsid w:val="00204F06"/>
    <w:rsid w:val="00206E09"/>
    <w:rsid w:val="00212203"/>
    <w:rsid w:val="0021519E"/>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91E"/>
    <w:rsid w:val="00267F05"/>
    <w:rsid w:val="002705C0"/>
    <w:rsid w:val="00270EC8"/>
    <w:rsid w:val="002714C7"/>
    <w:rsid w:val="00272E20"/>
    <w:rsid w:val="00274353"/>
    <w:rsid w:val="002748C9"/>
    <w:rsid w:val="002750F3"/>
    <w:rsid w:val="0027627B"/>
    <w:rsid w:val="00280CD3"/>
    <w:rsid w:val="00280CDA"/>
    <w:rsid w:val="002858C7"/>
    <w:rsid w:val="00287D90"/>
    <w:rsid w:val="00290A24"/>
    <w:rsid w:val="00291BDA"/>
    <w:rsid w:val="00295D09"/>
    <w:rsid w:val="00295FCC"/>
    <w:rsid w:val="002974B6"/>
    <w:rsid w:val="00297D52"/>
    <w:rsid w:val="002A15A9"/>
    <w:rsid w:val="002A2013"/>
    <w:rsid w:val="002A5139"/>
    <w:rsid w:val="002A70B3"/>
    <w:rsid w:val="002A728F"/>
    <w:rsid w:val="002A7396"/>
    <w:rsid w:val="002B0770"/>
    <w:rsid w:val="002B1D75"/>
    <w:rsid w:val="002B32BF"/>
    <w:rsid w:val="002B44E6"/>
    <w:rsid w:val="002B4828"/>
    <w:rsid w:val="002B547F"/>
    <w:rsid w:val="002B7C62"/>
    <w:rsid w:val="002C0A9F"/>
    <w:rsid w:val="002C416F"/>
    <w:rsid w:val="002C4376"/>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1377"/>
    <w:rsid w:val="002F3C8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5BA2"/>
    <w:rsid w:val="00327048"/>
    <w:rsid w:val="00327701"/>
    <w:rsid w:val="00327740"/>
    <w:rsid w:val="00331185"/>
    <w:rsid w:val="00332091"/>
    <w:rsid w:val="0033398C"/>
    <w:rsid w:val="00334098"/>
    <w:rsid w:val="00336B8F"/>
    <w:rsid w:val="00342BFC"/>
    <w:rsid w:val="00343DA4"/>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9758F"/>
    <w:rsid w:val="003A0303"/>
    <w:rsid w:val="003A072B"/>
    <w:rsid w:val="003A3013"/>
    <w:rsid w:val="003A4023"/>
    <w:rsid w:val="003A49CA"/>
    <w:rsid w:val="003A6C39"/>
    <w:rsid w:val="003A731F"/>
    <w:rsid w:val="003A7ADE"/>
    <w:rsid w:val="003B1A5C"/>
    <w:rsid w:val="003B1B0C"/>
    <w:rsid w:val="003B55DA"/>
    <w:rsid w:val="003C2BD7"/>
    <w:rsid w:val="003C35FE"/>
    <w:rsid w:val="003C3B3A"/>
    <w:rsid w:val="003C422B"/>
    <w:rsid w:val="003C46EC"/>
    <w:rsid w:val="003C4805"/>
    <w:rsid w:val="003C5C30"/>
    <w:rsid w:val="003C7A1D"/>
    <w:rsid w:val="003D0221"/>
    <w:rsid w:val="003D1331"/>
    <w:rsid w:val="003D2E3D"/>
    <w:rsid w:val="003D3B36"/>
    <w:rsid w:val="003D4619"/>
    <w:rsid w:val="003D56C9"/>
    <w:rsid w:val="003D5DBF"/>
    <w:rsid w:val="003D6079"/>
    <w:rsid w:val="003E33EF"/>
    <w:rsid w:val="003E3D38"/>
    <w:rsid w:val="003E63CA"/>
    <w:rsid w:val="003E6BD8"/>
    <w:rsid w:val="003E732C"/>
    <w:rsid w:val="003E7FD0"/>
    <w:rsid w:val="003F0340"/>
    <w:rsid w:val="003F0EA4"/>
    <w:rsid w:val="003F16E6"/>
    <w:rsid w:val="003F2A03"/>
    <w:rsid w:val="003F2EE6"/>
    <w:rsid w:val="003F4574"/>
    <w:rsid w:val="003F5C80"/>
    <w:rsid w:val="003F6942"/>
    <w:rsid w:val="003F6B56"/>
    <w:rsid w:val="003F7393"/>
    <w:rsid w:val="00401774"/>
    <w:rsid w:val="00401A74"/>
    <w:rsid w:val="0040301B"/>
    <w:rsid w:val="00403B4B"/>
    <w:rsid w:val="004050B3"/>
    <w:rsid w:val="004055B4"/>
    <w:rsid w:val="0040746E"/>
    <w:rsid w:val="004076AC"/>
    <w:rsid w:val="0041065F"/>
    <w:rsid w:val="00411B83"/>
    <w:rsid w:val="00412CB0"/>
    <w:rsid w:val="00412D28"/>
    <w:rsid w:val="00415099"/>
    <w:rsid w:val="004174A0"/>
    <w:rsid w:val="00420208"/>
    <w:rsid w:val="004213BC"/>
    <w:rsid w:val="00422B55"/>
    <w:rsid w:val="00424251"/>
    <w:rsid w:val="004277E2"/>
    <w:rsid w:val="004306DA"/>
    <w:rsid w:val="004311BE"/>
    <w:rsid w:val="00435556"/>
    <w:rsid w:val="00436329"/>
    <w:rsid w:val="00436D3C"/>
    <w:rsid w:val="0043708D"/>
    <w:rsid w:val="004373B9"/>
    <w:rsid w:val="00437809"/>
    <w:rsid w:val="00440C8B"/>
    <w:rsid w:val="00441E7C"/>
    <w:rsid w:val="0044253C"/>
    <w:rsid w:val="004440EB"/>
    <w:rsid w:val="004466A7"/>
    <w:rsid w:val="0044698E"/>
    <w:rsid w:val="00451963"/>
    <w:rsid w:val="00454129"/>
    <w:rsid w:val="00454250"/>
    <w:rsid w:val="00454AE1"/>
    <w:rsid w:val="00460AD0"/>
    <w:rsid w:val="00462592"/>
    <w:rsid w:val="00463B0D"/>
    <w:rsid w:val="00463CA2"/>
    <w:rsid w:val="0046425D"/>
    <w:rsid w:val="00464409"/>
    <w:rsid w:val="004644D4"/>
    <w:rsid w:val="004649FD"/>
    <w:rsid w:val="00466C1E"/>
    <w:rsid w:val="004714CF"/>
    <w:rsid w:val="00471984"/>
    <w:rsid w:val="00472468"/>
    <w:rsid w:val="0047310A"/>
    <w:rsid w:val="00474420"/>
    <w:rsid w:val="00480484"/>
    <w:rsid w:val="00480A55"/>
    <w:rsid w:val="00480C41"/>
    <w:rsid w:val="00480F7F"/>
    <w:rsid w:val="00482E20"/>
    <w:rsid w:val="004842C3"/>
    <w:rsid w:val="00484C0D"/>
    <w:rsid w:val="00484E35"/>
    <w:rsid w:val="00486F28"/>
    <w:rsid w:val="00487AC2"/>
    <w:rsid w:val="0049279C"/>
    <w:rsid w:val="00493E27"/>
    <w:rsid w:val="00496633"/>
    <w:rsid w:val="00497D8B"/>
    <w:rsid w:val="004A07A5"/>
    <w:rsid w:val="004A09AF"/>
    <w:rsid w:val="004A1341"/>
    <w:rsid w:val="004A460E"/>
    <w:rsid w:val="004A50CB"/>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1443"/>
    <w:rsid w:val="004D30E1"/>
    <w:rsid w:val="004D3E91"/>
    <w:rsid w:val="004D41B8"/>
    <w:rsid w:val="004D5BEA"/>
    <w:rsid w:val="004E3EA4"/>
    <w:rsid w:val="004E6076"/>
    <w:rsid w:val="004E6118"/>
    <w:rsid w:val="004E68FC"/>
    <w:rsid w:val="004F53E3"/>
    <w:rsid w:val="004F542A"/>
    <w:rsid w:val="004F5641"/>
    <w:rsid w:val="004F6EBD"/>
    <w:rsid w:val="0050183B"/>
    <w:rsid w:val="00502031"/>
    <w:rsid w:val="00502DDD"/>
    <w:rsid w:val="00503454"/>
    <w:rsid w:val="00505498"/>
    <w:rsid w:val="005111D4"/>
    <w:rsid w:val="00513054"/>
    <w:rsid w:val="00513E7E"/>
    <w:rsid w:val="00514E77"/>
    <w:rsid w:val="00514F2B"/>
    <w:rsid w:val="00516599"/>
    <w:rsid w:val="0052034A"/>
    <w:rsid w:val="00521715"/>
    <w:rsid w:val="00521728"/>
    <w:rsid w:val="00521938"/>
    <w:rsid w:val="00522632"/>
    <w:rsid w:val="00522815"/>
    <w:rsid w:val="00522EF3"/>
    <w:rsid w:val="00523156"/>
    <w:rsid w:val="005243D9"/>
    <w:rsid w:val="0052562F"/>
    <w:rsid w:val="0052637F"/>
    <w:rsid w:val="005269BE"/>
    <w:rsid w:val="00530DED"/>
    <w:rsid w:val="00531D66"/>
    <w:rsid w:val="0053277D"/>
    <w:rsid w:val="005327CE"/>
    <w:rsid w:val="00533BBC"/>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40F0"/>
    <w:rsid w:val="00565576"/>
    <w:rsid w:val="0056773F"/>
    <w:rsid w:val="00567FA2"/>
    <w:rsid w:val="00570444"/>
    <w:rsid w:val="0057089C"/>
    <w:rsid w:val="005712C2"/>
    <w:rsid w:val="00573EBD"/>
    <w:rsid w:val="00574266"/>
    <w:rsid w:val="00574570"/>
    <w:rsid w:val="00575EE0"/>
    <w:rsid w:val="005768CC"/>
    <w:rsid w:val="005768EA"/>
    <w:rsid w:val="00576C8C"/>
    <w:rsid w:val="005773E7"/>
    <w:rsid w:val="005774CE"/>
    <w:rsid w:val="00577617"/>
    <w:rsid w:val="00584F08"/>
    <w:rsid w:val="0058542E"/>
    <w:rsid w:val="00585D38"/>
    <w:rsid w:val="00587618"/>
    <w:rsid w:val="005876AE"/>
    <w:rsid w:val="005907A0"/>
    <w:rsid w:val="0059084C"/>
    <w:rsid w:val="00590C01"/>
    <w:rsid w:val="00592B24"/>
    <w:rsid w:val="00593097"/>
    <w:rsid w:val="00596035"/>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72"/>
    <w:rsid w:val="005C4BC3"/>
    <w:rsid w:val="005C58B3"/>
    <w:rsid w:val="005D0D10"/>
    <w:rsid w:val="005D296A"/>
    <w:rsid w:val="005D3D25"/>
    <w:rsid w:val="005D46DF"/>
    <w:rsid w:val="005D5223"/>
    <w:rsid w:val="005D568E"/>
    <w:rsid w:val="005E39FD"/>
    <w:rsid w:val="005E618F"/>
    <w:rsid w:val="005E68A5"/>
    <w:rsid w:val="005E7914"/>
    <w:rsid w:val="005F253A"/>
    <w:rsid w:val="005F2DC4"/>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1725"/>
    <w:rsid w:val="00612203"/>
    <w:rsid w:val="00612216"/>
    <w:rsid w:val="006132FB"/>
    <w:rsid w:val="00622823"/>
    <w:rsid w:val="00623ACB"/>
    <w:rsid w:val="006247D5"/>
    <w:rsid w:val="006253D1"/>
    <w:rsid w:val="00626D3D"/>
    <w:rsid w:val="00627CFE"/>
    <w:rsid w:val="00631AAA"/>
    <w:rsid w:val="00632109"/>
    <w:rsid w:val="00632C87"/>
    <w:rsid w:val="00632D11"/>
    <w:rsid w:val="006331B3"/>
    <w:rsid w:val="0063488B"/>
    <w:rsid w:val="00634A80"/>
    <w:rsid w:val="006356AA"/>
    <w:rsid w:val="00637A48"/>
    <w:rsid w:val="006429DB"/>
    <w:rsid w:val="00643BBD"/>
    <w:rsid w:val="0064409F"/>
    <w:rsid w:val="006441E4"/>
    <w:rsid w:val="006443DF"/>
    <w:rsid w:val="00644763"/>
    <w:rsid w:val="00650760"/>
    <w:rsid w:val="006519BC"/>
    <w:rsid w:val="00651A45"/>
    <w:rsid w:val="00651FB7"/>
    <w:rsid w:val="006537A5"/>
    <w:rsid w:val="00653A66"/>
    <w:rsid w:val="00654460"/>
    <w:rsid w:val="0065446E"/>
    <w:rsid w:val="006548F6"/>
    <w:rsid w:val="0065525F"/>
    <w:rsid w:val="00655EB2"/>
    <w:rsid w:val="00660015"/>
    <w:rsid w:val="00661A17"/>
    <w:rsid w:val="00661DBC"/>
    <w:rsid w:val="006653EB"/>
    <w:rsid w:val="00667D50"/>
    <w:rsid w:val="00672955"/>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4477"/>
    <w:rsid w:val="006A5FDE"/>
    <w:rsid w:val="006B1FE7"/>
    <w:rsid w:val="006B46DA"/>
    <w:rsid w:val="006B4727"/>
    <w:rsid w:val="006C20D0"/>
    <w:rsid w:val="006C2C92"/>
    <w:rsid w:val="006C4213"/>
    <w:rsid w:val="006C54B8"/>
    <w:rsid w:val="006C66A5"/>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224"/>
    <w:rsid w:val="006F23B1"/>
    <w:rsid w:val="006F4379"/>
    <w:rsid w:val="006F4C3C"/>
    <w:rsid w:val="006F5412"/>
    <w:rsid w:val="006F6AC2"/>
    <w:rsid w:val="006F74DC"/>
    <w:rsid w:val="007004C7"/>
    <w:rsid w:val="007017BA"/>
    <w:rsid w:val="00702079"/>
    <w:rsid w:val="007025F4"/>
    <w:rsid w:val="00703446"/>
    <w:rsid w:val="0070431B"/>
    <w:rsid w:val="00707693"/>
    <w:rsid w:val="007103D4"/>
    <w:rsid w:val="007126D6"/>
    <w:rsid w:val="007149DA"/>
    <w:rsid w:val="007156AF"/>
    <w:rsid w:val="00720256"/>
    <w:rsid w:val="00721EA3"/>
    <w:rsid w:val="00722FEB"/>
    <w:rsid w:val="00723D09"/>
    <w:rsid w:val="007277F5"/>
    <w:rsid w:val="0073056A"/>
    <w:rsid w:val="007314A9"/>
    <w:rsid w:val="00731CA2"/>
    <w:rsid w:val="00734272"/>
    <w:rsid w:val="0073581C"/>
    <w:rsid w:val="00736F40"/>
    <w:rsid w:val="007375D6"/>
    <w:rsid w:val="00741D5A"/>
    <w:rsid w:val="007420CD"/>
    <w:rsid w:val="00742C34"/>
    <w:rsid w:val="007439D3"/>
    <w:rsid w:val="007468C4"/>
    <w:rsid w:val="00757C3E"/>
    <w:rsid w:val="00764D64"/>
    <w:rsid w:val="00770054"/>
    <w:rsid w:val="0077173D"/>
    <w:rsid w:val="00771AF4"/>
    <w:rsid w:val="007723AF"/>
    <w:rsid w:val="00773003"/>
    <w:rsid w:val="00773A43"/>
    <w:rsid w:val="00773EBC"/>
    <w:rsid w:val="007742B3"/>
    <w:rsid w:val="007769DF"/>
    <w:rsid w:val="00776BBF"/>
    <w:rsid w:val="00777069"/>
    <w:rsid w:val="00777439"/>
    <w:rsid w:val="00777526"/>
    <w:rsid w:val="007818C3"/>
    <w:rsid w:val="00781CDB"/>
    <w:rsid w:val="00782910"/>
    <w:rsid w:val="00786193"/>
    <w:rsid w:val="00790B78"/>
    <w:rsid w:val="0079158C"/>
    <w:rsid w:val="00794967"/>
    <w:rsid w:val="0079582C"/>
    <w:rsid w:val="00796CB0"/>
    <w:rsid w:val="007972C6"/>
    <w:rsid w:val="007A1F12"/>
    <w:rsid w:val="007A3544"/>
    <w:rsid w:val="007A3F6F"/>
    <w:rsid w:val="007A618A"/>
    <w:rsid w:val="007A799B"/>
    <w:rsid w:val="007B2FE4"/>
    <w:rsid w:val="007B4793"/>
    <w:rsid w:val="007B6BF7"/>
    <w:rsid w:val="007B72F6"/>
    <w:rsid w:val="007B7847"/>
    <w:rsid w:val="007C0936"/>
    <w:rsid w:val="007C12A7"/>
    <w:rsid w:val="007C1CF4"/>
    <w:rsid w:val="007C2B97"/>
    <w:rsid w:val="007C5324"/>
    <w:rsid w:val="007C590E"/>
    <w:rsid w:val="007C5F13"/>
    <w:rsid w:val="007C7BD7"/>
    <w:rsid w:val="007C7F7A"/>
    <w:rsid w:val="007D1332"/>
    <w:rsid w:val="007D1805"/>
    <w:rsid w:val="007D3166"/>
    <w:rsid w:val="007D4702"/>
    <w:rsid w:val="007D59DE"/>
    <w:rsid w:val="007D6E9A"/>
    <w:rsid w:val="007D78B3"/>
    <w:rsid w:val="007D7D18"/>
    <w:rsid w:val="007E577C"/>
    <w:rsid w:val="007E5962"/>
    <w:rsid w:val="007E6739"/>
    <w:rsid w:val="007E7450"/>
    <w:rsid w:val="007E7A7E"/>
    <w:rsid w:val="007F00B0"/>
    <w:rsid w:val="007F35A0"/>
    <w:rsid w:val="007F35C9"/>
    <w:rsid w:val="007F4F8F"/>
    <w:rsid w:val="00800925"/>
    <w:rsid w:val="00800EC0"/>
    <w:rsid w:val="00802736"/>
    <w:rsid w:val="00802B2A"/>
    <w:rsid w:val="008072A3"/>
    <w:rsid w:val="00807FF7"/>
    <w:rsid w:val="00810D49"/>
    <w:rsid w:val="00811DAC"/>
    <w:rsid w:val="008167D5"/>
    <w:rsid w:val="00816D0D"/>
    <w:rsid w:val="00817095"/>
    <w:rsid w:val="00817DFF"/>
    <w:rsid w:val="00820352"/>
    <w:rsid w:val="00822CD5"/>
    <w:rsid w:val="00823500"/>
    <w:rsid w:val="008242F7"/>
    <w:rsid w:val="00826474"/>
    <w:rsid w:val="008276B2"/>
    <w:rsid w:val="0083223B"/>
    <w:rsid w:val="00832955"/>
    <w:rsid w:val="00832F7A"/>
    <w:rsid w:val="0083335C"/>
    <w:rsid w:val="0083678C"/>
    <w:rsid w:val="00840ED5"/>
    <w:rsid w:val="00841F62"/>
    <w:rsid w:val="00842716"/>
    <w:rsid w:val="00842AD5"/>
    <w:rsid w:val="00844CF2"/>
    <w:rsid w:val="00845952"/>
    <w:rsid w:val="008459E1"/>
    <w:rsid w:val="00845EF6"/>
    <w:rsid w:val="00846C3D"/>
    <w:rsid w:val="008470C4"/>
    <w:rsid w:val="0084770A"/>
    <w:rsid w:val="00850642"/>
    <w:rsid w:val="00850815"/>
    <w:rsid w:val="0085397B"/>
    <w:rsid w:val="00856CDA"/>
    <w:rsid w:val="008624D8"/>
    <w:rsid w:val="008630BA"/>
    <w:rsid w:val="0086433A"/>
    <w:rsid w:val="008643A9"/>
    <w:rsid w:val="00864C50"/>
    <w:rsid w:val="00864FE6"/>
    <w:rsid w:val="008651D8"/>
    <w:rsid w:val="008659FD"/>
    <w:rsid w:val="00866F4E"/>
    <w:rsid w:val="00870F4E"/>
    <w:rsid w:val="00872C30"/>
    <w:rsid w:val="008742BD"/>
    <w:rsid w:val="0087478F"/>
    <w:rsid w:val="00876082"/>
    <w:rsid w:val="00880154"/>
    <w:rsid w:val="008805C8"/>
    <w:rsid w:val="00881BEF"/>
    <w:rsid w:val="00883D58"/>
    <w:rsid w:val="00885671"/>
    <w:rsid w:val="0089054E"/>
    <w:rsid w:val="00891C6D"/>
    <w:rsid w:val="00894C50"/>
    <w:rsid w:val="00895EF7"/>
    <w:rsid w:val="008966AD"/>
    <w:rsid w:val="00897AB8"/>
    <w:rsid w:val="00897BFB"/>
    <w:rsid w:val="008A0FD3"/>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47E0"/>
    <w:rsid w:val="008C568D"/>
    <w:rsid w:val="008D0B37"/>
    <w:rsid w:val="008D1884"/>
    <w:rsid w:val="008D64D4"/>
    <w:rsid w:val="008D7129"/>
    <w:rsid w:val="008E12FF"/>
    <w:rsid w:val="008E3652"/>
    <w:rsid w:val="008E3672"/>
    <w:rsid w:val="008E49AB"/>
    <w:rsid w:val="008E5316"/>
    <w:rsid w:val="008F056B"/>
    <w:rsid w:val="008F05C3"/>
    <w:rsid w:val="008F0CF5"/>
    <w:rsid w:val="008F3D14"/>
    <w:rsid w:val="008F45AC"/>
    <w:rsid w:val="008F4733"/>
    <w:rsid w:val="008F4EF3"/>
    <w:rsid w:val="008F5430"/>
    <w:rsid w:val="008F62C8"/>
    <w:rsid w:val="008F6D58"/>
    <w:rsid w:val="008F6EFE"/>
    <w:rsid w:val="008F708E"/>
    <w:rsid w:val="00902118"/>
    <w:rsid w:val="00906016"/>
    <w:rsid w:val="009060E5"/>
    <w:rsid w:val="00907935"/>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3CC"/>
    <w:rsid w:val="009244C1"/>
    <w:rsid w:val="0092487E"/>
    <w:rsid w:val="0092553A"/>
    <w:rsid w:val="00927BA4"/>
    <w:rsid w:val="009301F2"/>
    <w:rsid w:val="009305FA"/>
    <w:rsid w:val="009311E7"/>
    <w:rsid w:val="00932300"/>
    <w:rsid w:val="00934914"/>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66D"/>
    <w:rsid w:val="00975CBF"/>
    <w:rsid w:val="009768AE"/>
    <w:rsid w:val="00980D38"/>
    <w:rsid w:val="00984A6F"/>
    <w:rsid w:val="00986365"/>
    <w:rsid w:val="009869E9"/>
    <w:rsid w:val="00986BC3"/>
    <w:rsid w:val="00987EEE"/>
    <w:rsid w:val="00991656"/>
    <w:rsid w:val="00994F26"/>
    <w:rsid w:val="00996671"/>
    <w:rsid w:val="009A00D4"/>
    <w:rsid w:val="009A0EF7"/>
    <w:rsid w:val="009A2FE0"/>
    <w:rsid w:val="009A407A"/>
    <w:rsid w:val="009A4751"/>
    <w:rsid w:val="009A6CA9"/>
    <w:rsid w:val="009A76C0"/>
    <w:rsid w:val="009B0197"/>
    <w:rsid w:val="009B0AD2"/>
    <w:rsid w:val="009B0DC1"/>
    <w:rsid w:val="009B20EA"/>
    <w:rsid w:val="009B2C65"/>
    <w:rsid w:val="009B49CD"/>
    <w:rsid w:val="009B515F"/>
    <w:rsid w:val="009B5552"/>
    <w:rsid w:val="009B64AA"/>
    <w:rsid w:val="009B68CB"/>
    <w:rsid w:val="009B75E5"/>
    <w:rsid w:val="009C26AF"/>
    <w:rsid w:val="009C379E"/>
    <w:rsid w:val="009C4575"/>
    <w:rsid w:val="009C55C5"/>
    <w:rsid w:val="009C5E39"/>
    <w:rsid w:val="009C6E8E"/>
    <w:rsid w:val="009C74FB"/>
    <w:rsid w:val="009D20E7"/>
    <w:rsid w:val="009D5D4C"/>
    <w:rsid w:val="009D7C14"/>
    <w:rsid w:val="009E1636"/>
    <w:rsid w:val="009E2520"/>
    <w:rsid w:val="009E51F8"/>
    <w:rsid w:val="009E653A"/>
    <w:rsid w:val="009F239C"/>
    <w:rsid w:val="009F23C4"/>
    <w:rsid w:val="009F270C"/>
    <w:rsid w:val="009F3470"/>
    <w:rsid w:val="009F4004"/>
    <w:rsid w:val="009F564C"/>
    <w:rsid w:val="009F5E29"/>
    <w:rsid w:val="009F6C1F"/>
    <w:rsid w:val="00A0136F"/>
    <w:rsid w:val="00A018A3"/>
    <w:rsid w:val="00A01B1B"/>
    <w:rsid w:val="00A02E76"/>
    <w:rsid w:val="00A045DD"/>
    <w:rsid w:val="00A0463E"/>
    <w:rsid w:val="00A06D66"/>
    <w:rsid w:val="00A073BF"/>
    <w:rsid w:val="00A07E0D"/>
    <w:rsid w:val="00A11638"/>
    <w:rsid w:val="00A14DCC"/>
    <w:rsid w:val="00A235BA"/>
    <w:rsid w:val="00A23892"/>
    <w:rsid w:val="00A2391F"/>
    <w:rsid w:val="00A23B93"/>
    <w:rsid w:val="00A33146"/>
    <w:rsid w:val="00A344CA"/>
    <w:rsid w:val="00A35A05"/>
    <w:rsid w:val="00A363B6"/>
    <w:rsid w:val="00A36F15"/>
    <w:rsid w:val="00A37637"/>
    <w:rsid w:val="00A421CE"/>
    <w:rsid w:val="00A42331"/>
    <w:rsid w:val="00A43041"/>
    <w:rsid w:val="00A44EC1"/>
    <w:rsid w:val="00A450C9"/>
    <w:rsid w:val="00A45BFA"/>
    <w:rsid w:val="00A45D7D"/>
    <w:rsid w:val="00A46101"/>
    <w:rsid w:val="00A46BF5"/>
    <w:rsid w:val="00A47F7A"/>
    <w:rsid w:val="00A501B6"/>
    <w:rsid w:val="00A506CD"/>
    <w:rsid w:val="00A51C99"/>
    <w:rsid w:val="00A52E61"/>
    <w:rsid w:val="00A5487D"/>
    <w:rsid w:val="00A54D75"/>
    <w:rsid w:val="00A55A0E"/>
    <w:rsid w:val="00A56327"/>
    <w:rsid w:val="00A6063E"/>
    <w:rsid w:val="00A65407"/>
    <w:rsid w:val="00A65619"/>
    <w:rsid w:val="00A6797D"/>
    <w:rsid w:val="00A70107"/>
    <w:rsid w:val="00A74CAF"/>
    <w:rsid w:val="00A7607B"/>
    <w:rsid w:val="00A764EF"/>
    <w:rsid w:val="00A7679E"/>
    <w:rsid w:val="00A8050B"/>
    <w:rsid w:val="00A8077E"/>
    <w:rsid w:val="00A8166B"/>
    <w:rsid w:val="00A83365"/>
    <w:rsid w:val="00A83676"/>
    <w:rsid w:val="00A83CB7"/>
    <w:rsid w:val="00A852D6"/>
    <w:rsid w:val="00A85EE5"/>
    <w:rsid w:val="00A90E13"/>
    <w:rsid w:val="00A9143E"/>
    <w:rsid w:val="00A92A29"/>
    <w:rsid w:val="00A941D5"/>
    <w:rsid w:val="00A94B18"/>
    <w:rsid w:val="00A94BD0"/>
    <w:rsid w:val="00A94FC9"/>
    <w:rsid w:val="00A95577"/>
    <w:rsid w:val="00A96270"/>
    <w:rsid w:val="00A96C1F"/>
    <w:rsid w:val="00A97E66"/>
    <w:rsid w:val="00AA16F7"/>
    <w:rsid w:val="00AA1AB3"/>
    <w:rsid w:val="00AA3279"/>
    <w:rsid w:val="00AA6498"/>
    <w:rsid w:val="00AA7AE3"/>
    <w:rsid w:val="00AB1104"/>
    <w:rsid w:val="00AB2062"/>
    <w:rsid w:val="00AB31F3"/>
    <w:rsid w:val="00AB3613"/>
    <w:rsid w:val="00AB5D6A"/>
    <w:rsid w:val="00AC10F6"/>
    <w:rsid w:val="00AC18A8"/>
    <w:rsid w:val="00AC2CB6"/>
    <w:rsid w:val="00AC4A8D"/>
    <w:rsid w:val="00AC544C"/>
    <w:rsid w:val="00AC67A4"/>
    <w:rsid w:val="00AC7616"/>
    <w:rsid w:val="00AD1378"/>
    <w:rsid w:val="00AD27C1"/>
    <w:rsid w:val="00AD46DD"/>
    <w:rsid w:val="00AD4F95"/>
    <w:rsid w:val="00AD5E8D"/>
    <w:rsid w:val="00AE0E84"/>
    <w:rsid w:val="00AE2CC1"/>
    <w:rsid w:val="00AE30F7"/>
    <w:rsid w:val="00AE32DD"/>
    <w:rsid w:val="00AE4C4B"/>
    <w:rsid w:val="00AF4311"/>
    <w:rsid w:val="00AF4C0F"/>
    <w:rsid w:val="00AF4DBC"/>
    <w:rsid w:val="00AF68D1"/>
    <w:rsid w:val="00B006FD"/>
    <w:rsid w:val="00B0402E"/>
    <w:rsid w:val="00B04DFA"/>
    <w:rsid w:val="00B052B4"/>
    <w:rsid w:val="00B06D4E"/>
    <w:rsid w:val="00B073ED"/>
    <w:rsid w:val="00B10DA4"/>
    <w:rsid w:val="00B11CB7"/>
    <w:rsid w:val="00B12185"/>
    <w:rsid w:val="00B146E2"/>
    <w:rsid w:val="00B14AB7"/>
    <w:rsid w:val="00B15C1F"/>
    <w:rsid w:val="00B22704"/>
    <w:rsid w:val="00B22AC4"/>
    <w:rsid w:val="00B23F18"/>
    <w:rsid w:val="00B25629"/>
    <w:rsid w:val="00B27A40"/>
    <w:rsid w:val="00B32FA6"/>
    <w:rsid w:val="00B33522"/>
    <w:rsid w:val="00B3680C"/>
    <w:rsid w:val="00B36DB2"/>
    <w:rsid w:val="00B37C20"/>
    <w:rsid w:val="00B41E9F"/>
    <w:rsid w:val="00B42449"/>
    <w:rsid w:val="00B45D32"/>
    <w:rsid w:val="00B50783"/>
    <w:rsid w:val="00B51469"/>
    <w:rsid w:val="00B5253D"/>
    <w:rsid w:val="00B558BB"/>
    <w:rsid w:val="00B60A59"/>
    <w:rsid w:val="00B611B8"/>
    <w:rsid w:val="00B6334A"/>
    <w:rsid w:val="00B66B72"/>
    <w:rsid w:val="00B67BC6"/>
    <w:rsid w:val="00B73EB9"/>
    <w:rsid w:val="00B801F3"/>
    <w:rsid w:val="00B81C74"/>
    <w:rsid w:val="00B82BF9"/>
    <w:rsid w:val="00B83E59"/>
    <w:rsid w:val="00B849EE"/>
    <w:rsid w:val="00B84D02"/>
    <w:rsid w:val="00B850E5"/>
    <w:rsid w:val="00B870E0"/>
    <w:rsid w:val="00B87589"/>
    <w:rsid w:val="00B90D46"/>
    <w:rsid w:val="00B9400A"/>
    <w:rsid w:val="00B95032"/>
    <w:rsid w:val="00B97444"/>
    <w:rsid w:val="00BA0268"/>
    <w:rsid w:val="00BA1AD8"/>
    <w:rsid w:val="00BA1ADB"/>
    <w:rsid w:val="00BA26B4"/>
    <w:rsid w:val="00BA2940"/>
    <w:rsid w:val="00BA3B1D"/>
    <w:rsid w:val="00BA4CC7"/>
    <w:rsid w:val="00BA58E7"/>
    <w:rsid w:val="00BA7B26"/>
    <w:rsid w:val="00BB1DF9"/>
    <w:rsid w:val="00BB327F"/>
    <w:rsid w:val="00BB3832"/>
    <w:rsid w:val="00BB7DA9"/>
    <w:rsid w:val="00BC36FB"/>
    <w:rsid w:val="00BC4AD5"/>
    <w:rsid w:val="00BC5A17"/>
    <w:rsid w:val="00BC6745"/>
    <w:rsid w:val="00BC71E0"/>
    <w:rsid w:val="00BD1AAF"/>
    <w:rsid w:val="00BD248B"/>
    <w:rsid w:val="00BD2A8B"/>
    <w:rsid w:val="00BD3C8D"/>
    <w:rsid w:val="00BD3E4E"/>
    <w:rsid w:val="00BD5837"/>
    <w:rsid w:val="00BD7646"/>
    <w:rsid w:val="00BD7ADD"/>
    <w:rsid w:val="00BD7BBB"/>
    <w:rsid w:val="00BE0824"/>
    <w:rsid w:val="00BE1838"/>
    <w:rsid w:val="00BE43B1"/>
    <w:rsid w:val="00BE47DE"/>
    <w:rsid w:val="00BE5B13"/>
    <w:rsid w:val="00BE5D56"/>
    <w:rsid w:val="00BE7A98"/>
    <w:rsid w:val="00BF11E1"/>
    <w:rsid w:val="00BF7E35"/>
    <w:rsid w:val="00C00590"/>
    <w:rsid w:val="00C011CD"/>
    <w:rsid w:val="00C013A1"/>
    <w:rsid w:val="00C01580"/>
    <w:rsid w:val="00C0551C"/>
    <w:rsid w:val="00C0654D"/>
    <w:rsid w:val="00C06709"/>
    <w:rsid w:val="00C1028E"/>
    <w:rsid w:val="00C105A6"/>
    <w:rsid w:val="00C10C63"/>
    <w:rsid w:val="00C1247A"/>
    <w:rsid w:val="00C1279C"/>
    <w:rsid w:val="00C13290"/>
    <w:rsid w:val="00C14867"/>
    <w:rsid w:val="00C14B24"/>
    <w:rsid w:val="00C14E72"/>
    <w:rsid w:val="00C16913"/>
    <w:rsid w:val="00C16E53"/>
    <w:rsid w:val="00C17841"/>
    <w:rsid w:val="00C20930"/>
    <w:rsid w:val="00C255BB"/>
    <w:rsid w:val="00C26CE0"/>
    <w:rsid w:val="00C27323"/>
    <w:rsid w:val="00C30B88"/>
    <w:rsid w:val="00C33E86"/>
    <w:rsid w:val="00C346B4"/>
    <w:rsid w:val="00C34DE1"/>
    <w:rsid w:val="00C379D0"/>
    <w:rsid w:val="00C404CF"/>
    <w:rsid w:val="00C40A19"/>
    <w:rsid w:val="00C411EA"/>
    <w:rsid w:val="00C41D4C"/>
    <w:rsid w:val="00C431B4"/>
    <w:rsid w:val="00C4471C"/>
    <w:rsid w:val="00C458D3"/>
    <w:rsid w:val="00C46876"/>
    <w:rsid w:val="00C46EB4"/>
    <w:rsid w:val="00C502CF"/>
    <w:rsid w:val="00C50527"/>
    <w:rsid w:val="00C509E2"/>
    <w:rsid w:val="00C51FAB"/>
    <w:rsid w:val="00C5304F"/>
    <w:rsid w:val="00C53587"/>
    <w:rsid w:val="00C5373A"/>
    <w:rsid w:val="00C53B18"/>
    <w:rsid w:val="00C55BBF"/>
    <w:rsid w:val="00C55F01"/>
    <w:rsid w:val="00C564FC"/>
    <w:rsid w:val="00C565F2"/>
    <w:rsid w:val="00C6019D"/>
    <w:rsid w:val="00C60544"/>
    <w:rsid w:val="00C6076C"/>
    <w:rsid w:val="00C60DEB"/>
    <w:rsid w:val="00C61542"/>
    <w:rsid w:val="00C629E1"/>
    <w:rsid w:val="00C63175"/>
    <w:rsid w:val="00C63CF1"/>
    <w:rsid w:val="00C64634"/>
    <w:rsid w:val="00C66322"/>
    <w:rsid w:val="00C66B5E"/>
    <w:rsid w:val="00C6715B"/>
    <w:rsid w:val="00C706E0"/>
    <w:rsid w:val="00C715C8"/>
    <w:rsid w:val="00C71D1F"/>
    <w:rsid w:val="00C71F49"/>
    <w:rsid w:val="00C735F9"/>
    <w:rsid w:val="00C74C79"/>
    <w:rsid w:val="00C7680C"/>
    <w:rsid w:val="00C81A32"/>
    <w:rsid w:val="00C81B7E"/>
    <w:rsid w:val="00C83A20"/>
    <w:rsid w:val="00C85202"/>
    <w:rsid w:val="00C862B1"/>
    <w:rsid w:val="00C86C50"/>
    <w:rsid w:val="00C86C59"/>
    <w:rsid w:val="00C87409"/>
    <w:rsid w:val="00C878B4"/>
    <w:rsid w:val="00C90053"/>
    <w:rsid w:val="00C90FC1"/>
    <w:rsid w:val="00C91C5A"/>
    <w:rsid w:val="00C92668"/>
    <w:rsid w:val="00C95480"/>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30F9"/>
    <w:rsid w:val="00CC378C"/>
    <w:rsid w:val="00CC3E10"/>
    <w:rsid w:val="00CC4BA1"/>
    <w:rsid w:val="00CC58DC"/>
    <w:rsid w:val="00CC60A4"/>
    <w:rsid w:val="00CC60E1"/>
    <w:rsid w:val="00CC6ACD"/>
    <w:rsid w:val="00CD0525"/>
    <w:rsid w:val="00CD2916"/>
    <w:rsid w:val="00CD299E"/>
    <w:rsid w:val="00CD4E92"/>
    <w:rsid w:val="00CD5352"/>
    <w:rsid w:val="00CD656B"/>
    <w:rsid w:val="00CD6D9A"/>
    <w:rsid w:val="00CD7F3F"/>
    <w:rsid w:val="00CE038F"/>
    <w:rsid w:val="00CE04CE"/>
    <w:rsid w:val="00CE45FC"/>
    <w:rsid w:val="00CE5C1A"/>
    <w:rsid w:val="00CF0154"/>
    <w:rsid w:val="00CF2D36"/>
    <w:rsid w:val="00CF342E"/>
    <w:rsid w:val="00D00E92"/>
    <w:rsid w:val="00D055EC"/>
    <w:rsid w:val="00D10F96"/>
    <w:rsid w:val="00D11AD3"/>
    <w:rsid w:val="00D11F33"/>
    <w:rsid w:val="00D12816"/>
    <w:rsid w:val="00D13E7D"/>
    <w:rsid w:val="00D14208"/>
    <w:rsid w:val="00D14802"/>
    <w:rsid w:val="00D1757C"/>
    <w:rsid w:val="00D17C5D"/>
    <w:rsid w:val="00D20A36"/>
    <w:rsid w:val="00D20B6B"/>
    <w:rsid w:val="00D234B6"/>
    <w:rsid w:val="00D254F0"/>
    <w:rsid w:val="00D27B9B"/>
    <w:rsid w:val="00D3018F"/>
    <w:rsid w:val="00D32544"/>
    <w:rsid w:val="00D339CC"/>
    <w:rsid w:val="00D34D7A"/>
    <w:rsid w:val="00D351EE"/>
    <w:rsid w:val="00D35411"/>
    <w:rsid w:val="00D3669D"/>
    <w:rsid w:val="00D3716E"/>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1B2"/>
    <w:rsid w:val="00D7546B"/>
    <w:rsid w:val="00D7657E"/>
    <w:rsid w:val="00D77789"/>
    <w:rsid w:val="00D80A1D"/>
    <w:rsid w:val="00D83D4B"/>
    <w:rsid w:val="00D844B8"/>
    <w:rsid w:val="00D84C54"/>
    <w:rsid w:val="00D854E6"/>
    <w:rsid w:val="00D8596D"/>
    <w:rsid w:val="00D86C30"/>
    <w:rsid w:val="00D903DC"/>
    <w:rsid w:val="00D92473"/>
    <w:rsid w:val="00D927A5"/>
    <w:rsid w:val="00D931CD"/>
    <w:rsid w:val="00D952DB"/>
    <w:rsid w:val="00D95C94"/>
    <w:rsid w:val="00DA1B01"/>
    <w:rsid w:val="00DA4A42"/>
    <w:rsid w:val="00DA5237"/>
    <w:rsid w:val="00DA68FB"/>
    <w:rsid w:val="00DA6971"/>
    <w:rsid w:val="00DA6BE0"/>
    <w:rsid w:val="00DB32F2"/>
    <w:rsid w:val="00DB3AF6"/>
    <w:rsid w:val="00DB4C18"/>
    <w:rsid w:val="00DB53FB"/>
    <w:rsid w:val="00DC064B"/>
    <w:rsid w:val="00DC27BA"/>
    <w:rsid w:val="00DC4EE2"/>
    <w:rsid w:val="00DD0612"/>
    <w:rsid w:val="00DD0E6E"/>
    <w:rsid w:val="00DD136E"/>
    <w:rsid w:val="00DD22DD"/>
    <w:rsid w:val="00DD2474"/>
    <w:rsid w:val="00DD2AA9"/>
    <w:rsid w:val="00DD43A2"/>
    <w:rsid w:val="00DD47AF"/>
    <w:rsid w:val="00DD4F48"/>
    <w:rsid w:val="00DD6C54"/>
    <w:rsid w:val="00DD6DC0"/>
    <w:rsid w:val="00DD6FB4"/>
    <w:rsid w:val="00DD7B59"/>
    <w:rsid w:val="00DE2F50"/>
    <w:rsid w:val="00DE4269"/>
    <w:rsid w:val="00DE43DC"/>
    <w:rsid w:val="00DE5274"/>
    <w:rsid w:val="00DE5FF7"/>
    <w:rsid w:val="00DE621F"/>
    <w:rsid w:val="00DE62C8"/>
    <w:rsid w:val="00DE6B8B"/>
    <w:rsid w:val="00DF0216"/>
    <w:rsid w:val="00DF2160"/>
    <w:rsid w:val="00DF325D"/>
    <w:rsid w:val="00DF386E"/>
    <w:rsid w:val="00DF56C9"/>
    <w:rsid w:val="00DF6AC4"/>
    <w:rsid w:val="00DF7FD7"/>
    <w:rsid w:val="00E004F0"/>
    <w:rsid w:val="00E007EC"/>
    <w:rsid w:val="00E009C9"/>
    <w:rsid w:val="00E01158"/>
    <w:rsid w:val="00E03CED"/>
    <w:rsid w:val="00E0449B"/>
    <w:rsid w:val="00E04E64"/>
    <w:rsid w:val="00E04F3E"/>
    <w:rsid w:val="00E06027"/>
    <w:rsid w:val="00E1077F"/>
    <w:rsid w:val="00E119AC"/>
    <w:rsid w:val="00E17516"/>
    <w:rsid w:val="00E23867"/>
    <w:rsid w:val="00E23A75"/>
    <w:rsid w:val="00E23CBB"/>
    <w:rsid w:val="00E2421E"/>
    <w:rsid w:val="00E25A1C"/>
    <w:rsid w:val="00E30318"/>
    <w:rsid w:val="00E32708"/>
    <w:rsid w:val="00E32B77"/>
    <w:rsid w:val="00E33601"/>
    <w:rsid w:val="00E33BBD"/>
    <w:rsid w:val="00E37034"/>
    <w:rsid w:val="00E37782"/>
    <w:rsid w:val="00E4037C"/>
    <w:rsid w:val="00E40F44"/>
    <w:rsid w:val="00E41A44"/>
    <w:rsid w:val="00E44022"/>
    <w:rsid w:val="00E442EC"/>
    <w:rsid w:val="00E45112"/>
    <w:rsid w:val="00E4775C"/>
    <w:rsid w:val="00E505EF"/>
    <w:rsid w:val="00E514F6"/>
    <w:rsid w:val="00E545B2"/>
    <w:rsid w:val="00E57C06"/>
    <w:rsid w:val="00E57E16"/>
    <w:rsid w:val="00E651B5"/>
    <w:rsid w:val="00E65B2D"/>
    <w:rsid w:val="00E70E56"/>
    <w:rsid w:val="00E75CE5"/>
    <w:rsid w:val="00E7660E"/>
    <w:rsid w:val="00E768E8"/>
    <w:rsid w:val="00E8055E"/>
    <w:rsid w:val="00E811A3"/>
    <w:rsid w:val="00E81279"/>
    <w:rsid w:val="00E82195"/>
    <w:rsid w:val="00E828CB"/>
    <w:rsid w:val="00E83362"/>
    <w:rsid w:val="00E85DB3"/>
    <w:rsid w:val="00E87962"/>
    <w:rsid w:val="00E90D36"/>
    <w:rsid w:val="00E913D9"/>
    <w:rsid w:val="00E91553"/>
    <w:rsid w:val="00E94AAC"/>
    <w:rsid w:val="00E9516C"/>
    <w:rsid w:val="00E96135"/>
    <w:rsid w:val="00EA0D94"/>
    <w:rsid w:val="00EA12F7"/>
    <w:rsid w:val="00EA186A"/>
    <w:rsid w:val="00EA19C2"/>
    <w:rsid w:val="00EA2C6F"/>
    <w:rsid w:val="00EA523C"/>
    <w:rsid w:val="00EA5418"/>
    <w:rsid w:val="00EA5AD0"/>
    <w:rsid w:val="00EA6927"/>
    <w:rsid w:val="00EA6BE9"/>
    <w:rsid w:val="00EB12BD"/>
    <w:rsid w:val="00EB2A4A"/>
    <w:rsid w:val="00EB3D8F"/>
    <w:rsid w:val="00EC0BE3"/>
    <w:rsid w:val="00EC1988"/>
    <w:rsid w:val="00EC1EBD"/>
    <w:rsid w:val="00EC2DFD"/>
    <w:rsid w:val="00EC56A4"/>
    <w:rsid w:val="00EC5C3D"/>
    <w:rsid w:val="00EC61A6"/>
    <w:rsid w:val="00EC7901"/>
    <w:rsid w:val="00ED0858"/>
    <w:rsid w:val="00ED1558"/>
    <w:rsid w:val="00ED319C"/>
    <w:rsid w:val="00ED47CB"/>
    <w:rsid w:val="00ED518E"/>
    <w:rsid w:val="00ED538C"/>
    <w:rsid w:val="00ED5680"/>
    <w:rsid w:val="00ED6126"/>
    <w:rsid w:val="00ED6894"/>
    <w:rsid w:val="00ED697D"/>
    <w:rsid w:val="00ED79E2"/>
    <w:rsid w:val="00EE04FF"/>
    <w:rsid w:val="00EE0F4C"/>
    <w:rsid w:val="00EE2F63"/>
    <w:rsid w:val="00EE3D4E"/>
    <w:rsid w:val="00EE46FB"/>
    <w:rsid w:val="00EF0F8E"/>
    <w:rsid w:val="00EF3CD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3155"/>
    <w:rsid w:val="00F4519D"/>
    <w:rsid w:val="00F46140"/>
    <w:rsid w:val="00F46965"/>
    <w:rsid w:val="00F50FC7"/>
    <w:rsid w:val="00F52C6D"/>
    <w:rsid w:val="00F53A3B"/>
    <w:rsid w:val="00F53AB7"/>
    <w:rsid w:val="00F54856"/>
    <w:rsid w:val="00F54920"/>
    <w:rsid w:val="00F54C26"/>
    <w:rsid w:val="00F56F0F"/>
    <w:rsid w:val="00F5748D"/>
    <w:rsid w:val="00F600C9"/>
    <w:rsid w:val="00F619D6"/>
    <w:rsid w:val="00F630D9"/>
    <w:rsid w:val="00F6319C"/>
    <w:rsid w:val="00F6436A"/>
    <w:rsid w:val="00F6438A"/>
    <w:rsid w:val="00F70304"/>
    <w:rsid w:val="00F72CE6"/>
    <w:rsid w:val="00F755D0"/>
    <w:rsid w:val="00F76BB9"/>
    <w:rsid w:val="00F77058"/>
    <w:rsid w:val="00F775B3"/>
    <w:rsid w:val="00F8125E"/>
    <w:rsid w:val="00F83261"/>
    <w:rsid w:val="00F86F78"/>
    <w:rsid w:val="00F8797F"/>
    <w:rsid w:val="00F9019F"/>
    <w:rsid w:val="00F94878"/>
    <w:rsid w:val="00F94F3B"/>
    <w:rsid w:val="00F9561A"/>
    <w:rsid w:val="00F95FC8"/>
    <w:rsid w:val="00FA0D0F"/>
    <w:rsid w:val="00FA4CD5"/>
    <w:rsid w:val="00FA7A93"/>
    <w:rsid w:val="00FB1010"/>
    <w:rsid w:val="00FB1547"/>
    <w:rsid w:val="00FB1A7D"/>
    <w:rsid w:val="00FB1CCA"/>
    <w:rsid w:val="00FB1D4B"/>
    <w:rsid w:val="00FB4723"/>
    <w:rsid w:val="00FB4BE6"/>
    <w:rsid w:val="00FB6E0E"/>
    <w:rsid w:val="00FB7682"/>
    <w:rsid w:val="00FC07F4"/>
    <w:rsid w:val="00FC23D9"/>
    <w:rsid w:val="00FC2997"/>
    <w:rsid w:val="00FC3802"/>
    <w:rsid w:val="00FC3AE9"/>
    <w:rsid w:val="00FC4B1B"/>
    <w:rsid w:val="00FD16BF"/>
    <w:rsid w:val="00FD2E2B"/>
    <w:rsid w:val="00FD5A63"/>
    <w:rsid w:val="00FE0968"/>
    <w:rsid w:val="00FE1848"/>
    <w:rsid w:val="00FE4810"/>
    <w:rsid w:val="00FE50E0"/>
    <w:rsid w:val="00FE6B37"/>
    <w:rsid w:val="00FE75AC"/>
    <w:rsid w:val="00FE7EF5"/>
    <w:rsid w:val="00FF0FC7"/>
    <w:rsid w:val="00FF1FEF"/>
    <w:rsid w:val="00FF227C"/>
    <w:rsid w:val="00FF2446"/>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C.E.D.H.T\1.-%20Cuenta%20p&#250;blica\2023\Armonizada\3er.%20Trimestre%202023\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C.E.D.H.T\1.-%20Cuenta%20p&#250;blica\2023\Armonizada\3er.%20Trimestre%202023\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C.E.D.H.T\1.-%20Cuenta%20p&#250;blica\2023\Armonizada\3er.%20Trimestre%202023\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3\Armonizada\3er.%20Trimestre%202023\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C.E.D.H.T\1.-%20Cuenta%20p&#250;blica\2023\Armonizada\3er.%20Trimestre%202023\FORMATO%20EAA.xlsx"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C.E.D.H.T\1.-%20Cuenta%20p&#250;blica\2023\Armonizada\3er.%20Trimestre%202023\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C.E.D.H.T\1.-%20Cuenta%20p&#250;blica\2023\Armonizada\3er.%20Trimestre%202023\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19</Pages>
  <Words>2380</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Martìn Sànchez Haro</cp:lastModifiedBy>
  <cp:revision>379</cp:revision>
  <cp:lastPrinted>2023-10-12T17:47:00Z</cp:lastPrinted>
  <dcterms:created xsi:type="dcterms:W3CDTF">2022-01-17T23:39:00Z</dcterms:created>
  <dcterms:modified xsi:type="dcterms:W3CDTF">2023-10-12T17:51:00Z</dcterms:modified>
</cp:coreProperties>
</file>