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4D5" w:rsidRPr="00710A06" w:rsidRDefault="00A914D5" w:rsidP="00C45465">
      <w:pPr>
        <w:spacing w:after="0" w:line="360" w:lineRule="auto"/>
        <w:jc w:val="center"/>
        <w:rPr>
          <w:rFonts w:ascii="Arial" w:hAnsi="Arial" w:cs="Arial"/>
          <w:b/>
          <w:sz w:val="24"/>
          <w:szCs w:val="24"/>
        </w:rPr>
      </w:pPr>
      <w:r w:rsidRPr="00710A06">
        <w:rPr>
          <w:rFonts w:ascii="Arial" w:hAnsi="Arial" w:cs="Arial"/>
          <w:b/>
          <w:sz w:val="24"/>
          <w:szCs w:val="24"/>
        </w:rPr>
        <w:t>CRITERIOS DE POLÍTICA ECONÓMICA DEL ESTADO DE TLAXCALA</w:t>
      </w:r>
    </w:p>
    <w:p w:rsidR="00A914D5" w:rsidRPr="00710A06" w:rsidRDefault="00A914D5" w:rsidP="00C45465">
      <w:pPr>
        <w:spacing w:after="0" w:line="360" w:lineRule="auto"/>
        <w:jc w:val="center"/>
        <w:rPr>
          <w:rFonts w:ascii="Arial" w:hAnsi="Arial" w:cs="Arial"/>
          <w:b/>
          <w:sz w:val="24"/>
          <w:szCs w:val="24"/>
        </w:rPr>
      </w:pPr>
    </w:p>
    <w:p w:rsidR="00710A06" w:rsidRPr="00710A06" w:rsidRDefault="00710A06" w:rsidP="00C45465">
      <w:pPr>
        <w:pStyle w:val="Prrafodelista"/>
        <w:numPr>
          <w:ilvl w:val="0"/>
          <w:numId w:val="1"/>
        </w:numPr>
        <w:spacing w:after="0" w:line="360" w:lineRule="auto"/>
        <w:ind w:left="709" w:hanging="709"/>
        <w:jc w:val="both"/>
        <w:rPr>
          <w:rFonts w:ascii="Arial" w:hAnsi="Arial" w:cs="Arial"/>
          <w:b/>
          <w:sz w:val="24"/>
          <w:szCs w:val="24"/>
        </w:rPr>
      </w:pPr>
      <w:r w:rsidRPr="00710A06">
        <w:rPr>
          <w:rFonts w:ascii="Arial" w:hAnsi="Arial" w:cs="Arial"/>
          <w:b/>
          <w:sz w:val="24"/>
          <w:szCs w:val="24"/>
        </w:rPr>
        <w:t>INTRODUCCIÓN</w:t>
      </w:r>
    </w:p>
    <w:p w:rsidR="009B3D50" w:rsidRPr="00710A06" w:rsidRDefault="009B3D50" w:rsidP="00C45465">
      <w:pPr>
        <w:pStyle w:val="PRIMERAPLANA"/>
        <w:spacing w:line="360" w:lineRule="auto"/>
        <w:rPr>
          <w:rFonts w:cs="Arial"/>
          <w:b/>
          <w:sz w:val="24"/>
          <w:szCs w:val="24"/>
          <w:lang w:val="es-ES"/>
        </w:rPr>
      </w:pPr>
    </w:p>
    <w:p w:rsidR="00A914D5" w:rsidRPr="00710A06" w:rsidRDefault="00A914D5" w:rsidP="00C45465">
      <w:pPr>
        <w:pStyle w:val="PRIMERAPLANA"/>
        <w:spacing w:line="360" w:lineRule="auto"/>
        <w:rPr>
          <w:rFonts w:cs="Arial"/>
          <w:bCs/>
          <w:sz w:val="24"/>
          <w:szCs w:val="24"/>
          <w:lang w:val="es-ES"/>
        </w:rPr>
      </w:pPr>
      <w:r w:rsidRPr="00710A06">
        <w:rPr>
          <w:rFonts w:cs="Arial"/>
          <w:bCs/>
          <w:sz w:val="24"/>
          <w:szCs w:val="24"/>
          <w:lang w:val="es-ES"/>
        </w:rPr>
        <w:t>A un año del inicio de este Gobierno, nos hemos propuesto considerar todas las opciones y conjuntar esfuerzos, políticas, programas y acciones que garanticen el acceso pleno y el ejercicio puntual de los derechos consagrados en la Constitución Política de los Estados Unidos Mexicanos y en la Constitución del Estado Libre y Soberano de Tlaxcala, enfocando el desarrollo del Estado hacia formas nuevas y diferentes de hacer las cosas, todas ellas dirigidas a la consecución de los fines comunes.</w:t>
      </w:r>
    </w:p>
    <w:p w:rsidR="00A914D5" w:rsidRPr="00710A06" w:rsidRDefault="00A914D5" w:rsidP="00C45465">
      <w:pPr>
        <w:pStyle w:val="PRIMERAPLANA"/>
        <w:spacing w:line="360" w:lineRule="auto"/>
        <w:rPr>
          <w:rFonts w:cs="Arial"/>
          <w:bCs/>
          <w:sz w:val="24"/>
          <w:szCs w:val="24"/>
          <w:lang w:val="es-ES"/>
        </w:rPr>
      </w:pPr>
    </w:p>
    <w:p w:rsidR="00A914D5" w:rsidRPr="00710A06" w:rsidRDefault="00A914D5" w:rsidP="00C45465">
      <w:pPr>
        <w:pStyle w:val="PRIMERAPLANA"/>
        <w:spacing w:line="360" w:lineRule="auto"/>
        <w:rPr>
          <w:rFonts w:cs="Arial"/>
          <w:bCs/>
          <w:sz w:val="24"/>
          <w:szCs w:val="24"/>
          <w:lang w:val="es-ES"/>
        </w:rPr>
      </w:pPr>
      <w:r w:rsidRPr="00710A06">
        <w:rPr>
          <w:rFonts w:cs="Arial"/>
          <w:bCs/>
          <w:sz w:val="24"/>
          <w:szCs w:val="24"/>
          <w:lang w:val="es-ES"/>
        </w:rPr>
        <w:t xml:space="preserve">En cumplimiento a las disposiciones legales aplicables, continuaremos observando una política de gasto público enfocada en el uso eficiente de los recursos, lo cual permitirá dar seguimiento puntual a los objetivos establecidos en el Plan Estatal de Desarrollo 2017-2021, mismo que permitirá alinear las acciones con base en objetivos centrales, y alinear las instituciones, políticas y recursos para alcanzar estos objetivos. </w:t>
      </w:r>
    </w:p>
    <w:p w:rsidR="00A914D5" w:rsidRPr="00710A06" w:rsidRDefault="00A914D5" w:rsidP="00C45465">
      <w:pPr>
        <w:pStyle w:val="PRIMERAPLANA"/>
        <w:spacing w:line="360" w:lineRule="auto"/>
        <w:rPr>
          <w:rFonts w:cs="Arial"/>
          <w:bCs/>
          <w:sz w:val="24"/>
          <w:szCs w:val="24"/>
          <w:lang w:val="es-ES"/>
        </w:rPr>
      </w:pPr>
    </w:p>
    <w:p w:rsidR="00A914D5" w:rsidRPr="00710A06" w:rsidRDefault="00A914D5" w:rsidP="00C45465">
      <w:pPr>
        <w:pStyle w:val="PRIMERAPLANA"/>
        <w:spacing w:line="360" w:lineRule="auto"/>
        <w:rPr>
          <w:rFonts w:cs="Arial"/>
          <w:bCs/>
          <w:sz w:val="24"/>
          <w:szCs w:val="24"/>
          <w:lang w:val="es-ES"/>
        </w:rPr>
      </w:pPr>
      <w:r w:rsidRPr="00710A06">
        <w:rPr>
          <w:rFonts w:cs="Arial"/>
          <w:bCs/>
          <w:sz w:val="24"/>
          <w:szCs w:val="24"/>
          <w:lang w:val="es-ES"/>
        </w:rPr>
        <w:t xml:space="preserve">El Plan Estatal de Desarrollo 2017-2021 está estructurado en cinco capítulos correspondientes a las principales áreas de política pública en que interviene el Gobierno del Estado, tomando en cuenta los lineamientos establecidos en el Plan Nacional de Desarrollo 2013-2018, que son: </w:t>
      </w:r>
    </w:p>
    <w:p w:rsidR="00A914D5" w:rsidRPr="00710A06" w:rsidRDefault="00A914D5" w:rsidP="00C45465">
      <w:pPr>
        <w:pStyle w:val="PRIMERAPLANA"/>
        <w:spacing w:line="360" w:lineRule="auto"/>
        <w:rPr>
          <w:rFonts w:cs="Arial"/>
          <w:bCs/>
          <w:sz w:val="24"/>
          <w:szCs w:val="24"/>
          <w:lang w:val="es-ES"/>
        </w:rPr>
      </w:pPr>
    </w:p>
    <w:p w:rsidR="00A914D5" w:rsidRPr="00710A06" w:rsidRDefault="00A914D5" w:rsidP="00C45465">
      <w:pPr>
        <w:pStyle w:val="PRIMERAPLANA"/>
        <w:spacing w:line="360" w:lineRule="auto"/>
        <w:rPr>
          <w:rFonts w:cs="Arial"/>
          <w:bCs/>
          <w:sz w:val="24"/>
          <w:szCs w:val="24"/>
          <w:lang w:val="es-ES"/>
        </w:rPr>
      </w:pPr>
      <w:r w:rsidRPr="00710A06">
        <w:rPr>
          <w:rFonts w:cs="Arial"/>
          <w:bCs/>
          <w:sz w:val="24"/>
          <w:szCs w:val="24"/>
          <w:lang w:val="es-ES"/>
        </w:rPr>
        <w:t xml:space="preserve">1. Empleo, Desarrollo Económico y Prosperidad para las Familias. </w:t>
      </w:r>
    </w:p>
    <w:p w:rsidR="00A914D5" w:rsidRPr="00710A06" w:rsidRDefault="00A914D5" w:rsidP="00C45465">
      <w:pPr>
        <w:pStyle w:val="PRIMERAPLANA"/>
        <w:spacing w:line="360" w:lineRule="auto"/>
        <w:rPr>
          <w:rFonts w:cs="Arial"/>
          <w:bCs/>
          <w:sz w:val="24"/>
          <w:szCs w:val="24"/>
          <w:lang w:val="es-ES"/>
        </w:rPr>
      </w:pPr>
      <w:r w:rsidRPr="00710A06">
        <w:rPr>
          <w:rFonts w:cs="Arial"/>
          <w:bCs/>
          <w:sz w:val="24"/>
          <w:szCs w:val="24"/>
          <w:lang w:val="es-ES"/>
        </w:rPr>
        <w:t xml:space="preserve">2. Educación Pertinente, Salud de Calidad y Sociedad Incluyente. </w:t>
      </w:r>
    </w:p>
    <w:p w:rsidR="00A914D5" w:rsidRPr="00710A06" w:rsidRDefault="00A914D5" w:rsidP="00C45465">
      <w:pPr>
        <w:pStyle w:val="PRIMERAPLANA"/>
        <w:spacing w:line="360" w:lineRule="auto"/>
        <w:rPr>
          <w:rFonts w:cs="Arial"/>
          <w:bCs/>
          <w:sz w:val="24"/>
          <w:szCs w:val="24"/>
          <w:lang w:val="es-ES"/>
        </w:rPr>
      </w:pPr>
      <w:r w:rsidRPr="00710A06">
        <w:rPr>
          <w:rFonts w:cs="Arial"/>
          <w:bCs/>
          <w:sz w:val="24"/>
          <w:szCs w:val="24"/>
          <w:lang w:val="es-ES"/>
        </w:rPr>
        <w:t xml:space="preserve">3. Integración Regional Ordenada y Sustentable. </w:t>
      </w:r>
    </w:p>
    <w:p w:rsidR="00A914D5" w:rsidRPr="00710A06" w:rsidRDefault="00A914D5" w:rsidP="00C45465">
      <w:pPr>
        <w:pStyle w:val="PRIMERAPLANA"/>
        <w:spacing w:line="360" w:lineRule="auto"/>
        <w:rPr>
          <w:rFonts w:cs="Arial"/>
          <w:bCs/>
          <w:sz w:val="24"/>
          <w:szCs w:val="24"/>
          <w:lang w:val="es-ES"/>
        </w:rPr>
      </w:pPr>
      <w:r w:rsidRPr="00710A06">
        <w:rPr>
          <w:rFonts w:cs="Arial"/>
          <w:bCs/>
          <w:sz w:val="24"/>
          <w:szCs w:val="24"/>
          <w:lang w:val="es-ES"/>
        </w:rPr>
        <w:t xml:space="preserve">4. Gobernanza, Seguridad y Protección para Vivir en Paz. </w:t>
      </w:r>
    </w:p>
    <w:p w:rsidR="00A914D5" w:rsidRPr="00710A06" w:rsidRDefault="00A914D5" w:rsidP="00C45465">
      <w:pPr>
        <w:pStyle w:val="PRIMERAPLANA"/>
        <w:spacing w:line="360" w:lineRule="auto"/>
        <w:rPr>
          <w:rFonts w:cs="Arial"/>
          <w:bCs/>
          <w:sz w:val="24"/>
          <w:szCs w:val="24"/>
          <w:lang w:val="es-ES"/>
        </w:rPr>
      </w:pPr>
      <w:r w:rsidRPr="00710A06">
        <w:rPr>
          <w:rFonts w:cs="Arial"/>
          <w:bCs/>
          <w:sz w:val="24"/>
          <w:szCs w:val="24"/>
          <w:lang w:val="es-ES"/>
        </w:rPr>
        <w:lastRenderedPageBreak/>
        <w:t>5. Gobierno Honesto, Eficiente y Transparente.</w:t>
      </w:r>
    </w:p>
    <w:p w:rsidR="00A914D5" w:rsidRPr="00710A06" w:rsidRDefault="00A914D5" w:rsidP="00C45465">
      <w:pPr>
        <w:pStyle w:val="PRIMERAPLANA"/>
        <w:spacing w:line="360" w:lineRule="auto"/>
        <w:rPr>
          <w:rFonts w:cs="Arial"/>
          <w:bCs/>
          <w:sz w:val="24"/>
          <w:szCs w:val="24"/>
          <w:lang w:val="es-ES"/>
        </w:rPr>
      </w:pPr>
    </w:p>
    <w:p w:rsidR="00A914D5" w:rsidRPr="00710A06" w:rsidRDefault="00A914D5" w:rsidP="00C45465">
      <w:pPr>
        <w:pStyle w:val="PRIMERAPLANA"/>
        <w:spacing w:line="360" w:lineRule="auto"/>
        <w:rPr>
          <w:rFonts w:cs="Arial"/>
          <w:bCs/>
          <w:sz w:val="24"/>
          <w:szCs w:val="24"/>
          <w:lang w:val="es-ES"/>
        </w:rPr>
      </w:pPr>
      <w:r w:rsidRPr="00710A06">
        <w:rPr>
          <w:rFonts w:cs="Arial"/>
          <w:bCs/>
          <w:sz w:val="24"/>
          <w:szCs w:val="24"/>
          <w:lang w:val="es-ES"/>
        </w:rPr>
        <w:t>Con estas Políticas buscamos lograr mejores oportunidades y condiciones de vida para los tlaxcaltecas, contando con una relación de gobernanza constructiva que involucre a la ciudadanía, en un ambiente de paz y seguridad en la Entidad, generando una integración regional en un esquema de desarrollo que sea sustentable, contando con un gobierno honesto, eficiente y transparente.</w:t>
      </w:r>
    </w:p>
    <w:p w:rsidR="00A914D5" w:rsidRPr="00710A06" w:rsidRDefault="00A914D5" w:rsidP="00C45465">
      <w:pPr>
        <w:pStyle w:val="PRIMERAPLANA"/>
        <w:spacing w:line="360" w:lineRule="auto"/>
        <w:rPr>
          <w:rFonts w:cs="Arial"/>
          <w:bCs/>
          <w:sz w:val="24"/>
          <w:szCs w:val="24"/>
          <w:lang w:val="es-ES"/>
        </w:rPr>
      </w:pPr>
    </w:p>
    <w:p w:rsidR="00A914D5" w:rsidRPr="00710A06" w:rsidRDefault="00A914D5" w:rsidP="00C45465">
      <w:pPr>
        <w:pStyle w:val="PRIMERAPLANA"/>
        <w:spacing w:line="360" w:lineRule="auto"/>
        <w:rPr>
          <w:rFonts w:cs="Arial"/>
          <w:bCs/>
          <w:sz w:val="24"/>
          <w:szCs w:val="24"/>
          <w:lang w:val="es-ES"/>
        </w:rPr>
      </w:pPr>
      <w:r w:rsidRPr="00710A06">
        <w:rPr>
          <w:rFonts w:cs="Arial"/>
          <w:sz w:val="24"/>
          <w:szCs w:val="24"/>
          <w:lang w:val="es-ES"/>
        </w:rPr>
        <w:t>Para la formulación del Paquete Económico del Estado de Tlaxcala para el Ejercicio Fiscal 2018, se tomó como referencia e</w:t>
      </w:r>
      <w:r w:rsidRPr="00710A06">
        <w:rPr>
          <w:rFonts w:cs="Arial"/>
          <w:bCs/>
          <w:sz w:val="24"/>
          <w:szCs w:val="24"/>
          <w:lang w:val="es-ES"/>
        </w:rPr>
        <w:t xml:space="preserve">l Paquete Económico para 2018 presentado por la Secretaría de Hacienda y Crédito Público al H. Congreso de la Unión, </w:t>
      </w:r>
      <w:r w:rsidRPr="00710A06">
        <w:rPr>
          <w:rFonts w:cs="Arial"/>
          <w:sz w:val="24"/>
          <w:szCs w:val="24"/>
          <w:lang w:val="es-ES"/>
        </w:rPr>
        <w:t xml:space="preserve">mismo que se integra por: los Criterios Generales de Política Económica; la Iniciativa de Ley de Ingresos de la Federación; así como, el Proyecto de Presupuesto de Egresos de la Federación, los cuales consideran </w:t>
      </w:r>
      <w:r w:rsidRPr="00710A06">
        <w:rPr>
          <w:rFonts w:cs="Arial"/>
          <w:bCs/>
          <w:sz w:val="24"/>
          <w:szCs w:val="24"/>
          <w:lang w:val="es-ES"/>
        </w:rPr>
        <w:t>un marco macroeconómico con estimaciones realistas y prudentes para las variables clave que determinan las finanzas públicas, que permitirán al Gobierno Federal ejecutar una política fiscal prudente y tomar medidas efectivas y oportunas dado el entorno</w:t>
      </w:r>
      <w:r w:rsidR="00D57C5F" w:rsidRPr="00710A06">
        <w:rPr>
          <w:rFonts w:cs="Arial"/>
          <w:bCs/>
          <w:sz w:val="24"/>
          <w:szCs w:val="24"/>
          <w:lang w:val="es-ES"/>
        </w:rPr>
        <w:t xml:space="preserve"> económico </w:t>
      </w:r>
      <w:r w:rsidRPr="00710A06">
        <w:rPr>
          <w:rFonts w:cs="Arial"/>
          <w:bCs/>
          <w:sz w:val="24"/>
          <w:szCs w:val="24"/>
          <w:lang w:val="es-ES"/>
        </w:rPr>
        <w:t>aún cambiante.</w:t>
      </w:r>
    </w:p>
    <w:p w:rsidR="00A914D5" w:rsidRPr="00710A06" w:rsidRDefault="00A914D5" w:rsidP="00C45465">
      <w:pPr>
        <w:pStyle w:val="PRIMERAPLANA"/>
        <w:spacing w:line="360" w:lineRule="auto"/>
        <w:rPr>
          <w:rFonts w:cs="Arial"/>
          <w:bCs/>
          <w:sz w:val="24"/>
          <w:szCs w:val="24"/>
          <w:lang w:val="es-ES"/>
        </w:rPr>
      </w:pPr>
    </w:p>
    <w:p w:rsidR="00A914D5" w:rsidRPr="00710A06" w:rsidRDefault="00A914D5" w:rsidP="00C45465">
      <w:pPr>
        <w:pStyle w:val="PRIMERAPLANA"/>
        <w:spacing w:line="360" w:lineRule="auto"/>
        <w:rPr>
          <w:rFonts w:cs="Arial"/>
          <w:bCs/>
          <w:sz w:val="24"/>
          <w:szCs w:val="24"/>
          <w:lang w:val="es-ES"/>
        </w:rPr>
      </w:pPr>
      <w:r w:rsidRPr="00710A06">
        <w:rPr>
          <w:rFonts w:cs="Arial"/>
          <w:iCs/>
          <w:sz w:val="24"/>
          <w:szCs w:val="24"/>
          <w:lang w:val="es-ES"/>
        </w:rPr>
        <w:t xml:space="preserve">El Paquete Económico del Estado de Tlaxcala para el Ejercicio Fiscal 2018, en el que se incluye el Proyecto de Presupuesto de Egresos contempla </w:t>
      </w:r>
      <w:r w:rsidRPr="00710A06">
        <w:rPr>
          <w:rFonts w:cs="Arial"/>
          <w:bCs/>
          <w:sz w:val="24"/>
          <w:szCs w:val="24"/>
          <w:lang w:val="es-ES"/>
        </w:rPr>
        <w:t xml:space="preserve">el uso eficiente de los recursos públicos y la promoción óptima del desarrollo del Estado, la gestión basada en resultados, cuyo objetivo es el construir un gobierno abierto, democrático, organizado y orientado al logro de resultados. Por lo anterior, y con la finalidad de proveer los recursos necesarios para la consecución de los objetivos planteados en el Plan </w:t>
      </w:r>
      <w:r w:rsidRPr="00710A06">
        <w:rPr>
          <w:rFonts w:cs="Arial"/>
          <w:bCs/>
          <w:sz w:val="24"/>
          <w:szCs w:val="24"/>
          <w:lang w:val="es-ES"/>
        </w:rPr>
        <w:lastRenderedPageBreak/>
        <w:t>Estatal de Desarrollo 2017-2021, se exponen las políticas económicas y financieras que le dan sustento, considerando los principios de la Ley General de Contabilidad Gubernamental, la Ley de Disciplina Financiera de las Entidades Federativas y los Municipios y el Código Financiero para el Estado de Tlaxcala y sus Municipios, así como el entorno económico internacional, nacional y local, permitiendo realizar la propuesta de los montos que estima recibir el Estado en el ejercicio 2018, que redunden en el equilibrio presupuestal.</w:t>
      </w:r>
    </w:p>
    <w:p w:rsidR="009B3D50" w:rsidRPr="00710A06" w:rsidRDefault="009B3D50" w:rsidP="00C45465">
      <w:pPr>
        <w:pStyle w:val="PRIMERAPLANA"/>
        <w:spacing w:line="360" w:lineRule="auto"/>
        <w:rPr>
          <w:rFonts w:cs="Arial"/>
          <w:bCs/>
          <w:sz w:val="24"/>
          <w:szCs w:val="24"/>
          <w:lang w:val="es-ES"/>
        </w:rPr>
      </w:pPr>
    </w:p>
    <w:p w:rsidR="009B3D50" w:rsidRPr="00710A06" w:rsidRDefault="009B3D50" w:rsidP="00C45465">
      <w:pPr>
        <w:pStyle w:val="PRIMERAPLANA"/>
        <w:spacing w:line="360" w:lineRule="auto"/>
        <w:rPr>
          <w:rFonts w:cs="Arial"/>
          <w:bCs/>
          <w:sz w:val="24"/>
          <w:szCs w:val="24"/>
          <w:lang w:val="es-ES"/>
        </w:rPr>
      </w:pPr>
    </w:p>
    <w:p w:rsidR="009B3D50" w:rsidRPr="00710A06" w:rsidRDefault="009B3D50" w:rsidP="00C45465">
      <w:pPr>
        <w:pStyle w:val="PRIMERAPLANA"/>
        <w:spacing w:line="360" w:lineRule="auto"/>
        <w:rPr>
          <w:rFonts w:cs="Arial"/>
          <w:bCs/>
          <w:sz w:val="24"/>
          <w:szCs w:val="24"/>
          <w:lang w:val="es-ES"/>
        </w:rPr>
      </w:pPr>
    </w:p>
    <w:p w:rsidR="009B3D50" w:rsidRPr="00710A06" w:rsidRDefault="009B3D50" w:rsidP="00C45465">
      <w:pPr>
        <w:pStyle w:val="PRIMERAPLANA"/>
        <w:spacing w:line="360" w:lineRule="auto"/>
        <w:rPr>
          <w:rFonts w:cs="Arial"/>
          <w:bCs/>
          <w:sz w:val="24"/>
          <w:szCs w:val="24"/>
          <w:lang w:val="es-ES"/>
        </w:rPr>
      </w:pPr>
    </w:p>
    <w:p w:rsidR="009B3D50" w:rsidRPr="00710A06" w:rsidRDefault="009B3D50" w:rsidP="00C45465">
      <w:pPr>
        <w:pStyle w:val="PRIMERAPLANA"/>
        <w:spacing w:line="360" w:lineRule="auto"/>
        <w:rPr>
          <w:rFonts w:cs="Arial"/>
          <w:bCs/>
          <w:sz w:val="24"/>
          <w:szCs w:val="24"/>
          <w:lang w:val="es-ES"/>
        </w:rPr>
      </w:pPr>
    </w:p>
    <w:p w:rsidR="009B3D50" w:rsidRPr="00710A06" w:rsidRDefault="009B3D50" w:rsidP="00C45465">
      <w:pPr>
        <w:pStyle w:val="PRIMERAPLANA"/>
        <w:spacing w:line="360" w:lineRule="auto"/>
        <w:rPr>
          <w:rFonts w:cs="Arial"/>
          <w:bCs/>
          <w:sz w:val="24"/>
          <w:szCs w:val="24"/>
          <w:lang w:val="es-ES"/>
        </w:rPr>
      </w:pPr>
    </w:p>
    <w:p w:rsidR="009B3D50" w:rsidRPr="00710A06" w:rsidRDefault="009B3D50" w:rsidP="00C45465">
      <w:pPr>
        <w:pStyle w:val="PRIMERAPLANA"/>
        <w:spacing w:line="360" w:lineRule="auto"/>
        <w:rPr>
          <w:rFonts w:cs="Arial"/>
          <w:bCs/>
          <w:sz w:val="24"/>
          <w:szCs w:val="24"/>
          <w:lang w:val="es-ES"/>
        </w:rPr>
      </w:pPr>
    </w:p>
    <w:p w:rsidR="009B3D50" w:rsidRPr="00710A06" w:rsidRDefault="009B3D50" w:rsidP="00C45465">
      <w:pPr>
        <w:pStyle w:val="PRIMERAPLANA"/>
        <w:spacing w:line="360" w:lineRule="auto"/>
        <w:rPr>
          <w:rFonts w:cs="Arial"/>
          <w:bCs/>
          <w:sz w:val="24"/>
          <w:szCs w:val="24"/>
          <w:lang w:val="es-ES"/>
        </w:rPr>
      </w:pPr>
    </w:p>
    <w:p w:rsidR="009B3D50" w:rsidRPr="00710A06" w:rsidRDefault="009B3D50" w:rsidP="00C45465">
      <w:pPr>
        <w:pStyle w:val="PRIMERAPLANA"/>
        <w:spacing w:line="360" w:lineRule="auto"/>
        <w:rPr>
          <w:rFonts w:cs="Arial"/>
          <w:bCs/>
          <w:sz w:val="24"/>
          <w:szCs w:val="24"/>
          <w:lang w:val="es-ES"/>
        </w:rPr>
      </w:pPr>
    </w:p>
    <w:p w:rsidR="009B3D50" w:rsidRPr="00710A06" w:rsidRDefault="009B3D50" w:rsidP="00C45465">
      <w:pPr>
        <w:pStyle w:val="PRIMERAPLANA"/>
        <w:spacing w:line="360" w:lineRule="auto"/>
        <w:rPr>
          <w:rFonts w:cs="Arial"/>
          <w:bCs/>
          <w:sz w:val="24"/>
          <w:szCs w:val="24"/>
          <w:lang w:val="es-ES"/>
        </w:rPr>
      </w:pPr>
    </w:p>
    <w:p w:rsidR="009B3D50" w:rsidRPr="00710A06" w:rsidRDefault="009B3D50" w:rsidP="00C45465">
      <w:pPr>
        <w:pStyle w:val="PRIMERAPLANA"/>
        <w:spacing w:line="360" w:lineRule="auto"/>
        <w:rPr>
          <w:rFonts w:cs="Arial"/>
          <w:bCs/>
          <w:sz w:val="24"/>
          <w:szCs w:val="24"/>
          <w:lang w:val="es-ES"/>
        </w:rPr>
      </w:pPr>
    </w:p>
    <w:p w:rsidR="009B3D50" w:rsidRDefault="009B3D50" w:rsidP="00C45465">
      <w:pPr>
        <w:pStyle w:val="PRIMERAPLANA"/>
        <w:spacing w:line="360" w:lineRule="auto"/>
        <w:rPr>
          <w:rFonts w:cs="Arial"/>
          <w:bCs/>
          <w:sz w:val="24"/>
          <w:szCs w:val="24"/>
          <w:lang w:val="es-ES"/>
        </w:rPr>
      </w:pPr>
    </w:p>
    <w:p w:rsidR="00C45465" w:rsidRDefault="00C45465" w:rsidP="00C45465">
      <w:pPr>
        <w:pStyle w:val="PRIMERAPLANA"/>
        <w:spacing w:line="360" w:lineRule="auto"/>
        <w:rPr>
          <w:rFonts w:cs="Arial"/>
          <w:bCs/>
          <w:sz w:val="24"/>
          <w:szCs w:val="24"/>
          <w:lang w:val="es-ES"/>
        </w:rPr>
      </w:pPr>
    </w:p>
    <w:p w:rsidR="00C45465" w:rsidRDefault="00C45465" w:rsidP="00C45465">
      <w:pPr>
        <w:pStyle w:val="PRIMERAPLANA"/>
        <w:spacing w:line="360" w:lineRule="auto"/>
        <w:rPr>
          <w:rFonts w:cs="Arial"/>
          <w:bCs/>
          <w:sz w:val="24"/>
          <w:szCs w:val="24"/>
          <w:lang w:val="es-ES"/>
        </w:rPr>
      </w:pPr>
    </w:p>
    <w:p w:rsidR="00C45465" w:rsidRDefault="00C45465" w:rsidP="00C45465">
      <w:pPr>
        <w:pStyle w:val="PRIMERAPLANA"/>
        <w:spacing w:line="360" w:lineRule="auto"/>
        <w:rPr>
          <w:rFonts w:cs="Arial"/>
          <w:bCs/>
          <w:sz w:val="24"/>
          <w:szCs w:val="24"/>
          <w:lang w:val="es-ES"/>
        </w:rPr>
      </w:pPr>
    </w:p>
    <w:p w:rsidR="00C45465" w:rsidRDefault="00C45465" w:rsidP="00C45465">
      <w:pPr>
        <w:pStyle w:val="PRIMERAPLANA"/>
        <w:spacing w:line="360" w:lineRule="auto"/>
        <w:rPr>
          <w:rFonts w:cs="Arial"/>
          <w:bCs/>
          <w:sz w:val="24"/>
          <w:szCs w:val="24"/>
          <w:lang w:val="es-ES"/>
        </w:rPr>
      </w:pPr>
    </w:p>
    <w:p w:rsidR="00C45465" w:rsidRDefault="00C45465" w:rsidP="00C45465">
      <w:pPr>
        <w:pStyle w:val="PRIMERAPLANA"/>
        <w:spacing w:line="360" w:lineRule="auto"/>
        <w:rPr>
          <w:rFonts w:cs="Arial"/>
          <w:bCs/>
          <w:sz w:val="24"/>
          <w:szCs w:val="24"/>
          <w:lang w:val="es-ES"/>
        </w:rPr>
      </w:pPr>
    </w:p>
    <w:p w:rsidR="00C45465" w:rsidRDefault="00C45465" w:rsidP="00C45465">
      <w:pPr>
        <w:pStyle w:val="PRIMERAPLANA"/>
        <w:spacing w:line="360" w:lineRule="auto"/>
        <w:rPr>
          <w:rFonts w:cs="Arial"/>
          <w:bCs/>
          <w:sz w:val="24"/>
          <w:szCs w:val="24"/>
          <w:lang w:val="es-ES"/>
        </w:rPr>
      </w:pPr>
    </w:p>
    <w:p w:rsidR="00C45465" w:rsidRDefault="00C45465" w:rsidP="00C45465">
      <w:pPr>
        <w:pStyle w:val="PRIMERAPLANA"/>
        <w:spacing w:line="360" w:lineRule="auto"/>
        <w:rPr>
          <w:rFonts w:cs="Arial"/>
          <w:bCs/>
          <w:sz w:val="24"/>
          <w:szCs w:val="24"/>
          <w:lang w:val="es-ES"/>
        </w:rPr>
      </w:pPr>
    </w:p>
    <w:p w:rsidR="00C45465" w:rsidRPr="00710A06" w:rsidRDefault="00C45465" w:rsidP="00C45465">
      <w:pPr>
        <w:pStyle w:val="PRIMERAPLANA"/>
        <w:spacing w:line="360" w:lineRule="auto"/>
        <w:rPr>
          <w:rFonts w:cs="Arial"/>
          <w:bCs/>
          <w:sz w:val="24"/>
          <w:szCs w:val="24"/>
          <w:lang w:val="es-ES"/>
        </w:rPr>
      </w:pPr>
    </w:p>
    <w:p w:rsidR="009B3D50" w:rsidRPr="00710A06" w:rsidRDefault="009B3D50" w:rsidP="00C45465">
      <w:pPr>
        <w:pStyle w:val="PRIMERAPLANA"/>
        <w:spacing w:line="360" w:lineRule="auto"/>
        <w:rPr>
          <w:rFonts w:cs="Arial"/>
          <w:bCs/>
          <w:sz w:val="24"/>
          <w:szCs w:val="24"/>
          <w:lang w:val="es-ES"/>
        </w:rPr>
      </w:pPr>
    </w:p>
    <w:p w:rsidR="009B3D50" w:rsidRPr="00710A06" w:rsidRDefault="009B3D50" w:rsidP="00C45465">
      <w:pPr>
        <w:pStyle w:val="PRIMERAPLANA"/>
        <w:spacing w:line="360" w:lineRule="auto"/>
        <w:rPr>
          <w:rFonts w:cs="Arial"/>
          <w:bCs/>
          <w:sz w:val="24"/>
          <w:szCs w:val="24"/>
          <w:lang w:val="es-ES"/>
        </w:rPr>
      </w:pPr>
    </w:p>
    <w:p w:rsidR="009B3D50" w:rsidRPr="00710A06" w:rsidRDefault="009B3D50" w:rsidP="00C45465">
      <w:pPr>
        <w:pStyle w:val="Prrafodelista"/>
        <w:numPr>
          <w:ilvl w:val="0"/>
          <w:numId w:val="10"/>
        </w:numPr>
        <w:spacing w:after="0" w:line="360" w:lineRule="auto"/>
        <w:ind w:left="709"/>
        <w:rPr>
          <w:rFonts w:ascii="Arial" w:hAnsi="Arial" w:cs="Arial"/>
          <w:b/>
          <w:sz w:val="24"/>
          <w:szCs w:val="24"/>
        </w:rPr>
      </w:pPr>
      <w:r w:rsidRPr="00710A06">
        <w:rPr>
          <w:rFonts w:ascii="Arial" w:hAnsi="Arial" w:cs="Arial"/>
          <w:b/>
          <w:sz w:val="24"/>
          <w:szCs w:val="24"/>
        </w:rPr>
        <w:t>EN MATERIA DE INGRESOS</w:t>
      </w:r>
    </w:p>
    <w:p w:rsidR="009B3D50" w:rsidRPr="00710A06" w:rsidRDefault="009B3D50" w:rsidP="00C45465">
      <w:pPr>
        <w:spacing w:after="0" w:line="360" w:lineRule="auto"/>
        <w:rPr>
          <w:rFonts w:ascii="Arial" w:hAnsi="Arial" w:cs="Arial"/>
          <w:sz w:val="24"/>
          <w:szCs w:val="24"/>
        </w:rPr>
      </w:pPr>
    </w:p>
    <w:p w:rsidR="009B3D50" w:rsidRPr="00710A06" w:rsidRDefault="009B3D50" w:rsidP="00C45465">
      <w:pPr>
        <w:pStyle w:val="PRIMERAPLANA"/>
        <w:spacing w:line="360" w:lineRule="auto"/>
        <w:rPr>
          <w:rFonts w:cs="Arial"/>
          <w:b/>
          <w:sz w:val="24"/>
          <w:szCs w:val="24"/>
          <w:lang w:val="es-ES"/>
        </w:rPr>
      </w:pPr>
      <w:r w:rsidRPr="00710A06">
        <w:rPr>
          <w:rFonts w:cs="Arial"/>
          <w:b/>
          <w:sz w:val="24"/>
          <w:szCs w:val="24"/>
          <w:lang w:val="es-ES"/>
        </w:rPr>
        <w:t>CONSIDERACIONES GENERALES</w:t>
      </w:r>
    </w:p>
    <w:p w:rsidR="00A914D5" w:rsidRPr="00710A06" w:rsidRDefault="00A914D5" w:rsidP="00C45465">
      <w:pPr>
        <w:pStyle w:val="PRIMERAPLANA"/>
        <w:spacing w:line="360" w:lineRule="auto"/>
        <w:rPr>
          <w:rFonts w:cs="Arial"/>
          <w:bCs/>
          <w:sz w:val="24"/>
          <w:szCs w:val="24"/>
          <w:lang w:val="es-ES"/>
        </w:rPr>
      </w:pPr>
    </w:p>
    <w:p w:rsidR="00A914D5" w:rsidRPr="00710A06" w:rsidRDefault="00A914D5" w:rsidP="00C45465">
      <w:pPr>
        <w:pStyle w:val="PRIMERAPLANA"/>
        <w:spacing w:line="360" w:lineRule="auto"/>
        <w:rPr>
          <w:rFonts w:cs="Arial"/>
          <w:bCs/>
          <w:sz w:val="24"/>
          <w:szCs w:val="24"/>
          <w:lang w:val="es-ES"/>
        </w:rPr>
      </w:pPr>
      <w:r w:rsidRPr="00710A06">
        <w:rPr>
          <w:rFonts w:cs="Arial"/>
          <w:bCs/>
          <w:sz w:val="24"/>
          <w:szCs w:val="24"/>
          <w:lang w:val="es-ES"/>
        </w:rPr>
        <w:t>El escenario económico para el Ejercicio Fiscal 2018, muestra la incertidumbre sobre la dirección de las políticas del nuevo gobierno de los Estados Unidos de Norteamérica</w:t>
      </w:r>
      <w:r w:rsidR="009302E3">
        <w:rPr>
          <w:rFonts w:cs="Arial"/>
          <w:bCs/>
          <w:sz w:val="24"/>
          <w:szCs w:val="24"/>
          <w:lang w:val="es-ES"/>
        </w:rPr>
        <w:t xml:space="preserve">, ya que </w:t>
      </w:r>
      <w:r w:rsidRPr="00710A06">
        <w:rPr>
          <w:rFonts w:cs="Arial"/>
          <w:bCs/>
          <w:sz w:val="24"/>
          <w:szCs w:val="24"/>
          <w:lang w:val="es-ES"/>
        </w:rPr>
        <w:t>plantea riesgos a la baja para la economía mexicana. En este marco, México muestra resistencia y resultados positivos en términos de producción, consumo, empleo e inversión. Las expectativas del sector privado que han prevalecido en los últimos meses sobre el desempeño económico están más relacionadas con los efectos de la incertidumbre que con una materialización de riesgos observable en el comportamiento del sector.</w:t>
      </w:r>
    </w:p>
    <w:p w:rsidR="00A914D5" w:rsidRPr="00710A06" w:rsidRDefault="00A914D5" w:rsidP="00C45465">
      <w:pPr>
        <w:pStyle w:val="PRIMERAPLANA"/>
        <w:spacing w:line="360" w:lineRule="auto"/>
        <w:rPr>
          <w:rFonts w:cs="Arial"/>
          <w:bCs/>
          <w:sz w:val="24"/>
          <w:szCs w:val="24"/>
          <w:lang w:val="es-ES"/>
        </w:rPr>
      </w:pPr>
    </w:p>
    <w:p w:rsidR="00A914D5" w:rsidRPr="00710A06" w:rsidRDefault="00A914D5" w:rsidP="00C45465">
      <w:pPr>
        <w:pStyle w:val="PRIMERAPLANA"/>
        <w:spacing w:line="360" w:lineRule="auto"/>
        <w:rPr>
          <w:rFonts w:cs="Arial"/>
          <w:bCs/>
          <w:sz w:val="24"/>
          <w:szCs w:val="24"/>
          <w:lang w:val="es-ES"/>
        </w:rPr>
      </w:pPr>
      <w:r w:rsidRPr="00710A06">
        <w:rPr>
          <w:rFonts w:cs="Arial"/>
          <w:bCs/>
          <w:sz w:val="24"/>
          <w:szCs w:val="24"/>
          <w:lang w:val="es-ES"/>
        </w:rPr>
        <w:t>Sin embargo, en los últimos meses comienzan a observarse señales de un crecimiento sincronizado a nivel mundial que, junto con el desempeño positivo de las finanzas públicas y el mercado interno durante 2016, dan soporte al cumplimiento puntual de las metas fiscales en 2017 y 2018 sin la necesidad de realizar ajustes drásticos al gasto.</w:t>
      </w:r>
    </w:p>
    <w:p w:rsidR="00A914D5" w:rsidRPr="00710A06" w:rsidRDefault="00A914D5" w:rsidP="00C45465">
      <w:pPr>
        <w:pStyle w:val="PRIMERAPLANA"/>
        <w:spacing w:line="360" w:lineRule="auto"/>
        <w:rPr>
          <w:rFonts w:cs="Arial"/>
          <w:bCs/>
          <w:sz w:val="24"/>
          <w:szCs w:val="24"/>
          <w:lang w:val="es-ES"/>
        </w:rPr>
      </w:pPr>
    </w:p>
    <w:p w:rsidR="00A914D5" w:rsidRPr="00710A06" w:rsidRDefault="00A914D5" w:rsidP="00C45465">
      <w:pPr>
        <w:pStyle w:val="PRIMERAPLANA"/>
        <w:spacing w:line="360" w:lineRule="auto"/>
        <w:rPr>
          <w:rFonts w:cs="Arial"/>
          <w:bCs/>
          <w:sz w:val="24"/>
          <w:szCs w:val="24"/>
          <w:lang w:val="es-ES"/>
        </w:rPr>
      </w:pPr>
      <w:r w:rsidRPr="00710A06">
        <w:rPr>
          <w:rFonts w:cs="Arial"/>
          <w:bCs/>
          <w:sz w:val="24"/>
          <w:szCs w:val="24"/>
          <w:lang w:val="es-ES"/>
        </w:rPr>
        <w:t>La estabilidad y el crecimiento sostenido de la economía mexicana se apoyan en tres pilares: una política fiscal prudente; una política monetaria independiente y creíble; y una amplia y profunda agenda de 11 Reformas Estructurales, que contribuyen a explicar un desempeño económico positivo.</w:t>
      </w:r>
    </w:p>
    <w:p w:rsidR="00A914D5" w:rsidRPr="00710A06" w:rsidRDefault="00A914D5" w:rsidP="00C45465">
      <w:pPr>
        <w:pStyle w:val="PRIMERAPLANA"/>
        <w:spacing w:line="360" w:lineRule="auto"/>
        <w:rPr>
          <w:rFonts w:cs="Arial"/>
          <w:bCs/>
          <w:sz w:val="24"/>
          <w:szCs w:val="24"/>
          <w:lang w:val="es-ES"/>
        </w:rPr>
      </w:pPr>
    </w:p>
    <w:p w:rsidR="00A914D5" w:rsidRPr="00710A06" w:rsidRDefault="00A914D5" w:rsidP="00C45465">
      <w:pPr>
        <w:pStyle w:val="PRIMERAPLANA"/>
        <w:spacing w:line="360" w:lineRule="auto"/>
        <w:rPr>
          <w:rFonts w:cs="Arial"/>
          <w:bCs/>
          <w:sz w:val="24"/>
          <w:szCs w:val="24"/>
          <w:lang w:val="es-ES"/>
        </w:rPr>
      </w:pPr>
      <w:r w:rsidRPr="00710A06">
        <w:rPr>
          <w:rFonts w:cs="Arial"/>
          <w:bCs/>
          <w:sz w:val="24"/>
          <w:szCs w:val="24"/>
          <w:lang w:val="es-ES"/>
        </w:rPr>
        <w:lastRenderedPageBreak/>
        <w:t>Las Reformas Estructurales han complementado la conducción responsable de la política económica y ayudan a explicar el desempeño positivo que ha experimentado la economía de nuestro país en un entorno externo tan complejo, ya que detonan inversiones, fomentan la productividad y la competitividad y generan una estructura económica más flexible para enfrentar retos internos y externos.</w:t>
      </w:r>
    </w:p>
    <w:p w:rsidR="00A914D5" w:rsidRPr="00710A06" w:rsidRDefault="00A914D5" w:rsidP="00C45465">
      <w:pPr>
        <w:pStyle w:val="PRIMERAPLANA"/>
        <w:spacing w:line="360" w:lineRule="auto"/>
        <w:rPr>
          <w:rFonts w:cs="Arial"/>
          <w:bCs/>
          <w:sz w:val="24"/>
          <w:szCs w:val="24"/>
          <w:lang w:val="es-ES"/>
        </w:rPr>
      </w:pPr>
    </w:p>
    <w:p w:rsidR="00A914D5" w:rsidRPr="00710A06" w:rsidRDefault="00A914D5" w:rsidP="00C45465">
      <w:pPr>
        <w:pStyle w:val="PRIMERAPLANA"/>
        <w:spacing w:line="360" w:lineRule="auto"/>
        <w:rPr>
          <w:rFonts w:cs="Arial"/>
          <w:bCs/>
          <w:sz w:val="24"/>
          <w:szCs w:val="24"/>
          <w:lang w:val="es-ES"/>
        </w:rPr>
      </w:pPr>
      <w:r w:rsidRPr="00710A06">
        <w:rPr>
          <w:rFonts w:cs="Arial"/>
          <w:bCs/>
          <w:sz w:val="24"/>
          <w:szCs w:val="24"/>
          <w:lang w:val="es-ES"/>
        </w:rPr>
        <w:t>Se anticipa una aceleración de la actividad económica en 2018, con un rango de crecimiento de entre 2.0 y 3.0 por ciento que incluye una expansión más equilibrada entre los sectores que componen la economía, una disminución en la incertidumbre proveniente del exterior y el impacto positivo de la implementación exitosa de las Reformas Estructurales.</w:t>
      </w:r>
    </w:p>
    <w:p w:rsidR="00A914D5" w:rsidRPr="00710A06" w:rsidRDefault="00A914D5" w:rsidP="00C45465">
      <w:pPr>
        <w:pStyle w:val="PRIMERAPLANA"/>
        <w:spacing w:line="360" w:lineRule="auto"/>
        <w:rPr>
          <w:rFonts w:cs="Arial"/>
          <w:bCs/>
          <w:sz w:val="24"/>
          <w:szCs w:val="24"/>
          <w:lang w:val="es-ES"/>
        </w:rPr>
      </w:pPr>
    </w:p>
    <w:p w:rsidR="00A914D5" w:rsidRPr="00710A06" w:rsidRDefault="00A914D5" w:rsidP="00C45465">
      <w:pPr>
        <w:pStyle w:val="PRIMERAPLANA"/>
        <w:spacing w:line="360" w:lineRule="auto"/>
        <w:rPr>
          <w:rFonts w:cs="Arial"/>
          <w:bCs/>
          <w:sz w:val="24"/>
          <w:szCs w:val="24"/>
          <w:lang w:val="es-ES"/>
        </w:rPr>
      </w:pPr>
      <w:r w:rsidRPr="00710A06">
        <w:rPr>
          <w:rFonts w:cs="Arial"/>
          <w:bCs/>
          <w:sz w:val="24"/>
          <w:szCs w:val="24"/>
          <w:lang w:val="es-ES"/>
        </w:rPr>
        <w:t>El rango de crecimiento propuesto para el próximo año toma en cuenta la mejoría en las perspectivas para la economía mexicana. De acuerdo con la encuesta del Banco de México de agosto de 2017, los analistas del sector privado pronostican para 2018 un crecimiento económico de 2.4 por ciento, 0.2 puntos porcentuales mayores que la proyección de mayo. Las estimaciones de finanzas públicas emplean la parte media del rango, igual a 2.5 por ciento, cifra que toma en cuenta lo siguiente: la posible persistencia de efectos de la incertidumbre respecto a la relación económica con nuestro principal socio comercial, con un escenario central en el que la actualización del Tratado de Libre Comercio de América del Norte (TLCAN) beneficia a las tres partes, dado el proceso transparente de trabajo establecido; el robustecimiento del mercado interno; un repunte en las exportaciones; y una incipiente recuperación de la actividad petrolera, fruto de la Reforma Energética y de los efectos del nuevo Plan de Negocios de Pemex.</w:t>
      </w:r>
    </w:p>
    <w:p w:rsidR="00A914D5" w:rsidRPr="00710A06" w:rsidRDefault="00A914D5" w:rsidP="00C45465">
      <w:pPr>
        <w:pStyle w:val="PRIMERAPLANA"/>
        <w:spacing w:line="360" w:lineRule="auto"/>
        <w:rPr>
          <w:rFonts w:cs="Arial"/>
          <w:bCs/>
          <w:sz w:val="24"/>
          <w:szCs w:val="24"/>
          <w:lang w:val="es-ES"/>
        </w:rPr>
      </w:pPr>
    </w:p>
    <w:p w:rsidR="00A914D5" w:rsidRPr="00710A06" w:rsidRDefault="00A914D5" w:rsidP="00C45465">
      <w:pPr>
        <w:pStyle w:val="PRIMERAPLANA"/>
        <w:spacing w:line="360" w:lineRule="auto"/>
        <w:rPr>
          <w:rFonts w:cs="Arial"/>
          <w:bCs/>
          <w:sz w:val="24"/>
          <w:szCs w:val="24"/>
          <w:lang w:val="es-ES"/>
        </w:rPr>
      </w:pPr>
      <w:r w:rsidRPr="00710A06">
        <w:rPr>
          <w:rFonts w:cs="Arial"/>
          <w:bCs/>
          <w:sz w:val="24"/>
          <w:szCs w:val="24"/>
          <w:lang w:val="es-ES"/>
        </w:rPr>
        <w:lastRenderedPageBreak/>
        <w:t>Asimismo, se proyecta un precio promedio anual para la mezcla mexicana de exportación de 46 dólares por barril (dpb), nivel inferior al que resulta de la fórmula establecida como máximo en la Ley Federal de Presupuesto y Responsabilidad Hacendaria (LFPRH) pero que se considera prudente utilizar, ya que está en línea con la información observada durante este año, con los precios implícitos en los contratos futuros comerciados en los mercados internacionales y con la estrategia de coberturas implementadas. Se estima una plataforma de producción de petróleo de 1,983 miles de barriles diarios (</w:t>
      </w:r>
      <w:proofErr w:type="spellStart"/>
      <w:r w:rsidRPr="00710A06">
        <w:rPr>
          <w:rFonts w:cs="Arial"/>
          <w:bCs/>
          <w:sz w:val="24"/>
          <w:szCs w:val="24"/>
          <w:lang w:val="es-ES"/>
        </w:rPr>
        <w:t>mbd</w:t>
      </w:r>
      <w:proofErr w:type="spellEnd"/>
      <w:r w:rsidRPr="00710A06">
        <w:rPr>
          <w:rFonts w:cs="Arial"/>
          <w:bCs/>
          <w:sz w:val="24"/>
          <w:szCs w:val="24"/>
          <w:lang w:val="es-ES"/>
        </w:rPr>
        <w:t>).</w:t>
      </w:r>
    </w:p>
    <w:p w:rsidR="00A914D5" w:rsidRPr="00710A06" w:rsidRDefault="00A914D5" w:rsidP="00C45465">
      <w:pPr>
        <w:pStyle w:val="PRIMERAPLANA"/>
        <w:spacing w:line="360" w:lineRule="auto"/>
        <w:rPr>
          <w:rFonts w:cs="Arial"/>
          <w:bCs/>
          <w:sz w:val="24"/>
          <w:szCs w:val="24"/>
          <w:lang w:val="es-ES"/>
        </w:rPr>
      </w:pPr>
    </w:p>
    <w:p w:rsidR="00A914D5" w:rsidRPr="00710A06" w:rsidRDefault="00A914D5" w:rsidP="00C45465">
      <w:pPr>
        <w:pStyle w:val="PRIMERAPLANA"/>
        <w:spacing w:line="360" w:lineRule="auto"/>
        <w:rPr>
          <w:rFonts w:cs="Arial"/>
          <w:bCs/>
          <w:sz w:val="24"/>
          <w:szCs w:val="24"/>
          <w:lang w:val="es-ES"/>
        </w:rPr>
      </w:pPr>
      <w:r w:rsidRPr="00710A06">
        <w:rPr>
          <w:rFonts w:cs="Arial"/>
          <w:bCs/>
          <w:sz w:val="24"/>
          <w:szCs w:val="24"/>
          <w:lang w:val="es-ES"/>
        </w:rPr>
        <w:t>Las estimaciones de finanzas públicas utilizan un tipo de cambio para el cierre de 2018 de 18.1 pesos por dólar, que es conservador y consistente con la evolución reciente de dicha variable. Además, se emplea una inflación de 3.0 por ciento, en línea con las proyecciones y el objetivo del Banco de México.</w:t>
      </w:r>
    </w:p>
    <w:p w:rsidR="00A914D5" w:rsidRPr="00710A06" w:rsidRDefault="00A914D5" w:rsidP="00C45465">
      <w:pPr>
        <w:pStyle w:val="PRIMERAPLANA"/>
        <w:spacing w:line="360" w:lineRule="auto"/>
        <w:rPr>
          <w:rFonts w:cs="Arial"/>
          <w:bCs/>
          <w:sz w:val="24"/>
          <w:szCs w:val="24"/>
          <w:lang w:val="es-ES"/>
        </w:rPr>
      </w:pPr>
    </w:p>
    <w:p w:rsidR="00A914D5" w:rsidRPr="00710A06" w:rsidRDefault="00A914D5" w:rsidP="00C45465">
      <w:pPr>
        <w:pStyle w:val="PRIMERAPLANA"/>
        <w:spacing w:line="360" w:lineRule="auto"/>
        <w:rPr>
          <w:rFonts w:cs="Arial"/>
          <w:bCs/>
          <w:sz w:val="24"/>
          <w:szCs w:val="24"/>
          <w:lang w:val="es-ES"/>
        </w:rPr>
      </w:pPr>
      <w:r w:rsidRPr="00710A06">
        <w:rPr>
          <w:rFonts w:cs="Arial"/>
          <w:bCs/>
          <w:sz w:val="24"/>
          <w:szCs w:val="24"/>
          <w:lang w:val="es-ES"/>
        </w:rPr>
        <w:t xml:space="preserve">Para el próximo año se estiman ingresos presupuestarios por 4,735.0 </w:t>
      </w:r>
      <w:proofErr w:type="spellStart"/>
      <w:r w:rsidRPr="00710A06">
        <w:rPr>
          <w:rFonts w:cs="Arial"/>
          <w:bCs/>
          <w:sz w:val="24"/>
          <w:szCs w:val="24"/>
          <w:lang w:val="es-ES"/>
        </w:rPr>
        <w:t>mmp</w:t>
      </w:r>
      <w:proofErr w:type="spellEnd"/>
      <w:r w:rsidRPr="00710A06">
        <w:rPr>
          <w:rFonts w:cs="Arial"/>
          <w:bCs/>
          <w:sz w:val="24"/>
          <w:szCs w:val="24"/>
          <w:lang w:val="es-ES"/>
        </w:rPr>
        <w:t xml:space="preserve">, un aumento de 165.3 </w:t>
      </w:r>
      <w:proofErr w:type="spellStart"/>
      <w:r w:rsidRPr="00710A06">
        <w:rPr>
          <w:rFonts w:cs="Arial"/>
          <w:bCs/>
          <w:sz w:val="24"/>
          <w:szCs w:val="24"/>
          <w:lang w:val="es-ES"/>
        </w:rPr>
        <w:t>mmp</w:t>
      </w:r>
      <w:proofErr w:type="spellEnd"/>
      <w:r w:rsidRPr="00710A06">
        <w:rPr>
          <w:rFonts w:cs="Arial"/>
          <w:bCs/>
          <w:sz w:val="24"/>
          <w:szCs w:val="24"/>
          <w:lang w:val="es-ES"/>
        </w:rPr>
        <w:t xml:space="preserve"> (3.6 por ciento real) constantes de 2018 respecto a la cifra aprobada en 2017. Esta evolución se explica principalmente por el crecimiento económico y un desempeño durante 2017 mejor al esperado, pues la Iniciativa de Ley de Ingresos de la Federación (ILIF) 2018 refrenda el compromiso del Gobierno Federal de mantener el marco fiscal vigente para brindar certidumbre.</w:t>
      </w:r>
    </w:p>
    <w:p w:rsidR="00A914D5" w:rsidRPr="00710A06" w:rsidRDefault="00A914D5" w:rsidP="00C45465">
      <w:pPr>
        <w:pStyle w:val="PRIMERAPLANA"/>
        <w:spacing w:line="360" w:lineRule="auto"/>
        <w:rPr>
          <w:rFonts w:cs="Arial"/>
          <w:bCs/>
          <w:sz w:val="24"/>
          <w:szCs w:val="24"/>
          <w:lang w:val="es-ES"/>
        </w:rPr>
      </w:pPr>
    </w:p>
    <w:p w:rsidR="00A914D5" w:rsidRPr="00710A06" w:rsidRDefault="00A914D5" w:rsidP="00C45465">
      <w:pPr>
        <w:pStyle w:val="PRIMERAPLANA"/>
        <w:spacing w:line="360" w:lineRule="auto"/>
        <w:rPr>
          <w:rFonts w:cs="Arial"/>
          <w:bCs/>
          <w:sz w:val="24"/>
          <w:szCs w:val="24"/>
          <w:lang w:val="es-ES"/>
        </w:rPr>
      </w:pPr>
      <w:r w:rsidRPr="00710A06">
        <w:rPr>
          <w:rFonts w:cs="Arial"/>
          <w:bCs/>
          <w:sz w:val="24"/>
          <w:szCs w:val="24"/>
          <w:lang w:val="es-ES"/>
        </w:rPr>
        <w:t xml:space="preserve">Se proyecta un aumento en los ingresos de 40.7 </w:t>
      </w:r>
      <w:proofErr w:type="spellStart"/>
      <w:r w:rsidRPr="00710A06">
        <w:rPr>
          <w:rFonts w:cs="Arial"/>
          <w:bCs/>
          <w:sz w:val="24"/>
          <w:szCs w:val="24"/>
          <w:lang w:val="es-ES"/>
        </w:rPr>
        <w:t>mmp</w:t>
      </w:r>
      <w:proofErr w:type="spellEnd"/>
      <w:r w:rsidRPr="00710A06">
        <w:rPr>
          <w:rFonts w:cs="Arial"/>
          <w:bCs/>
          <w:sz w:val="24"/>
          <w:szCs w:val="24"/>
          <w:lang w:val="es-ES"/>
        </w:rPr>
        <w:t xml:space="preserve"> (0.9 por ciento real) o cerca de 0.2 por ciento del PIB, al contrastar las cifras de finanzas públicas propuestas para 2018 con las estimadas para el cierre de 2017, excluyendo </w:t>
      </w:r>
      <w:r w:rsidRPr="00710A06">
        <w:rPr>
          <w:rFonts w:cs="Arial"/>
          <w:bCs/>
          <w:sz w:val="24"/>
          <w:szCs w:val="24"/>
          <w:lang w:val="es-ES"/>
        </w:rPr>
        <w:lastRenderedPageBreak/>
        <w:t>la recepción de ingresos por concepto del Remanente de Operación del Banco de México (ROBM) y otros que por Ley tienen un destino específico.</w:t>
      </w:r>
    </w:p>
    <w:p w:rsidR="00A914D5" w:rsidRPr="00710A06" w:rsidRDefault="00A914D5" w:rsidP="00C45465">
      <w:pPr>
        <w:pStyle w:val="PRIMERAPLANA"/>
        <w:spacing w:line="360" w:lineRule="auto"/>
        <w:rPr>
          <w:rFonts w:cs="Arial"/>
          <w:bCs/>
          <w:sz w:val="24"/>
          <w:szCs w:val="24"/>
          <w:lang w:val="es-ES"/>
        </w:rPr>
      </w:pPr>
      <w:r w:rsidRPr="00710A06">
        <w:rPr>
          <w:rFonts w:cs="Arial"/>
          <w:bCs/>
          <w:sz w:val="24"/>
          <w:szCs w:val="24"/>
          <w:lang w:val="es-ES"/>
        </w:rPr>
        <w:t>El entorno macroeconómico previsto para 2018 se encuentra sujeto a riesgos a la baja que podrían modificar las estimaciones anteriores, encontrándose entre los principales los siguientes:</w:t>
      </w:r>
    </w:p>
    <w:p w:rsidR="00A914D5" w:rsidRPr="00710A06" w:rsidRDefault="00A914D5" w:rsidP="00C45465">
      <w:pPr>
        <w:pStyle w:val="PRIMERAPLANA"/>
        <w:spacing w:line="360" w:lineRule="auto"/>
        <w:rPr>
          <w:rFonts w:cs="Arial"/>
          <w:bCs/>
          <w:sz w:val="24"/>
          <w:szCs w:val="24"/>
          <w:lang w:val="es-ES"/>
        </w:rPr>
      </w:pPr>
    </w:p>
    <w:p w:rsidR="00A914D5" w:rsidRPr="00710A06" w:rsidRDefault="00A914D5" w:rsidP="00C45465">
      <w:pPr>
        <w:pStyle w:val="PRIMERAPLANA"/>
        <w:numPr>
          <w:ilvl w:val="0"/>
          <w:numId w:val="2"/>
        </w:numPr>
        <w:spacing w:line="360" w:lineRule="auto"/>
        <w:rPr>
          <w:rFonts w:cs="Arial"/>
          <w:bCs/>
          <w:sz w:val="24"/>
          <w:szCs w:val="24"/>
          <w:lang w:val="es-ES"/>
        </w:rPr>
      </w:pPr>
      <w:r w:rsidRPr="00710A06">
        <w:rPr>
          <w:rFonts w:cs="Arial"/>
          <w:bCs/>
          <w:sz w:val="24"/>
          <w:szCs w:val="24"/>
          <w:lang w:val="es-ES"/>
        </w:rPr>
        <w:t>El resultado de la modernización del TLCAN</w:t>
      </w:r>
    </w:p>
    <w:p w:rsidR="00A914D5" w:rsidRPr="00710A06" w:rsidRDefault="00A914D5" w:rsidP="00C45465">
      <w:pPr>
        <w:pStyle w:val="PRIMERAPLANA"/>
        <w:numPr>
          <w:ilvl w:val="0"/>
          <w:numId w:val="2"/>
        </w:numPr>
        <w:spacing w:line="360" w:lineRule="auto"/>
        <w:rPr>
          <w:rFonts w:cs="Arial"/>
          <w:bCs/>
          <w:sz w:val="24"/>
          <w:szCs w:val="24"/>
          <w:lang w:val="es-ES"/>
        </w:rPr>
      </w:pPr>
      <w:r w:rsidRPr="00710A06">
        <w:rPr>
          <w:rFonts w:cs="Arial"/>
          <w:bCs/>
          <w:sz w:val="24"/>
          <w:szCs w:val="24"/>
          <w:lang w:val="es-ES"/>
        </w:rPr>
        <w:t>La normalización de la política monetaria del Sistema de la Reserva Federal (FED) de EEU</w:t>
      </w:r>
    </w:p>
    <w:p w:rsidR="00A914D5" w:rsidRPr="00710A06" w:rsidRDefault="00A914D5" w:rsidP="00C45465">
      <w:pPr>
        <w:pStyle w:val="PRIMERAPLANA"/>
        <w:numPr>
          <w:ilvl w:val="0"/>
          <w:numId w:val="2"/>
        </w:numPr>
        <w:spacing w:line="360" w:lineRule="auto"/>
        <w:rPr>
          <w:rFonts w:cs="Arial"/>
          <w:bCs/>
          <w:sz w:val="24"/>
          <w:szCs w:val="24"/>
          <w:lang w:val="es-ES"/>
        </w:rPr>
      </w:pPr>
      <w:r w:rsidRPr="00710A06">
        <w:rPr>
          <w:rFonts w:cs="Arial"/>
          <w:bCs/>
          <w:sz w:val="24"/>
          <w:szCs w:val="24"/>
          <w:lang w:val="es-ES"/>
        </w:rPr>
        <w:t>Las negociaciones relativas a la salida del Reino Unido de la Unión Europea</w:t>
      </w:r>
    </w:p>
    <w:p w:rsidR="00A914D5" w:rsidRPr="00710A06" w:rsidRDefault="00A914D5" w:rsidP="00C45465">
      <w:pPr>
        <w:pStyle w:val="PRIMERAPLANA"/>
        <w:numPr>
          <w:ilvl w:val="0"/>
          <w:numId w:val="2"/>
        </w:numPr>
        <w:spacing w:line="360" w:lineRule="auto"/>
        <w:rPr>
          <w:rFonts w:cs="Arial"/>
          <w:bCs/>
          <w:sz w:val="24"/>
          <w:szCs w:val="24"/>
          <w:lang w:val="es-ES"/>
        </w:rPr>
      </w:pPr>
      <w:r w:rsidRPr="00710A06">
        <w:rPr>
          <w:rFonts w:cs="Arial"/>
          <w:bCs/>
          <w:sz w:val="24"/>
          <w:szCs w:val="24"/>
          <w:lang w:val="es-ES"/>
        </w:rPr>
        <w:t>Una potencial desaceleración del crecimiento de China y distintas tensiones geopolíticas</w:t>
      </w:r>
    </w:p>
    <w:p w:rsidR="00A914D5" w:rsidRPr="00710A06" w:rsidRDefault="00A914D5" w:rsidP="00C45465">
      <w:pPr>
        <w:pStyle w:val="PRIMERAPLANA"/>
        <w:spacing w:line="360" w:lineRule="auto"/>
        <w:rPr>
          <w:rFonts w:cs="Arial"/>
          <w:bCs/>
          <w:sz w:val="24"/>
          <w:szCs w:val="24"/>
          <w:lang w:val="es-ES"/>
        </w:rPr>
      </w:pPr>
    </w:p>
    <w:p w:rsidR="00A914D5" w:rsidRPr="00710A06" w:rsidRDefault="00A914D5" w:rsidP="00C45465">
      <w:pPr>
        <w:pStyle w:val="PRIMERAPLANA"/>
        <w:spacing w:line="360" w:lineRule="auto"/>
        <w:rPr>
          <w:rFonts w:cs="Arial"/>
          <w:bCs/>
          <w:sz w:val="24"/>
          <w:szCs w:val="24"/>
          <w:lang w:val="es-ES"/>
        </w:rPr>
      </w:pPr>
      <w:r w:rsidRPr="00710A06">
        <w:rPr>
          <w:rFonts w:cs="Arial"/>
          <w:bCs/>
          <w:sz w:val="24"/>
          <w:szCs w:val="24"/>
          <w:lang w:val="es-ES"/>
        </w:rPr>
        <w:t>Aunado a la incertidumbre que permea en el entorno Internacional y Nacional en el que el Gobierno del Estado ha enfrentado mayores restricciones en los ingresos derivados de participaciones federales, nos hemos enfocado en la estrategia de fortalecer la recaudación de ingresos propios, lo que permitirá la implementación de programas, así como la ejecución de proyectos prioritarios de carácter social y de apoyo a sectores vulnerables.</w:t>
      </w:r>
    </w:p>
    <w:p w:rsidR="00A914D5" w:rsidRPr="00710A06" w:rsidRDefault="00A914D5" w:rsidP="00C45465">
      <w:pPr>
        <w:pStyle w:val="PRIMERAPLANA"/>
        <w:spacing w:line="360" w:lineRule="auto"/>
        <w:rPr>
          <w:rFonts w:cs="Arial"/>
          <w:bCs/>
          <w:sz w:val="24"/>
          <w:szCs w:val="24"/>
          <w:lang w:val="es-ES"/>
        </w:rPr>
      </w:pPr>
    </w:p>
    <w:p w:rsidR="00D57C5F" w:rsidRPr="00710A06" w:rsidRDefault="00D57C5F" w:rsidP="00C45465">
      <w:pPr>
        <w:pStyle w:val="PRIMERAPLANA"/>
        <w:spacing w:line="360" w:lineRule="auto"/>
        <w:rPr>
          <w:rFonts w:cs="Arial"/>
          <w:iCs/>
          <w:sz w:val="24"/>
          <w:szCs w:val="24"/>
          <w:lang w:val="es-ES"/>
        </w:rPr>
      </w:pPr>
      <w:r w:rsidRPr="00710A06">
        <w:rPr>
          <w:rFonts w:cs="Arial"/>
          <w:iCs/>
          <w:sz w:val="24"/>
          <w:szCs w:val="24"/>
          <w:lang w:val="es-ES"/>
        </w:rPr>
        <w:t xml:space="preserve">En el Paquete Económico presentado a esa Legislatura, se incluyen políticas públicas orientadas a impulsar un crecimiento sostenido de la Hacienda Pública Estatal, generando las condiciones propicias para la inversión del sector privado y fortalecer el desarrollo de infraestructura básica para el fomento económico. Así como reforzar las condiciones de </w:t>
      </w:r>
      <w:r w:rsidRPr="00710A06">
        <w:rPr>
          <w:rFonts w:cs="Arial"/>
          <w:iCs/>
          <w:sz w:val="24"/>
          <w:szCs w:val="24"/>
          <w:lang w:val="es-ES"/>
        </w:rPr>
        <w:lastRenderedPageBreak/>
        <w:t>seguridad y justicia, que permitan otorgar condiciones de convivencia en un estado de derecho pleno.</w:t>
      </w:r>
    </w:p>
    <w:p w:rsidR="00D57C5F" w:rsidRPr="00710A06" w:rsidRDefault="00D57C5F" w:rsidP="00C45465">
      <w:pPr>
        <w:pStyle w:val="PRIMERAPLANA"/>
        <w:spacing w:line="360" w:lineRule="auto"/>
        <w:rPr>
          <w:rFonts w:cs="Arial"/>
          <w:bCs/>
          <w:sz w:val="24"/>
          <w:szCs w:val="24"/>
          <w:lang w:val="es-ES"/>
        </w:rPr>
      </w:pPr>
    </w:p>
    <w:p w:rsidR="009B3D50" w:rsidRPr="00710A06" w:rsidRDefault="009B3D50" w:rsidP="00C45465">
      <w:pPr>
        <w:pStyle w:val="PRIMERAPLANA"/>
        <w:spacing w:line="360" w:lineRule="auto"/>
        <w:rPr>
          <w:rFonts w:cs="Arial"/>
          <w:bCs/>
          <w:sz w:val="24"/>
          <w:szCs w:val="24"/>
          <w:lang w:val="es-ES"/>
        </w:rPr>
      </w:pPr>
    </w:p>
    <w:p w:rsidR="009B3D50" w:rsidRPr="00710A06" w:rsidRDefault="009B3D50" w:rsidP="00C45465">
      <w:pPr>
        <w:pStyle w:val="PRIMERAPLANA"/>
        <w:spacing w:line="360" w:lineRule="auto"/>
        <w:rPr>
          <w:rFonts w:cs="Arial"/>
          <w:bCs/>
          <w:sz w:val="24"/>
          <w:szCs w:val="24"/>
          <w:lang w:val="es-ES"/>
        </w:rPr>
      </w:pPr>
    </w:p>
    <w:p w:rsidR="009B3D50" w:rsidRPr="00710A06" w:rsidRDefault="009B3D50" w:rsidP="00C45465">
      <w:pPr>
        <w:pStyle w:val="PRIMERAPLANA"/>
        <w:spacing w:line="360" w:lineRule="auto"/>
        <w:rPr>
          <w:rFonts w:cs="Arial"/>
          <w:bCs/>
          <w:sz w:val="24"/>
          <w:szCs w:val="24"/>
          <w:lang w:val="es-ES"/>
        </w:rPr>
      </w:pPr>
    </w:p>
    <w:p w:rsidR="001F3890" w:rsidRPr="00710A06" w:rsidRDefault="001F3890" w:rsidP="00C45465">
      <w:pPr>
        <w:pStyle w:val="PRIMERAPLANA"/>
        <w:spacing w:line="360" w:lineRule="auto"/>
        <w:rPr>
          <w:rFonts w:cs="Arial"/>
          <w:bCs/>
          <w:sz w:val="24"/>
          <w:szCs w:val="24"/>
          <w:lang w:val="es-ES"/>
        </w:rPr>
      </w:pPr>
    </w:p>
    <w:p w:rsidR="00D57C5F" w:rsidRPr="00710A06" w:rsidRDefault="00D57C5F" w:rsidP="00C45465">
      <w:pPr>
        <w:pStyle w:val="PRIMERAPLANA"/>
        <w:spacing w:line="360" w:lineRule="auto"/>
        <w:rPr>
          <w:rFonts w:cs="Arial"/>
          <w:b/>
          <w:sz w:val="24"/>
          <w:szCs w:val="24"/>
          <w:lang w:val="es-ES"/>
        </w:rPr>
      </w:pPr>
      <w:r w:rsidRPr="00710A06">
        <w:rPr>
          <w:rFonts w:cs="Arial"/>
          <w:b/>
          <w:sz w:val="24"/>
          <w:szCs w:val="24"/>
          <w:lang w:val="es-ES"/>
        </w:rPr>
        <w:t>ENTORNO INTERNACIONAL.</w:t>
      </w:r>
    </w:p>
    <w:p w:rsidR="00D57C5F" w:rsidRPr="00710A06" w:rsidRDefault="00D57C5F" w:rsidP="00C45465">
      <w:pPr>
        <w:pStyle w:val="PRIMERAPLANA"/>
        <w:spacing w:line="360" w:lineRule="auto"/>
        <w:rPr>
          <w:rFonts w:cs="Arial"/>
          <w:sz w:val="24"/>
          <w:szCs w:val="24"/>
          <w:lang w:val="es-ES"/>
        </w:rPr>
      </w:pPr>
    </w:p>
    <w:p w:rsidR="00D57C5F" w:rsidRPr="00710A06" w:rsidRDefault="00D57C5F" w:rsidP="00C45465">
      <w:pPr>
        <w:pStyle w:val="PRIMERAPLANA"/>
        <w:spacing w:line="360" w:lineRule="auto"/>
        <w:rPr>
          <w:rFonts w:cs="Arial"/>
          <w:sz w:val="24"/>
          <w:szCs w:val="24"/>
          <w:lang w:val="es-ES"/>
        </w:rPr>
      </w:pPr>
      <w:r w:rsidRPr="00710A06">
        <w:rPr>
          <w:rFonts w:cs="Arial"/>
          <w:sz w:val="24"/>
          <w:szCs w:val="24"/>
          <w:lang w:val="es-ES"/>
        </w:rPr>
        <w:t>La actividad económica mundial registró una importante recuperación durante 2017, tras haber experimentado una fase de desaceleración en años previos. En países avanzados, Estados Unidos creció a un ritmo moderado durante la segunda mitad de 2016, y se recuperó significativamente en el segundo trimestre de este año, impulsada principalmente por el desempeño del consumo privado. Por otra parte, el mercado laboral se fortaleció, lo cual permitió que el Sistema de Reserva Federal (FED) continuara con la normalización de su política monetaria en este periodo.</w:t>
      </w:r>
    </w:p>
    <w:p w:rsidR="00D57C5F" w:rsidRPr="00710A06" w:rsidRDefault="00D57C5F" w:rsidP="00C45465">
      <w:pPr>
        <w:pStyle w:val="PRIMERAPLANA"/>
        <w:spacing w:line="360" w:lineRule="auto"/>
        <w:rPr>
          <w:rFonts w:cs="Arial"/>
          <w:sz w:val="24"/>
          <w:szCs w:val="24"/>
          <w:lang w:val="es-ES"/>
        </w:rPr>
      </w:pPr>
    </w:p>
    <w:p w:rsidR="00D57C5F" w:rsidRPr="00710A06" w:rsidRDefault="00D57C5F" w:rsidP="00C45465">
      <w:pPr>
        <w:pStyle w:val="PRIMERAPLANA"/>
        <w:spacing w:line="360" w:lineRule="auto"/>
        <w:rPr>
          <w:rFonts w:cs="Arial"/>
          <w:sz w:val="24"/>
          <w:szCs w:val="24"/>
          <w:lang w:val="es-ES"/>
        </w:rPr>
      </w:pPr>
      <w:r w:rsidRPr="00710A06">
        <w:rPr>
          <w:rFonts w:cs="Arial"/>
          <w:sz w:val="24"/>
          <w:szCs w:val="24"/>
          <w:lang w:val="es-ES"/>
        </w:rPr>
        <w:t xml:space="preserve">Para 2017 se espera que las economías avanzadas incrementen su ritmo de crecimiento respecto a 2016, aunque para algunas de ellas se registraron revisiones a la baja. La expectativa de crecimiento en 2017 y 2018 para Estados Unidos se redujo, principalmente anticipando que la política fiscal en aquel país sea menos expansiva de lo que se asumía anteriormente. Por otro lado, la debilidad de los datos de actividad de Reino Unido en el primer trimestre derivó en ajustes a la baja en su crecimiento estimado para 2017. En contraste, para la mayoría de las economías de la Zona del Euro los pronósticos fueron revisados al alza, reflejando un mejor </w:t>
      </w:r>
      <w:r w:rsidRPr="00710A06">
        <w:rPr>
          <w:rFonts w:cs="Arial"/>
          <w:sz w:val="24"/>
          <w:szCs w:val="24"/>
          <w:lang w:val="es-ES"/>
        </w:rPr>
        <w:lastRenderedPageBreak/>
        <w:t>desempeño de la demanda interna. En este contexto, el pronóstico de crecimiento de las economías avanzadas para 2017 permaneció sin cambios en 2.0 por ciento, mientras que para 2018 fue revisado marginalmente a la baja, de 2.0 a 1.9 por ciento.</w:t>
      </w:r>
    </w:p>
    <w:p w:rsidR="00D57C5F" w:rsidRPr="00710A06" w:rsidRDefault="00D57C5F" w:rsidP="00C45465">
      <w:pPr>
        <w:pStyle w:val="PRIMERAPLANA"/>
        <w:spacing w:line="360" w:lineRule="auto"/>
        <w:rPr>
          <w:rFonts w:cs="Arial"/>
          <w:sz w:val="24"/>
          <w:szCs w:val="24"/>
          <w:lang w:val="es-ES"/>
        </w:rPr>
      </w:pPr>
    </w:p>
    <w:p w:rsidR="00D57C5F" w:rsidRPr="00710A06" w:rsidRDefault="00D57C5F" w:rsidP="00C45465">
      <w:pPr>
        <w:pStyle w:val="PRIMERAPLANA"/>
        <w:spacing w:line="360" w:lineRule="auto"/>
        <w:rPr>
          <w:rFonts w:cs="Arial"/>
          <w:sz w:val="24"/>
          <w:szCs w:val="24"/>
          <w:lang w:val="es-ES"/>
        </w:rPr>
      </w:pPr>
      <w:r w:rsidRPr="00710A06">
        <w:rPr>
          <w:rFonts w:cs="Arial"/>
          <w:sz w:val="24"/>
          <w:szCs w:val="24"/>
          <w:lang w:val="es-ES"/>
        </w:rPr>
        <w:t xml:space="preserve">La encuesta de </w:t>
      </w:r>
      <w:r w:rsidRPr="00710A06">
        <w:rPr>
          <w:rFonts w:cs="Arial"/>
          <w:i/>
          <w:sz w:val="24"/>
          <w:szCs w:val="24"/>
          <w:lang w:val="es-ES"/>
        </w:rPr>
        <w:t xml:space="preserve">Blue Chip </w:t>
      </w:r>
      <w:proofErr w:type="spellStart"/>
      <w:r w:rsidRPr="00710A06">
        <w:rPr>
          <w:rFonts w:cs="Arial"/>
          <w:i/>
          <w:sz w:val="24"/>
          <w:szCs w:val="24"/>
          <w:lang w:val="es-ES"/>
        </w:rPr>
        <w:t>Economic</w:t>
      </w:r>
      <w:proofErr w:type="spellEnd"/>
      <w:r w:rsidRPr="00710A06">
        <w:rPr>
          <w:rFonts w:cs="Arial"/>
          <w:i/>
          <w:sz w:val="24"/>
          <w:szCs w:val="24"/>
          <w:lang w:val="es-ES"/>
        </w:rPr>
        <w:t xml:space="preserve"> </w:t>
      </w:r>
      <w:proofErr w:type="spellStart"/>
      <w:r w:rsidRPr="00710A06">
        <w:rPr>
          <w:rFonts w:cs="Arial"/>
          <w:i/>
          <w:sz w:val="24"/>
          <w:szCs w:val="24"/>
          <w:lang w:val="es-ES"/>
        </w:rPr>
        <w:t>Indicators</w:t>
      </w:r>
      <w:proofErr w:type="spellEnd"/>
      <w:r w:rsidRPr="00710A06">
        <w:rPr>
          <w:rFonts w:cs="Arial"/>
          <w:sz w:val="24"/>
          <w:szCs w:val="24"/>
          <w:lang w:val="es-ES"/>
        </w:rPr>
        <w:t xml:space="preserve"> de agosto de este año estima un crecimiento de 2.4 por ciento en la producción industrial de Estados Unidos para 2018, 0.5 </w:t>
      </w:r>
      <w:proofErr w:type="spellStart"/>
      <w:r w:rsidRPr="00710A06">
        <w:rPr>
          <w:rFonts w:cs="Arial"/>
          <w:sz w:val="24"/>
          <w:szCs w:val="24"/>
          <w:lang w:val="es-ES"/>
        </w:rPr>
        <w:t>pp</w:t>
      </w:r>
      <w:proofErr w:type="spellEnd"/>
      <w:r w:rsidRPr="00710A06">
        <w:rPr>
          <w:rFonts w:cs="Arial"/>
          <w:sz w:val="24"/>
          <w:szCs w:val="24"/>
          <w:lang w:val="es-ES"/>
        </w:rPr>
        <w:t xml:space="preserve"> mayor al 1.9 por ciento estimado para 2017. Asimismo, se anticipa un crecimiento del PIB de Estados Unidos de 2.4 por ciento en 2018, mayor al 2.1 por ciento estimado para 2017.</w:t>
      </w:r>
    </w:p>
    <w:p w:rsidR="00D57C5F" w:rsidRPr="00710A06" w:rsidRDefault="00D57C5F" w:rsidP="00C45465">
      <w:pPr>
        <w:pStyle w:val="PRIMERAPLANA"/>
        <w:spacing w:line="360" w:lineRule="auto"/>
        <w:rPr>
          <w:rFonts w:cs="Arial"/>
          <w:sz w:val="24"/>
          <w:szCs w:val="24"/>
          <w:lang w:val="es-ES"/>
        </w:rPr>
      </w:pPr>
    </w:p>
    <w:p w:rsidR="00D57C5F" w:rsidRPr="00710A06" w:rsidRDefault="00D57C5F" w:rsidP="00C45465">
      <w:pPr>
        <w:pStyle w:val="PRIMERAPLANA"/>
        <w:spacing w:line="360" w:lineRule="auto"/>
        <w:rPr>
          <w:rFonts w:cs="Arial"/>
          <w:sz w:val="24"/>
          <w:szCs w:val="24"/>
          <w:lang w:val="es-ES"/>
        </w:rPr>
      </w:pPr>
      <w:r w:rsidRPr="00710A06">
        <w:rPr>
          <w:rFonts w:cs="Arial"/>
          <w:sz w:val="24"/>
          <w:szCs w:val="24"/>
          <w:lang w:val="es-ES"/>
        </w:rPr>
        <w:t>La expectativa de un mayor dinamismo para la economía estadounidense está sustentada, principalmente, en: i) un crecimiento sostenido del consumo privado impulsado por un mayor crecimiento del empleo y del ingreso disponible de los hogares, así como un alto nivel de confianza de los consumidores, y ii) la expansión de la inversión privada por un entorno de financiamiento propicio, necesidades de renovación y ampliación de la capacidad instalada y una aceleración de la construcción de vivienda. Si bien se espera que durante 2018 la FED continúe con el proceso de normalización de la política monetaria, se anticipa que el ritmo no será tan acelerado como se proyectaba el año pasado.</w:t>
      </w:r>
    </w:p>
    <w:p w:rsidR="00D57C5F" w:rsidRPr="00710A06" w:rsidRDefault="00D57C5F" w:rsidP="00C45465">
      <w:pPr>
        <w:pStyle w:val="PRIMERAPLANA"/>
        <w:spacing w:line="360" w:lineRule="auto"/>
        <w:rPr>
          <w:rFonts w:cs="Arial"/>
          <w:sz w:val="24"/>
          <w:szCs w:val="24"/>
          <w:lang w:val="es-ES"/>
        </w:rPr>
      </w:pPr>
    </w:p>
    <w:p w:rsidR="00D57C5F" w:rsidRPr="00710A06" w:rsidRDefault="00D57C5F" w:rsidP="00C45465">
      <w:pPr>
        <w:pStyle w:val="PRIMERAPLANA"/>
        <w:spacing w:line="360" w:lineRule="auto"/>
        <w:rPr>
          <w:rFonts w:cs="Arial"/>
          <w:sz w:val="24"/>
          <w:szCs w:val="24"/>
          <w:lang w:val="es-ES"/>
        </w:rPr>
      </w:pPr>
      <w:r w:rsidRPr="00710A06">
        <w:rPr>
          <w:rFonts w:cs="Arial"/>
          <w:sz w:val="24"/>
          <w:szCs w:val="24"/>
          <w:lang w:val="es-ES"/>
        </w:rPr>
        <w:t>En la zona del euro, la economía evolucionó de manera estable en la segunda mitad de 2016; y en el segundo trimestre de 2017 ha mostrado una aceleración moderada en su ritmo de crecimiento. Además, la inflación comienza a mostrar señales de recuperación, a pesar de mantenerse por debajo del objetivo del Banco Central Europeo (BCE).</w:t>
      </w:r>
    </w:p>
    <w:p w:rsidR="00D57C5F" w:rsidRPr="00710A06" w:rsidRDefault="00D57C5F" w:rsidP="00C45465">
      <w:pPr>
        <w:pStyle w:val="PRIMERAPLANA"/>
        <w:spacing w:line="360" w:lineRule="auto"/>
        <w:rPr>
          <w:rFonts w:cs="Arial"/>
          <w:sz w:val="24"/>
          <w:szCs w:val="24"/>
          <w:lang w:val="es-ES"/>
        </w:rPr>
      </w:pPr>
    </w:p>
    <w:p w:rsidR="00D57C5F" w:rsidRPr="00710A06" w:rsidRDefault="00D57C5F" w:rsidP="00C45465">
      <w:pPr>
        <w:pStyle w:val="PRIMERAPLANA"/>
        <w:spacing w:line="360" w:lineRule="auto"/>
        <w:rPr>
          <w:rFonts w:cs="Arial"/>
          <w:sz w:val="24"/>
          <w:szCs w:val="24"/>
          <w:lang w:val="es-ES"/>
        </w:rPr>
      </w:pPr>
      <w:r w:rsidRPr="00710A06">
        <w:rPr>
          <w:rFonts w:cs="Arial"/>
          <w:sz w:val="24"/>
          <w:szCs w:val="24"/>
          <w:lang w:val="es-ES"/>
        </w:rPr>
        <w:lastRenderedPageBreak/>
        <w:t>Por su parte, las economías emergentes han mostrado una recuperación importante durante la primera mitad de 2017, aunque se observa un comportamiento desigual entre países. Destaca que la economía China ha mostrado un crecimiento ligeramente mayor al esperado este año, lo cual generó que el FMI revisara al alza sus pronósticos de crecimiento para 2017 y 2018 de esta economía en su última estimación.</w:t>
      </w:r>
    </w:p>
    <w:p w:rsidR="00D57C5F" w:rsidRPr="00710A06" w:rsidRDefault="00D57C5F" w:rsidP="00C45465">
      <w:pPr>
        <w:pStyle w:val="PRIMERAPLANA"/>
        <w:spacing w:line="360" w:lineRule="auto"/>
        <w:rPr>
          <w:rFonts w:cs="Arial"/>
          <w:sz w:val="24"/>
          <w:szCs w:val="24"/>
          <w:lang w:val="es-ES"/>
        </w:rPr>
      </w:pPr>
    </w:p>
    <w:p w:rsidR="00D57C5F" w:rsidRPr="00710A06" w:rsidRDefault="00D57C5F" w:rsidP="00C45465">
      <w:pPr>
        <w:pStyle w:val="PRIMERAPLANA"/>
        <w:spacing w:line="360" w:lineRule="auto"/>
        <w:rPr>
          <w:rFonts w:cs="Arial"/>
          <w:sz w:val="24"/>
          <w:szCs w:val="24"/>
          <w:lang w:val="es-ES"/>
        </w:rPr>
      </w:pPr>
      <w:r w:rsidRPr="00710A06">
        <w:rPr>
          <w:rFonts w:cs="Arial"/>
          <w:sz w:val="24"/>
          <w:szCs w:val="24"/>
          <w:lang w:val="es-ES"/>
        </w:rPr>
        <w:t>Se espera que el crecimiento de las economías emergentes sea robusto en la mayoría de los países. En particular, se anticipa que el ritmo de expansión de China e India permanezca sólido y que el crecimiento en Latinoamérica se recupere gradualmente con Brasil y Argentina alcanzando el final de sus periodos de recesión. El FMI estima que las economías emergentes pasen de crecer a un ritmo anual de 4.3 por ciento en 2016 a 4.6 por ciento en 2017 y 4.8 por ciento en 2018</w:t>
      </w:r>
    </w:p>
    <w:p w:rsidR="00D57C5F" w:rsidRPr="00710A06" w:rsidRDefault="00D57C5F" w:rsidP="00C45465">
      <w:pPr>
        <w:pStyle w:val="PRIMERAPLANA"/>
        <w:spacing w:line="360" w:lineRule="auto"/>
        <w:rPr>
          <w:rFonts w:cs="Arial"/>
          <w:sz w:val="24"/>
          <w:szCs w:val="24"/>
          <w:lang w:val="es-ES"/>
        </w:rPr>
      </w:pPr>
    </w:p>
    <w:p w:rsidR="00D57C5F" w:rsidRPr="00710A06" w:rsidRDefault="00D57C5F" w:rsidP="00C45465">
      <w:pPr>
        <w:pStyle w:val="PRIMERAPLANA"/>
        <w:spacing w:line="360" w:lineRule="auto"/>
        <w:rPr>
          <w:rFonts w:cs="Arial"/>
          <w:sz w:val="24"/>
          <w:szCs w:val="24"/>
          <w:lang w:val="es-ES"/>
        </w:rPr>
      </w:pPr>
      <w:r w:rsidRPr="00710A06">
        <w:rPr>
          <w:rFonts w:cs="Arial"/>
          <w:sz w:val="24"/>
          <w:szCs w:val="24"/>
          <w:lang w:val="es-ES"/>
        </w:rPr>
        <w:t>Se anticipa que durante 2018 el crecimiento económico mundial y, particularmente, el de Estados Unidos, registre una ligera aceleración respecto a 2017. Si bien se considera que los riesgos en el entorno externo se encuentran balanceados, en los meses recientes se han incrementado los relacionados con tensiones geopolíticas, particularmente en la península de Corea y el proceso de salida del Reino Unido de la Unión Europea.</w:t>
      </w:r>
    </w:p>
    <w:p w:rsidR="00D57C5F" w:rsidRPr="00710A06" w:rsidRDefault="00D57C5F" w:rsidP="00C45465">
      <w:pPr>
        <w:pStyle w:val="PRIMERAPLANA"/>
        <w:spacing w:line="360" w:lineRule="auto"/>
        <w:rPr>
          <w:rFonts w:cs="Arial"/>
          <w:sz w:val="24"/>
          <w:szCs w:val="24"/>
          <w:lang w:val="es-ES"/>
        </w:rPr>
      </w:pPr>
    </w:p>
    <w:p w:rsidR="00D57C5F" w:rsidRPr="00710A06" w:rsidRDefault="00D57C5F" w:rsidP="00C45465">
      <w:pPr>
        <w:pStyle w:val="PRIMERAPLANA"/>
        <w:spacing w:line="360" w:lineRule="auto"/>
        <w:rPr>
          <w:rFonts w:cs="Arial"/>
          <w:sz w:val="24"/>
          <w:szCs w:val="24"/>
          <w:lang w:val="es-ES"/>
        </w:rPr>
      </w:pPr>
      <w:r w:rsidRPr="00710A06">
        <w:rPr>
          <w:rFonts w:cs="Arial"/>
          <w:sz w:val="24"/>
          <w:szCs w:val="24"/>
          <w:lang w:val="es-ES"/>
        </w:rPr>
        <w:t xml:space="preserve">Por otra </w:t>
      </w:r>
      <w:r w:rsidR="00BC7575">
        <w:rPr>
          <w:rFonts w:cs="Arial"/>
          <w:sz w:val="24"/>
          <w:szCs w:val="24"/>
          <w:lang w:val="es-ES"/>
        </w:rPr>
        <w:t xml:space="preserve">parte la separación de Cataluña </w:t>
      </w:r>
      <w:r w:rsidRPr="00710A06">
        <w:rPr>
          <w:rFonts w:cs="Arial"/>
          <w:sz w:val="24"/>
          <w:szCs w:val="24"/>
          <w:lang w:val="es-ES"/>
        </w:rPr>
        <w:t xml:space="preserve">de España, representa un riesgo adicional al crecimiento mundial ya que esta última en 2016 representaba el 19% del PIB español, por lo que competía con Madrid (18.9%) por ser la región más rica del país. En PIB per cápita figura en cuarta posición, por detrás de Madrid, País Vasco y Navarra; la tasa de desempleo, es similar a </w:t>
      </w:r>
      <w:r w:rsidRPr="00710A06">
        <w:rPr>
          <w:rFonts w:cs="Arial"/>
          <w:sz w:val="24"/>
          <w:szCs w:val="24"/>
          <w:lang w:val="es-ES"/>
        </w:rPr>
        <w:lastRenderedPageBreak/>
        <w:t xml:space="preserve">la de la capital, bastante inferior a la del resto del país: 13.2% en el segundo trimestre de 2017, frente a un 17.2% a nivel nacional. </w:t>
      </w:r>
    </w:p>
    <w:p w:rsidR="00D57C5F" w:rsidRPr="00710A06" w:rsidRDefault="00D57C5F" w:rsidP="00C45465">
      <w:pPr>
        <w:pStyle w:val="PRIMERAPLANA"/>
        <w:spacing w:line="360" w:lineRule="auto"/>
        <w:rPr>
          <w:rFonts w:cs="Arial"/>
          <w:bCs/>
          <w:sz w:val="24"/>
          <w:szCs w:val="24"/>
          <w:lang w:val="es-ES"/>
        </w:rPr>
      </w:pPr>
    </w:p>
    <w:p w:rsidR="00D57C5F" w:rsidRPr="00710A06" w:rsidRDefault="00D57C5F" w:rsidP="00C45465">
      <w:pPr>
        <w:pStyle w:val="PRIMERAPLANA"/>
        <w:spacing w:line="360" w:lineRule="auto"/>
        <w:rPr>
          <w:rFonts w:cs="Arial"/>
          <w:sz w:val="24"/>
          <w:szCs w:val="24"/>
          <w:lang w:val="es-ES"/>
        </w:rPr>
      </w:pPr>
      <w:r w:rsidRPr="00710A06">
        <w:rPr>
          <w:rFonts w:cs="Arial"/>
          <w:bCs/>
          <w:sz w:val="24"/>
          <w:szCs w:val="24"/>
          <w:lang w:val="es-ES"/>
        </w:rPr>
        <w:t xml:space="preserve">Cataluña </w:t>
      </w:r>
      <w:r w:rsidRPr="00710A06">
        <w:rPr>
          <w:rFonts w:cs="Arial"/>
          <w:sz w:val="24"/>
          <w:szCs w:val="24"/>
          <w:lang w:val="es-ES"/>
        </w:rPr>
        <w:t xml:space="preserve">es la </w:t>
      </w:r>
      <w:r w:rsidRPr="00710A06">
        <w:rPr>
          <w:rFonts w:cs="Arial"/>
          <w:bCs/>
          <w:sz w:val="24"/>
          <w:szCs w:val="24"/>
          <w:lang w:val="es-ES"/>
        </w:rPr>
        <w:t>primera región exportadora de España</w:t>
      </w:r>
      <w:r w:rsidRPr="00710A06">
        <w:rPr>
          <w:rFonts w:cs="Arial"/>
          <w:sz w:val="24"/>
          <w:szCs w:val="24"/>
          <w:lang w:val="es-ES"/>
        </w:rPr>
        <w:t xml:space="preserve">, con un 25% de las ventas de mercancías en el extranjero en 2016 y en el primer trimestre de 2017. En 2015 la región atrajo alrededor de un 14% de las inversiones extranjeras en </w:t>
      </w:r>
      <w:r w:rsidRPr="00710A06">
        <w:rPr>
          <w:rFonts w:cs="Arial"/>
          <w:bCs/>
          <w:sz w:val="24"/>
          <w:szCs w:val="24"/>
          <w:lang w:val="es-ES"/>
        </w:rPr>
        <w:t>España</w:t>
      </w:r>
      <w:r w:rsidRPr="00710A06">
        <w:rPr>
          <w:rFonts w:cs="Arial"/>
          <w:sz w:val="24"/>
          <w:szCs w:val="24"/>
          <w:lang w:val="es-ES"/>
        </w:rPr>
        <w:t xml:space="preserve">, en segunda posición, muy por detrás de </w:t>
      </w:r>
      <w:r w:rsidRPr="00710A06">
        <w:rPr>
          <w:rFonts w:cs="Arial"/>
          <w:bCs/>
          <w:sz w:val="24"/>
          <w:szCs w:val="24"/>
          <w:lang w:val="es-ES"/>
        </w:rPr>
        <w:t xml:space="preserve">Madrid </w:t>
      </w:r>
      <w:r w:rsidRPr="00710A06">
        <w:rPr>
          <w:rFonts w:cs="Arial"/>
          <w:sz w:val="24"/>
          <w:szCs w:val="24"/>
          <w:lang w:val="es-ES"/>
        </w:rPr>
        <w:t xml:space="preserve">(64%), pero por delante de todas las demás regiones, según datos del </w:t>
      </w:r>
      <w:r w:rsidRPr="00710A06">
        <w:rPr>
          <w:rFonts w:cs="Arial"/>
          <w:bCs/>
          <w:sz w:val="24"/>
          <w:szCs w:val="24"/>
          <w:lang w:val="es-ES"/>
        </w:rPr>
        <w:t>ministerio de Economía de España</w:t>
      </w:r>
      <w:r w:rsidRPr="00710A06">
        <w:rPr>
          <w:rFonts w:cs="Arial"/>
          <w:sz w:val="24"/>
          <w:szCs w:val="24"/>
          <w:lang w:val="es-ES"/>
        </w:rPr>
        <w:t>.</w:t>
      </w:r>
    </w:p>
    <w:p w:rsidR="00D57C5F" w:rsidRPr="00710A06" w:rsidRDefault="00D57C5F" w:rsidP="00C45465">
      <w:pPr>
        <w:pStyle w:val="PRIMERAPLANA"/>
        <w:spacing w:line="360" w:lineRule="auto"/>
        <w:rPr>
          <w:rFonts w:cs="Arial"/>
          <w:sz w:val="24"/>
          <w:szCs w:val="24"/>
          <w:lang w:val="es-ES"/>
        </w:rPr>
      </w:pPr>
    </w:p>
    <w:p w:rsidR="00D57C5F" w:rsidRPr="00710A06" w:rsidRDefault="00D57C5F" w:rsidP="00C45465">
      <w:pPr>
        <w:pStyle w:val="PRIMERAPLANA"/>
        <w:spacing w:line="360" w:lineRule="auto"/>
        <w:rPr>
          <w:rFonts w:cs="Arial"/>
          <w:sz w:val="24"/>
          <w:szCs w:val="24"/>
          <w:lang w:val="es-ES"/>
        </w:rPr>
      </w:pPr>
      <w:r w:rsidRPr="00710A06">
        <w:rPr>
          <w:rFonts w:cs="Arial"/>
          <w:sz w:val="24"/>
          <w:szCs w:val="24"/>
          <w:lang w:val="es-ES"/>
        </w:rPr>
        <w:t xml:space="preserve">El agroalimentario es el mayor </w:t>
      </w:r>
      <w:r w:rsidRPr="00710A06">
        <w:rPr>
          <w:rFonts w:cs="Arial"/>
          <w:bCs/>
          <w:sz w:val="24"/>
          <w:szCs w:val="24"/>
          <w:lang w:val="es-ES"/>
        </w:rPr>
        <w:t>sector industrial de Cataluña</w:t>
      </w:r>
      <w:r w:rsidRPr="00710A06">
        <w:rPr>
          <w:rFonts w:cs="Arial"/>
          <w:sz w:val="24"/>
          <w:szCs w:val="24"/>
          <w:lang w:val="es-ES"/>
        </w:rPr>
        <w:t xml:space="preserve">, gracias a la industria de la carne y en particular el segmento del cerdo. Por otro lado, concentra la mitad de toda la </w:t>
      </w:r>
      <w:r w:rsidRPr="00710A06">
        <w:rPr>
          <w:rFonts w:cs="Arial"/>
          <w:bCs/>
          <w:sz w:val="24"/>
          <w:szCs w:val="24"/>
          <w:lang w:val="es-ES"/>
        </w:rPr>
        <w:t>producción química de España</w:t>
      </w:r>
      <w:r w:rsidRPr="00710A06">
        <w:rPr>
          <w:rFonts w:cs="Arial"/>
          <w:sz w:val="24"/>
          <w:szCs w:val="24"/>
          <w:lang w:val="es-ES"/>
        </w:rPr>
        <w:t xml:space="preserve">, con un gran polo en </w:t>
      </w:r>
      <w:r w:rsidRPr="00710A06">
        <w:rPr>
          <w:rFonts w:cs="Arial"/>
          <w:bCs/>
          <w:sz w:val="24"/>
          <w:szCs w:val="24"/>
          <w:lang w:val="es-ES"/>
        </w:rPr>
        <w:t>Tarragona</w:t>
      </w:r>
      <w:r w:rsidRPr="00710A06">
        <w:rPr>
          <w:rFonts w:cs="Arial"/>
          <w:sz w:val="24"/>
          <w:szCs w:val="24"/>
          <w:lang w:val="es-ES"/>
        </w:rPr>
        <w:t xml:space="preserve">. Su actividad es superior a la de ciertos países europeos como </w:t>
      </w:r>
      <w:r w:rsidRPr="00710A06">
        <w:rPr>
          <w:rFonts w:cs="Arial"/>
          <w:bCs/>
          <w:sz w:val="24"/>
          <w:szCs w:val="24"/>
          <w:lang w:val="es-ES"/>
        </w:rPr>
        <w:t>Austria</w:t>
      </w:r>
      <w:r w:rsidRPr="00710A06">
        <w:rPr>
          <w:rFonts w:cs="Arial"/>
          <w:sz w:val="24"/>
          <w:szCs w:val="24"/>
          <w:lang w:val="es-ES"/>
        </w:rPr>
        <w:t xml:space="preserve">, según la federación regional del sector; asimismo, era en 2016 la segunda región española en número de vehículos fabricados, con un 19% de la producción nacional. </w:t>
      </w:r>
      <w:r w:rsidRPr="00710A06">
        <w:rPr>
          <w:rFonts w:cs="Arial"/>
          <w:bCs/>
          <w:sz w:val="24"/>
          <w:szCs w:val="24"/>
          <w:lang w:val="es-ES"/>
        </w:rPr>
        <w:t xml:space="preserve">Nissan </w:t>
      </w:r>
      <w:r w:rsidRPr="00710A06">
        <w:rPr>
          <w:rFonts w:cs="Arial"/>
          <w:sz w:val="24"/>
          <w:szCs w:val="24"/>
          <w:lang w:val="es-ES"/>
        </w:rPr>
        <w:t xml:space="preserve">y </w:t>
      </w:r>
      <w:r w:rsidRPr="00710A06">
        <w:rPr>
          <w:rFonts w:cs="Arial"/>
          <w:bCs/>
          <w:sz w:val="24"/>
          <w:szCs w:val="24"/>
          <w:lang w:val="es-ES"/>
        </w:rPr>
        <w:t xml:space="preserve">Volkswagen tienen instaladas </w:t>
      </w:r>
      <w:r w:rsidRPr="00710A06">
        <w:rPr>
          <w:rFonts w:cs="Arial"/>
          <w:sz w:val="24"/>
          <w:szCs w:val="24"/>
          <w:lang w:val="es-ES"/>
        </w:rPr>
        <w:t>varias fábricas.</w:t>
      </w:r>
    </w:p>
    <w:p w:rsidR="00D57C5F" w:rsidRPr="00710A06" w:rsidRDefault="00D57C5F" w:rsidP="00C45465">
      <w:pPr>
        <w:pStyle w:val="PRIMERAPLANA"/>
        <w:spacing w:line="360" w:lineRule="auto"/>
        <w:rPr>
          <w:rFonts w:cs="Arial"/>
          <w:sz w:val="24"/>
          <w:szCs w:val="24"/>
          <w:lang w:val="es-ES"/>
        </w:rPr>
      </w:pPr>
    </w:p>
    <w:p w:rsidR="00D57C5F" w:rsidRPr="00710A06" w:rsidRDefault="00D57C5F" w:rsidP="00C45465">
      <w:pPr>
        <w:pStyle w:val="PRIMERAPLANA"/>
        <w:spacing w:line="360" w:lineRule="auto"/>
        <w:rPr>
          <w:rFonts w:cs="Arial"/>
          <w:sz w:val="24"/>
          <w:szCs w:val="24"/>
          <w:lang w:val="es-ES"/>
        </w:rPr>
      </w:pPr>
      <w:r w:rsidRPr="00710A06">
        <w:rPr>
          <w:rFonts w:cs="Arial"/>
          <w:bCs/>
          <w:sz w:val="24"/>
          <w:szCs w:val="24"/>
          <w:lang w:val="es-ES"/>
        </w:rPr>
        <w:t>L</w:t>
      </w:r>
      <w:r w:rsidRPr="00710A06">
        <w:rPr>
          <w:rFonts w:cs="Arial"/>
          <w:sz w:val="24"/>
          <w:szCs w:val="24"/>
          <w:lang w:val="es-ES"/>
        </w:rPr>
        <w:t xml:space="preserve">a investigación, en particular en </w:t>
      </w:r>
      <w:proofErr w:type="spellStart"/>
      <w:r w:rsidRPr="00710A06">
        <w:rPr>
          <w:rFonts w:cs="Arial"/>
          <w:sz w:val="24"/>
          <w:szCs w:val="24"/>
          <w:lang w:val="es-ES"/>
        </w:rPr>
        <w:t>biociencias</w:t>
      </w:r>
      <w:proofErr w:type="spellEnd"/>
      <w:r w:rsidRPr="00710A06">
        <w:rPr>
          <w:rFonts w:cs="Arial"/>
          <w:sz w:val="24"/>
          <w:szCs w:val="24"/>
          <w:lang w:val="es-ES"/>
        </w:rPr>
        <w:t xml:space="preserve"> (genética, neurociencias, biología celular, </w:t>
      </w:r>
      <w:proofErr w:type="spellStart"/>
      <w:r w:rsidRPr="00710A06">
        <w:rPr>
          <w:rFonts w:cs="Arial"/>
          <w:sz w:val="24"/>
          <w:szCs w:val="24"/>
          <w:lang w:val="es-ES"/>
        </w:rPr>
        <w:t>etc</w:t>
      </w:r>
      <w:proofErr w:type="spellEnd"/>
      <w:r w:rsidRPr="00710A06">
        <w:rPr>
          <w:rFonts w:cs="Arial"/>
          <w:sz w:val="24"/>
          <w:szCs w:val="24"/>
          <w:lang w:val="es-ES"/>
        </w:rPr>
        <w:t xml:space="preserve">), es un sector que representa el 7% de su </w:t>
      </w:r>
      <w:r w:rsidRPr="00710A06">
        <w:rPr>
          <w:rFonts w:cs="Arial"/>
          <w:bCs/>
          <w:sz w:val="24"/>
          <w:szCs w:val="24"/>
          <w:lang w:val="es-ES"/>
        </w:rPr>
        <w:t>PIB</w:t>
      </w:r>
      <w:r w:rsidRPr="00710A06">
        <w:rPr>
          <w:rFonts w:cs="Arial"/>
          <w:sz w:val="24"/>
          <w:szCs w:val="24"/>
          <w:lang w:val="es-ES"/>
        </w:rPr>
        <w:t xml:space="preserve">. Cuenta con hospitales líderes, centros de investigación y hasta un acelerador de partículas, y se presenta como la primera región de </w:t>
      </w:r>
      <w:r w:rsidRPr="00710A06">
        <w:rPr>
          <w:rFonts w:cs="Arial"/>
          <w:bCs/>
          <w:sz w:val="24"/>
          <w:szCs w:val="24"/>
          <w:lang w:val="es-ES"/>
        </w:rPr>
        <w:t xml:space="preserve">Europa </w:t>
      </w:r>
      <w:r w:rsidRPr="00710A06">
        <w:rPr>
          <w:rFonts w:cs="Arial"/>
          <w:sz w:val="24"/>
          <w:szCs w:val="24"/>
          <w:lang w:val="es-ES"/>
        </w:rPr>
        <w:t>en número de empresas farmacéuticas por habitante.</w:t>
      </w:r>
    </w:p>
    <w:p w:rsidR="00D57C5F" w:rsidRPr="00710A06" w:rsidRDefault="00D57C5F" w:rsidP="00C45465">
      <w:pPr>
        <w:pStyle w:val="PRIMERAPLANA"/>
        <w:spacing w:line="360" w:lineRule="auto"/>
        <w:rPr>
          <w:rFonts w:cs="Arial"/>
          <w:sz w:val="24"/>
          <w:szCs w:val="24"/>
          <w:lang w:val="es-ES"/>
        </w:rPr>
      </w:pPr>
    </w:p>
    <w:p w:rsidR="00D57C5F" w:rsidRPr="00710A06" w:rsidRDefault="00D57C5F" w:rsidP="00C45465">
      <w:pPr>
        <w:pStyle w:val="PRIMERAPLANA"/>
        <w:spacing w:line="360" w:lineRule="auto"/>
        <w:rPr>
          <w:rFonts w:cs="Arial"/>
          <w:sz w:val="24"/>
          <w:szCs w:val="24"/>
          <w:lang w:val="es-ES"/>
        </w:rPr>
      </w:pPr>
      <w:r w:rsidRPr="00710A06">
        <w:rPr>
          <w:rFonts w:cs="Arial"/>
          <w:sz w:val="24"/>
          <w:szCs w:val="24"/>
          <w:lang w:val="es-ES"/>
        </w:rPr>
        <w:t xml:space="preserve">El peso de la </w:t>
      </w:r>
      <w:r w:rsidRPr="00710A06">
        <w:rPr>
          <w:rFonts w:cs="Arial"/>
          <w:bCs/>
          <w:sz w:val="24"/>
          <w:szCs w:val="24"/>
          <w:lang w:val="es-ES"/>
        </w:rPr>
        <w:t xml:space="preserve">deuda pública </w:t>
      </w:r>
      <w:r w:rsidRPr="00710A06">
        <w:rPr>
          <w:rFonts w:cs="Arial"/>
          <w:sz w:val="24"/>
          <w:szCs w:val="24"/>
          <w:lang w:val="es-ES"/>
        </w:rPr>
        <w:t xml:space="preserve">es uno de los puntos débiles de </w:t>
      </w:r>
      <w:r w:rsidRPr="00710A06">
        <w:rPr>
          <w:rFonts w:cs="Arial"/>
          <w:bCs/>
          <w:sz w:val="24"/>
          <w:szCs w:val="24"/>
          <w:lang w:val="es-ES"/>
        </w:rPr>
        <w:t>Cataluña</w:t>
      </w:r>
      <w:r w:rsidRPr="00710A06">
        <w:rPr>
          <w:rFonts w:cs="Arial"/>
          <w:sz w:val="24"/>
          <w:szCs w:val="24"/>
          <w:lang w:val="es-ES"/>
        </w:rPr>
        <w:t xml:space="preserve">, ya que representa un 35.4% de su PIB, con lo </w:t>
      </w:r>
      <w:r w:rsidR="00BC7575">
        <w:rPr>
          <w:rFonts w:cs="Arial"/>
          <w:sz w:val="24"/>
          <w:szCs w:val="24"/>
          <w:lang w:val="es-ES"/>
        </w:rPr>
        <w:t xml:space="preserve">que </w:t>
      </w:r>
      <w:r w:rsidRPr="00710A06">
        <w:rPr>
          <w:rFonts w:cs="Arial"/>
          <w:sz w:val="24"/>
          <w:szCs w:val="24"/>
          <w:lang w:val="es-ES"/>
        </w:rPr>
        <w:t xml:space="preserve">se ubicaba como la tercera </w:t>
      </w:r>
      <w:r w:rsidRPr="00710A06">
        <w:rPr>
          <w:rFonts w:cs="Arial"/>
          <w:sz w:val="24"/>
          <w:szCs w:val="24"/>
          <w:lang w:val="es-ES"/>
        </w:rPr>
        <w:lastRenderedPageBreak/>
        <w:t>región más endeudada de España en términos relativos en el segundo trimestre de 2017.</w:t>
      </w:r>
    </w:p>
    <w:p w:rsidR="00D57C5F" w:rsidRPr="00710A06" w:rsidRDefault="00D57C5F" w:rsidP="00C45465">
      <w:pPr>
        <w:pStyle w:val="PRIMERAPLANA"/>
        <w:spacing w:line="360" w:lineRule="auto"/>
        <w:rPr>
          <w:rFonts w:cs="Arial"/>
          <w:sz w:val="24"/>
          <w:szCs w:val="24"/>
          <w:lang w:val="es-ES"/>
        </w:rPr>
      </w:pPr>
      <w:r w:rsidRPr="00710A06">
        <w:rPr>
          <w:rFonts w:cs="Arial"/>
          <w:sz w:val="24"/>
          <w:szCs w:val="24"/>
          <w:lang w:val="es-ES"/>
        </w:rPr>
        <w:t xml:space="preserve">En valor absoluto, </w:t>
      </w:r>
      <w:r w:rsidRPr="00710A06">
        <w:rPr>
          <w:rFonts w:cs="Arial"/>
          <w:bCs/>
          <w:sz w:val="24"/>
          <w:szCs w:val="24"/>
          <w:lang w:val="es-ES"/>
        </w:rPr>
        <w:t xml:space="preserve">Cataluña </w:t>
      </w:r>
      <w:r w:rsidRPr="00710A06">
        <w:rPr>
          <w:rFonts w:cs="Arial"/>
          <w:sz w:val="24"/>
          <w:szCs w:val="24"/>
          <w:lang w:val="es-ES"/>
        </w:rPr>
        <w:t>figura a la cabeza, con una deuda de 76 mil 700 millones de euros a fines de junio. La deuda catalana, relegada por las agencias calificadoras a la categoría de especulativa, le impide al gobierno regional financiarse directamente en los mercados, por lo que depende de los préstamos del Estado central.</w:t>
      </w:r>
    </w:p>
    <w:p w:rsidR="00D57C5F" w:rsidRPr="00710A06" w:rsidRDefault="00D57C5F" w:rsidP="00C45465">
      <w:pPr>
        <w:pStyle w:val="PRIMERAPLANA"/>
        <w:spacing w:line="360" w:lineRule="auto"/>
        <w:rPr>
          <w:rFonts w:cs="Arial"/>
          <w:sz w:val="24"/>
          <w:szCs w:val="24"/>
          <w:lang w:val="es-ES"/>
        </w:rPr>
      </w:pPr>
    </w:p>
    <w:p w:rsidR="00D57C5F" w:rsidRPr="00710A06" w:rsidRDefault="00D57C5F" w:rsidP="00C45465">
      <w:pPr>
        <w:pStyle w:val="PRIMERAPLANA"/>
        <w:spacing w:line="360" w:lineRule="auto"/>
        <w:rPr>
          <w:rFonts w:cs="Arial"/>
          <w:sz w:val="24"/>
          <w:szCs w:val="24"/>
          <w:lang w:val="es-ES"/>
        </w:rPr>
      </w:pPr>
      <w:r w:rsidRPr="00710A06">
        <w:rPr>
          <w:rFonts w:cs="Arial"/>
          <w:sz w:val="24"/>
          <w:szCs w:val="24"/>
          <w:lang w:val="es-ES"/>
        </w:rPr>
        <w:t>Según el ministro de Economía español Luis de Guindos, una Cataluña independiente saldría de la Unión Europea, su PIB caería entre un 25 y un 30% y el desempleo se duplicaría. Algunos economistas creen por el contrario que el nuevo Estado se mantendría en la UE y calculan que su PIB se mantendría estable a corto plazo y aumentaría un 7% a largo plazo. El gobierno catalán cree también que la región no sufriría más un "déficit presupuestario", derivado del hecho de que aporta al Estado central más dinero del que recibe. El ejecutivo catalán cifra ese déficit en alrededor de 16 mil millones de euros (8% del PIB regional), y el gobierno central, con otra metodología, en 10 mil millones (5% del PIB regional).</w:t>
      </w:r>
    </w:p>
    <w:p w:rsidR="00D57C5F" w:rsidRPr="00710A06" w:rsidRDefault="00D57C5F" w:rsidP="00C45465">
      <w:pPr>
        <w:pStyle w:val="PRIMERAPLANA"/>
        <w:spacing w:line="360" w:lineRule="auto"/>
        <w:rPr>
          <w:rFonts w:cs="Arial"/>
          <w:sz w:val="24"/>
          <w:szCs w:val="24"/>
          <w:lang w:val="es-ES"/>
        </w:rPr>
      </w:pPr>
    </w:p>
    <w:p w:rsidR="00D57C5F" w:rsidRPr="00710A06" w:rsidRDefault="00D57C5F" w:rsidP="00C45465">
      <w:pPr>
        <w:pStyle w:val="PRIMERAPLANA"/>
        <w:spacing w:line="360" w:lineRule="auto"/>
        <w:rPr>
          <w:rFonts w:cs="Arial"/>
          <w:sz w:val="24"/>
          <w:szCs w:val="24"/>
          <w:lang w:val="es-ES"/>
        </w:rPr>
      </w:pPr>
      <w:r w:rsidRPr="00710A06">
        <w:rPr>
          <w:rFonts w:cs="Arial"/>
          <w:sz w:val="24"/>
          <w:szCs w:val="24"/>
          <w:lang w:val="es-ES"/>
        </w:rPr>
        <w:t xml:space="preserve">Aunque </w:t>
      </w:r>
      <w:proofErr w:type="spellStart"/>
      <w:r w:rsidRPr="00710A06">
        <w:rPr>
          <w:rFonts w:cs="Arial"/>
          <w:sz w:val="24"/>
          <w:szCs w:val="24"/>
          <w:lang w:val="es-ES"/>
        </w:rPr>
        <w:t>Moody's</w:t>
      </w:r>
      <w:proofErr w:type="spellEnd"/>
      <w:r w:rsidRPr="00710A06">
        <w:rPr>
          <w:rFonts w:cs="Arial"/>
          <w:sz w:val="24"/>
          <w:szCs w:val="24"/>
          <w:lang w:val="es-ES"/>
        </w:rPr>
        <w:t xml:space="preserve"> cree que las probabilidades de secesión "permanecen bajas", la agencia destaca que "la independencia tendría un </w:t>
      </w:r>
      <w:r w:rsidRPr="00710A06">
        <w:rPr>
          <w:rFonts w:cs="Arial"/>
          <w:bCs/>
          <w:sz w:val="24"/>
          <w:szCs w:val="24"/>
          <w:lang w:val="es-ES"/>
        </w:rPr>
        <w:t>impacto negativo importante en el perfil crediticio del país</w:t>
      </w:r>
      <w:r w:rsidRPr="00710A06">
        <w:rPr>
          <w:rFonts w:cs="Arial"/>
          <w:sz w:val="24"/>
          <w:szCs w:val="24"/>
          <w:lang w:val="es-ES"/>
        </w:rPr>
        <w:t>" por la incertidumbre política que genera al Gobierno en minoría de Mariano Rajoy y por el peso económico que representa la región en el conjunto de España.</w:t>
      </w:r>
    </w:p>
    <w:p w:rsidR="00D57C5F" w:rsidRPr="00710A06" w:rsidRDefault="00D57C5F" w:rsidP="00C45465">
      <w:pPr>
        <w:pStyle w:val="PRIMERAPLANA"/>
        <w:spacing w:line="360" w:lineRule="auto"/>
        <w:rPr>
          <w:rFonts w:cs="Arial"/>
          <w:sz w:val="24"/>
          <w:szCs w:val="24"/>
          <w:lang w:val="es-ES"/>
        </w:rPr>
      </w:pPr>
    </w:p>
    <w:p w:rsidR="00D57C5F" w:rsidRPr="00710A06" w:rsidRDefault="00D57C5F" w:rsidP="00C45465">
      <w:pPr>
        <w:pStyle w:val="PRIMERAPLANA"/>
        <w:spacing w:line="360" w:lineRule="auto"/>
        <w:rPr>
          <w:rFonts w:cs="Arial"/>
          <w:sz w:val="24"/>
          <w:szCs w:val="24"/>
          <w:lang w:val="es-ES"/>
        </w:rPr>
      </w:pPr>
      <w:r w:rsidRPr="00710A06">
        <w:rPr>
          <w:rFonts w:cs="Arial"/>
          <w:sz w:val="24"/>
          <w:szCs w:val="24"/>
          <w:lang w:val="es-ES"/>
        </w:rPr>
        <w:t xml:space="preserve">De acuerdo con el FMI, se espera que el crecimiento global se acelere en 2017 y permanezca sólido en 2018. En particular, se anticipa que la economía global crezca 3.5 por ciento en 2017, 0.3 </w:t>
      </w:r>
      <w:proofErr w:type="spellStart"/>
      <w:r w:rsidRPr="00710A06">
        <w:rPr>
          <w:rFonts w:cs="Arial"/>
          <w:sz w:val="24"/>
          <w:szCs w:val="24"/>
          <w:lang w:val="es-ES"/>
        </w:rPr>
        <w:t>pp</w:t>
      </w:r>
      <w:proofErr w:type="spellEnd"/>
      <w:r w:rsidRPr="00710A06">
        <w:rPr>
          <w:rFonts w:cs="Arial"/>
          <w:sz w:val="24"/>
          <w:szCs w:val="24"/>
          <w:lang w:val="es-ES"/>
        </w:rPr>
        <w:t xml:space="preserve"> por arriba de lo </w:t>
      </w:r>
      <w:r w:rsidRPr="00710A06">
        <w:rPr>
          <w:rFonts w:cs="Arial"/>
          <w:sz w:val="24"/>
          <w:szCs w:val="24"/>
          <w:lang w:val="es-ES"/>
        </w:rPr>
        <w:lastRenderedPageBreak/>
        <w:t>registrado en 2016, y que el ritmo de crecimiento se acelere ligeramente en 2018, para llegar a 3.6 por ciento.</w:t>
      </w:r>
    </w:p>
    <w:p w:rsidR="00D57C5F" w:rsidRPr="00710A06" w:rsidRDefault="00D57C5F" w:rsidP="00C45465">
      <w:pPr>
        <w:pStyle w:val="PRIMERAPLANA"/>
        <w:spacing w:line="360" w:lineRule="auto"/>
        <w:rPr>
          <w:rFonts w:cs="Arial"/>
          <w:sz w:val="24"/>
          <w:szCs w:val="24"/>
          <w:lang w:val="es-ES"/>
        </w:rPr>
      </w:pPr>
    </w:p>
    <w:p w:rsidR="00D57C5F" w:rsidRPr="00710A06" w:rsidRDefault="00D57C5F" w:rsidP="00C45465">
      <w:pPr>
        <w:pStyle w:val="PRIMERAPLANA"/>
        <w:spacing w:line="360" w:lineRule="auto"/>
        <w:rPr>
          <w:rFonts w:cs="Arial"/>
          <w:sz w:val="24"/>
          <w:szCs w:val="24"/>
          <w:lang w:val="es-ES"/>
        </w:rPr>
      </w:pPr>
      <w:r w:rsidRPr="00710A06">
        <w:rPr>
          <w:rFonts w:cs="Arial"/>
          <w:sz w:val="24"/>
          <w:szCs w:val="24"/>
          <w:lang w:val="es-ES"/>
        </w:rPr>
        <w:t>En su actualización de julio a los pronósticos de crecimiento de la economía mundial, el FMI realizó una revisión al desempeño esperado de las economías avanzadas y emergentes en 2017 y 2018 que no implicó modificaciones a las expectativas globales de crecimiento para dichos años presentadas en abril (</w:t>
      </w:r>
      <w:proofErr w:type="spellStart"/>
      <w:r w:rsidRPr="00710A06">
        <w:rPr>
          <w:rFonts w:cs="Arial"/>
          <w:i/>
          <w:sz w:val="24"/>
          <w:szCs w:val="24"/>
          <w:lang w:val="es-ES"/>
        </w:rPr>
        <w:t>World</w:t>
      </w:r>
      <w:proofErr w:type="spellEnd"/>
      <w:r w:rsidRPr="00710A06">
        <w:rPr>
          <w:rFonts w:cs="Arial"/>
          <w:i/>
          <w:sz w:val="24"/>
          <w:szCs w:val="24"/>
          <w:lang w:val="es-ES"/>
        </w:rPr>
        <w:t xml:space="preserve"> </w:t>
      </w:r>
      <w:proofErr w:type="spellStart"/>
      <w:r w:rsidRPr="00710A06">
        <w:rPr>
          <w:rFonts w:cs="Arial"/>
          <w:i/>
          <w:sz w:val="24"/>
          <w:szCs w:val="24"/>
          <w:lang w:val="es-ES"/>
        </w:rPr>
        <w:t>Economic</w:t>
      </w:r>
      <w:proofErr w:type="spellEnd"/>
      <w:r w:rsidRPr="00710A06">
        <w:rPr>
          <w:rFonts w:cs="Arial"/>
          <w:i/>
          <w:sz w:val="24"/>
          <w:szCs w:val="24"/>
          <w:lang w:val="es-ES"/>
        </w:rPr>
        <w:t xml:space="preserve"> Outlook</w:t>
      </w:r>
      <w:r w:rsidRPr="00710A06">
        <w:rPr>
          <w:rFonts w:cs="Arial"/>
          <w:sz w:val="24"/>
          <w:szCs w:val="24"/>
          <w:lang w:val="es-ES"/>
        </w:rPr>
        <w:t>). El panorama global indica que los riesgos para el crecimiento económico mundial parecen estar balanceados en el corto plazo, pero permanecen inclinados a la baja en el mediano plazo.</w:t>
      </w:r>
    </w:p>
    <w:p w:rsidR="00D57C5F" w:rsidRPr="00710A06" w:rsidRDefault="00D57C5F" w:rsidP="00C45465">
      <w:pPr>
        <w:pStyle w:val="PRIMERAPLANA"/>
        <w:spacing w:line="360" w:lineRule="auto"/>
        <w:rPr>
          <w:rFonts w:cs="Arial"/>
          <w:sz w:val="24"/>
          <w:szCs w:val="24"/>
          <w:lang w:val="es-ES"/>
        </w:rPr>
      </w:pPr>
    </w:p>
    <w:p w:rsidR="00D57C5F" w:rsidRPr="00710A06" w:rsidRDefault="00D57C5F" w:rsidP="00C45465">
      <w:pPr>
        <w:pStyle w:val="PRIMERAPLANA"/>
        <w:spacing w:line="360" w:lineRule="auto"/>
        <w:rPr>
          <w:rFonts w:cs="Arial"/>
          <w:sz w:val="24"/>
          <w:szCs w:val="24"/>
          <w:lang w:val="es-ES"/>
        </w:rPr>
      </w:pPr>
      <w:r w:rsidRPr="00710A06">
        <w:rPr>
          <w:rFonts w:cs="Arial"/>
          <w:sz w:val="24"/>
          <w:szCs w:val="24"/>
          <w:lang w:val="es-ES"/>
        </w:rPr>
        <w:t>El FMI estimó en julio una tasa de 1.9 por ciento, superior en 0.2 puntos porcentuales a su proyección de enero, y la Comisión Económica Para América Latina y el Caribe (CEPAL) elevó en agosto su proyección para México de 1.9 a 2.2 por ciento, tasa igual al doble del crecimiento esperado para América Latina en conjunto.</w:t>
      </w:r>
    </w:p>
    <w:p w:rsidR="00D57C5F" w:rsidRPr="00710A06" w:rsidRDefault="00D57C5F" w:rsidP="00C45465">
      <w:pPr>
        <w:pStyle w:val="PRIMERAPLANA"/>
        <w:spacing w:line="360" w:lineRule="auto"/>
        <w:rPr>
          <w:rFonts w:cs="Arial"/>
          <w:sz w:val="24"/>
          <w:szCs w:val="24"/>
          <w:lang w:val="es-ES"/>
        </w:rPr>
      </w:pPr>
    </w:p>
    <w:p w:rsidR="00D57C5F" w:rsidRPr="00710A06" w:rsidRDefault="00D57C5F" w:rsidP="00C45465">
      <w:pPr>
        <w:pStyle w:val="PRIMERAPLANA"/>
        <w:spacing w:line="360" w:lineRule="auto"/>
        <w:rPr>
          <w:rFonts w:cs="Arial"/>
          <w:sz w:val="24"/>
          <w:szCs w:val="24"/>
          <w:lang w:val="es-ES"/>
        </w:rPr>
      </w:pPr>
      <w:r w:rsidRPr="00710A06">
        <w:rPr>
          <w:rFonts w:cs="Arial"/>
          <w:sz w:val="24"/>
          <w:szCs w:val="24"/>
          <w:lang w:val="es-ES"/>
        </w:rPr>
        <w:t xml:space="preserve">El entorno macroeconómico previsto para 2018 se encuentra sujeto a riesgos a la baja que podrían modificar las estimaciones anteriores, donde destacan los siguientes: </w:t>
      </w:r>
    </w:p>
    <w:p w:rsidR="009B3D50" w:rsidRPr="00710A06" w:rsidRDefault="009B3D50" w:rsidP="00C45465">
      <w:pPr>
        <w:pStyle w:val="PRIMERAPLANA"/>
        <w:spacing w:line="360" w:lineRule="auto"/>
        <w:rPr>
          <w:rFonts w:cs="Arial"/>
          <w:sz w:val="24"/>
          <w:szCs w:val="24"/>
          <w:lang w:val="es-ES"/>
        </w:rPr>
      </w:pPr>
    </w:p>
    <w:p w:rsidR="00D57C5F" w:rsidRPr="00710A06" w:rsidRDefault="00D57C5F" w:rsidP="00C45465">
      <w:pPr>
        <w:pStyle w:val="PRIMERAPLANA"/>
        <w:numPr>
          <w:ilvl w:val="0"/>
          <w:numId w:val="4"/>
        </w:numPr>
        <w:spacing w:line="360" w:lineRule="auto"/>
        <w:rPr>
          <w:rFonts w:cs="Arial"/>
          <w:sz w:val="24"/>
          <w:szCs w:val="24"/>
          <w:lang w:val="es-ES"/>
        </w:rPr>
      </w:pPr>
      <w:r w:rsidRPr="00710A06">
        <w:rPr>
          <w:rFonts w:cs="Arial"/>
          <w:sz w:val="24"/>
          <w:szCs w:val="24"/>
          <w:lang w:val="es-ES"/>
        </w:rPr>
        <w:t xml:space="preserve">Una posposición de la renegociación del TLCAN o bien que se abandone el tratado por parte de alguno de los miembros; </w:t>
      </w:r>
    </w:p>
    <w:p w:rsidR="00D57C5F" w:rsidRPr="00710A06" w:rsidRDefault="00D57C5F" w:rsidP="00C45465">
      <w:pPr>
        <w:pStyle w:val="PRIMERAPLANA"/>
        <w:spacing w:line="360" w:lineRule="auto"/>
        <w:ind w:left="1080"/>
        <w:rPr>
          <w:rFonts w:cs="Arial"/>
          <w:sz w:val="24"/>
          <w:szCs w:val="24"/>
          <w:lang w:val="es-ES"/>
        </w:rPr>
      </w:pPr>
    </w:p>
    <w:p w:rsidR="00D57C5F" w:rsidRPr="00710A06" w:rsidRDefault="00D57C5F" w:rsidP="00C45465">
      <w:pPr>
        <w:pStyle w:val="PRIMERAPLANA"/>
        <w:numPr>
          <w:ilvl w:val="0"/>
          <w:numId w:val="4"/>
        </w:numPr>
        <w:spacing w:line="360" w:lineRule="auto"/>
        <w:rPr>
          <w:rFonts w:cs="Arial"/>
          <w:sz w:val="24"/>
          <w:szCs w:val="24"/>
          <w:lang w:val="es-ES"/>
        </w:rPr>
      </w:pPr>
      <w:r w:rsidRPr="00710A06">
        <w:rPr>
          <w:rFonts w:cs="Arial"/>
          <w:sz w:val="24"/>
          <w:szCs w:val="24"/>
          <w:lang w:val="es-ES"/>
        </w:rPr>
        <w:t xml:space="preserve">Un menor dinamismo de la economía de Estados Unidos; </w:t>
      </w:r>
    </w:p>
    <w:p w:rsidR="00D57C5F" w:rsidRPr="00710A06" w:rsidRDefault="00D57C5F" w:rsidP="00C45465">
      <w:pPr>
        <w:pStyle w:val="Prrafodelista"/>
        <w:spacing w:after="0" w:line="360" w:lineRule="auto"/>
        <w:rPr>
          <w:rFonts w:ascii="Arial" w:hAnsi="Arial" w:cs="Arial"/>
          <w:sz w:val="24"/>
          <w:szCs w:val="24"/>
        </w:rPr>
      </w:pPr>
    </w:p>
    <w:p w:rsidR="00D57C5F" w:rsidRPr="00710A06" w:rsidRDefault="00D57C5F" w:rsidP="00C45465">
      <w:pPr>
        <w:pStyle w:val="PRIMERAPLANA"/>
        <w:numPr>
          <w:ilvl w:val="0"/>
          <w:numId w:val="4"/>
        </w:numPr>
        <w:spacing w:line="360" w:lineRule="auto"/>
        <w:rPr>
          <w:rFonts w:cs="Arial"/>
          <w:sz w:val="24"/>
          <w:szCs w:val="24"/>
          <w:lang w:val="es-ES"/>
        </w:rPr>
      </w:pPr>
      <w:r w:rsidRPr="00710A06">
        <w:rPr>
          <w:rFonts w:cs="Arial"/>
          <w:sz w:val="24"/>
          <w:szCs w:val="24"/>
          <w:lang w:val="es-ES"/>
        </w:rPr>
        <w:t xml:space="preserve">Un debilitamiento de la economía mundial; </w:t>
      </w:r>
    </w:p>
    <w:p w:rsidR="00D57C5F" w:rsidRPr="00710A06" w:rsidRDefault="00D57C5F" w:rsidP="00C45465">
      <w:pPr>
        <w:pStyle w:val="Prrafodelista"/>
        <w:spacing w:after="0" w:line="360" w:lineRule="auto"/>
        <w:rPr>
          <w:rFonts w:ascii="Arial" w:hAnsi="Arial" w:cs="Arial"/>
          <w:sz w:val="24"/>
          <w:szCs w:val="24"/>
        </w:rPr>
      </w:pPr>
    </w:p>
    <w:p w:rsidR="00D57C5F" w:rsidRPr="00710A06" w:rsidRDefault="00D57C5F" w:rsidP="00C45465">
      <w:pPr>
        <w:pStyle w:val="PRIMERAPLANA"/>
        <w:numPr>
          <w:ilvl w:val="0"/>
          <w:numId w:val="4"/>
        </w:numPr>
        <w:spacing w:line="360" w:lineRule="auto"/>
        <w:rPr>
          <w:rFonts w:cs="Arial"/>
          <w:sz w:val="24"/>
          <w:szCs w:val="24"/>
          <w:lang w:val="es-ES"/>
        </w:rPr>
      </w:pPr>
      <w:r w:rsidRPr="00710A06">
        <w:rPr>
          <w:rFonts w:cs="Arial"/>
          <w:sz w:val="24"/>
          <w:szCs w:val="24"/>
          <w:lang w:val="es-ES"/>
        </w:rPr>
        <w:t xml:space="preserve">Una elevada volatilidad en los mercados financieros internacionales; </w:t>
      </w:r>
    </w:p>
    <w:p w:rsidR="00D57C5F" w:rsidRPr="00710A06" w:rsidRDefault="00D57C5F" w:rsidP="00C45465">
      <w:pPr>
        <w:pStyle w:val="Prrafodelista"/>
        <w:spacing w:after="0" w:line="360" w:lineRule="auto"/>
        <w:rPr>
          <w:rFonts w:ascii="Arial" w:hAnsi="Arial" w:cs="Arial"/>
          <w:sz w:val="24"/>
          <w:szCs w:val="24"/>
        </w:rPr>
      </w:pPr>
    </w:p>
    <w:p w:rsidR="00D57C5F" w:rsidRPr="00710A06" w:rsidRDefault="00D57C5F" w:rsidP="00C45465">
      <w:pPr>
        <w:pStyle w:val="PRIMERAPLANA"/>
        <w:numPr>
          <w:ilvl w:val="0"/>
          <w:numId w:val="4"/>
        </w:numPr>
        <w:spacing w:line="360" w:lineRule="auto"/>
        <w:rPr>
          <w:rFonts w:cs="Arial"/>
          <w:sz w:val="24"/>
          <w:szCs w:val="24"/>
          <w:lang w:val="es-ES"/>
        </w:rPr>
      </w:pPr>
      <w:r w:rsidRPr="00710A06">
        <w:rPr>
          <w:rFonts w:cs="Arial"/>
          <w:sz w:val="24"/>
          <w:szCs w:val="24"/>
          <w:lang w:val="es-ES"/>
        </w:rPr>
        <w:t xml:space="preserve">Una plataforma de producción de petróleo menor a lo prevista y </w:t>
      </w:r>
    </w:p>
    <w:p w:rsidR="00D57C5F" w:rsidRPr="00710A06" w:rsidRDefault="00D57C5F" w:rsidP="00C45465">
      <w:pPr>
        <w:pStyle w:val="Prrafodelista"/>
        <w:spacing w:after="0" w:line="360" w:lineRule="auto"/>
        <w:rPr>
          <w:rFonts w:ascii="Arial" w:hAnsi="Arial" w:cs="Arial"/>
          <w:sz w:val="24"/>
          <w:szCs w:val="24"/>
        </w:rPr>
      </w:pPr>
    </w:p>
    <w:p w:rsidR="00D57C5F" w:rsidRPr="00710A06" w:rsidRDefault="00D57C5F" w:rsidP="00C45465">
      <w:pPr>
        <w:pStyle w:val="PRIMERAPLANA"/>
        <w:numPr>
          <w:ilvl w:val="0"/>
          <w:numId w:val="4"/>
        </w:numPr>
        <w:spacing w:line="360" w:lineRule="auto"/>
        <w:rPr>
          <w:rFonts w:cs="Arial"/>
          <w:sz w:val="24"/>
          <w:szCs w:val="24"/>
          <w:lang w:val="es-ES"/>
        </w:rPr>
      </w:pPr>
      <w:r w:rsidRPr="00710A06">
        <w:rPr>
          <w:rFonts w:cs="Arial"/>
          <w:sz w:val="24"/>
          <w:szCs w:val="24"/>
          <w:lang w:val="es-ES"/>
        </w:rPr>
        <w:t>Un incremento de las tensiones geopolíticas.</w:t>
      </w:r>
    </w:p>
    <w:p w:rsidR="00D57C5F" w:rsidRPr="00710A06" w:rsidRDefault="00D57C5F" w:rsidP="00C45465">
      <w:pPr>
        <w:pStyle w:val="PRIMERAPLANA"/>
        <w:spacing w:line="360" w:lineRule="auto"/>
        <w:rPr>
          <w:rFonts w:cs="Arial"/>
          <w:sz w:val="24"/>
          <w:szCs w:val="24"/>
          <w:lang w:val="es-ES"/>
        </w:rPr>
      </w:pPr>
    </w:p>
    <w:p w:rsidR="00D57C5F" w:rsidRPr="00710A06" w:rsidRDefault="00D57C5F" w:rsidP="00C45465">
      <w:pPr>
        <w:spacing w:after="0" w:line="360" w:lineRule="auto"/>
        <w:jc w:val="both"/>
        <w:rPr>
          <w:rFonts w:ascii="Arial" w:hAnsi="Arial" w:cs="Arial"/>
          <w:b/>
          <w:bCs/>
          <w:sz w:val="24"/>
          <w:szCs w:val="24"/>
        </w:rPr>
      </w:pPr>
      <w:r w:rsidRPr="00710A06">
        <w:rPr>
          <w:rFonts w:ascii="Arial" w:hAnsi="Arial" w:cs="Arial"/>
          <w:b/>
          <w:bCs/>
          <w:sz w:val="24"/>
          <w:szCs w:val="24"/>
        </w:rPr>
        <w:t>ENTORNO NACIONAL.</w:t>
      </w:r>
    </w:p>
    <w:p w:rsidR="00D57C5F" w:rsidRPr="00710A06" w:rsidRDefault="00D57C5F" w:rsidP="00C45465">
      <w:pPr>
        <w:pStyle w:val="PRIMERAPLANA"/>
        <w:spacing w:line="360" w:lineRule="auto"/>
        <w:rPr>
          <w:rFonts w:cs="Arial"/>
          <w:sz w:val="24"/>
          <w:szCs w:val="24"/>
          <w:lang w:val="es-ES"/>
        </w:rPr>
      </w:pPr>
    </w:p>
    <w:p w:rsidR="00D57C5F" w:rsidRPr="00710A06" w:rsidRDefault="00D57C5F" w:rsidP="00C45465">
      <w:pPr>
        <w:pStyle w:val="PRIMERAPLANA"/>
        <w:spacing w:line="360" w:lineRule="auto"/>
        <w:rPr>
          <w:rFonts w:cs="Arial"/>
          <w:sz w:val="24"/>
          <w:szCs w:val="24"/>
          <w:lang w:val="es-ES"/>
        </w:rPr>
      </w:pPr>
      <w:r w:rsidRPr="00710A06">
        <w:rPr>
          <w:rFonts w:cs="Arial"/>
          <w:sz w:val="24"/>
          <w:szCs w:val="24"/>
          <w:lang w:val="es-ES"/>
        </w:rPr>
        <w:t xml:space="preserve">La economía de México ha registrado un desempeño positivo durante 2017, en un entorno externo incierto pero que ha mejorado a lo largo del año. La información disponible indica que el efecto sobre la economía real de la incertidumbre respecto a las políticas económicas de la entrante administración del gobierno de Estados Unidos ha sido, en todo caso, bajo. Se observa un crecimiento sostenido y balanceado, sustentado en las Reformas Estructurales que están demostrando su importancia. </w:t>
      </w:r>
    </w:p>
    <w:p w:rsidR="00D57C5F" w:rsidRPr="00710A06" w:rsidRDefault="00D57C5F" w:rsidP="00C45465">
      <w:pPr>
        <w:pStyle w:val="PRIMERAPLANA"/>
        <w:spacing w:line="360" w:lineRule="auto"/>
        <w:rPr>
          <w:rFonts w:cs="Arial"/>
          <w:sz w:val="24"/>
          <w:szCs w:val="24"/>
          <w:lang w:val="es-ES"/>
        </w:rPr>
      </w:pPr>
    </w:p>
    <w:p w:rsidR="00D57C5F" w:rsidRPr="00710A06" w:rsidRDefault="00D57C5F" w:rsidP="00C45465">
      <w:pPr>
        <w:pStyle w:val="PRIMERAPLANA"/>
        <w:spacing w:line="360" w:lineRule="auto"/>
        <w:rPr>
          <w:rFonts w:cs="Arial"/>
          <w:sz w:val="24"/>
          <w:szCs w:val="24"/>
          <w:lang w:val="es-ES"/>
        </w:rPr>
      </w:pPr>
      <w:r w:rsidRPr="00710A06">
        <w:rPr>
          <w:rFonts w:cs="Arial"/>
          <w:sz w:val="24"/>
          <w:szCs w:val="24"/>
          <w:lang w:val="es-ES"/>
        </w:rPr>
        <w:t xml:space="preserve">Las Reformas Estructurales explican en buena medida los resultados positivos que se han alcanzado, pues han fomentado la eficiencia económica, la productividad y la competencia, que a su vez han dotado a la economía mexicana de flexibilidad y </w:t>
      </w:r>
      <w:proofErr w:type="spellStart"/>
      <w:r w:rsidRPr="00710A06">
        <w:rPr>
          <w:rFonts w:cs="Arial"/>
          <w:sz w:val="24"/>
          <w:szCs w:val="24"/>
          <w:lang w:val="es-ES"/>
        </w:rPr>
        <w:t>resiliencia</w:t>
      </w:r>
      <w:proofErr w:type="spellEnd"/>
      <w:r w:rsidRPr="00710A06">
        <w:rPr>
          <w:rFonts w:cs="Arial"/>
          <w:sz w:val="24"/>
          <w:szCs w:val="24"/>
          <w:lang w:val="es-ES"/>
        </w:rPr>
        <w:t xml:space="preserve"> para enfrentar los retos que presenta el complejo entorno externo. Como resultado de un desempeño económico mejor al anticipado a inicios de año, las expectativas de crecimiento para México en 2017 se han ajustado al alza. El FMI estimó en julio un crecimiento de 1.9 por ciento, superior en 0.2 puntos porcentuales a su proyección de enero.</w:t>
      </w:r>
    </w:p>
    <w:p w:rsidR="00D57C5F" w:rsidRPr="00710A06" w:rsidRDefault="00D57C5F" w:rsidP="00C45465">
      <w:pPr>
        <w:pStyle w:val="PRIMERAPLANA"/>
        <w:spacing w:line="360" w:lineRule="auto"/>
        <w:rPr>
          <w:rFonts w:cs="Arial"/>
          <w:sz w:val="24"/>
          <w:szCs w:val="24"/>
          <w:lang w:val="es-ES"/>
        </w:rPr>
      </w:pPr>
    </w:p>
    <w:p w:rsidR="00D57C5F" w:rsidRPr="00710A06" w:rsidRDefault="00D57C5F" w:rsidP="00C45465">
      <w:pPr>
        <w:pStyle w:val="PRIMERAPLANA"/>
        <w:spacing w:line="360" w:lineRule="auto"/>
        <w:rPr>
          <w:rFonts w:cs="Arial"/>
          <w:sz w:val="24"/>
          <w:szCs w:val="24"/>
          <w:lang w:val="es-ES"/>
        </w:rPr>
      </w:pPr>
      <w:r w:rsidRPr="00710A06">
        <w:rPr>
          <w:rFonts w:cs="Arial"/>
          <w:sz w:val="24"/>
          <w:szCs w:val="24"/>
          <w:lang w:val="es-ES"/>
        </w:rPr>
        <w:lastRenderedPageBreak/>
        <w:t xml:space="preserve">Además, los analistas encuestados por Banco de México, </w:t>
      </w:r>
      <w:proofErr w:type="spellStart"/>
      <w:r w:rsidRPr="00710A06">
        <w:rPr>
          <w:rFonts w:cs="Arial"/>
          <w:sz w:val="24"/>
          <w:szCs w:val="24"/>
          <w:lang w:val="es-ES"/>
        </w:rPr>
        <w:t>Citibanamex</w:t>
      </w:r>
      <w:proofErr w:type="spellEnd"/>
      <w:r w:rsidRPr="00710A06">
        <w:rPr>
          <w:rFonts w:cs="Arial"/>
          <w:sz w:val="24"/>
          <w:szCs w:val="24"/>
          <w:lang w:val="es-ES"/>
        </w:rPr>
        <w:t xml:space="preserve"> y Blue Chip han elevado sus estimaciones para el crecimiento a promedios de 2.2, 2.1 y 2.1 por ciento, respectivamente, mayores a los promedios reportados en enero de 1.5, 1.4 y 1.6 por ciento, en el mismo orden. Además, el Banco de México incrementó en agosto su rango de crecimiento de 1.5 a 2.5 por ciento a un estimado de 2.0 a 2.5 por ciento.</w:t>
      </w:r>
    </w:p>
    <w:p w:rsidR="00D57C5F" w:rsidRPr="00710A06" w:rsidRDefault="00D57C5F" w:rsidP="00C45465">
      <w:pPr>
        <w:pStyle w:val="PRIMERAPLANA"/>
        <w:spacing w:line="360" w:lineRule="auto"/>
        <w:rPr>
          <w:rFonts w:cs="Arial"/>
          <w:sz w:val="24"/>
          <w:szCs w:val="24"/>
          <w:lang w:val="es-ES"/>
        </w:rPr>
      </w:pPr>
    </w:p>
    <w:p w:rsidR="00D57C5F" w:rsidRPr="00710A06" w:rsidRDefault="00D57C5F" w:rsidP="00C45465">
      <w:pPr>
        <w:pStyle w:val="PRIMERAPLANA"/>
        <w:spacing w:line="360" w:lineRule="auto"/>
        <w:rPr>
          <w:rFonts w:cs="Arial"/>
          <w:sz w:val="24"/>
          <w:szCs w:val="24"/>
          <w:lang w:val="es-ES"/>
        </w:rPr>
      </w:pPr>
      <w:r w:rsidRPr="00710A06">
        <w:rPr>
          <w:rFonts w:cs="Arial"/>
          <w:sz w:val="24"/>
          <w:szCs w:val="24"/>
          <w:lang w:val="es-ES"/>
        </w:rPr>
        <w:t>El desempeño de la actividad económica en 2017, así como los efectos positivos de las Reformas Estructurales –en particular la Hacendaria y la Laboral–, se han traducido en una expansión significativa de la generación de empleos formales. Al 31 de julio de 2017, el número de trabajadores afiliados al Instituto Mexicano del Seguro Social (IMSS) ascendió a poco más de 19 millones de personas, lo que implica un crecimiento anual de 824 mil empleos (4.5 por ciento) y un aumento de 556 mil plazas (3.0 por ciento) con respecto a diciembre de 2016.</w:t>
      </w:r>
    </w:p>
    <w:p w:rsidR="00D57C5F" w:rsidRPr="00710A06" w:rsidRDefault="00D57C5F" w:rsidP="00C45465">
      <w:pPr>
        <w:pStyle w:val="PRIMERAPLANA"/>
        <w:spacing w:line="360" w:lineRule="auto"/>
        <w:rPr>
          <w:rFonts w:cs="Arial"/>
          <w:sz w:val="24"/>
          <w:szCs w:val="24"/>
          <w:lang w:val="es-ES"/>
        </w:rPr>
      </w:pPr>
    </w:p>
    <w:p w:rsidR="00D57C5F" w:rsidRPr="00710A06" w:rsidRDefault="00D57C5F" w:rsidP="00C45465">
      <w:pPr>
        <w:pStyle w:val="PRIMERAPLANA"/>
        <w:spacing w:line="360" w:lineRule="auto"/>
        <w:rPr>
          <w:rFonts w:cs="Arial"/>
          <w:sz w:val="24"/>
          <w:szCs w:val="24"/>
          <w:lang w:val="es-ES"/>
        </w:rPr>
      </w:pPr>
      <w:r w:rsidRPr="00710A06">
        <w:rPr>
          <w:rFonts w:cs="Arial"/>
          <w:sz w:val="24"/>
          <w:szCs w:val="24"/>
          <w:lang w:val="es-ES"/>
        </w:rPr>
        <w:t>Durante 2017 la economía de México ha registrado un desempeño mejor al proyectado al inicio del año, ante un robusto mercado interno y una mejora en el entorno externo, al disiparse parcialmente la incertidumbre sobre las políticas económicas de Estados Unidos.</w:t>
      </w:r>
    </w:p>
    <w:p w:rsidR="00D57C5F" w:rsidRPr="00710A06" w:rsidRDefault="00D57C5F" w:rsidP="00C45465">
      <w:pPr>
        <w:pStyle w:val="PRIMERAPLANA"/>
        <w:spacing w:line="360" w:lineRule="auto"/>
        <w:rPr>
          <w:rFonts w:cs="Arial"/>
          <w:sz w:val="24"/>
          <w:szCs w:val="24"/>
          <w:lang w:val="es-ES"/>
        </w:rPr>
      </w:pPr>
    </w:p>
    <w:p w:rsidR="00D57C5F" w:rsidRPr="00710A06" w:rsidRDefault="00D57C5F" w:rsidP="00C45465">
      <w:pPr>
        <w:pStyle w:val="PRIMERAPLANA"/>
        <w:spacing w:line="360" w:lineRule="auto"/>
        <w:rPr>
          <w:rFonts w:cs="Arial"/>
          <w:sz w:val="24"/>
          <w:szCs w:val="24"/>
          <w:lang w:val="es-ES"/>
        </w:rPr>
      </w:pPr>
      <w:r w:rsidRPr="00710A06">
        <w:rPr>
          <w:rFonts w:cs="Arial"/>
          <w:sz w:val="24"/>
          <w:szCs w:val="24"/>
          <w:lang w:val="es-ES"/>
        </w:rPr>
        <w:t xml:space="preserve">La información disponible indica que el efecto en la economía real de la incertidumbre relacionada con la posible implementación de políticas proteccionistas por parte de Estados Unidos ha sido, en todo caso, bajo. Más aún, el establecimiento de un proceso claro para la actualización del TLCAN ha contribuido a mitigar dicha incertidumbre, como lo refleja la evolución del tipo de cambio del peso frente al dólar: desde la toma de posesión del Presidente Donald </w:t>
      </w:r>
      <w:proofErr w:type="spellStart"/>
      <w:r w:rsidRPr="00710A06">
        <w:rPr>
          <w:rFonts w:cs="Arial"/>
          <w:sz w:val="24"/>
          <w:szCs w:val="24"/>
          <w:lang w:val="es-ES"/>
        </w:rPr>
        <w:t>Trump</w:t>
      </w:r>
      <w:proofErr w:type="spellEnd"/>
      <w:r w:rsidRPr="00710A06">
        <w:rPr>
          <w:rFonts w:cs="Arial"/>
          <w:sz w:val="24"/>
          <w:szCs w:val="24"/>
          <w:lang w:val="es-ES"/>
        </w:rPr>
        <w:t xml:space="preserve"> el 20 de enero y hasta el 1 de </w:t>
      </w:r>
      <w:r w:rsidRPr="00710A06">
        <w:rPr>
          <w:rFonts w:cs="Arial"/>
          <w:sz w:val="24"/>
          <w:szCs w:val="24"/>
          <w:lang w:val="es-ES"/>
        </w:rPr>
        <w:lastRenderedPageBreak/>
        <w:t>septiembre, el tipo de cambio mostró una apreciación del peso de 17.58 por ciento para llegar a una paridad de 17.79 pesos por dólar, similar a los niveles registrados a principios de mayo de 2016.</w:t>
      </w:r>
    </w:p>
    <w:p w:rsidR="00D57C5F" w:rsidRPr="00710A06" w:rsidRDefault="00D57C5F" w:rsidP="00C45465">
      <w:pPr>
        <w:pStyle w:val="PRIMERAPLANA"/>
        <w:spacing w:line="360" w:lineRule="auto"/>
        <w:rPr>
          <w:rFonts w:cs="Arial"/>
          <w:sz w:val="24"/>
          <w:szCs w:val="24"/>
          <w:lang w:val="es-ES"/>
        </w:rPr>
      </w:pPr>
    </w:p>
    <w:p w:rsidR="00D57C5F" w:rsidRPr="00710A06" w:rsidRDefault="00D57C5F" w:rsidP="00C45465">
      <w:pPr>
        <w:pStyle w:val="PRIMERAPLANA"/>
        <w:spacing w:line="360" w:lineRule="auto"/>
        <w:rPr>
          <w:rFonts w:cs="Arial"/>
          <w:sz w:val="24"/>
          <w:szCs w:val="24"/>
          <w:lang w:val="es-ES"/>
        </w:rPr>
      </w:pPr>
      <w:r w:rsidRPr="00710A06">
        <w:rPr>
          <w:rFonts w:cs="Arial"/>
          <w:sz w:val="24"/>
          <w:szCs w:val="24"/>
          <w:lang w:val="es-ES"/>
        </w:rPr>
        <w:t xml:space="preserve">La falta de certeza sobre el futuro de la relación comercial con Estados Unidos continúa representando un riesgo a la baja para la economía mexicana, con tres salvedades: </w:t>
      </w:r>
    </w:p>
    <w:p w:rsidR="00D57C5F" w:rsidRPr="00710A06" w:rsidRDefault="00D57C5F" w:rsidP="00C45465">
      <w:pPr>
        <w:pStyle w:val="PRIMERAPLANA"/>
        <w:numPr>
          <w:ilvl w:val="0"/>
          <w:numId w:val="5"/>
        </w:numPr>
        <w:spacing w:line="360" w:lineRule="auto"/>
        <w:rPr>
          <w:rFonts w:cs="Arial"/>
          <w:sz w:val="24"/>
          <w:szCs w:val="24"/>
          <w:lang w:val="es-ES"/>
        </w:rPr>
      </w:pPr>
      <w:r w:rsidRPr="00710A06">
        <w:rPr>
          <w:rFonts w:cs="Arial"/>
          <w:sz w:val="24"/>
          <w:szCs w:val="24"/>
          <w:lang w:val="es-ES"/>
        </w:rPr>
        <w:t>Que el eje de la integración entre México y EEUU no es el TLCAN, sino fundamentos estructurales como las sinergias económicas entre ambos países, dictadas por la demografía y geografía que nos unen, así como coincidencias en valores políticos y sociales como la democracia y el estado de derecho, que han sido formalizadas y catalizadas pero no generadas por el Tratado</w:t>
      </w:r>
      <w:r w:rsidR="008C7313">
        <w:rPr>
          <w:rFonts w:cs="Arial"/>
          <w:sz w:val="24"/>
          <w:szCs w:val="24"/>
          <w:lang w:val="es-ES"/>
        </w:rPr>
        <w:t>.</w:t>
      </w:r>
    </w:p>
    <w:p w:rsidR="00D57C5F" w:rsidRPr="00710A06" w:rsidRDefault="00D57C5F" w:rsidP="00C45465">
      <w:pPr>
        <w:pStyle w:val="PRIMERAPLANA"/>
        <w:spacing w:line="360" w:lineRule="auto"/>
        <w:rPr>
          <w:rFonts w:cs="Arial"/>
          <w:sz w:val="24"/>
          <w:szCs w:val="24"/>
          <w:lang w:val="es-ES"/>
        </w:rPr>
      </w:pPr>
    </w:p>
    <w:p w:rsidR="00D57C5F" w:rsidRPr="00710A06" w:rsidRDefault="00D57C5F" w:rsidP="00C45465">
      <w:pPr>
        <w:pStyle w:val="PRIMERAPLANA"/>
        <w:numPr>
          <w:ilvl w:val="0"/>
          <w:numId w:val="5"/>
        </w:numPr>
        <w:spacing w:line="360" w:lineRule="auto"/>
        <w:rPr>
          <w:rFonts w:cs="Arial"/>
          <w:sz w:val="24"/>
          <w:szCs w:val="24"/>
          <w:lang w:val="es-ES"/>
        </w:rPr>
      </w:pPr>
      <w:r w:rsidRPr="00710A06">
        <w:rPr>
          <w:rFonts w:cs="Arial"/>
          <w:sz w:val="24"/>
          <w:szCs w:val="24"/>
          <w:lang w:val="es-ES"/>
        </w:rPr>
        <w:t>El 44 por ciento de nuestras exportaciones a EEUU, país con el cual realizamos el 63 por ciento de nuestro comercio, no se realiza al amparo del TLCAN.</w:t>
      </w:r>
    </w:p>
    <w:p w:rsidR="00D57C5F" w:rsidRPr="00710A06" w:rsidRDefault="00D57C5F" w:rsidP="00C45465">
      <w:pPr>
        <w:pStyle w:val="PRIMERAPLANA"/>
        <w:spacing w:line="360" w:lineRule="auto"/>
        <w:rPr>
          <w:rFonts w:cs="Arial"/>
          <w:sz w:val="24"/>
          <w:szCs w:val="24"/>
          <w:lang w:val="es-ES"/>
        </w:rPr>
      </w:pPr>
    </w:p>
    <w:p w:rsidR="00D57C5F" w:rsidRPr="00710A06" w:rsidRDefault="00D57C5F" w:rsidP="00C45465">
      <w:pPr>
        <w:pStyle w:val="PRIMERAPLANA"/>
        <w:numPr>
          <w:ilvl w:val="0"/>
          <w:numId w:val="5"/>
        </w:numPr>
        <w:spacing w:line="360" w:lineRule="auto"/>
        <w:rPr>
          <w:rFonts w:cs="Arial"/>
          <w:sz w:val="24"/>
          <w:szCs w:val="24"/>
          <w:lang w:val="es-ES"/>
        </w:rPr>
      </w:pPr>
      <w:r w:rsidRPr="00710A06">
        <w:rPr>
          <w:rFonts w:cs="Arial"/>
          <w:sz w:val="24"/>
          <w:szCs w:val="24"/>
          <w:lang w:val="es-ES"/>
        </w:rPr>
        <w:t>En el caso extremo de que EEUU abandonara el Tratado prevalecería el trato de Nación Más Favorecida en el marco de los acuerdos de la Organización Mundial del Comercio (OMC), por lo que el 60 por ciento del comercio total con EEUU correspondería a productos que tendrían un arancel promedio de 2.2 por ciento al importarse y de 1.3 por ciento al exportarse, mientras que otro 33.4 por ciento del comercio con dicho país se realizaría en productos a los que les aplicaría un arancel promedio de 6.6 por ciento al importarse y de 4.3 por ciento al exportarse a EEUU.</w:t>
      </w:r>
    </w:p>
    <w:p w:rsidR="00D57C5F" w:rsidRPr="00710A06" w:rsidRDefault="00D57C5F" w:rsidP="00C45465">
      <w:pPr>
        <w:pStyle w:val="PRIMERAPLANA"/>
        <w:spacing w:line="360" w:lineRule="auto"/>
        <w:rPr>
          <w:rFonts w:cs="Arial"/>
          <w:sz w:val="24"/>
          <w:szCs w:val="24"/>
          <w:lang w:val="es-ES"/>
        </w:rPr>
      </w:pPr>
    </w:p>
    <w:p w:rsidR="00D57C5F" w:rsidRPr="00710A06" w:rsidRDefault="00D57C5F" w:rsidP="00C45465">
      <w:pPr>
        <w:pStyle w:val="PRIMERAPLANA"/>
        <w:spacing w:line="360" w:lineRule="auto"/>
        <w:rPr>
          <w:rFonts w:cs="Arial"/>
          <w:sz w:val="24"/>
          <w:szCs w:val="24"/>
          <w:lang w:val="es-ES"/>
        </w:rPr>
      </w:pPr>
      <w:r w:rsidRPr="00710A06">
        <w:rPr>
          <w:rFonts w:cs="Arial"/>
          <w:sz w:val="24"/>
          <w:szCs w:val="24"/>
          <w:lang w:val="es-ES"/>
        </w:rPr>
        <w:lastRenderedPageBreak/>
        <w:t>Se prevé que en 2018 las exportaciones no petroleras de México registren una aceleración respecto a 2017. Esto se traduciría en un mayor crecimiento de la producción de manufacturas y de los servicios más relacionados con el comercio exterior. Asimismo, se anticipa que la plataforma de producción de petróleo en 2018 comience a recuperarse de la tendencia decreciente que registra desde 2005.</w:t>
      </w:r>
    </w:p>
    <w:p w:rsidR="00D57C5F" w:rsidRPr="00710A06" w:rsidRDefault="00D57C5F" w:rsidP="00C45465">
      <w:pPr>
        <w:pStyle w:val="PRIMERAPLANA"/>
        <w:spacing w:line="360" w:lineRule="auto"/>
        <w:rPr>
          <w:rFonts w:cs="Arial"/>
          <w:sz w:val="24"/>
          <w:szCs w:val="24"/>
          <w:lang w:val="es-ES"/>
        </w:rPr>
      </w:pPr>
    </w:p>
    <w:p w:rsidR="00D57C5F" w:rsidRPr="00710A06" w:rsidRDefault="00D57C5F" w:rsidP="00C45465">
      <w:pPr>
        <w:pStyle w:val="PRIMERAPLANA"/>
        <w:spacing w:line="360" w:lineRule="auto"/>
        <w:rPr>
          <w:rFonts w:cs="Arial"/>
          <w:sz w:val="24"/>
          <w:szCs w:val="24"/>
          <w:lang w:val="es-ES"/>
        </w:rPr>
      </w:pPr>
      <w:r w:rsidRPr="00710A06">
        <w:rPr>
          <w:rFonts w:cs="Arial"/>
          <w:sz w:val="24"/>
          <w:szCs w:val="24"/>
          <w:lang w:val="es-ES"/>
        </w:rPr>
        <w:t>Por otro lado, se estima un fortalecimiento de la demanda interna, apoyado en la creación de empleos formales, la expansión del crédito, un aumento de los salarios, la convergencia de la inflación al objetivo del Banco de México de 3.0 por ciento con un rango de un punto porcentual, y una mejoría paulatina de la confianza de los consumidores y las empresas.</w:t>
      </w:r>
    </w:p>
    <w:p w:rsidR="00D57C5F" w:rsidRPr="00710A06" w:rsidRDefault="00D57C5F" w:rsidP="00C45465">
      <w:pPr>
        <w:pStyle w:val="PRIMERAPLANA"/>
        <w:spacing w:line="360" w:lineRule="auto"/>
        <w:rPr>
          <w:rFonts w:cs="Arial"/>
          <w:sz w:val="24"/>
          <w:szCs w:val="24"/>
          <w:lang w:val="es-ES"/>
        </w:rPr>
      </w:pPr>
    </w:p>
    <w:p w:rsidR="00D57C5F" w:rsidRPr="00710A06" w:rsidRDefault="00D57C5F" w:rsidP="00C45465">
      <w:pPr>
        <w:pStyle w:val="PRIMERAPLANA"/>
        <w:spacing w:line="360" w:lineRule="auto"/>
        <w:rPr>
          <w:rFonts w:cs="Arial"/>
          <w:sz w:val="24"/>
          <w:szCs w:val="24"/>
          <w:lang w:val="es-ES"/>
        </w:rPr>
      </w:pPr>
      <w:r w:rsidRPr="00710A06">
        <w:rPr>
          <w:rFonts w:cs="Arial"/>
          <w:sz w:val="24"/>
          <w:szCs w:val="24"/>
          <w:lang w:val="es-ES"/>
        </w:rPr>
        <w:t>El escenario económico para 2018 considera una inflación general consistente con el objetivo del Banco de México. Este panorama implica que la cuenta corriente de la balanza de pagos registre un déficit moderado de 23 mil 300 millones de dólares, el cual sería equivalente a 1.8 por ciento del PIB. Se proyecta que el flujo de inversión extranjera directa financiará totalmente el déficit en cuenta corriente.</w:t>
      </w:r>
    </w:p>
    <w:p w:rsidR="00D57C5F" w:rsidRPr="00710A06" w:rsidRDefault="00D57C5F" w:rsidP="00C45465">
      <w:pPr>
        <w:pStyle w:val="PRIMERAPLANA"/>
        <w:spacing w:line="360" w:lineRule="auto"/>
        <w:rPr>
          <w:rFonts w:cs="Arial"/>
          <w:sz w:val="24"/>
          <w:szCs w:val="24"/>
          <w:lang w:val="es-ES"/>
        </w:rPr>
      </w:pPr>
    </w:p>
    <w:p w:rsidR="00D57C5F" w:rsidRPr="00710A06" w:rsidRDefault="00D57C5F" w:rsidP="00C45465">
      <w:pPr>
        <w:pStyle w:val="PRIMERAPLANA"/>
        <w:spacing w:line="360" w:lineRule="auto"/>
        <w:rPr>
          <w:rFonts w:cs="Arial"/>
          <w:sz w:val="24"/>
          <w:szCs w:val="24"/>
          <w:lang w:val="es-ES"/>
        </w:rPr>
      </w:pPr>
      <w:r w:rsidRPr="00710A06">
        <w:rPr>
          <w:rFonts w:cs="Arial"/>
          <w:sz w:val="24"/>
          <w:szCs w:val="24"/>
          <w:lang w:val="es-ES"/>
        </w:rPr>
        <w:t>El precio de referencia para la mezcla mexicana de crudo de exportación en 2018 es de 48.5 dpb y la LFPRH establece que el valor que se utilice en la formulación de la LIF no deberá superar al mismo. En consecuencia, se plantea utilizar un precio de 46 dpb, cifra que además de cumplir con el criterio mencionado considera la evolución reciente del mercado petrolero y las cotizaciones en los mercados de futuros, además de permitir estimaciones prudentes y responsables de finanzas públicas.</w:t>
      </w:r>
    </w:p>
    <w:p w:rsidR="00D57C5F" w:rsidRPr="00710A06" w:rsidRDefault="00D57C5F" w:rsidP="00C45465">
      <w:pPr>
        <w:pStyle w:val="PRIMERAPLANA"/>
        <w:spacing w:line="360" w:lineRule="auto"/>
        <w:rPr>
          <w:rFonts w:cs="Arial"/>
          <w:sz w:val="24"/>
          <w:szCs w:val="24"/>
          <w:lang w:val="es-ES"/>
        </w:rPr>
      </w:pPr>
    </w:p>
    <w:p w:rsidR="00D57C5F" w:rsidRPr="00710A06" w:rsidRDefault="00D57C5F" w:rsidP="00C45465">
      <w:pPr>
        <w:pStyle w:val="PRIMERAPLANA"/>
        <w:spacing w:line="360" w:lineRule="auto"/>
        <w:rPr>
          <w:rFonts w:cs="Arial"/>
          <w:sz w:val="24"/>
          <w:szCs w:val="24"/>
          <w:lang w:val="es-ES"/>
        </w:rPr>
      </w:pPr>
      <w:r w:rsidRPr="00710A06">
        <w:rPr>
          <w:rFonts w:cs="Arial"/>
          <w:sz w:val="24"/>
          <w:szCs w:val="24"/>
          <w:lang w:val="es-ES"/>
        </w:rPr>
        <w:lastRenderedPageBreak/>
        <w:t xml:space="preserve">Se espera que en 2018 las plataformas de producción y exportación de crudo sean de 1,983 </w:t>
      </w:r>
      <w:proofErr w:type="spellStart"/>
      <w:r w:rsidRPr="00710A06">
        <w:rPr>
          <w:rFonts w:cs="Arial"/>
          <w:sz w:val="24"/>
          <w:szCs w:val="24"/>
          <w:lang w:val="es-ES"/>
        </w:rPr>
        <w:t>mbd</w:t>
      </w:r>
      <w:proofErr w:type="spellEnd"/>
      <w:r w:rsidRPr="00710A06">
        <w:rPr>
          <w:rFonts w:cs="Arial"/>
          <w:sz w:val="24"/>
          <w:szCs w:val="24"/>
          <w:lang w:val="es-ES"/>
        </w:rPr>
        <w:t xml:space="preserve"> y 888 </w:t>
      </w:r>
      <w:proofErr w:type="spellStart"/>
      <w:r w:rsidRPr="00710A06">
        <w:rPr>
          <w:rFonts w:cs="Arial"/>
          <w:sz w:val="24"/>
          <w:szCs w:val="24"/>
          <w:lang w:val="es-ES"/>
        </w:rPr>
        <w:t>mbd</w:t>
      </w:r>
      <w:proofErr w:type="spellEnd"/>
      <w:r w:rsidRPr="00710A06">
        <w:rPr>
          <w:rFonts w:cs="Arial"/>
          <w:sz w:val="24"/>
          <w:szCs w:val="24"/>
          <w:lang w:val="es-ES"/>
        </w:rPr>
        <w:t>, respectivamente. La estimación de la plataforma de producción de petróleo toma en cuenta la proyección para la producción de Pemex aprobada por su Consejo de Administración, así como estimaciones prudentes para la producción derivada de las Rondas.</w:t>
      </w:r>
    </w:p>
    <w:p w:rsidR="00D57C5F" w:rsidRPr="00710A06" w:rsidRDefault="00D57C5F" w:rsidP="00C45465">
      <w:pPr>
        <w:pStyle w:val="PRIMERAPLANA"/>
        <w:spacing w:line="360" w:lineRule="auto"/>
        <w:rPr>
          <w:rFonts w:cs="Arial"/>
          <w:sz w:val="24"/>
          <w:szCs w:val="24"/>
          <w:lang w:val="es-ES"/>
        </w:rPr>
      </w:pPr>
    </w:p>
    <w:p w:rsidR="00D57C5F" w:rsidRPr="00710A06" w:rsidRDefault="00D57C5F" w:rsidP="00C45465">
      <w:pPr>
        <w:pStyle w:val="PRIMERAPLANA"/>
        <w:spacing w:line="360" w:lineRule="auto"/>
        <w:rPr>
          <w:rFonts w:cs="Arial"/>
          <w:sz w:val="24"/>
          <w:szCs w:val="24"/>
          <w:lang w:val="es-ES"/>
        </w:rPr>
      </w:pPr>
      <w:r w:rsidRPr="00710A06">
        <w:rPr>
          <w:rFonts w:cs="Arial"/>
          <w:sz w:val="24"/>
          <w:szCs w:val="24"/>
          <w:lang w:val="es-ES"/>
        </w:rPr>
        <w:t>La política de ingresos para 2018 está orientada a proveer certeza para el adecuado desarrollo de la actividad económica, para un año en el que se anticipa que el entorno externo puede continuar generando incertidumbre. Por tanto, la ILIF 2018 reitera el compromiso de no plantear medidas que representen una mayor carga tributaria para las empresas y familias del país, con el objetivo de que los hogares y empresas puedan planear adecuadamente sus decisiones económicas, generando así condiciones propicias para incrementar el ahorro y la inversión.</w:t>
      </w:r>
    </w:p>
    <w:p w:rsidR="00D57C5F" w:rsidRPr="00710A06" w:rsidRDefault="00D57C5F" w:rsidP="00C45465">
      <w:pPr>
        <w:pStyle w:val="PRIMERAPLANA"/>
        <w:spacing w:line="360" w:lineRule="auto"/>
        <w:rPr>
          <w:rFonts w:cs="Arial"/>
          <w:sz w:val="24"/>
          <w:szCs w:val="24"/>
          <w:lang w:val="es-ES"/>
        </w:rPr>
      </w:pPr>
    </w:p>
    <w:p w:rsidR="00D57C5F" w:rsidRPr="00710A06" w:rsidRDefault="00D57C5F" w:rsidP="00C45465">
      <w:pPr>
        <w:pStyle w:val="PRIMERAPLANA"/>
        <w:spacing w:line="360" w:lineRule="auto"/>
        <w:rPr>
          <w:rFonts w:cs="Arial"/>
          <w:sz w:val="24"/>
          <w:szCs w:val="24"/>
          <w:lang w:val="es-ES"/>
        </w:rPr>
      </w:pPr>
      <w:r w:rsidRPr="00710A06">
        <w:rPr>
          <w:rFonts w:cs="Arial"/>
          <w:sz w:val="24"/>
          <w:szCs w:val="24"/>
          <w:lang w:val="es-ES"/>
        </w:rPr>
        <w:t>La política de gasto para 2018 reafirma el esfuerzo de reingeniería del gasto público y disciplina en las finanzas, y privilegia programas que contribuyan a la reducción de la pobreza, reducir el gasto corriente en los Ramos Administrativos, priorizar la inversión productiva sobre la administrativa y sentar las bases para la elaboración de un presupuesto basado en los Objetivos de Desarrollo Sustentable acordados por los países miembros de la ONU.</w:t>
      </w:r>
    </w:p>
    <w:p w:rsidR="00D57C5F" w:rsidRPr="00710A06" w:rsidRDefault="00D57C5F" w:rsidP="00C45465">
      <w:pPr>
        <w:pStyle w:val="PRIMERAPLANA"/>
        <w:spacing w:line="360" w:lineRule="auto"/>
        <w:rPr>
          <w:rFonts w:cs="Arial"/>
          <w:sz w:val="24"/>
          <w:szCs w:val="24"/>
          <w:lang w:val="es-ES"/>
        </w:rPr>
      </w:pPr>
    </w:p>
    <w:p w:rsidR="00D57C5F" w:rsidRPr="00710A06" w:rsidRDefault="00D57C5F" w:rsidP="00C45465">
      <w:pPr>
        <w:pStyle w:val="PRIMERAPLANA"/>
        <w:spacing w:line="360" w:lineRule="auto"/>
        <w:rPr>
          <w:rFonts w:cs="Arial"/>
          <w:sz w:val="24"/>
          <w:szCs w:val="24"/>
          <w:lang w:val="es-ES"/>
        </w:rPr>
      </w:pPr>
      <w:r w:rsidRPr="00710A06">
        <w:rPr>
          <w:rFonts w:cs="Arial"/>
          <w:sz w:val="24"/>
          <w:szCs w:val="24"/>
          <w:lang w:val="es-ES"/>
        </w:rPr>
        <w:t xml:space="preserve">Así, el gasto programable pagado propuesto es de 3,697.0 </w:t>
      </w:r>
      <w:proofErr w:type="spellStart"/>
      <w:r w:rsidRPr="00710A06">
        <w:rPr>
          <w:rFonts w:cs="Arial"/>
          <w:sz w:val="24"/>
          <w:szCs w:val="24"/>
          <w:lang w:val="es-ES"/>
        </w:rPr>
        <w:t>mmp</w:t>
      </w:r>
      <w:proofErr w:type="spellEnd"/>
      <w:r w:rsidRPr="00710A06">
        <w:rPr>
          <w:rFonts w:cs="Arial"/>
          <w:sz w:val="24"/>
          <w:szCs w:val="24"/>
          <w:lang w:val="es-ES"/>
        </w:rPr>
        <w:t xml:space="preserve"> (3,731.7 </w:t>
      </w:r>
      <w:proofErr w:type="spellStart"/>
      <w:r w:rsidRPr="00710A06">
        <w:rPr>
          <w:rFonts w:cs="Arial"/>
          <w:sz w:val="24"/>
          <w:szCs w:val="24"/>
          <w:lang w:val="es-ES"/>
        </w:rPr>
        <w:t>mmp</w:t>
      </w:r>
      <w:proofErr w:type="spellEnd"/>
      <w:r w:rsidRPr="00710A06">
        <w:rPr>
          <w:rFonts w:cs="Arial"/>
          <w:sz w:val="24"/>
          <w:szCs w:val="24"/>
          <w:lang w:val="es-ES"/>
        </w:rPr>
        <w:t xml:space="preserve"> devengado) y se mantiene prácticamente constante en términos reales para 2018, al aumentar en 11.3 </w:t>
      </w:r>
      <w:proofErr w:type="spellStart"/>
      <w:r w:rsidRPr="00710A06">
        <w:rPr>
          <w:rFonts w:cs="Arial"/>
          <w:sz w:val="24"/>
          <w:szCs w:val="24"/>
          <w:lang w:val="es-ES"/>
        </w:rPr>
        <w:t>mmp</w:t>
      </w:r>
      <w:proofErr w:type="spellEnd"/>
      <w:r w:rsidRPr="00710A06">
        <w:rPr>
          <w:rFonts w:cs="Arial"/>
          <w:sz w:val="24"/>
          <w:szCs w:val="24"/>
          <w:lang w:val="es-ES"/>
        </w:rPr>
        <w:t xml:space="preserve"> (0.3 por ciento real). El esfuerzo de reducción del gasto se refleja en una disminución en el gasto programable pagado de 27.8 </w:t>
      </w:r>
      <w:proofErr w:type="spellStart"/>
      <w:r w:rsidRPr="00710A06">
        <w:rPr>
          <w:rFonts w:cs="Arial"/>
          <w:sz w:val="24"/>
          <w:szCs w:val="24"/>
          <w:lang w:val="es-ES"/>
        </w:rPr>
        <w:t>mmp</w:t>
      </w:r>
      <w:proofErr w:type="spellEnd"/>
      <w:r w:rsidRPr="00710A06">
        <w:rPr>
          <w:rFonts w:cs="Arial"/>
          <w:sz w:val="24"/>
          <w:szCs w:val="24"/>
          <w:lang w:val="es-ES"/>
        </w:rPr>
        <w:t xml:space="preserve"> (0.9 por ciento real) al excluir las erogaciones en las </w:t>
      </w:r>
      <w:r w:rsidRPr="00710A06">
        <w:rPr>
          <w:rFonts w:cs="Arial"/>
          <w:sz w:val="24"/>
          <w:szCs w:val="24"/>
          <w:lang w:val="es-ES"/>
        </w:rPr>
        <w:lastRenderedPageBreak/>
        <w:t xml:space="preserve">pensiones de los trabajadores, así como en la reducción en las erogaciones de los Ramos Administrativos por 28.3 </w:t>
      </w:r>
      <w:proofErr w:type="spellStart"/>
      <w:r w:rsidRPr="00710A06">
        <w:rPr>
          <w:rFonts w:cs="Arial"/>
          <w:sz w:val="24"/>
          <w:szCs w:val="24"/>
          <w:lang w:val="es-ES"/>
        </w:rPr>
        <w:t>mmp</w:t>
      </w:r>
      <w:proofErr w:type="spellEnd"/>
      <w:r w:rsidRPr="00710A06">
        <w:rPr>
          <w:rFonts w:cs="Arial"/>
          <w:sz w:val="24"/>
          <w:szCs w:val="24"/>
          <w:lang w:val="es-ES"/>
        </w:rPr>
        <w:t xml:space="preserve"> (2.8 por ciento real).</w:t>
      </w:r>
    </w:p>
    <w:p w:rsidR="00D57C5F" w:rsidRPr="00710A06" w:rsidRDefault="00D57C5F" w:rsidP="00C45465">
      <w:pPr>
        <w:pStyle w:val="PRIMERAPLANA"/>
        <w:spacing w:line="360" w:lineRule="auto"/>
        <w:rPr>
          <w:rFonts w:cs="Arial"/>
          <w:sz w:val="24"/>
          <w:szCs w:val="24"/>
          <w:lang w:val="es-ES"/>
        </w:rPr>
      </w:pPr>
    </w:p>
    <w:p w:rsidR="00D57C5F" w:rsidRPr="00710A06" w:rsidRDefault="00D57C5F" w:rsidP="00C45465">
      <w:pPr>
        <w:pStyle w:val="PRIMERAPLANA"/>
        <w:spacing w:line="360" w:lineRule="auto"/>
        <w:rPr>
          <w:rFonts w:cs="Arial"/>
          <w:sz w:val="24"/>
          <w:szCs w:val="24"/>
          <w:lang w:val="es-ES"/>
        </w:rPr>
      </w:pPr>
      <w:r w:rsidRPr="00710A06">
        <w:rPr>
          <w:rFonts w:cs="Arial"/>
          <w:sz w:val="24"/>
          <w:szCs w:val="24"/>
          <w:lang w:val="es-ES"/>
        </w:rPr>
        <w:t>El conjunto de las medidas de ingreso y gasto implican alcanzar un equilibrio presupuestario en el balance económico sin inversión de alto impacto económico y social, esto es, los programas y proyectos de inversión con alta rentabilidad e impacto social listados en el Tomo correspondiente del Proyecto de Presupuestos de Egresos de la Federación, que han acreditado los elementos técnicos y jurídicos que permiten su ejecución.</w:t>
      </w:r>
    </w:p>
    <w:p w:rsidR="00D57C5F" w:rsidRPr="00710A06" w:rsidRDefault="00D57C5F" w:rsidP="00C45465">
      <w:pPr>
        <w:pStyle w:val="PRIMERAPLANA"/>
        <w:spacing w:line="360" w:lineRule="auto"/>
        <w:rPr>
          <w:rFonts w:cs="Arial"/>
          <w:sz w:val="24"/>
          <w:szCs w:val="24"/>
          <w:lang w:val="es-ES"/>
        </w:rPr>
      </w:pPr>
    </w:p>
    <w:p w:rsidR="00D57C5F" w:rsidRPr="00710A06" w:rsidRDefault="00D57C5F" w:rsidP="00C45465">
      <w:pPr>
        <w:pStyle w:val="PRIMERAPLANA"/>
        <w:spacing w:line="360" w:lineRule="auto"/>
        <w:rPr>
          <w:rFonts w:cs="Arial"/>
          <w:sz w:val="24"/>
          <w:szCs w:val="24"/>
          <w:lang w:val="es-ES"/>
        </w:rPr>
      </w:pPr>
      <w:r w:rsidRPr="00710A06">
        <w:rPr>
          <w:rFonts w:cs="Arial"/>
          <w:sz w:val="24"/>
          <w:szCs w:val="24"/>
          <w:lang w:val="es-ES"/>
        </w:rPr>
        <w:t>A continuación se presentan las principales variables empleadas en la estimación del marco macroeconómico 2018, establecidas en los Criterios Generales de Política Económica 2018.</w:t>
      </w:r>
    </w:p>
    <w:p w:rsidR="00D57C5F" w:rsidRPr="00710A06" w:rsidRDefault="00D57C5F" w:rsidP="00C45465">
      <w:pPr>
        <w:pStyle w:val="PRIMERAPLANA"/>
        <w:spacing w:line="360" w:lineRule="auto"/>
        <w:rPr>
          <w:rFonts w:cs="Arial"/>
          <w:bCs/>
          <w:sz w:val="24"/>
          <w:szCs w:val="24"/>
          <w:lang w:val="es-ES"/>
        </w:rPr>
      </w:pPr>
    </w:p>
    <w:p w:rsidR="00F43477" w:rsidRPr="00710A06" w:rsidRDefault="001F3890" w:rsidP="00C45465">
      <w:pPr>
        <w:spacing w:after="0" w:line="360" w:lineRule="auto"/>
        <w:jc w:val="center"/>
        <w:rPr>
          <w:rFonts w:ascii="Arial" w:hAnsi="Arial" w:cs="Arial"/>
          <w:sz w:val="24"/>
          <w:szCs w:val="24"/>
          <w:lang w:val="es-ES"/>
        </w:rPr>
      </w:pPr>
      <w:r w:rsidRPr="00710A06">
        <w:rPr>
          <w:rFonts w:ascii="Arial" w:hAnsi="Arial" w:cs="Arial"/>
          <w:noProof/>
          <w:sz w:val="24"/>
          <w:szCs w:val="24"/>
          <w:lang w:eastAsia="es-MX"/>
        </w:rPr>
        <w:lastRenderedPageBreak/>
        <w:drawing>
          <wp:inline distT="0" distB="0" distL="0" distR="0" wp14:anchorId="5854B9FC" wp14:editId="456FD48F">
            <wp:extent cx="5345723" cy="7408545"/>
            <wp:effectExtent l="0" t="0" r="762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553" t="9553" r="32751" b="8809"/>
                    <a:stretch/>
                  </pic:blipFill>
                  <pic:spPr bwMode="auto">
                    <a:xfrm>
                      <a:off x="0" y="0"/>
                      <a:ext cx="5399119" cy="7482545"/>
                    </a:xfrm>
                    <a:prstGeom prst="rect">
                      <a:avLst/>
                    </a:prstGeom>
                    <a:ln>
                      <a:noFill/>
                    </a:ln>
                    <a:extLst>
                      <a:ext uri="{53640926-AAD7-44D8-BBD7-CCE9431645EC}">
                        <a14:shadowObscured xmlns:a14="http://schemas.microsoft.com/office/drawing/2010/main"/>
                      </a:ext>
                    </a:extLst>
                  </pic:spPr>
                </pic:pic>
              </a:graphicData>
            </a:graphic>
          </wp:inline>
        </w:drawing>
      </w:r>
    </w:p>
    <w:p w:rsidR="001F3890" w:rsidRPr="00710A06" w:rsidRDefault="001F3890" w:rsidP="00C45465">
      <w:pPr>
        <w:spacing w:after="0" w:line="360" w:lineRule="auto"/>
        <w:jc w:val="both"/>
        <w:rPr>
          <w:rFonts w:ascii="Arial" w:hAnsi="Arial" w:cs="Arial"/>
          <w:b/>
          <w:bCs/>
          <w:sz w:val="24"/>
          <w:szCs w:val="24"/>
        </w:rPr>
      </w:pPr>
      <w:r w:rsidRPr="00710A06">
        <w:rPr>
          <w:rFonts w:ascii="Arial" w:hAnsi="Arial" w:cs="Arial"/>
          <w:b/>
          <w:bCs/>
          <w:sz w:val="24"/>
          <w:szCs w:val="24"/>
        </w:rPr>
        <w:lastRenderedPageBreak/>
        <w:t>ENTORNO LOCAL.</w:t>
      </w:r>
    </w:p>
    <w:p w:rsidR="001F3890" w:rsidRPr="00710A06" w:rsidRDefault="001F3890" w:rsidP="00C45465">
      <w:pPr>
        <w:pStyle w:val="PRIMERAPLANA"/>
        <w:spacing w:line="360" w:lineRule="auto"/>
        <w:rPr>
          <w:rFonts w:cs="Arial"/>
          <w:sz w:val="24"/>
          <w:szCs w:val="24"/>
          <w:lang w:val="es-ES"/>
        </w:rPr>
      </w:pPr>
    </w:p>
    <w:p w:rsidR="001F3890" w:rsidRPr="00710A06" w:rsidRDefault="001F3890" w:rsidP="00C45465">
      <w:pPr>
        <w:pStyle w:val="PRIMERAPLANA"/>
        <w:spacing w:line="360" w:lineRule="auto"/>
        <w:rPr>
          <w:rFonts w:cs="Arial"/>
          <w:iCs/>
          <w:sz w:val="24"/>
          <w:szCs w:val="24"/>
          <w:lang w:val="es-ES"/>
        </w:rPr>
      </w:pPr>
      <w:r w:rsidRPr="00710A06">
        <w:rPr>
          <w:rFonts w:cs="Arial"/>
          <w:iCs/>
          <w:sz w:val="24"/>
          <w:szCs w:val="24"/>
          <w:lang w:val="es-ES"/>
        </w:rPr>
        <w:t>La Iniciativa de Ley Ingresos del Estado de Tlaxcala, para el Ejercicio Fiscal 2018 presentada ante este Congreso del Estado, tiene como objetivo establecer una estimación prudente y conservadora de los montos en los conceptos por los cuales el Gobierno del Estado podrá obtener los recursos económicos que requiere para la realización de sus funciones.</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t>El Gobierno del Estado ha enfrentado retos importantes en materia de gasto público, ya que se han tenido mayores restricciones en los ingresos, por lo que, la estrategia estatal de crecimiento debe cimentarse en el fortalecimiento de la recaudación en ingresos propios dentro del marco de sus potestades tributarias.</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pStyle w:val="PRIMERAPLANA"/>
        <w:spacing w:line="360" w:lineRule="auto"/>
        <w:rPr>
          <w:rFonts w:cs="Arial"/>
          <w:sz w:val="24"/>
          <w:szCs w:val="24"/>
          <w:lang w:val="es-ES"/>
        </w:rPr>
      </w:pPr>
      <w:r w:rsidRPr="00710A06">
        <w:rPr>
          <w:rFonts w:cs="Arial"/>
          <w:sz w:val="24"/>
          <w:szCs w:val="24"/>
          <w:lang w:val="es-ES"/>
        </w:rPr>
        <w:t>La presente Iniciativa es producto de la aplicación de políticas públicas y de medidas de disciplina financiera, que han generado el incremento de las fuentes de ingreso locales, lo que permitirá la implementación de programas y la ejecución de proyectos prioritarios de carácter social y de apoyo a sectores vulnerables. Por otra parte, las políticas de austeridad implementadas generaron ahorros significativos, mismos que han sido destinados a programas de impacto social.</w:t>
      </w:r>
    </w:p>
    <w:p w:rsidR="001F3890" w:rsidRPr="00710A06" w:rsidRDefault="001F3890" w:rsidP="00C45465">
      <w:pPr>
        <w:pStyle w:val="PRIMERAPLANA"/>
        <w:spacing w:line="360" w:lineRule="auto"/>
        <w:rPr>
          <w:rFonts w:cs="Arial"/>
          <w:sz w:val="24"/>
          <w:szCs w:val="24"/>
          <w:lang w:val="es-ES"/>
        </w:rPr>
      </w:pPr>
    </w:p>
    <w:p w:rsidR="001F3890" w:rsidRPr="00710A06" w:rsidRDefault="001F3890" w:rsidP="00C45465">
      <w:pPr>
        <w:spacing w:after="0" w:line="360" w:lineRule="auto"/>
        <w:jc w:val="both"/>
        <w:rPr>
          <w:rFonts w:ascii="Arial" w:eastAsia="Arial Unicode MS" w:hAnsi="Arial" w:cs="Arial"/>
          <w:bCs/>
          <w:sz w:val="24"/>
          <w:szCs w:val="24"/>
        </w:rPr>
      </w:pPr>
      <w:r w:rsidRPr="00710A06">
        <w:rPr>
          <w:rFonts w:ascii="Arial" w:eastAsia="Arial Unicode MS" w:hAnsi="Arial" w:cs="Arial"/>
          <w:bCs/>
          <w:sz w:val="24"/>
          <w:szCs w:val="24"/>
        </w:rPr>
        <w:t>Esta Administración durante el primer año de gestión, ha mantenido la política de Cero Deuda Pública, como una acción coadyuvante en la disciplina financiera y en la contención del gasto público, con el objetivo de mantener un balance presupuestario positivo que contribuya a la estabilidad de las finanzas públicas estatales.</w:t>
      </w: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lastRenderedPageBreak/>
        <w:t xml:space="preserve">El comportamiento de los ingresos por fuentes locales de los últimos 6 años, presenta estabilidad financiera, derivado de las acciones implementadas y enfocadas a la simplificación administrativa y a la mejora en la prestación de servicios al contribuyente. </w:t>
      </w:r>
    </w:p>
    <w:p w:rsidR="001F3890" w:rsidRPr="00710A06" w:rsidRDefault="001F3890" w:rsidP="00C45465">
      <w:pPr>
        <w:spacing w:after="0" w:line="360" w:lineRule="auto"/>
        <w:jc w:val="center"/>
        <w:rPr>
          <w:rFonts w:ascii="Arial" w:hAnsi="Arial" w:cs="Arial"/>
          <w:b/>
          <w:sz w:val="24"/>
          <w:szCs w:val="24"/>
        </w:rPr>
      </w:pPr>
    </w:p>
    <w:p w:rsidR="001F3890" w:rsidRPr="00710A06" w:rsidRDefault="001F3890" w:rsidP="00C45465">
      <w:pPr>
        <w:spacing w:after="0" w:line="360" w:lineRule="auto"/>
        <w:jc w:val="center"/>
        <w:rPr>
          <w:rFonts w:ascii="Arial" w:hAnsi="Arial" w:cs="Arial"/>
          <w:b/>
          <w:sz w:val="24"/>
          <w:szCs w:val="24"/>
        </w:rPr>
      </w:pPr>
      <w:r w:rsidRPr="00710A06">
        <w:rPr>
          <w:rFonts w:ascii="Arial" w:hAnsi="Arial" w:cs="Arial"/>
          <w:b/>
          <w:sz w:val="24"/>
          <w:szCs w:val="24"/>
        </w:rPr>
        <w:t>RECAUDACIÓN DE IMPUESTOS PROPIOS 2011-2017* (</w:t>
      </w:r>
      <w:proofErr w:type="spellStart"/>
      <w:r w:rsidRPr="00710A06">
        <w:rPr>
          <w:rFonts w:ascii="Arial" w:hAnsi="Arial" w:cs="Arial"/>
          <w:b/>
          <w:sz w:val="24"/>
          <w:szCs w:val="24"/>
        </w:rPr>
        <w:t>Mdp</w:t>
      </w:r>
      <w:proofErr w:type="spellEnd"/>
      <w:r w:rsidRPr="00710A06">
        <w:rPr>
          <w:rFonts w:ascii="Arial" w:hAnsi="Arial" w:cs="Arial"/>
          <w:b/>
          <w:sz w:val="24"/>
          <w:szCs w:val="24"/>
        </w:rPr>
        <w:t>)</w:t>
      </w:r>
    </w:p>
    <w:p w:rsidR="001F3890" w:rsidRPr="00710A06" w:rsidRDefault="001F3890" w:rsidP="00C45465">
      <w:pPr>
        <w:spacing w:after="0" w:line="360" w:lineRule="auto"/>
        <w:jc w:val="both"/>
        <w:rPr>
          <w:rFonts w:ascii="Arial" w:hAnsi="Arial" w:cs="Arial"/>
          <w:sz w:val="4"/>
          <w:highlight w:val="lightGray"/>
        </w:rPr>
      </w:pPr>
    </w:p>
    <w:p w:rsidR="001F3890" w:rsidRPr="00710A06" w:rsidRDefault="001F3890" w:rsidP="00C45465">
      <w:pPr>
        <w:spacing w:after="0" w:line="360" w:lineRule="auto"/>
        <w:jc w:val="both"/>
        <w:rPr>
          <w:rFonts w:ascii="Arial" w:hAnsi="Arial" w:cs="Arial"/>
        </w:rPr>
      </w:pPr>
      <w:r w:rsidRPr="00710A06">
        <w:rPr>
          <w:rFonts w:ascii="Arial" w:hAnsi="Arial" w:cs="Arial"/>
          <w:noProof/>
          <w:lang w:eastAsia="es-MX"/>
        </w:rPr>
        <w:drawing>
          <wp:inline distT="0" distB="0" distL="0" distR="0" wp14:anchorId="6FE72714" wp14:editId="11D3168A">
            <wp:extent cx="5179060" cy="1724025"/>
            <wp:effectExtent l="0" t="0" r="254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9030" cy="1727344"/>
                    </a:xfrm>
                    <a:prstGeom prst="rect">
                      <a:avLst/>
                    </a:prstGeom>
                    <a:noFill/>
                    <a:ln>
                      <a:noFill/>
                    </a:ln>
                  </pic:spPr>
                </pic:pic>
              </a:graphicData>
            </a:graphic>
          </wp:inline>
        </w:drawing>
      </w:r>
    </w:p>
    <w:p w:rsidR="001F3890" w:rsidRPr="00710A06" w:rsidRDefault="001F3890" w:rsidP="00C45465">
      <w:pPr>
        <w:spacing w:after="0" w:line="360" w:lineRule="auto"/>
        <w:jc w:val="both"/>
        <w:rPr>
          <w:rFonts w:ascii="Arial" w:hAnsi="Arial" w:cs="Arial"/>
          <w:b/>
          <w:sz w:val="10"/>
        </w:rPr>
      </w:pPr>
      <w:r w:rsidRPr="00710A06">
        <w:rPr>
          <w:rFonts w:ascii="Arial" w:hAnsi="Arial" w:cs="Arial"/>
          <w:b/>
          <w:sz w:val="10"/>
        </w:rPr>
        <w:t>* Estimaciones al Cierre de 2017.</w:t>
      </w:r>
    </w:p>
    <w:p w:rsidR="001F3890" w:rsidRDefault="001F3890" w:rsidP="00C45465">
      <w:pPr>
        <w:spacing w:after="0" w:line="360" w:lineRule="auto"/>
        <w:jc w:val="both"/>
        <w:rPr>
          <w:rFonts w:ascii="Arial" w:hAnsi="Arial" w:cs="Arial"/>
          <w:b/>
          <w:sz w:val="10"/>
        </w:rPr>
      </w:pPr>
      <w:r w:rsidRPr="00710A06">
        <w:rPr>
          <w:rFonts w:ascii="Arial" w:hAnsi="Arial" w:cs="Arial"/>
          <w:b/>
          <w:sz w:val="10"/>
        </w:rPr>
        <w:t xml:space="preserve">Fuente: Dirección de Contabilidad Gubernamental y Coordinación Hacendaria </w:t>
      </w:r>
    </w:p>
    <w:p w:rsidR="00C45465" w:rsidRDefault="00C45465" w:rsidP="00C45465">
      <w:pPr>
        <w:spacing w:after="0" w:line="360" w:lineRule="auto"/>
        <w:jc w:val="both"/>
        <w:rPr>
          <w:rFonts w:ascii="Arial" w:hAnsi="Arial" w:cs="Arial"/>
          <w:b/>
          <w:sz w:val="10"/>
        </w:rPr>
      </w:pPr>
    </w:p>
    <w:p w:rsidR="00C45465" w:rsidRDefault="00C45465" w:rsidP="00C45465">
      <w:pPr>
        <w:spacing w:after="0" w:line="360" w:lineRule="auto"/>
        <w:jc w:val="both"/>
        <w:rPr>
          <w:rFonts w:ascii="Arial" w:hAnsi="Arial" w:cs="Arial"/>
          <w:b/>
          <w:sz w:val="10"/>
        </w:rPr>
      </w:pPr>
    </w:p>
    <w:p w:rsidR="00C45465" w:rsidRPr="00710A06" w:rsidRDefault="00C45465" w:rsidP="00C45465">
      <w:pPr>
        <w:spacing w:after="0" w:line="360" w:lineRule="auto"/>
        <w:jc w:val="both"/>
        <w:rPr>
          <w:rFonts w:ascii="Arial" w:hAnsi="Arial" w:cs="Arial"/>
          <w:b/>
          <w:sz w:val="10"/>
        </w:rPr>
      </w:pPr>
    </w:p>
    <w:p w:rsidR="001F3890" w:rsidRPr="00710A06" w:rsidRDefault="001F3890" w:rsidP="00C45465">
      <w:pPr>
        <w:spacing w:after="0" w:line="360" w:lineRule="auto"/>
        <w:jc w:val="both"/>
        <w:rPr>
          <w:rFonts w:ascii="Arial" w:hAnsi="Arial" w:cs="Arial"/>
          <w:b/>
          <w:sz w:val="10"/>
        </w:rPr>
      </w:pPr>
    </w:p>
    <w:p w:rsidR="001F3890" w:rsidRPr="00710A06" w:rsidRDefault="001F3890" w:rsidP="00C45465">
      <w:pPr>
        <w:spacing w:after="0" w:line="360" w:lineRule="auto"/>
        <w:jc w:val="both"/>
        <w:rPr>
          <w:rFonts w:ascii="Arial" w:hAnsi="Arial" w:cs="Arial"/>
          <w:highlight w:val="lightGray"/>
        </w:rPr>
      </w:pPr>
      <w:r w:rsidRPr="00710A06">
        <w:rPr>
          <w:rFonts w:ascii="Arial" w:hAnsi="Arial" w:cs="Arial"/>
          <w:noProof/>
          <w:highlight w:val="lightGray"/>
          <w:lang w:eastAsia="es-MX"/>
        </w:rPr>
        <w:drawing>
          <wp:inline distT="0" distB="0" distL="0" distR="0" wp14:anchorId="6A1471BD" wp14:editId="2D5C560C">
            <wp:extent cx="5233649" cy="2592336"/>
            <wp:effectExtent l="0" t="0" r="571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3491" cy="2626930"/>
                    </a:xfrm>
                    <a:prstGeom prst="rect">
                      <a:avLst/>
                    </a:prstGeom>
                    <a:noFill/>
                  </pic:spPr>
                </pic:pic>
              </a:graphicData>
            </a:graphic>
          </wp:inline>
        </w:drawing>
      </w:r>
    </w:p>
    <w:p w:rsidR="001F3890" w:rsidRPr="00710A06" w:rsidRDefault="001F3890" w:rsidP="00C45465">
      <w:pPr>
        <w:spacing w:after="0" w:line="360" w:lineRule="auto"/>
        <w:jc w:val="both"/>
        <w:rPr>
          <w:rFonts w:ascii="Arial" w:hAnsi="Arial" w:cs="Arial"/>
          <w:b/>
          <w:sz w:val="10"/>
        </w:rPr>
      </w:pPr>
      <w:r w:rsidRPr="00710A06">
        <w:rPr>
          <w:rFonts w:ascii="Arial" w:hAnsi="Arial" w:cs="Arial"/>
          <w:b/>
          <w:sz w:val="10"/>
        </w:rPr>
        <w:t>* Estimaciones al Cierre de 2017.</w:t>
      </w:r>
    </w:p>
    <w:p w:rsidR="001F3890" w:rsidRPr="00710A06" w:rsidRDefault="001F3890" w:rsidP="00C45465">
      <w:pPr>
        <w:spacing w:after="0" w:line="360" w:lineRule="auto"/>
        <w:jc w:val="both"/>
        <w:rPr>
          <w:rFonts w:ascii="Arial" w:hAnsi="Arial" w:cs="Arial"/>
          <w:b/>
          <w:sz w:val="10"/>
        </w:rPr>
      </w:pPr>
      <w:r w:rsidRPr="00710A06">
        <w:rPr>
          <w:rFonts w:ascii="Arial" w:hAnsi="Arial" w:cs="Arial"/>
          <w:b/>
          <w:sz w:val="10"/>
        </w:rPr>
        <w:t xml:space="preserve">Fuente: Dirección de Contabilidad Gubernamental y Coordinación Hacendaria </w:t>
      </w:r>
    </w:p>
    <w:p w:rsidR="00C45465" w:rsidRDefault="00C45465" w:rsidP="00C45465">
      <w:pPr>
        <w:pStyle w:val="PRIMERAPLANA"/>
        <w:spacing w:line="360" w:lineRule="auto"/>
        <w:rPr>
          <w:rFonts w:cs="Arial"/>
          <w:sz w:val="24"/>
          <w:szCs w:val="24"/>
          <w:lang w:val="es-ES"/>
        </w:rPr>
      </w:pPr>
    </w:p>
    <w:p w:rsidR="001F3890" w:rsidRPr="00710A06" w:rsidRDefault="001F3890" w:rsidP="00C45465">
      <w:pPr>
        <w:pStyle w:val="PRIMERAPLANA"/>
        <w:spacing w:line="360" w:lineRule="auto"/>
        <w:rPr>
          <w:rFonts w:cs="Arial"/>
          <w:sz w:val="24"/>
          <w:szCs w:val="24"/>
          <w:lang w:val="es-ES"/>
        </w:rPr>
      </w:pPr>
      <w:r w:rsidRPr="00710A06">
        <w:rPr>
          <w:rFonts w:cs="Arial"/>
          <w:sz w:val="24"/>
          <w:szCs w:val="24"/>
          <w:lang w:val="es-ES"/>
        </w:rPr>
        <w:lastRenderedPageBreak/>
        <w:t xml:space="preserve">Ante un panorama económico que puede presentar riesgos, no se contempla la creación de nuevos impuestos, por lo que es fundamental implementar una política fiscal que contribuya a financiar el gasto público con ingresos provenientes de acciones que </w:t>
      </w:r>
      <w:proofErr w:type="spellStart"/>
      <w:r w:rsidRPr="00710A06">
        <w:rPr>
          <w:rFonts w:cs="Arial"/>
          <w:sz w:val="24"/>
          <w:szCs w:val="24"/>
          <w:lang w:val="es-ES"/>
        </w:rPr>
        <w:t>eficienten</w:t>
      </w:r>
      <w:proofErr w:type="spellEnd"/>
      <w:r w:rsidRPr="00710A06">
        <w:rPr>
          <w:rFonts w:cs="Arial"/>
          <w:sz w:val="24"/>
          <w:szCs w:val="24"/>
          <w:lang w:val="es-ES"/>
        </w:rPr>
        <w:t xml:space="preserve"> los procesos recaudatorios para incrementar paulatinamente los ingresos, siendo las estrategias principales el aumento de la base de contribuyentes, la promoción del uso de medios electrónicos de pago y la continua mejora de los procedimientos de fiscalización que garanticen la recuperación de créditos fiscales firmes.</w:t>
      </w:r>
    </w:p>
    <w:p w:rsidR="001F3890" w:rsidRPr="00710A06" w:rsidRDefault="001F3890" w:rsidP="00C45465">
      <w:pPr>
        <w:pStyle w:val="PRIMERAPLANA"/>
        <w:spacing w:line="360" w:lineRule="auto"/>
        <w:rPr>
          <w:rFonts w:cs="Arial"/>
          <w:sz w:val="24"/>
          <w:szCs w:val="24"/>
          <w:lang w:val="es-ES"/>
        </w:rPr>
      </w:pPr>
    </w:p>
    <w:p w:rsidR="001F3890" w:rsidRPr="00710A06" w:rsidRDefault="001F3890" w:rsidP="00C45465">
      <w:pPr>
        <w:spacing w:after="0" w:line="360" w:lineRule="auto"/>
        <w:jc w:val="both"/>
        <w:rPr>
          <w:rFonts w:ascii="Arial" w:eastAsia="Arial Unicode MS" w:hAnsi="Arial" w:cs="Arial"/>
          <w:bCs/>
          <w:sz w:val="24"/>
          <w:szCs w:val="24"/>
        </w:rPr>
      </w:pPr>
      <w:r w:rsidRPr="00710A06">
        <w:rPr>
          <w:rFonts w:ascii="Arial" w:eastAsia="Arial Unicode MS" w:hAnsi="Arial" w:cs="Arial"/>
          <w:bCs/>
          <w:sz w:val="24"/>
          <w:szCs w:val="24"/>
        </w:rPr>
        <w:t>El Impuesto Sobre Nóminas como fuente de ingresos locales para sufragar el gasto público, ocupa el primer lugar en la estructura de los ingresos propios, razón por la cual, se hace imprescindible fortalecer su recaudación.</w:t>
      </w:r>
    </w:p>
    <w:p w:rsidR="001F3890" w:rsidRPr="00710A06" w:rsidRDefault="001F3890" w:rsidP="00C45465">
      <w:pPr>
        <w:spacing w:after="0" w:line="360" w:lineRule="auto"/>
        <w:jc w:val="both"/>
        <w:rPr>
          <w:rFonts w:ascii="Arial" w:eastAsia="Arial Unicode MS" w:hAnsi="Arial" w:cs="Arial"/>
          <w:bCs/>
          <w:sz w:val="24"/>
          <w:szCs w:val="24"/>
        </w:rPr>
      </w:pPr>
    </w:p>
    <w:p w:rsidR="001F3890" w:rsidRPr="00710A06" w:rsidRDefault="001F3890" w:rsidP="00C45465">
      <w:pPr>
        <w:spacing w:after="0" w:line="360" w:lineRule="auto"/>
        <w:jc w:val="center"/>
        <w:rPr>
          <w:rFonts w:ascii="Arial" w:hAnsi="Arial" w:cs="Arial"/>
          <w:b/>
          <w:sz w:val="10"/>
        </w:rPr>
      </w:pPr>
      <w:r w:rsidRPr="00710A06">
        <w:rPr>
          <w:rFonts w:ascii="Arial" w:hAnsi="Arial" w:cs="Arial"/>
          <w:b/>
          <w:noProof/>
          <w:sz w:val="10"/>
          <w:lang w:eastAsia="es-MX"/>
        </w:rPr>
        <w:drawing>
          <wp:inline distT="0" distB="0" distL="0" distR="0" wp14:anchorId="4A5DE3E6" wp14:editId="0EFCCAB8">
            <wp:extent cx="4572000" cy="275082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2750820"/>
                    </a:xfrm>
                    <a:prstGeom prst="rect">
                      <a:avLst/>
                    </a:prstGeom>
                    <a:noFill/>
                  </pic:spPr>
                </pic:pic>
              </a:graphicData>
            </a:graphic>
          </wp:inline>
        </w:drawing>
      </w:r>
      <w:r w:rsidRPr="00710A06">
        <w:rPr>
          <w:rFonts w:ascii="Arial" w:hAnsi="Arial" w:cs="Arial"/>
          <w:b/>
          <w:sz w:val="10"/>
        </w:rPr>
        <w:t xml:space="preserve"> </w:t>
      </w:r>
    </w:p>
    <w:p w:rsidR="001F3890" w:rsidRPr="00710A06" w:rsidRDefault="001F3890" w:rsidP="00C45465">
      <w:pPr>
        <w:spacing w:after="0" w:line="360" w:lineRule="auto"/>
        <w:ind w:left="1418"/>
        <w:rPr>
          <w:rFonts w:ascii="Arial" w:hAnsi="Arial" w:cs="Arial"/>
          <w:b/>
          <w:sz w:val="10"/>
        </w:rPr>
      </w:pPr>
      <w:r w:rsidRPr="00710A06">
        <w:rPr>
          <w:rFonts w:ascii="Arial" w:hAnsi="Arial" w:cs="Arial"/>
          <w:b/>
          <w:sz w:val="10"/>
        </w:rPr>
        <w:t xml:space="preserve">Fuente: Dirección de Contabilidad Gubernamental y Coordinación Hacendaria </w:t>
      </w:r>
    </w:p>
    <w:p w:rsidR="001F3890" w:rsidRPr="00710A06" w:rsidRDefault="001F3890" w:rsidP="00C45465">
      <w:pPr>
        <w:pStyle w:val="PRIMERAPLANA"/>
        <w:spacing w:line="360" w:lineRule="auto"/>
        <w:rPr>
          <w:rFonts w:cs="Arial"/>
          <w:sz w:val="24"/>
          <w:szCs w:val="24"/>
          <w:lang w:val="es-ES"/>
        </w:rPr>
      </w:pPr>
    </w:p>
    <w:p w:rsidR="001F3890" w:rsidRPr="00710A06" w:rsidRDefault="001F3890" w:rsidP="00C45465">
      <w:pPr>
        <w:pStyle w:val="PRIMERAPLANA"/>
        <w:spacing w:line="360" w:lineRule="auto"/>
        <w:rPr>
          <w:rFonts w:cs="Arial"/>
          <w:sz w:val="24"/>
          <w:szCs w:val="24"/>
          <w:lang w:val="es-ES"/>
        </w:rPr>
      </w:pPr>
      <w:r w:rsidRPr="00710A06">
        <w:rPr>
          <w:rFonts w:cs="Arial"/>
          <w:sz w:val="24"/>
          <w:szCs w:val="24"/>
          <w:lang w:val="es-ES"/>
        </w:rPr>
        <w:t xml:space="preserve">En materia de incentivos fiscales estatales, se han propuesto políticas de fomento económico para impulsar la creación de nuevos empleos y generar </w:t>
      </w:r>
      <w:r w:rsidRPr="00710A06">
        <w:rPr>
          <w:rFonts w:cs="Arial"/>
          <w:sz w:val="24"/>
          <w:szCs w:val="24"/>
          <w:lang w:val="es-ES"/>
        </w:rPr>
        <w:lastRenderedPageBreak/>
        <w:t>cadenas productivas en el ámbito rural e industrial, que permitan atraer la atención de inversionistas al Estado.</w:t>
      </w:r>
    </w:p>
    <w:p w:rsidR="001F3890" w:rsidRPr="00710A06" w:rsidRDefault="001F3890" w:rsidP="00C45465">
      <w:pPr>
        <w:pStyle w:val="PRIMERAPLANA"/>
        <w:spacing w:line="360" w:lineRule="auto"/>
        <w:rPr>
          <w:rFonts w:cs="Arial"/>
          <w:sz w:val="24"/>
          <w:szCs w:val="24"/>
          <w:lang w:val="es-ES"/>
        </w:rPr>
      </w:pPr>
    </w:p>
    <w:p w:rsidR="001F3890" w:rsidRPr="00710A06" w:rsidRDefault="001F3890" w:rsidP="00C45465">
      <w:pPr>
        <w:pStyle w:val="PRIMERAPLANA"/>
        <w:spacing w:line="360" w:lineRule="auto"/>
        <w:rPr>
          <w:rFonts w:cs="Arial"/>
          <w:sz w:val="24"/>
          <w:szCs w:val="24"/>
          <w:lang w:val="es-ES"/>
        </w:rPr>
      </w:pPr>
      <w:r w:rsidRPr="00710A06">
        <w:rPr>
          <w:rFonts w:cs="Arial"/>
          <w:sz w:val="24"/>
          <w:szCs w:val="24"/>
          <w:lang w:val="es-ES"/>
        </w:rPr>
        <w:t xml:space="preserve">Observando el principio de justicia tributaria, se prevé otorgar estímulos en materia del Impuesto Sobre Nóminas a empresas que ya se encuentren instaladas o de nueva creación con domicilio fiscal en el Estado, que contraten adultos mayores y a personas con capacidades diferentes, por otra parte, se continuará subsidiando el pago del Impuesto Estatal Sobre Tenencia o Uso de Vehículos. </w:t>
      </w:r>
    </w:p>
    <w:p w:rsidR="001F3890" w:rsidRPr="00710A06" w:rsidRDefault="001F3890" w:rsidP="00C45465">
      <w:pPr>
        <w:pStyle w:val="PRIMERAPLANA"/>
        <w:spacing w:line="360" w:lineRule="auto"/>
        <w:rPr>
          <w:rFonts w:cs="Arial"/>
          <w:sz w:val="24"/>
          <w:szCs w:val="24"/>
          <w:lang w:val="es-ES"/>
        </w:rPr>
      </w:pPr>
    </w:p>
    <w:p w:rsidR="001F3890" w:rsidRPr="00710A06" w:rsidRDefault="001F3890" w:rsidP="00C45465">
      <w:pPr>
        <w:pStyle w:val="PRIMERAPLANA"/>
        <w:spacing w:line="360" w:lineRule="auto"/>
        <w:rPr>
          <w:rFonts w:cs="Arial"/>
          <w:sz w:val="24"/>
          <w:szCs w:val="24"/>
          <w:lang w:val="es-ES"/>
        </w:rPr>
      </w:pPr>
      <w:r w:rsidRPr="00710A06">
        <w:rPr>
          <w:rFonts w:cs="Arial"/>
          <w:sz w:val="24"/>
          <w:szCs w:val="24"/>
          <w:lang w:val="es-ES"/>
        </w:rPr>
        <w:t>En atención al exhorto realizado por el Congreso de la Unión, se otorgan beneficios a los propietarios, tenedores o usuarios de vehículos automotores híbridos que circulen en la Entidad, otorgándoles una exención del 100 % en el pago del Impuesto Estatal Sobre Tenencia o Uso de Vehículos y de los Derechos por Registro y Control Vehicular.</w:t>
      </w:r>
    </w:p>
    <w:p w:rsidR="001F3890" w:rsidRPr="00710A06" w:rsidRDefault="001F3890" w:rsidP="00C45465">
      <w:pPr>
        <w:pStyle w:val="PRIMERAPLANA"/>
        <w:spacing w:line="360" w:lineRule="auto"/>
        <w:rPr>
          <w:rFonts w:cs="Arial"/>
          <w:sz w:val="24"/>
          <w:szCs w:val="24"/>
          <w:lang w:val="es-ES"/>
        </w:rPr>
      </w:pPr>
    </w:p>
    <w:p w:rsidR="001F3890" w:rsidRPr="00710A06" w:rsidRDefault="00C23104" w:rsidP="00C45465">
      <w:pPr>
        <w:pStyle w:val="PRIMERAPLANA"/>
        <w:spacing w:line="360" w:lineRule="auto"/>
        <w:rPr>
          <w:rFonts w:cs="Arial"/>
          <w:sz w:val="24"/>
          <w:szCs w:val="24"/>
          <w:lang w:val="es-ES"/>
        </w:rPr>
      </w:pPr>
      <w:r>
        <w:rPr>
          <w:rFonts w:cs="Arial"/>
          <w:sz w:val="24"/>
          <w:szCs w:val="24"/>
          <w:lang w:val="es-ES"/>
        </w:rPr>
        <w:t>E</w:t>
      </w:r>
      <w:r w:rsidR="001F3890" w:rsidRPr="00710A06">
        <w:rPr>
          <w:rFonts w:cs="Arial"/>
          <w:sz w:val="24"/>
          <w:szCs w:val="24"/>
          <w:lang w:val="es-ES"/>
        </w:rPr>
        <w:t>l desarrollo económico y lograr mejores condiciones de vida para la población del estado, es la meta</w:t>
      </w:r>
      <w:r w:rsidRPr="00C23104">
        <w:rPr>
          <w:rFonts w:cs="Arial"/>
          <w:sz w:val="24"/>
          <w:szCs w:val="24"/>
          <w:lang w:val="es-ES"/>
        </w:rPr>
        <w:t xml:space="preserve"> </w:t>
      </w:r>
      <w:r>
        <w:rPr>
          <w:rFonts w:cs="Arial"/>
          <w:sz w:val="24"/>
          <w:szCs w:val="24"/>
          <w:lang w:val="es-ES"/>
        </w:rPr>
        <w:t>p</w:t>
      </w:r>
      <w:r w:rsidRPr="00710A06">
        <w:rPr>
          <w:rFonts w:cs="Arial"/>
          <w:sz w:val="24"/>
          <w:szCs w:val="24"/>
          <w:lang w:val="es-ES"/>
        </w:rPr>
        <w:t>ara este gobierno</w:t>
      </w:r>
      <w:r w:rsidR="001F3890" w:rsidRPr="00710A06">
        <w:rPr>
          <w:rFonts w:cs="Arial"/>
          <w:sz w:val="24"/>
          <w:szCs w:val="24"/>
          <w:lang w:val="es-ES"/>
        </w:rPr>
        <w:t>; para ello, se buscará propiciar las condiciones que permitan crear más y mejores empleos en el Estado de Tlaxcala</w:t>
      </w:r>
      <w:r>
        <w:rPr>
          <w:rFonts w:cs="Arial"/>
          <w:sz w:val="24"/>
          <w:szCs w:val="24"/>
          <w:lang w:val="es-ES"/>
        </w:rPr>
        <w:t>,</w:t>
      </w:r>
      <w:r w:rsidR="001F3890" w:rsidRPr="00710A06">
        <w:rPr>
          <w:rFonts w:cs="Arial"/>
          <w:sz w:val="24"/>
          <w:szCs w:val="24"/>
          <w:lang w:val="es-ES"/>
        </w:rPr>
        <w:t xml:space="preserve">  mejora</w:t>
      </w:r>
      <w:r>
        <w:rPr>
          <w:rFonts w:cs="Arial"/>
          <w:sz w:val="24"/>
          <w:szCs w:val="24"/>
          <w:lang w:val="es-ES"/>
        </w:rPr>
        <w:t>ndo</w:t>
      </w:r>
      <w:r w:rsidR="001F3890" w:rsidRPr="00710A06">
        <w:rPr>
          <w:rFonts w:cs="Arial"/>
          <w:sz w:val="24"/>
          <w:szCs w:val="24"/>
          <w:lang w:val="es-ES"/>
        </w:rPr>
        <w:t xml:space="preserve"> las condiciones económicas de las familias tlaxcaltecas, encaminando las acciones de gobierno en una estrategia integral que considere como punto de partida, la realidad económica del estado, sus fortalezas y los retos a enfrentar en los próximos años para garantizar una vida mejor de </w:t>
      </w:r>
      <w:r>
        <w:rPr>
          <w:rFonts w:cs="Arial"/>
          <w:sz w:val="24"/>
          <w:szCs w:val="24"/>
          <w:lang w:val="es-ES"/>
        </w:rPr>
        <w:t>la ciudadanía</w:t>
      </w:r>
      <w:r w:rsidR="001F3890" w:rsidRPr="00710A06">
        <w:rPr>
          <w:rFonts w:cs="Arial"/>
          <w:sz w:val="24"/>
          <w:szCs w:val="24"/>
          <w:lang w:val="es-ES"/>
        </w:rPr>
        <w:t xml:space="preserve"> tlaxcalteca.</w:t>
      </w:r>
    </w:p>
    <w:p w:rsidR="001F3890" w:rsidRPr="00710A06" w:rsidRDefault="001F3890" w:rsidP="00C45465">
      <w:pPr>
        <w:pStyle w:val="PRIMERAPLANA"/>
        <w:spacing w:line="360" w:lineRule="auto"/>
        <w:rPr>
          <w:rFonts w:cs="Arial"/>
          <w:sz w:val="24"/>
          <w:szCs w:val="24"/>
          <w:lang w:val="es-ES"/>
        </w:rPr>
      </w:pPr>
    </w:p>
    <w:p w:rsidR="001F3890" w:rsidRPr="00710A06" w:rsidRDefault="001F3890" w:rsidP="00C45465">
      <w:pPr>
        <w:pStyle w:val="PRIMERAPLANA"/>
        <w:spacing w:line="360" w:lineRule="auto"/>
        <w:rPr>
          <w:rFonts w:cs="Arial"/>
          <w:sz w:val="24"/>
          <w:szCs w:val="24"/>
          <w:lang w:val="es-ES"/>
        </w:rPr>
      </w:pPr>
      <w:r w:rsidRPr="00710A06">
        <w:rPr>
          <w:rFonts w:cs="Arial"/>
          <w:sz w:val="24"/>
          <w:szCs w:val="24"/>
          <w:lang w:val="es-ES"/>
        </w:rPr>
        <w:t xml:space="preserve">A través de la rectoría del Ejecutivo, en el segundo trimestre de 2017, el Indicador Trimestral de la Actividad Económica Estatal (ITAEE), muestra que el Estado de Tlaxcala ha tenido un crecimiento estable respecto del </w:t>
      </w:r>
      <w:r w:rsidRPr="00710A06">
        <w:rPr>
          <w:rFonts w:cs="Arial"/>
          <w:sz w:val="24"/>
          <w:szCs w:val="24"/>
          <w:lang w:val="es-ES"/>
        </w:rPr>
        <w:lastRenderedPageBreak/>
        <w:t>segundo trimestre de 2016 con una variación del 1.9%, destacándose la aportación en volumen físico de las actividades primarias en 127.6, secundarias 112.1, terciarias 107.2 al total nacional, siendo la aportación mayor la de las actividades primarias.</w:t>
      </w:r>
    </w:p>
    <w:p w:rsidR="001F3890" w:rsidRPr="00710A06" w:rsidRDefault="001F3890" w:rsidP="00C45465">
      <w:pPr>
        <w:pStyle w:val="PRIMERAPLANA"/>
        <w:spacing w:line="360" w:lineRule="auto"/>
        <w:rPr>
          <w:rFonts w:cs="Arial"/>
          <w:sz w:val="24"/>
          <w:szCs w:val="24"/>
          <w:lang w:val="es-ES"/>
        </w:rPr>
      </w:pPr>
    </w:p>
    <w:p w:rsidR="001F3890" w:rsidRPr="00710A06" w:rsidRDefault="001F3890" w:rsidP="00C45465">
      <w:pPr>
        <w:pStyle w:val="PRIMERAPLANA"/>
        <w:spacing w:line="360" w:lineRule="auto"/>
        <w:rPr>
          <w:rFonts w:cs="Arial"/>
          <w:sz w:val="24"/>
          <w:szCs w:val="24"/>
          <w:lang w:val="es-ES"/>
        </w:rPr>
      </w:pPr>
      <w:r w:rsidRPr="00710A06">
        <w:rPr>
          <w:rFonts w:cs="Arial"/>
          <w:noProof/>
          <w:lang w:val="es-MX" w:eastAsia="es-MX"/>
        </w:rPr>
        <mc:AlternateContent>
          <mc:Choice Requires="wps">
            <w:drawing>
              <wp:anchor distT="0" distB="0" distL="114300" distR="114300" simplePos="0" relativeHeight="251661312" behindDoc="0" locked="0" layoutInCell="1" allowOverlap="1" wp14:anchorId="12F9B85B" wp14:editId="112247CA">
                <wp:simplePos x="0" y="0"/>
                <wp:positionH relativeFrom="column">
                  <wp:posOffset>-301435</wp:posOffset>
                </wp:positionH>
                <wp:positionV relativeFrom="paragraph">
                  <wp:posOffset>5123403</wp:posOffset>
                </wp:positionV>
                <wp:extent cx="189865" cy="45720"/>
                <wp:effectExtent l="19050" t="38100" r="57785" b="49530"/>
                <wp:wrapNone/>
                <wp:docPr id="24"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999CEC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6" o:spid="_x0000_s1026" type="#_x0000_t13" style="position:absolute;margin-left:-23.75pt;margin-top:403.4pt;width:14.95pt;height:3.6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" adj="15918" fillcolor="red" strokecolor="red" strokeweight="3pt">
                <v:shadow on="t" color="#823b0b" opacity=".5" offset="1pt"/>
              </v:shape>
            </w:pict>
          </mc:Fallback>
        </mc:AlternateContent>
      </w:r>
      <w:r w:rsidRPr="00710A06">
        <w:rPr>
          <w:rFonts w:cs="Arial"/>
          <w:noProof/>
          <w:lang w:val="es-MX" w:eastAsia="es-MX"/>
        </w:rPr>
        <w:drawing>
          <wp:inline distT="0" distB="0" distL="0" distR="0" wp14:anchorId="6B28C3DB" wp14:editId="15EEA099">
            <wp:extent cx="5200650" cy="6038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456" t="12424" r="23134" b="11073"/>
                    <a:stretch/>
                  </pic:blipFill>
                  <pic:spPr bwMode="auto">
                    <a:xfrm>
                      <a:off x="0" y="0"/>
                      <a:ext cx="5217199" cy="6058066"/>
                    </a:xfrm>
                    <a:prstGeom prst="rect">
                      <a:avLst/>
                    </a:prstGeom>
                    <a:ln>
                      <a:noFill/>
                    </a:ln>
                    <a:extLst>
                      <a:ext uri="{53640926-AAD7-44D8-BBD7-CCE9431645EC}">
                        <a14:shadowObscured xmlns:a14="http://schemas.microsoft.com/office/drawing/2010/main"/>
                      </a:ext>
                    </a:extLst>
                  </pic:spPr>
                </pic:pic>
              </a:graphicData>
            </a:graphic>
          </wp:inline>
        </w:drawing>
      </w:r>
    </w:p>
    <w:p w:rsidR="001F3890" w:rsidRPr="00710A06" w:rsidRDefault="001F3890" w:rsidP="00C45465">
      <w:pPr>
        <w:spacing w:after="0" w:line="360" w:lineRule="auto"/>
        <w:ind w:left="-709"/>
        <w:jc w:val="both"/>
        <w:rPr>
          <w:rFonts w:ascii="Arial" w:hAnsi="Arial" w:cs="Arial"/>
        </w:rPr>
      </w:pPr>
      <w:r w:rsidRPr="00710A06">
        <w:rPr>
          <w:rFonts w:ascii="Arial" w:hAnsi="Arial" w:cs="Arial"/>
          <w:noProof/>
          <w:lang w:eastAsia="es-MX"/>
        </w:rPr>
        <w:lastRenderedPageBreak/>
        <mc:AlternateContent>
          <mc:Choice Requires="wps">
            <w:drawing>
              <wp:anchor distT="0" distB="0" distL="114300" distR="114300" simplePos="0" relativeHeight="251659264" behindDoc="0" locked="0" layoutInCell="1" allowOverlap="1" wp14:anchorId="7E93C0C1" wp14:editId="0556AEA4">
                <wp:simplePos x="0" y="0"/>
                <wp:positionH relativeFrom="margin">
                  <wp:posOffset>-66675</wp:posOffset>
                </wp:positionH>
                <wp:positionV relativeFrom="paragraph">
                  <wp:posOffset>1859915</wp:posOffset>
                </wp:positionV>
                <wp:extent cx="189865" cy="45720"/>
                <wp:effectExtent l="19050" t="38100" r="57785" b="49530"/>
                <wp:wrapNone/>
                <wp:docPr id="25"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900DD9" id="AutoShape 86" o:spid="_x0000_s1026" type="#_x0000_t13" style="position:absolute;margin-left:-5.25pt;margin-top:146.45pt;width:14.95pt;height:3.6pt;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" adj="15918" fillcolor="red" strokecolor="red" strokeweight="3pt">
                <v:shadow on="t" color="#823b0b" opacity=".5" offset="1pt"/>
                <w10:wrap anchorx="margin"/>
              </v:shape>
            </w:pict>
          </mc:Fallback>
        </mc:AlternateContent>
      </w:r>
      <w:r w:rsidRPr="00710A06">
        <w:rPr>
          <w:rFonts w:ascii="Arial" w:hAnsi="Arial" w:cs="Arial"/>
          <w:noProof/>
          <w:lang w:eastAsia="es-MX"/>
        </w:rPr>
        <mc:AlternateContent>
          <mc:Choice Requires="wps">
            <w:drawing>
              <wp:anchor distT="0" distB="0" distL="114300" distR="114300" simplePos="0" relativeHeight="251663360" behindDoc="0" locked="0" layoutInCell="1" allowOverlap="1" wp14:anchorId="69768D3C" wp14:editId="041537D4">
                <wp:simplePos x="0" y="0"/>
                <wp:positionH relativeFrom="margin">
                  <wp:posOffset>2618105</wp:posOffset>
                </wp:positionH>
                <wp:positionV relativeFrom="paragraph">
                  <wp:posOffset>2421890</wp:posOffset>
                </wp:positionV>
                <wp:extent cx="189865" cy="45720"/>
                <wp:effectExtent l="19050" t="38100" r="57785" b="49530"/>
                <wp:wrapNone/>
                <wp:docPr id="28"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4E1FCB" id="AutoShape 86" o:spid="_x0000_s1026" type="#_x0000_t13" style="position:absolute;margin-left:206.15pt;margin-top:190.7pt;width:14.95pt;height:3.6pt;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" adj="15918" fillcolor="red" strokecolor="red" strokeweight="3pt">
                <v:shadow on="t" color="#823b0b" opacity=".5" offset="1pt"/>
                <w10:wrap anchorx="margin"/>
              </v:shape>
            </w:pict>
          </mc:Fallback>
        </mc:AlternateContent>
      </w:r>
      <w:r w:rsidRPr="00710A06">
        <w:rPr>
          <w:rFonts w:ascii="Arial" w:hAnsi="Arial" w:cs="Arial"/>
          <w:noProof/>
          <w:lang w:eastAsia="es-MX"/>
        </w:rPr>
        <w:drawing>
          <wp:inline distT="0" distB="0" distL="0" distR="0" wp14:anchorId="3D0B6B40" wp14:editId="7A1E48AB">
            <wp:extent cx="2638425" cy="39624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2295" t="20271" r="13571" b="12707"/>
                    <a:stretch/>
                  </pic:blipFill>
                  <pic:spPr bwMode="auto">
                    <a:xfrm>
                      <a:off x="0" y="0"/>
                      <a:ext cx="2646821" cy="3975009"/>
                    </a:xfrm>
                    <a:prstGeom prst="rect">
                      <a:avLst/>
                    </a:prstGeom>
                    <a:ln>
                      <a:noFill/>
                    </a:ln>
                    <a:extLst>
                      <a:ext uri="{53640926-AAD7-44D8-BBD7-CCE9431645EC}">
                        <a14:shadowObscured xmlns:a14="http://schemas.microsoft.com/office/drawing/2010/main"/>
                      </a:ext>
                    </a:extLst>
                  </pic:spPr>
                </pic:pic>
              </a:graphicData>
            </a:graphic>
          </wp:inline>
        </w:drawing>
      </w:r>
      <w:r w:rsidRPr="00710A06">
        <w:rPr>
          <w:rFonts w:ascii="Arial" w:hAnsi="Arial" w:cs="Arial"/>
          <w:noProof/>
          <w:lang w:eastAsia="es-MX"/>
        </w:rPr>
        <w:drawing>
          <wp:inline distT="0" distB="0" distL="0" distR="0" wp14:anchorId="76D6C0D4" wp14:editId="27B076D5">
            <wp:extent cx="2962275" cy="3923030"/>
            <wp:effectExtent l="0" t="0" r="9525"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1927" t="21251" r="12468" b="13361"/>
                    <a:stretch/>
                  </pic:blipFill>
                  <pic:spPr bwMode="auto">
                    <a:xfrm>
                      <a:off x="0" y="0"/>
                      <a:ext cx="2992988" cy="3963704"/>
                    </a:xfrm>
                    <a:prstGeom prst="rect">
                      <a:avLst/>
                    </a:prstGeom>
                    <a:ln>
                      <a:noFill/>
                    </a:ln>
                    <a:extLst>
                      <a:ext uri="{53640926-AAD7-44D8-BBD7-CCE9431645EC}">
                        <a14:shadowObscured xmlns:a14="http://schemas.microsoft.com/office/drawing/2010/main"/>
                      </a:ext>
                    </a:extLst>
                  </pic:spPr>
                </pic:pic>
              </a:graphicData>
            </a:graphic>
          </wp:inline>
        </w:drawing>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t>El Gobierno del Estado considera prioritaria la atención a los derechos de las niñas, niños y adolescentes, previniendo la acumulación de rezagos y la desigualdad, ampliando la atención dirigida a las niñas y niños de 0 a 5 años y adolescentes hasta los 18 años, a través de una estrategia de inclusión social.</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t>Al mes de agosto de 2017 la tasa de ocupación reflejó una participación del 1.1 % al total nacional, representando un incremento de más de 5,214 puestos de trabajo permanentes respecto a diciembre de 2016. Al mes de agosto de 2017, se tienen registrados 96,128 trabajadores asegurados en el IMSS, tal y como se muestra en los siguientes cuadros:</w:t>
      </w: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noProof/>
          <w:sz w:val="24"/>
          <w:szCs w:val="24"/>
          <w:lang w:eastAsia="es-MX"/>
        </w:rPr>
        <w:lastRenderedPageBreak/>
        <w:drawing>
          <wp:inline distT="0" distB="0" distL="0" distR="0" wp14:anchorId="37CB9FEC" wp14:editId="19C2F2B5">
            <wp:extent cx="5348851" cy="30403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784" t="21534" r="16018" b="18214"/>
                    <a:stretch/>
                  </pic:blipFill>
                  <pic:spPr bwMode="auto">
                    <a:xfrm>
                      <a:off x="0" y="0"/>
                      <a:ext cx="5385245" cy="3061067"/>
                    </a:xfrm>
                    <a:prstGeom prst="rect">
                      <a:avLst/>
                    </a:prstGeom>
                    <a:ln>
                      <a:noFill/>
                    </a:ln>
                    <a:extLst>
                      <a:ext uri="{53640926-AAD7-44D8-BBD7-CCE9431645EC}">
                        <a14:shadowObscured xmlns:a14="http://schemas.microsoft.com/office/drawing/2010/main"/>
                      </a:ext>
                    </a:extLst>
                  </pic:spPr>
                </pic:pic>
              </a:graphicData>
            </a:graphic>
          </wp:inline>
        </w:drawing>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noProof/>
          <w:sz w:val="24"/>
          <w:szCs w:val="24"/>
          <w:lang w:eastAsia="es-MX"/>
        </w:rPr>
        <w:drawing>
          <wp:inline distT="0" distB="0" distL="0" distR="0" wp14:anchorId="66E5D8A7" wp14:editId="1AB562C6">
            <wp:extent cx="5241851" cy="312547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784" t="18613" r="15837" b="15694"/>
                    <a:stretch/>
                  </pic:blipFill>
                  <pic:spPr bwMode="auto">
                    <a:xfrm>
                      <a:off x="0" y="0"/>
                      <a:ext cx="5271121" cy="3142922"/>
                    </a:xfrm>
                    <a:prstGeom prst="rect">
                      <a:avLst/>
                    </a:prstGeom>
                    <a:ln>
                      <a:noFill/>
                    </a:ln>
                    <a:extLst>
                      <a:ext uri="{53640926-AAD7-44D8-BBD7-CCE9431645EC}">
                        <a14:shadowObscured xmlns:a14="http://schemas.microsoft.com/office/drawing/2010/main"/>
                      </a:ext>
                    </a:extLst>
                  </pic:spPr>
                </pic:pic>
              </a:graphicData>
            </a:graphic>
          </wp:inline>
        </w:drawing>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t xml:space="preserve">De acuerdo al Directorio Estadístico Nacional de Unidades Económicas, Tlaxcala cuenta con 72,923 Unidades Económicas, lo que representa el 0.7 </w:t>
      </w:r>
      <w:r w:rsidRPr="00710A06">
        <w:rPr>
          <w:rFonts w:ascii="Arial" w:hAnsi="Arial" w:cs="Arial"/>
          <w:sz w:val="24"/>
          <w:szCs w:val="24"/>
        </w:rPr>
        <w:lastRenderedPageBreak/>
        <w:t>% del total nacional. Al segundo trimestre de 2017 la Población Económicamente Activa (PEA) ascendió a 580,335 personas, representando el 61.3 % de la población en edad de trabajar. Del Total de la PEA, el 96.2 % está ocupada y el 3.8 % se encuentra desocupada.</w:t>
      </w: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noProof/>
          <w:sz w:val="24"/>
          <w:szCs w:val="24"/>
          <w:lang w:eastAsia="es-MX"/>
        </w:rPr>
        <w:drawing>
          <wp:inline distT="0" distB="0" distL="0" distR="0" wp14:anchorId="3B9B132E" wp14:editId="473BAFF7">
            <wp:extent cx="5220586" cy="422084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260" t="22627" r="26289" b="12393"/>
                    <a:stretch/>
                  </pic:blipFill>
                  <pic:spPr bwMode="auto">
                    <a:xfrm>
                      <a:off x="0" y="0"/>
                      <a:ext cx="5250805" cy="4245277"/>
                    </a:xfrm>
                    <a:prstGeom prst="rect">
                      <a:avLst/>
                    </a:prstGeom>
                    <a:ln>
                      <a:noFill/>
                    </a:ln>
                    <a:extLst>
                      <a:ext uri="{53640926-AAD7-44D8-BBD7-CCE9431645EC}">
                        <a14:shadowObscured xmlns:a14="http://schemas.microsoft.com/office/drawing/2010/main"/>
                      </a:ext>
                    </a:extLst>
                  </pic:spPr>
                </pic:pic>
              </a:graphicData>
            </a:graphic>
          </wp:inline>
        </w:drawing>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t xml:space="preserve">Con plena consciencia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w:t>
      </w:r>
      <w:r w:rsidRPr="00710A06">
        <w:rPr>
          <w:rFonts w:ascii="Arial" w:hAnsi="Arial" w:cs="Arial"/>
          <w:sz w:val="24"/>
          <w:szCs w:val="24"/>
        </w:rPr>
        <w:lastRenderedPageBreak/>
        <w:t>hemos buscado insertar los productos tlaxcaltecas en los mercados nacional e internacional, dado que en el marco de una economía globalizada presenta mayores complejidades, por lo que es indispensable identificar las oportunidades y aprovecharlas con eficacia.</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t>Al segundo trimestre de 2017, la Inversión Extranjera Directa Acumulada del año 2011 al mes de junio de 2017 en el Estado de Tlaxcala fue de 921.4 millones de dólares lo que representó un aporte del 0.5 % al total nacional, instalándose empresas de diversas nacionalidades.</w:t>
      </w:r>
    </w:p>
    <w:p w:rsidR="00C45465" w:rsidRDefault="00C45465" w:rsidP="00C45465">
      <w:pPr>
        <w:spacing w:after="0" w:line="360" w:lineRule="auto"/>
        <w:jc w:val="center"/>
        <w:rPr>
          <w:rFonts w:ascii="Arial" w:hAnsi="Arial" w:cs="Arial"/>
          <w:b/>
          <w:sz w:val="24"/>
          <w:szCs w:val="24"/>
        </w:rPr>
      </w:pPr>
    </w:p>
    <w:p w:rsidR="001F3890" w:rsidRPr="00710A06" w:rsidRDefault="001F3890" w:rsidP="00C45465">
      <w:pPr>
        <w:spacing w:after="0" w:line="360" w:lineRule="auto"/>
        <w:jc w:val="center"/>
        <w:rPr>
          <w:rFonts w:ascii="Arial" w:hAnsi="Arial" w:cs="Arial"/>
          <w:b/>
          <w:sz w:val="24"/>
          <w:szCs w:val="24"/>
        </w:rPr>
      </w:pPr>
      <w:r w:rsidRPr="00710A06">
        <w:rPr>
          <w:rFonts w:ascii="Arial" w:hAnsi="Arial" w:cs="Arial"/>
          <w:b/>
          <w:sz w:val="24"/>
          <w:szCs w:val="24"/>
        </w:rPr>
        <w:t xml:space="preserve">INVERSIÓN EXTRANJERA DIRECTA EN MÉXICO </w:t>
      </w:r>
      <w:r w:rsidRPr="00710A06">
        <w:rPr>
          <w:rFonts w:ascii="Arial" w:hAnsi="Arial" w:cs="Arial"/>
          <w:b/>
          <w:sz w:val="24"/>
          <w:szCs w:val="24"/>
          <w:vertAlign w:val="superscript"/>
        </w:rPr>
        <w:t>1/</w:t>
      </w:r>
      <w:r w:rsidRPr="00710A06">
        <w:rPr>
          <w:rFonts w:ascii="Arial" w:hAnsi="Arial" w:cs="Arial"/>
          <w:b/>
          <w:sz w:val="24"/>
          <w:szCs w:val="24"/>
        </w:rPr>
        <w:t xml:space="preserve"> </w:t>
      </w:r>
    </w:p>
    <w:p w:rsidR="001F3890" w:rsidRPr="00710A06" w:rsidRDefault="001F3890" w:rsidP="00C45465">
      <w:pPr>
        <w:spacing w:after="0" w:line="360" w:lineRule="auto"/>
        <w:jc w:val="center"/>
        <w:rPr>
          <w:rFonts w:ascii="Arial" w:hAnsi="Arial" w:cs="Arial"/>
          <w:b/>
          <w:sz w:val="24"/>
          <w:szCs w:val="24"/>
        </w:rPr>
      </w:pPr>
      <w:r w:rsidRPr="00710A06">
        <w:rPr>
          <w:rFonts w:ascii="Arial" w:hAnsi="Arial" w:cs="Arial"/>
          <w:b/>
          <w:sz w:val="24"/>
          <w:szCs w:val="24"/>
        </w:rPr>
        <w:t xml:space="preserve">POR ENTIDAD FEDERATIVA </w:t>
      </w:r>
      <w:r w:rsidRPr="00710A06">
        <w:rPr>
          <w:rFonts w:ascii="Arial" w:hAnsi="Arial" w:cs="Arial"/>
          <w:b/>
          <w:sz w:val="24"/>
          <w:szCs w:val="24"/>
          <w:vertAlign w:val="superscript"/>
        </w:rPr>
        <w:t>2/</w:t>
      </w:r>
    </w:p>
    <w:p w:rsidR="001F3890" w:rsidRPr="00710A06" w:rsidRDefault="001F3890" w:rsidP="00C45465">
      <w:pPr>
        <w:spacing w:after="0" w:line="360" w:lineRule="auto"/>
        <w:jc w:val="center"/>
        <w:rPr>
          <w:rFonts w:ascii="Arial" w:hAnsi="Arial" w:cs="Arial"/>
          <w:b/>
          <w:sz w:val="24"/>
          <w:szCs w:val="24"/>
        </w:rPr>
      </w:pPr>
      <w:r w:rsidRPr="00710A06">
        <w:rPr>
          <w:rFonts w:ascii="Arial" w:hAnsi="Arial" w:cs="Arial"/>
          <w:b/>
          <w:sz w:val="24"/>
          <w:szCs w:val="24"/>
        </w:rPr>
        <w:t>(Millones de Dólares)</w:t>
      </w: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noProof/>
          <w:sz w:val="24"/>
          <w:szCs w:val="24"/>
          <w:lang w:eastAsia="es-MX"/>
        </w:rPr>
        <mc:AlternateContent>
          <mc:Choice Requires="wps">
            <w:drawing>
              <wp:anchor distT="0" distB="0" distL="114300" distR="114300" simplePos="0" relativeHeight="251662336" behindDoc="0" locked="0" layoutInCell="1" allowOverlap="1" wp14:anchorId="57DA71EB" wp14:editId="72512061">
                <wp:simplePos x="0" y="0"/>
                <wp:positionH relativeFrom="leftMargin">
                  <wp:posOffset>1804338</wp:posOffset>
                </wp:positionH>
                <wp:positionV relativeFrom="paragraph">
                  <wp:posOffset>3133973</wp:posOffset>
                </wp:positionV>
                <wp:extent cx="189865" cy="45720"/>
                <wp:effectExtent l="19050" t="38100" r="57785" b="49530"/>
                <wp:wrapNone/>
                <wp:docPr id="18"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1D357E" id="AutoShape 86" o:spid="_x0000_s1026" type="#_x0000_t13" style="position:absolute;margin-left:142.05pt;margin-top:246.75pt;width:14.95pt;height:3.6pt;flip:y;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" adj="15918" fillcolor="red" strokecolor="red" strokeweight="3pt">
                <v:shadow on="t" color="#823b0b" opacity=".5" offset="1pt"/>
                <w10:wrap anchorx="margin"/>
              </v:shape>
            </w:pict>
          </mc:Fallback>
        </mc:AlternateContent>
      </w:r>
      <w:r w:rsidRPr="00710A06">
        <w:rPr>
          <w:rFonts w:ascii="Arial" w:hAnsi="Arial" w:cs="Arial"/>
          <w:noProof/>
          <w:sz w:val="24"/>
          <w:szCs w:val="24"/>
          <w:lang w:eastAsia="es-MX"/>
        </w:rPr>
        <w:drawing>
          <wp:inline distT="0" distB="0" distL="0" distR="0" wp14:anchorId="2D542B8A" wp14:editId="1117222E">
            <wp:extent cx="4935590" cy="3391786"/>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a:extLst>
                        <a:ext uri="{28A0092B-C50C-407E-A947-70E740481C1C}">
                          <a14:useLocalDpi xmlns:a14="http://schemas.microsoft.com/office/drawing/2010/main" val="0"/>
                        </a:ext>
                      </a:extLst>
                    </a:blip>
                    <a:srcRect l="1353" r="799"/>
                    <a:stretch/>
                  </pic:blipFill>
                  <pic:spPr bwMode="auto">
                    <a:xfrm>
                      <a:off x="0" y="0"/>
                      <a:ext cx="5046164" cy="3467774"/>
                    </a:xfrm>
                    <a:prstGeom prst="rect">
                      <a:avLst/>
                    </a:prstGeom>
                    <a:noFill/>
                    <a:ln>
                      <a:noFill/>
                    </a:ln>
                    <a:extLst>
                      <a:ext uri="{53640926-AAD7-44D8-BBD7-CCE9431645EC}">
                        <a14:shadowObscured xmlns:a14="http://schemas.microsoft.com/office/drawing/2010/main"/>
                      </a:ext>
                    </a:extLst>
                  </pic:spPr>
                </pic:pic>
              </a:graphicData>
            </a:graphic>
          </wp:inline>
        </w:drawing>
      </w: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noProof/>
          <w:sz w:val="24"/>
          <w:szCs w:val="24"/>
          <w:lang w:eastAsia="es-MX"/>
        </w:rPr>
        <w:drawing>
          <wp:inline distT="0" distB="0" distL="0" distR="0" wp14:anchorId="3F86F868" wp14:editId="37F48260">
            <wp:extent cx="4666615" cy="512064"/>
            <wp:effectExtent l="0" t="0" r="0" b="0"/>
            <wp:docPr id="34"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Lst>
                    </a:blip>
                    <a:srcRect l="6781" t="77647" r="50247" b="15096"/>
                    <a:stretch/>
                  </pic:blipFill>
                  <pic:spPr bwMode="auto">
                    <a:xfrm>
                      <a:off x="0" y="0"/>
                      <a:ext cx="4724997" cy="518470"/>
                    </a:xfrm>
                    <a:prstGeom prst="rect">
                      <a:avLst/>
                    </a:prstGeom>
                    <a:ln>
                      <a:noFill/>
                    </a:ln>
                    <a:extLst>
                      <a:ext uri="{53640926-AAD7-44D8-BBD7-CCE9431645EC}">
                        <a14:shadowObscured xmlns:a14="http://schemas.microsoft.com/office/drawing/2010/main"/>
                      </a:ext>
                    </a:extLst>
                  </pic:spPr>
                </pic:pic>
              </a:graphicData>
            </a:graphic>
          </wp:inline>
        </w:drawing>
      </w: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lastRenderedPageBreak/>
        <w:t>El sector turismo en Tlaxcala ha recuperado dinamismo en los últimos años; prueba de esta recuperación es el aumento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t>En 2015, el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de 56%.</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t>Entre 2013 y 2016, 141 establecimientos obtuvieron la certificación de Punto Limpio². Por número de certificaciones obtenidas, Tlaxcala obtuvo el lugar 15 del país. Además, 92 establecimientos recibieron la certificación M</w:t>
      </w:r>
      <w:r w:rsidRPr="00710A06">
        <w:rPr>
          <w:rFonts w:ascii="Arial" w:hAnsi="Arial" w:cs="Arial"/>
          <w:sz w:val="24"/>
          <w:szCs w:val="24"/>
          <w:vertAlign w:val="superscript"/>
        </w:rPr>
        <w:t>3</w:t>
      </w:r>
      <w:r w:rsidRPr="00710A06">
        <w:rPr>
          <w:rFonts w:ascii="Arial" w:hAnsi="Arial" w:cs="Arial"/>
          <w:sz w:val="24"/>
          <w:szCs w:val="24"/>
        </w:rPr>
        <w:t xml:space="preserve"> y 59 el distintivo H</w:t>
      </w:r>
      <w:r w:rsidRPr="00710A06">
        <w:rPr>
          <w:rFonts w:ascii="Arial" w:hAnsi="Arial" w:cs="Arial"/>
          <w:sz w:val="24"/>
          <w:szCs w:val="24"/>
          <w:vertAlign w:val="superscript"/>
        </w:rPr>
        <w:t>4</w:t>
      </w:r>
      <w:r w:rsidRPr="00710A06">
        <w:rPr>
          <w:rFonts w:ascii="Arial" w:hAnsi="Arial" w:cs="Arial"/>
          <w:sz w:val="24"/>
          <w:szCs w:val="24"/>
        </w:rPr>
        <w:t>.</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t xml:space="preserve">El Estado de Tlaxcala se encuentra entre las Entidades mejor calificadas en el Índice de Información Presupuestal Estatal, elaborado por el Instituto Mexicano para la Competitividad, A.C., reafirmándose el compromiso de </w:t>
      </w:r>
      <w:r w:rsidRPr="00710A06">
        <w:rPr>
          <w:rFonts w:ascii="Arial" w:hAnsi="Arial" w:cs="Arial"/>
          <w:sz w:val="24"/>
          <w:szCs w:val="24"/>
        </w:rPr>
        <w:lastRenderedPageBreak/>
        <w:t>esta administración con la transparencia presupuestal y la rendición de cuentas.</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center"/>
        <w:rPr>
          <w:rFonts w:ascii="Arial" w:hAnsi="Arial" w:cs="Arial"/>
          <w:noProof/>
          <w:sz w:val="24"/>
          <w:szCs w:val="24"/>
          <w:lang w:eastAsia="es-MX"/>
        </w:rPr>
      </w:pPr>
      <w:r w:rsidRPr="00710A06">
        <w:rPr>
          <w:rFonts w:ascii="Arial" w:hAnsi="Arial" w:cs="Arial"/>
          <w:noProof/>
          <w:sz w:val="24"/>
          <w:szCs w:val="24"/>
          <w:lang w:eastAsia="es-MX"/>
        </w:rPr>
        <w:drawing>
          <wp:inline distT="0" distB="0" distL="0" distR="0" wp14:anchorId="3A3A797D" wp14:editId="7053775D">
            <wp:extent cx="5349834" cy="3044190"/>
            <wp:effectExtent l="0" t="0" r="0" b="0"/>
            <wp:docPr id="36" name="Imagen 36"/>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21">
                      <a:extLst>
                        <a:ext uri="{BEBA8EAE-BF5A-486C-A8C5-ECC9F3942E4B}">
                          <a14:imgProps xmlns:a14="http://schemas.microsoft.com/office/drawing/2010/main">
                            <a14:imgLayer r:embed="rId22">
                              <a14:imgEffect>
                                <a14:sharpenSoften amount="25000"/>
                              </a14:imgEffect>
                            </a14:imgLayer>
                          </a14:imgProps>
                        </a:ext>
                      </a:extLst>
                    </a:blip>
                    <a:srcRect l="16143" t="38252" r="23902" b="8969"/>
                    <a:stretch/>
                  </pic:blipFill>
                  <pic:spPr bwMode="auto">
                    <a:xfrm>
                      <a:off x="0" y="0"/>
                      <a:ext cx="5352971" cy="3045975"/>
                    </a:xfrm>
                    <a:prstGeom prst="rect">
                      <a:avLst/>
                    </a:prstGeom>
                    <a:ln>
                      <a:noFill/>
                    </a:ln>
                    <a:extLst>
                      <a:ext uri="{53640926-AAD7-44D8-BBD7-CCE9431645EC}">
                        <a14:shadowObscured xmlns:a14="http://schemas.microsoft.com/office/drawing/2010/main"/>
                      </a:ext>
                    </a:extLst>
                  </pic:spPr>
                </pic:pic>
              </a:graphicData>
            </a:graphic>
          </wp:inline>
        </w:drawing>
      </w:r>
    </w:p>
    <w:p w:rsidR="001F3890" w:rsidRPr="00710A06" w:rsidRDefault="001F3890" w:rsidP="00C45465">
      <w:pPr>
        <w:spacing w:after="0" w:line="360" w:lineRule="auto"/>
        <w:jc w:val="center"/>
        <w:rPr>
          <w:rFonts w:ascii="Arial" w:hAnsi="Arial" w:cs="Arial"/>
          <w:noProof/>
          <w:sz w:val="24"/>
          <w:szCs w:val="24"/>
          <w:lang w:eastAsia="es-MX"/>
        </w:rPr>
      </w:pPr>
    </w:p>
    <w:p w:rsidR="001F3890" w:rsidRPr="00710A06" w:rsidRDefault="001F3890" w:rsidP="00C45465">
      <w:pPr>
        <w:spacing w:after="0" w:line="360" w:lineRule="auto"/>
        <w:jc w:val="center"/>
        <w:rPr>
          <w:rFonts w:ascii="Arial" w:hAnsi="Arial" w:cs="Arial"/>
          <w:noProof/>
          <w:sz w:val="24"/>
          <w:szCs w:val="24"/>
          <w:lang w:eastAsia="es-MX"/>
        </w:rPr>
      </w:pPr>
      <w:r w:rsidRPr="00710A06">
        <w:rPr>
          <w:rFonts w:ascii="Arial" w:hAnsi="Arial" w:cs="Arial"/>
          <w:noProof/>
          <w:sz w:val="24"/>
          <w:szCs w:val="24"/>
          <w:lang w:eastAsia="es-MX"/>
        </w:rPr>
        <w:drawing>
          <wp:inline distT="0" distB="0" distL="0" distR="0" wp14:anchorId="4D172B83" wp14:editId="0CED1CD4">
            <wp:extent cx="4742815" cy="2933700"/>
            <wp:effectExtent l="0" t="0" r="0" b="0"/>
            <wp:docPr id="37" name="Imagen 37"/>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23"/>
                    <a:srcRect l="26646" t="42850" r="33808" b="7664"/>
                    <a:stretch/>
                  </pic:blipFill>
                  <pic:spPr bwMode="auto">
                    <a:xfrm>
                      <a:off x="0" y="0"/>
                      <a:ext cx="4742815" cy="2933700"/>
                    </a:xfrm>
                    <a:prstGeom prst="rect">
                      <a:avLst/>
                    </a:prstGeom>
                    <a:ln>
                      <a:noFill/>
                    </a:ln>
                    <a:extLst>
                      <a:ext uri="{53640926-AAD7-44D8-BBD7-CCE9431645EC}">
                        <a14:shadowObscured xmlns:a14="http://schemas.microsoft.com/office/drawing/2010/main"/>
                      </a:ext>
                    </a:extLst>
                  </pic:spPr>
                </pic:pic>
              </a:graphicData>
            </a:graphic>
          </wp:inline>
        </w:drawing>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lastRenderedPageBreak/>
        <w:t>Por otra parte, observando las disposiciones establecidas en la Ley de Disciplina Financiera de las Entidades Federativas y los Municipios, las estimaciones de ingresos que se prevén en la Iniciativa, consideran proyecciones congruentes a los Criterios Generales de Política Económica 2018.</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t>En materia de ingresos provenientes de fuentes locales y derivado de la tendencia observada en la recaudación de los últimos cinco ejercicios fiscales, se estima para el ejercicio fiscal de 2018, una variación del 8.67 % con relación a la ley de ingresos aprobada para el ejercicio fiscal de 2017, tal como se muestra en el siguiente gráfico:</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center"/>
        <w:rPr>
          <w:rFonts w:ascii="Arial" w:hAnsi="Arial" w:cs="Arial"/>
          <w:sz w:val="24"/>
          <w:szCs w:val="24"/>
        </w:rPr>
      </w:pPr>
      <w:r w:rsidRPr="00710A06">
        <w:rPr>
          <w:rFonts w:ascii="Arial" w:hAnsi="Arial" w:cs="Arial"/>
          <w:noProof/>
          <w:sz w:val="24"/>
          <w:szCs w:val="24"/>
          <w:lang w:eastAsia="es-MX"/>
        </w:rPr>
        <w:drawing>
          <wp:inline distT="0" distB="0" distL="0" distR="0" wp14:anchorId="7F77BB7E" wp14:editId="2F60BFBE">
            <wp:extent cx="5218866" cy="387228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4958" cy="3884225"/>
                    </a:xfrm>
                    <a:prstGeom prst="rect">
                      <a:avLst/>
                    </a:prstGeom>
                    <a:noFill/>
                  </pic:spPr>
                </pic:pic>
              </a:graphicData>
            </a:graphic>
          </wp:inline>
        </w:drawing>
      </w:r>
    </w:p>
    <w:p w:rsidR="001F3890" w:rsidRPr="00710A06" w:rsidRDefault="001F3890" w:rsidP="00C45465">
      <w:pPr>
        <w:spacing w:after="0" w:line="360" w:lineRule="auto"/>
        <w:rPr>
          <w:rFonts w:ascii="Arial" w:hAnsi="Arial" w:cs="Arial"/>
          <w:b/>
          <w:sz w:val="14"/>
        </w:rPr>
      </w:pPr>
      <w:r w:rsidRPr="00710A06">
        <w:rPr>
          <w:rFonts w:ascii="Arial" w:hAnsi="Arial" w:cs="Arial"/>
          <w:b/>
          <w:sz w:val="14"/>
        </w:rPr>
        <w:t>Fuente: Dirección de Ingresos y Fiscalización</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lastRenderedPageBreak/>
        <w:t>Por otra parte, se incluyen los ingresos que se esperan captar por parte de los organismos públicos descentralizados, por la prestación de servicios inherentes a sus funciones, mismos que serán recaudados a través de la Secretaría de Planeación y Finanzas.</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t xml:space="preserve">En lo relativo a participaciones federales referenciadas a la Recaudación Federal Participable en el presente ejercicio, la distribución por Entidad Federativa, muestra un crecimiento promedio de 7.95 %. Tlaxcala se sitúa con un 7.07 %, esto derivado del comportamiento de la recaudación de los impuestos y derechos locales (incluye predial y agua municipal) en los periodos 2014-2015 y 2015-2016, tal como se aprecia en el siguiente gráfico. </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noProof/>
          <w:sz w:val="24"/>
          <w:szCs w:val="24"/>
          <w:lang w:eastAsia="es-MX"/>
        </w:rPr>
        <mc:AlternateContent>
          <mc:Choice Requires="wps">
            <w:drawing>
              <wp:anchor distT="0" distB="0" distL="114300" distR="114300" simplePos="0" relativeHeight="251660288" behindDoc="0" locked="0" layoutInCell="1" allowOverlap="1" wp14:anchorId="2DA8B650" wp14:editId="3C66F02E">
                <wp:simplePos x="0" y="0"/>
                <wp:positionH relativeFrom="column">
                  <wp:posOffset>3577590</wp:posOffset>
                </wp:positionH>
                <wp:positionV relativeFrom="paragraph">
                  <wp:posOffset>682625</wp:posOffset>
                </wp:positionV>
                <wp:extent cx="75565" cy="241935"/>
                <wp:effectExtent l="19050" t="0" r="38735" b="43815"/>
                <wp:wrapNone/>
                <wp:docPr id="2" name="Flecha abaj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 cy="241935"/>
                        </a:xfrm>
                        <a:prstGeom prst="down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35EDB5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4" o:spid="_x0000_s1026" type="#_x0000_t67" style="position:absolute;margin-left:281.7pt;margin-top:53.75pt;width:5.95pt;height:1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" adj="18227" fillcolor="#c00000" strokecolor="#c00000" strokeweight="1pt">
                <v:path arrowok="t"/>
              </v:shape>
            </w:pict>
          </mc:Fallback>
        </mc:AlternateContent>
      </w:r>
      <w:r w:rsidRPr="00710A06">
        <w:rPr>
          <w:rFonts w:ascii="Arial" w:hAnsi="Arial" w:cs="Arial"/>
          <w:noProof/>
          <w:sz w:val="24"/>
          <w:szCs w:val="24"/>
          <w:lang w:eastAsia="es-MX"/>
        </w:rPr>
        <w:drawing>
          <wp:inline distT="0" distB="0" distL="0" distR="0" wp14:anchorId="5418FBBD" wp14:editId="5D7E5222">
            <wp:extent cx="5213350" cy="3145790"/>
            <wp:effectExtent l="0" t="0" r="635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4124" cy="3158325"/>
                    </a:xfrm>
                    <a:prstGeom prst="rect">
                      <a:avLst/>
                    </a:prstGeom>
                    <a:noFill/>
                  </pic:spPr>
                </pic:pic>
              </a:graphicData>
            </a:graphic>
          </wp:inline>
        </w:drawing>
      </w:r>
    </w:p>
    <w:p w:rsidR="001F3890" w:rsidRPr="00710A06" w:rsidRDefault="001F3890" w:rsidP="00C45465">
      <w:pPr>
        <w:spacing w:after="0" w:line="360" w:lineRule="auto"/>
        <w:jc w:val="both"/>
        <w:rPr>
          <w:rFonts w:ascii="Arial" w:hAnsi="Arial" w:cs="Arial"/>
          <w:b/>
          <w:sz w:val="14"/>
        </w:rPr>
      </w:pPr>
      <w:r w:rsidRPr="00710A06">
        <w:rPr>
          <w:rFonts w:ascii="Arial" w:hAnsi="Arial" w:cs="Arial"/>
          <w:b/>
          <w:sz w:val="14"/>
        </w:rPr>
        <w:t>Fuente: Elaboración propia DCGCH.</w:t>
      </w: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lastRenderedPageBreak/>
        <w:t>Para el ejercicio 2018, se prevé una variación del 7.79 % en las participaciones federales, respecto de las cifras autorizadas en la Ley de Ingresos del Estado del ejercicio fiscal 2017.</w:t>
      </w: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noProof/>
          <w:sz w:val="24"/>
          <w:szCs w:val="24"/>
          <w:lang w:eastAsia="es-MX"/>
        </w:rPr>
        <w:drawing>
          <wp:inline distT="0" distB="0" distL="0" distR="0" wp14:anchorId="5221BF56" wp14:editId="73B6300A">
            <wp:extent cx="5236210" cy="3143250"/>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1348" cy="3152337"/>
                    </a:xfrm>
                    <a:prstGeom prst="rect">
                      <a:avLst/>
                    </a:prstGeom>
                    <a:noFill/>
                  </pic:spPr>
                </pic:pic>
              </a:graphicData>
            </a:graphic>
          </wp:inline>
        </w:drawing>
      </w:r>
    </w:p>
    <w:p w:rsidR="001F3890" w:rsidRPr="00710A06" w:rsidRDefault="001F3890" w:rsidP="00C45465">
      <w:pPr>
        <w:spacing w:after="0" w:line="360" w:lineRule="auto"/>
        <w:jc w:val="both"/>
        <w:rPr>
          <w:rFonts w:ascii="Arial" w:hAnsi="Arial" w:cs="Arial"/>
          <w:b/>
          <w:sz w:val="14"/>
        </w:rPr>
      </w:pPr>
      <w:r w:rsidRPr="00710A06">
        <w:rPr>
          <w:rFonts w:ascii="Arial" w:hAnsi="Arial" w:cs="Arial"/>
          <w:b/>
          <w:sz w:val="14"/>
        </w:rPr>
        <w:t>Fuente: Elaboración propia DCGCH.</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t>En el caso de las aportaciones federales, estas presentan un comportamiento a la alza, de acuerdo a las cifras aprobadas y publicadas en el Presupuesto de Egresos de la Federación del ejercicio correspondiente, dado que son recursos etiquetados, observando una variación positiva del 5.00 % en el pronóstico 2018, respecto del monto autorizado en 2017.</w:t>
      </w: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noProof/>
          <w:sz w:val="24"/>
          <w:szCs w:val="24"/>
          <w:lang w:eastAsia="es-MX"/>
        </w:rPr>
        <w:lastRenderedPageBreak/>
        <w:drawing>
          <wp:inline distT="0" distB="0" distL="0" distR="0" wp14:anchorId="2F5DDBC1" wp14:editId="3EC45926">
            <wp:extent cx="5113655" cy="29337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5918" cy="2975157"/>
                    </a:xfrm>
                    <a:prstGeom prst="rect">
                      <a:avLst/>
                    </a:prstGeom>
                    <a:noFill/>
                  </pic:spPr>
                </pic:pic>
              </a:graphicData>
            </a:graphic>
          </wp:inline>
        </w:drawing>
      </w:r>
    </w:p>
    <w:p w:rsidR="001F3890" w:rsidRPr="00710A06" w:rsidRDefault="001F3890" w:rsidP="00C45465">
      <w:pPr>
        <w:spacing w:after="0" w:line="360" w:lineRule="auto"/>
        <w:jc w:val="both"/>
        <w:rPr>
          <w:rFonts w:ascii="Arial" w:hAnsi="Arial" w:cs="Arial"/>
          <w:b/>
          <w:sz w:val="14"/>
        </w:rPr>
      </w:pPr>
      <w:r w:rsidRPr="00710A06">
        <w:rPr>
          <w:rFonts w:ascii="Arial" w:hAnsi="Arial" w:cs="Arial"/>
          <w:b/>
          <w:sz w:val="14"/>
        </w:rPr>
        <w:t>Fuente: Elaboración propia DCGCH.</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t>Para el ejercicio fiscal 2018, se prevé obtener un total de ingresos para el Estado de Tlaxcala por $ 18,135,704,254.41, provenientes de fuentes locales, participaciones e incentivos económicos, aportaciones federales, convenios suscritos con el Gobierno Federal y extraordinarios, lo que representa una variación positiva del 6.36 % respecto de las cifras autorizadas en la Ley de Ingresos para 2017.</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noProof/>
          <w:sz w:val="24"/>
          <w:szCs w:val="24"/>
          <w:lang w:eastAsia="es-MX"/>
        </w:rPr>
        <w:lastRenderedPageBreak/>
        <w:drawing>
          <wp:inline distT="0" distB="0" distL="0" distR="0" wp14:anchorId="0D9CDF13" wp14:editId="56268E54">
            <wp:extent cx="5063444" cy="3156585"/>
            <wp:effectExtent l="0" t="0" r="4445"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3105" cy="3168842"/>
                    </a:xfrm>
                    <a:prstGeom prst="rect">
                      <a:avLst/>
                    </a:prstGeom>
                    <a:noFill/>
                  </pic:spPr>
                </pic:pic>
              </a:graphicData>
            </a:graphic>
          </wp:inline>
        </w:drawing>
      </w:r>
    </w:p>
    <w:p w:rsidR="001F3890" w:rsidRPr="00710A06" w:rsidRDefault="001F3890" w:rsidP="00C45465">
      <w:pPr>
        <w:spacing w:after="0" w:line="360" w:lineRule="auto"/>
        <w:jc w:val="both"/>
        <w:rPr>
          <w:rFonts w:ascii="Arial" w:hAnsi="Arial" w:cs="Arial"/>
          <w:b/>
          <w:sz w:val="14"/>
        </w:rPr>
      </w:pPr>
      <w:r w:rsidRPr="00710A06">
        <w:rPr>
          <w:rFonts w:ascii="Arial" w:hAnsi="Arial" w:cs="Arial"/>
          <w:b/>
          <w:sz w:val="14"/>
        </w:rPr>
        <w:t>Fuente: Elaboración propia DCGCH.</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t>La presente Iniciativa, garantiza las fuentes de financiamiento de los programas y proyectos previstos en la Iniciativa de Decreto de Presupuesto de Egresos del Estado de Tlaxcala, para el Ejercicio Fiscal 2018, observando los principios de eficiencia, economía, austeridad y eficacia.</w:t>
      </w:r>
    </w:p>
    <w:p w:rsidR="009B3D50" w:rsidRPr="00710A06" w:rsidRDefault="009B3D50" w:rsidP="00C45465">
      <w:pPr>
        <w:spacing w:after="0" w:line="360" w:lineRule="auto"/>
        <w:jc w:val="both"/>
        <w:rPr>
          <w:rFonts w:ascii="Arial" w:hAnsi="Arial" w:cs="Arial"/>
          <w:b/>
          <w:bCs/>
          <w:sz w:val="24"/>
          <w:szCs w:val="24"/>
        </w:rPr>
      </w:pPr>
    </w:p>
    <w:p w:rsidR="001F3890" w:rsidRPr="00710A06" w:rsidRDefault="009B3D50" w:rsidP="00C45465">
      <w:pPr>
        <w:spacing w:after="0" w:line="360" w:lineRule="auto"/>
        <w:jc w:val="both"/>
        <w:rPr>
          <w:rFonts w:ascii="Arial" w:hAnsi="Arial" w:cs="Arial"/>
          <w:b/>
          <w:bCs/>
          <w:sz w:val="24"/>
          <w:szCs w:val="24"/>
        </w:rPr>
      </w:pPr>
      <w:r w:rsidRPr="00710A06">
        <w:rPr>
          <w:rFonts w:ascii="Arial" w:hAnsi="Arial" w:cs="Arial"/>
          <w:b/>
          <w:bCs/>
          <w:sz w:val="24"/>
          <w:szCs w:val="24"/>
        </w:rPr>
        <w:t>P</w:t>
      </w:r>
      <w:r w:rsidR="001F3890" w:rsidRPr="00710A06">
        <w:rPr>
          <w:rFonts w:ascii="Arial" w:hAnsi="Arial" w:cs="Arial"/>
          <w:b/>
          <w:bCs/>
          <w:sz w:val="24"/>
          <w:szCs w:val="24"/>
        </w:rPr>
        <w:t>ERSPECTIVAS ECONÓMICAS Y FISCALES DEL ESTADO DE TLAXCALA 2018-202</w:t>
      </w:r>
      <w:r w:rsidR="00192026">
        <w:rPr>
          <w:rFonts w:ascii="Arial" w:hAnsi="Arial" w:cs="Arial"/>
          <w:b/>
          <w:bCs/>
          <w:sz w:val="24"/>
          <w:szCs w:val="24"/>
        </w:rPr>
        <w:t>3</w:t>
      </w:r>
      <w:r w:rsidR="001F3890" w:rsidRPr="00710A06">
        <w:rPr>
          <w:rFonts w:ascii="Arial" w:hAnsi="Arial" w:cs="Arial"/>
          <w:b/>
          <w:bCs/>
          <w:sz w:val="24"/>
          <w:szCs w:val="24"/>
        </w:rPr>
        <w:t>.</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t>El Paquete Económico Estatal para 2018 puesto a consideración del Congreso del Estado, refleja el compromiso del Ejecutivo de manejar con responsabilidad las finanzas públicas promoviendo la estabilidad económica.</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lastRenderedPageBreak/>
        <w:t>Por lo anterior, y con la finalidad de seguir en la trayectoria de consolidación fiscal, el Gobierno del Estado propone la aplicación de acciones que permitan generar ahorros en el gasto público, tales como; la contención del gasto en servicios personales; la reducción en gastos comerciales y el uso adecuado de materiales y suministros, entre otros.</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t>El Gobierno del Estado, siguiendo las políticas establecidas en los últimos años por el Gobierno Federal ha</w:t>
      </w:r>
      <w:r w:rsidRPr="00710A06">
        <w:rPr>
          <w:rFonts w:ascii="Arial" w:hAnsi="Arial" w:cs="Arial"/>
          <w:color w:val="616265"/>
          <w:sz w:val="24"/>
          <w:szCs w:val="24"/>
          <w:lang w:eastAsia="es-MX"/>
        </w:rPr>
        <w:t xml:space="preserve"> </w:t>
      </w:r>
      <w:r w:rsidRPr="00710A06">
        <w:rPr>
          <w:rFonts w:ascii="Arial" w:hAnsi="Arial" w:cs="Arial"/>
          <w:sz w:val="24"/>
          <w:szCs w:val="24"/>
        </w:rPr>
        <w:t xml:space="preserve">trabajado de manera continua para fortalecer los ingresos, mejorar la eficiencia del gasto e impulsar la responsabilidad fiscal, la transparencia presupuestal y la rendición de cuentas. </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t>Se prevé que en 2018 las exportaciones no petroleras de México registren una aceleración respecto a 2017. Esto se traduciría en un mayor crecimiento de la producción de manufacturas y de los servicios más relacionados con el comercio exterior. Asimismo, se anticipa que la plataforma de producción de petróleo en 2018 comience a recuperarse de la tendencia decreciente que registra desde 2005.</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t>Por otro lado, se estima un fortalecimiento de la demanda interna, apoyado en la creación de empleos formales, la expansión del crédito, un aumento de los salarios, la convergencia de la inflación al objetivo del Banco de México de 3.0 por ciento con un rango de un punto porcentual, y una mejoría paulatina de la confianza de los consumidores y las empresas. Por tanto, también se anticipa un mayor crecimiento de los sectores de la construcción y los servicios menos vinculados con el sector externo.</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lastRenderedPageBreak/>
        <w:t>Asimismo, se prevé que el dinamismo del consumo y la inversión también estarán apuntalados por los efectos de la implementación de las Reformas Estructurales. En particular, se anticipa que las rondas de licitaciones del sector energético continúen impulsando una mayor inversión y que comiencen a contribuir a una mayor producción de petróleo y gas. De acuerdo con la encuesta a los especialistas en economía del sector privado publicada por el Banco de México en septiembre de 2017, se espera que el ingreso de inversión extranjera directa se incremente de 24.2 mmd en 2017 a 25.0 mmd en 2018. Considerando los factores anteriores y los efectos asociados a las Reformas Estructurales, se estima que durante 2018 el valor real del PIB de México registre un crecimiento anual de entre 2.0 y 3.0 por ciento. Para efectos de las estimaciones de finanzas públicas, se plantea utilizar un crecimiento puntual del PIB para 2018 de 2.5 por ciento.</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t xml:space="preserve">El marco macroeconómico de mediano plazo contempla los efectos positivos de la agenda de Reformas Estructurales que se han implementado durante la presente administración. Asimismo, el escenario de mediano plazo se elaboró considerando una serie de trayectorias futuras para indicadores internacionales que podrían afectarlo, tales como: 1) la evolución de la economía de Estados Unidos; 2) las tasas de interés internacionales; 3) el entorno en los mercados internacionales de capital; y 4) los precios del petróleo y del gas natural a nivel mundial. </w:t>
      </w:r>
    </w:p>
    <w:p w:rsidR="009B3D50" w:rsidRPr="00710A06" w:rsidRDefault="009B3D5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t xml:space="preserve">Se estima que durante 2019 el PIB de México tenga un crecimiento anual de entre 2.5 y 3.5 por ciento, para 2020 su crecimiento sea entre 3.0 y 4.0 por ciento, mientras que en el periodo 2021-2023 éste se ubicaría en un rango de 3.5 a 4.5 por ciento. Para efectos de las estimaciones de finanzas públicas se plantea utilizar un crecimiento puntual del PIB para el periodo </w:t>
      </w:r>
      <w:r w:rsidRPr="00710A06">
        <w:rPr>
          <w:rFonts w:ascii="Arial" w:hAnsi="Arial" w:cs="Arial"/>
          <w:sz w:val="24"/>
          <w:szCs w:val="24"/>
        </w:rPr>
        <w:lastRenderedPageBreak/>
        <w:t>2019 y 2020 de 3.0 y 3.5 por ciento, respectivamente, y para los años 2021 al 2023 un crecimiento de 3.5 por ciento.</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t>En el siguiente cuadro se presentan las perspectivas de finanzas públicas de mediano plazo para el Estado de Tlaxcala, tomando como referencia los Criterios Generales de Política Económica 2018.</w:t>
      </w:r>
    </w:p>
    <w:p w:rsidR="001F3890" w:rsidRPr="00710A06" w:rsidRDefault="001F3890" w:rsidP="00C45465">
      <w:pPr>
        <w:spacing w:after="0" w:line="360" w:lineRule="auto"/>
        <w:jc w:val="both"/>
        <w:rPr>
          <w:rFonts w:ascii="Arial" w:hAnsi="Arial" w:cs="Arial"/>
          <w:sz w:val="24"/>
          <w:szCs w:val="24"/>
        </w:rPr>
      </w:pPr>
    </w:p>
    <w:tbl>
      <w:tblPr>
        <w:tblW w:w="8764" w:type="dxa"/>
        <w:tblInd w:w="-689" w:type="dxa"/>
        <w:tblLayout w:type="fixed"/>
        <w:tblCellMar>
          <w:left w:w="70" w:type="dxa"/>
          <w:right w:w="70" w:type="dxa"/>
        </w:tblCellMar>
        <w:tblLook w:val="04A0" w:firstRow="1" w:lastRow="0" w:firstColumn="1" w:lastColumn="0" w:noHBand="0" w:noVBand="1"/>
      </w:tblPr>
      <w:tblGrid>
        <w:gridCol w:w="2836"/>
        <w:gridCol w:w="992"/>
        <w:gridCol w:w="987"/>
        <w:gridCol w:w="987"/>
        <w:gridCol w:w="988"/>
        <w:gridCol w:w="987"/>
        <w:gridCol w:w="987"/>
      </w:tblGrid>
      <w:tr w:rsidR="001F3890" w:rsidRPr="00710A06" w:rsidTr="00CB7109">
        <w:trPr>
          <w:trHeight w:val="300"/>
          <w:tblHeader/>
        </w:trPr>
        <w:tc>
          <w:tcPr>
            <w:tcW w:w="8764" w:type="dxa"/>
            <w:gridSpan w:val="7"/>
            <w:tcBorders>
              <w:top w:val="single" w:sz="4" w:space="0" w:color="auto"/>
              <w:left w:val="single" w:sz="4" w:space="0" w:color="auto"/>
              <w:bottom w:val="nil"/>
              <w:right w:val="single" w:sz="4" w:space="0" w:color="auto"/>
            </w:tcBorders>
            <w:shd w:val="clear" w:color="000000" w:fill="C4D79B"/>
            <w:noWrap/>
            <w:vAlign w:val="bottom"/>
            <w:hideMark/>
          </w:tcPr>
          <w:p w:rsidR="001F3890" w:rsidRPr="00710A06" w:rsidRDefault="001F3890" w:rsidP="00C45465">
            <w:pPr>
              <w:spacing w:after="0" w:line="360" w:lineRule="auto"/>
              <w:jc w:val="center"/>
              <w:rPr>
                <w:rFonts w:ascii="Arial" w:hAnsi="Arial" w:cs="Arial"/>
                <w:b/>
                <w:bCs/>
                <w:color w:val="000000"/>
                <w:sz w:val="14"/>
                <w:szCs w:val="14"/>
                <w:lang w:eastAsia="es-MX"/>
              </w:rPr>
            </w:pPr>
            <w:bookmarkStart w:id="0" w:name="RANGE!A1:M38"/>
            <w:r w:rsidRPr="00710A06">
              <w:rPr>
                <w:rFonts w:ascii="Arial" w:hAnsi="Arial" w:cs="Arial"/>
                <w:b/>
                <w:bCs/>
                <w:color w:val="000000"/>
                <w:sz w:val="14"/>
                <w:szCs w:val="14"/>
              </w:rPr>
              <w:t>GOBIERNO DEL ESTADO DE TLAXCALA</w:t>
            </w:r>
            <w:bookmarkEnd w:id="0"/>
          </w:p>
        </w:tc>
      </w:tr>
      <w:tr w:rsidR="001F3890" w:rsidRPr="00710A06" w:rsidTr="00CB7109">
        <w:trPr>
          <w:trHeight w:val="300"/>
          <w:tblHeader/>
        </w:trPr>
        <w:tc>
          <w:tcPr>
            <w:tcW w:w="8764" w:type="dxa"/>
            <w:gridSpan w:val="7"/>
            <w:tcBorders>
              <w:top w:val="nil"/>
              <w:left w:val="single" w:sz="4" w:space="0" w:color="auto"/>
              <w:bottom w:val="nil"/>
              <w:right w:val="single" w:sz="4" w:space="0" w:color="auto"/>
            </w:tcBorders>
            <w:shd w:val="clear" w:color="000000" w:fill="C4D79B"/>
            <w:noWrap/>
            <w:vAlign w:val="bottom"/>
            <w:hideMark/>
          </w:tcPr>
          <w:p w:rsidR="001F3890" w:rsidRPr="00710A06" w:rsidRDefault="001F3890" w:rsidP="00C45465">
            <w:pPr>
              <w:spacing w:after="0" w:line="360" w:lineRule="auto"/>
              <w:ind w:right="72"/>
              <w:jc w:val="center"/>
              <w:rPr>
                <w:rFonts w:ascii="Arial" w:hAnsi="Arial" w:cs="Arial"/>
                <w:b/>
                <w:bCs/>
                <w:color w:val="000000"/>
                <w:sz w:val="14"/>
                <w:szCs w:val="14"/>
              </w:rPr>
            </w:pPr>
            <w:r w:rsidRPr="00710A06">
              <w:rPr>
                <w:rFonts w:ascii="Arial" w:hAnsi="Arial" w:cs="Arial"/>
                <w:b/>
                <w:bCs/>
                <w:color w:val="000000"/>
                <w:sz w:val="14"/>
                <w:szCs w:val="14"/>
              </w:rPr>
              <w:t>Proyecciones de Ingresos - LDF</w:t>
            </w:r>
          </w:p>
        </w:tc>
      </w:tr>
      <w:tr w:rsidR="001F3890" w:rsidRPr="00710A06" w:rsidTr="00CB7109">
        <w:trPr>
          <w:trHeight w:val="300"/>
          <w:tblHeader/>
        </w:trPr>
        <w:tc>
          <w:tcPr>
            <w:tcW w:w="8764" w:type="dxa"/>
            <w:gridSpan w:val="7"/>
            <w:tcBorders>
              <w:top w:val="nil"/>
              <w:left w:val="single" w:sz="4" w:space="0" w:color="auto"/>
              <w:bottom w:val="nil"/>
              <w:right w:val="single" w:sz="4" w:space="0" w:color="auto"/>
            </w:tcBorders>
            <w:shd w:val="clear" w:color="000000" w:fill="C4D79B"/>
            <w:noWrap/>
            <w:vAlign w:val="bottom"/>
            <w:hideMark/>
          </w:tcPr>
          <w:p w:rsidR="001F3890" w:rsidRPr="00710A06" w:rsidRDefault="001F3890" w:rsidP="00C45465">
            <w:pPr>
              <w:spacing w:after="0" w:line="360" w:lineRule="auto"/>
              <w:jc w:val="center"/>
              <w:rPr>
                <w:rFonts w:ascii="Arial" w:hAnsi="Arial" w:cs="Arial"/>
                <w:b/>
                <w:bCs/>
                <w:color w:val="000000"/>
                <w:sz w:val="14"/>
                <w:szCs w:val="14"/>
              </w:rPr>
            </w:pPr>
            <w:r w:rsidRPr="00710A06">
              <w:rPr>
                <w:rFonts w:ascii="Arial" w:hAnsi="Arial" w:cs="Arial"/>
                <w:b/>
                <w:bCs/>
                <w:color w:val="000000"/>
                <w:sz w:val="14"/>
                <w:szCs w:val="14"/>
              </w:rPr>
              <w:t xml:space="preserve">(PESOS) </w:t>
            </w:r>
          </w:p>
        </w:tc>
      </w:tr>
      <w:tr w:rsidR="001F3890" w:rsidRPr="00710A06" w:rsidTr="00CB7109">
        <w:trPr>
          <w:trHeight w:val="315"/>
          <w:tblHeader/>
        </w:trPr>
        <w:tc>
          <w:tcPr>
            <w:tcW w:w="8764" w:type="dxa"/>
            <w:gridSpan w:val="7"/>
            <w:tcBorders>
              <w:top w:val="nil"/>
              <w:left w:val="single" w:sz="4" w:space="0" w:color="auto"/>
              <w:bottom w:val="single" w:sz="4" w:space="0" w:color="auto"/>
              <w:right w:val="single" w:sz="4" w:space="0" w:color="auto"/>
            </w:tcBorders>
            <w:shd w:val="clear" w:color="000000" w:fill="C4D79B"/>
            <w:noWrap/>
            <w:vAlign w:val="bottom"/>
            <w:hideMark/>
          </w:tcPr>
          <w:p w:rsidR="001F3890" w:rsidRPr="00710A06" w:rsidRDefault="001F3890" w:rsidP="00C45465">
            <w:pPr>
              <w:spacing w:after="0" w:line="360" w:lineRule="auto"/>
              <w:jc w:val="center"/>
              <w:rPr>
                <w:rFonts w:ascii="Arial" w:hAnsi="Arial" w:cs="Arial"/>
                <w:b/>
                <w:bCs/>
                <w:color w:val="000000"/>
                <w:sz w:val="14"/>
                <w:szCs w:val="14"/>
              </w:rPr>
            </w:pPr>
            <w:r w:rsidRPr="00710A06">
              <w:rPr>
                <w:rFonts w:ascii="Arial" w:hAnsi="Arial" w:cs="Arial"/>
                <w:b/>
                <w:bCs/>
                <w:color w:val="000000"/>
                <w:sz w:val="14"/>
                <w:szCs w:val="14"/>
              </w:rPr>
              <w:t>(CIFRAS NOMINALES)</w:t>
            </w:r>
          </w:p>
        </w:tc>
      </w:tr>
      <w:tr w:rsidR="001F3890" w:rsidRPr="00710A06" w:rsidTr="00CB7109">
        <w:trPr>
          <w:trHeight w:val="334"/>
          <w:tblHeader/>
        </w:trPr>
        <w:tc>
          <w:tcPr>
            <w:tcW w:w="2836" w:type="dxa"/>
            <w:vMerge w:val="restart"/>
            <w:tcBorders>
              <w:top w:val="single" w:sz="4" w:space="0" w:color="auto"/>
              <w:left w:val="single" w:sz="8" w:space="0" w:color="auto"/>
              <w:bottom w:val="single" w:sz="8" w:space="0" w:color="000000"/>
              <w:right w:val="single" w:sz="8" w:space="0" w:color="auto"/>
            </w:tcBorders>
            <w:shd w:val="clear" w:color="000000" w:fill="C4D79B"/>
            <w:noWrap/>
            <w:vAlign w:val="center"/>
            <w:hideMark/>
          </w:tcPr>
          <w:p w:rsidR="001F3890" w:rsidRPr="00710A06" w:rsidRDefault="001F3890" w:rsidP="00C45465">
            <w:pPr>
              <w:spacing w:after="0" w:line="360" w:lineRule="auto"/>
              <w:jc w:val="center"/>
              <w:rPr>
                <w:rFonts w:ascii="Arial" w:hAnsi="Arial" w:cs="Arial"/>
                <w:b/>
                <w:bCs/>
                <w:color w:val="000000"/>
                <w:sz w:val="14"/>
                <w:szCs w:val="14"/>
              </w:rPr>
            </w:pPr>
            <w:r w:rsidRPr="00710A06">
              <w:rPr>
                <w:rFonts w:ascii="Arial" w:hAnsi="Arial" w:cs="Arial"/>
                <w:b/>
                <w:bCs/>
                <w:color w:val="000000"/>
                <w:sz w:val="14"/>
                <w:szCs w:val="14"/>
              </w:rPr>
              <w:t>Concepto</w:t>
            </w:r>
          </w:p>
        </w:tc>
        <w:tc>
          <w:tcPr>
            <w:tcW w:w="992" w:type="dxa"/>
            <w:vMerge w:val="restart"/>
            <w:tcBorders>
              <w:top w:val="single" w:sz="4" w:space="0" w:color="auto"/>
              <w:left w:val="single" w:sz="8" w:space="0" w:color="auto"/>
              <w:bottom w:val="single" w:sz="8" w:space="0" w:color="000000"/>
              <w:right w:val="single" w:sz="8" w:space="0" w:color="auto"/>
            </w:tcBorders>
            <w:shd w:val="clear" w:color="000000" w:fill="C4D79B"/>
            <w:vAlign w:val="center"/>
            <w:hideMark/>
          </w:tcPr>
          <w:p w:rsidR="001F3890" w:rsidRPr="00710A06" w:rsidRDefault="001F3890" w:rsidP="00C45465">
            <w:pPr>
              <w:spacing w:after="0" w:line="360" w:lineRule="auto"/>
              <w:jc w:val="center"/>
              <w:rPr>
                <w:rFonts w:ascii="Arial" w:hAnsi="Arial" w:cs="Arial"/>
                <w:b/>
                <w:bCs/>
                <w:color w:val="000000"/>
                <w:sz w:val="14"/>
                <w:szCs w:val="14"/>
              </w:rPr>
            </w:pPr>
            <w:r w:rsidRPr="00710A06">
              <w:rPr>
                <w:rFonts w:ascii="Arial" w:hAnsi="Arial" w:cs="Arial"/>
                <w:b/>
                <w:bCs/>
                <w:color w:val="000000"/>
                <w:sz w:val="14"/>
                <w:szCs w:val="14"/>
              </w:rPr>
              <w:t>2018</w:t>
            </w:r>
          </w:p>
        </w:tc>
        <w:tc>
          <w:tcPr>
            <w:tcW w:w="987" w:type="dxa"/>
            <w:vMerge w:val="restart"/>
            <w:tcBorders>
              <w:top w:val="single" w:sz="4" w:space="0" w:color="auto"/>
              <w:left w:val="single" w:sz="8" w:space="0" w:color="auto"/>
              <w:bottom w:val="single" w:sz="8" w:space="0" w:color="000000"/>
              <w:right w:val="single" w:sz="8" w:space="0" w:color="auto"/>
            </w:tcBorders>
            <w:shd w:val="clear" w:color="000000" w:fill="C4D79B"/>
            <w:vAlign w:val="center"/>
            <w:hideMark/>
          </w:tcPr>
          <w:p w:rsidR="001F3890" w:rsidRPr="00710A06" w:rsidRDefault="001F3890" w:rsidP="00C45465">
            <w:pPr>
              <w:spacing w:after="0" w:line="360" w:lineRule="auto"/>
              <w:jc w:val="center"/>
              <w:rPr>
                <w:rFonts w:ascii="Arial" w:hAnsi="Arial" w:cs="Arial"/>
                <w:b/>
                <w:bCs/>
                <w:color w:val="000000"/>
                <w:sz w:val="14"/>
                <w:szCs w:val="14"/>
              </w:rPr>
            </w:pPr>
            <w:r w:rsidRPr="00710A06">
              <w:rPr>
                <w:rFonts w:ascii="Arial" w:hAnsi="Arial" w:cs="Arial"/>
                <w:b/>
                <w:bCs/>
                <w:color w:val="000000"/>
                <w:sz w:val="14"/>
                <w:szCs w:val="14"/>
              </w:rPr>
              <w:t>2019</w:t>
            </w:r>
          </w:p>
        </w:tc>
        <w:tc>
          <w:tcPr>
            <w:tcW w:w="987" w:type="dxa"/>
            <w:vMerge w:val="restart"/>
            <w:tcBorders>
              <w:top w:val="single" w:sz="4" w:space="0" w:color="auto"/>
              <w:left w:val="single" w:sz="8" w:space="0" w:color="auto"/>
              <w:bottom w:val="single" w:sz="8" w:space="0" w:color="000000"/>
              <w:right w:val="single" w:sz="8" w:space="0" w:color="auto"/>
            </w:tcBorders>
            <w:shd w:val="clear" w:color="000000" w:fill="C4D79B"/>
            <w:vAlign w:val="center"/>
            <w:hideMark/>
          </w:tcPr>
          <w:p w:rsidR="001F3890" w:rsidRPr="00710A06" w:rsidRDefault="001F3890" w:rsidP="00C45465">
            <w:pPr>
              <w:spacing w:after="0" w:line="360" w:lineRule="auto"/>
              <w:jc w:val="center"/>
              <w:rPr>
                <w:rFonts w:ascii="Arial" w:hAnsi="Arial" w:cs="Arial"/>
                <w:b/>
                <w:bCs/>
                <w:color w:val="000000"/>
                <w:sz w:val="14"/>
                <w:szCs w:val="14"/>
              </w:rPr>
            </w:pPr>
            <w:r w:rsidRPr="00710A06">
              <w:rPr>
                <w:rFonts w:ascii="Arial" w:hAnsi="Arial" w:cs="Arial"/>
                <w:b/>
                <w:bCs/>
                <w:color w:val="000000"/>
                <w:sz w:val="14"/>
                <w:szCs w:val="14"/>
              </w:rPr>
              <w:t>2020</w:t>
            </w:r>
          </w:p>
        </w:tc>
        <w:tc>
          <w:tcPr>
            <w:tcW w:w="988" w:type="dxa"/>
            <w:vMerge w:val="restart"/>
            <w:tcBorders>
              <w:top w:val="single" w:sz="4" w:space="0" w:color="auto"/>
              <w:left w:val="single" w:sz="8" w:space="0" w:color="auto"/>
              <w:bottom w:val="single" w:sz="8" w:space="0" w:color="000000"/>
              <w:right w:val="single" w:sz="8" w:space="0" w:color="auto"/>
            </w:tcBorders>
            <w:shd w:val="clear" w:color="000000" w:fill="C4D79B"/>
            <w:vAlign w:val="center"/>
            <w:hideMark/>
          </w:tcPr>
          <w:p w:rsidR="001F3890" w:rsidRPr="00710A06" w:rsidRDefault="001F3890" w:rsidP="00C45465">
            <w:pPr>
              <w:spacing w:after="0" w:line="360" w:lineRule="auto"/>
              <w:jc w:val="center"/>
              <w:rPr>
                <w:rFonts w:ascii="Arial" w:hAnsi="Arial" w:cs="Arial"/>
                <w:b/>
                <w:bCs/>
                <w:color w:val="000000"/>
                <w:sz w:val="14"/>
                <w:szCs w:val="14"/>
              </w:rPr>
            </w:pPr>
            <w:r w:rsidRPr="00710A06">
              <w:rPr>
                <w:rFonts w:ascii="Arial" w:hAnsi="Arial" w:cs="Arial"/>
                <w:b/>
                <w:bCs/>
                <w:color w:val="000000"/>
                <w:sz w:val="14"/>
                <w:szCs w:val="14"/>
              </w:rPr>
              <w:t>2021</w:t>
            </w:r>
          </w:p>
        </w:tc>
        <w:tc>
          <w:tcPr>
            <w:tcW w:w="987" w:type="dxa"/>
            <w:vMerge w:val="restart"/>
            <w:tcBorders>
              <w:top w:val="single" w:sz="4" w:space="0" w:color="auto"/>
              <w:left w:val="single" w:sz="8" w:space="0" w:color="auto"/>
              <w:bottom w:val="single" w:sz="8" w:space="0" w:color="000000"/>
              <w:right w:val="single" w:sz="8" w:space="0" w:color="auto"/>
            </w:tcBorders>
            <w:shd w:val="clear" w:color="000000" w:fill="C4D79B"/>
            <w:vAlign w:val="center"/>
            <w:hideMark/>
          </w:tcPr>
          <w:p w:rsidR="001F3890" w:rsidRPr="00710A06" w:rsidRDefault="001F3890" w:rsidP="00C45465">
            <w:pPr>
              <w:spacing w:after="0" w:line="360" w:lineRule="auto"/>
              <w:jc w:val="center"/>
              <w:rPr>
                <w:rFonts w:ascii="Arial" w:hAnsi="Arial" w:cs="Arial"/>
                <w:b/>
                <w:bCs/>
                <w:color w:val="000000"/>
                <w:sz w:val="14"/>
                <w:szCs w:val="14"/>
              </w:rPr>
            </w:pPr>
            <w:r w:rsidRPr="00710A06">
              <w:rPr>
                <w:rFonts w:ascii="Arial" w:hAnsi="Arial" w:cs="Arial"/>
                <w:b/>
                <w:bCs/>
                <w:color w:val="000000"/>
                <w:sz w:val="14"/>
                <w:szCs w:val="14"/>
              </w:rPr>
              <w:t>2022</w:t>
            </w:r>
          </w:p>
        </w:tc>
        <w:tc>
          <w:tcPr>
            <w:tcW w:w="987" w:type="dxa"/>
            <w:vMerge w:val="restart"/>
            <w:tcBorders>
              <w:top w:val="single" w:sz="4" w:space="0" w:color="auto"/>
              <w:left w:val="single" w:sz="8" w:space="0" w:color="auto"/>
              <w:bottom w:val="single" w:sz="8" w:space="0" w:color="000000"/>
              <w:right w:val="single" w:sz="8" w:space="0" w:color="auto"/>
            </w:tcBorders>
            <w:shd w:val="clear" w:color="000000" w:fill="C4D79B"/>
            <w:vAlign w:val="center"/>
            <w:hideMark/>
          </w:tcPr>
          <w:p w:rsidR="001F3890" w:rsidRPr="00710A06" w:rsidRDefault="001F3890" w:rsidP="00C45465">
            <w:pPr>
              <w:spacing w:after="0" w:line="360" w:lineRule="auto"/>
              <w:jc w:val="center"/>
              <w:rPr>
                <w:rFonts w:ascii="Arial" w:hAnsi="Arial" w:cs="Arial"/>
                <w:b/>
                <w:bCs/>
                <w:color w:val="000000"/>
                <w:sz w:val="14"/>
                <w:szCs w:val="14"/>
              </w:rPr>
            </w:pPr>
            <w:r w:rsidRPr="00710A06">
              <w:rPr>
                <w:rFonts w:ascii="Arial" w:hAnsi="Arial" w:cs="Arial"/>
                <w:b/>
                <w:bCs/>
                <w:color w:val="000000"/>
                <w:sz w:val="14"/>
                <w:szCs w:val="14"/>
              </w:rPr>
              <w:t>2023</w:t>
            </w:r>
          </w:p>
        </w:tc>
      </w:tr>
      <w:tr w:rsidR="001F3890" w:rsidRPr="00710A06" w:rsidTr="009B3D50">
        <w:trPr>
          <w:trHeight w:val="334"/>
        </w:trPr>
        <w:tc>
          <w:tcPr>
            <w:tcW w:w="2836" w:type="dxa"/>
            <w:vMerge/>
            <w:tcBorders>
              <w:top w:val="nil"/>
              <w:left w:val="single" w:sz="8" w:space="0" w:color="auto"/>
              <w:bottom w:val="single" w:sz="8" w:space="0" w:color="000000"/>
              <w:right w:val="single" w:sz="8" w:space="0" w:color="auto"/>
            </w:tcBorders>
            <w:vAlign w:val="center"/>
            <w:hideMark/>
          </w:tcPr>
          <w:p w:rsidR="001F3890" w:rsidRPr="00710A06" w:rsidRDefault="001F3890" w:rsidP="00C45465">
            <w:pPr>
              <w:spacing w:after="0" w:line="360" w:lineRule="auto"/>
              <w:rPr>
                <w:rFonts w:ascii="Arial" w:hAnsi="Arial" w:cs="Arial"/>
                <w:b/>
                <w:bCs/>
                <w:color w:val="000000"/>
                <w:sz w:val="14"/>
                <w:szCs w:val="14"/>
              </w:rPr>
            </w:pPr>
          </w:p>
        </w:tc>
        <w:tc>
          <w:tcPr>
            <w:tcW w:w="992" w:type="dxa"/>
            <w:vMerge/>
            <w:tcBorders>
              <w:top w:val="nil"/>
              <w:left w:val="single" w:sz="8" w:space="0" w:color="auto"/>
              <w:bottom w:val="single" w:sz="8" w:space="0" w:color="000000"/>
              <w:right w:val="single" w:sz="8" w:space="0" w:color="auto"/>
            </w:tcBorders>
            <w:vAlign w:val="center"/>
            <w:hideMark/>
          </w:tcPr>
          <w:p w:rsidR="001F3890" w:rsidRPr="00710A06" w:rsidRDefault="001F3890" w:rsidP="00C45465">
            <w:pPr>
              <w:spacing w:after="0" w:line="360" w:lineRule="auto"/>
              <w:rPr>
                <w:rFonts w:ascii="Arial" w:hAnsi="Arial" w:cs="Arial"/>
                <w:b/>
                <w:bCs/>
                <w:color w:val="000000"/>
                <w:sz w:val="14"/>
                <w:szCs w:val="14"/>
              </w:rPr>
            </w:pPr>
          </w:p>
        </w:tc>
        <w:tc>
          <w:tcPr>
            <w:tcW w:w="987" w:type="dxa"/>
            <w:vMerge/>
            <w:tcBorders>
              <w:top w:val="nil"/>
              <w:left w:val="single" w:sz="8" w:space="0" w:color="auto"/>
              <w:bottom w:val="single" w:sz="8" w:space="0" w:color="000000"/>
              <w:right w:val="single" w:sz="8" w:space="0" w:color="auto"/>
            </w:tcBorders>
            <w:vAlign w:val="center"/>
            <w:hideMark/>
          </w:tcPr>
          <w:p w:rsidR="001F3890" w:rsidRPr="00710A06" w:rsidRDefault="001F3890" w:rsidP="00C45465">
            <w:pPr>
              <w:spacing w:after="0" w:line="360" w:lineRule="auto"/>
              <w:rPr>
                <w:rFonts w:ascii="Arial" w:hAnsi="Arial" w:cs="Arial"/>
                <w:b/>
                <w:bCs/>
                <w:color w:val="000000"/>
                <w:sz w:val="14"/>
                <w:szCs w:val="14"/>
              </w:rPr>
            </w:pPr>
          </w:p>
        </w:tc>
        <w:tc>
          <w:tcPr>
            <w:tcW w:w="987" w:type="dxa"/>
            <w:vMerge/>
            <w:tcBorders>
              <w:top w:val="nil"/>
              <w:left w:val="single" w:sz="8" w:space="0" w:color="auto"/>
              <w:bottom w:val="single" w:sz="8" w:space="0" w:color="000000"/>
              <w:right w:val="single" w:sz="8" w:space="0" w:color="auto"/>
            </w:tcBorders>
            <w:vAlign w:val="center"/>
            <w:hideMark/>
          </w:tcPr>
          <w:p w:rsidR="001F3890" w:rsidRPr="00710A06" w:rsidRDefault="001F3890" w:rsidP="00C45465">
            <w:pPr>
              <w:spacing w:after="0" w:line="360" w:lineRule="auto"/>
              <w:rPr>
                <w:rFonts w:ascii="Arial" w:hAnsi="Arial" w:cs="Arial"/>
                <w:b/>
                <w:bCs/>
                <w:color w:val="000000"/>
                <w:sz w:val="14"/>
                <w:szCs w:val="14"/>
              </w:rPr>
            </w:pPr>
          </w:p>
        </w:tc>
        <w:tc>
          <w:tcPr>
            <w:tcW w:w="988" w:type="dxa"/>
            <w:vMerge/>
            <w:tcBorders>
              <w:top w:val="nil"/>
              <w:left w:val="single" w:sz="8" w:space="0" w:color="auto"/>
              <w:bottom w:val="single" w:sz="8" w:space="0" w:color="000000"/>
              <w:right w:val="single" w:sz="8" w:space="0" w:color="auto"/>
            </w:tcBorders>
            <w:vAlign w:val="center"/>
            <w:hideMark/>
          </w:tcPr>
          <w:p w:rsidR="001F3890" w:rsidRPr="00710A06" w:rsidRDefault="001F3890" w:rsidP="00C45465">
            <w:pPr>
              <w:spacing w:after="0" w:line="360" w:lineRule="auto"/>
              <w:rPr>
                <w:rFonts w:ascii="Arial" w:hAnsi="Arial" w:cs="Arial"/>
                <w:b/>
                <w:bCs/>
                <w:color w:val="000000"/>
                <w:sz w:val="14"/>
                <w:szCs w:val="14"/>
              </w:rPr>
            </w:pPr>
          </w:p>
        </w:tc>
        <w:tc>
          <w:tcPr>
            <w:tcW w:w="987" w:type="dxa"/>
            <w:vMerge/>
            <w:tcBorders>
              <w:top w:val="nil"/>
              <w:left w:val="single" w:sz="8" w:space="0" w:color="auto"/>
              <w:bottom w:val="single" w:sz="8" w:space="0" w:color="000000"/>
              <w:right w:val="single" w:sz="8" w:space="0" w:color="auto"/>
            </w:tcBorders>
            <w:vAlign w:val="center"/>
            <w:hideMark/>
          </w:tcPr>
          <w:p w:rsidR="001F3890" w:rsidRPr="00710A06" w:rsidRDefault="001F3890" w:rsidP="00C45465">
            <w:pPr>
              <w:spacing w:after="0" w:line="360" w:lineRule="auto"/>
              <w:rPr>
                <w:rFonts w:ascii="Arial" w:hAnsi="Arial" w:cs="Arial"/>
                <w:b/>
                <w:bCs/>
                <w:color w:val="000000"/>
                <w:sz w:val="14"/>
                <w:szCs w:val="14"/>
              </w:rPr>
            </w:pPr>
          </w:p>
        </w:tc>
        <w:tc>
          <w:tcPr>
            <w:tcW w:w="987" w:type="dxa"/>
            <w:vMerge/>
            <w:tcBorders>
              <w:top w:val="nil"/>
              <w:left w:val="single" w:sz="8" w:space="0" w:color="auto"/>
              <w:bottom w:val="single" w:sz="8" w:space="0" w:color="000000"/>
              <w:right w:val="single" w:sz="8" w:space="0" w:color="auto"/>
            </w:tcBorders>
            <w:vAlign w:val="center"/>
            <w:hideMark/>
          </w:tcPr>
          <w:p w:rsidR="001F3890" w:rsidRPr="00710A06" w:rsidRDefault="001F3890" w:rsidP="00C45465">
            <w:pPr>
              <w:spacing w:after="0" w:line="360" w:lineRule="auto"/>
              <w:rPr>
                <w:rFonts w:ascii="Arial" w:hAnsi="Arial" w:cs="Arial"/>
                <w:b/>
                <w:bCs/>
                <w:color w:val="000000"/>
                <w:sz w:val="14"/>
                <w:szCs w:val="14"/>
              </w:rPr>
            </w:pPr>
          </w:p>
        </w:tc>
      </w:tr>
      <w:tr w:rsidR="001F3890" w:rsidRPr="00710A06" w:rsidTr="009B3D50">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w:t>
            </w:r>
          </w:p>
        </w:tc>
        <w:tc>
          <w:tcPr>
            <w:tcW w:w="992"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w:t>
            </w:r>
          </w:p>
        </w:tc>
        <w:tc>
          <w:tcPr>
            <w:tcW w:w="988"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w:t>
            </w:r>
          </w:p>
        </w:tc>
      </w:tr>
      <w:tr w:rsidR="001F3890" w:rsidRPr="00710A06" w:rsidTr="009B3D50">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b/>
                <w:bCs/>
                <w:color w:val="000000"/>
                <w:sz w:val="14"/>
                <w:szCs w:val="14"/>
              </w:rPr>
            </w:pPr>
            <w:r w:rsidRPr="00710A06">
              <w:rPr>
                <w:rFonts w:ascii="Arial" w:hAnsi="Arial" w:cs="Arial"/>
                <w:b/>
                <w:bCs/>
                <w:color w:val="000000"/>
                <w:sz w:val="14"/>
                <w:szCs w:val="14"/>
              </w:rPr>
              <w:t>1. Ingresos de Libre Disposición</w:t>
            </w:r>
          </w:p>
        </w:tc>
        <w:tc>
          <w:tcPr>
            <w:tcW w:w="992"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b/>
                <w:bCs/>
                <w:color w:val="000000"/>
                <w:sz w:val="12"/>
                <w:szCs w:val="14"/>
              </w:rPr>
            </w:pPr>
            <w:r w:rsidRPr="00710A06">
              <w:rPr>
                <w:rFonts w:ascii="Arial" w:hAnsi="Arial" w:cs="Arial"/>
                <w:b/>
                <w:bCs/>
                <w:color w:val="000000"/>
                <w:sz w:val="12"/>
                <w:szCs w:val="14"/>
              </w:rPr>
              <w:t xml:space="preserve">8,673,620,636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b/>
                <w:bCs/>
                <w:color w:val="000000"/>
                <w:sz w:val="12"/>
                <w:szCs w:val="14"/>
              </w:rPr>
            </w:pPr>
            <w:r w:rsidRPr="00710A06">
              <w:rPr>
                <w:rFonts w:ascii="Arial" w:hAnsi="Arial" w:cs="Arial"/>
                <w:b/>
                <w:bCs/>
                <w:color w:val="000000"/>
                <w:sz w:val="12"/>
                <w:szCs w:val="14"/>
              </w:rPr>
              <w:t xml:space="preserve">8,933,829,255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b/>
                <w:bCs/>
                <w:color w:val="000000"/>
                <w:sz w:val="12"/>
                <w:szCs w:val="14"/>
              </w:rPr>
            </w:pPr>
            <w:r w:rsidRPr="00710A06">
              <w:rPr>
                <w:rFonts w:ascii="Arial" w:hAnsi="Arial" w:cs="Arial"/>
                <w:b/>
                <w:bCs/>
                <w:color w:val="000000"/>
                <w:sz w:val="12"/>
                <w:szCs w:val="14"/>
              </w:rPr>
              <w:t xml:space="preserve">9,246,513,279 </w:t>
            </w:r>
          </w:p>
        </w:tc>
        <w:tc>
          <w:tcPr>
            <w:tcW w:w="988"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b/>
                <w:bCs/>
                <w:color w:val="000000"/>
                <w:sz w:val="12"/>
                <w:szCs w:val="14"/>
              </w:rPr>
            </w:pPr>
            <w:r w:rsidRPr="00710A06">
              <w:rPr>
                <w:rFonts w:ascii="Arial" w:hAnsi="Arial" w:cs="Arial"/>
                <w:b/>
                <w:bCs/>
                <w:color w:val="000000"/>
                <w:sz w:val="12"/>
                <w:szCs w:val="14"/>
              </w:rPr>
              <w:t xml:space="preserve">9,616,373,810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b/>
                <w:bCs/>
                <w:color w:val="000000"/>
                <w:sz w:val="12"/>
                <w:szCs w:val="14"/>
              </w:rPr>
            </w:pPr>
            <w:r w:rsidRPr="00710A06">
              <w:rPr>
                <w:rFonts w:ascii="Arial" w:hAnsi="Arial" w:cs="Arial"/>
                <w:b/>
                <w:bCs/>
                <w:color w:val="000000"/>
                <w:sz w:val="12"/>
                <w:szCs w:val="14"/>
              </w:rPr>
              <w:t xml:space="preserve">10,001,028,762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b/>
                <w:bCs/>
                <w:color w:val="000000"/>
                <w:sz w:val="12"/>
                <w:szCs w:val="14"/>
              </w:rPr>
            </w:pPr>
            <w:r w:rsidRPr="00710A06">
              <w:rPr>
                <w:rFonts w:ascii="Arial" w:hAnsi="Arial" w:cs="Arial"/>
                <w:b/>
                <w:bCs/>
                <w:color w:val="000000"/>
                <w:sz w:val="12"/>
                <w:szCs w:val="14"/>
              </w:rPr>
              <w:t xml:space="preserve">10,401,069,913 </w:t>
            </w:r>
          </w:p>
        </w:tc>
      </w:tr>
      <w:tr w:rsidR="001F3890" w:rsidRPr="00710A06" w:rsidTr="009B3D50">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A. Impuestos</w:t>
            </w:r>
          </w:p>
        </w:tc>
        <w:tc>
          <w:tcPr>
            <w:tcW w:w="992"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366,887,613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377,894,242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391,120,540.04 </w:t>
            </w:r>
          </w:p>
        </w:tc>
        <w:tc>
          <w:tcPr>
            <w:tcW w:w="988"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406,765,362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423,035,976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439,957,415 </w:t>
            </w:r>
          </w:p>
        </w:tc>
      </w:tr>
      <w:tr w:rsidR="001F3890" w:rsidRPr="00710A06" w:rsidTr="009B3D50">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B. Cuotas y Aportaciones de Seguridad Social</w:t>
            </w:r>
          </w:p>
        </w:tc>
        <w:tc>
          <w:tcPr>
            <w:tcW w:w="992"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8"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r>
      <w:tr w:rsidR="001F3890" w:rsidRPr="00710A06" w:rsidTr="009B3D50">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C. Contribuciones de Mejoras</w:t>
            </w:r>
          </w:p>
        </w:tc>
        <w:tc>
          <w:tcPr>
            <w:tcW w:w="992"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8"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r>
      <w:tr w:rsidR="001F3890" w:rsidRPr="00710A06" w:rsidTr="009B3D50">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D. Derechos</w:t>
            </w:r>
          </w:p>
        </w:tc>
        <w:tc>
          <w:tcPr>
            <w:tcW w:w="992"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375,506,827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386,772,032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400,309,052.94 </w:t>
            </w:r>
          </w:p>
        </w:tc>
        <w:tc>
          <w:tcPr>
            <w:tcW w:w="988"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416,321,415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432,974,272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450,293,243 </w:t>
            </w:r>
          </w:p>
        </w:tc>
      </w:tr>
      <w:tr w:rsidR="001F3890" w:rsidRPr="00710A06" w:rsidTr="009B3D50">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E. Productos</w:t>
            </w:r>
          </w:p>
        </w:tc>
        <w:tc>
          <w:tcPr>
            <w:tcW w:w="992"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59,410,534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61,192,850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63,334,599.33 </w:t>
            </w:r>
          </w:p>
        </w:tc>
        <w:tc>
          <w:tcPr>
            <w:tcW w:w="988"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65,867,983.31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68,502,703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71,242,811 </w:t>
            </w:r>
          </w:p>
        </w:tc>
      </w:tr>
      <w:tr w:rsidR="001F3890" w:rsidRPr="00710A06" w:rsidTr="009B3D50">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F. Aprovechamientos</w:t>
            </w:r>
          </w:p>
        </w:tc>
        <w:tc>
          <w:tcPr>
            <w:tcW w:w="992"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3,789,790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3,903,484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4,040,106.10 </w:t>
            </w:r>
          </w:p>
        </w:tc>
        <w:tc>
          <w:tcPr>
            <w:tcW w:w="988"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4,201,710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4,369,779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4,544,570 </w:t>
            </w:r>
          </w:p>
        </w:tc>
      </w:tr>
      <w:tr w:rsidR="001F3890" w:rsidRPr="00710A06" w:rsidTr="009B3D50">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G. Ingresos por Ventas de Bienes y Servicios</w:t>
            </w:r>
          </w:p>
        </w:tc>
        <w:tc>
          <w:tcPr>
            <w:tcW w:w="992"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140,922,448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145,150,121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150,230,375.17 </w:t>
            </w:r>
          </w:p>
        </w:tc>
        <w:tc>
          <w:tcPr>
            <w:tcW w:w="988"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156,239,590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162,489,174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168,988,741 </w:t>
            </w:r>
          </w:p>
        </w:tc>
      </w:tr>
      <w:tr w:rsidR="001F3890" w:rsidRPr="00710A06" w:rsidTr="009B3D50">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H. Participaciones </w:t>
            </w:r>
          </w:p>
        </w:tc>
        <w:tc>
          <w:tcPr>
            <w:tcW w:w="992"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7,625,826,561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7,854,601,358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8,129,512,405.86 </w:t>
            </w:r>
          </w:p>
        </w:tc>
        <w:tc>
          <w:tcPr>
            <w:tcW w:w="988"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8,454,692,902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8,792,880,618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9,144,595,843 </w:t>
            </w:r>
          </w:p>
        </w:tc>
      </w:tr>
      <w:tr w:rsidR="001F3890" w:rsidRPr="00710A06" w:rsidTr="009B3D50">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I. Incentivos Derivados de la Colaboración Fiscal</w:t>
            </w:r>
          </w:p>
        </w:tc>
        <w:tc>
          <w:tcPr>
            <w:tcW w:w="992"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101,276,863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104,315,169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107,966,199.48 </w:t>
            </w:r>
          </w:p>
        </w:tc>
        <w:tc>
          <w:tcPr>
            <w:tcW w:w="988"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112,284,847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116,776,241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121,447,291 </w:t>
            </w:r>
          </w:p>
        </w:tc>
      </w:tr>
      <w:tr w:rsidR="001F3890" w:rsidRPr="00710A06" w:rsidTr="009B3D50">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J. Transferencias</w:t>
            </w:r>
          </w:p>
        </w:tc>
        <w:tc>
          <w:tcPr>
            <w:tcW w:w="992"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8"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r>
      <w:tr w:rsidR="001F3890" w:rsidRPr="00710A06" w:rsidTr="009B3D50">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K. Convenios</w:t>
            </w:r>
          </w:p>
        </w:tc>
        <w:tc>
          <w:tcPr>
            <w:tcW w:w="992"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8"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r>
      <w:tr w:rsidR="001F3890" w:rsidRPr="00710A06" w:rsidTr="009B3D50">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L. Otros Ingresos de Libre Disposición</w:t>
            </w:r>
          </w:p>
        </w:tc>
        <w:tc>
          <w:tcPr>
            <w:tcW w:w="992"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8"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r>
      <w:tr w:rsidR="001F3890" w:rsidRPr="00710A06" w:rsidTr="009B3D50">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w:t>
            </w:r>
          </w:p>
        </w:tc>
        <w:tc>
          <w:tcPr>
            <w:tcW w:w="992"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w:t>
            </w:r>
          </w:p>
        </w:tc>
        <w:tc>
          <w:tcPr>
            <w:tcW w:w="988"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w:t>
            </w:r>
          </w:p>
        </w:tc>
      </w:tr>
      <w:tr w:rsidR="001F3890" w:rsidRPr="00710A06" w:rsidTr="009B3D50">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b/>
                <w:bCs/>
                <w:color w:val="000000"/>
                <w:sz w:val="14"/>
                <w:szCs w:val="14"/>
              </w:rPr>
            </w:pPr>
            <w:r w:rsidRPr="00710A06">
              <w:rPr>
                <w:rFonts w:ascii="Arial" w:hAnsi="Arial" w:cs="Arial"/>
                <w:b/>
                <w:bCs/>
                <w:color w:val="000000"/>
                <w:sz w:val="14"/>
                <w:szCs w:val="14"/>
              </w:rPr>
              <w:t xml:space="preserve">2. Transferencias Federales Etiquetadas </w:t>
            </w:r>
          </w:p>
        </w:tc>
        <w:tc>
          <w:tcPr>
            <w:tcW w:w="992"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b/>
                <w:bCs/>
                <w:color w:val="000000"/>
                <w:sz w:val="12"/>
                <w:szCs w:val="14"/>
              </w:rPr>
            </w:pPr>
            <w:r w:rsidRPr="00710A06">
              <w:rPr>
                <w:rFonts w:ascii="Arial" w:hAnsi="Arial" w:cs="Arial"/>
                <w:b/>
                <w:bCs/>
                <w:color w:val="000000"/>
                <w:sz w:val="12"/>
                <w:szCs w:val="14"/>
              </w:rPr>
              <w:t xml:space="preserve">9,462,083,618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b/>
                <w:bCs/>
                <w:color w:val="000000"/>
                <w:sz w:val="12"/>
                <w:szCs w:val="14"/>
              </w:rPr>
            </w:pPr>
            <w:r w:rsidRPr="00710A06">
              <w:rPr>
                <w:rFonts w:ascii="Arial" w:hAnsi="Arial" w:cs="Arial"/>
                <w:b/>
                <w:bCs/>
                <w:color w:val="000000"/>
                <w:sz w:val="12"/>
                <w:szCs w:val="14"/>
              </w:rPr>
              <w:t xml:space="preserve">9,745,946,127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b/>
                <w:bCs/>
                <w:color w:val="000000"/>
                <w:sz w:val="12"/>
                <w:szCs w:val="14"/>
              </w:rPr>
            </w:pPr>
            <w:r w:rsidRPr="00710A06">
              <w:rPr>
                <w:rFonts w:ascii="Arial" w:hAnsi="Arial" w:cs="Arial"/>
                <w:b/>
                <w:bCs/>
                <w:color w:val="000000"/>
                <w:sz w:val="12"/>
                <w:szCs w:val="14"/>
              </w:rPr>
              <w:t xml:space="preserve">10,087,054,241 </w:t>
            </w:r>
          </w:p>
        </w:tc>
        <w:tc>
          <w:tcPr>
            <w:tcW w:w="988"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b/>
                <w:bCs/>
                <w:color w:val="000000"/>
                <w:sz w:val="12"/>
                <w:szCs w:val="14"/>
              </w:rPr>
            </w:pPr>
            <w:r w:rsidRPr="00710A06">
              <w:rPr>
                <w:rFonts w:ascii="Arial" w:hAnsi="Arial" w:cs="Arial"/>
                <w:b/>
                <w:bCs/>
                <w:color w:val="000000"/>
                <w:sz w:val="12"/>
                <w:szCs w:val="14"/>
              </w:rPr>
              <w:t xml:space="preserve">10,490,536,411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b/>
                <w:bCs/>
                <w:color w:val="000000"/>
                <w:sz w:val="12"/>
                <w:szCs w:val="14"/>
              </w:rPr>
            </w:pPr>
            <w:r w:rsidRPr="00710A06">
              <w:rPr>
                <w:rFonts w:ascii="Arial" w:hAnsi="Arial" w:cs="Arial"/>
                <w:b/>
                <w:bCs/>
                <w:color w:val="000000"/>
                <w:sz w:val="12"/>
                <w:szCs w:val="14"/>
              </w:rPr>
              <w:t xml:space="preserve">10,910,157,867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b/>
                <w:bCs/>
                <w:color w:val="000000"/>
                <w:sz w:val="12"/>
                <w:szCs w:val="14"/>
              </w:rPr>
            </w:pPr>
            <w:r w:rsidRPr="00710A06">
              <w:rPr>
                <w:rFonts w:ascii="Arial" w:hAnsi="Arial" w:cs="Arial"/>
                <w:b/>
                <w:bCs/>
                <w:color w:val="000000"/>
                <w:sz w:val="12"/>
                <w:szCs w:val="14"/>
              </w:rPr>
              <w:t xml:space="preserve">11,346,564,182 </w:t>
            </w:r>
          </w:p>
        </w:tc>
      </w:tr>
      <w:tr w:rsidR="001F3890" w:rsidRPr="00710A06" w:rsidTr="009B3D50">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A. Aportaciones</w:t>
            </w:r>
          </w:p>
        </w:tc>
        <w:tc>
          <w:tcPr>
            <w:tcW w:w="992"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9,462,083,618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9,745,946,127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10,087,054,240.97 </w:t>
            </w:r>
          </w:p>
        </w:tc>
        <w:tc>
          <w:tcPr>
            <w:tcW w:w="988"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10,490,536,411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10,910,157,867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xml:space="preserve">11,346,564,182 </w:t>
            </w:r>
          </w:p>
        </w:tc>
      </w:tr>
      <w:tr w:rsidR="001F3890" w:rsidRPr="00710A06" w:rsidTr="009B3D50">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B. Convenios</w:t>
            </w:r>
          </w:p>
        </w:tc>
        <w:tc>
          <w:tcPr>
            <w:tcW w:w="992"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8"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r>
      <w:tr w:rsidR="001F3890" w:rsidRPr="00710A06" w:rsidTr="009B3D50">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C. Fondos distintos de Aportaciones</w:t>
            </w:r>
          </w:p>
        </w:tc>
        <w:tc>
          <w:tcPr>
            <w:tcW w:w="992"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8"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r>
      <w:tr w:rsidR="001F3890" w:rsidRPr="00710A06" w:rsidTr="003F141E">
        <w:trPr>
          <w:trHeight w:val="630"/>
        </w:trPr>
        <w:tc>
          <w:tcPr>
            <w:tcW w:w="2836" w:type="dxa"/>
            <w:tcBorders>
              <w:top w:val="nil"/>
              <w:left w:val="single" w:sz="8" w:space="0" w:color="auto"/>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lastRenderedPageBreak/>
              <w:t>D. Transferencias, Subsidios y Subvenciones, y Pensiones y Jubilaciones</w:t>
            </w:r>
          </w:p>
        </w:tc>
        <w:tc>
          <w:tcPr>
            <w:tcW w:w="992" w:type="dxa"/>
            <w:tcBorders>
              <w:top w:val="nil"/>
              <w:left w:val="single" w:sz="8" w:space="0" w:color="auto"/>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8" w:type="dxa"/>
            <w:tcBorders>
              <w:top w:val="nil"/>
              <w:left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r>
      <w:tr w:rsidR="001F3890" w:rsidRPr="00710A06" w:rsidTr="003F141E">
        <w:trPr>
          <w:trHeight w:val="319"/>
        </w:trPr>
        <w:tc>
          <w:tcPr>
            <w:tcW w:w="2836" w:type="dxa"/>
            <w:tcBorders>
              <w:top w:val="nil"/>
              <w:left w:val="single" w:sz="8" w:space="0" w:color="auto"/>
              <w:bottom w:val="single" w:sz="4" w:space="0" w:color="auto"/>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E. Otras Transferencias Federales Etiquetadas</w:t>
            </w:r>
          </w:p>
        </w:tc>
        <w:tc>
          <w:tcPr>
            <w:tcW w:w="992" w:type="dxa"/>
            <w:tcBorders>
              <w:top w:val="nil"/>
              <w:left w:val="single" w:sz="8" w:space="0" w:color="auto"/>
              <w:bottom w:val="single" w:sz="4" w:space="0" w:color="auto"/>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single" w:sz="4" w:space="0" w:color="auto"/>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single" w:sz="4" w:space="0" w:color="auto"/>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8" w:type="dxa"/>
            <w:tcBorders>
              <w:top w:val="nil"/>
              <w:left w:val="nil"/>
              <w:bottom w:val="single" w:sz="4" w:space="0" w:color="auto"/>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single" w:sz="4" w:space="0" w:color="auto"/>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single" w:sz="4" w:space="0" w:color="auto"/>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r>
      <w:tr w:rsidR="001F3890" w:rsidRPr="00710A06" w:rsidTr="003F141E">
        <w:trPr>
          <w:trHeight w:val="319"/>
        </w:trPr>
        <w:tc>
          <w:tcPr>
            <w:tcW w:w="2836" w:type="dxa"/>
            <w:tcBorders>
              <w:top w:val="single" w:sz="4" w:space="0" w:color="auto"/>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w:t>
            </w:r>
          </w:p>
        </w:tc>
        <w:tc>
          <w:tcPr>
            <w:tcW w:w="992" w:type="dxa"/>
            <w:tcBorders>
              <w:top w:val="single" w:sz="4" w:space="0" w:color="auto"/>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single" w:sz="4" w:space="0" w:color="auto"/>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single" w:sz="4" w:space="0" w:color="auto"/>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8" w:type="dxa"/>
            <w:tcBorders>
              <w:top w:val="single" w:sz="4" w:space="0" w:color="auto"/>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single" w:sz="4" w:space="0" w:color="auto"/>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single" w:sz="4" w:space="0" w:color="auto"/>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r>
      <w:tr w:rsidR="001F3890" w:rsidRPr="00710A06" w:rsidTr="009B3D50">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b/>
                <w:bCs/>
                <w:color w:val="000000"/>
                <w:sz w:val="14"/>
                <w:szCs w:val="14"/>
              </w:rPr>
            </w:pPr>
            <w:r w:rsidRPr="00710A06">
              <w:rPr>
                <w:rFonts w:ascii="Arial" w:hAnsi="Arial" w:cs="Arial"/>
                <w:b/>
                <w:bCs/>
                <w:color w:val="000000"/>
                <w:sz w:val="14"/>
                <w:szCs w:val="14"/>
              </w:rPr>
              <w:t>3. Ingresos Derivados de Financiamientos</w:t>
            </w:r>
          </w:p>
        </w:tc>
        <w:tc>
          <w:tcPr>
            <w:tcW w:w="992"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b/>
                <w:bCs/>
                <w:color w:val="000000"/>
                <w:sz w:val="12"/>
                <w:szCs w:val="14"/>
              </w:rPr>
            </w:pPr>
            <w:r w:rsidRPr="00710A06">
              <w:rPr>
                <w:rFonts w:ascii="Arial" w:hAnsi="Arial" w:cs="Arial"/>
                <w:b/>
                <w:bCs/>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b/>
                <w:bCs/>
                <w:color w:val="000000"/>
                <w:sz w:val="12"/>
                <w:szCs w:val="14"/>
              </w:rPr>
            </w:pPr>
            <w:r w:rsidRPr="00710A06">
              <w:rPr>
                <w:rFonts w:ascii="Arial" w:hAnsi="Arial" w:cs="Arial"/>
                <w:b/>
                <w:bCs/>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b/>
                <w:bCs/>
                <w:color w:val="000000"/>
                <w:sz w:val="12"/>
                <w:szCs w:val="14"/>
              </w:rPr>
            </w:pPr>
            <w:r w:rsidRPr="00710A06">
              <w:rPr>
                <w:rFonts w:ascii="Arial" w:hAnsi="Arial" w:cs="Arial"/>
                <w:b/>
                <w:bCs/>
                <w:color w:val="000000"/>
                <w:sz w:val="12"/>
                <w:szCs w:val="14"/>
              </w:rPr>
              <w:t>0</w:t>
            </w:r>
          </w:p>
        </w:tc>
        <w:tc>
          <w:tcPr>
            <w:tcW w:w="988"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b/>
                <w:bCs/>
                <w:color w:val="000000"/>
                <w:sz w:val="12"/>
                <w:szCs w:val="14"/>
              </w:rPr>
            </w:pPr>
            <w:r w:rsidRPr="00710A06">
              <w:rPr>
                <w:rFonts w:ascii="Arial" w:hAnsi="Arial" w:cs="Arial"/>
                <w:b/>
                <w:bCs/>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b/>
                <w:bCs/>
                <w:color w:val="000000"/>
                <w:sz w:val="12"/>
                <w:szCs w:val="14"/>
              </w:rPr>
            </w:pPr>
            <w:r w:rsidRPr="00710A06">
              <w:rPr>
                <w:rFonts w:ascii="Arial" w:hAnsi="Arial" w:cs="Arial"/>
                <w:b/>
                <w:bCs/>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b/>
                <w:bCs/>
                <w:color w:val="000000"/>
                <w:sz w:val="12"/>
                <w:szCs w:val="14"/>
              </w:rPr>
            </w:pPr>
            <w:r w:rsidRPr="00710A06">
              <w:rPr>
                <w:rFonts w:ascii="Arial" w:hAnsi="Arial" w:cs="Arial"/>
                <w:b/>
                <w:bCs/>
                <w:color w:val="000000"/>
                <w:sz w:val="12"/>
                <w:szCs w:val="14"/>
              </w:rPr>
              <w:t>0</w:t>
            </w:r>
          </w:p>
        </w:tc>
      </w:tr>
      <w:tr w:rsidR="001F3890" w:rsidRPr="00710A06" w:rsidTr="009B3D50">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A. Ingresos Derivados de Financiamientos </w:t>
            </w:r>
          </w:p>
        </w:tc>
        <w:tc>
          <w:tcPr>
            <w:tcW w:w="992"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8"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r>
      <w:tr w:rsidR="001F3890" w:rsidRPr="00710A06" w:rsidTr="009B3D50">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w:t>
            </w:r>
          </w:p>
        </w:tc>
        <w:tc>
          <w:tcPr>
            <w:tcW w:w="992"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w:t>
            </w:r>
          </w:p>
        </w:tc>
        <w:tc>
          <w:tcPr>
            <w:tcW w:w="988"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w:t>
            </w:r>
          </w:p>
        </w:tc>
      </w:tr>
      <w:tr w:rsidR="001F3890" w:rsidRPr="00710A06" w:rsidTr="009B3D50">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b/>
                <w:bCs/>
                <w:color w:val="000000"/>
                <w:sz w:val="14"/>
                <w:szCs w:val="14"/>
              </w:rPr>
            </w:pPr>
            <w:r w:rsidRPr="00710A06">
              <w:rPr>
                <w:rFonts w:ascii="Arial" w:hAnsi="Arial" w:cs="Arial"/>
                <w:b/>
                <w:bCs/>
                <w:color w:val="000000"/>
                <w:sz w:val="14"/>
                <w:szCs w:val="14"/>
              </w:rPr>
              <w:t>4. Total de Ingresos Proyectados</w:t>
            </w:r>
          </w:p>
        </w:tc>
        <w:tc>
          <w:tcPr>
            <w:tcW w:w="992"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b/>
                <w:bCs/>
                <w:color w:val="000000"/>
                <w:sz w:val="12"/>
                <w:szCs w:val="14"/>
              </w:rPr>
            </w:pPr>
            <w:r w:rsidRPr="00710A06">
              <w:rPr>
                <w:rFonts w:ascii="Arial" w:hAnsi="Arial" w:cs="Arial"/>
                <w:b/>
                <w:bCs/>
                <w:color w:val="000000"/>
                <w:sz w:val="12"/>
                <w:szCs w:val="14"/>
              </w:rPr>
              <w:t xml:space="preserve">18,135,704,254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b/>
                <w:bCs/>
                <w:color w:val="000000"/>
                <w:sz w:val="12"/>
                <w:szCs w:val="14"/>
              </w:rPr>
            </w:pPr>
            <w:r w:rsidRPr="00710A06">
              <w:rPr>
                <w:rFonts w:ascii="Arial" w:hAnsi="Arial" w:cs="Arial"/>
                <w:b/>
                <w:bCs/>
                <w:color w:val="000000"/>
                <w:sz w:val="12"/>
                <w:szCs w:val="14"/>
              </w:rPr>
              <w:t xml:space="preserve">18,679,775,382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b/>
                <w:bCs/>
                <w:color w:val="000000"/>
                <w:sz w:val="12"/>
                <w:szCs w:val="14"/>
              </w:rPr>
            </w:pPr>
            <w:r w:rsidRPr="00710A06">
              <w:rPr>
                <w:rFonts w:ascii="Arial" w:hAnsi="Arial" w:cs="Arial"/>
                <w:b/>
                <w:bCs/>
                <w:color w:val="000000"/>
                <w:sz w:val="12"/>
                <w:szCs w:val="14"/>
              </w:rPr>
              <w:t xml:space="preserve">19,333,567,520 </w:t>
            </w:r>
          </w:p>
        </w:tc>
        <w:tc>
          <w:tcPr>
            <w:tcW w:w="988"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b/>
                <w:bCs/>
                <w:color w:val="000000"/>
                <w:sz w:val="12"/>
                <w:szCs w:val="14"/>
              </w:rPr>
            </w:pPr>
            <w:r w:rsidRPr="00710A06">
              <w:rPr>
                <w:rFonts w:ascii="Arial" w:hAnsi="Arial" w:cs="Arial"/>
                <w:b/>
                <w:bCs/>
                <w:color w:val="000000"/>
                <w:sz w:val="12"/>
                <w:szCs w:val="14"/>
              </w:rPr>
              <w:t xml:space="preserve">20,106,910,221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b/>
                <w:bCs/>
                <w:color w:val="000000"/>
                <w:sz w:val="12"/>
                <w:szCs w:val="14"/>
              </w:rPr>
            </w:pPr>
            <w:r w:rsidRPr="00710A06">
              <w:rPr>
                <w:rFonts w:ascii="Arial" w:hAnsi="Arial" w:cs="Arial"/>
                <w:b/>
                <w:bCs/>
                <w:color w:val="000000"/>
                <w:sz w:val="12"/>
                <w:szCs w:val="14"/>
              </w:rPr>
              <w:t xml:space="preserve">20,911,186,630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b/>
                <w:bCs/>
                <w:color w:val="000000"/>
                <w:sz w:val="12"/>
                <w:szCs w:val="14"/>
              </w:rPr>
            </w:pPr>
            <w:r w:rsidRPr="00710A06">
              <w:rPr>
                <w:rFonts w:ascii="Arial" w:hAnsi="Arial" w:cs="Arial"/>
                <w:b/>
                <w:bCs/>
                <w:color w:val="000000"/>
                <w:sz w:val="12"/>
                <w:szCs w:val="14"/>
              </w:rPr>
              <w:t xml:space="preserve">21,747,634,095 </w:t>
            </w:r>
          </w:p>
        </w:tc>
      </w:tr>
      <w:tr w:rsidR="001F3890" w:rsidRPr="00710A06" w:rsidTr="009B3D50">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w:t>
            </w:r>
          </w:p>
        </w:tc>
        <w:tc>
          <w:tcPr>
            <w:tcW w:w="992"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w:t>
            </w:r>
          </w:p>
        </w:tc>
        <w:tc>
          <w:tcPr>
            <w:tcW w:w="988"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w:t>
            </w:r>
          </w:p>
        </w:tc>
      </w:tr>
      <w:tr w:rsidR="001F3890" w:rsidRPr="00710A06" w:rsidTr="009B3D50">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b/>
                <w:bCs/>
                <w:color w:val="000000"/>
                <w:sz w:val="14"/>
                <w:szCs w:val="14"/>
              </w:rPr>
            </w:pPr>
            <w:r w:rsidRPr="00710A06">
              <w:rPr>
                <w:rFonts w:ascii="Arial" w:hAnsi="Arial" w:cs="Arial"/>
                <w:b/>
                <w:bCs/>
                <w:color w:val="000000"/>
                <w:sz w:val="14"/>
                <w:szCs w:val="14"/>
              </w:rPr>
              <w:t>Datos Informativos</w:t>
            </w:r>
          </w:p>
        </w:tc>
        <w:tc>
          <w:tcPr>
            <w:tcW w:w="992"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w:t>
            </w:r>
          </w:p>
        </w:tc>
        <w:tc>
          <w:tcPr>
            <w:tcW w:w="988"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 </w:t>
            </w:r>
          </w:p>
        </w:tc>
      </w:tr>
      <w:tr w:rsidR="001F3890" w:rsidRPr="00710A06" w:rsidTr="009B3D50">
        <w:trPr>
          <w:trHeight w:val="570"/>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1. Ingresos Derivados de Financiamientos con Fuente de Pago de Recursos de Libre Disposición</w:t>
            </w:r>
          </w:p>
        </w:tc>
        <w:tc>
          <w:tcPr>
            <w:tcW w:w="992"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8"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r>
      <w:tr w:rsidR="001F3890" w:rsidRPr="00710A06" w:rsidTr="009B3D50">
        <w:trPr>
          <w:trHeight w:val="630"/>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2. Ingresos derivados de Financiamientos con Fuente de Pago de Transferencias Federales Etiquetadas</w:t>
            </w:r>
          </w:p>
        </w:tc>
        <w:tc>
          <w:tcPr>
            <w:tcW w:w="992"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8"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2"/>
                <w:szCs w:val="14"/>
              </w:rPr>
            </w:pPr>
            <w:r w:rsidRPr="00710A06">
              <w:rPr>
                <w:rFonts w:ascii="Arial" w:hAnsi="Arial" w:cs="Arial"/>
                <w:color w:val="000000"/>
                <w:sz w:val="12"/>
                <w:szCs w:val="14"/>
              </w:rPr>
              <w:t>0</w:t>
            </w:r>
          </w:p>
        </w:tc>
      </w:tr>
      <w:tr w:rsidR="001F3890" w:rsidRPr="00710A06" w:rsidTr="009B3D50">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b/>
                <w:bCs/>
                <w:color w:val="000000"/>
                <w:sz w:val="14"/>
                <w:szCs w:val="14"/>
              </w:rPr>
            </w:pPr>
            <w:r w:rsidRPr="00710A06">
              <w:rPr>
                <w:rFonts w:ascii="Arial" w:hAnsi="Arial" w:cs="Arial"/>
                <w:b/>
                <w:bCs/>
                <w:color w:val="000000"/>
                <w:sz w:val="14"/>
                <w:szCs w:val="14"/>
              </w:rPr>
              <w:t>3. Ingresos Derivados de Financiamientos</w:t>
            </w:r>
          </w:p>
        </w:tc>
        <w:tc>
          <w:tcPr>
            <w:tcW w:w="992"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b/>
                <w:bCs/>
                <w:color w:val="000000"/>
                <w:sz w:val="12"/>
                <w:szCs w:val="14"/>
              </w:rPr>
            </w:pPr>
            <w:r w:rsidRPr="00710A06">
              <w:rPr>
                <w:rFonts w:ascii="Arial" w:hAnsi="Arial" w:cs="Arial"/>
                <w:b/>
                <w:bCs/>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b/>
                <w:bCs/>
                <w:color w:val="000000"/>
                <w:sz w:val="12"/>
                <w:szCs w:val="14"/>
              </w:rPr>
            </w:pPr>
            <w:r w:rsidRPr="00710A06">
              <w:rPr>
                <w:rFonts w:ascii="Arial" w:hAnsi="Arial" w:cs="Arial"/>
                <w:b/>
                <w:bCs/>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b/>
                <w:bCs/>
                <w:color w:val="000000"/>
                <w:sz w:val="12"/>
                <w:szCs w:val="14"/>
              </w:rPr>
            </w:pPr>
            <w:r w:rsidRPr="00710A06">
              <w:rPr>
                <w:rFonts w:ascii="Arial" w:hAnsi="Arial" w:cs="Arial"/>
                <w:b/>
                <w:bCs/>
                <w:color w:val="000000"/>
                <w:sz w:val="12"/>
                <w:szCs w:val="14"/>
              </w:rPr>
              <w:t>0</w:t>
            </w:r>
          </w:p>
        </w:tc>
        <w:tc>
          <w:tcPr>
            <w:tcW w:w="988"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b/>
                <w:bCs/>
                <w:color w:val="000000"/>
                <w:sz w:val="12"/>
                <w:szCs w:val="14"/>
              </w:rPr>
            </w:pPr>
            <w:r w:rsidRPr="00710A06">
              <w:rPr>
                <w:rFonts w:ascii="Arial" w:hAnsi="Arial" w:cs="Arial"/>
                <w:b/>
                <w:bCs/>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b/>
                <w:bCs/>
                <w:color w:val="000000"/>
                <w:sz w:val="12"/>
                <w:szCs w:val="14"/>
              </w:rPr>
            </w:pPr>
            <w:r w:rsidRPr="00710A06">
              <w:rPr>
                <w:rFonts w:ascii="Arial" w:hAnsi="Arial" w:cs="Arial"/>
                <w:b/>
                <w:bCs/>
                <w:color w:val="000000"/>
                <w:sz w:val="12"/>
                <w:szCs w:val="14"/>
              </w:rPr>
              <w:t>0</w:t>
            </w:r>
          </w:p>
        </w:tc>
        <w:tc>
          <w:tcPr>
            <w:tcW w:w="987"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b/>
                <w:bCs/>
                <w:color w:val="000000"/>
                <w:sz w:val="12"/>
                <w:szCs w:val="14"/>
              </w:rPr>
            </w:pPr>
            <w:r w:rsidRPr="00710A06">
              <w:rPr>
                <w:rFonts w:ascii="Arial" w:hAnsi="Arial" w:cs="Arial"/>
                <w:b/>
                <w:bCs/>
                <w:color w:val="000000"/>
                <w:sz w:val="12"/>
                <w:szCs w:val="14"/>
              </w:rPr>
              <w:t>0</w:t>
            </w:r>
          </w:p>
        </w:tc>
      </w:tr>
      <w:tr w:rsidR="001F3890" w:rsidRPr="00710A06" w:rsidTr="009B3D50">
        <w:trPr>
          <w:trHeight w:val="319"/>
        </w:trPr>
        <w:tc>
          <w:tcPr>
            <w:tcW w:w="2836" w:type="dxa"/>
            <w:tcBorders>
              <w:top w:val="nil"/>
              <w:left w:val="single" w:sz="8" w:space="0" w:color="auto"/>
              <w:bottom w:val="single" w:sz="8" w:space="0" w:color="auto"/>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w:t>
            </w:r>
          </w:p>
        </w:tc>
        <w:tc>
          <w:tcPr>
            <w:tcW w:w="992" w:type="dxa"/>
            <w:tcBorders>
              <w:top w:val="nil"/>
              <w:left w:val="single" w:sz="8" w:space="0" w:color="auto"/>
              <w:bottom w:val="single" w:sz="8" w:space="0" w:color="auto"/>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w:t>
            </w:r>
          </w:p>
        </w:tc>
        <w:tc>
          <w:tcPr>
            <w:tcW w:w="987" w:type="dxa"/>
            <w:tcBorders>
              <w:top w:val="nil"/>
              <w:left w:val="nil"/>
              <w:bottom w:val="single" w:sz="8" w:space="0" w:color="auto"/>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w:t>
            </w:r>
          </w:p>
        </w:tc>
        <w:tc>
          <w:tcPr>
            <w:tcW w:w="987" w:type="dxa"/>
            <w:tcBorders>
              <w:top w:val="nil"/>
              <w:left w:val="nil"/>
              <w:bottom w:val="single" w:sz="8" w:space="0" w:color="auto"/>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w:t>
            </w:r>
          </w:p>
        </w:tc>
        <w:tc>
          <w:tcPr>
            <w:tcW w:w="988" w:type="dxa"/>
            <w:tcBorders>
              <w:top w:val="nil"/>
              <w:left w:val="nil"/>
              <w:bottom w:val="single" w:sz="8" w:space="0" w:color="auto"/>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w:t>
            </w:r>
          </w:p>
        </w:tc>
        <w:tc>
          <w:tcPr>
            <w:tcW w:w="987" w:type="dxa"/>
            <w:tcBorders>
              <w:top w:val="nil"/>
              <w:left w:val="nil"/>
              <w:bottom w:val="single" w:sz="8" w:space="0" w:color="auto"/>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w:t>
            </w:r>
          </w:p>
        </w:tc>
        <w:tc>
          <w:tcPr>
            <w:tcW w:w="987" w:type="dxa"/>
            <w:tcBorders>
              <w:top w:val="nil"/>
              <w:left w:val="nil"/>
              <w:bottom w:val="single" w:sz="8" w:space="0" w:color="auto"/>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w:t>
            </w:r>
          </w:p>
        </w:tc>
      </w:tr>
    </w:tbl>
    <w:p w:rsidR="001F3890" w:rsidRPr="00710A06" w:rsidRDefault="001F3890" w:rsidP="00C45465">
      <w:pPr>
        <w:spacing w:after="0" w:line="360" w:lineRule="auto"/>
        <w:jc w:val="both"/>
        <w:rPr>
          <w:rFonts w:ascii="Arial" w:hAnsi="Arial" w:cs="Arial"/>
        </w:rPr>
      </w:pPr>
    </w:p>
    <w:p w:rsidR="001F3890" w:rsidRPr="00710A06" w:rsidRDefault="001F3890" w:rsidP="00C45465">
      <w:pPr>
        <w:spacing w:after="0" w:line="360" w:lineRule="auto"/>
        <w:jc w:val="both"/>
        <w:rPr>
          <w:rFonts w:ascii="Arial" w:hAnsi="Arial" w:cs="Arial"/>
        </w:rPr>
      </w:pP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237"/>
      </w:tblGrid>
      <w:tr w:rsidR="001F3890" w:rsidRPr="00710A06" w:rsidTr="00C45465">
        <w:trPr>
          <w:jc w:val="center"/>
        </w:trPr>
        <w:tc>
          <w:tcPr>
            <w:tcW w:w="8613" w:type="dxa"/>
            <w:gridSpan w:val="2"/>
            <w:shd w:val="clear" w:color="auto" w:fill="C5E0B3" w:themeFill="accent6" w:themeFillTint="66"/>
          </w:tcPr>
          <w:p w:rsidR="001F3890" w:rsidRPr="00710A06" w:rsidRDefault="001F3890" w:rsidP="00C45465">
            <w:pPr>
              <w:spacing w:after="0" w:line="360" w:lineRule="auto"/>
              <w:jc w:val="center"/>
              <w:rPr>
                <w:rFonts w:ascii="Arial" w:hAnsi="Arial" w:cs="Arial"/>
                <w:b/>
              </w:rPr>
            </w:pPr>
            <w:r w:rsidRPr="00710A06">
              <w:rPr>
                <w:rFonts w:ascii="Arial" w:hAnsi="Arial" w:cs="Arial"/>
                <w:b/>
              </w:rPr>
              <w:t>GOBIERNO DEL ESTADO DE TLAXCALA</w:t>
            </w:r>
          </w:p>
          <w:p w:rsidR="001F3890" w:rsidRPr="00710A06" w:rsidRDefault="001F3890" w:rsidP="00C45465">
            <w:pPr>
              <w:spacing w:after="0" w:line="360" w:lineRule="auto"/>
              <w:jc w:val="center"/>
              <w:rPr>
                <w:rFonts w:ascii="Arial" w:hAnsi="Arial" w:cs="Arial"/>
                <w:b/>
              </w:rPr>
            </w:pPr>
            <w:r w:rsidRPr="00710A06">
              <w:rPr>
                <w:rFonts w:ascii="Arial" w:hAnsi="Arial" w:cs="Arial"/>
                <w:b/>
              </w:rPr>
              <w:t>SUPUESTOS DE FINANZAS PÚBLICAS DE MEDIANO PLAZO 2018-2023</w:t>
            </w:r>
          </w:p>
        </w:tc>
      </w:tr>
      <w:tr w:rsidR="001F3890" w:rsidRPr="00710A06" w:rsidTr="00C45465">
        <w:trPr>
          <w:jc w:val="center"/>
        </w:trPr>
        <w:tc>
          <w:tcPr>
            <w:tcW w:w="2376" w:type="dxa"/>
          </w:tcPr>
          <w:p w:rsidR="001F3890" w:rsidRPr="00710A06" w:rsidRDefault="001F3890" w:rsidP="00C45465">
            <w:pPr>
              <w:spacing w:after="0" w:line="360" w:lineRule="auto"/>
              <w:jc w:val="center"/>
              <w:rPr>
                <w:rFonts w:ascii="Arial" w:hAnsi="Arial" w:cs="Arial"/>
                <w:b/>
                <w:sz w:val="20"/>
              </w:rPr>
            </w:pPr>
            <w:r w:rsidRPr="00710A06">
              <w:rPr>
                <w:rFonts w:ascii="Arial" w:hAnsi="Arial" w:cs="Arial"/>
                <w:b/>
                <w:sz w:val="20"/>
              </w:rPr>
              <w:t>Concepto</w:t>
            </w:r>
          </w:p>
        </w:tc>
        <w:tc>
          <w:tcPr>
            <w:tcW w:w="6237" w:type="dxa"/>
          </w:tcPr>
          <w:p w:rsidR="001F3890" w:rsidRPr="00710A06" w:rsidRDefault="001F3890" w:rsidP="00C45465">
            <w:pPr>
              <w:spacing w:after="0" w:line="360" w:lineRule="auto"/>
              <w:jc w:val="center"/>
              <w:rPr>
                <w:rFonts w:ascii="Arial" w:hAnsi="Arial" w:cs="Arial"/>
                <w:b/>
                <w:sz w:val="20"/>
              </w:rPr>
            </w:pPr>
            <w:r w:rsidRPr="00710A06">
              <w:rPr>
                <w:rFonts w:ascii="Arial" w:hAnsi="Arial" w:cs="Arial"/>
                <w:b/>
                <w:sz w:val="20"/>
              </w:rPr>
              <w:t>Supuestos</w:t>
            </w:r>
          </w:p>
        </w:tc>
      </w:tr>
      <w:tr w:rsidR="001F3890" w:rsidRPr="00710A06" w:rsidTr="00C45465">
        <w:trPr>
          <w:jc w:val="center"/>
        </w:trPr>
        <w:tc>
          <w:tcPr>
            <w:tcW w:w="2376" w:type="dxa"/>
          </w:tcPr>
          <w:p w:rsidR="001F3890" w:rsidRPr="00710A06" w:rsidRDefault="001F3890" w:rsidP="00C45465">
            <w:pPr>
              <w:spacing w:after="0" w:line="360" w:lineRule="auto"/>
              <w:jc w:val="both"/>
              <w:rPr>
                <w:rFonts w:ascii="Arial" w:hAnsi="Arial" w:cs="Arial"/>
                <w:b/>
                <w:sz w:val="20"/>
              </w:rPr>
            </w:pPr>
          </w:p>
        </w:tc>
        <w:tc>
          <w:tcPr>
            <w:tcW w:w="6237" w:type="dxa"/>
          </w:tcPr>
          <w:p w:rsidR="001F3890" w:rsidRPr="00710A06" w:rsidRDefault="001F3890" w:rsidP="00C45465">
            <w:pPr>
              <w:spacing w:after="0" w:line="360" w:lineRule="auto"/>
              <w:jc w:val="center"/>
              <w:rPr>
                <w:rFonts w:ascii="Arial" w:hAnsi="Arial" w:cs="Arial"/>
                <w:b/>
                <w:sz w:val="20"/>
              </w:rPr>
            </w:pPr>
            <w:r w:rsidRPr="00710A06">
              <w:rPr>
                <w:rFonts w:ascii="Arial" w:hAnsi="Arial" w:cs="Arial"/>
                <w:b/>
                <w:sz w:val="20"/>
              </w:rPr>
              <w:t>Fuente de recursos</w:t>
            </w:r>
          </w:p>
        </w:tc>
      </w:tr>
      <w:tr w:rsidR="001F3890" w:rsidRPr="00710A06" w:rsidTr="00C45465">
        <w:trPr>
          <w:jc w:val="center"/>
        </w:trPr>
        <w:tc>
          <w:tcPr>
            <w:tcW w:w="2376" w:type="dxa"/>
          </w:tcPr>
          <w:p w:rsidR="001F3890" w:rsidRPr="00710A06" w:rsidRDefault="001F3890" w:rsidP="00C45465">
            <w:pPr>
              <w:spacing w:after="0" w:line="360" w:lineRule="auto"/>
              <w:jc w:val="both"/>
              <w:rPr>
                <w:rFonts w:ascii="Arial" w:hAnsi="Arial" w:cs="Arial"/>
                <w:sz w:val="20"/>
              </w:rPr>
            </w:pPr>
            <w:r w:rsidRPr="00710A06">
              <w:rPr>
                <w:rFonts w:ascii="Arial" w:hAnsi="Arial" w:cs="Arial"/>
                <w:sz w:val="20"/>
              </w:rPr>
              <w:t>Impuestos</w:t>
            </w:r>
          </w:p>
        </w:tc>
        <w:tc>
          <w:tcPr>
            <w:tcW w:w="6237" w:type="dxa"/>
          </w:tcPr>
          <w:p w:rsidR="001F3890" w:rsidRPr="00710A06" w:rsidRDefault="001F3890" w:rsidP="00C45465">
            <w:pPr>
              <w:spacing w:after="0" w:line="360" w:lineRule="auto"/>
              <w:jc w:val="both"/>
              <w:rPr>
                <w:rFonts w:ascii="Arial" w:hAnsi="Arial" w:cs="Arial"/>
                <w:sz w:val="20"/>
              </w:rPr>
            </w:pPr>
            <w:r w:rsidRPr="00710A06">
              <w:rPr>
                <w:rFonts w:ascii="Arial" w:hAnsi="Arial" w:cs="Arial"/>
                <w:sz w:val="20"/>
              </w:rPr>
              <w:t>La recaudación aumenta a una tasa anual promedio de 3.0 %, ligeramente mayor a lo estimado.</w:t>
            </w:r>
          </w:p>
          <w:p w:rsidR="001F3890" w:rsidRPr="00710A06" w:rsidRDefault="001F3890" w:rsidP="00C45465">
            <w:pPr>
              <w:spacing w:after="0" w:line="360" w:lineRule="auto"/>
              <w:jc w:val="both"/>
              <w:rPr>
                <w:rFonts w:ascii="Arial" w:hAnsi="Arial" w:cs="Arial"/>
                <w:sz w:val="20"/>
              </w:rPr>
            </w:pPr>
          </w:p>
        </w:tc>
      </w:tr>
      <w:tr w:rsidR="001F3890" w:rsidRPr="00710A06" w:rsidTr="00C45465">
        <w:trPr>
          <w:jc w:val="center"/>
        </w:trPr>
        <w:tc>
          <w:tcPr>
            <w:tcW w:w="2376" w:type="dxa"/>
          </w:tcPr>
          <w:p w:rsidR="001F3890" w:rsidRPr="00710A06" w:rsidRDefault="001F3890" w:rsidP="00C45465">
            <w:pPr>
              <w:spacing w:after="0" w:line="360" w:lineRule="auto"/>
              <w:jc w:val="both"/>
              <w:rPr>
                <w:rFonts w:ascii="Arial" w:hAnsi="Arial" w:cs="Arial"/>
                <w:sz w:val="20"/>
              </w:rPr>
            </w:pPr>
            <w:r w:rsidRPr="00710A06">
              <w:rPr>
                <w:rFonts w:ascii="Arial" w:hAnsi="Arial" w:cs="Arial"/>
                <w:sz w:val="20"/>
              </w:rPr>
              <w:t>Derechos</w:t>
            </w:r>
          </w:p>
        </w:tc>
        <w:tc>
          <w:tcPr>
            <w:tcW w:w="6237" w:type="dxa"/>
          </w:tcPr>
          <w:p w:rsidR="001F3890" w:rsidRPr="00710A06" w:rsidRDefault="001F3890" w:rsidP="00C45465">
            <w:pPr>
              <w:spacing w:after="0" w:line="360" w:lineRule="auto"/>
              <w:jc w:val="both"/>
              <w:rPr>
                <w:rFonts w:ascii="Arial" w:hAnsi="Arial" w:cs="Arial"/>
                <w:sz w:val="20"/>
              </w:rPr>
            </w:pPr>
            <w:r w:rsidRPr="00710A06">
              <w:rPr>
                <w:rFonts w:ascii="Arial" w:hAnsi="Arial" w:cs="Arial"/>
                <w:sz w:val="20"/>
              </w:rPr>
              <w:t>La recaudación aumenta a una tasa anual promedio de 3.0 %, ligeramente mayor a lo estimado, derivado de los servicios prestados por Dependencias del Poder Ejecutivo.</w:t>
            </w:r>
          </w:p>
          <w:p w:rsidR="001F3890" w:rsidRPr="00710A06" w:rsidRDefault="001F3890" w:rsidP="00C45465">
            <w:pPr>
              <w:spacing w:after="0" w:line="360" w:lineRule="auto"/>
              <w:jc w:val="both"/>
              <w:rPr>
                <w:rFonts w:ascii="Arial" w:hAnsi="Arial" w:cs="Arial"/>
                <w:sz w:val="20"/>
              </w:rPr>
            </w:pPr>
          </w:p>
        </w:tc>
      </w:tr>
      <w:tr w:rsidR="001F3890" w:rsidRPr="00710A06" w:rsidTr="00C45465">
        <w:trPr>
          <w:jc w:val="center"/>
        </w:trPr>
        <w:tc>
          <w:tcPr>
            <w:tcW w:w="2376" w:type="dxa"/>
          </w:tcPr>
          <w:p w:rsidR="001F3890" w:rsidRPr="00710A06" w:rsidRDefault="001F3890" w:rsidP="00C45465">
            <w:pPr>
              <w:spacing w:after="0" w:line="360" w:lineRule="auto"/>
              <w:jc w:val="both"/>
              <w:rPr>
                <w:rFonts w:ascii="Arial" w:hAnsi="Arial" w:cs="Arial"/>
                <w:sz w:val="20"/>
              </w:rPr>
            </w:pPr>
            <w:r w:rsidRPr="00710A06">
              <w:rPr>
                <w:rFonts w:ascii="Arial" w:hAnsi="Arial" w:cs="Arial"/>
                <w:sz w:val="20"/>
              </w:rPr>
              <w:lastRenderedPageBreak/>
              <w:t>Productos</w:t>
            </w:r>
          </w:p>
        </w:tc>
        <w:tc>
          <w:tcPr>
            <w:tcW w:w="6237" w:type="dxa"/>
          </w:tcPr>
          <w:p w:rsidR="001F3890" w:rsidRPr="00710A06" w:rsidRDefault="001F3890" w:rsidP="00C45465">
            <w:pPr>
              <w:spacing w:after="0" w:line="360" w:lineRule="auto"/>
              <w:jc w:val="both"/>
              <w:rPr>
                <w:rFonts w:ascii="Arial" w:hAnsi="Arial" w:cs="Arial"/>
                <w:sz w:val="20"/>
              </w:rPr>
            </w:pPr>
            <w:r w:rsidRPr="00710A06">
              <w:rPr>
                <w:rFonts w:ascii="Arial" w:hAnsi="Arial" w:cs="Arial"/>
                <w:sz w:val="20"/>
              </w:rPr>
              <w:t>Aumentan a una tasa similar al crecimiento real de la recaudación de contribuciones.</w:t>
            </w:r>
          </w:p>
          <w:p w:rsidR="001F3890" w:rsidRPr="00710A06" w:rsidRDefault="001F3890" w:rsidP="00C45465">
            <w:pPr>
              <w:spacing w:after="0" w:line="360" w:lineRule="auto"/>
              <w:jc w:val="both"/>
              <w:rPr>
                <w:rFonts w:ascii="Arial" w:hAnsi="Arial" w:cs="Arial"/>
                <w:sz w:val="20"/>
              </w:rPr>
            </w:pPr>
          </w:p>
        </w:tc>
      </w:tr>
      <w:tr w:rsidR="001F3890" w:rsidRPr="00710A06" w:rsidTr="00C45465">
        <w:trPr>
          <w:jc w:val="center"/>
        </w:trPr>
        <w:tc>
          <w:tcPr>
            <w:tcW w:w="2376" w:type="dxa"/>
          </w:tcPr>
          <w:p w:rsidR="001F3890" w:rsidRPr="00710A06" w:rsidRDefault="001F3890" w:rsidP="00C45465">
            <w:pPr>
              <w:spacing w:after="0" w:line="360" w:lineRule="auto"/>
              <w:jc w:val="both"/>
              <w:rPr>
                <w:rFonts w:ascii="Arial" w:hAnsi="Arial" w:cs="Arial"/>
                <w:sz w:val="20"/>
              </w:rPr>
            </w:pPr>
            <w:r w:rsidRPr="00710A06">
              <w:rPr>
                <w:rFonts w:ascii="Arial" w:hAnsi="Arial" w:cs="Arial"/>
                <w:sz w:val="20"/>
              </w:rPr>
              <w:t>Aprovechamientos</w:t>
            </w:r>
          </w:p>
        </w:tc>
        <w:tc>
          <w:tcPr>
            <w:tcW w:w="6237" w:type="dxa"/>
          </w:tcPr>
          <w:p w:rsidR="001F3890" w:rsidRPr="00710A06" w:rsidRDefault="001F3890" w:rsidP="00C45465">
            <w:pPr>
              <w:spacing w:after="0" w:line="360" w:lineRule="auto"/>
              <w:jc w:val="both"/>
              <w:rPr>
                <w:rFonts w:ascii="Arial" w:hAnsi="Arial" w:cs="Arial"/>
                <w:sz w:val="20"/>
              </w:rPr>
            </w:pPr>
            <w:r w:rsidRPr="00710A06">
              <w:rPr>
                <w:rFonts w:ascii="Arial" w:hAnsi="Arial" w:cs="Arial"/>
                <w:sz w:val="20"/>
              </w:rPr>
              <w:t>Aumentan en función de la recaudación esperada en contribuciones.</w:t>
            </w:r>
          </w:p>
        </w:tc>
      </w:tr>
      <w:tr w:rsidR="001F3890" w:rsidRPr="00710A06" w:rsidTr="00C45465">
        <w:trPr>
          <w:jc w:val="center"/>
        </w:trPr>
        <w:tc>
          <w:tcPr>
            <w:tcW w:w="2376" w:type="dxa"/>
          </w:tcPr>
          <w:p w:rsidR="001F3890" w:rsidRPr="00710A06" w:rsidRDefault="001F3890" w:rsidP="00C45465">
            <w:pPr>
              <w:spacing w:after="0" w:line="360" w:lineRule="auto"/>
              <w:jc w:val="both"/>
              <w:rPr>
                <w:rFonts w:ascii="Arial" w:hAnsi="Arial" w:cs="Arial"/>
                <w:sz w:val="20"/>
              </w:rPr>
            </w:pPr>
            <w:r w:rsidRPr="00710A06">
              <w:rPr>
                <w:rFonts w:ascii="Arial" w:hAnsi="Arial" w:cs="Arial"/>
                <w:sz w:val="20"/>
              </w:rPr>
              <w:t>Participaciones</w:t>
            </w:r>
          </w:p>
        </w:tc>
        <w:tc>
          <w:tcPr>
            <w:tcW w:w="6237" w:type="dxa"/>
          </w:tcPr>
          <w:p w:rsidR="001F3890" w:rsidRPr="00710A06" w:rsidRDefault="001F3890" w:rsidP="00C45465">
            <w:pPr>
              <w:spacing w:after="0" w:line="360" w:lineRule="auto"/>
              <w:jc w:val="both"/>
              <w:rPr>
                <w:rFonts w:ascii="Arial" w:hAnsi="Arial" w:cs="Arial"/>
                <w:sz w:val="20"/>
              </w:rPr>
            </w:pPr>
            <w:r w:rsidRPr="00710A06">
              <w:rPr>
                <w:rFonts w:ascii="Arial" w:hAnsi="Arial" w:cs="Arial"/>
                <w:sz w:val="20"/>
              </w:rPr>
              <w:t>Consideran un incremento en función de la recaudación federal participable, tomando como base la recaudación de ingresos tributarios, no tributarios e ingresos petroleros.</w:t>
            </w:r>
          </w:p>
          <w:p w:rsidR="001F3890" w:rsidRPr="00710A06" w:rsidRDefault="001F3890" w:rsidP="00C45465">
            <w:pPr>
              <w:spacing w:after="0" w:line="360" w:lineRule="auto"/>
              <w:jc w:val="both"/>
              <w:rPr>
                <w:rFonts w:ascii="Arial" w:hAnsi="Arial" w:cs="Arial"/>
                <w:sz w:val="20"/>
              </w:rPr>
            </w:pPr>
          </w:p>
        </w:tc>
      </w:tr>
      <w:tr w:rsidR="001F3890" w:rsidRPr="00710A06" w:rsidTr="00C45465">
        <w:trPr>
          <w:jc w:val="center"/>
        </w:trPr>
        <w:tc>
          <w:tcPr>
            <w:tcW w:w="2376" w:type="dxa"/>
          </w:tcPr>
          <w:p w:rsidR="001F3890" w:rsidRPr="00710A06" w:rsidRDefault="001F3890" w:rsidP="00C45465">
            <w:pPr>
              <w:spacing w:after="0" w:line="360" w:lineRule="auto"/>
              <w:jc w:val="both"/>
              <w:rPr>
                <w:rFonts w:ascii="Arial" w:hAnsi="Arial" w:cs="Arial"/>
                <w:sz w:val="20"/>
              </w:rPr>
            </w:pPr>
            <w:r w:rsidRPr="00710A06">
              <w:rPr>
                <w:rFonts w:ascii="Arial" w:hAnsi="Arial" w:cs="Arial"/>
                <w:sz w:val="20"/>
              </w:rPr>
              <w:t>Incentivos Económicos</w:t>
            </w:r>
          </w:p>
        </w:tc>
        <w:tc>
          <w:tcPr>
            <w:tcW w:w="6237" w:type="dxa"/>
          </w:tcPr>
          <w:p w:rsidR="001F3890" w:rsidRPr="00710A06" w:rsidRDefault="001F3890" w:rsidP="00C45465">
            <w:pPr>
              <w:spacing w:after="0" w:line="360" w:lineRule="auto"/>
              <w:jc w:val="both"/>
              <w:rPr>
                <w:rFonts w:ascii="Arial" w:hAnsi="Arial" w:cs="Arial"/>
                <w:sz w:val="20"/>
              </w:rPr>
            </w:pPr>
            <w:r w:rsidRPr="00710A06">
              <w:rPr>
                <w:rFonts w:ascii="Arial" w:hAnsi="Arial" w:cs="Arial"/>
                <w:sz w:val="20"/>
              </w:rPr>
              <w:t>Aumentan en función de las acciones de fiscalización concurrentes y de los incentivos otorgados a través del Convenio de Colaboración Administrativa en Materia Fiscal Federal.</w:t>
            </w:r>
          </w:p>
          <w:p w:rsidR="001F3890" w:rsidRPr="00710A06" w:rsidRDefault="001F3890" w:rsidP="00C45465">
            <w:pPr>
              <w:spacing w:after="0" w:line="360" w:lineRule="auto"/>
              <w:jc w:val="both"/>
              <w:rPr>
                <w:rFonts w:ascii="Arial" w:hAnsi="Arial" w:cs="Arial"/>
                <w:sz w:val="20"/>
              </w:rPr>
            </w:pPr>
          </w:p>
        </w:tc>
      </w:tr>
      <w:tr w:rsidR="001F3890" w:rsidRPr="00710A06" w:rsidTr="00C45465">
        <w:trPr>
          <w:jc w:val="center"/>
        </w:trPr>
        <w:tc>
          <w:tcPr>
            <w:tcW w:w="2376" w:type="dxa"/>
          </w:tcPr>
          <w:p w:rsidR="001F3890" w:rsidRPr="00710A06" w:rsidRDefault="001F3890" w:rsidP="00C45465">
            <w:pPr>
              <w:spacing w:after="0" w:line="360" w:lineRule="auto"/>
              <w:jc w:val="both"/>
              <w:rPr>
                <w:rFonts w:ascii="Arial" w:hAnsi="Arial" w:cs="Arial"/>
                <w:sz w:val="20"/>
              </w:rPr>
            </w:pPr>
            <w:r w:rsidRPr="00710A06">
              <w:rPr>
                <w:rFonts w:ascii="Arial" w:hAnsi="Arial" w:cs="Arial"/>
                <w:sz w:val="20"/>
              </w:rPr>
              <w:t>Aportaciones</w:t>
            </w:r>
          </w:p>
        </w:tc>
        <w:tc>
          <w:tcPr>
            <w:tcW w:w="6237" w:type="dxa"/>
          </w:tcPr>
          <w:p w:rsidR="001F3890" w:rsidRPr="00710A06" w:rsidRDefault="001F3890" w:rsidP="00C45465">
            <w:pPr>
              <w:spacing w:after="0" w:line="360" w:lineRule="auto"/>
              <w:jc w:val="both"/>
              <w:rPr>
                <w:rFonts w:ascii="Arial" w:hAnsi="Arial" w:cs="Arial"/>
                <w:sz w:val="20"/>
              </w:rPr>
            </w:pPr>
            <w:r w:rsidRPr="00710A06">
              <w:rPr>
                <w:rFonts w:ascii="Arial" w:hAnsi="Arial" w:cs="Arial"/>
                <w:sz w:val="20"/>
              </w:rPr>
              <w:t>Se incrementan a una tasa de crecimiento promedio del 3.0 %.</w:t>
            </w:r>
          </w:p>
          <w:p w:rsidR="001F3890" w:rsidRPr="00710A06" w:rsidRDefault="001F3890" w:rsidP="00C45465">
            <w:pPr>
              <w:spacing w:after="0" w:line="360" w:lineRule="auto"/>
              <w:jc w:val="both"/>
              <w:rPr>
                <w:rFonts w:ascii="Arial" w:hAnsi="Arial" w:cs="Arial"/>
                <w:sz w:val="20"/>
              </w:rPr>
            </w:pPr>
          </w:p>
        </w:tc>
      </w:tr>
      <w:tr w:rsidR="001F3890" w:rsidRPr="00710A06" w:rsidTr="00C45465">
        <w:trPr>
          <w:jc w:val="center"/>
        </w:trPr>
        <w:tc>
          <w:tcPr>
            <w:tcW w:w="2376" w:type="dxa"/>
          </w:tcPr>
          <w:p w:rsidR="001F3890" w:rsidRPr="00710A06" w:rsidRDefault="001F3890" w:rsidP="00C45465">
            <w:pPr>
              <w:spacing w:after="0" w:line="360" w:lineRule="auto"/>
              <w:jc w:val="both"/>
              <w:rPr>
                <w:rFonts w:ascii="Arial" w:hAnsi="Arial" w:cs="Arial"/>
                <w:sz w:val="20"/>
              </w:rPr>
            </w:pPr>
            <w:r w:rsidRPr="00710A06">
              <w:rPr>
                <w:rFonts w:ascii="Arial" w:hAnsi="Arial" w:cs="Arial"/>
                <w:sz w:val="20"/>
              </w:rPr>
              <w:t>Convenios</w:t>
            </w:r>
          </w:p>
        </w:tc>
        <w:tc>
          <w:tcPr>
            <w:tcW w:w="6237" w:type="dxa"/>
          </w:tcPr>
          <w:p w:rsidR="001F3890" w:rsidRPr="00710A06" w:rsidRDefault="001F3890" w:rsidP="00C45465">
            <w:pPr>
              <w:spacing w:after="0" w:line="360" w:lineRule="auto"/>
              <w:jc w:val="both"/>
              <w:rPr>
                <w:rFonts w:ascii="Arial" w:hAnsi="Arial" w:cs="Arial"/>
                <w:sz w:val="20"/>
              </w:rPr>
            </w:pPr>
            <w:r w:rsidRPr="00710A06">
              <w:rPr>
                <w:rFonts w:ascii="Arial" w:hAnsi="Arial" w:cs="Arial"/>
                <w:sz w:val="20"/>
              </w:rPr>
              <w:t>Considera una alta variabilidad ya que la obtención de recursos por este concepto está en función de las negociaciones del presupuesto que se efectúen.</w:t>
            </w:r>
          </w:p>
        </w:tc>
      </w:tr>
    </w:tbl>
    <w:p w:rsidR="001F3890" w:rsidRPr="00710A06" w:rsidRDefault="001F3890" w:rsidP="00C45465">
      <w:pPr>
        <w:spacing w:after="0" w:line="360" w:lineRule="auto"/>
        <w:jc w:val="both"/>
        <w:rPr>
          <w:rFonts w:ascii="Arial" w:hAnsi="Arial" w:cs="Arial"/>
        </w:rPr>
      </w:pPr>
    </w:p>
    <w:p w:rsidR="001F3890" w:rsidRPr="00710A06" w:rsidRDefault="001F3890" w:rsidP="00C45465">
      <w:pPr>
        <w:spacing w:after="0" w:line="360" w:lineRule="auto"/>
        <w:jc w:val="both"/>
        <w:rPr>
          <w:rFonts w:ascii="Arial" w:hAnsi="Arial" w:cs="Arial"/>
          <w:b/>
          <w:bCs/>
          <w:sz w:val="24"/>
          <w:szCs w:val="24"/>
        </w:rPr>
      </w:pPr>
      <w:r w:rsidRPr="00710A06">
        <w:rPr>
          <w:rFonts w:ascii="Arial" w:hAnsi="Arial" w:cs="Arial"/>
          <w:b/>
          <w:bCs/>
          <w:sz w:val="24"/>
          <w:szCs w:val="24"/>
        </w:rPr>
        <w:t>RIESGOS FISCALES.</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t xml:space="preserve">Los riesgos fiscales de largo plazo para las finanzas públicas del Estado, se pueden definir como obligaciones no transitorias, cuya dinámica depende entre otros, del desempeño de las variables macroeconómicas en el corto plazo. </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t>El escenario macroeconómico de mediano plazo está sujeto a riesgos que podrían modificar las trayectorias anticipadas. Dentro de los riesgos a la baja destacan:</w:t>
      </w:r>
    </w:p>
    <w:p w:rsidR="001F3890" w:rsidRPr="00710A06" w:rsidRDefault="001F3890" w:rsidP="00C45465">
      <w:pPr>
        <w:pStyle w:val="Prrafodelista"/>
        <w:numPr>
          <w:ilvl w:val="0"/>
          <w:numId w:val="8"/>
        </w:numPr>
        <w:spacing w:after="0" w:line="360" w:lineRule="auto"/>
        <w:contextualSpacing w:val="0"/>
        <w:jc w:val="both"/>
        <w:rPr>
          <w:rFonts w:ascii="Arial" w:hAnsi="Arial" w:cs="Arial"/>
          <w:sz w:val="24"/>
          <w:szCs w:val="24"/>
        </w:rPr>
      </w:pPr>
      <w:r w:rsidRPr="00710A06">
        <w:rPr>
          <w:rFonts w:ascii="Arial" w:hAnsi="Arial" w:cs="Arial"/>
          <w:sz w:val="24"/>
          <w:szCs w:val="24"/>
        </w:rPr>
        <w:lastRenderedPageBreak/>
        <w:t>Resultado no favorable en la renegociación del TLCAN. En caso de que al término de las rondas de negociación los intereses de México se vean afectados o de materializarse la salida de Estados Unidos del acuerdo, el resultado se reflejaría en una desaceleración del comercio y los flujos de inversión en sectores clave de la economía.</w:t>
      </w:r>
    </w:p>
    <w:p w:rsidR="001F3890" w:rsidRPr="00710A06" w:rsidRDefault="001F3890" w:rsidP="00C45465">
      <w:pPr>
        <w:pStyle w:val="Prrafodelista"/>
        <w:spacing w:after="0" w:line="360" w:lineRule="auto"/>
        <w:jc w:val="both"/>
        <w:rPr>
          <w:rFonts w:ascii="Arial" w:hAnsi="Arial" w:cs="Arial"/>
          <w:sz w:val="24"/>
          <w:szCs w:val="24"/>
        </w:rPr>
      </w:pPr>
    </w:p>
    <w:p w:rsidR="001F3890" w:rsidRPr="00710A06" w:rsidRDefault="001F3890" w:rsidP="00C45465">
      <w:pPr>
        <w:pStyle w:val="Prrafodelista"/>
        <w:numPr>
          <w:ilvl w:val="0"/>
          <w:numId w:val="8"/>
        </w:numPr>
        <w:spacing w:after="0" w:line="360" w:lineRule="auto"/>
        <w:contextualSpacing w:val="0"/>
        <w:jc w:val="both"/>
        <w:rPr>
          <w:rFonts w:ascii="Arial" w:hAnsi="Arial" w:cs="Arial"/>
          <w:sz w:val="24"/>
          <w:szCs w:val="24"/>
        </w:rPr>
      </w:pPr>
      <w:r w:rsidRPr="00710A06">
        <w:rPr>
          <w:rFonts w:ascii="Arial" w:hAnsi="Arial" w:cs="Arial"/>
          <w:sz w:val="24"/>
          <w:szCs w:val="24"/>
        </w:rPr>
        <w:t>Un crecimiento económico de Estados Unidos menor que el previsto. En caso de materializarse un menor crecimiento de esa economía, las exportaciones de México aumentarían a tasas menores que las proyectadas.</w:t>
      </w:r>
    </w:p>
    <w:p w:rsidR="001F3890" w:rsidRPr="00710A06" w:rsidRDefault="001F3890" w:rsidP="00C45465">
      <w:pPr>
        <w:pStyle w:val="Prrafodelista"/>
        <w:spacing w:after="0" w:line="360" w:lineRule="auto"/>
        <w:rPr>
          <w:rFonts w:ascii="Arial" w:hAnsi="Arial" w:cs="Arial"/>
          <w:sz w:val="24"/>
          <w:szCs w:val="24"/>
        </w:rPr>
      </w:pPr>
    </w:p>
    <w:p w:rsidR="001F3890" w:rsidRPr="00710A06" w:rsidRDefault="001F3890" w:rsidP="00C45465">
      <w:pPr>
        <w:pStyle w:val="Prrafodelista"/>
        <w:numPr>
          <w:ilvl w:val="0"/>
          <w:numId w:val="8"/>
        </w:numPr>
        <w:spacing w:after="0" w:line="360" w:lineRule="auto"/>
        <w:contextualSpacing w:val="0"/>
        <w:jc w:val="both"/>
        <w:rPr>
          <w:rFonts w:ascii="Arial" w:hAnsi="Arial" w:cs="Arial"/>
          <w:sz w:val="24"/>
          <w:szCs w:val="24"/>
        </w:rPr>
      </w:pPr>
      <w:r w:rsidRPr="00710A06">
        <w:rPr>
          <w:rFonts w:ascii="Arial" w:hAnsi="Arial" w:cs="Arial"/>
          <w:sz w:val="24"/>
          <w:szCs w:val="24"/>
        </w:rPr>
        <w:t>Condiciones en los mercados financieros internacionales menos favorables. Este fenómeno se traduciría en condiciones más restrictivas de financiamiento para los sectores público y privado del país, y en un deterioro en la confianza de consumidores y empresas.</w:t>
      </w:r>
    </w:p>
    <w:p w:rsidR="001F3890" w:rsidRPr="00710A06" w:rsidRDefault="001F3890" w:rsidP="00C45465">
      <w:pPr>
        <w:pStyle w:val="Prrafodelista"/>
        <w:spacing w:after="0" w:line="360" w:lineRule="auto"/>
        <w:rPr>
          <w:rFonts w:ascii="Arial" w:hAnsi="Arial" w:cs="Arial"/>
          <w:sz w:val="24"/>
          <w:szCs w:val="24"/>
        </w:rPr>
      </w:pPr>
    </w:p>
    <w:p w:rsidR="001F3890" w:rsidRPr="00710A06" w:rsidRDefault="001F3890" w:rsidP="00C45465">
      <w:pPr>
        <w:pStyle w:val="Prrafodelista"/>
        <w:numPr>
          <w:ilvl w:val="0"/>
          <w:numId w:val="8"/>
        </w:numPr>
        <w:spacing w:after="0" w:line="360" w:lineRule="auto"/>
        <w:contextualSpacing w:val="0"/>
        <w:jc w:val="both"/>
        <w:rPr>
          <w:rFonts w:ascii="Arial" w:hAnsi="Arial" w:cs="Arial"/>
          <w:sz w:val="24"/>
          <w:szCs w:val="24"/>
        </w:rPr>
      </w:pPr>
      <w:r w:rsidRPr="00710A06">
        <w:rPr>
          <w:rFonts w:ascii="Arial" w:hAnsi="Arial" w:cs="Arial"/>
          <w:sz w:val="24"/>
          <w:szCs w:val="24"/>
        </w:rPr>
        <w:t>Precios internacionales del petróleo deprimidos o un bajo dinamismo de la plataforma de producción de petróleo. Esta situación afectaría adversamente el nivel de ingresos petroleros, generando presiones a las finanzas públicas en el mediano plazo, así como a la tasa de crecimiento potencial de la economía.</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t>En consecuencia, el diseño e implementación de la política fiscal debe considerar los riesgos de mediano y largo plazos. A continuación se presentan los principales factores estatales que podrían tener un impacto en las finanzas públicas y las acciones que se han tomado para evitar que se conviertan en un riesgo para las finanzas públicas del Estado.</w:t>
      </w:r>
    </w:p>
    <w:p w:rsidR="009B3D50" w:rsidRPr="00710A06" w:rsidRDefault="009B3D50" w:rsidP="00C45465">
      <w:pPr>
        <w:spacing w:after="0" w:line="360" w:lineRule="auto"/>
        <w:jc w:val="both"/>
        <w:rPr>
          <w:rFonts w:ascii="Arial" w:hAnsi="Arial" w:cs="Arial"/>
          <w:b/>
          <w:sz w:val="24"/>
          <w:szCs w:val="24"/>
        </w:rPr>
      </w:pPr>
    </w:p>
    <w:p w:rsidR="001F3890" w:rsidRPr="00710A06" w:rsidRDefault="001F3890" w:rsidP="00C45465">
      <w:pPr>
        <w:spacing w:after="0" w:line="360" w:lineRule="auto"/>
        <w:jc w:val="both"/>
        <w:rPr>
          <w:rFonts w:ascii="Arial" w:hAnsi="Arial" w:cs="Arial"/>
          <w:b/>
          <w:sz w:val="24"/>
          <w:szCs w:val="24"/>
        </w:rPr>
      </w:pPr>
      <w:r w:rsidRPr="00710A06">
        <w:rPr>
          <w:rFonts w:ascii="Arial" w:hAnsi="Arial" w:cs="Arial"/>
          <w:b/>
          <w:sz w:val="24"/>
          <w:szCs w:val="24"/>
        </w:rPr>
        <w:lastRenderedPageBreak/>
        <w:t>Pensiones y Jubilaciones</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t>Los sistemas de pensiones tienen como objetivo proteger el flujo de ingresos de un trabajador y su familia. El flujo de ingresos presente o futuro de una familia puede verse interrumpido por la materialización de los siguientes riesgos: la edad avanzada, la cesantía en edad avanzada, la muerte prematura y los accidentes y las enfermedades que causan la invalidez o incapacidad de seguir trabajando. Es de resaltar que el Sistema de Pensiones del Estado, en la Administración 2011-2016, promovió y desarrolló un esquema de pensiones que permitió, en el largo plazo, garantizar el pago de las mismas, respetando los plazos para las jubilaciones.</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t>La reforma estructural aprobada por el Congreso, permitió las mejoras siguientes:</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pStyle w:val="Prrafodelista"/>
        <w:numPr>
          <w:ilvl w:val="0"/>
          <w:numId w:val="6"/>
        </w:numPr>
        <w:spacing w:after="0" w:line="360" w:lineRule="auto"/>
        <w:contextualSpacing w:val="0"/>
        <w:jc w:val="both"/>
        <w:rPr>
          <w:rFonts w:ascii="Arial" w:hAnsi="Arial" w:cs="Arial"/>
          <w:sz w:val="24"/>
          <w:szCs w:val="24"/>
        </w:rPr>
      </w:pPr>
      <w:r w:rsidRPr="00710A06">
        <w:rPr>
          <w:rFonts w:ascii="Arial" w:hAnsi="Arial" w:cs="Arial"/>
          <w:sz w:val="24"/>
          <w:szCs w:val="24"/>
        </w:rPr>
        <w:t xml:space="preserve">Se incrementaron las aportaciones de jubilados y pensionados pasando de un 3 % a un 6 %, manteniendo los mismos derechos que la Ley anterior les brindaba. </w:t>
      </w:r>
    </w:p>
    <w:p w:rsidR="001F3890" w:rsidRPr="00710A06" w:rsidRDefault="001F3890" w:rsidP="00C45465">
      <w:pPr>
        <w:pStyle w:val="Prrafodelista"/>
        <w:spacing w:after="0" w:line="360" w:lineRule="auto"/>
        <w:jc w:val="both"/>
        <w:rPr>
          <w:rFonts w:ascii="Arial" w:hAnsi="Arial" w:cs="Arial"/>
          <w:sz w:val="24"/>
          <w:szCs w:val="24"/>
        </w:rPr>
      </w:pPr>
    </w:p>
    <w:p w:rsidR="001F3890" w:rsidRPr="00710A06" w:rsidRDefault="001F3890" w:rsidP="00C45465">
      <w:pPr>
        <w:pStyle w:val="Prrafodelista"/>
        <w:numPr>
          <w:ilvl w:val="0"/>
          <w:numId w:val="6"/>
        </w:numPr>
        <w:spacing w:after="0" w:line="360" w:lineRule="auto"/>
        <w:contextualSpacing w:val="0"/>
        <w:jc w:val="both"/>
        <w:rPr>
          <w:rFonts w:ascii="Arial" w:hAnsi="Arial" w:cs="Arial"/>
          <w:sz w:val="24"/>
          <w:szCs w:val="24"/>
        </w:rPr>
      </w:pPr>
      <w:r w:rsidRPr="00710A06">
        <w:rPr>
          <w:rFonts w:ascii="Arial" w:hAnsi="Arial" w:cs="Arial"/>
          <w:sz w:val="24"/>
          <w:szCs w:val="24"/>
        </w:rPr>
        <w:t xml:space="preserve">A los servidores públicos activos se les duplicó su aportación del 6 % al 12 % del salario base. </w:t>
      </w:r>
    </w:p>
    <w:p w:rsidR="001F3890" w:rsidRPr="00710A06" w:rsidRDefault="001F3890" w:rsidP="00C45465">
      <w:pPr>
        <w:pStyle w:val="Prrafodelista"/>
        <w:spacing w:after="0" w:line="360" w:lineRule="auto"/>
        <w:rPr>
          <w:rFonts w:ascii="Arial" w:hAnsi="Arial" w:cs="Arial"/>
          <w:sz w:val="24"/>
          <w:szCs w:val="24"/>
        </w:rPr>
      </w:pPr>
    </w:p>
    <w:p w:rsidR="001F3890" w:rsidRPr="00710A06" w:rsidRDefault="001F3890" w:rsidP="00C45465">
      <w:pPr>
        <w:pStyle w:val="Prrafodelista"/>
        <w:numPr>
          <w:ilvl w:val="0"/>
          <w:numId w:val="6"/>
        </w:numPr>
        <w:spacing w:after="0" w:line="360" w:lineRule="auto"/>
        <w:contextualSpacing w:val="0"/>
        <w:jc w:val="both"/>
        <w:rPr>
          <w:rFonts w:ascii="Arial" w:hAnsi="Arial" w:cs="Arial"/>
          <w:sz w:val="24"/>
          <w:szCs w:val="24"/>
        </w:rPr>
      </w:pPr>
      <w:r w:rsidRPr="00710A06">
        <w:rPr>
          <w:rFonts w:ascii="Arial" w:hAnsi="Arial" w:cs="Arial"/>
          <w:sz w:val="24"/>
          <w:szCs w:val="24"/>
        </w:rPr>
        <w:t xml:space="preserve">La aportación del Gobierno se duplicó pasando del 9 % al 18 % del salario base. En el esquema anterior, el gobierno aportaba $0.50 más de aportación que el servidor público, es decir por cada peso que aportaba el trabajador el gobierno aportaba $1.50. En el esquema </w:t>
      </w:r>
      <w:r w:rsidRPr="00710A06">
        <w:rPr>
          <w:rFonts w:ascii="Arial" w:hAnsi="Arial" w:cs="Arial"/>
          <w:sz w:val="24"/>
          <w:szCs w:val="24"/>
        </w:rPr>
        <w:lastRenderedPageBreak/>
        <w:t>actual el gobierno aporta $1.00 más que el servidor público, es decir por cada $2.00 aportados por el trabajador, el gobierno aporta $3.00.</w:t>
      </w:r>
    </w:p>
    <w:p w:rsidR="001F3890" w:rsidRPr="00710A06" w:rsidRDefault="001F3890" w:rsidP="00C45465">
      <w:pPr>
        <w:pStyle w:val="Prrafodelista"/>
        <w:spacing w:after="0" w:line="360" w:lineRule="auto"/>
        <w:rPr>
          <w:rFonts w:ascii="Arial" w:hAnsi="Arial" w:cs="Arial"/>
          <w:sz w:val="24"/>
          <w:szCs w:val="24"/>
        </w:rPr>
      </w:pPr>
    </w:p>
    <w:p w:rsidR="001F3890" w:rsidRPr="00710A06" w:rsidRDefault="001F3890" w:rsidP="00C45465">
      <w:pPr>
        <w:pStyle w:val="Prrafodelista"/>
        <w:numPr>
          <w:ilvl w:val="0"/>
          <w:numId w:val="6"/>
        </w:numPr>
        <w:spacing w:after="0" w:line="360" w:lineRule="auto"/>
        <w:contextualSpacing w:val="0"/>
        <w:jc w:val="both"/>
        <w:rPr>
          <w:rFonts w:ascii="Arial" w:hAnsi="Arial" w:cs="Arial"/>
          <w:sz w:val="24"/>
          <w:szCs w:val="24"/>
        </w:rPr>
      </w:pPr>
      <w:r w:rsidRPr="00710A06">
        <w:rPr>
          <w:rFonts w:ascii="Arial" w:hAnsi="Arial" w:cs="Arial"/>
          <w:sz w:val="24"/>
          <w:szCs w:val="24"/>
        </w:rPr>
        <w:t>Para los servidores públicos de nuevo ingreso el esquema de afiliación es el de cuentas individuales. En cuanto a la edad para jubilarse, se establece incrementarla de manera gradual; es decir, para el 2013 y 2014 se consideró a los 53 años de edad y 28 años de servicio y para 2015 y 2016 se aumentó un año, es decir 54 años de edad y 28 años de servicio y así sucesivamente dos años calendario, por un año de edad, hasta el 2024 en donde hombres y mujeres llegaran a 58 años de edad y 28 años de aportación.</w:t>
      </w:r>
    </w:p>
    <w:p w:rsidR="001F3890" w:rsidRPr="00710A06" w:rsidRDefault="001F3890" w:rsidP="00C45465">
      <w:pPr>
        <w:pStyle w:val="Prrafodelista"/>
        <w:spacing w:after="0" w:line="360" w:lineRule="auto"/>
        <w:rPr>
          <w:rFonts w:ascii="Arial" w:hAnsi="Arial" w:cs="Arial"/>
          <w:sz w:val="24"/>
          <w:szCs w:val="24"/>
        </w:rPr>
      </w:pPr>
    </w:p>
    <w:p w:rsidR="001F3890" w:rsidRPr="00710A06" w:rsidRDefault="001F3890" w:rsidP="00C45465">
      <w:pPr>
        <w:pStyle w:val="Prrafodelista"/>
        <w:numPr>
          <w:ilvl w:val="0"/>
          <w:numId w:val="6"/>
        </w:numPr>
        <w:spacing w:after="0" w:line="360" w:lineRule="auto"/>
        <w:contextualSpacing w:val="0"/>
        <w:jc w:val="both"/>
        <w:rPr>
          <w:rFonts w:ascii="Arial" w:hAnsi="Arial" w:cs="Arial"/>
          <w:sz w:val="24"/>
          <w:szCs w:val="24"/>
        </w:rPr>
      </w:pPr>
      <w:r w:rsidRPr="00710A06">
        <w:rPr>
          <w:rFonts w:ascii="Arial" w:hAnsi="Arial" w:cs="Arial"/>
          <w:sz w:val="24"/>
          <w:szCs w:val="24"/>
        </w:rPr>
        <w:t>Los servidores públicos serán sujetos del Libro A de este ordenamiento, excepto en el caso de que los servidores públicos opten por el Régimen Permanente de Ahorro Personal, siempre y cuando manifiesten su voluntad libre e informada y por escrito a la Institución de ser sujeto al Libro B, dentro del plazo de seis meses, siguientes a la entrada en vigor de la Ley de Pensiones.</w:t>
      </w:r>
    </w:p>
    <w:p w:rsidR="009B3D50" w:rsidRPr="00710A06" w:rsidRDefault="009B3D5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t xml:space="preserve">Con lo anterior, se </w:t>
      </w:r>
      <w:proofErr w:type="spellStart"/>
      <w:r w:rsidRPr="00710A06">
        <w:rPr>
          <w:rFonts w:ascii="Arial" w:hAnsi="Arial" w:cs="Arial"/>
          <w:sz w:val="24"/>
          <w:szCs w:val="24"/>
        </w:rPr>
        <w:t>dió</w:t>
      </w:r>
      <w:proofErr w:type="spellEnd"/>
      <w:r w:rsidRPr="00710A06">
        <w:rPr>
          <w:rFonts w:ascii="Arial" w:hAnsi="Arial" w:cs="Arial"/>
          <w:sz w:val="24"/>
          <w:szCs w:val="24"/>
        </w:rPr>
        <w:t xml:space="preserve"> sustentabilidad y viabilidad económica a la institución, dado que, si sólo se hubieran aumentado las aportaciones, estas hubiesen sido suficientes sólo para financiar las jubilaciones de los inactivos, pero no para pagar a los nuevos jubilados, por lo que, en el mediano plazo no hubiera sido sustentable financieramente; por ello en un horizonte de largo plazo, fue necesario aumentar la edad promedio de jubilación y establecer cuentas individuales para los nuevos afiliados.</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lastRenderedPageBreak/>
        <w:t>Con estas reformas estructurales se garantiza a los jubilados y pensionados el pago puntual de sus pensiones, otorgándoles seguridad económica, y conservar sus derechos de la Ley anterior.</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t>Con la reforma al Sistema Estatal de Pensiones y a los servicios médicos se buscó impulsar mecanismos que incentivaran la capitalización de Pensiones Civiles, a través de la modificación en las cuotas de aportación por parte del Gobierno Estatal y del trabajador y de las edades para jubilación y pensión de los trabajadores en activo.</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t>Adicionalmente se establecieron nuevos esquemas para el otorgamiento de créditos, fortaleciendo el régimen de inversión de los recursos pensionarios de los trabajadores. Por último, se buscó la consolidación del sistema de cuentas individuales de aportación, siendo obligatoria para los trabajadores de nuevo ingreso.</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b/>
          <w:sz w:val="24"/>
          <w:szCs w:val="24"/>
        </w:rPr>
      </w:pPr>
      <w:r w:rsidRPr="00710A06">
        <w:rPr>
          <w:rFonts w:ascii="Arial" w:hAnsi="Arial" w:cs="Arial"/>
          <w:b/>
          <w:sz w:val="24"/>
          <w:szCs w:val="24"/>
        </w:rPr>
        <w:t>Deuda Pública</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t>Tlaxcala es ejemplo de que el manejo de la deuda pública puede realizarse bajo los principios de disciplina y responsabilidad fiscal, al ubicar en un 0 % como porcentaje del PIB Estatal en nivel de endeudamiento del Estado, ya que el mantenimiento de finanzas públicas sanas es prioridad de esta administración; sin embargo, considerando el deterioro de los resultados fiscales a nivel nacional podría conducir al requerimiento de recursos para proyectos de infraestructura, por lo que no se desestima en el mediano plazo, la posibilidad de contratación de deuda para el financiamiento del gasto público.</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b/>
          <w:sz w:val="24"/>
          <w:szCs w:val="24"/>
        </w:rPr>
      </w:pPr>
      <w:r w:rsidRPr="00710A06">
        <w:rPr>
          <w:rFonts w:ascii="Arial" w:hAnsi="Arial" w:cs="Arial"/>
          <w:b/>
          <w:sz w:val="24"/>
          <w:szCs w:val="24"/>
        </w:rPr>
        <w:lastRenderedPageBreak/>
        <w:t>Menor crecimiento económico</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t>El Estado de Tlaxcala tiene una población de 1.3 millones de habitantes y es la Entidad más pequeña en términos de producción económica. La economía del estado es débil en comparación con otros estados mexicanos, lo cual limita la capacidad de generar ingresos desde la base tributaria regional. En 2012 el PIB per cápita era equivalente al 53.4 % de la media nacional, muy por debajo de la media registrada y en 2013 los ingresos propios representaron el 3.1 % del total de ingresos muy por debajo de la mediana del resto de los estados, por lo que un cambio estructural en la dinámica económica y los niveles de riqueza de Tlaxcala podrían generar menores niveles de ingresos propios y una menor flexibilidad financiera, pudiendo ejercer presión en la estabilidad económica del Estado.</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t>Para contener este riesgo, el proyecto de gobierno incluye una mayor promoción de la inversión pública y del turismo, la incorporación de causantes informales, intensificar la fiscalización y el cobro de impuestos, para fomentar la economía e incrementar la recaudación.</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b/>
          <w:bCs/>
          <w:sz w:val="24"/>
          <w:szCs w:val="24"/>
        </w:rPr>
      </w:pPr>
      <w:r w:rsidRPr="00710A06">
        <w:rPr>
          <w:rFonts w:ascii="Arial" w:hAnsi="Arial" w:cs="Arial"/>
          <w:b/>
          <w:bCs/>
          <w:sz w:val="24"/>
          <w:szCs w:val="24"/>
        </w:rPr>
        <w:t>EVOLUCIÓN DE LAS FINANZAS PÚBLICAS 2012-2017.</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t xml:space="preserve">La evolución de las finanzas públicas del Estado obedece a la dinámica de los ingresos estatales totales, los cuales a su vez son determinados por el comportamiento de la Recaudación Federal Participable (RFP); esta situación que no es privativa del Estado de Tlaxcala, sino que se presenta en la gran mayoría de las entidades de la República, debido a las condiciones de los Convenios de Coordinación Fiscal y a las potestades tributarias que se otorgan a los estados para evitar la doble tributación, </w:t>
      </w:r>
      <w:r w:rsidRPr="00710A06">
        <w:rPr>
          <w:rFonts w:ascii="Arial" w:hAnsi="Arial" w:cs="Arial"/>
          <w:sz w:val="24"/>
          <w:szCs w:val="24"/>
        </w:rPr>
        <w:lastRenderedPageBreak/>
        <w:t>propicia que las finanzas públicas estatales sean sensibles ante el comportamiento de la economía nacional e internacional.</w:t>
      </w: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noProof/>
          <w:sz w:val="24"/>
          <w:szCs w:val="24"/>
          <w:lang w:eastAsia="es-MX"/>
        </w:rPr>
        <w:drawing>
          <wp:inline distT="0" distB="0" distL="0" distR="0" wp14:anchorId="554A34EE" wp14:editId="1ADD7F9B">
            <wp:extent cx="5166360" cy="32766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27125" cy="3315138"/>
                    </a:xfrm>
                    <a:prstGeom prst="rect">
                      <a:avLst/>
                    </a:prstGeom>
                    <a:noFill/>
                  </pic:spPr>
                </pic:pic>
              </a:graphicData>
            </a:graphic>
          </wp:inline>
        </w:drawing>
      </w:r>
    </w:p>
    <w:p w:rsidR="001F3890" w:rsidRPr="00710A06" w:rsidRDefault="001F3890" w:rsidP="00C45465">
      <w:pPr>
        <w:spacing w:after="0" w:line="360" w:lineRule="auto"/>
        <w:jc w:val="both"/>
        <w:rPr>
          <w:rFonts w:ascii="Arial" w:hAnsi="Arial" w:cs="Arial"/>
          <w:sz w:val="12"/>
        </w:rPr>
      </w:pPr>
      <w:r w:rsidRPr="00710A06">
        <w:rPr>
          <w:rFonts w:ascii="Arial" w:hAnsi="Arial" w:cs="Arial"/>
          <w:b/>
          <w:sz w:val="14"/>
        </w:rPr>
        <w:t xml:space="preserve">Fuente: </w:t>
      </w:r>
      <w:hyperlink r:id="rId30" w:history="1">
        <w:r w:rsidRPr="00710A06">
          <w:rPr>
            <w:rStyle w:val="Hipervnculo"/>
            <w:rFonts w:ascii="Arial" w:hAnsi="Arial" w:cs="Arial"/>
            <w:sz w:val="12"/>
          </w:rPr>
          <w:t>www.DOF.gob.mx</w:t>
        </w:r>
      </w:hyperlink>
      <w:r w:rsidRPr="00710A06">
        <w:rPr>
          <w:rFonts w:ascii="Arial" w:hAnsi="Arial" w:cs="Arial"/>
          <w:sz w:val="12"/>
        </w:rPr>
        <w:t xml:space="preserve"> Ley de Ingresos de la Federación Ejercicios Fiscales 2012-2017, 2018 gaceta parlamentaria de aprobación de ILIF 2018. </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t xml:space="preserve">Durante el periodo 2012-2017, los ingresos provenientes de la Federación registraron un incremento real moderado, debido principalmente a los resultados positivos de la economía nacional y de las medidas adoptadas a través de la Reforma Hacendaria, sin embargo la baja en los precios del petróleo en años recientes, así como la salida del Reino Unido de la Unión Europea y la constante apreciación del dólar frente al peso, son factores que han aumentado la volatilidad de capitales en el país, rompiendo la dinámica de crecimiento observada en el periodo aludido; por otra parte y en concordancia con las políticas aplicadas por el Gobierno Federal, el Ejecutivo del Estado puso en marcha una política fiscal para la contención del gasto, implementando entre otras medidas la aplicación de criterios de Racionalidad, Austeridad y Disciplina Presupuestal por parte de las </w:t>
      </w:r>
      <w:r w:rsidRPr="00710A06">
        <w:rPr>
          <w:rFonts w:ascii="Arial" w:hAnsi="Arial" w:cs="Arial"/>
          <w:sz w:val="24"/>
          <w:szCs w:val="24"/>
        </w:rPr>
        <w:lastRenderedPageBreak/>
        <w:t>Dependencias y Entidades del Ejecutivo, a fin de optimizar el uso de recursos materiales y financieros al interior de los entes públicos, se disminuyeron las estructuras burocráticas de personal y se extinguieron entes públicos que realizaban actividades concurrentes con otros.</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t>Como una acción responsable por parte del Ejecutivo del Estado, se han efectuado pronósticos conservadores, que nos permitirán sortear de manera favorable los embates de un entorno económico internacional y nacional adverso, permitiendo ampliar la cobertura de programas de carácter social en la Entidad, beneficiando de manera directa a los sectores más vulnerables de la población tlaxcalteca.</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t>La modernización de la administración tributaria tiene un papel fundamental en el fortalecimiento de la hacienda pública estatal. En este rubro, se han implementado mejoras administrativas, consolidándose la aplicación de sistemas recaudatorios más eficientes; reforzando la fiscalización de contribuyentes de impuestos estatales y promoviendo activamente el pago de contribuciones vía internet.</w:t>
      </w:r>
    </w:p>
    <w:p w:rsidR="001F3890" w:rsidRPr="00710A06" w:rsidRDefault="001F3890" w:rsidP="00C45465">
      <w:pPr>
        <w:spacing w:after="0" w:line="360" w:lineRule="auto"/>
        <w:jc w:val="both"/>
        <w:rPr>
          <w:rFonts w:ascii="Arial" w:hAnsi="Arial" w:cs="Arial"/>
          <w:sz w:val="24"/>
          <w:szCs w:val="24"/>
        </w:rPr>
      </w:pPr>
    </w:p>
    <w:p w:rsidR="00C45465" w:rsidRDefault="001F3890" w:rsidP="00C45465">
      <w:pPr>
        <w:spacing w:after="0" w:line="360" w:lineRule="auto"/>
        <w:jc w:val="center"/>
        <w:rPr>
          <w:rFonts w:ascii="Arial" w:hAnsi="Arial" w:cs="Arial"/>
          <w:b/>
          <w:sz w:val="14"/>
        </w:rPr>
      </w:pPr>
      <w:r w:rsidRPr="00710A06">
        <w:rPr>
          <w:rFonts w:ascii="Arial" w:hAnsi="Arial" w:cs="Arial"/>
          <w:noProof/>
          <w:sz w:val="24"/>
          <w:szCs w:val="24"/>
          <w:lang w:eastAsia="es-MX"/>
        </w:rPr>
        <w:lastRenderedPageBreak/>
        <w:drawing>
          <wp:inline distT="0" distB="0" distL="0" distR="0" wp14:anchorId="3E751B6D" wp14:editId="2DA9EE54">
            <wp:extent cx="4880759" cy="25527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8877" cy="2562176"/>
                    </a:xfrm>
                    <a:prstGeom prst="rect">
                      <a:avLst/>
                    </a:prstGeom>
                    <a:noFill/>
                  </pic:spPr>
                </pic:pic>
              </a:graphicData>
            </a:graphic>
          </wp:inline>
        </w:drawing>
      </w:r>
    </w:p>
    <w:p w:rsidR="00C45465" w:rsidRPr="00710A06" w:rsidRDefault="00C45465" w:rsidP="00C45465">
      <w:pPr>
        <w:spacing w:after="0" w:line="360" w:lineRule="auto"/>
        <w:ind w:left="993"/>
        <w:rPr>
          <w:rFonts w:ascii="Arial" w:hAnsi="Arial" w:cs="Arial"/>
          <w:b/>
          <w:sz w:val="14"/>
        </w:rPr>
      </w:pPr>
      <w:r w:rsidRPr="00710A06">
        <w:rPr>
          <w:rFonts w:ascii="Arial" w:hAnsi="Arial" w:cs="Arial"/>
          <w:b/>
          <w:sz w:val="14"/>
        </w:rPr>
        <w:t>Fuente: Elaboración propia DCGCH.</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t>A continuación se presentan los resultados obtenidos en la recaudación de contribuciones locales, así como de recursos federales etiquetados y de libre disposición en los últimos cinco años y el pronóstico de cierre 2017.</w:t>
      </w:r>
    </w:p>
    <w:p w:rsidR="001F3890" w:rsidRPr="00710A06" w:rsidRDefault="001F3890" w:rsidP="00C45465">
      <w:pPr>
        <w:spacing w:after="0" w:line="360" w:lineRule="auto"/>
        <w:jc w:val="both"/>
        <w:rPr>
          <w:rFonts w:ascii="Arial" w:hAnsi="Arial" w:cs="Arial"/>
        </w:rPr>
      </w:pPr>
    </w:p>
    <w:tbl>
      <w:tblPr>
        <w:tblW w:w="8976" w:type="dxa"/>
        <w:tblInd w:w="-719" w:type="dxa"/>
        <w:tblCellMar>
          <w:left w:w="70" w:type="dxa"/>
          <w:right w:w="70" w:type="dxa"/>
        </w:tblCellMar>
        <w:tblLook w:val="04A0" w:firstRow="1" w:lastRow="0" w:firstColumn="1" w:lastColumn="0" w:noHBand="0" w:noVBand="1"/>
      </w:tblPr>
      <w:tblGrid>
        <w:gridCol w:w="2676"/>
        <w:gridCol w:w="1056"/>
        <w:gridCol w:w="1056"/>
        <w:gridCol w:w="1057"/>
        <w:gridCol w:w="1057"/>
        <w:gridCol w:w="1057"/>
        <w:gridCol w:w="1057"/>
      </w:tblGrid>
      <w:tr w:rsidR="001F3890" w:rsidRPr="00710A06" w:rsidTr="00CB7109">
        <w:trPr>
          <w:trHeight w:val="300"/>
          <w:tblHeader/>
        </w:trPr>
        <w:tc>
          <w:tcPr>
            <w:tcW w:w="8976" w:type="dxa"/>
            <w:gridSpan w:val="7"/>
            <w:tcBorders>
              <w:top w:val="single" w:sz="8" w:space="0" w:color="auto"/>
              <w:left w:val="single" w:sz="8" w:space="0" w:color="auto"/>
              <w:bottom w:val="nil"/>
              <w:right w:val="single" w:sz="8" w:space="0" w:color="000000"/>
            </w:tcBorders>
            <w:shd w:val="clear" w:color="000000" w:fill="C4D79B"/>
            <w:noWrap/>
            <w:vAlign w:val="bottom"/>
            <w:hideMark/>
          </w:tcPr>
          <w:p w:rsidR="001F3890" w:rsidRPr="00710A06" w:rsidRDefault="001F3890" w:rsidP="00C45465">
            <w:pPr>
              <w:spacing w:after="0" w:line="360" w:lineRule="auto"/>
              <w:jc w:val="center"/>
              <w:rPr>
                <w:rFonts w:ascii="Arial" w:hAnsi="Arial" w:cs="Arial"/>
                <w:b/>
                <w:bCs/>
                <w:color w:val="000000"/>
                <w:sz w:val="16"/>
                <w:szCs w:val="16"/>
                <w:lang w:eastAsia="es-MX"/>
              </w:rPr>
            </w:pPr>
            <w:bookmarkStart w:id="1" w:name="RANGE!A1:G38"/>
            <w:r w:rsidRPr="00710A06">
              <w:rPr>
                <w:rFonts w:ascii="Arial" w:hAnsi="Arial" w:cs="Arial"/>
                <w:b/>
                <w:bCs/>
                <w:color w:val="000000"/>
                <w:sz w:val="16"/>
                <w:szCs w:val="16"/>
              </w:rPr>
              <w:t>GOBIERNO DEL ESTADO DE TLAXCALA</w:t>
            </w:r>
            <w:bookmarkEnd w:id="1"/>
          </w:p>
        </w:tc>
      </w:tr>
      <w:tr w:rsidR="001F3890" w:rsidRPr="00710A06" w:rsidTr="00CB7109">
        <w:trPr>
          <w:trHeight w:val="300"/>
          <w:tblHeader/>
        </w:trPr>
        <w:tc>
          <w:tcPr>
            <w:tcW w:w="8976" w:type="dxa"/>
            <w:gridSpan w:val="7"/>
            <w:tcBorders>
              <w:top w:val="nil"/>
              <w:left w:val="single" w:sz="8" w:space="0" w:color="auto"/>
              <w:bottom w:val="nil"/>
              <w:right w:val="single" w:sz="8" w:space="0" w:color="000000"/>
            </w:tcBorders>
            <w:shd w:val="clear" w:color="000000" w:fill="C4D79B"/>
            <w:noWrap/>
            <w:vAlign w:val="bottom"/>
            <w:hideMark/>
          </w:tcPr>
          <w:p w:rsidR="001F3890" w:rsidRPr="00710A06" w:rsidRDefault="001F3890" w:rsidP="00C45465">
            <w:pPr>
              <w:spacing w:after="0" w:line="360" w:lineRule="auto"/>
              <w:jc w:val="center"/>
              <w:rPr>
                <w:rFonts w:ascii="Arial" w:hAnsi="Arial" w:cs="Arial"/>
                <w:b/>
                <w:bCs/>
                <w:color w:val="000000"/>
                <w:sz w:val="16"/>
                <w:szCs w:val="16"/>
              </w:rPr>
            </w:pPr>
            <w:r w:rsidRPr="00710A06">
              <w:rPr>
                <w:rFonts w:ascii="Arial" w:hAnsi="Arial" w:cs="Arial"/>
                <w:b/>
                <w:bCs/>
                <w:color w:val="000000"/>
                <w:sz w:val="16"/>
                <w:szCs w:val="16"/>
              </w:rPr>
              <w:t>Resultados de Ingresos - LDF</w:t>
            </w:r>
          </w:p>
        </w:tc>
      </w:tr>
      <w:tr w:rsidR="001F3890" w:rsidRPr="00710A06" w:rsidTr="00CB7109">
        <w:trPr>
          <w:trHeight w:val="300"/>
          <w:tblHeader/>
        </w:trPr>
        <w:tc>
          <w:tcPr>
            <w:tcW w:w="8976" w:type="dxa"/>
            <w:gridSpan w:val="7"/>
            <w:tcBorders>
              <w:top w:val="nil"/>
              <w:left w:val="single" w:sz="8" w:space="0" w:color="auto"/>
              <w:bottom w:val="nil"/>
              <w:right w:val="single" w:sz="8" w:space="0" w:color="000000"/>
            </w:tcBorders>
            <w:shd w:val="clear" w:color="000000" w:fill="C4D79B"/>
            <w:noWrap/>
            <w:vAlign w:val="bottom"/>
            <w:hideMark/>
          </w:tcPr>
          <w:p w:rsidR="001F3890" w:rsidRPr="00710A06" w:rsidRDefault="001F3890" w:rsidP="00C45465">
            <w:pPr>
              <w:spacing w:after="0" w:line="360" w:lineRule="auto"/>
              <w:jc w:val="center"/>
              <w:rPr>
                <w:rFonts w:ascii="Arial" w:hAnsi="Arial" w:cs="Arial"/>
                <w:b/>
                <w:bCs/>
                <w:color w:val="000000"/>
                <w:sz w:val="16"/>
                <w:szCs w:val="16"/>
              </w:rPr>
            </w:pPr>
            <w:r w:rsidRPr="00710A06">
              <w:rPr>
                <w:rFonts w:ascii="Arial" w:hAnsi="Arial" w:cs="Arial"/>
                <w:b/>
                <w:bCs/>
                <w:color w:val="000000"/>
                <w:sz w:val="16"/>
                <w:szCs w:val="16"/>
              </w:rPr>
              <w:t xml:space="preserve">(PESOS) </w:t>
            </w:r>
          </w:p>
        </w:tc>
      </w:tr>
      <w:tr w:rsidR="001F3890" w:rsidRPr="00710A06" w:rsidTr="00CB7109">
        <w:trPr>
          <w:trHeight w:val="315"/>
          <w:tblHeader/>
        </w:trPr>
        <w:tc>
          <w:tcPr>
            <w:tcW w:w="8976" w:type="dxa"/>
            <w:gridSpan w:val="7"/>
            <w:tcBorders>
              <w:top w:val="nil"/>
              <w:left w:val="single" w:sz="8" w:space="0" w:color="auto"/>
              <w:bottom w:val="single" w:sz="8" w:space="0" w:color="auto"/>
              <w:right w:val="single" w:sz="8" w:space="0" w:color="000000"/>
            </w:tcBorders>
            <w:shd w:val="clear" w:color="000000" w:fill="C4D79B"/>
            <w:noWrap/>
            <w:vAlign w:val="bottom"/>
            <w:hideMark/>
          </w:tcPr>
          <w:p w:rsidR="001F3890" w:rsidRPr="00710A06" w:rsidRDefault="001F3890" w:rsidP="00C45465">
            <w:pPr>
              <w:spacing w:after="0" w:line="360" w:lineRule="auto"/>
              <w:jc w:val="center"/>
              <w:rPr>
                <w:rFonts w:ascii="Arial" w:hAnsi="Arial" w:cs="Arial"/>
                <w:b/>
                <w:bCs/>
                <w:color w:val="000000"/>
                <w:sz w:val="16"/>
                <w:szCs w:val="16"/>
              </w:rPr>
            </w:pPr>
            <w:r w:rsidRPr="00710A06">
              <w:rPr>
                <w:rFonts w:ascii="Arial" w:hAnsi="Arial" w:cs="Arial"/>
                <w:b/>
                <w:bCs/>
                <w:color w:val="000000"/>
                <w:sz w:val="16"/>
                <w:szCs w:val="16"/>
              </w:rPr>
              <w:t>(CIFRAS NOMINALES)</w:t>
            </w:r>
          </w:p>
        </w:tc>
      </w:tr>
      <w:tr w:rsidR="001F3890" w:rsidRPr="00710A06" w:rsidTr="00CB7109">
        <w:trPr>
          <w:trHeight w:val="359"/>
          <w:tblHeader/>
        </w:trPr>
        <w:tc>
          <w:tcPr>
            <w:tcW w:w="2836" w:type="dxa"/>
            <w:vMerge w:val="restart"/>
            <w:tcBorders>
              <w:top w:val="nil"/>
              <w:left w:val="single" w:sz="8" w:space="0" w:color="auto"/>
              <w:bottom w:val="single" w:sz="8" w:space="0" w:color="000000"/>
              <w:right w:val="single" w:sz="8" w:space="0" w:color="auto"/>
            </w:tcBorders>
            <w:shd w:val="clear" w:color="000000" w:fill="C4D79B"/>
            <w:noWrap/>
            <w:vAlign w:val="center"/>
            <w:hideMark/>
          </w:tcPr>
          <w:p w:rsidR="001F3890" w:rsidRPr="00710A06" w:rsidRDefault="001F3890" w:rsidP="00C45465">
            <w:pPr>
              <w:spacing w:after="0" w:line="360" w:lineRule="auto"/>
              <w:jc w:val="center"/>
              <w:rPr>
                <w:rFonts w:ascii="Arial" w:hAnsi="Arial" w:cs="Arial"/>
                <w:b/>
                <w:bCs/>
                <w:color w:val="000000"/>
                <w:sz w:val="16"/>
                <w:szCs w:val="16"/>
              </w:rPr>
            </w:pPr>
            <w:r w:rsidRPr="00710A06">
              <w:rPr>
                <w:rFonts w:ascii="Arial" w:hAnsi="Arial" w:cs="Arial"/>
                <w:b/>
                <w:bCs/>
                <w:color w:val="000000"/>
                <w:sz w:val="16"/>
                <w:szCs w:val="16"/>
              </w:rPr>
              <w:t>Concepto</w:t>
            </w:r>
          </w:p>
        </w:tc>
        <w:tc>
          <w:tcPr>
            <w:tcW w:w="1015" w:type="dxa"/>
            <w:vMerge w:val="restart"/>
            <w:tcBorders>
              <w:top w:val="nil"/>
              <w:left w:val="single" w:sz="8" w:space="0" w:color="auto"/>
              <w:bottom w:val="single" w:sz="8" w:space="0" w:color="000000"/>
              <w:right w:val="single" w:sz="8" w:space="0" w:color="auto"/>
            </w:tcBorders>
            <w:shd w:val="clear" w:color="000000" w:fill="C4D79B"/>
            <w:vAlign w:val="center"/>
            <w:hideMark/>
          </w:tcPr>
          <w:p w:rsidR="001F3890" w:rsidRPr="00710A06" w:rsidRDefault="001F3890" w:rsidP="00C45465">
            <w:pPr>
              <w:spacing w:after="0" w:line="360" w:lineRule="auto"/>
              <w:jc w:val="center"/>
              <w:rPr>
                <w:rFonts w:ascii="Arial" w:hAnsi="Arial" w:cs="Arial"/>
                <w:b/>
                <w:bCs/>
                <w:color w:val="000000"/>
                <w:sz w:val="16"/>
                <w:szCs w:val="16"/>
              </w:rPr>
            </w:pPr>
            <w:r w:rsidRPr="00710A06">
              <w:rPr>
                <w:rFonts w:ascii="Arial" w:hAnsi="Arial" w:cs="Arial"/>
                <w:b/>
                <w:bCs/>
                <w:color w:val="000000"/>
                <w:sz w:val="16"/>
                <w:szCs w:val="16"/>
              </w:rPr>
              <w:t>2012</w:t>
            </w:r>
          </w:p>
        </w:tc>
        <w:tc>
          <w:tcPr>
            <w:tcW w:w="1015" w:type="dxa"/>
            <w:vMerge w:val="restart"/>
            <w:tcBorders>
              <w:top w:val="nil"/>
              <w:left w:val="single" w:sz="8" w:space="0" w:color="auto"/>
              <w:bottom w:val="single" w:sz="8" w:space="0" w:color="000000"/>
              <w:right w:val="single" w:sz="8" w:space="0" w:color="auto"/>
            </w:tcBorders>
            <w:shd w:val="clear" w:color="000000" w:fill="C4D79B"/>
            <w:vAlign w:val="center"/>
            <w:hideMark/>
          </w:tcPr>
          <w:p w:rsidR="001F3890" w:rsidRPr="00710A06" w:rsidRDefault="001F3890" w:rsidP="00C45465">
            <w:pPr>
              <w:spacing w:after="0" w:line="360" w:lineRule="auto"/>
              <w:jc w:val="center"/>
              <w:rPr>
                <w:rFonts w:ascii="Arial" w:hAnsi="Arial" w:cs="Arial"/>
                <w:b/>
                <w:bCs/>
                <w:color w:val="000000"/>
                <w:sz w:val="16"/>
                <w:szCs w:val="16"/>
              </w:rPr>
            </w:pPr>
            <w:r w:rsidRPr="00710A06">
              <w:rPr>
                <w:rFonts w:ascii="Arial" w:hAnsi="Arial" w:cs="Arial"/>
                <w:b/>
                <w:bCs/>
                <w:color w:val="000000"/>
                <w:sz w:val="16"/>
                <w:szCs w:val="16"/>
              </w:rPr>
              <w:t>2013</w:t>
            </w:r>
          </w:p>
        </w:tc>
        <w:tc>
          <w:tcPr>
            <w:tcW w:w="1015" w:type="dxa"/>
            <w:vMerge w:val="restart"/>
            <w:tcBorders>
              <w:top w:val="nil"/>
              <w:left w:val="single" w:sz="8" w:space="0" w:color="auto"/>
              <w:bottom w:val="single" w:sz="8" w:space="0" w:color="000000"/>
              <w:right w:val="single" w:sz="8" w:space="0" w:color="auto"/>
            </w:tcBorders>
            <w:shd w:val="clear" w:color="000000" w:fill="C4D79B"/>
            <w:vAlign w:val="center"/>
            <w:hideMark/>
          </w:tcPr>
          <w:p w:rsidR="001F3890" w:rsidRPr="00710A06" w:rsidRDefault="001F3890" w:rsidP="00C45465">
            <w:pPr>
              <w:spacing w:after="0" w:line="360" w:lineRule="auto"/>
              <w:jc w:val="center"/>
              <w:rPr>
                <w:rFonts w:ascii="Arial" w:hAnsi="Arial" w:cs="Arial"/>
                <w:b/>
                <w:bCs/>
                <w:color w:val="000000"/>
                <w:sz w:val="16"/>
                <w:szCs w:val="16"/>
              </w:rPr>
            </w:pPr>
            <w:r w:rsidRPr="00710A06">
              <w:rPr>
                <w:rFonts w:ascii="Arial" w:hAnsi="Arial" w:cs="Arial"/>
                <w:b/>
                <w:bCs/>
                <w:color w:val="000000"/>
                <w:sz w:val="16"/>
                <w:szCs w:val="16"/>
              </w:rPr>
              <w:t>2014</w:t>
            </w:r>
          </w:p>
        </w:tc>
        <w:tc>
          <w:tcPr>
            <w:tcW w:w="1065" w:type="dxa"/>
            <w:vMerge w:val="restart"/>
            <w:tcBorders>
              <w:top w:val="nil"/>
              <w:left w:val="single" w:sz="8" w:space="0" w:color="auto"/>
              <w:bottom w:val="single" w:sz="8" w:space="0" w:color="000000"/>
              <w:right w:val="single" w:sz="8" w:space="0" w:color="auto"/>
            </w:tcBorders>
            <w:shd w:val="clear" w:color="000000" w:fill="C4D79B"/>
            <w:vAlign w:val="center"/>
            <w:hideMark/>
          </w:tcPr>
          <w:p w:rsidR="001F3890" w:rsidRPr="00710A06" w:rsidRDefault="001F3890" w:rsidP="00C45465">
            <w:pPr>
              <w:spacing w:after="0" w:line="360" w:lineRule="auto"/>
              <w:jc w:val="center"/>
              <w:rPr>
                <w:rFonts w:ascii="Arial" w:hAnsi="Arial" w:cs="Arial"/>
                <w:b/>
                <w:bCs/>
                <w:color w:val="000000"/>
                <w:sz w:val="16"/>
                <w:szCs w:val="16"/>
              </w:rPr>
            </w:pPr>
            <w:r w:rsidRPr="00710A06">
              <w:rPr>
                <w:rFonts w:ascii="Arial" w:hAnsi="Arial" w:cs="Arial"/>
                <w:b/>
                <w:bCs/>
                <w:color w:val="000000"/>
                <w:sz w:val="16"/>
                <w:szCs w:val="16"/>
              </w:rPr>
              <w:t>2015</w:t>
            </w:r>
          </w:p>
        </w:tc>
        <w:tc>
          <w:tcPr>
            <w:tcW w:w="1015" w:type="dxa"/>
            <w:vMerge w:val="restart"/>
            <w:tcBorders>
              <w:top w:val="nil"/>
              <w:left w:val="single" w:sz="8" w:space="0" w:color="auto"/>
              <w:bottom w:val="single" w:sz="8" w:space="0" w:color="000000"/>
              <w:right w:val="single" w:sz="8" w:space="0" w:color="auto"/>
            </w:tcBorders>
            <w:shd w:val="clear" w:color="000000" w:fill="C4D79B"/>
            <w:vAlign w:val="center"/>
            <w:hideMark/>
          </w:tcPr>
          <w:p w:rsidR="001F3890" w:rsidRPr="00710A06" w:rsidRDefault="001F3890" w:rsidP="00C45465">
            <w:pPr>
              <w:spacing w:after="0" w:line="360" w:lineRule="auto"/>
              <w:jc w:val="center"/>
              <w:rPr>
                <w:rFonts w:ascii="Arial" w:hAnsi="Arial" w:cs="Arial"/>
                <w:b/>
                <w:bCs/>
                <w:color w:val="000000"/>
                <w:sz w:val="16"/>
                <w:szCs w:val="16"/>
              </w:rPr>
            </w:pPr>
            <w:r w:rsidRPr="00710A06">
              <w:rPr>
                <w:rFonts w:ascii="Arial" w:hAnsi="Arial" w:cs="Arial"/>
                <w:b/>
                <w:bCs/>
                <w:color w:val="000000"/>
                <w:sz w:val="16"/>
                <w:szCs w:val="16"/>
              </w:rPr>
              <w:t>2016</w:t>
            </w:r>
          </w:p>
        </w:tc>
        <w:tc>
          <w:tcPr>
            <w:tcW w:w="1015" w:type="dxa"/>
            <w:vMerge w:val="restart"/>
            <w:tcBorders>
              <w:top w:val="nil"/>
              <w:left w:val="single" w:sz="8" w:space="0" w:color="auto"/>
              <w:bottom w:val="single" w:sz="8" w:space="0" w:color="000000"/>
              <w:right w:val="single" w:sz="8" w:space="0" w:color="auto"/>
            </w:tcBorders>
            <w:shd w:val="clear" w:color="000000" w:fill="C4D79B"/>
            <w:vAlign w:val="center"/>
            <w:hideMark/>
          </w:tcPr>
          <w:p w:rsidR="001F3890" w:rsidRPr="00710A06" w:rsidRDefault="001F3890" w:rsidP="00C45465">
            <w:pPr>
              <w:spacing w:after="0" w:line="360" w:lineRule="auto"/>
              <w:jc w:val="center"/>
              <w:rPr>
                <w:rFonts w:ascii="Arial" w:hAnsi="Arial" w:cs="Arial"/>
                <w:b/>
                <w:bCs/>
                <w:color w:val="000000"/>
                <w:sz w:val="16"/>
                <w:szCs w:val="16"/>
              </w:rPr>
            </w:pPr>
            <w:r w:rsidRPr="00710A06">
              <w:rPr>
                <w:rFonts w:ascii="Arial" w:hAnsi="Arial" w:cs="Arial"/>
                <w:b/>
                <w:bCs/>
                <w:color w:val="000000"/>
                <w:sz w:val="16"/>
                <w:szCs w:val="16"/>
              </w:rPr>
              <w:t>2017</w:t>
            </w:r>
          </w:p>
        </w:tc>
      </w:tr>
      <w:tr w:rsidR="001F3890" w:rsidRPr="00710A06" w:rsidTr="00710A06">
        <w:trPr>
          <w:trHeight w:val="359"/>
        </w:trPr>
        <w:tc>
          <w:tcPr>
            <w:tcW w:w="2836" w:type="dxa"/>
            <w:vMerge/>
            <w:tcBorders>
              <w:top w:val="nil"/>
              <w:left w:val="single" w:sz="8" w:space="0" w:color="auto"/>
              <w:bottom w:val="single" w:sz="8" w:space="0" w:color="000000"/>
              <w:right w:val="single" w:sz="8" w:space="0" w:color="auto"/>
            </w:tcBorders>
            <w:vAlign w:val="center"/>
            <w:hideMark/>
          </w:tcPr>
          <w:p w:rsidR="001F3890" w:rsidRPr="00710A06" w:rsidRDefault="001F3890" w:rsidP="00C45465">
            <w:pPr>
              <w:spacing w:after="0" w:line="360" w:lineRule="auto"/>
              <w:rPr>
                <w:rFonts w:ascii="Arial" w:hAnsi="Arial" w:cs="Arial"/>
                <w:b/>
                <w:bCs/>
                <w:color w:val="000000"/>
                <w:sz w:val="16"/>
                <w:szCs w:val="16"/>
              </w:rPr>
            </w:pPr>
          </w:p>
        </w:tc>
        <w:tc>
          <w:tcPr>
            <w:tcW w:w="1015" w:type="dxa"/>
            <w:vMerge/>
            <w:tcBorders>
              <w:top w:val="nil"/>
              <w:left w:val="single" w:sz="8" w:space="0" w:color="auto"/>
              <w:bottom w:val="single" w:sz="8" w:space="0" w:color="000000"/>
              <w:right w:val="single" w:sz="8" w:space="0" w:color="auto"/>
            </w:tcBorders>
            <w:vAlign w:val="center"/>
            <w:hideMark/>
          </w:tcPr>
          <w:p w:rsidR="001F3890" w:rsidRPr="00710A06" w:rsidRDefault="001F3890" w:rsidP="00C45465">
            <w:pPr>
              <w:spacing w:after="0" w:line="360" w:lineRule="auto"/>
              <w:rPr>
                <w:rFonts w:ascii="Arial" w:hAnsi="Arial" w:cs="Arial"/>
                <w:b/>
                <w:bCs/>
                <w:color w:val="000000"/>
                <w:sz w:val="16"/>
                <w:szCs w:val="16"/>
              </w:rPr>
            </w:pPr>
          </w:p>
        </w:tc>
        <w:tc>
          <w:tcPr>
            <w:tcW w:w="1015" w:type="dxa"/>
            <w:vMerge/>
            <w:tcBorders>
              <w:top w:val="nil"/>
              <w:left w:val="single" w:sz="8" w:space="0" w:color="auto"/>
              <w:bottom w:val="single" w:sz="8" w:space="0" w:color="000000"/>
              <w:right w:val="single" w:sz="8" w:space="0" w:color="auto"/>
            </w:tcBorders>
            <w:vAlign w:val="center"/>
            <w:hideMark/>
          </w:tcPr>
          <w:p w:rsidR="001F3890" w:rsidRPr="00710A06" w:rsidRDefault="001F3890" w:rsidP="00C45465">
            <w:pPr>
              <w:spacing w:after="0" w:line="360" w:lineRule="auto"/>
              <w:rPr>
                <w:rFonts w:ascii="Arial" w:hAnsi="Arial" w:cs="Arial"/>
                <w:b/>
                <w:bCs/>
                <w:color w:val="000000"/>
                <w:sz w:val="16"/>
                <w:szCs w:val="16"/>
              </w:rPr>
            </w:pPr>
          </w:p>
        </w:tc>
        <w:tc>
          <w:tcPr>
            <w:tcW w:w="1015" w:type="dxa"/>
            <w:vMerge/>
            <w:tcBorders>
              <w:top w:val="nil"/>
              <w:left w:val="single" w:sz="8" w:space="0" w:color="auto"/>
              <w:bottom w:val="single" w:sz="8" w:space="0" w:color="000000"/>
              <w:right w:val="single" w:sz="8" w:space="0" w:color="auto"/>
            </w:tcBorders>
            <w:vAlign w:val="center"/>
            <w:hideMark/>
          </w:tcPr>
          <w:p w:rsidR="001F3890" w:rsidRPr="00710A06" w:rsidRDefault="001F3890" w:rsidP="00C45465">
            <w:pPr>
              <w:spacing w:after="0" w:line="360" w:lineRule="auto"/>
              <w:rPr>
                <w:rFonts w:ascii="Arial" w:hAnsi="Arial" w:cs="Arial"/>
                <w:b/>
                <w:bCs/>
                <w:color w:val="000000"/>
                <w:sz w:val="16"/>
                <w:szCs w:val="16"/>
              </w:rPr>
            </w:pPr>
          </w:p>
        </w:tc>
        <w:tc>
          <w:tcPr>
            <w:tcW w:w="1065" w:type="dxa"/>
            <w:vMerge/>
            <w:tcBorders>
              <w:top w:val="nil"/>
              <w:left w:val="single" w:sz="8" w:space="0" w:color="auto"/>
              <w:bottom w:val="single" w:sz="8" w:space="0" w:color="000000"/>
              <w:right w:val="single" w:sz="8" w:space="0" w:color="auto"/>
            </w:tcBorders>
            <w:vAlign w:val="center"/>
            <w:hideMark/>
          </w:tcPr>
          <w:p w:rsidR="001F3890" w:rsidRPr="00710A06" w:rsidRDefault="001F3890" w:rsidP="00C45465">
            <w:pPr>
              <w:spacing w:after="0" w:line="360" w:lineRule="auto"/>
              <w:rPr>
                <w:rFonts w:ascii="Arial" w:hAnsi="Arial" w:cs="Arial"/>
                <w:b/>
                <w:bCs/>
                <w:color w:val="000000"/>
                <w:sz w:val="16"/>
                <w:szCs w:val="16"/>
              </w:rPr>
            </w:pPr>
          </w:p>
        </w:tc>
        <w:tc>
          <w:tcPr>
            <w:tcW w:w="1015" w:type="dxa"/>
            <w:vMerge/>
            <w:tcBorders>
              <w:top w:val="nil"/>
              <w:left w:val="single" w:sz="8" w:space="0" w:color="auto"/>
              <w:bottom w:val="single" w:sz="8" w:space="0" w:color="000000"/>
              <w:right w:val="single" w:sz="8" w:space="0" w:color="auto"/>
            </w:tcBorders>
            <w:vAlign w:val="center"/>
            <w:hideMark/>
          </w:tcPr>
          <w:p w:rsidR="001F3890" w:rsidRPr="00710A06" w:rsidRDefault="001F3890" w:rsidP="00C45465">
            <w:pPr>
              <w:spacing w:after="0" w:line="360" w:lineRule="auto"/>
              <w:rPr>
                <w:rFonts w:ascii="Arial" w:hAnsi="Arial" w:cs="Arial"/>
                <w:b/>
                <w:bCs/>
                <w:color w:val="000000"/>
                <w:sz w:val="16"/>
                <w:szCs w:val="16"/>
              </w:rPr>
            </w:pPr>
          </w:p>
        </w:tc>
        <w:tc>
          <w:tcPr>
            <w:tcW w:w="1015" w:type="dxa"/>
            <w:vMerge/>
            <w:tcBorders>
              <w:top w:val="nil"/>
              <w:left w:val="single" w:sz="8" w:space="0" w:color="auto"/>
              <w:bottom w:val="single" w:sz="8" w:space="0" w:color="000000"/>
              <w:right w:val="single" w:sz="8" w:space="0" w:color="auto"/>
            </w:tcBorders>
            <w:vAlign w:val="center"/>
            <w:hideMark/>
          </w:tcPr>
          <w:p w:rsidR="001F3890" w:rsidRPr="00710A06" w:rsidRDefault="001F3890" w:rsidP="00C45465">
            <w:pPr>
              <w:spacing w:after="0" w:line="360" w:lineRule="auto"/>
              <w:rPr>
                <w:rFonts w:ascii="Arial" w:hAnsi="Arial" w:cs="Arial"/>
                <w:b/>
                <w:bCs/>
                <w:color w:val="000000"/>
                <w:sz w:val="16"/>
                <w:szCs w:val="16"/>
              </w:rPr>
            </w:pPr>
          </w:p>
        </w:tc>
      </w:tr>
      <w:tr w:rsidR="001F3890" w:rsidRPr="00710A06" w:rsidTr="00710A06">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6"/>
                <w:szCs w:val="16"/>
              </w:rPr>
            </w:pPr>
            <w:r w:rsidRPr="00710A06">
              <w:rPr>
                <w:rFonts w:ascii="Arial" w:hAnsi="Arial" w:cs="Arial"/>
                <w:color w:val="000000"/>
                <w:sz w:val="16"/>
                <w:szCs w:val="16"/>
              </w:rPr>
              <w:t>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w:t>
            </w:r>
          </w:p>
        </w:tc>
        <w:tc>
          <w:tcPr>
            <w:tcW w:w="106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w:t>
            </w:r>
          </w:p>
        </w:tc>
      </w:tr>
      <w:tr w:rsidR="001F3890" w:rsidRPr="00710A06" w:rsidTr="00710A06">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b/>
                <w:bCs/>
                <w:color w:val="000000"/>
                <w:sz w:val="16"/>
                <w:szCs w:val="16"/>
              </w:rPr>
            </w:pPr>
            <w:r w:rsidRPr="00710A06">
              <w:rPr>
                <w:rFonts w:ascii="Arial" w:hAnsi="Arial" w:cs="Arial"/>
                <w:b/>
                <w:bCs/>
                <w:color w:val="000000"/>
                <w:sz w:val="16"/>
                <w:szCs w:val="16"/>
              </w:rPr>
              <w:t>1. Ingresos de Libre Disposición</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b/>
                <w:bCs/>
                <w:color w:val="000000"/>
                <w:sz w:val="14"/>
                <w:szCs w:val="14"/>
              </w:rPr>
            </w:pPr>
            <w:r w:rsidRPr="00710A06">
              <w:rPr>
                <w:rFonts w:ascii="Arial" w:hAnsi="Arial" w:cs="Arial"/>
                <w:b/>
                <w:bCs/>
                <w:color w:val="000000"/>
                <w:sz w:val="14"/>
                <w:szCs w:val="14"/>
              </w:rPr>
              <w:t xml:space="preserve">5,871,450,933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b/>
                <w:bCs/>
                <w:color w:val="000000"/>
                <w:sz w:val="14"/>
                <w:szCs w:val="14"/>
              </w:rPr>
            </w:pPr>
            <w:r w:rsidRPr="00710A06">
              <w:rPr>
                <w:rFonts w:ascii="Arial" w:hAnsi="Arial" w:cs="Arial"/>
                <w:b/>
                <w:bCs/>
                <w:color w:val="000000"/>
                <w:sz w:val="14"/>
                <w:szCs w:val="14"/>
              </w:rPr>
              <w:t xml:space="preserve">6,053,213,255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b/>
                <w:bCs/>
                <w:color w:val="000000"/>
                <w:sz w:val="14"/>
                <w:szCs w:val="14"/>
              </w:rPr>
            </w:pPr>
            <w:r w:rsidRPr="00710A06">
              <w:rPr>
                <w:rFonts w:ascii="Arial" w:hAnsi="Arial" w:cs="Arial"/>
                <w:b/>
                <w:bCs/>
                <w:color w:val="000000"/>
                <w:sz w:val="14"/>
                <w:szCs w:val="14"/>
              </w:rPr>
              <w:t xml:space="preserve">6,685,909,299 </w:t>
            </w:r>
          </w:p>
        </w:tc>
        <w:tc>
          <w:tcPr>
            <w:tcW w:w="106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b/>
                <w:bCs/>
                <w:color w:val="000000"/>
                <w:sz w:val="14"/>
                <w:szCs w:val="14"/>
              </w:rPr>
            </w:pPr>
            <w:r w:rsidRPr="00710A06">
              <w:rPr>
                <w:rFonts w:ascii="Arial" w:hAnsi="Arial" w:cs="Arial"/>
                <w:b/>
                <w:bCs/>
                <w:color w:val="000000"/>
                <w:sz w:val="14"/>
                <w:szCs w:val="14"/>
              </w:rPr>
              <w:t xml:space="preserve">7,131,325,324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b/>
                <w:bCs/>
                <w:color w:val="000000"/>
                <w:sz w:val="14"/>
                <w:szCs w:val="14"/>
              </w:rPr>
            </w:pPr>
            <w:r w:rsidRPr="00710A06">
              <w:rPr>
                <w:rFonts w:ascii="Arial" w:hAnsi="Arial" w:cs="Arial"/>
                <w:b/>
                <w:bCs/>
                <w:color w:val="000000"/>
                <w:sz w:val="14"/>
                <w:szCs w:val="14"/>
              </w:rPr>
              <w:t xml:space="preserve">7,881,117,545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b/>
                <w:bCs/>
                <w:color w:val="000000"/>
                <w:sz w:val="14"/>
                <w:szCs w:val="14"/>
              </w:rPr>
            </w:pPr>
            <w:r w:rsidRPr="00710A06">
              <w:rPr>
                <w:rFonts w:ascii="Arial" w:hAnsi="Arial" w:cs="Arial"/>
                <w:b/>
                <w:bCs/>
                <w:color w:val="000000"/>
                <w:sz w:val="14"/>
                <w:szCs w:val="14"/>
              </w:rPr>
              <w:t xml:space="preserve">8,861,552,135 </w:t>
            </w:r>
          </w:p>
        </w:tc>
      </w:tr>
      <w:tr w:rsidR="001F3890" w:rsidRPr="00710A06" w:rsidTr="00710A06">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6"/>
                <w:szCs w:val="16"/>
              </w:rPr>
            </w:pPr>
            <w:r w:rsidRPr="00710A06">
              <w:rPr>
                <w:rFonts w:ascii="Arial" w:hAnsi="Arial" w:cs="Arial"/>
                <w:color w:val="000000"/>
                <w:sz w:val="16"/>
                <w:szCs w:val="16"/>
              </w:rPr>
              <w:t>A. Impuestos</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211,221,390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219,152,198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262,027,092 </w:t>
            </w:r>
          </w:p>
        </w:tc>
        <w:tc>
          <w:tcPr>
            <w:tcW w:w="106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355,400,955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333,741,547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447,266,637 </w:t>
            </w:r>
          </w:p>
        </w:tc>
      </w:tr>
      <w:tr w:rsidR="001F3890" w:rsidRPr="00710A06" w:rsidTr="00710A06">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6"/>
                <w:szCs w:val="16"/>
              </w:rPr>
            </w:pPr>
            <w:r w:rsidRPr="00710A06">
              <w:rPr>
                <w:rFonts w:ascii="Arial" w:hAnsi="Arial" w:cs="Arial"/>
                <w:color w:val="000000"/>
                <w:sz w:val="16"/>
                <w:szCs w:val="16"/>
              </w:rPr>
              <w:t>B. Cuotas y Aportaciones de Seguridad Social</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6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r>
      <w:tr w:rsidR="001F3890" w:rsidRPr="00710A06" w:rsidTr="00710A06">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6"/>
                <w:szCs w:val="16"/>
              </w:rPr>
            </w:pPr>
            <w:r w:rsidRPr="00710A06">
              <w:rPr>
                <w:rFonts w:ascii="Arial" w:hAnsi="Arial" w:cs="Arial"/>
                <w:color w:val="000000"/>
                <w:sz w:val="16"/>
                <w:szCs w:val="16"/>
              </w:rPr>
              <w:t>C. Contribuciones de Mejoras</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6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r>
      <w:tr w:rsidR="001F3890" w:rsidRPr="00710A06" w:rsidTr="00710A06">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6"/>
                <w:szCs w:val="16"/>
              </w:rPr>
            </w:pPr>
            <w:r w:rsidRPr="00710A06">
              <w:rPr>
                <w:rFonts w:ascii="Arial" w:hAnsi="Arial" w:cs="Arial"/>
                <w:color w:val="000000"/>
                <w:sz w:val="16"/>
                <w:szCs w:val="16"/>
              </w:rPr>
              <w:t>D. Derechos</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262,669,101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244,869,161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338,537,597 </w:t>
            </w:r>
          </w:p>
        </w:tc>
        <w:tc>
          <w:tcPr>
            <w:tcW w:w="106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388,512,538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387,883,528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389,848,578 </w:t>
            </w:r>
          </w:p>
        </w:tc>
      </w:tr>
      <w:tr w:rsidR="001F3890" w:rsidRPr="00710A06" w:rsidTr="00710A06">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6"/>
                <w:szCs w:val="16"/>
              </w:rPr>
            </w:pPr>
            <w:r w:rsidRPr="00710A06">
              <w:rPr>
                <w:rFonts w:ascii="Arial" w:hAnsi="Arial" w:cs="Arial"/>
                <w:color w:val="000000"/>
                <w:sz w:val="16"/>
                <w:szCs w:val="16"/>
              </w:rPr>
              <w:t>E. Productos</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41,594,956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36,966,876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54,348,153 </w:t>
            </w:r>
          </w:p>
        </w:tc>
        <w:tc>
          <w:tcPr>
            <w:tcW w:w="106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62,844,094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87,679,794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161,151,957 </w:t>
            </w:r>
          </w:p>
        </w:tc>
      </w:tr>
      <w:tr w:rsidR="001F3890" w:rsidRPr="00710A06" w:rsidTr="00710A06">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6"/>
                <w:szCs w:val="16"/>
              </w:rPr>
            </w:pPr>
            <w:r w:rsidRPr="00710A06">
              <w:rPr>
                <w:rFonts w:ascii="Arial" w:hAnsi="Arial" w:cs="Arial"/>
                <w:color w:val="000000"/>
                <w:sz w:val="16"/>
                <w:szCs w:val="16"/>
              </w:rPr>
              <w:t>F. Aprovechamientos</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16,097,405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11,292,454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1,476,676 </w:t>
            </w:r>
          </w:p>
        </w:tc>
        <w:tc>
          <w:tcPr>
            <w:tcW w:w="106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1,895,929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514,894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40,085,850 </w:t>
            </w:r>
          </w:p>
        </w:tc>
      </w:tr>
      <w:tr w:rsidR="001F3890" w:rsidRPr="00710A06" w:rsidTr="00710A06">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6"/>
                <w:szCs w:val="16"/>
              </w:rPr>
            </w:pPr>
            <w:r w:rsidRPr="00710A06">
              <w:rPr>
                <w:rFonts w:ascii="Arial" w:hAnsi="Arial" w:cs="Arial"/>
                <w:color w:val="000000"/>
                <w:sz w:val="16"/>
                <w:szCs w:val="16"/>
              </w:rPr>
              <w:t>G. Ingresos por Ventas de Bienes y Servicios</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6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133,741,218 </w:t>
            </w:r>
          </w:p>
        </w:tc>
      </w:tr>
      <w:tr w:rsidR="001F3890" w:rsidRPr="00710A06" w:rsidTr="00710A06">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6"/>
                <w:szCs w:val="16"/>
              </w:rPr>
            </w:pPr>
            <w:r w:rsidRPr="00710A06">
              <w:rPr>
                <w:rFonts w:ascii="Arial" w:hAnsi="Arial" w:cs="Arial"/>
                <w:color w:val="000000"/>
                <w:sz w:val="16"/>
                <w:szCs w:val="16"/>
              </w:rPr>
              <w:lastRenderedPageBreak/>
              <w:t xml:space="preserve">H. Participaciones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5,099,326,612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5,317,158,961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5,800,672,573 </w:t>
            </w:r>
          </w:p>
        </w:tc>
        <w:tc>
          <w:tcPr>
            <w:tcW w:w="106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6,242,799,827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6,993,524,739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7,607,643,279 </w:t>
            </w:r>
          </w:p>
        </w:tc>
      </w:tr>
      <w:tr w:rsidR="001F3890" w:rsidRPr="00710A06" w:rsidTr="00710A06">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6"/>
                <w:szCs w:val="16"/>
              </w:rPr>
            </w:pPr>
            <w:r w:rsidRPr="00710A06">
              <w:rPr>
                <w:rFonts w:ascii="Arial" w:hAnsi="Arial" w:cs="Arial"/>
                <w:color w:val="000000"/>
                <w:sz w:val="16"/>
                <w:szCs w:val="16"/>
              </w:rPr>
              <w:t>I. Incentivos Derivados de la Colaboración Fiscal</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240,541,469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223,773,605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228,847,208 </w:t>
            </w:r>
          </w:p>
        </w:tc>
        <w:tc>
          <w:tcPr>
            <w:tcW w:w="106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79,871,981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77,773,043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81,814,615 </w:t>
            </w:r>
          </w:p>
        </w:tc>
      </w:tr>
      <w:tr w:rsidR="001F3890" w:rsidRPr="00710A06" w:rsidTr="00710A06">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6"/>
                <w:szCs w:val="16"/>
              </w:rPr>
            </w:pPr>
            <w:r w:rsidRPr="00710A06">
              <w:rPr>
                <w:rFonts w:ascii="Arial" w:hAnsi="Arial" w:cs="Arial"/>
                <w:color w:val="000000"/>
                <w:sz w:val="16"/>
                <w:szCs w:val="16"/>
              </w:rPr>
              <w:t>J. Transferencias</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6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r>
      <w:tr w:rsidR="001F3890" w:rsidRPr="00710A06" w:rsidTr="00710A06">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6"/>
                <w:szCs w:val="16"/>
              </w:rPr>
            </w:pPr>
            <w:r w:rsidRPr="00710A06">
              <w:rPr>
                <w:rFonts w:ascii="Arial" w:hAnsi="Arial" w:cs="Arial"/>
                <w:color w:val="000000"/>
                <w:sz w:val="16"/>
                <w:szCs w:val="16"/>
              </w:rPr>
              <w:t>K. Convenios</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6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r>
      <w:tr w:rsidR="001F3890" w:rsidRPr="00710A06" w:rsidTr="00710A06">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6"/>
                <w:szCs w:val="16"/>
              </w:rPr>
            </w:pPr>
            <w:r w:rsidRPr="00710A06">
              <w:rPr>
                <w:rFonts w:ascii="Arial" w:hAnsi="Arial" w:cs="Arial"/>
                <w:color w:val="000000"/>
                <w:sz w:val="16"/>
                <w:szCs w:val="16"/>
              </w:rPr>
              <w:t>L. Otros Ingresos de Libre Disposición</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6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r>
      <w:tr w:rsidR="001F3890" w:rsidRPr="00710A06" w:rsidTr="00710A06">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6"/>
                <w:szCs w:val="16"/>
              </w:rPr>
            </w:pPr>
            <w:r w:rsidRPr="00710A06">
              <w:rPr>
                <w:rFonts w:ascii="Arial" w:hAnsi="Arial" w:cs="Arial"/>
                <w:color w:val="000000"/>
                <w:sz w:val="16"/>
                <w:szCs w:val="16"/>
              </w:rPr>
              <w:t>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w:t>
            </w:r>
          </w:p>
        </w:tc>
        <w:tc>
          <w:tcPr>
            <w:tcW w:w="106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w:t>
            </w:r>
          </w:p>
        </w:tc>
      </w:tr>
      <w:tr w:rsidR="001F3890" w:rsidRPr="00710A06" w:rsidTr="00710A06">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b/>
                <w:bCs/>
                <w:color w:val="000000"/>
                <w:sz w:val="16"/>
                <w:szCs w:val="16"/>
              </w:rPr>
            </w:pPr>
            <w:r w:rsidRPr="00710A06">
              <w:rPr>
                <w:rFonts w:ascii="Arial" w:hAnsi="Arial" w:cs="Arial"/>
                <w:b/>
                <w:bCs/>
                <w:color w:val="000000"/>
                <w:sz w:val="16"/>
                <w:szCs w:val="16"/>
              </w:rPr>
              <w:t xml:space="preserve">2. Transferencias Federales Etiquetadas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b/>
                <w:bCs/>
                <w:color w:val="000000"/>
                <w:sz w:val="14"/>
                <w:szCs w:val="14"/>
              </w:rPr>
            </w:pPr>
            <w:r w:rsidRPr="00710A06">
              <w:rPr>
                <w:rFonts w:ascii="Arial" w:hAnsi="Arial" w:cs="Arial"/>
                <w:b/>
                <w:bCs/>
                <w:color w:val="000000"/>
                <w:sz w:val="14"/>
                <w:szCs w:val="14"/>
              </w:rPr>
              <w:t xml:space="preserve">9,622,437,865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b/>
                <w:bCs/>
                <w:color w:val="000000"/>
                <w:sz w:val="14"/>
                <w:szCs w:val="14"/>
              </w:rPr>
            </w:pPr>
            <w:r w:rsidRPr="00710A06">
              <w:rPr>
                <w:rFonts w:ascii="Arial" w:hAnsi="Arial" w:cs="Arial"/>
                <w:b/>
                <w:bCs/>
                <w:color w:val="000000"/>
                <w:sz w:val="14"/>
                <w:szCs w:val="14"/>
              </w:rPr>
              <w:t xml:space="preserve">10,276,787,660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b/>
                <w:bCs/>
                <w:color w:val="000000"/>
                <w:sz w:val="14"/>
                <w:szCs w:val="14"/>
              </w:rPr>
            </w:pPr>
            <w:r w:rsidRPr="00710A06">
              <w:rPr>
                <w:rFonts w:ascii="Arial" w:hAnsi="Arial" w:cs="Arial"/>
                <w:b/>
                <w:bCs/>
                <w:color w:val="000000"/>
                <w:sz w:val="14"/>
                <w:szCs w:val="14"/>
              </w:rPr>
              <w:t xml:space="preserve">11,108,818,983 </w:t>
            </w:r>
          </w:p>
        </w:tc>
        <w:tc>
          <w:tcPr>
            <w:tcW w:w="106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b/>
                <w:bCs/>
                <w:color w:val="000000"/>
                <w:sz w:val="14"/>
                <w:szCs w:val="14"/>
              </w:rPr>
            </w:pPr>
            <w:r w:rsidRPr="00710A06">
              <w:rPr>
                <w:rFonts w:ascii="Arial" w:hAnsi="Arial" w:cs="Arial"/>
                <w:b/>
                <w:bCs/>
                <w:color w:val="000000"/>
                <w:sz w:val="14"/>
                <w:szCs w:val="14"/>
              </w:rPr>
              <w:t xml:space="preserve">12,758,646,363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b/>
                <w:bCs/>
                <w:color w:val="000000"/>
                <w:sz w:val="14"/>
                <w:szCs w:val="14"/>
              </w:rPr>
            </w:pPr>
            <w:r w:rsidRPr="00710A06">
              <w:rPr>
                <w:rFonts w:ascii="Arial" w:hAnsi="Arial" w:cs="Arial"/>
                <w:b/>
                <w:bCs/>
                <w:color w:val="000000"/>
                <w:sz w:val="14"/>
                <w:szCs w:val="14"/>
              </w:rPr>
              <w:t xml:space="preserve">12,082,050,300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b/>
                <w:bCs/>
                <w:color w:val="000000"/>
                <w:sz w:val="14"/>
                <w:szCs w:val="14"/>
              </w:rPr>
            </w:pPr>
            <w:r w:rsidRPr="00710A06">
              <w:rPr>
                <w:rFonts w:ascii="Arial" w:hAnsi="Arial" w:cs="Arial"/>
                <w:b/>
                <w:bCs/>
                <w:color w:val="000000"/>
                <w:sz w:val="14"/>
                <w:szCs w:val="14"/>
              </w:rPr>
              <w:t xml:space="preserve">11,927,809,801 </w:t>
            </w:r>
          </w:p>
        </w:tc>
      </w:tr>
      <w:tr w:rsidR="001F3890" w:rsidRPr="00710A06" w:rsidTr="00710A06">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6"/>
                <w:szCs w:val="16"/>
              </w:rPr>
            </w:pPr>
            <w:r w:rsidRPr="00710A06">
              <w:rPr>
                <w:rFonts w:ascii="Arial" w:hAnsi="Arial" w:cs="Arial"/>
                <w:color w:val="000000"/>
                <w:sz w:val="16"/>
                <w:szCs w:val="16"/>
              </w:rPr>
              <w:t>A. Aportaciones</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6,348,566,804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6,661,575,326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7,119,443,792 </w:t>
            </w:r>
          </w:p>
        </w:tc>
        <w:tc>
          <w:tcPr>
            <w:tcW w:w="106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8,573,623,072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8,495,550,300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8,484,339,479 </w:t>
            </w:r>
          </w:p>
        </w:tc>
      </w:tr>
      <w:tr w:rsidR="001F3890" w:rsidRPr="00710A06" w:rsidTr="00710A06">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6"/>
                <w:szCs w:val="16"/>
              </w:rPr>
            </w:pPr>
            <w:r w:rsidRPr="00710A06">
              <w:rPr>
                <w:rFonts w:ascii="Arial" w:hAnsi="Arial" w:cs="Arial"/>
                <w:color w:val="000000"/>
                <w:sz w:val="16"/>
                <w:szCs w:val="16"/>
              </w:rPr>
              <w:t>B. Convenios</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3,273,871,061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3,615,212,334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3,989,375,191 </w:t>
            </w:r>
          </w:p>
        </w:tc>
        <w:tc>
          <w:tcPr>
            <w:tcW w:w="106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4,185,023,291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3,586,500,000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xml:space="preserve">3,443,470,322 </w:t>
            </w:r>
          </w:p>
        </w:tc>
      </w:tr>
      <w:tr w:rsidR="001F3890" w:rsidRPr="00710A06" w:rsidTr="003F141E">
        <w:trPr>
          <w:trHeight w:val="319"/>
        </w:trPr>
        <w:tc>
          <w:tcPr>
            <w:tcW w:w="2836" w:type="dxa"/>
            <w:tcBorders>
              <w:top w:val="nil"/>
              <w:left w:val="single" w:sz="8" w:space="0" w:color="auto"/>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6"/>
                <w:szCs w:val="16"/>
              </w:rPr>
            </w:pPr>
            <w:r w:rsidRPr="00710A06">
              <w:rPr>
                <w:rFonts w:ascii="Arial" w:hAnsi="Arial" w:cs="Arial"/>
                <w:color w:val="000000"/>
                <w:sz w:val="16"/>
                <w:szCs w:val="16"/>
              </w:rPr>
              <w:t>C. Fondos distintos de Aportaciones</w:t>
            </w:r>
          </w:p>
        </w:tc>
        <w:tc>
          <w:tcPr>
            <w:tcW w:w="1015" w:type="dxa"/>
            <w:tcBorders>
              <w:top w:val="nil"/>
              <w:left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65" w:type="dxa"/>
            <w:tcBorders>
              <w:top w:val="nil"/>
              <w:left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r>
      <w:tr w:rsidR="001F3890" w:rsidRPr="00710A06" w:rsidTr="003F141E">
        <w:trPr>
          <w:trHeight w:val="630"/>
        </w:trPr>
        <w:tc>
          <w:tcPr>
            <w:tcW w:w="2836" w:type="dxa"/>
            <w:tcBorders>
              <w:top w:val="nil"/>
              <w:left w:val="single" w:sz="8" w:space="0" w:color="auto"/>
              <w:bottom w:val="single" w:sz="4" w:space="0" w:color="auto"/>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6"/>
                <w:szCs w:val="16"/>
              </w:rPr>
            </w:pPr>
            <w:r w:rsidRPr="00710A06">
              <w:rPr>
                <w:rFonts w:ascii="Arial" w:hAnsi="Arial" w:cs="Arial"/>
                <w:color w:val="000000"/>
                <w:sz w:val="16"/>
                <w:szCs w:val="16"/>
              </w:rPr>
              <w:t>D. Transferencias, Subsidios y Subvenciones, y Pensiones y Jubilaciones</w:t>
            </w:r>
          </w:p>
        </w:tc>
        <w:tc>
          <w:tcPr>
            <w:tcW w:w="1015" w:type="dxa"/>
            <w:tcBorders>
              <w:top w:val="nil"/>
              <w:left w:val="nil"/>
              <w:bottom w:val="single" w:sz="4" w:space="0" w:color="auto"/>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bottom w:val="single" w:sz="4" w:space="0" w:color="auto"/>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bottom w:val="single" w:sz="4" w:space="0" w:color="auto"/>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65" w:type="dxa"/>
            <w:tcBorders>
              <w:top w:val="nil"/>
              <w:left w:val="nil"/>
              <w:bottom w:val="single" w:sz="4" w:space="0" w:color="auto"/>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bottom w:val="single" w:sz="4" w:space="0" w:color="auto"/>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bottom w:val="single" w:sz="4" w:space="0" w:color="auto"/>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r>
      <w:tr w:rsidR="001F3890" w:rsidRPr="00710A06" w:rsidTr="003F141E">
        <w:trPr>
          <w:trHeight w:val="319"/>
        </w:trPr>
        <w:tc>
          <w:tcPr>
            <w:tcW w:w="2836" w:type="dxa"/>
            <w:tcBorders>
              <w:top w:val="single" w:sz="4" w:space="0" w:color="auto"/>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6"/>
                <w:szCs w:val="16"/>
              </w:rPr>
            </w:pPr>
            <w:r w:rsidRPr="00710A06">
              <w:rPr>
                <w:rFonts w:ascii="Arial" w:hAnsi="Arial" w:cs="Arial"/>
                <w:color w:val="000000"/>
                <w:sz w:val="16"/>
                <w:szCs w:val="16"/>
              </w:rPr>
              <w:t>E. Otras Transferencias Federales Etiquetadas</w:t>
            </w:r>
          </w:p>
        </w:tc>
        <w:tc>
          <w:tcPr>
            <w:tcW w:w="1015" w:type="dxa"/>
            <w:tcBorders>
              <w:top w:val="single" w:sz="4" w:space="0" w:color="auto"/>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single" w:sz="4" w:space="0" w:color="auto"/>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single" w:sz="4" w:space="0" w:color="auto"/>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65" w:type="dxa"/>
            <w:tcBorders>
              <w:top w:val="single" w:sz="4" w:space="0" w:color="auto"/>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single" w:sz="4" w:space="0" w:color="auto"/>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single" w:sz="4" w:space="0" w:color="auto"/>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r>
      <w:tr w:rsidR="001F3890" w:rsidRPr="00710A06" w:rsidTr="00710A06">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6"/>
                <w:szCs w:val="16"/>
              </w:rPr>
            </w:pPr>
            <w:r w:rsidRPr="00710A06">
              <w:rPr>
                <w:rFonts w:ascii="Arial" w:hAnsi="Arial" w:cs="Arial"/>
                <w:color w:val="000000"/>
                <w:sz w:val="16"/>
                <w:szCs w:val="16"/>
              </w:rPr>
              <w:t>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 </w:t>
            </w:r>
          </w:p>
        </w:tc>
        <w:tc>
          <w:tcPr>
            <w:tcW w:w="106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r>
      <w:tr w:rsidR="001F3890" w:rsidRPr="00710A06" w:rsidTr="00710A06">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b/>
                <w:bCs/>
                <w:color w:val="000000"/>
                <w:sz w:val="16"/>
                <w:szCs w:val="16"/>
              </w:rPr>
            </w:pPr>
            <w:r w:rsidRPr="00710A06">
              <w:rPr>
                <w:rFonts w:ascii="Arial" w:hAnsi="Arial" w:cs="Arial"/>
                <w:b/>
                <w:bCs/>
                <w:color w:val="000000"/>
                <w:sz w:val="16"/>
                <w:szCs w:val="16"/>
              </w:rPr>
              <w:t>3. Ingresos Derivados de Financiamientos</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b/>
                <w:bCs/>
                <w:color w:val="000000"/>
                <w:sz w:val="14"/>
                <w:szCs w:val="14"/>
              </w:rPr>
            </w:pPr>
            <w:r w:rsidRPr="00710A06">
              <w:rPr>
                <w:rFonts w:ascii="Arial" w:hAnsi="Arial" w:cs="Arial"/>
                <w:b/>
                <w:bCs/>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b/>
                <w:bCs/>
                <w:color w:val="000000"/>
                <w:sz w:val="14"/>
                <w:szCs w:val="14"/>
              </w:rPr>
            </w:pPr>
            <w:r w:rsidRPr="00710A06">
              <w:rPr>
                <w:rFonts w:ascii="Arial" w:hAnsi="Arial" w:cs="Arial"/>
                <w:b/>
                <w:bCs/>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b/>
                <w:bCs/>
                <w:color w:val="000000"/>
                <w:sz w:val="14"/>
                <w:szCs w:val="14"/>
              </w:rPr>
            </w:pPr>
            <w:r w:rsidRPr="00710A06">
              <w:rPr>
                <w:rFonts w:ascii="Arial" w:hAnsi="Arial" w:cs="Arial"/>
                <w:b/>
                <w:bCs/>
                <w:color w:val="000000"/>
                <w:sz w:val="14"/>
                <w:szCs w:val="14"/>
              </w:rPr>
              <w:t>0</w:t>
            </w:r>
          </w:p>
        </w:tc>
        <w:tc>
          <w:tcPr>
            <w:tcW w:w="106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b/>
                <w:bCs/>
                <w:color w:val="000000"/>
                <w:sz w:val="14"/>
                <w:szCs w:val="14"/>
              </w:rPr>
            </w:pPr>
            <w:r w:rsidRPr="00710A06">
              <w:rPr>
                <w:rFonts w:ascii="Arial" w:hAnsi="Arial" w:cs="Arial"/>
                <w:b/>
                <w:bCs/>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b/>
                <w:bCs/>
                <w:color w:val="000000"/>
                <w:sz w:val="14"/>
                <w:szCs w:val="14"/>
              </w:rPr>
            </w:pPr>
            <w:r w:rsidRPr="00710A06">
              <w:rPr>
                <w:rFonts w:ascii="Arial" w:hAnsi="Arial" w:cs="Arial"/>
                <w:b/>
                <w:bCs/>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b/>
                <w:bCs/>
                <w:color w:val="000000"/>
                <w:sz w:val="14"/>
                <w:szCs w:val="14"/>
              </w:rPr>
            </w:pPr>
            <w:r w:rsidRPr="00710A06">
              <w:rPr>
                <w:rFonts w:ascii="Arial" w:hAnsi="Arial" w:cs="Arial"/>
                <w:b/>
                <w:bCs/>
                <w:color w:val="000000"/>
                <w:sz w:val="14"/>
                <w:szCs w:val="14"/>
              </w:rPr>
              <w:t>0</w:t>
            </w:r>
          </w:p>
        </w:tc>
      </w:tr>
      <w:tr w:rsidR="001F3890" w:rsidRPr="00710A06" w:rsidTr="00710A06">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6"/>
                <w:szCs w:val="16"/>
              </w:rPr>
            </w:pPr>
            <w:r w:rsidRPr="00710A06">
              <w:rPr>
                <w:rFonts w:ascii="Arial" w:hAnsi="Arial" w:cs="Arial"/>
                <w:color w:val="000000"/>
                <w:sz w:val="16"/>
                <w:szCs w:val="16"/>
              </w:rPr>
              <w:t xml:space="preserve">A. Ingresos Derivados de Financiamientos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6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r>
      <w:tr w:rsidR="001F3890" w:rsidRPr="00710A06" w:rsidTr="00710A06">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6"/>
                <w:szCs w:val="16"/>
              </w:rPr>
            </w:pPr>
            <w:r w:rsidRPr="00710A06">
              <w:rPr>
                <w:rFonts w:ascii="Arial" w:hAnsi="Arial" w:cs="Arial"/>
                <w:color w:val="000000"/>
                <w:sz w:val="16"/>
                <w:szCs w:val="16"/>
              </w:rPr>
              <w:t>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 </w:t>
            </w:r>
          </w:p>
        </w:tc>
        <w:tc>
          <w:tcPr>
            <w:tcW w:w="106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 </w:t>
            </w:r>
          </w:p>
        </w:tc>
      </w:tr>
      <w:tr w:rsidR="001F3890" w:rsidRPr="00710A06" w:rsidTr="00710A06">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b/>
                <w:bCs/>
                <w:color w:val="000000"/>
                <w:sz w:val="16"/>
                <w:szCs w:val="16"/>
              </w:rPr>
            </w:pPr>
            <w:r w:rsidRPr="00710A06">
              <w:rPr>
                <w:rFonts w:ascii="Arial" w:hAnsi="Arial" w:cs="Arial"/>
                <w:b/>
                <w:bCs/>
                <w:color w:val="000000"/>
                <w:sz w:val="16"/>
                <w:szCs w:val="16"/>
              </w:rPr>
              <w:t>4. Total de Resultados de Ingresos</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b/>
                <w:bCs/>
                <w:color w:val="000000"/>
                <w:sz w:val="14"/>
                <w:szCs w:val="14"/>
              </w:rPr>
            </w:pPr>
            <w:r w:rsidRPr="00710A06">
              <w:rPr>
                <w:rFonts w:ascii="Arial" w:hAnsi="Arial" w:cs="Arial"/>
                <w:b/>
                <w:bCs/>
                <w:color w:val="000000"/>
                <w:sz w:val="14"/>
                <w:szCs w:val="14"/>
              </w:rPr>
              <w:t xml:space="preserve">15,493,888,798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b/>
                <w:bCs/>
                <w:color w:val="000000"/>
                <w:sz w:val="14"/>
                <w:szCs w:val="14"/>
              </w:rPr>
            </w:pPr>
            <w:r w:rsidRPr="00710A06">
              <w:rPr>
                <w:rFonts w:ascii="Arial" w:hAnsi="Arial" w:cs="Arial"/>
                <w:b/>
                <w:bCs/>
                <w:color w:val="000000"/>
                <w:sz w:val="14"/>
                <w:szCs w:val="14"/>
              </w:rPr>
              <w:t xml:space="preserve">16,330,000,915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b/>
                <w:bCs/>
                <w:color w:val="000000"/>
                <w:sz w:val="14"/>
                <w:szCs w:val="14"/>
              </w:rPr>
            </w:pPr>
            <w:r w:rsidRPr="00710A06">
              <w:rPr>
                <w:rFonts w:ascii="Arial" w:hAnsi="Arial" w:cs="Arial"/>
                <w:b/>
                <w:bCs/>
                <w:color w:val="000000"/>
                <w:sz w:val="14"/>
                <w:szCs w:val="14"/>
              </w:rPr>
              <w:t xml:space="preserve">17,794,728,282 </w:t>
            </w:r>
          </w:p>
        </w:tc>
        <w:tc>
          <w:tcPr>
            <w:tcW w:w="106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b/>
                <w:bCs/>
                <w:color w:val="000000"/>
                <w:sz w:val="14"/>
                <w:szCs w:val="14"/>
              </w:rPr>
            </w:pPr>
            <w:r w:rsidRPr="00710A06">
              <w:rPr>
                <w:rFonts w:ascii="Arial" w:hAnsi="Arial" w:cs="Arial"/>
                <w:b/>
                <w:bCs/>
                <w:color w:val="000000"/>
                <w:sz w:val="14"/>
                <w:szCs w:val="14"/>
              </w:rPr>
              <w:t xml:space="preserve">19,889,971,687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b/>
                <w:bCs/>
                <w:color w:val="000000"/>
                <w:sz w:val="14"/>
                <w:szCs w:val="14"/>
              </w:rPr>
            </w:pPr>
            <w:r w:rsidRPr="00710A06">
              <w:rPr>
                <w:rFonts w:ascii="Arial" w:hAnsi="Arial" w:cs="Arial"/>
                <w:b/>
                <w:bCs/>
                <w:color w:val="000000"/>
                <w:sz w:val="14"/>
                <w:szCs w:val="14"/>
              </w:rPr>
              <w:t xml:space="preserve">19,963,167,845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b/>
                <w:bCs/>
                <w:color w:val="000000"/>
                <w:sz w:val="14"/>
                <w:szCs w:val="14"/>
              </w:rPr>
            </w:pPr>
            <w:r w:rsidRPr="00710A06">
              <w:rPr>
                <w:rFonts w:ascii="Arial" w:hAnsi="Arial" w:cs="Arial"/>
                <w:b/>
                <w:bCs/>
                <w:color w:val="000000"/>
                <w:sz w:val="14"/>
                <w:szCs w:val="14"/>
              </w:rPr>
              <w:t xml:space="preserve">20,789,361,936 </w:t>
            </w:r>
          </w:p>
        </w:tc>
      </w:tr>
      <w:tr w:rsidR="001F3890" w:rsidRPr="00710A06" w:rsidTr="00710A06">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6"/>
                <w:szCs w:val="16"/>
              </w:rPr>
            </w:pPr>
            <w:r w:rsidRPr="00710A06">
              <w:rPr>
                <w:rFonts w:ascii="Arial" w:hAnsi="Arial" w:cs="Arial"/>
                <w:color w:val="000000"/>
                <w:sz w:val="16"/>
                <w:szCs w:val="16"/>
              </w:rPr>
              <w:t>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 </w:t>
            </w:r>
          </w:p>
        </w:tc>
        <w:tc>
          <w:tcPr>
            <w:tcW w:w="106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 </w:t>
            </w:r>
          </w:p>
        </w:tc>
      </w:tr>
      <w:tr w:rsidR="001F3890" w:rsidRPr="00710A06" w:rsidTr="00710A06">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b/>
                <w:bCs/>
                <w:color w:val="000000"/>
                <w:sz w:val="16"/>
                <w:szCs w:val="16"/>
              </w:rPr>
            </w:pPr>
            <w:r w:rsidRPr="00710A06">
              <w:rPr>
                <w:rFonts w:ascii="Arial" w:hAnsi="Arial" w:cs="Arial"/>
                <w:b/>
                <w:bCs/>
                <w:color w:val="000000"/>
                <w:sz w:val="16"/>
                <w:szCs w:val="16"/>
              </w:rPr>
              <w:t>Datos Informativos</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 </w:t>
            </w:r>
          </w:p>
        </w:tc>
        <w:tc>
          <w:tcPr>
            <w:tcW w:w="106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 </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 </w:t>
            </w:r>
          </w:p>
        </w:tc>
      </w:tr>
      <w:tr w:rsidR="001F3890" w:rsidRPr="00710A06" w:rsidTr="00710A06">
        <w:trPr>
          <w:trHeight w:val="570"/>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6"/>
                <w:szCs w:val="16"/>
              </w:rPr>
            </w:pPr>
            <w:r w:rsidRPr="00710A06">
              <w:rPr>
                <w:rFonts w:ascii="Arial" w:hAnsi="Arial" w:cs="Arial"/>
                <w:color w:val="000000"/>
                <w:sz w:val="16"/>
                <w:szCs w:val="16"/>
              </w:rPr>
              <w:t>1. Ingresos Derivados de Financiamientos con Fuente de Pago de Recursos de Libre Disposición</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6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r>
      <w:tr w:rsidR="001F3890" w:rsidRPr="00710A06" w:rsidTr="00710A06">
        <w:trPr>
          <w:trHeight w:val="630"/>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6"/>
                <w:szCs w:val="16"/>
              </w:rPr>
            </w:pPr>
            <w:r w:rsidRPr="00710A06">
              <w:rPr>
                <w:rFonts w:ascii="Arial" w:hAnsi="Arial" w:cs="Arial"/>
                <w:color w:val="000000"/>
                <w:sz w:val="16"/>
                <w:szCs w:val="16"/>
              </w:rPr>
              <w:lastRenderedPageBreak/>
              <w:t>2. Ingresos derivados de Financiamientos con Fuente de Pago de Transferencias Federales Etiquetadas</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6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color w:val="000000"/>
                <w:sz w:val="14"/>
                <w:szCs w:val="14"/>
              </w:rPr>
            </w:pPr>
            <w:r w:rsidRPr="00710A06">
              <w:rPr>
                <w:rFonts w:ascii="Arial" w:hAnsi="Arial" w:cs="Arial"/>
                <w:color w:val="000000"/>
                <w:sz w:val="14"/>
                <w:szCs w:val="14"/>
              </w:rPr>
              <w:t>0</w:t>
            </w:r>
          </w:p>
        </w:tc>
      </w:tr>
      <w:tr w:rsidR="001F3890" w:rsidRPr="00710A06" w:rsidTr="00710A06">
        <w:trPr>
          <w:trHeight w:val="319"/>
        </w:trPr>
        <w:tc>
          <w:tcPr>
            <w:tcW w:w="2836" w:type="dxa"/>
            <w:tcBorders>
              <w:top w:val="nil"/>
              <w:left w:val="single" w:sz="8" w:space="0" w:color="auto"/>
              <w:bottom w:val="nil"/>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b/>
                <w:bCs/>
                <w:color w:val="000000"/>
                <w:sz w:val="16"/>
                <w:szCs w:val="16"/>
              </w:rPr>
            </w:pPr>
            <w:r w:rsidRPr="00710A06">
              <w:rPr>
                <w:rFonts w:ascii="Arial" w:hAnsi="Arial" w:cs="Arial"/>
                <w:b/>
                <w:bCs/>
                <w:color w:val="000000"/>
                <w:sz w:val="16"/>
                <w:szCs w:val="16"/>
              </w:rPr>
              <w:t>3. Ingresos Derivados de Financiamientos</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b/>
                <w:bCs/>
                <w:color w:val="000000"/>
                <w:sz w:val="14"/>
                <w:szCs w:val="14"/>
              </w:rPr>
            </w:pPr>
            <w:r w:rsidRPr="00710A06">
              <w:rPr>
                <w:rFonts w:ascii="Arial" w:hAnsi="Arial" w:cs="Arial"/>
                <w:b/>
                <w:bCs/>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b/>
                <w:bCs/>
                <w:color w:val="000000"/>
                <w:sz w:val="14"/>
                <w:szCs w:val="14"/>
              </w:rPr>
            </w:pPr>
            <w:r w:rsidRPr="00710A06">
              <w:rPr>
                <w:rFonts w:ascii="Arial" w:hAnsi="Arial" w:cs="Arial"/>
                <w:b/>
                <w:bCs/>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b/>
                <w:bCs/>
                <w:color w:val="000000"/>
                <w:sz w:val="14"/>
                <w:szCs w:val="14"/>
              </w:rPr>
            </w:pPr>
            <w:r w:rsidRPr="00710A06">
              <w:rPr>
                <w:rFonts w:ascii="Arial" w:hAnsi="Arial" w:cs="Arial"/>
                <w:b/>
                <w:bCs/>
                <w:color w:val="000000"/>
                <w:sz w:val="14"/>
                <w:szCs w:val="14"/>
              </w:rPr>
              <w:t>0</w:t>
            </w:r>
          </w:p>
        </w:tc>
        <w:tc>
          <w:tcPr>
            <w:tcW w:w="106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b/>
                <w:bCs/>
                <w:color w:val="000000"/>
                <w:sz w:val="14"/>
                <w:szCs w:val="14"/>
              </w:rPr>
            </w:pPr>
            <w:r w:rsidRPr="00710A06">
              <w:rPr>
                <w:rFonts w:ascii="Arial" w:hAnsi="Arial" w:cs="Arial"/>
                <w:b/>
                <w:bCs/>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b/>
                <w:bCs/>
                <w:color w:val="000000"/>
                <w:sz w:val="14"/>
                <w:szCs w:val="14"/>
              </w:rPr>
            </w:pPr>
            <w:r w:rsidRPr="00710A06">
              <w:rPr>
                <w:rFonts w:ascii="Arial" w:hAnsi="Arial" w:cs="Arial"/>
                <w:b/>
                <w:bCs/>
                <w:color w:val="000000"/>
                <w:sz w:val="14"/>
                <w:szCs w:val="14"/>
              </w:rPr>
              <w:t>0</w:t>
            </w:r>
          </w:p>
        </w:tc>
        <w:tc>
          <w:tcPr>
            <w:tcW w:w="1015" w:type="dxa"/>
            <w:tcBorders>
              <w:top w:val="nil"/>
              <w:left w:val="nil"/>
              <w:bottom w:val="nil"/>
              <w:right w:val="single" w:sz="8" w:space="0" w:color="auto"/>
            </w:tcBorders>
            <w:shd w:val="clear" w:color="auto" w:fill="auto"/>
            <w:hideMark/>
          </w:tcPr>
          <w:p w:rsidR="001F3890" w:rsidRPr="00710A06" w:rsidRDefault="001F3890" w:rsidP="00C45465">
            <w:pPr>
              <w:spacing w:after="0" w:line="360" w:lineRule="auto"/>
              <w:jc w:val="right"/>
              <w:rPr>
                <w:rFonts w:ascii="Arial" w:hAnsi="Arial" w:cs="Arial"/>
                <w:b/>
                <w:bCs/>
                <w:color w:val="000000"/>
                <w:sz w:val="14"/>
                <w:szCs w:val="14"/>
              </w:rPr>
            </w:pPr>
            <w:r w:rsidRPr="00710A06">
              <w:rPr>
                <w:rFonts w:ascii="Arial" w:hAnsi="Arial" w:cs="Arial"/>
                <w:b/>
                <w:bCs/>
                <w:color w:val="000000"/>
                <w:sz w:val="14"/>
                <w:szCs w:val="14"/>
              </w:rPr>
              <w:t>0</w:t>
            </w:r>
          </w:p>
        </w:tc>
      </w:tr>
      <w:tr w:rsidR="001F3890" w:rsidRPr="00710A06" w:rsidTr="00710A06">
        <w:trPr>
          <w:trHeight w:val="319"/>
        </w:trPr>
        <w:tc>
          <w:tcPr>
            <w:tcW w:w="2836" w:type="dxa"/>
            <w:tcBorders>
              <w:top w:val="nil"/>
              <w:left w:val="single" w:sz="8" w:space="0" w:color="auto"/>
              <w:bottom w:val="single" w:sz="8" w:space="0" w:color="auto"/>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6"/>
                <w:szCs w:val="16"/>
              </w:rPr>
            </w:pPr>
            <w:r w:rsidRPr="00710A06">
              <w:rPr>
                <w:rFonts w:ascii="Arial" w:hAnsi="Arial" w:cs="Arial"/>
                <w:color w:val="000000"/>
                <w:sz w:val="16"/>
                <w:szCs w:val="16"/>
              </w:rPr>
              <w:t> </w:t>
            </w:r>
          </w:p>
        </w:tc>
        <w:tc>
          <w:tcPr>
            <w:tcW w:w="1015" w:type="dxa"/>
            <w:tcBorders>
              <w:top w:val="nil"/>
              <w:left w:val="nil"/>
              <w:bottom w:val="single" w:sz="8" w:space="0" w:color="auto"/>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w:t>
            </w:r>
          </w:p>
        </w:tc>
        <w:tc>
          <w:tcPr>
            <w:tcW w:w="1015" w:type="dxa"/>
            <w:tcBorders>
              <w:top w:val="nil"/>
              <w:left w:val="nil"/>
              <w:bottom w:val="single" w:sz="8" w:space="0" w:color="auto"/>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w:t>
            </w:r>
          </w:p>
        </w:tc>
        <w:tc>
          <w:tcPr>
            <w:tcW w:w="1015" w:type="dxa"/>
            <w:tcBorders>
              <w:top w:val="nil"/>
              <w:left w:val="nil"/>
              <w:bottom w:val="single" w:sz="8" w:space="0" w:color="auto"/>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w:t>
            </w:r>
          </w:p>
        </w:tc>
        <w:tc>
          <w:tcPr>
            <w:tcW w:w="1065" w:type="dxa"/>
            <w:tcBorders>
              <w:top w:val="nil"/>
              <w:left w:val="nil"/>
              <w:bottom w:val="single" w:sz="8" w:space="0" w:color="auto"/>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w:t>
            </w:r>
          </w:p>
        </w:tc>
        <w:tc>
          <w:tcPr>
            <w:tcW w:w="1015" w:type="dxa"/>
            <w:tcBorders>
              <w:top w:val="nil"/>
              <w:left w:val="nil"/>
              <w:bottom w:val="single" w:sz="8" w:space="0" w:color="auto"/>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w:t>
            </w:r>
          </w:p>
        </w:tc>
        <w:tc>
          <w:tcPr>
            <w:tcW w:w="1015" w:type="dxa"/>
            <w:tcBorders>
              <w:top w:val="nil"/>
              <w:left w:val="nil"/>
              <w:bottom w:val="single" w:sz="8" w:space="0" w:color="auto"/>
              <w:right w:val="single" w:sz="8" w:space="0" w:color="auto"/>
            </w:tcBorders>
            <w:shd w:val="clear" w:color="auto" w:fill="auto"/>
            <w:hideMark/>
          </w:tcPr>
          <w:p w:rsidR="001F3890" w:rsidRPr="00710A06" w:rsidRDefault="001F3890" w:rsidP="00C45465">
            <w:pPr>
              <w:spacing w:after="0" w:line="360" w:lineRule="auto"/>
              <w:jc w:val="both"/>
              <w:rPr>
                <w:rFonts w:ascii="Arial" w:hAnsi="Arial" w:cs="Arial"/>
                <w:color w:val="000000"/>
                <w:sz w:val="14"/>
                <w:szCs w:val="14"/>
              </w:rPr>
            </w:pPr>
            <w:r w:rsidRPr="00710A06">
              <w:rPr>
                <w:rFonts w:ascii="Arial" w:hAnsi="Arial" w:cs="Arial"/>
                <w:color w:val="000000"/>
                <w:sz w:val="14"/>
                <w:szCs w:val="14"/>
              </w:rPr>
              <w:t> </w:t>
            </w:r>
          </w:p>
        </w:tc>
      </w:tr>
    </w:tbl>
    <w:p w:rsidR="001F3890" w:rsidRPr="00710A06" w:rsidRDefault="001F3890" w:rsidP="00C45465">
      <w:pPr>
        <w:spacing w:after="0" w:line="360" w:lineRule="auto"/>
        <w:jc w:val="both"/>
        <w:rPr>
          <w:rFonts w:ascii="Arial" w:hAnsi="Arial" w:cs="Arial"/>
          <w:sz w:val="24"/>
          <w:szCs w:val="24"/>
        </w:rPr>
      </w:pPr>
    </w:p>
    <w:p w:rsidR="00C45465" w:rsidRDefault="00C45465" w:rsidP="00C45465">
      <w:pPr>
        <w:spacing w:after="0" w:line="360" w:lineRule="auto"/>
        <w:jc w:val="both"/>
        <w:rPr>
          <w:rFonts w:ascii="Arial" w:hAnsi="Arial" w:cs="Arial"/>
          <w:b/>
          <w:bCs/>
          <w:sz w:val="24"/>
          <w:szCs w:val="24"/>
        </w:rPr>
      </w:pPr>
    </w:p>
    <w:p w:rsidR="00C45465" w:rsidRDefault="00C45465" w:rsidP="00C45465">
      <w:pPr>
        <w:spacing w:after="0" w:line="360" w:lineRule="auto"/>
        <w:jc w:val="both"/>
        <w:rPr>
          <w:rFonts w:ascii="Arial" w:hAnsi="Arial" w:cs="Arial"/>
          <w:b/>
          <w:bCs/>
          <w:sz w:val="24"/>
          <w:szCs w:val="24"/>
        </w:rPr>
      </w:pPr>
    </w:p>
    <w:p w:rsidR="001F3890" w:rsidRPr="00710A06" w:rsidRDefault="001F3890" w:rsidP="00C45465">
      <w:pPr>
        <w:spacing w:after="0" w:line="360" w:lineRule="auto"/>
        <w:jc w:val="both"/>
        <w:rPr>
          <w:rFonts w:ascii="Arial" w:hAnsi="Arial" w:cs="Arial"/>
          <w:b/>
          <w:bCs/>
          <w:sz w:val="24"/>
          <w:szCs w:val="24"/>
        </w:rPr>
      </w:pPr>
      <w:r w:rsidRPr="00710A06">
        <w:rPr>
          <w:rFonts w:ascii="Arial" w:hAnsi="Arial" w:cs="Arial"/>
          <w:b/>
          <w:bCs/>
          <w:sz w:val="24"/>
          <w:szCs w:val="24"/>
        </w:rPr>
        <w:t>SISTEMA ESTATAL DE PENSIONES.</w:t>
      </w:r>
    </w:p>
    <w:p w:rsidR="001F3890" w:rsidRPr="00710A06" w:rsidRDefault="001F389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t>De acuerdo al último estudio actuarial de las pensiones del Estado de Tlaxcala</w:t>
      </w:r>
      <w:r w:rsidRPr="00710A06">
        <w:rPr>
          <w:rFonts w:ascii="Arial" w:hAnsi="Arial" w:cs="Arial"/>
          <w:b/>
          <w:sz w:val="24"/>
          <w:szCs w:val="24"/>
          <w:vertAlign w:val="superscript"/>
        </w:rPr>
        <w:footnoteReference w:id="1"/>
      </w:r>
      <w:r w:rsidRPr="00710A06">
        <w:rPr>
          <w:rFonts w:ascii="Arial" w:hAnsi="Arial" w:cs="Arial"/>
          <w:sz w:val="24"/>
          <w:szCs w:val="24"/>
        </w:rPr>
        <w:t>, correspondiente al ejercicio fiscal 2015 y con una vigencia al ejercicio 2018 se tiene una reserva actuarial de 184.3 millones de pesos, con una población afiliada activa de 8,292 trabajadores y 1,892 jubilados, como a continuación se presenta:</w:t>
      </w:r>
    </w:p>
    <w:p w:rsidR="009B3D50" w:rsidRPr="00710A06" w:rsidRDefault="009B3D50" w:rsidP="00C45465">
      <w:pPr>
        <w:spacing w:after="0" w:line="360" w:lineRule="auto"/>
        <w:jc w:val="center"/>
        <w:rPr>
          <w:rFonts w:ascii="Arial" w:hAnsi="Arial" w:cs="Arial"/>
          <w:b/>
          <w:sz w:val="24"/>
          <w:szCs w:val="24"/>
        </w:rPr>
      </w:pPr>
    </w:p>
    <w:p w:rsidR="009B3D50" w:rsidRDefault="009B3D50" w:rsidP="00C45465">
      <w:pPr>
        <w:spacing w:after="0" w:line="360" w:lineRule="auto"/>
        <w:jc w:val="center"/>
        <w:rPr>
          <w:rFonts w:ascii="Arial" w:hAnsi="Arial" w:cs="Arial"/>
          <w:b/>
          <w:sz w:val="24"/>
          <w:szCs w:val="24"/>
        </w:rPr>
      </w:pPr>
    </w:p>
    <w:p w:rsidR="00CB7109" w:rsidRDefault="00CB7109" w:rsidP="00C45465">
      <w:pPr>
        <w:spacing w:after="0" w:line="360" w:lineRule="auto"/>
        <w:jc w:val="center"/>
        <w:rPr>
          <w:rFonts w:ascii="Arial" w:hAnsi="Arial" w:cs="Arial"/>
          <w:b/>
          <w:sz w:val="24"/>
          <w:szCs w:val="24"/>
        </w:rPr>
      </w:pPr>
    </w:p>
    <w:p w:rsidR="00CB7109" w:rsidRDefault="00CB7109" w:rsidP="00C45465">
      <w:pPr>
        <w:spacing w:after="0" w:line="360" w:lineRule="auto"/>
        <w:jc w:val="center"/>
        <w:rPr>
          <w:rFonts w:ascii="Arial" w:hAnsi="Arial" w:cs="Arial"/>
          <w:b/>
          <w:sz w:val="24"/>
          <w:szCs w:val="24"/>
        </w:rPr>
      </w:pPr>
    </w:p>
    <w:p w:rsidR="00CB7109" w:rsidRDefault="00CB7109" w:rsidP="00C45465">
      <w:pPr>
        <w:spacing w:after="0" w:line="360" w:lineRule="auto"/>
        <w:jc w:val="center"/>
        <w:rPr>
          <w:rFonts w:ascii="Arial" w:hAnsi="Arial" w:cs="Arial"/>
          <w:b/>
          <w:sz w:val="24"/>
          <w:szCs w:val="24"/>
        </w:rPr>
      </w:pPr>
    </w:p>
    <w:p w:rsidR="00CB7109" w:rsidRDefault="00CB7109" w:rsidP="00C45465">
      <w:pPr>
        <w:spacing w:after="0" w:line="360" w:lineRule="auto"/>
        <w:jc w:val="center"/>
        <w:rPr>
          <w:rFonts w:ascii="Arial" w:hAnsi="Arial" w:cs="Arial"/>
          <w:b/>
          <w:sz w:val="24"/>
          <w:szCs w:val="24"/>
        </w:rPr>
      </w:pPr>
    </w:p>
    <w:p w:rsidR="00CB7109" w:rsidRDefault="00CB7109" w:rsidP="00C45465">
      <w:pPr>
        <w:spacing w:after="0" w:line="360" w:lineRule="auto"/>
        <w:jc w:val="center"/>
        <w:rPr>
          <w:rFonts w:ascii="Arial" w:hAnsi="Arial" w:cs="Arial"/>
          <w:b/>
          <w:sz w:val="24"/>
          <w:szCs w:val="24"/>
        </w:rPr>
      </w:pPr>
    </w:p>
    <w:p w:rsidR="00CB7109" w:rsidRPr="00710A06" w:rsidRDefault="00CB7109" w:rsidP="00C45465">
      <w:pPr>
        <w:spacing w:after="0" w:line="360" w:lineRule="auto"/>
        <w:jc w:val="center"/>
        <w:rPr>
          <w:rFonts w:ascii="Arial" w:hAnsi="Arial" w:cs="Arial"/>
          <w:b/>
          <w:sz w:val="24"/>
          <w:szCs w:val="24"/>
        </w:rPr>
      </w:pPr>
    </w:p>
    <w:p w:rsidR="001F3890" w:rsidRPr="00710A06" w:rsidRDefault="001F3890" w:rsidP="00C45465">
      <w:pPr>
        <w:spacing w:after="0" w:line="360" w:lineRule="auto"/>
        <w:jc w:val="center"/>
        <w:rPr>
          <w:rFonts w:ascii="Arial" w:hAnsi="Arial" w:cs="Arial"/>
          <w:b/>
          <w:sz w:val="24"/>
          <w:szCs w:val="24"/>
        </w:rPr>
      </w:pPr>
      <w:r w:rsidRPr="00710A06">
        <w:rPr>
          <w:rFonts w:ascii="Arial" w:hAnsi="Arial" w:cs="Arial"/>
          <w:b/>
          <w:sz w:val="24"/>
          <w:szCs w:val="24"/>
        </w:rPr>
        <w:lastRenderedPageBreak/>
        <w:t>Estudio Actuarial de Pensiones</w:t>
      </w: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noProof/>
          <w:sz w:val="24"/>
          <w:szCs w:val="24"/>
          <w:lang w:eastAsia="es-MX"/>
        </w:rPr>
        <w:drawing>
          <wp:inline distT="0" distB="0" distL="0" distR="0" wp14:anchorId="20F6A35E" wp14:editId="30E60904">
            <wp:extent cx="5176395" cy="3086100"/>
            <wp:effectExtent l="19050" t="0" r="5205" b="0"/>
            <wp:docPr id="19" name="Imagen 2"/>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179695" cy="3088067"/>
                    </a:xfrm>
                    <a:prstGeom prst="rect">
                      <a:avLst/>
                    </a:prstGeom>
                  </pic:spPr>
                </pic:pic>
              </a:graphicData>
            </a:graphic>
          </wp:inline>
        </w:drawing>
      </w:r>
    </w:p>
    <w:p w:rsidR="001F3890" w:rsidRDefault="001F3890" w:rsidP="00C45465">
      <w:pPr>
        <w:spacing w:after="0" w:line="360" w:lineRule="auto"/>
        <w:jc w:val="both"/>
        <w:rPr>
          <w:rFonts w:ascii="Arial" w:hAnsi="Arial" w:cs="Arial"/>
          <w:sz w:val="24"/>
          <w:szCs w:val="24"/>
        </w:rPr>
      </w:pPr>
    </w:p>
    <w:p w:rsidR="00C45465" w:rsidRDefault="00C45465" w:rsidP="00C45465">
      <w:pPr>
        <w:spacing w:after="0" w:line="360" w:lineRule="auto"/>
        <w:jc w:val="both"/>
        <w:rPr>
          <w:rFonts w:ascii="Arial" w:hAnsi="Arial" w:cs="Arial"/>
          <w:sz w:val="24"/>
          <w:szCs w:val="24"/>
        </w:rPr>
      </w:pPr>
    </w:p>
    <w:p w:rsidR="00C45465" w:rsidRPr="00710A06" w:rsidRDefault="00C45465"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noProof/>
          <w:sz w:val="24"/>
          <w:szCs w:val="24"/>
          <w:lang w:eastAsia="es-MX"/>
        </w:rPr>
        <w:drawing>
          <wp:inline distT="0" distB="0" distL="0" distR="0" wp14:anchorId="03F4BD51" wp14:editId="5F0F7E40">
            <wp:extent cx="5179695" cy="2454275"/>
            <wp:effectExtent l="0" t="0" r="1905" b="3175"/>
            <wp:docPr id="20" name="Imagen 3"/>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lum bright="-20000" contrast="40000"/>
                      <a:extLst>
                        <a:ext uri="{28A0092B-C50C-407E-A947-70E740481C1C}">
                          <a14:useLocalDpi xmlns:a14="http://schemas.microsoft.com/office/drawing/2010/main" val="0"/>
                        </a:ext>
                      </a:extLst>
                    </a:blip>
                    <a:srcRect/>
                    <a:stretch>
                      <a:fillRect/>
                    </a:stretch>
                  </pic:blipFill>
                  <pic:spPr bwMode="auto">
                    <a:xfrm>
                      <a:off x="0" y="0"/>
                      <a:ext cx="5179695" cy="2454275"/>
                    </a:xfrm>
                    <a:prstGeom prst="rect">
                      <a:avLst/>
                    </a:prstGeom>
                    <a:noFill/>
                    <a:ln>
                      <a:noFill/>
                    </a:ln>
                  </pic:spPr>
                </pic:pic>
              </a:graphicData>
            </a:graphic>
          </wp:inline>
        </w:drawing>
      </w:r>
    </w:p>
    <w:p w:rsidR="001F3890" w:rsidRDefault="001F3890" w:rsidP="00C45465">
      <w:pPr>
        <w:spacing w:after="0" w:line="360" w:lineRule="auto"/>
        <w:jc w:val="both"/>
        <w:rPr>
          <w:rFonts w:ascii="Arial" w:hAnsi="Arial" w:cs="Arial"/>
          <w:sz w:val="24"/>
          <w:szCs w:val="24"/>
        </w:rPr>
      </w:pPr>
    </w:p>
    <w:p w:rsidR="00C45465" w:rsidRDefault="00C45465" w:rsidP="00C45465">
      <w:pPr>
        <w:spacing w:after="0" w:line="360" w:lineRule="auto"/>
        <w:jc w:val="both"/>
        <w:rPr>
          <w:rFonts w:ascii="Arial" w:hAnsi="Arial" w:cs="Arial"/>
          <w:sz w:val="24"/>
          <w:szCs w:val="24"/>
        </w:rPr>
      </w:pPr>
    </w:p>
    <w:p w:rsidR="00C45465" w:rsidRDefault="00C45465" w:rsidP="00C45465">
      <w:pPr>
        <w:spacing w:after="0" w:line="360" w:lineRule="auto"/>
        <w:jc w:val="both"/>
        <w:rPr>
          <w:rFonts w:ascii="Arial" w:hAnsi="Arial" w:cs="Arial"/>
          <w:sz w:val="24"/>
          <w:szCs w:val="24"/>
        </w:rPr>
      </w:pPr>
    </w:p>
    <w:p w:rsidR="00C45465" w:rsidRPr="00710A06" w:rsidRDefault="00C45465"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noProof/>
          <w:sz w:val="24"/>
          <w:szCs w:val="24"/>
          <w:lang w:eastAsia="es-MX"/>
        </w:rPr>
        <w:drawing>
          <wp:inline distT="0" distB="0" distL="0" distR="0" wp14:anchorId="706B556F" wp14:editId="60B96AA6">
            <wp:extent cx="5143500" cy="2676525"/>
            <wp:effectExtent l="19050" t="0" r="0" b="0"/>
            <wp:docPr id="2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l="24573" t="24333" r="22524" b="26640"/>
                    <a:stretch/>
                  </pic:blipFill>
                  <pic:spPr bwMode="auto">
                    <a:xfrm>
                      <a:off x="0" y="0"/>
                      <a:ext cx="5143500" cy="2676525"/>
                    </a:xfrm>
                    <a:prstGeom prst="rect">
                      <a:avLst/>
                    </a:prstGeom>
                    <a:ln>
                      <a:noFill/>
                    </a:ln>
                    <a:extLst>
                      <a:ext uri="{53640926-AAD7-44D8-BBD7-CCE9431645EC}">
                        <a14:shadowObscured xmlns:a14="http://schemas.microsoft.com/office/drawing/2010/main"/>
                      </a:ext>
                    </a:extLst>
                  </pic:spPr>
                </pic:pic>
              </a:graphicData>
            </a:graphic>
          </wp:inline>
        </w:drawing>
      </w:r>
    </w:p>
    <w:p w:rsidR="001F3890" w:rsidRPr="00710A06" w:rsidRDefault="001F3890" w:rsidP="00C45465">
      <w:pPr>
        <w:spacing w:after="0" w:line="360" w:lineRule="auto"/>
        <w:jc w:val="both"/>
        <w:rPr>
          <w:rFonts w:ascii="Arial" w:hAnsi="Arial" w:cs="Arial"/>
          <w:sz w:val="24"/>
          <w:szCs w:val="24"/>
        </w:rPr>
      </w:pPr>
    </w:p>
    <w:p w:rsidR="009B3D50" w:rsidRPr="00710A06" w:rsidRDefault="009B3D50" w:rsidP="00C45465">
      <w:pPr>
        <w:spacing w:after="0" w:line="360" w:lineRule="auto"/>
        <w:jc w:val="both"/>
        <w:rPr>
          <w:rFonts w:ascii="Arial" w:hAnsi="Arial" w:cs="Arial"/>
          <w:sz w:val="24"/>
          <w:szCs w:val="24"/>
        </w:rPr>
      </w:pPr>
    </w:p>
    <w:p w:rsidR="009B3D50" w:rsidRPr="00710A06" w:rsidRDefault="009B3D50"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noProof/>
          <w:sz w:val="24"/>
          <w:szCs w:val="24"/>
          <w:lang w:eastAsia="es-MX"/>
        </w:rPr>
        <w:drawing>
          <wp:inline distT="0" distB="0" distL="0" distR="0" wp14:anchorId="443D4EBA" wp14:editId="7F020909">
            <wp:extent cx="5143500" cy="2114550"/>
            <wp:effectExtent l="19050" t="0" r="0" b="0"/>
            <wp:docPr id="22" name="Imagen 4"/>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lum bright="-20000" contrast="40000"/>
                      <a:extLst>
                        <a:ext uri="{28A0092B-C50C-407E-A947-70E740481C1C}">
                          <a14:useLocalDpi xmlns:a14="http://schemas.microsoft.com/office/drawing/2010/main" val="0"/>
                        </a:ext>
                      </a:extLst>
                    </a:blip>
                    <a:srcRect l="4052" t="2604" r="2843"/>
                    <a:stretch>
                      <a:fillRect/>
                    </a:stretch>
                  </pic:blipFill>
                  <pic:spPr bwMode="auto">
                    <a:xfrm>
                      <a:off x="0" y="0"/>
                      <a:ext cx="5143500" cy="2114550"/>
                    </a:xfrm>
                    <a:prstGeom prst="rect">
                      <a:avLst/>
                    </a:prstGeom>
                    <a:noFill/>
                    <a:ln>
                      <a:noFill/>
                    </a:ln>
                  </pic:spPr>
                </pic:pic>
              </a:graphicData>
            </a:graphic>
          </wp:inline>
        </w:drawing>
      </w:r>
    </w:p>
    <w:p w:rsidR="001F3890" w:rsidRPr="00710A06" w:rsidRDefault="001F3890" w:rsidP="00C45465">
      <w:pPr>
        <w:spacing w:after="0" w:line="360" w:lineRule="auto"/>
        <w:jc w:val="both"/>
        <w:rPr>
          <w:rFonts w:ascii="Arial" w:hAnsi="Arial" w:cs="Arial"/>
          <w:sz w:val="24"/>
          <w:szCs w:val="24"/>
        </w:rPr>
      </w:pPr>
    </w:p>
    <w:p w:rsidR="001F3890" w:rsidRDefault="001F3890" w:rsidP="00C45465">
      <w:pPr>
        <w:spacing w:after="0" w:line="360" w:lineRule="auto"/>
        <w:jc w:val="both"/>
        <w:rPr>
          <w:rFonts w:ascii="Arial" w:hAnsi="Arial" w:cs="Arial"/>
          <w:sz w:val="24"/>
          <w:szCs w:val="24"/>
        </w:rPr>
      </w:pPr>
      <w:r w:rsidRPr="00710A06">
        <w:rPr>
          <w:rFonts w:ascii="Arial" w:hAnsi="Arial" w:cs="Arial"/>
          <w:noProof/>
          <w:sz w:val="24"/>
          <w:szCs w:val="24"/>
          <w:lang w:eastAsia="es-MX"/>
        </w:rPr>
        <w:lastRenderedPageBreak/>
        <w:drawing>
          <wp:inline distT="0" distB="0" distL="0" distR="0" wp14:anchorId="0C21ABD0" wp14:editId="02C902B0">
            <wp:extent cx="5143500" cy="1543050"/>
            <wp:effectExtent l="19050" t="0" r="0" b="0"/>
            <wp:docPr id="23" name="Imagen 5"/>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lum bright="-20000" contrast="40000"/>
                      <a:extLst>
                        <a:ext uri="{28A0092B-C50C-407E-A947-70E740481C1C}">
                          <a14:useLocalDpi xmlns:a14="http://schemas.microsoft.com/office/drawing/2010/main" val="0"/>
                        </a:ext>
                      </a:extLst>
                    </a:blip>
                    <a:srcRect l="4229" t="2994"/>
                    <a:stretch>
                      <a:fillRect/>
                    </a:stretch>
                  </pic:blipFill>
                  <pic:spPr bwMode="auto">
                    <a:xfrm>
                      <a:off x="0" y="0"/>
                      <a:ext cx="5143500" cy="1543050"/>
                    </a:xfrm>
                    <a:prstGeom prst="rect">
                      <a:avLst/>
                    </a:prstGeom>
                    <a:noFill/>
                    <a:ln>
                      <a:noFill/>
                    </a:ln>
                  </pic:spPr>
                </pic:pic>
              </a:graphicData>
            </a:graphic>
          </wp:inline>
        </w:drawing>
      </w:r>
    </w:p>
    <w:p w:rsidR="00C45465" w:rsidRPr="00710A06" w:rsidRDefault="00C45465" w:rsidP="00C45465">
      <w:pPr>
        <w:spacing w:after="0" w:line="360" w:lineRule="auto"/>
        <w:jc w:val="both"/>
        <w:rPr>
          <w:rFonts w:ascii="Arial" w:hAnsi="Arial" w:cs="Arial"/>
          <w:sz w:val="24"/>
          <w:szCs w:val="24"/>
        </w:rPr>
      </w:pPr>
    </w:p>
    <w:p w:rsidR="001F3890" w:rsidRPr="00710A06" w:rsidRDefault="001F3890" w:rsidP="00C45465">
      <w:pPr>
        <w:spacing w:after="0" w:line="360" w:lineRule="auto"/>
        <w:jc w:val="both"/>
        <w:rPr>
          <w:rFonts w:ascii="Arial" w:hAnsi="Arial" w:cs="Arial"/>
          <w:sz w:val="24"/>
          <w:szCs w:val="24"/>
        </w:rPr>
      </w:pPr>
      <w:r w:rsidRPr="00710A06">
        <w:rPr>
          <w:rFonts w:ascii="Arial" w:hAnsi="Arial" w:cs="Arial"/>
          <w:sz w:val="24"/>
          <w:szCs w:val="24"/>
        </w:rPr>
        <w:t>Con la finalidad de coadyuvar en el saneamiento de las Pensiones Civiles del Estado de Tlaxcala, el Ejecutivo del Estado ha otorgado a la fecha aportaciones extraordinarias a Pensiones Civiles del Estado por un importe estimado de 533.4 millones de pesos al cierre de 2017, considerándose a su vez, dentro de la presente Iniciativa una aportación extraordinaria por hasta 50.0 millones de pesos.</w:t>
      </w:r>
    </w:p>
    <w:p w:rsidR="001F3890" w:rsidRPr="00710A06" w:rsidRDefault="001F3890" w:rsidP="00C45465">
      <w:pPr>
        <w:spacing w:after="0" w:line="360" w:lineRule="auto"/>
        <w:jc w:val="both"/>
        <w:rPr>
          <w:rFonts w:ascii="Arial" w:hAnsi="Arial" w:cs="Arial"/>
          <w:sz w:val="24"/>
          <w:szCs w:val="24"/>
        </w:rPr>
      </w:pPr>
    </w:p>
    <w:tbl>
      <w:tblPr>
        <w:tblW w:w="3640" w:type="dxa"/>
        <w:jc w:val="center"/>
        <w:tblCellMar>
          <w:left w:w="70" w:type="dxa"/>
          <w:right w:w="70" w:type="dxa"/>
        </w:tblCellMar>
        <w:tblLook w:val="04A0" w:firstRow="1" w:lastRow="0" w:firstColumn="1" w:lastColumn="0" w:noHBand="0" w:noVBand="1"/>
      </w:tblPr>
      <w:tblGrid>
        <w:gridCol w:w="1560"/>
        <w:gridCol w:w="2080"/>
      </w:tblGrid>
      <w:tr w:rsidR="001F3890" w:rsidRPr="00710A06" w:rsidTr="00710A06">
        <w:trPr>
          <w:trHeight w:val="839"/>
          <w:jc w:val="center"/>
        </w:trPr>
        <w:tc>
          <w:tcPr>
            <w:tcW w:w="1560" w:type="dxa"/>
            <w:tcBorders>
              <w:top w:val="single" w:sz="4" w:space="0" w:color="auto"/>
              <w:left w:val="single" w:sz="4" w:space="0" w:color="auto"/>
              <w:bottom w:val="single" w:sz="4" w:space="0" w:color="auto"/>
              <w:right w:val="single" w:sz="4" w:space="0" w:color="auto"/>
            </w:tcBorders>
            <w:shd w:val="clear" w:color="000000" w:fill="70AD47"/>
            <w:noWrap/>
            <w:vAlign w:val="center"/>
            <w:hideMark/>
          </w:tcPr>
          <w:p w:rsidR="001F3890" w:rsidRPr="00710A06" w:rsidRDefault="001F3890" w:rsidP="00C45465">
            <w:pPr>
              <w:spacing w:after="0" w:line="360" w:lineRule="auto"/>
              <w:jc w:val="center"/>
              <w:rPr>
                <w:rFonts w:ascii="Arial" w:hAnsi="Arial" w:cs="Arial"/>
                <w:b/>
                <w:bCs/>
                <w:color w:val="000000"/>
                <w:sz w:val="18"/>
                <w:lang w:eastAsia="es-MX"/>
              </w:rPr>
            </w:pPr>
            <w:r w:rsidRPr="00710A06">
              <w:rPr>
                <w:rFonts w:ascii="Arial" w:hAnsi="Arial" w:cs="Arial"/>
                <w:b/>
                <w:bCs/>
                <w:color w:val="000000"/>
                <w:sz w:val="18"/>
                <w:lang w:eastAsia="es-MX"/>
              </w:rPr>
              <w:t>AÑO</w:t>
            </w:r>
          </w:p>
        </w:tc>
        <w:tc>
          <w:tcPr>
            <w:tcW w:w="2080" w:type="dxa"/>
            <w:tcBorders>
              <w:top w:val="single" w:sz="4" w:space="0" w:color="auto"/>
              <w:left w:val="nil"/>
              <w:bottom w:val="single" w:sz="4" w:space="0" w:color="auto"/>
              <w:right w:val="single" w:sz="4" w:space="0" w:color="auto"/>
            </w:tcBorders>
            <w:shd w:val="clear" w:color="000000" w:fill="70AD47"/>
            <w:vAlign w:val="center"/>
            <w:hideMark/>
          </w:tcPr>
          <w:p w:rsidR="001F3890" w:rsidRPr="00710A06" w:rsidRDefault="001F3890" w:rsidP="00C45465">
            <w:pPr>
              <w:spacing w:after="0" w:line="360" w:lineRule="auto"/>
              <w:jc w:val="center"/>
              <w:rPr>
                <w:rFonts w:ascii="Arial" w:hAnsi="Arial" w:cs="Arial"/>
                <w:b/>
                <w:bCs/>
                <w:color w:val="000000"/>
                <w:sz w:val="18"/>
                <w:lang w:eastAsia="es-MX"/>
              </w:rPr>
            </w:pPr>
            <w:r w:rsidRPr="00710A06">
              <w:rPr>
                <w:rFonts w:ascii="Arial" w:hAnsi="Arial" w:cs="Arial"/>
                <w:b/>
                <w:bCs/>
                <w:color w:val="000000"/>
                <w:sz w:val="18"/>
                <w:lang w:eastAsia="es-MX"/>
              </w:rPr>
              <w:t>APOYO ESTATAL EXTRAORDINARIO</w:t>
            </w:r>
          </w:p>
        </w:tc>
      </w:tr>
      <w:tr w:rsidR="001F3890" w:rsidRPr="00710A06" w:rsidTr="00710A06">
        <w:trPr>
          <w:trHeight w:val="47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3890" w:rsidRPr="00710A06" w:rsidRDefault="001F3890" w:rsidP="00C45465">
            <w:pPr>
              <w:spacing w:after="0" w:line="360" w:lineRule="auto"/>
              <w:rPr>
                <w:rFonts w:ascii="Arial" w:hAnsi="Arial" w:cs="Arial"/>
                <w:b/>
                <w:bCs/>
                <w:color w:val="000000"/>
                <w:sz w:val="18"/>
                <w:lang w:eastAsia="es-MX"/>
              </w:rPr>
            </w:pPr>
            <w:r w:rsidRPr="00710A06">
              <w:rPr>
                <w:rFonts w:ascii="Arial" w:hAnsi="Arial" w:cs="Arial"/>
                <w:b/>
                <w:bCs/>
                <w:color w:val="000000"/>
                <w:sz w:val="18"/>
                <w:lang w:eastAsia="es-MX"/>
              </w:rPr>
              <w:t>Ejercicio 2011</w:t>
            </w:r>
          </w:p>
        </w:tc>
        <w:tc>
          <w:tcPr>
            <w:tcW w:w="2080" w:type="dxa"/>
            <w:tcBorders>
              <w:top w:val="nil"/>
              <w:left w:val="nil"/>
              <w:bottom w:val="single" w:sz="4" w:space="0" w:color="auto"/>
              <w:right w:val="single" w:sz="4" w:space="0" w:color="auto"/>
            </w:tcBorders>
            <w:shd w:val="clear" w:color="auto" w:fill="auto"/>
            <w:noWrap/>
            <w:vAlign w:val="center"/>
            <w:hideMark/>
          </w:tcPr>
          <w:p w:rsidR="001F3890" w:rsidRPr="00710A06" w:rsidRDefault="001F3890" w:rsidP="00C45465">
            <w:pPr>
              <w:spacing w:after="0" w:line="360" w:lineRule="auto"/>
              <w:jc w:val="right"/>
              <w:rPr>
                <w:rFonts w:ascii="Arial" w:hAnsi="Arial" w:cs="Arial"/>
                <w:color w:val="000000"/>
                <w:sz w:val="18"/>
                <w:lang w:eastAsia="es-MX"/>
              </w:rPr>
            </w:pPr>
            <w:r w:rsidRPr="00710A06">
              <w:rPr>
                <w:rFonts w:ascii="Arial" w:hAnsi="Arial" w:cs="Arial"/>
                <w:color w:val="000000"/>
                <w:sz w:val="18"/>
                <w:lang w:eastAsia="es-MX"/>
              </w:rPr>
              <w:t>139.7</w:t>
            </w:r>
          </w:p>
        </w:tc>
      </w:tr>
      <w:tr w:rsidR="001F3890" w:rsidRPr="00710A06" w:rsidTr="00710A06">
        <w:trPr>
          <w:trHeight w:val="51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3890" w:rsidRPr="00710A06" w:rsidRDefault="001F3890" w:rsidP="00C45465">
            <w:pPr>
              <w:spacing w:after="0" w:line="360" w:lineRule="auto"/>
              <w:rPr>
                <w:rFonts w:ascii="Arial" w:hAnsi="Arial" w:cs="Arial"/>
                <w:b/>
                <w:bCs/>
                <w:color w:val="000000"/>
                <w:sz w:val="18"/>
                <w:lang w:eastAsia="es-MX"/>
              </w:rPr>
            </w:pPr>
            <w:r w:rsidRPr="00710A06">
              <w:rPr>
                <w:rFonts w:ascii="Arial" w:hAnsi="Arial" w:cs="Arial"/>
                <w:b/>
                <w:bCs/>
                <w:color w:val="000000"/>
                <w:sz w:val="18"/>
                <w:lang w:eastAsia="es-MX"/>
              </w:rPr>
              <w:t>Ejercicio 2012</w:t>
            </w:r>
          </w:p>
        </w:tc>
        <w:tc>
          <w:tcPr>
            <w:tcW w:w="2080" w:type="dxa"/>
            <w:tcBorders>
              <w:top w:val="nil"/>
              <w:left w:val="nil"/>
              <w:bottom w:val="single" w:sz="4" w:space="0" w:color="auto"/>
              <w:right w:val="single" w:sz="4" w:space="0" w:color="auto"/>
            </w:tcBorders>
            <w:shd w:val="clear" w:color="auto" w:fill="auto"/>
            <w:noWrap/>
            <w:vAlign w:val="center"/>
            <w:hideMark/>
          </w:tcPr>
          <w:p w:rsidR="001F3890" w:rsidRPr="00710A06" w:rsidRDefault="001F3890" w:rsidP="00C45465">
            <w:pPr>
              <w:spacing w:after="0" w:line="360" w:lineRule="auto"/>
              <w:jc w:val="right"/>
              <w:rPr>
                <w:rFonts w:ascii="Arial" w:hAnsi="Arial" w:cs="Arial"/>
                <w:color w:val="000000"/>
                <w:sz w:val="18"/>
                <w:lang w:eastAsia="es-MX"/>
              </w:rPr>
            </w:pPr>
            <w:r w:rsidRPr="00710A06">
              <w:rPr>
                <w:rFonts w:ascii="Arial" w:hAnsi="Arial" w:cs="Arial"/>
                <w:color w:val="000000"/>
                <w:sz w:val="18"/>
                <w:lang w:eastAsia="es-MX"/>
              </w:rPr>
              <w:t>118.3</w:t>
            </w:r>
          </w:p>
        </w:tc>
      </w:tr>
      <w:tr w:rsidR="001F3890" w:rsidRPr="00710A06" w:rsidTr="00710A06">
        <w:trPr>
          <w:trHeight w:val="51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3890" w:rsidRPr="00710A06" w:rsidRDefault="001F3890" w:rsidP="00C45465">
            <w:pPr>
              <w:spacing w:after="0" w:line="360" w:lineRule="auto"/>
              <w:rPr>
                <w:rFonts w:ascii="Arial" w:hAnsi="Arial" w:cs="Arial"/>
                <w:b/>
                <w:bCs/>
                <w:color w:val="000000"/>
                <w:sz w:val="18"/>
                <w:lang w:eastAsia="es-MX"/>
              </w:rPr>
            </w:pPr>
            <w:r w:rsidRPr="00710A06">
              <w:rPr>
                <w:rFonts w:ascii="Arial" w:hAnsi="Arial" w:cs="Arial"/>
                <w:b/>
                <w:bCs/>
                <w:color w:val="000000"/>
                <w:sz w:val="18"/>
                <w:lang w:eastAsia="es-MX"/>
              </w:rPr>
              <w:t>Ejercicio 2013</w:t>
            </w:r>
          </w:p>
        </w:tc>
        <w:tc>
          <w:tcPr>
            <w:tcW w:w="2080" w:type="dxa"/>
            <w:tcBorders>
              <w:top w:val="nil"/>
              <w:left w:val="nil"/>
              <w:bottom w:val="single" w:sz="4" w:space="0" w:color="auto"/>
              <w:right w:val="single" w:sz="4" w:space="0" w:color="auto"/>
            </w:tcBorders>
            <w:shd w:val="clear" w:color="auto" w:fill="auto"/>
            <w:noWrap/>
            <w:vAlign w:val="center"/>
            <w:hideMark/>
          </w:tcPr>
          <w:p w:rsidR="001F3890" w:rsidRPr="00710A06" w:rsidRDefault="001F3890" w:rsidP="00C45465">
            <w:pPr>
              <w:spacing w:after="0" w:line="360" w:lineRule="auto"/>
              <w:jc w:val="right"/>
              <w:rPr>
                <w:rFonts w:ascii="Arial" w:hAnsi="Arial" w:cs="Arial"/>
                <w:color w:val="000000"/>
                <w:sz w:val="18"/>
                <w:lang w:eastAsia="es-MX"/>
              </w:rPr>
            </w:pPr>
            <w:r w:rsidRPr="00710A06">
              <w:rPr>
                <w:rFonts w:ascii="Arial" w:hAnsi="Arial" w:cs="Arial"/>
                <w:color w:val="000000"/>
                <w:sz w:val="18"/>
                <w:lang w:eastAsia="es-MX"/>
              </w:rPr>
              <w:t>16.5</w:t>
            </w:r>
          </w:p>
        </w:tc>
      </w:tr>
      <w:tr w:rsidR="001F3890" w:rsidRPr="00710A06" w:rsidTr="00710A06">
        <w:trPr>
          <w:trHeight w:val="51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3890" w:rsidRPr="00710A06" w:rsidRDefault="001F3890" w:rsidP="00C45465">
            <w:pPr>
              <w:spacing w:after="0" w:line="360" w:lineRule="auto"/>
              <w:rPr>
                <w:rFonts w:ascii="Arial" w:hAnsi="Arial" w:cs="Arial"/>
                <w:b/>
                <w:bCs/>
                <w:color w:val="000000"/>
                <w:sz w:val="18"/>
                <w:lang w:eastAsia="es-MX"/>
              </w:rPr>
            </w:pPr>
            <w:r w:rsidRPr="00710A06">
              <w:rPr>
                <w:rFonts w:ascii="Arial" w:hAnsi="Arial" w:cs="Arial"/>
                <w:b/>
                <w:bCs/>
                <w:color w:val="000000"/>
                <w:sz w:val="18"/>
                <w:lang w:eastAsia="es-MX"/>
              </w:rPr>
              <w:t>Ejercicio 2014</w:t>
            </w:r>
          </w:p>
        </w:tc>
        <w:tc>
          <w:tcPr>
            <w:tcW w:w="2080" w:type="dxa"/>
            <w:tcBorders>
              <w:top w:val="nil"/>
              <w:left w:val="nil"/>
              <w:bottom w:val="single" w:sz="4" w:space="0" w:color="auto"/>
              <w:right w:val="single" w:sz="4" w:space="0" w:color="auto"/>
            </w:tcBorders>
            <w:shd w:val="clear" w:color="auto" w:fill="auto"/>
            <w:noWrap/>
            <w:vAlign w:val="center"/>
            <w:hideMark/>
          </w:tcPr>
          <w:p w:rsidR="001F3890" w:rsidRPr="00710A06" w:rsidRDefault="001F3890" w:rsidP="00C45465">
            <w:pPr>
              <w:spacing w:after="0" w:line="360" w:lineRule="auto"/>
              <w:jc w:val="right"/>
              <w:rPr>
                <w:rFonts w:ascii="Arial" w:hAnsi="Arial" w:cs="Arial"/>
                <w:color w:val="000000"/>
                <w:sz w:val="18"/>
                <w:lang w:eastAsia="es-MX"/>
              </w:rPr>
            </w:pPr>
            <w:r w:rsidRPr="00710A06">
              <w:rPr>
                <w:rFonts w:ascii="Arial" w:hAnsi="Arial" w:cs="Arial"/>
                <w:color w:val="000000"/>
                <w:sz w:val="18"/>
                <w:lang w:eastAsia="es-MX"/>
              </w:rPr>
              <w:t>29.0</w:t>
            </w:r>
          </w:p>
        </w:tc>
      </w:tr>
      <w:tr w:rsidR="001F3890" w:rsidRPr="00710A06" w:rsidTr="00710A06">
        <w:trPr>
          <w:trHeight w:val="51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3890" w:rsidRPr="00710A06" w:rsidRDefault="001F3890" w:rsidP="00C45465">
            <w:pPr>
              <w:spacing w:after="0" w:line="360" w:lineRule="auto"/>
              <w:rPr>
                <w:rFonts w:ascii="Arial" w:hAnsi="Arial" w:cs="Arial"/>
                <w:b/>
                <w:bCs/>
                <w:color w:val="000000"/>
                <w:sz w:val="18"/>
                <w:lang w:eastAsia="es-MX"/>
              </w:rPr>
            </w:pPr>
            <w:r w:rsidRPr="00710A06">
              <w:rPr>
                <w:rFonts w:ascii="Arial" w:hAnsi="Arial" w:cs="Arial"/>
                <w:b/>
                <w:bCs/>
                <w:color w:val="000000"/>
                <w:sz w:val="18"/>
                <w:lang w:eastAsia="es-MX"/>
              </w:rPr>
              <w:t>Ejercicio 2015</w:t>
            </w:r>
          </w:p>
        </w:tc>
        <w:tc>
          <w:tcPr>
            <w:tcW w:w="2080" w:type="dxa"/>
            <w:tcBorders>
              <w:top w:val="nil"/>
              <w:left w:val="nil"/>
              <w:bottom w:val="single" w:sz="4" w:space="0" w:color="auto"/>
              <w:right w:val="single" w:sz="4" w:space="0" w:color="auto"/>
            </w:tcBorders>
            <w:shd w:val="clear" w:color="auto" w:fill="auto"/>
            <w:noWrap/>
            <w:vAlign w:val="center"/>
            <w:hideMark/>
          </w:tcPr>
          <w:p w:rsidR="001F3890" w:rsidRPr="00710A06" w:rsidRDefault="001F3890" w:rsidP="00C45465">
            <w:pPr>
              <w:spacing w:after="0" w:line="360" w:lineRule="auto"/>
              <w:jc w:val="right"/>
              <w:rPr>
                <w:rFonts w:ascii="Arial" w:hAnsi="Arial" w:cs="Arial"/>
                <w:color w:val="000000"/>
                <w:sz w:val="18"/>
                <w:lang w:eastAsia="es-MX"/>
              </w:rPr>
            </w:pPr>
            <w:r w:rsidRPr="00710A06">
              <w:rPr>
                <w:rFonts w:ascii="Arial" w:hAnsi="Arial" w:cs="Arial"/>
                <w:color w:val="000000"/>
                <w:sz w:val="18"/>
                <w:lang w:eastAsia="es-MX"/>
              </w:rPr>
              <w:t>34.6</w:t>
            </w:r>
          </w:p>
        </w:tc>
      </w:tr>
      <w:tr w:rsidR="001F3890" w:rsidRPr="00710A06" w:rsidTr="00710A06">
        <w:trPr>
          <w:trHeight w:val="51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3890" w:rsidRPr="00710A06" w:rsidRDefault="001F3890" w:rsidP="00C45465">
            <w:pPr>
              <w:spacing w:after="0" w:line="360" w:lineRule="auto"/>
              <w:rPr>
                <w:rFonts w:ascii="Arial" w:hAnsi="Arial" w:cs="Arial"/>
                <w:b/>
                <w:bCs/>
                <w:color w:val="000000"/>
                <w:sz w:val="18"/>
                <w:lang w:eastAsia="es-MX"/>
              </w:rPr>
            </w:pPr>
            <w:r w:rsidRPr="00710A06">
              <w:rPr>
                <w:rFonts w:ascii="Arial" w:hAnsi="Arial" w:cs="Arial"/>
                <w:b/>
                <w:bCs/>
                <w:color w:val="000000"/>
                <w:sz w:val="18"/>
                <w:lang w:eastAsia="es-MX"/>
              </w:rPr>
              <w:t>Ejercicio 2016</w:t>
            </w:r>
          </w:p>
        </w:tc>
        <w:tc>
          <w:tcPr>
            <w:tcW w:w="2080" w:type="dxa"/>
            <w:tcBorders>
              <w:top w:val="nil"/>
              <w:left w:val="nil"/>
              <w:bottom w:val="single" w:sz="4" w:space="0" w:color="auto"/>
              <w:right w:val="single" w:sz="4" w:space="0" w:color="auto"/>
            </w:tcBorders>
            <w:shd w:val="clear" w:color="auto" w:fill="auto"/>
            <w:noWrap/>
            <w:vAlign w:val="center"/>
            <w:hideMark/>
          </w:tcPr>
          <w:p w:rsidR="001F3890" w:rsidRPr="00710A06" w:rsidRDefault="001F3890" w:rsidP="00C45465">
            <w:pPr>
              <w:spacing w:after="0" w:line="360" w:lineRule="auto"/>
              <w:jc w:val="right"/>
              <w:rPr>
                <w:rFonts w:ascii="Arial" w:hAnsi="Arial" w:cs="Arial"/>
                <w:color w:val="000000"/>
                <w:sz w:val="18"/>
                <w:lang w:eastAsia="es-MX"/>
              </w:rPr>
            </w:pPr>
            <w:r w:rsidRPr="00710A06">
              <w:rPr>
                <w:rFonts w:ascii="Arial" w:hAnsi="Arial" w:cs="Arial"/>
                <w:color w:val="000000"/>
                <w:sz w:val="18"/>
                <w:lang w:eastAsia="es-MX"/>
              </w:rPr>
              <w:t>165.3</w:t>
            </w:r>
          </w:p>
        </w:tc>
      </w:tr>
      <w:tr w:rsidR="001F3890" w:rsidRPr="00710A06" w:rsidTr="00710A06">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rsidR="001F3890" w:rsidRPr="00710A06" w:rsidRDefault="001F3890" w:rsidP="00C45465">
            <w:pPr>
              <w:spacing w:after="0" w:line="360" w:lineRule="auto"/>
              <w:jc w:val="center"/>
              <w:rPr>
                <w:rFonts w:ascii="Arial" w:hAnsi="Arial" w:cs="Arial"/>
                <w:b/>
                <w:bCs/>
                <w:color w:val="000000"/>
                <w:sz w:val="18"/>
                <w:lang w:eastAsia="es-MX"/>
              </w:rPr>
            </w:pPr>
            <w:r w:rsidRPr="00710A06">
              <w:rPr>
                <w:rFonts w:ascii="Arial" w:hAnsi="Arial" w:cs="Arial"/>
                <w:b/>
                <w:bCs/>
                <w:color w:val="000000"/>
                <w:sz w:val="18"/>
                <w:lang w:eastAsia="es-MX"/>
              </w:rPr>
              <w:t>Ejercicio 2017*</w:t>
            </w:r>
          </w:p>
        </w:tc>
        <w:tc>
          <w:tcPr>
            <w:tcW w:w="2080" w:type="dxa"/>
            <w:tcBorders>
              <w:top w:val="nil"/>
              <w:left w:val="nil"/>
              <w:bottom w:val="single" w:sz="4" w:space="0" w:color="auto"/>
              <w:right w:val="single" w:sz="4" w:space="0" w:color="auto"/>
            </w:tcBorders>
            <w:shd w:val="clear" w:color="auto" w:fill="auto"/>
            <w:noWrap/>
            <w:vAlign w:val="center"/>
          </w:tcPr>
          <w:p w:rsidR="001F3890" w:rsidRPr="00710A06" w:rsidRDefault="001F3890" w:rsidP="00C45465">
            <w:pPr>
              <w:spacing w:after="0" w:line="360" w:lineRule="auto"/>
              <w:jc w:val="right"/>
              <w:rPr>
                <w:rFonts w:ascii="Arial" w:hAnsi="Arial" w:cs="Arial"/>
                <w:bCs/>
                <w:color w:val="000000"/>
                <w:sz w:val="18"/>
                <w:highlight w:val="yellow"/>
                <w:lang w:eastAsia="es-MX"/>
              </w:rPr>
            </w:pPr>
            <w:r w:rsidRPr="00710A06">
              <w:rPr>
                <w:rFonts w:ascii="Arial" w:hAnsi="Arial" w:cs="Arial"/>
                <w:bCs/>
                <w:color w:val="000000"/>
                <w:sz w:val="18"/>
                <w:lang w:eastAsia="es-MX"/>
              </w:rPr>
              <w:t>30.0</w:t>
            </w:r>
          </w:p>
        </w:tc>
      </w:tr>
      <w:tr w:rsidR="001F3890" w:rsidRPr="00710A06" w:rsidTr="00710A06">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3890" w:rsidRPr="00710A06" w:rsidRDefault="001F3890" w:rsidP="00C45465">
            <w:pPr>
              <w:spacing w:after="0" w:line="360" w:lineRule="auto"/>
              <w:jc w:val="center"/>
              <w:rPr>
                <w:rFonts w:ascii="Arial" w:hAnsi="Arial" w:cs="Arial"/>
                <w:b/>
                <w:bCs/>
                <w:color w:val="000000"/>
                <w:sz w:val="18"/>
                <w:lang w:eastAsia="es-MX"/>
              </w:rPr>
            </w:pPr>
            <w:r w:rsidRPr="00710A06">
              <w:rPr>
                <w:rFonts w:ascii="Arial" w:hAnsi="Arial" w:cs="Arial"/>
                <w:b/>
                <w:bCs/>
                <w:color w:val="000000"/>
                <w:sz w:val="18"/>
                <w:lang w:eastAsia="es-MX"/>
              </w:rPr>
              <w:t>SUMA</w:t>
            </w:r>
          </w:p>
        </w:tc>
        <w:tc>
          <w:tcPr>
            <w:tcW w:w="2080" w:type="dxa"/>
            <w:tcBorders>
              <w:top w:val="nil"/>
              <w:left w:val="nil"/>
              <w:bottom w:val="single" w:sz="4" w:space="0" w:color="auto"/>
              <w:right w:val="single" w:sz="4" w:space="0" w:color="auto"/>
            </w:tcBorders>
            <w:shd w:val="clear" w:color="auto" w:fill="auto"/>
            <w:noWrap/>
            <w:vAlign w:val="center"/>
            <w:hideMark/>
          </w:tcPr>
          <w:p w:rsidR="001F3890" w:rsidRPr="00710A06" w:rsidRDefault="001F3890" w:rsidP="00C45465">
            <w:pPr>
              <w:spacing w:after="0" w:line="360" w:lineRule="auto"/>
              <w:jc w:val="right"/>
              <w:rPr>
                <w:rFonts w:ascii="Arial" w:hAnsi="Arial" w:cs="Arial"/>
                <w:b/>
                <w:bCs/>
                <w:color w:val="000000"/>
                <w:sz w:val="18"/>
                <w:lang w:eastAsia="es-MX"/>
              </w:rPr>
            </w:pPr>
            <w:r w:rsidRPr="00710A06">
              <w:rPr>
                <w:rFonts w:ascii="Arial" w:hAnsi="Arial" w:cs="Arial"/>
                <w:b/>
                <w:bCs/>
                <w:color w:val="000000"/>
                <w:sz w:val="18"/>
                <w:lang w:eastAsia="es-MX"/>
              </w:rPr>
              <w:t>533.4</w:t>
            </w:r>
          </w:p>
        </w:tc>
      </w:tr>
    </w:tbl>
    <w:p w:rsidR="001F3890" w:rsidRPr="00710A06" w:rsidRDefault="001F3890" w:rsidP="00C45465">
      <w:pPr>
        <w:spacing w:after="0" w:line="360" w:lineRule="auto"/>
        <w:ind w:left="2268"/>
        <w:rPr>
          <w:rFonts w:ascii="Arial" w:hAnsi="Arial" w:cs="Arial"/>
          <w:b/>
          <w:sz w:val="16"/>
        </w:rPr>
      </w:pPr>
      <w:r w:rsidRPr="00710A06">
        <w:rPr>
          <w:rFonts w:ascii="Arial" w:hAnsi="Arial" w:cs="Arial"/>
          <w:b/>
          <w:sz w:val="16"/>
        </w:rPr>
        <w:t>* Cifra Estimada al Cierre de 2017</w:t>
      </w:r>
    </w:p>
    <w:p w:rsidR="00E40CB7" w:rsidRDefault="00E40CB7" w:rsidP="00C45465">
      <w:pPr>
        <w:spacing w:after="0" w:line="360" w:lineRule="auto"/>
        <w:jc w:val="both"/>
        <w:rPr>
          <w:rFonts w:ascii="Arial" w:hAnsi="Arial" w:cs="Arial"/>
          <w:sz w:val="24"/>
        </w:rPr>
      </w:pPr>
    </w:p>
    <w:p w:rsidR="001F3890" w:rsidRPr="00710A06" w:rsidRDefault="001F3890" w:rsidP="00C45465">
      <w:pPr>
        <w:spacing w:after="0" w:line="360" w:lineRule="auto"/>
        <w:jc w:val="both"/>
        <w:rPr>
          <w:rFonts w:ascii="Arial" w:hAnsi="Arial" w:cs="Arial"/>
          <w:sz w:val="24"/>
        </w:rPr>
      </w:pPr>
      <w:r w:rsidRPr="00710A06">
        <w:rPr>
          <w:rFonts w:ascii="Arial" w:hAnsi="Arial" w:cs="Arial"/>
          <w:sz w:val="24"/>
        </w:rPr>
        <w:lastRenderedPageBreak/>
        <w:t>Los ingresos propios de Pensiones Civiles del Estado de Tlaxcala, se han visto incrementados, a partir, de la reforma legal:</w:t>
      </w:r>
    </w:p>
    <w:p w:rsidR="001F3890" w:rsidRPr="00710A06" w:rsidRDefault="001F3890" w:rsidP="00C45465">
      <w:pPr>
        <w:spacing w:after="0" w:line="360" w:lineRule="auto"/>
        <w:jc w:val="both"/>
        <w:rPr>
          <w:rFonts w:ascii="Arial" w:hAnsi="Arial" w:cs="Arial"/>
          <w:sz w:val="24"/>
        </w:rPr>
      </w:pPr>
    </w:p>
    <w:tbl>
      <w:tblPr>
        <w:tblW w:w="3440" w:type="dxa"/>
        <w:jc w:val="center"/>
        <w:tblCellMar>
          <w:left w:w="70" w:type="dxa"/>
          <w:right w:w="70" w:type="dxa"/>
        </w:tblCellMar>
        <w:tblLook w:val="04A0" w:firstRow="1" w:lastRow="0" w:firstColumn="1" w:lastColumn="0" w:noHBand="0" w:noVBand="1"/>
      </w:tblPr>
      <w:tblGrid>
        <w:gridCol w:w="1540"/>
        <w:gridCol w:w="1900"/>
      </w:tblGrid>
      <w:tr w:rsidR="001F3890" w:rsidRPr="00710A06" w:rsidTr="00710A06">
        <w:trPr>
          <w:trHeight w:val="911"/>
          <w:jc w:val="center"/>
        </w:trPr>
        <w:tc>
          <w:tcPr>
            <w:tcW w:w="1540" w:type="dxa"/>
            <w:tcBorders>
              <w:top w:val="single" w:sz="4" w:space="0" w:color="auto"/>
              <w:left w:val="single" w:sz="4" w:space="0" w:color="auto"/>
              <w:bottom w:val="single" w:sz="4" w:space="0" w:color="auto"/>
              <w:right w:val="single" w:sz="4" w:space="0" w:color="auto"/>
            </w:tcBorders>
            <w:shd w:val="clear" w:color="000000" w:fill="70AD47"/>
            <w:noWrap/>
            <w:vAlign w:val="center"/>
            <w:hideMark/>
          </w:tcPr>
          <w:p w:rsidR="001F3890" w:rsidRPr="00710A06" w:rsidRDefault="001F3890" w:rsidP="00C45465">
            <w:pPr>
              <w:spacing w:after="0" w:line="360" w:lineRule="auto"/>
              <w:jc w:val="center"/>
              <w:rPr>
                <w:rFonts w:ascii="Arial" w:hAnsi="Arial" w:cs="Arial"/>
                <w:b/>
                <w:bCs/>
                <w:color w:val="000000"/>
                <w:sz w:val="18"/>
                <w:lang w:eastAsia="es-MX"/>
              </w:rPr>
            </w:pPr>
            <w:r w:rsidRPr="00710A06">
              <w:rPr>
                <w:rFonts w:ascii="Arial" w:hAnsi="Arial" w:cs="Arial"/>
                <w:b/>
                <w:bCs/>
                <w:color w:val="000000"/>
                <w:sz w:val="18"/>
                <w:lang w:eastAsia="es-MX"/>
              </w:rPr>
              <w:t>AÑO</w:t>
            </w:r>
          </w:p>
        </w:tc>
        <w:tc>
          <w:tcPr>
            <w:tcW w:w="1900" w:type="dxa"/>
            <w:tcBorders>
              <w:top w:val="single" w:sz="4" w:space="0" w:color="auto"/>
              <w:left w:val="nil"/>
              <w:bottom w:val="single" w:sz="4" w:space="0" w:color="auto"/>
              <w:right w:val="single" w:sz="4" w:space="0" w:color="auto"/>
            </w:tcBorders>
            <w:shd w:val="clear" w:color="000000" w:fill="70AD47"/>
            <w:vAlign w:val="center"/>
            <w:hideMark/>
          </w:tcPr>
          <w:p w:rsidR="001F3890" w:rsidRPr="00710A06" w:rsidRDefault="001F3890" w:rsidP="00C45465">
            <w:pPr>
              <w:spacing w:after="0" w:line="360" w:lineRule="auto"/>
              <w:jc w:val="center"/>
              <w:rPr>
                <w:rFonts w:ascii="Arial" w:hAnsi="Arial" w:cs="Arial"/>
                <w:b/>
                <w:bCs/>
                <w:color w:val="000000"/>
                <w:sz w:val="18"/>
                <w:lang w:eastAsia="es-MX"/>
              </w:rPr>
            </w:pPr>
            <w:r w:rsidRPr="00710A06">
              <w:rPr>
                <w:rFonts w:ascii="Arial" w:hAnsi="Arial" w:cs="Arial"/>
                <w:b/>
                <w:bCs/>
                <w:color w:val="000000"/>
                <w:sz w:val="18"/>
                <w:lang w:eastAsia="es-MX"/>
              </w:rPr>
              <w:t>APORTACIONES Y RETENCIONES</w:t>
            </w:r>
          </w:p>
        </w:tc>
      </w:tr>
      <w:tr w:rsidR="001F3890" w:rsidRPr="00710A06" w:rsidTr="00710A06">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1F3890" w:rsidRPr="00710A06" w:rsidRDefault="001F3890" w:rsidP="00C45465">
            <w:pPr>
              <w:spacing w:after="0" w:line="360" w:lineRule="auto"/>
              <w:rPr>
                <w:rFonts w:ascii="Arial" w:hAnsi="Arial" w:cs="Arial"/>
                <w:b/>
                <w:bCs/>
                <w:color w:val="000000"/>
                <w:sz w:val="18"/>
                <w:lang w:eastAsia="es-MX"/>
              </w:rPr>
            </w:pPr>
            <w:r w:rsidRPr="00710A06">
              <w:rPr>
                <w:rFonts w:ascii="Arial" w:hAnsi="Arial" w:cs="Arial"/>
                <w:b/>
                <w:bCs/>
                <w:color w:val="000000"/>
                <w:sz w:val="18"/>
                <w:lang w:eastAsia="es-MX"/>
              </w:rPr>
              <w:t>Ejercicio 2011</w:t>
            </w:r>
          </w:p>
        </w:tc>
        <w:tc>
          <w:tcPr>
            <w:tcW w:w="1900" w:type="dxa"/>
            <w:tcBorders>
              <w:top w:val="nil"/>
              <w:left w:val="nil"/>
              <w:bottom w:val="single" w:sz="4" w:space="0" w:color="auto"/>
              <w:right w:val="single" w:sz="4" w:space="0" w:color="auto"/>
            </w:tcBorders>
            <w:shd w:val="clear" w:color="auto" w:fill="auto"/>
            <w:noWrap/>
            <w:vAlign w:val="center"/>
            <w:hideMark/>
          </w:tcPr>
          <w:p w:rsidR="001F3890" w:rsidRPr="00710A06" w:rsidRDefault="001F3890" w:rsidP="00C45465">
            <w:pPr>
              <w:spacing w:after="0" w:line="360" w:lineRule="auto"/>
              <w:jc w:val="right"/>
              <w:rPr>
                <w:rFonts w:ascii="Arial" w:hAnsi="Arial" w:cs="Arial"/>
                <w:color w:val="000000"/>
                <w:sz w:val="18"/>
                <w:lang w:eastAsia="es-MX"/>
              </w:rPr>
            </w:pPr>
            <w:r w:rsidRPr="00710A06">
              <w:rPr>
                <w:rFonts w:ascii="Arial" w:hAnsi="Arial" w:cs="Arial"/>
                <w:color w:val="000000"/>
                <w:sz w:val="18"/>
                <w:lang w:eastAsia="es-MX"/>
              </w:rPr>
              <w:t xml:space="preserve">100.9 </w:t>
            </w:r>
          </w:p>
        </w:tc>
      </w:tr>
      <w:tr w:rsidR="001F3890" w:rsidRPr="00710A06" w:rsidTr="00710A06">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1F3890" w:rsidRPr="00710A06" w:rsidRDefault="001F3890" w:rsidP="00C45465">
            <w:pPr>
              <w:spacing w:after="0" w:line="360" w:lineRule="auto"/>
              <w:rPr>
                <w:rFonts w:ascii="Arial" w:hAnsi="Arial" w:cs="Arial"/>
                <w:b/>
                <w:bCs/>
                <w:color w:val="000000"/>
                <w:sz w:val="18"/>
                <w:lang w:eastAsia="es-MX"/>
              </w:rPr>
            </w:pPr>
            <w:r w:rsidRPr="00710A06">
              <w:rPr>
                <w:rFonts w:ascii="Arial" w:hAnsi="Arial" w:cs="Arial"/>
                <w:b/>
                <w:bCs/>
                <w:color w:val="000000"/>
                <w:sz w:val="18"/>
                <w:lang w:eastAsia="es-MX"/>
              </w:rPr>
              <w:t>Ejercicio 2012</w:t>
            </w:r>
          </w:p>
        </w:tc>
        <w:tc>
          <w:tcPr>
            <w:tcW w:w="1900" w:type="dxa"/>
            <w:tcBorders>
              <w:top w:val="nil"/>
              <w:left w:val="nil"/>
              <w:bottom w:val="single" w:sz="4" w:space="0" w:color="auto"/>
              <w:right w:val="single" w:sz="4" w:space="0" w:color="auto"/>
            </w:tcBorders>
            <w:shd w:val="clear" w:color="auto" w:fill="auto"/>
            <w:noWrap/>
            <w:vAlign w:val="center"/>
            <w:hideMark/>
          </w:tcPr>
          <w:p w:rsidR="001F3890" w:rsidRPr="00710A06" w:rsidRDefault="001F3890" w:rsidP="00C45465">
            <w:pPr>
              <w:spacing w:after="0" w:line="360" w:lineRule="auto"/>
              <w:jc w:val="right"/>
              <w:rPr>
                <w:rFonts w:ascii="Arial" w:hAnsi="Arial" w:cs="Arial"/>
                <w:color w:val="000000"/>
                <w:sz w:val="18"/>
                <w:lang w:eastAsia="es-MX"/>
              </w:rPr>
            </w:pPr>
            <w:r w:rsidRPr="00710A06">
              <w:rPr>
                <w:rFonts w:ascii="Arial" w:hAnsi="Arial" w:cs="Arial"/>
                <w:color w:val="000000"/>
                <w:sz w:val="18"/>
                <w:lang w:eastAsia="es-MX"/>
              </w:rPr>
              <w:t xml:space="preserve">103.3 </w:t>
            </w:r>
          </w:p>
        </w:tc>
      </w:tr>
      <w:tr w:rsidR="001F3890" w:rsidRPr="00710A06" w:rsidTr="00710A06">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1F3890" w:rsidRPr="00710A06" w:rsidRDefault="001F3890" w:rsidP="00C45465">
            <w:pPr>
              <w:spacing w:after="0" w:line="360" w:lineRule="auto"/>
              <w:rPr>
                <w:rFonts w:ascii="Arial" w:hAnsi="Arial" w:cs="Arial"/>
                <w:b/>
                <w:bCs/>
                <w:color w:val="000000"/>
                <w:sz w:val="18"/>
                <w:lang w:eastAsia="es-MX"/>
              </w:rPr>
            </w:pPr>
            <w:r w:rsidRPr="00710A06">
              <w:rPr>
                <w:rFonts w:ascii="Arial" w:hAnsi="Arial" w:cs="Arial"/>
                <w:b/>
                <w:bCs/>
                <w:color w:val="000000"/>
                <w:sz w:val="18"/>
                <w:lang w:eastAsia="es-MX"/>
              </w:rPr>
              <w:t>Ejercicio 2013</w:t>
            </w:r>
          </w:p>
        </w:tc>
        <w:tc>
          <w:tcPr>
            <w:tcW w:w="1900" w:type="dxa"/>
            <w:tcBorders>
              <w:top w:val="nil"/>
              <w:left w:val="nil"/>
              <w:bottom w:val="single" w:sz="4" w:space="0" w:color="auto"/>
              <w:right w:val="single" w:sz="4" w:space="0" w:color="auto"/>
            </w:tcBorders>
            <w:shd w:val="clear" w:color="auto" w:fill="auto"/>
            <w:noWrap/>
            <w:vAlign w:val="center"/>
            <w:hideMark/>
          </w:tcPr>
          <w:p w:rsidR="001F3890" w:rsidRPr="00710A06" w:rsidRDefault="001F3890" w:rsidP="00C45465">
            <w:pPr>
              <w:spacing w:after="0" w:line="360" w:lineRule="auto"/>
              <w:jc w:val="right"/>
              <w:rPr>
                <w:rFonts w:ascii="Arial" w:hAnsi="Arial" w:cs="Arial"/>
                <w:color w:val="000000"/>
                <w:sz w:val="18"/>
                <w:lang w:eastAsia="es-MX"/>
              </w:rPr>
            </w:pPr>
            <w:r w:rsidRPr="00710A06">
              <w:rPr>
                <w:rFonts w:ascii="Arial" w:hAnsi="Arial" w:cs="Arial"/>
                <w:color w:val="000000"/>
                <w:sz w:val="18"/>
                <w:lang w:eastAsia="es-MX"/>
              </w:rPr>
              <w:t xml:space="preserve">205.9 </w:t>
            </w:r>
          </w:p>
        </w:tc>
      </w:tr>
      <w:tr w:rsidR="001F3890" w:rsidRPr="00710A06" w:rsidTr="00710A06">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1F3890" w:rsidRPr="00710A06" w:rsidRDefault="001F3890" w:rsidP="00C45465">
            <w:pPr>
              <w:spacing w:after="0" w:line="360" w:lineRule="auto"/>
              <w:rPr>
                <w:rFonts w:ascii="Arial" w:hAnsi="Arial" w:cs="Arial"/>
                <w:b/>
                <w:bCs/>
                <w:color w:val="000000"/>
                <w:sz w:val="18"/>
                <w:lang w:eastAsia="es-MX"/>
              </w:rPr>
            </w:pPr>
            <w:r w:rsidRPr="00710A06">
              <w:rPr>
                <w:rFonts w:ascii="Arial" w:hAnsi="Arial" w:cs="Arial"/>
                <w:b/>
                <w:bCs/>
                <w:color w:val="000000"/>
                <w:sz w:val="18"/>
                <w:lang w:eastAsia="es-MX"/>
              </w:rPr>
              <w:t>Ejercicio 2014</w:t>
            </w:r>
          </w:p>
        </w:tc>
        <w:tc>
          <w:tcPr>
            <w:tcW w:w="1900" w:type="dxa"/>
            <w:tcBorders>
              <w:top w:val="nil"/>
              <w:left w:val="nil"/>
              <w:bottom w:val="single" w:sz="4" w:space="0" w:color="auto"/>
              <w:right w:val="single" w:sz="4" w:space="0" w:color="auto"/>
            </w:tcBorders>
            <w:shd w:val="clear" w:color="auto" w:fill="auto"/>
            <w:noWrap/>
            <w:vAlign w:val="center"/>
            <w:hideMark/>
          </w:tcPr>
          <w:p w:rsidR="001F3890" w:rsidRPr="00710A06" w:rsidRDefault="001F3890" w:rsidP="00C45465">
            <w:pPr>
              <w:spacing w:after="0" w:line="360" w:lineRule="auto"/>
              <w:jc w:val="right"/>
              <w:rPr>
                <w:rFonts w:ascii="Arial" w:hAnsi="Arial" w:cs="Arial"/>
                <w:color w:val="000000"/>
                <w:sz w:val="18"/>
                <w:lang w:eastAsia="es-MX"/>
              </w:rPr>
            </w:pPr>
            <w:r w:rsidRPr="00710A06">
              <w:rPr>
                <w:rFonts w:ascii="Arial" w:hAnsi="Arial" w:cs="Arial"/>
                <w:color w:val="000000"/>
                <w:sz w:val="18"/>
                <w:lang w:eastAsia="es-MX"/>
              </w:rPr>
              <w:t xml:space="preserve">221.2 </w:t>
            </w:r>
          </w:p>
        </w:tc>
      </w:tr>
      <w:tr w:rsidR="001F3890" w:rsidRPr="00710A06" w:rsidTr="00710A06">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1F3890" w:rsidRPr="00710A06" w:rsidRDefault="001F3890" w:rsidP="00C45465">
            <w:pPr>
              <w:spacing w:after="0" w:line="360" w:lineRule="auto"/>
              <w:rPr>
                <w:rFonts w:ascii="Arial" w:hAnsi="Arial" w:cs="Arial"/>
                <w:b/>
                <w:bCs/>
                <w:color w:val="000000"/>
                <w:sz w:val="18"/>
                <w:lang w:eastAsia="es-MX"/>
              </w:rPr>
            </w:pPr>
            <w:r w:rsidRPr="00710A06">
              <w:rPr>
                <w:rFonts w:ascii="Arial" w:hAnsi="Arial" w:cs="Arial"/>
                <w:b/>
                <w:bCs/>
                <w:color w:val="000000"/>
                <w:sz w:val="18"/>
                <w:lang w:eastAsia="es-MX"/>
              </w:rPr>
              <w:t>Ejercicio 2015</w:t>
            </w:r>
          </w:p>
        </w:tc>
        <w:tc>
          <w:tcPr>
            <w:tcW w:w="1900" w:type="dxa"/>
            <w:tcBorders>
              <w:top w:val="nil"/>
              <w:left w:val="nil"/>
              <w:bottom w:val="single" w:sz="4" w:space="0" w:color="auto"/>
              <w:right w:val="single" w:sz="4" w:space="0" w:color="auto"/>
            </w:tcBorders>
            <w:shd w:val="clear" w:color="auto" w:fill="auto"/>
            <w:noWrap/>
            <w:vAlign w:val="center"/>
            <w:hideMark/>
          </w:tcPr>
          <w:p w:rsidR="001F3890" w:rsidRPr="00710A06" w:rsidRDefault="001F3890" w:rsidP="00C45465">
            <w:pPr>
              <w:spacing w:after="0" w:line="360" w:lineRule="auto"/>
              <w:jc w:val="right"/>
              <w:rPr>
                <w:rFonts w:ascii="Arial" w:hAnsi="Arial" w:cs="Arial"/>
                <w:color w:val="000000"/>
                <w:sz w:val="18"/>
                <w:lang w:eastAsia="es-MX"/>
              </w:rPr>
            </w:pPr>
            <w:r w:rsidRPr="00710A06">
              <w:rPr>
                <w:rFonts w:ascii="Arial" w:hAnsi="Arial" w:cs="Arial"/>
                <w:color w:val="000000"/>
                <w:sz w:val="18"/>
                <w:lang w:eastAsia="es-MX"/>
              </w:rPr>
              <w:t xml:space="preserve">223.9 </w:t>
            </w:r>
          </w:p>
        </w:tc>
      </w:tr>
      <w:tr w:rsidR="001F3890" w:rsidRPr="00710A06" w:rsidTr="00710A06">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1F3890" w:rsidRPr="00710A06" w:rsidRDefault="001F3890" w:rsidP="00C45465">
            <w:pPr>
              <w:spacing w:after="0" w:line="360" w:lineRule="auto"/>
              <w:rPr>
                <w:rFonts w:ascii="Arial" w:hAnsi="Arial" w:cs="Arial"/>
                <w:b/>
                <w:bCs/>
                <w:color w:val="000000"/>
                <w:sz w:val="18"/>
                <w:lang w:eastAsia="es-MX"/>
              </w:rPr>
            </w:pPr>
            <w:r w:rsidRPr="00710A06">
              <w:rPr>
                <w:rFonts w:ascii="Arial" w:hAnsi="Arial" w:cs="Arial"/>
                <w:b/>
                <w:bCs/>
                <w:color w:val="000000"/>
                <w:sz w:val="18"/>
                <w:lang w:eastAsia="es-MX"/>
              </w:rPr>
              <w:t>Ejercicio 2016</w:t>
            </w:r>
          </w:p>
        </w:tc>
        <w:tc>
          <w:tcPr>
            <w:tcW w:w="1900" w:type="dxa"/>
            <w:tcBorders>
              <w:top w:val="nil"/>
              <w:left w:val="nil"/>
              <w:bottom w:val="single" w:sz="4" w:space="0" w:color="auto"/>
              <w:right w:val="single" w:sz="4" w:space="0" w:color="auto"/>
            </w:tcBorders>
            <w:shd w:val="clear" w:color="auto" w:fill="auto"/>
            <w:noWrap/>
            <w:vAlign w:val="center"/>
            <w:hideMark/>
          </w:tcPr>
          <w:p w:rsidR="001F3890" w:rsidRPr="00710A06" w:rsidRDefault="001F3890" w:rsidP="00C45465">
            <w:pPr>
              <w:spacing w:after="0" w:line="360" w:lineRule="auto"/>
              <w:jc w:val="right"/>
              <w:rPr>
                <w:rFonts w:ascii="Arial" w:hAnsi="Arial" w:cs="Arial"/>
                <w:color w:val="000000"/>
                <w:sz w:val="18"/>
                <w:lang w:eastAsia="es-MX"/>
              </w:rPr>
            </w:pPr>
            <w:r w:rsidRPr="00710A06">
              <w:rPr>
                <w:rFonts w:ascii="Arial" w:hAnsi="Arial" w:cs="Arial"/>
                <w:color w:val="000000"/>
                <w:sz w:val="18"/>
                <w:lang w:eastAsia="es-MX"/>
              </w:rPr>
              <w:t xml:space="preserve">248.9 </w:t>
            </w:r>
          </w:p>
        </w:tc>
      </w:tr>
      <w:tr w:rsidR="001F3890" w:rsidRPr="00710A06" w:rsidTr="00710A06">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1F3890" w:rsidRPr="00710A06" w:rsidRDefault="001F3890" w:rsidP="00C45465">
            <w:pPr>
              <w:spacing w:after="0" w:line="360" w:lineRule="auto"/>
              <w:jc w:val="center"/>
              <w:rPr>
                <w:rFonts w:ascii="Arial" w:hAnsi="Arial" w:cs="Arial"/>
                <w:b/>
                <w:bCs/>
                <w:color w:val="000000"/>
                <w:sz w:val="18"/>
                <w:lang w:eastAsia="es-MX"/>
              </w:rPr>
            </w:pPr>
            <w:r w:rsidRPr="00710A06">
              <w:rPr>
                <w:rFonts w:ascii="Arial" w:hAnsi="Arial" w:cs="Arial"/>
                <w:b/>
                <w:bCs/>
                <w:color w:val="000000"/>
                <w:sz w:val="18"/>
                <w:lang w:eastAsia="es-MX"/>
              </w:rPr>
              <w:t>Ejercicio 2017*</w:t>
            </w:r>
          </w:p>
        </w:tc>
        <w:tc>
          <w:tcPr>
            <w:tcW w:w="1900" w:type="dxa"/>
            <w:tcBorders>
              <w:top w:val="nil"/>
              <w:left w:val="nil"/>
              <w:bottom w:val="single" w:sz="4" w:space="0" w:color="auto"/>
              <w:right w:val="single" w:sz="4" w:space="0" w:color="auto"/>
            </w:tcBorders>
            <w:shd w:val="clear" w:color="auto" w:fill="auto"/>
            <w:noWrap/>
            <w:vAlign w:val="bottom"/>
          </w:tcPr>
          <w:p w:rsidR="001F3890" w:rsidRPr="00710A06" w:rsidRDefault="001F3890" w:rsidP="00C45465">
            <w:pPr>
              <w:spacing w:after="0" w:line="360" w:lineRule="auto"/>
              <w:jc w:val="right"/>
              <w:rPr>
                <w:rFonts w:ascii="Arial" w:hAnsi="Arial" w:cs="Arial"/>
                <w:bCs/>
                <w:color w:val="000000"/>
                <w:sz w:val="18"/>
                <w:lang w:eastAsia="es-MX"/>
              </w:rPr>
            </w:pPr>
            <w:r w:rsidRPr="00710A06">
              <w:rPr>
                <w:rFonts w:ascii="Arial" w:hAnsi="Arial" w:cs="Arial"/>
                <w:bCs/>
                <w:color w:val="000000"/>
                <w:sz w:val="18"/>
                <w:lang w:eastAsia="es-MX"/>
              </w:rPr>
              <w:t>176.1</w:t>
            </w:r>
          </w:p>
        </w:tc>
      </w:tr>
      <w:tr w:rsidR="001F3890" w:rsidRPr="00710A06" w:rsidTr="00710A06">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1F3890" w:rsidRPr="00710A06" w:rsidRDefault="001F3890" w:rsidP="00C45465">
            <w:pPr>
              <w:spacing w:after="0" w:line="360" w:lineRule="auto"/>
              <w:jc w:val="center"/>
              <w:rPr>
                <w:rFonts w:ascii="Arial" w:hAnsi="Arial" w:cs="Arial"/>
                <w:b/>
                <w:bCs/>
                <w:color w:val="000000"/>
                <w:sz w:val="18"/>
                <w:lang w:eastAsia="es-MX"/>
              </w:rPr>
            </w:pPr>
            <w:r w:rsidRPr="00710A06">
              <w:rPr>
                <w:rFonts w:ascii="Arial" w:hAnsi="Arial" w:cs="Arial"/>
                <w:b/>
                <w:bCs/>
                <w:color w:val="000000"/>
                <w:sz w:val="18"/>
                <w:lang w:eastAsia="es-MX"/>
              </w:rPr>
              <w:t>SUMA</w:t>
            </w:r>
          </w:p>
        </w:tc>
        <w:tc>
          <w:tcPr>
            <w:tcW w:w="1900" w:type="dxa"/>
            <w:tcBorders>
              <w:top w:val="nil"/>
              <w:left w:val="nil"/>
              <w:bottom w:val="single" w:sz="4" w:space="0" w:color="auto"/>
              <w:right w:val="single" w:sz="4" w:space="0" w:color="auto"/>
            </w:tcBorders>
            <w:shd w:val="clear" w:color="auto" w:fill="auto"/>
            <w:noWrap/>
            <w:vAlign w:val="bottom"/>
            <w:hideMark/>
          </w:tcPr>
          <w:p w:rsidR="001F3890" w:rsidRPr="00710A06" w:rsidRDefault="001F3890" w:rsidP="00C45465">
            <w:pPr>
              <w:spacing w:after="0" w:line="360" w:lineRule="auto"/>
              <w:jc w:val="right"/>
              <w:rPr>
                <w:rFonts w:ascii="Arial" w:hAnsi="Arial" w:cs="Arial"/>
                <w:b/>
                <w:bCs/>
                <w:color w:val="000000"/>
                <w:sz w:val="18"/>
                <w:lang w:eastAsia="es-MX"/>
              </w:rPr>
            </w:pPr>
            <w:r w:rsidRPr="00710A06">
              <w:rPr>
                <w:rFonts w:ascii="Arial" w:hAnsi="Arial" w:cs="Arial"/>
                <w:b/>
                <w:bCs/>
                <w:color w:val="000000"/>
                <w:sz w:val="18"/>
                <w:lang w:eastAsia="es-MX"/>
              </w:rPr>
              <w:t xml:space="preserve">1,280.2 </w:t>
            </w:r>
          </w:p>
        </w:tc>
      </w:tr>
    </w:tbl>
    <w:p w:rsidR="001F3890" w:rsidRPr="00710A06" w:rsidRDefault="001F3890" w:rsidP="00C45465">
      <w:pPr>
        <w:spacing w:after="0" w:line="360" w:lineRule="auto"/>
        <w:jc w:val="center"/>
        <w:rPr>
          <w:rFonts w:ascii="Arial" w:hAnsi="Arial" w:cs="Arial"/>
          <w:b/>
          <w:sz w:val="16"/>
        </w:rPr>
      </w:pPr>
      <w:r w:rsidRPr="00710A06">
        <w:rPr>
          <w:rFonts w:ascii="Arial" w:hAnsi="Arial" w:cs="Arial"/>
          <w:b/>
          <w:sz w:val="16"/>
        </w:rPr>
        <w:t>* Cifras al Cierre del mes de Septiembre de 2017</w:t>
      </w:r>
    </w:p>
    <w:p w:rsidR="001F3890" w:rsidRPr="00710A06" w:rsidRDefault="001F3890" w:rsidP="00C45465">
      <w:pPr>
        <w:spacing w:after="0" w:line="360" w:lineRule="auto"/>
        <w:jc w:val="both"/>
        <w:rPr>
          <w:rFonts w:ascii="Arial" w:hAnsi="Arial" w:cs="Arial"/>
          <w:sz w:val="24"/>
        </w:rPr>
      </w:pPr>
    </w:p>
    <w:p w:rsidR="001F3890" w:rsidRPr="00710A06" w:rsidRDefault="001F3890" w:rsidP="00C45465">
      <w:pPr>
        <w:spacing w:after="0" w:line="360" w:lineRule="auto"/>
        <w:jc w:val="both"/>
        <w:rPr>
          <w:rFonts w:ascii="Arial" w:hAnsi="Arial" w:cs="Arial"/>
          <w:sz w:val="24"/>
        </w:rPr>
      </w:pPr>
      <w:r w:rsidRPr="00710A06">
        <w:rPr>
          <w:rFonts w:ascii="Arial" w:hAnsi="Arial" w:cs="Arial"/>
          <w:sz w:val="24"/>
        </w:rPr>
        <w:t>El Gobierno del Estado, tiene como prioridad sanear el Sistema Estatal de Pensiones garantizando la solvencia de la Institución e impulsando el otorgamiento y recuperación de créditos. En los últimos años se han realizado las aportaciones siguientes:</w:t>
      </w:r>
    </w:p>
    <w:p w:rsidR="009B3D50" w:rsidRPr="00710A06" w:rsidRDefault="009B3D50" w:rsidP="00C45465">
      <w:pPr>
        <w:spacing w:after="0" w:line="360" w:lineRule="auto"/>
        <w:jc w:val="both"/>
        <w:rPr>
          <w:rFonts w:ascii="Arial" w:hAnsi="Arial" w:cs="Arial"/>
          <w:sz w:val="24"/>
        </w:rPr>
      </w:pPr>
    </w:p>
    <w:tbl>
      <w:tblPr>
        <w:tblW w:w="4064" w:type="dxa"/>
        <w:jc w:val="center"/>
        <w:tblCellMar>
          <w:left w:w="70" w:type="dxa"/>
          <w:right w:w="70" w:type="dxa"/>
        </w:tblCellMar>
        <w:tblLook w:val="04A0" w:firstRow="1" w:lastRow="0" w:firstColumn="1" w:lastColumn="0" w:noHBand="0" w:noVBand="1"/>
      </w:tblPr>
      <w:tblGrid>
        <w:gridCol w:w="1560"/>
        <w:gridCol w:w="2504"/>
      </w:tblGrid>
      <w:tr w:rsidR="001F3890" w:rsidRPr="00710A06" w:rsidTr="00710A06">
        <w:trPr>
          <w:trHeight w:val="839"/>
          <w:jc w:val="center"/>
        </w:trPr>
        <w:tc>
          <w:tcPr>
            <w:tcW w:w="1560" w:type="dxa"/>
            <w:tcBorders>
              <w:top w:val="single" w:sz="4" w:space="0" w:color="auto"/>
              <w:left w:val="single" w:sz="4" w:space="0" w:color="auto"/>
              <w:bottom w:val="single" w:sz="4" w:space="0" w:color="auto"/>
              <w:right w:val="single" w:sz="4" w:space="0" w:color="auto"/>
            </w:tcBorders>
            <w:shd w:val="clear" w:color="000000" w:fill="70AD47"/>
            <w:noWrap/>
            <w:vAlign w:val="center"/>
            <w:hideMark/>
          </w:tcPr>
          <w:p w:rsidR="001F3890" w:rsidRPr="00710A06" w:rsidRDefault="001F3890" w:rsidP="00C45465">
            <w:pPr>
              <w:spacing w:after="0" w:line="360" w:lineRule="auto"/>
              <w:jc w:val="center"/>
              <w:rPr>
                <w:rFonts w:ascii="Arial" w:hAnsi="Arial" w:cs="Arial"/>
                <w:b/>
                <w:bCs/>
                <w:color w:val="000000"/>
                <w:sz w:val="18"/>
                <w:lang w:eastAsia="es-MX"/>
              </w:rPr>
            </w:pPr>
            <w:r w:rsidRPr="00710A06">
              <w:rPr>
                <w:rFonts w:ascii="Arial" w:hAnsi="Arial" w:cs="Arial"/>
                <w:b/>
                <w:bCs/>
                <w:color w:val="000000"/>
                <w:sz w:val="18"/>
                <w:lang w:eastAsia="es-MX"/>
              </w:rPr>
              <w:t>AÑO</w:t>
            </w:r>
          </w:p>
        </w:tc>
        <w:tc>
          <w:tcPr>
            <w:tcW w:w="2504" w:type="dxa"/>
            <w:tcBorders>
              <w:top w:val="single" w:sz="4" w:space="0" w:color="auto"/>
              <w:left w:val="nil"/>
              <w:bottom w:val="single" w:sz="4" w:space="0" w:color="auto"/>
              <w:right w:val="single" w:sz="4" w:space="0" w:color="auto"/>
            </w:tcBorders>
            <w:shd w:val="clear" w:color="000000" w:fill="70AD47"/>
            <w:vAlign w:val="center"/>
            <w:hideMark/>
          </w:tcPr>
          <w:p w:rsidR="001F3890" w:rsidRPr="00710A06" w:rsidRDefault="001F3890" w:rsidP="00C45465">
            <w:pPr>
              <w:spacing w:after="0" w:line="360" w:lineRule="auto"/>
              <w:jc w:val="center"/>
              <w:rPr>
                <w:rFonts w:ascii="Arial" w:hAnsi="Arial" w:cs="Arial"/>
                <w:b/>
                <w:bCs/>
                <w:color w:val="000000"/>
                <w:sz w:val="18"/>
                <w:lang w:eastAsia="es-MX"/>
              </w:rPr>
            </w:pPr>
            <w:r w:rsidRPr="00710A06">
              <w:rPr>
                <w:rFonts w:ascii="Arial" w:hAnsi="Arial" w:cs="Arial"/>
                <w:b/>
                <w:bCs/>
                <w:color w:val="000000"/>
                <w:sz w:val="18"/>
                <w:lang w:eastAsia="es-MX"/>
              </w:rPr>
              <w:t>FONDO DE CRÉDITOS (MDP)</w:t>
            </w:r>
          </w:p>
        </w:tc>
      </w:tr>
      <w:tr w:rsidR="001F3890" w:rsidRPr="00710A06" w:rsidTr="00710A06">
        <w:trPr>
          <w:trHeight w:val="47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3890" w:rsidRPr="00710A06" w:rsidRDefault="001F3890" w:rsidP="00C45465">
            <w:pPr>
              <w:spacing w:after="0" w:line="360" w:lineRule="auto"/>
              <w:rPr>
                <w:rFonts w:ascii="Arial" w:hAnsi="Arial" w:cs="Arial"/>
                <w:b/>
                <w:bCs/>
                <w:color w:val="000000"/>
                <w:sz w:val="18"/>
                <w:lang w:eastAsia="es-MX"/>
              </w:rPr>
            </w:pPr>
            <w:r w:rsidRPr="00710A06">
              <w:rPr>
                <w:rFonts w:ascii="Arial" w:hAnsi="Arial" w:cs="Arial"/>
                <w:b/>
                <w:bCs/>
                <w:color w:val="000000"/>
                <w:sz w:val="18"/>
                <w:lang w:eastAsia="es-MX"/>
              </w:rPr>
              <w:t>Ejercicio 2013</w:t>
            </w:r>
          </w:p>
        </w:tc>
        <w:tc>
          <w:tcPr>
            <w:tcW w:w="2504" w:type="dxa"/>
            <w:tcBorders>
              <w:top w:val="nil"/>
              <w:left w:val="nil"/>
              <w:bottom w:val="single" w:sz="4" w:space="0" w:color="auto"/>
              <w:right w:val="single" w:sz="4" w:space="0" w:color="auto"/>
            </w:tcBorders>
            <w:shd w:val="clear" w:color="auto" w:fill="auto"/>
            <w:noWrap/>
            <w:vAlign w:val="center"/>
            <w:hideMark/>
          </w:tcPr>
          <w:p w:rsidR="001F3890" w:rsidRPr="00710A06" w:rsidRDefault="001F3890" w:rsidP="00C45465">
            <w:pPr>
              <w:spacing w:after="0" w:line="360" w:lineRule="auto"/>
              <w:jc w:val="right"/>
              <w:rPr>
                <w:rFonts w:ascii="Arial" w:hAnsi="Arial" w:cs="Arial"/>
                <w:color w:val="000000"/>
                <w:sz w:val="18"/>
                <w:lang w:eastAsia="es-MX"/>
              </w:rPr>
            </w:pPr>
            <w:r w:rsidRPr="00710A06">
              <w:rPr>
                <w:rFonts w:ascii="Arial" w:hAnsi="Arial" w:cs="Arial"/>
                <w:color w:val="000000"/>
                <w:sz w:val="18"/>
                <w:lang w:eastAsia="es-MX"/>
              </w:rPr>
              <w:t>70.0</w:t>
            </w:r>
          </w:p>
        </w:tc>
      </w:tr>
      <w:tr w:rsidR="001F3890" w:rsidRPr="00710A06" w:rsidTr="00710A06">
        <w:trPr>
          <w:trHeight w:val="51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3890" w:rsidRPr="00710A06" w:rsidRDefault="001F3890" w:rsidP="00C45465">
            <w:pPr>
              <w:spacing w:after="0" w:line="360" w:lineRule="auto"/>
              <w:rPr>
                <w:rFonts w:ascii="Arial" w:hAnsi="Arial" w:cs="Arial"/>
                <w:b/>
                <w:bCs/>
                <w:color w:val="000000"/>
                <w:sz w:val="18"/>
                <w:lang w:eastAsia="es-MX"/>
              </w:rPr>
            </w:pPr>
            <w:r w:rsidRPr="00710A06">
              <w:rPr>
                <w:rFonts w:ascii="Arial" w:hAnsi="Arial" w:cs="Arial"/>
                <w:b/>
                <w:bCs/>
                <w:color w:val="000000"/>
                <w:sz w:val="18"/>
                <w:lang w:eastAsia="es-MX"/>
              </w:rPr>
              <w:t>Ejercicio 2014</w:t>
            </w:r>
          </w:p>
        </w:tc>
        <w:tc>
          <w:tcPr>
            <w:tcW w:w="2504" w:type="dxa"/>
            <w:tcBorders>
              <w:top w:val="nil"/>
              <w:left w:val="nil"/>
              <w:bottom w:val="single" w:sz="4" w:space="0" w:color="auto"/>
              <w:right w:val="single" w:sz="4" w:space="0" w:color="auto"/>
            </w:tcBorders>
            <w:shd w:val="clear" w:color="auto" w:fill="auto"/>
            <w:noWrap/>
            <w:vAlign w:val="center"/>
            <w:hideMark/>
          </w:tcPr>
          <w:p w:rsidR="001F3890" w:rsidRPr="00710A06" w:rsidRDefault="001F3890" w:rsidP="00C45465">
            <w:pPr>
              <w:spacing w:after="0" w:line="360" w:lineRule="auto"/>
              <w:jc w:val="right"/>
              <w:rPr>
                <w:rFonts w:ascii="Arial" w:hAnsi="Arial" w:cs="Arial"/>
                <w:color w:val="000000"/>
                <w:sz w:val="18"/>
                <w:lang w:eastAsia="es-MX"/>
              </w:rPr>
            </w:pPr>
            <w:r w:rsidRPr="00710A06">
              <w:rPr>
                <w:rFonts w:ascii="Arial" w:hAnsi="Arial" w:cs="Arial"/>
                <w:color w:val="000000"/>
                <w:sz w:val="18"/>
                <w:lang w:eastAsia="es-MX"/>
              </w:rPr>
              <w:t>21.0</w:t>
            </w:r>
          </w:p>
        </w:tc>
      </w:tr>
      <w:tr w:rsidR="001F3890" w:rsidRPr="00710A06" w:rsidTr="00710A06">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3890" w:rsidRPr="00710A06" w:rsidRDefault="001F3890" w:rsidP="00C45465">
            <w:pPr>
              <w:spacing w:after="0" w:line="360" w:lineRule="auto"/>
              <w:rPr>
                <w:rFonts w:ascii="Arial" w:hAnsi="Arial" w:cs="Arial"/>
                <w:b/>
                <w:bCs/>
                <w:color w:val="000000"/>
                <w:sz w:val="18"/>
                <w:lang w:eastAsia="es-MX"/>
              </w:rPr>
            </w:pPr>
            <w:r w:rsidRPr="00710A06">
              <w:rPr>
                <w:rFonts w:ascii="Arial" w:hAnsi="Arial" w:cs="Arial"/>
                <w:b/>
                <w:bCs/>
                <w:color w:val="000000"/>
                <w:sz w:val="18"/>
                <w:lang w:eastAsia="es-MX"/>
              </w:rPr>
              <w:t>Ejercicio 2016</w:t>
            </w:r>
          </w:p>
        </w:tc>
        <w:tc>
          <w:tcPr>
            <w:tcW w:w="2504" w:type="dxa"/>
            <w:tcBorders>
              <w:top w:val="nil"/>
              <w:left w:val="nil"/>
              <w:bottom w:val="single" w:sz="4" w:space="0" w:color="auto"/>
              <w:right w:val="single" w:sz="4" w:space="0" w:color="auto"/>
            </w:tcBorders>
            <w:shd w:val="clear" w:color="auto" w:fill="auto"/>
            <w:noWrap/>
            <w:vAlign w:val="center"/>
            <w:hideMark/>
          </w:tcPr>
          <w:p w:rsidR="001F3890" w:rsidRPr="00710A06" w:rsidRDefault="001F3890" w:rsidP="00C45465">
            <w:pPr>
              <w:spacing w:after="0" w:line="360" w:lineRule="auto"/>
              <w:jc w:val="right"/>
              <w:rPr>
                <w:rFonts w:ascii="Arial" w:hAnsi="Arial" w:cs="Arial"/>
                <w:b/>
                <w:bCs/>
                <w:color w:val="000000"/>
                <w:sz w:val="18"/>
                <w:lang w:eastAsia="es-MX"/>
              </w:rPr>
            </w:pPr>
            <w:r w:rsidRPr="00710A06">
              <w:rPr>
                <w:rFonts w:ascii="Arial" w:hAnsi="Arial" w:cs="Arial"/>
                <w:b/>
                <w:bCs/>
                <w:color w:val="000000"/>
                <w:sz w:val="18"/>
                <w:lang w:eastAsia="es-MX"/>
              </w:rPr>
              <w:t>59.0</w:t>
            </w:r>
          </w:p>
        </w:tc>
      </w:tr>
      <w:tr w:rsidR="001F3890" w:rsidRPr="00710A06" w:rsidTr="00710A06">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rsidR="001F3890" w:rsidRPr="00710A06" w:rsidRDefault="001F3890" w:rsidP="00C45465">
            <w:pPr>
              <w:spacing w:after="0" w:line="360" w:lineRule="auto"/>
              <w:jc w:val="center"/>
              <w:rPr>
                <w:rFonts w:ascii="Arial" w:hAnsi="Arial" w:cs="Arial"/>
                <w:b/>
                <w:bCs/>
                <w:color w:val="000000"/>
                <w:sz w:val="18"/>
                <w:lang w:eastAsia="es-MX"/>
              </w:rPr>
            </w:pPr>
            <w:r w:rsidRPr="00710A06">
              <w:rPr>
                <w:rFonts w:ascii="Arial" w:hAnsi="Arial" w:cs="Arial"/>
                <w:b/>
                <w:bCs/>
                <w:color w:val="000000"/>
                <w:sz w:val="18"/>
                <w:lang w:eastAsia="es-MX"/>
              </w:rPr>
              <w:t>Ejercicio 2017*</w:t>
            </w:r>
          </w:p>
        </w:tc>
        <w:tc>
          <w:tcPr>
            <w:tcW w:w="2504" w:type="dxa"/>
            <w:tcBorders>
              <w:top w:val="nil"/>
              <w:left w:val="nil"/>
              <w:bottom w:val="single" w:sz="4" w:space="0" w:color="auto"/>
              <w:right w:val="single" w:sz="4" w:space="0" w:color="auto"/>
            </w:tcBorders>
            <w:shd w:val="clear" w:color="auto" w:fill="auto"/>
            <w:noWrap/>
            <w:vAlign w:val="center"/>
          </w:tcPr>
          <w:p w:rsidR="001F3890" w:rsidRPr="00710A06" w:rsidRDefault="001F3890" w:rsidP="00C45465">
            <w:pPr>
              <w:spacing w:after="0" w:line="360" w:lineRule="auto"/>
              <w:jc w:val="right"/>
              <w:rPr>
                <w:rFonts w:ascii="Arial" w:hAnsi="Arial" w:cs="Arial"/>
                <w:b/>
                <w:bCs/>
                <w:color w:val="000000"/>
                <w:sz w:val="18"/>
                <w:lang w:eastAsia="es-MX"/>
              </w:rPr>
            </w:pPr>
            <w:r w:rsidRPr="00710A06">
              <w:rPr>
                <w:rFonts w:ascii="Arial" w:hAnsi="Arial" w:cs="Arial"/>
                <w:b/>
                <w:bCs/>
                <w:color w:val="000000"/>
                <w:sz w:val="18"/>
                <w:lang w:eastAsia="es-MX"/>
              </w:rPr>
              <w:t>0.0</w:t>
            </w:r>
          </w:p>
        </w:tc>
      </w:tr>
      <w:tr w:rsidR="001F3890" w:rsidRPr="00710A06" w:rsidTr="00710A06">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3890" w:rsidRPr="00710A06" w:rsidRDefault="001F3890" w:rsidP="00C45465">
            <w:pPr>
              <w:spacing w:after="0" w:line="360" w:lineRule="auto"/>
              <w:jc w:val="center"/>
              <w:rPr>
                <w:rFonts w:ascii="Arial" w:hAnsi="Arial" w:cs="Arial"/>
                <w:b/>
                <w:bCs/>
                <w:color w:val="000000"/>
                <w:sz w:val="18"/>
                <w:lang w:eastAsia="es-MX"/>
              </w:rPr>
            </w:pPr>
            <w:r w:rsidRPr="00710A06">
              <w:rPr>
                <w:rFonts w:ascii="Arial" w:hAnsi="Arial" w:cs="Arial"/>
                <w:b/>
                <w:bCs/>
                <w:color w:val="000000"/>
                <w:sz w:val="18"/>
                <w:lang w:eastAsia="es-MX"/>
              </w:rPr>
              <w:t>SUMA</w:t>
            </w:r>
          </w:p>
        </w:tc>
        <w:tc>
          <w:tcPr>
            <w:tcW w:w="2504" w:type="dxa"/>
            <w:tcBorders>
              <w:top w:val="nil"/>
              <w:left w:val="nil"/>
              <w:bottom w:val="single" w:sz="4" w:space="0" w:color="auto"/>
              <w:right w:val="single" w:sz="4" w:space="0" w:color="auto"/>
            </w:tcBorders>
            <w:shd w:val="clear" w:color="auto" w:fill="auto"/>
            <w:noWrap/>
            <w:vAlign w:val="center"/>
            <w:hideMark/>
          </w:tcPr>
          <w:p w:rsidR="001F3890" w:rsidRPr="00710A06" w:rsidRDefault="001F3890" w:rsidP="00C45465">
            <w:pPr>
              <w:spacing w:after="0" w:line="360" w:lineRule="auto"/>
              <w:jc w:val="right"/>
              <w:rPr>
                <w:rFonts w:ascii="Arial" w:hAnsi="Arial" w:cs="Arial"/>
                <w:b/>
                <w:bCs/>
                <w:color w:val="000000"/>
                <w:sz w:val="18"/>
                <w:lang w:eastAsia="es-MX"/>
              </w:rPr>
            </w:pPr>
            <w:r w:rsidRPr="00710A06">
              <w:rPr>
                <w:rFonts w:ascii="Arial" w:hAnsi="Arial" w:cs="Arial"/>
                <w:b/>
                <w:bCs/>
                <w:color w:val="000000"/>
                <w:sz w:val="18"/>
                <w:lang w:eastAsia="es-MX"/>
              </w:rPr>
              <w:t>150.0</w:t>
            </w:r>
          </w:p>
        </w:tc>
      </w:tr>
    </w:tbl>
    <w:p w:rsidR="001F3890" w:rsidRPr="00710A06" w:rsidRDefault="001F3890" w:rsidP="00C45465">
      <w:pPr>
        <w:spacing w:after="0" w:line="360" w:lineRule="auto"/>
        <w:ind w:left="2410"/>
        <w:rPr>
          <w:rFonts w:ascii="Arial" w:hAnsi="Arial" w:cs="Arial"/>
          <w:b/>
          <w:sz w:val="16"/>
          <w:szCs w:val="16"/>
        </w:rPr>
      </w:pPr>
      <w:r w:rsidRPr="00710A06">
        <w:rPr>
          <w:rFonts w:ascii="Arial" w:hAnsi="Arial" w:cs="Arial"/>
          <w:b/>
          <w:sz w:val="16"/>
          <w:szCs w:val="16"/>
        </w:rPr>
        <w:t>* Cifras estimadas al cierre</w:t>
      </w:r>
    </w:p>
    <w:p w:rsidR="001F3890" w:rsidRPr="00710A06" w:rsidRDefault="001F3890" w:rsidP="00C45465">
      <w:pPr>
        <w:spacing w:after="0" w:line="360" w:lineRule="auto"/>
        <w:jc w:val="both"/>
        <w:rPr>
          <w:rFonts w:ascii="Arial" w:hAnsi="Arial" w:cs="Arial"/>
          <w:b/>
        </w:rPr>
      </w:pPr>
      <w:r w:rsidRPr="00710A06">
        <w:rPr>
          <w:rFonts w:ascii="Arial" w:hAnsi="Arial" w:cs="Arial"/>
          <w:b/>
          <w:noProof/>
          <w:lang w:eastAsia="es-MX"/>
        </w:rPr>
        <w:lastRenderedPageBreak/>
        <w:drawing>
          <wp:inline distT="0" distB="0" distL="0" distR="0" wp14:anchorId="7478CF49" wp14:editId="59B509F3">
            <wp:extent cx="5295551" cy="285750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24483" cy="2873112"/>
                    </a:xfrm>
                    <a:prstGeom prst="rect">
                      <a:avLst/>
                    </a:prstGeom>
                    <a:noFill/>
                  </pic:spPr>
                </pic:pic>
              </a:graphicData>
            </a:graphic>
          </wp:inline>
        </w:drawing>
      </w:r>
    </w:p>
    <w:p w:rsidR="001F3890" w:rsidRPr="00710A06" w:rsidRDefault="001F3890" w:rsidP="00C45465">
      <w:pPr>
        <w:spacing w:after="0" w:line="360" w:lineRule="auto"/>
        <w:jc w:val="both"/>
        <w:rPr>
          <w:rFonts w:ascii="Arial" w:hAnsi="Arial" w:cs="Arial"/>
          <w:b/>
          <w:sz w:val="24"/>
          <w:szCs w:val="24"/>
        </w:rPr>
      </w:pPr>
    </w:p>
    <w:p w:rsidR="001F3890" w:rsidRPr="00710A06" w:rsidRDefault="001F3890" w:rsidP="00C45465">
      <w:pPr>
        <w:spacing w:after="0" w:line="360" w:lineRule="auto"/>
        <w:jc w:val="both"/>
        <w:rPr>
          <w:rFonts w:ascii="Arial" w:hAnsi="Arial" w:cs="Arial"/>
          <w:b/>
          <w:sz w:val="24"/>
          <w:szCs w:val="24"/>
        </w:rPr>
      </w:pPr>
      <w:r w:rsidRPr="00710A06">
        <w:rPr>
          <w:rFonts w:ascii="Arial" w:hAnsi="Arial" w:cs="Arial"/>
          <w:b/>
          <w:sz w:val="24"/>
          <w:szCs w:val="24"/>
        </w:rPr>
        <w:t>CONCLUSIÓN</w:t>
      </w:r>
    </w:p>
    <w:p w:rsidR="001F3890" w:rsidRPr="00710A06" w:rsidRDefault="001F3890" w:rsidP="00C45465">
      <w:pPr>
        <w:spacing w:after="0" w:line="360" w:lineRule="auto"/>
        <w:ind w:left="-11"/>
        <w:jc w:val="both"/>
        <w:rPr>
          <w:rFonts w:ascii="Arial" w:hAnsi="Arial" w:cs="Arial"/>
          <w:sz w:val="24"/>
          <w:szCs w:val="24"/>
        </w:rPr>
      </w:pPr>
    </w:p>
    <w:p w:rsidR="001F3890" w:rsidRPr="00710A06" w:rsidRDefault="001F3890" w:rsidP="00C45465">
      <w:pPr>
        <w:spacing w:after="0" w:line="360" w:lineRule="auto"/>
        <w:ind w:left="-11"/>
        <w:jc w:val="both"/>
        <w:rPr>
          <w:rFonts w:ascii="Arial" w:hAnsi="Arial" w:cs="Arial"/>
          <w:sz w:val="24"/>
          <w:szCs w:val="24"/>
        </w:rPr>
      </w:pPr>
      <w:r w:rsidRPr="00710A06">
        <w:rPr>
          <w:rFonts w:ascii="Arial" w:hAnsi="Arial" w:cs="Arial"/>
          <w:sz w:val="24"/>
          <w:szCs w:val="24"/>
        </w:rPr>
        <w:t>El desarrollo económico y el mejoramiento de la calidad de vida de los habitantes del estado requieren tomar acciones estratégicas en diversos frentes, tomando en cuenta la visión de largo plazo, las ventajas competitivas de la entidad, las políticas que han funcionado bien, las deficiencias y limitantes en el patrón de desarrollo actual, así como las oportunidades y amenazas que generan los cambios en el entorno económico regional, nacional e internacional</w:t>
      </w:r>
    </w:p>
    <w:p w:rsidR="001F3890" w:rsidRPr="00710A06" w:rsidRDefault="001F3890" w:rsidP="00C45465">
      <w:pPr>
        <w:spacing w:after="0" w:line="360" w:lineRule="auto"/>
        <w:ind w:left="-11"/>
        <w:jc w:val="both"/>
        <w:rPr>
          <w:rFonts w:ascii="Arial" w:hAnsi="Arial" w:cs="Arial"/>
          <w:sz w:val="24"/>
          <w:szCs w:val="24"/>
        </w:rPr>
      </w:pPr>
    </w:p>
    <w:p w:rsidR="001F3890" w:rsidRPr="00710A06" w:rsidRDefault="001F3890" w:rsidP="00C45465">
      <w:pPr>
        <w:spacing w:after="0" w:line="360" w:lineRule="auto"/>
        <w:ind w:left="-11"/>
        <w:jc w:val="both"/>
        <w:rPr>
          <w:rFonts w:ascii="Arial" w:hAnsi="Arial" w:cs="Arial"/>
          <w:sz w:val="24"/>
          <w:szCs w:val="24"/>
        </w:rPr>
      </w:pPr>
      <w:r w:rsidRPr="00710A06">
        <w:rPr>
          <w:rFonts w:ascii="Arial" w:hAnsi="Arial" w:cs="Arial"/>
          <w:sz w:val="24"/>
          <w:szCs w:val="24"/>
        </w:rPr>
        <w:t>Por ello, las acciones de gobierno en este ámbito, forman parte de una estrategia integral que considera como punto de partida, la realidad económica del estado, sus fortalezas y los retos a enfrentar en los próximos años para garantizar un mejoramiento en la vida de todos los tlaxcaltecas.</w:t>
      </w:r>
    </w:p>
    <w:p w:rsidR="001F3890" w:rsidRPr="00710A06" w:rsidRDefault="001F3890" w:rsidP="00C45465">
      <w:pPr>
        <w:spacing w:after="0" w:line="360" w:lineRule="auto"/>
        <w:ind w:left="-11"/>
        <w:jc w:val="both"/>
        <w:rPr>
          <w:rFonts w:ascii="Arial" w:hAnsi="Arial" w:cs="Arial"/>
          <w:sz w:val="24"/>
          <w:szCs w:val="24"/>
        </w:rPr>
      </w:pPr>
    </w:p>
    <w:p w:rsidR="001F3890" w:rsidRPr="00710A06" w:rsidRDefault="001F3890" w:rsidP="00C45465">
      <w:pPr>
        <w:spacing w:after="0" w:line="360" w:lineRule="auto"/>
        <w:ind w:left="-11"/>
        <w:jc w:val="both"/>
        <w:rPr>
          <w:rFonts w:ascii="Arial" w:hAnsi="Arial" w:cs="Arial"/>
          <w:sz w:val="24"/>
          <w:szCs w:val="24"/>
        </w:rPr>
      </w:pPr>
      <w:r w:rsidRPr="00710A06">
        <w:rPr>
          <w:rFonts w:ascii="Arial" w:hAnsi="Arial" w:cs="Arial"/>
          <w:sz w:val="24"/>
          <w:szCs w:val="24"/>
        </w:rPr>
        <w:lastRenderedPageBreak/>
        <w:t xml:space="preserve">La ciudadanía de Tlaxcala demanda activamente contar con un gobierno honesto que funcione basado en principios de integridad y respeto a la legalidad. Los tlaxcaltecas tienen derecho a una administración pública eficaz, que funcione correctamente para satisfacer las necesidades de la sociedad y que trabaje apegada a la ley. </w:t>
      </w:r>
    </w:p>
    <w:p w:rsidR="001F3890" w:rsidRPr="00710A06" w:rsidRDefault="001F3890" w:rsidP="00C45465">
      <w:pPr>
        <w:spacing w:after="0" w:line="360" w:lineRule="auto"/>
        <w:ind w:left="-11"/>
        <w:jc w:val="both"/>
        <w:rPr>
          <w:rFonts w:ascii="Arial" w:hAnsi="Arial" w:cs="Arial"/>
          <w:sz w:val="24"/>
          <w:szCs w:val="24"/>
        </w:rPr>
      </w:pPr>
    </w:p>
    <w:p w:rsidR="001F3890" w:rsidRPr="00710A06" w:rsidRDefault="001F3890" w:rsidP="00C45465">
      <w:pPr>
        <w:spacing w:after="0" w:line="360" w:lineRule="auto"/>
        <w:ind w:left="-11"/>
        <w:jc w:val="both"/>
        <w:rPr>
          <w:rFonts w:ascii="Arial" w:hAnsi="Arial" w:cs="Arial"/>
          <w:sz w:val="24"/>
          <w:szCs w:val="24"/>
        </w:rPr>
      </w:pPr>
      <w:r w:rsidRPr="00710A06">
        <w:rPr>
          <w:rFonts w:ascii="Arial" w:hAnsi="Arial" w:cs="Arial"/>
          <w:sz w:val="24"/>
          <w:szCs w:val="24"/>
        </w:rPr>
        <w:t>Un gobierno moderno, capaz y eficiente no puede lograr todo esto sin la colaboración de la ciudadanía y un nuevo modelo de gobernanza fundado en esquemas bien articulados para incorporar las demandas, planteamientos y propuestas de los ciudadanos, así como de otros actores relevantes en la toma de decisiones públicas.</w:t>
      </w:r>
    </w:p>
    <w:p w:rsidR="001F3890" w:rsidRPr="00710A06" w:rsidRDefault="001F3890" w:rsidP="00C45465">
      <w:pPr>
        <w:spacing w:after="0" w:line="360" w:lineRule="auto"/>
        <w:ind w:left="-11"/>
        <w:jc w:val="both"/>
        <w:rPr>
          <w:rFonts w:ascii="Arial" w:hAnsi="Arial" w:cs="Arial"/>
          <w:sz w:val="24"/>
          <w:szCs w:val="24"/>
        </w:rPr>
      </w:pPr>
    </w:p>
    <w:p w:rsidR="001F3890" w:rsidRPr="00710A06" w:rsidRDefault="001F3890" w:rsidP="00C45465">
      <w:pPr>
        <w:spacing w:after="0" w:line="360" w:lineRule="auto"/>
        <w:ind w:left="-11"/>
        <w:jc w:val="both"/>
        <w:rPr>
          <w:rFonts w:ascii="Arial" w:hAnsi="Arial" w:cs="Arial"/>
          <w:sz w:val="24"/>
          <w:szCs w:val="24"/>
        </w:rPr>
      </w:pPr>
      <w:r w:rsidRPr="00710A06">
        <w:rPr>
          <w:rFonts w:ascii="Arial" w:hAnsi="Arial" w:cs="Arial"/>
          <w:sz w:val="24"/>
          <w:szCs w:val="24"/>
        </w:rPr>
        <w:t xml:space="preserve">Es por ello que esta Administración, implementará acciones que </w:t>
      </w:r>
      <w:proofErr w:type="spellStart"/>
      <w:r w:rsidRPr="00710A06">
        <w:rPr>
          <w:rFonts w:ascii="Arial" w:hAnsi="Arial" w:cs="Arial"/>
          <w:sz w:val="24"/>
          <w:szCs w:val="24"/>
        </w:rPr>
        <w:t>eficienten</w:t>
      </w:r>
      <w:proofErr w:type="spellEnd"/>
      <w:r w:rsidRPr="00710A06">
        <w:rPr>
          <w:rFonts w:ascii="Arial" w:hAnsi="Arial" w:cs="Arial"/>
          <w:sz w:val="24"/>
          <w:szCs w:val="24"/>
        </w:rPr>
        <w:t xml:space="preserve"> los procesos recaudatorios y de gestión lo cual implicará una mejora significativa al interior de los sistemas de recaudación permitiéndonos brindar más y mejores servicios, aunado a la no creación de nuevos impuestos y a la simplificación administrativa. Asimismo, en las consideraciones que incluye la presente Iniciativa, se da cumplimiento a las disposiciones en materia de contabilidad gubernamental, coordinación fiscal, disciplina financiera, fortalecimiento a la fiscalización, responsabilidad hacendaria, transparencia y rendición de cuentas. Tomando en consideración estos factores, y los postulados de los Criterios Generales de Política Económica 2018, la Iniciativa de Ley de Ingresos del Estado de Tlaxcala, para el Ejercicio Fiscal 2018, considera un pronóstico de ingresos prudente, observando la evolución de las finanzas estatales y de los posibles riesgos que pudieran modificar las metas planteadas, así como las medidas para contener dichos riesgos.</w:t>
      </w:r>
    </w:p>
    <w:p w:rsidR="001F3890" w:rsidRPr="00710A06" w:rsidRDefault="001F3890" w:rsidP="00C45465">
      <w:pPr>
        <w:spacing w:after="0" w:line="360" w:lineRule="auto"/>
        <w:ind w:left="-11"/>
        <w:jc w:val="both"/>
        <w:rPr>
          <w:rFonts w:ascii="Arial" w:hAnsi="Arial" w:cs="Arial"/>
          <w:sz w:val="24"/>
          <w:szCs w:val="24"/>
        </w:rPr>
      </w:pPr>
    </w:p>
    <w:p w:rsidR="001F3890" w:rsidRPr="00710A06" w:rsidRDefault="001F3890" w:rsidP="00C45465">
      <w:pPr>
        <w:spacing w:after="0" w:line="360" w:lineRule="auto"/>
        <w:ind w:left="-11"/>
        <w:jc w:val="both"/>
        <w:rPr>
          <w:rFonts w:ascii="Arial" w:hAnsi="Arial" w:cs="Arial"/>
          <w:sz w:val="24"/>
          <w:szCs w:val="24"/>
        </w:rPr>
      </w:pPr>
      <w:r w:rsidRPr="00710A06">
        <w:rPr>
          <w:rFonts w:ascii="Arial" w:hAnsi="Arial" w:cs="Arial"/>
          <w:sz w:val="24"/>
          <w:szCs w:val="24"/>
        </w:rPr>
        <w:lastRenderedPageBreak/>
        <w:t>Por lo anteriormente expuesto, a continuación se expresan los motivos que sustentan esta iniciativa, los cuales, se apegan a lo manifestado en los Criterios Generales de Política Económica del Estado y del Código Financiero para el Estado de Tlaxcala y sus Municipios.</w:t>
      </w:r>
    </w:p>
    <w:p w:rsidR="001F3890" w:rsidRPr="00710A06" w:rsidRDefault="001F3890" w:rsidP="00C45465">
      <w:pPr>
        <w:spacing w:after="0" w:line="360" w:lineRule="auto"/>
        <w:ind w:left="-11"/>
        <w:jc w:val="both"/>
        <w:rPr>
          <w:rFonts w:ascii="Arial" w:hAnsi="Arial" w:cs="Arial"/>
          <w:sz w:val="24"/>
          <w:szCs w:val="24"/>
        </w:rPr>
      </w:pPr>
    </w:p>
    <w:p w:rsidR="001F3890" w:rsidRDefault="001F3890" w:rsidP="00C45465">
      <w:pPr>
        <w:spacing w:after="0" w:line="360" w:lineRule="auto"/>
        <w:ind w:left="-11"/>
        <w:jc w:val="both"/>
        <w:rPr>
          <w:rFonts w:ascii="Arial" w:hAnsi="Arial" w:cs="Arial"/>
          <w:sz w:val="24"/>
          <w:szCs w:val="24"/>
        </w:rPr>
      </w:pPr>
      <w:r w:rsidRPr="00710A06">
        <w:rPr>
          <w:rFonts w:ascii="Arial" w:hAnsi="Arial" w:cs="Arial"/>
          <w:sz w:val="24"/>
          <w:szCs w:val="24"/>
        </w:rPr>
        <w:t>Las políticas y criterios considerados fueron los siguientes:</w:t>
      </w:r>
    </w:p>
    <w:p w:rsidR="00E40CB7" w:rsidRPr="00710A06" w:rsidRDefault="00E40CB7" w:rsidP="00C45465">
      <w:pPr>
        <w:spacing w:after="0" w:line="360" w:lineRule="auto"/>
        <w:ind w:left="-11"/>
        <w:jc w:val="both"/>
        <w:rPr>
          <w:rFonts w:ascii="Arial" w:hAnsi="Arial" w:cs="Arial"/>
          <w:sz w:val="24"/>
          <w:szCs w:val="24"/>
        </w:rPr>
      </w:pPr>
    </w:p>
    <w:p w:rsidR="001F3890" w:rsidRDefault="001F3890" w:rsidP="00C45465">
      <w:pPr>
        <w:pStyle w:val="Prrafodelista"/>
        <w:numPr>
          <w:ilvl w:val="0"/>
          <w:numId w:val="7"/>
        </w:numPr>
        <w:spacing w:after="0" w:line="360" w:lineRule="auto"/>
        <w:contextualSpacing w:val="0"/>
        <w:jc w:val="both"/>
        <w:rPr>
          <w:rFonts w:ascii="Arial" w:hAnsi="Arial" w:cs="Arial"/>
          <w:sz w:val="24"/>
          <w:szCs w:val="24"/>
        </w:rPr>
      </w:pPr>
      <w:r w:rsidRPr="00710A06">
        <w:rPr>
          <w:rFonts w:ascii="Arial" w:hAnsi="Arial" w:cs="Arial"/>
          <w:sz w:val="24"/>
          <w:szCs w:val="24"/>
        </w:rPr>
        <w:t>Cero endeudamiento</w:t>
      </w:r>
    </w:p>
    <w:p w:rsidR="00E40CB7" w:rsidRPr="00710A06" w:rsidRDefault="00E40CB7" w:rsidP="00E40CB7">
      <w:pPr>
        <w:pStyle w:val="Prrafodelista"/>
        <w:spacing w:after="0" w:line="360" w:lineRule="auto"/>
        <w:ind w:left="349"/>
        <w:contextualSpacing w:val="0"/>
        <w:jc w:val="both"/>
        <w:rPr>
          <w:rFonts w:ascii="Arial" w:hAnsi="Arial" w:cs="Arial"/>
          <w:sz w:val="24"/>
          <w:szCs w:val="24"/>
        </w:rPr>
      </w:pPr>
    </w:p>
    <w:p w:rsidR="001F3890" w:rsidRDefault="001F3890" w:rsidP="00C45465">
      <w:pPr>
        <w:pStyle w:val="Prrafodelista"/>
        <w:numPr>
          <w:ilvl w:val="0"/>
          <w:numId w:val="7"/>
        </w:numPr>
        <w:spacing w:after="0" w:line="360" w:lineRule="auto"/>
        <w:contextualSpacing w:val="0"/>
        <w:jc w:val="both"/>
        <w:rPr>
          <w:rFonts w:ascii="Arial" w:hAnsi="Arial" w:cs="Arial"/>
          <w:sz w:val="24"/>
          <w:szCs w:val="24"/>
        </w:rPr>
      </w:pPr>
      <w:r w:rsidRPr="00710A06">
        <w:rPr>
          <w:rFonts w:ascii="Arial" w:hAnsi="Arial" w:cs="Arial"/>
          <w:sz w:val="24"/>
          <w:szCs w:val="24"/>
        </w:rPr>
        <w:t>No creación de nuevos impuestos</w:t>
      </w:r>
    </w:p>
    <w:p w:rsidR="00E40CB7" w:rsidRPr="00710A06" w:rsidRDefault="00E40CB7" w:rsidP="00E40CB7">
      <w:pPr>
        <w:pStyle w:val="Prrafodelista"/>
        <w:spacing w:after="0" w:line="360" w:lineRule="auto"/>
        <w:ind w:left="349"/>
        <w:contextualSpacing w:val="0"/>
        <w:jc w:val="both"/>
        <w:rPr>
          <w:rFonts w:ascii="Arial" w:hAnsi="Arial" w:cs="Arial"/>
          <w:sz w:val="24"/>
          <w:szCs w:val="24"/>
        </w:rPr>
      </w:pPr>
    </w:p>
    <w:p w:rsidR="001F3890" w:rsidRDefault="001F3890" w:rsidP="00C45465">
      <w:pPr>
        <w:pStyle w:val="Prrafodelista"/>
        <w:numPr>
          <w:ilvl w:val="0"/>
          <w:numId w:val="7"/>
        </w:numPr>
        <w:spacing w:after="0" w:line="360" w:lineRule="auto"/>
        <w:contextualSpacing w:val="0"/>
        <w:jc w:val="both"/>
        <w:rPr>
          <w:rFonts w:ascii="Arial" w:hAnsi="Arial" w:cs="Arial"/>
          <w:sz w:val="24"/>
          <w:szCs w:val="24"/>
        </w:rPr>
      </w:pPr>
      <w:r w:rsidRPr="00710A06">
        <w:rPr>
          <w:rFonts w:ascii="Arial" w:hAnsi="Arial" w:cs="Arial"/>
          <w:sz w:val="24"/>
          <w:szCs w:val="24"/>
        </w:rPr>
        <w:t>Finanzas sanas</w:t>
      </w:r>
    </w:p>
    <w:p w:rsidR="00E40CB7" w:rsidRPr="00710A06" w:rsidRDefault="00E40CB7" w:rsidP="00E40CB7">
      <w:pPr>
        <w:pStyle w:val="Prrafodelista"/>
        <w:spacing w:after="0" w:line="360" w:lineRule="auto"/>
        <w:ind w:left="349"/>
        <w:contextualSpacing w:val="0"/>
        <w:jc w:val="both"/>
        <w:rPr>
          <w:rFonts w:ascii="Arial" w:hAnsi="Arial" w:cs="Arial"/>
          <w:sz w:val="24"/>
          <w:szCs w:val="24"/>
        </w:rPr>
      </w:pPr>
    </w:p>
    <w:p w:rsidR="001F3890" w:rsidRDefault="001F3890" w:rsidP="00C45465">
      <w:pPr>
        <w:pStyle w:val="Prrafodelista"/>
        <w:numPr>
          <w:ilvl w:val="0"/>
          <w:numId w:val="7"/>
        </w:numPr>
        <w:spacing w:after="0" w:line="360" w:lineRule="auto"/>
        <w:contextualSpacing w:val="0"/>
        <w:jc w:val="both"/>
        <w:rPr>
          <w:rFonts w:ascii="Arial" w:hAnsi="Arial" w:cs="Arial"/>
          <w:sz w:val="24"/>
          <w:szCs w:val="24"/>
        </w:rPr>
      </w:pPr>
      <w:r w:rsidRPr="00710A06">
        <w:rPr>
          <w:rFonts w:ascii="Arial" w:hAnsi="Arial" w:cs="Arial"/>
          <w:sz w:val="24"/>
          <w:szCs w:val="24"/>
        </w:rPr>
        <w:t>Cumplimiento de las reglas de CONAC</w:t>
      </w:r>
    </w:p>
    <w:p w:rsidR="00E40CB7" w:rsidRPr="00710A06" w:rsidRDefault="00E40CB7" w:rsidP="00E40CB7">
      <w:pPr>
        <w:pStyle w:val="Prrafodelista"/>
        <w:spacing w:after="0" w:line="360" w:lineRule="auto"/>
        <w:ind w:left="349"/>
        <w:contextualSpacing w:val="0"/>
        <w:jc w:val="both"/>
        <w:rPr>
          <w:rFonts w:ascii="Arial" w:hAnsi="Arial" w:cs="Arial"/>
          <w:sz w:val="24"/>
          <w:szCs w:val="24"/>
        </w:rPr>
      </w:pPr>
    </w:p>
    <w:p w:rsidR="001F3890" w:rsidRDefault="001F3890" w:rsidP="00C45465">
      <w:pPr>
        <w:pStyle w:val="Prrafodelista"/>
        <w:numPr>
          <w:ilvl w:val="0"/>
          <w:numId w:val="7"/>
        </w:numPr>
        <w:spacing w:after="0" w:line="360" w:lineRule="auto"/>
        <w:contextualSpacing w:val="0"/>
        <w:jc w:val="both"/>
        <w:rPr>
          <w:rFonts w:ascii="Arial" w:hAnsi="Arial" w:cs="Arial"/>
          <w:sz w:val="24"/>
          <w:szCs w:val="24"/>
        </w:rPr>
      </w:pPr>
      <w:r w:rsidRPr="00710A06">
        <w:rPr>
          <w:rFonts w:ascii="Arial" w:hAnsi="Arial" w:cs="Arial"/>
          <w:sz w:val="24"/>
          <w:szCs w:val="24"/>
        </w:rPr>
        <w:t>Cumplimiento de los criterios del IMCO</w:t>
      </w:r>
    </w:p>
    <w:p w:rsidR="00E40CB7" w:rsidRPr="00710A06" w:rsidRDefault="00E40CB7" w:rsidP="00E40CB7">
      <w:pPr>
        <w:pStyle w:val="Prrafodelista"/>
        <w:spacing w:after="0" w:line="360" w:lineRule="auto"/>
        <w:ind w:left="349"/>
        <w:contextualSpacing w:val="0"/>
        <w:jc w:val="both"/>
        <w:rPr>
          <w:rFonts w:ascii="Arial" w:hAnsi="Arial" w:cs="Arial"/>
          <w:sz w:val="24"/>
          <w:szCs w:val="24"/>
        </w:rPr>
      </w:pPr>
    </w:p>
    <w:p w:rsidR="001F3890" w:rsidRDefault="001F3890" w:rsidP="00C45465">
      <w:pPr>
        <w:pStyle w:val="Prrafodelista"/>
        <w:numPr>
          <w:ilvl w:val="0"/>
          <w:numId w:val="7"/>
        </w:numPr>
        <w:spacing w:after="0" w:line="360" w:lineRule="auto"/>
        <w:contextualSpacing w:val="0"/>
        <w:jc w:val="both"/>
        <w:rPr>
          <w:rFonts w:ascii="Arial" w:hAnsi="Arial" w:cs="Arial"/>
          <w:sz w:val="24"/>
          <w:szCs w:val="24"/>
        </w:rPr>
      </w:pPr>
      <w:r w:rsidRPr="00710A06">
        <w:rPr>
          <w:rFonts w:ascii="Arial" w:hAnsi="Arial" w:cs="Arial"/>
          <w:sz w:val="24"/>
          <w:szCs w:val="24"/>
        </w:rPr>
        <w:t>Transparencia y Rendición de Cuentas</w:t>
      </w:r>
    </w:p>
    <w:p w:rsidR="00E40CB7" w:rsidRPr="00710A06" w:rsidRDefault="00E40CB7" w:rsidP="00E40CB7">
      <w:pPr>
        <w:pStyle w:val="Prrafodelista"/>
        <w:spacing w:after="0" w:line="360" w:lineRule="auto"/>
        <w:ind w:left="349"/>
        <w:contextualSpacing w:val="0"/>
        <w:jc w:val="both"/>
        <w:rPr>
          <w:rFonts w:ascii="Arial" w:hAnsi="Arial" w:cs="Arial"/>
          <w:sz w:val="24"/>
          <w:szCs w:val="24"/>
        </w:rPr>
      </w:pPr>
    </w:p>
    <w:p w:rsidR="001F3890" w:rsidRDefault="001F3890" w:rsidP="00C45465">
      <w:pPr>
        <w:pStyle w:val="Prrafodelista"/>
        <w:numPr>
          <w:ilvl w:val="0"/>
          <w:numId w:val="7"/>
        </w:numPr>
        <w:spacing w:after="0" w:line="360" w:lineRule="auto"/>
        <w:contextualSpacing w:val="0"/>
        <w:jc w:val="both"/>
        <w:rPr>
          <w:rFonts w:ascii="Arial" w:hAnsi="Arial" w:cs="Arial"/>
          <w:sz w:val="24"/>
          <w:szCs w:val="24"/>
        </w:rPr>
      </w:pPr>
      <w:r w:rsidRPr="00710A06">
        <w:rPr>
          <w:rFonts w:ascii="Arial" w:hAnsi="Arial" w:cs="Arial"/>
          <w:sz w:val="24"/>
          <w:szCs w:val="24"/>
        </w:rPr>
        <w:t>Simplificación de procesos y gobierno digital</w:t>
      </w:r>
    </w:p>
    <w:p w:rsidR="00E40CB7" w:rsidRPr="00710A06" w:rsidRDefault="00E40CB7" w:rsidP="00E40CB7">
      <w:pPr>
        <w:pStyle w:val="Prrafodelista"/>
        <w:spacing w:after="0" w:line="360" w:lineRule="auto"/>
        <w:ind w:left="349"/>
        <w:contextualSpacing w:val="0"/>
        <w:jc w:val="both"/>
        <w:rPr>
          <w:rFonts w:ascii="Arial" w:hAnsi="Arial" w:cs="Arial"/>
          <w:sz w:val="24"/>
          <w:szCs w:val="24"/>
        </w:rPr>
      </w:pPr>
    </w:p>
    <w:p w:rsidR="001F3890" w:rsidRDefault="001F3890" w:rsidP="00C45465">
      <w:pPr>
        <w:pStyle w:val="Prrafodelista"/>
        <w:numPr>
          <w:ilvl w:val="0"/>
          <w:numId w:val="7"/>
        </w:numPr>
        <w:spacing w:after="0" w:line="360" w:lineRule="auto"/>
        <w:contextualSpacing w:val="0"/>
        <w:jc w:val="both"/>
        <w:rPr>
          <w:rFonts w:ascii="Arial" w:hAnsi="Arial" w:cs="Arial"/>
          <w:sz w:val="24"/>
          <w:szCs w:val="24"/>
        </w:rPr>
      </w:pPr>
      <w:r w:rsidRPr="00710A06">
        <w:rPr>
          <w:rFonts w:ascii="Arial" w:hAnsi="Arial" w:cs="Arial"/>
          <w:sz w:val="24"/>
          <w:szCs w:val="24"/>
        </w:rPr>
        <w:t>Integración del Paquete Económico conforme a lo establecido en la Ley de Disciplina Financiera</w:t>
      </w:r>
    </w:p>
    <w:p w:rsidR="00E40CB7" w:rsidRPr="00710A06" w:rsidRDefault="00E40CB7" w:rsidP="00E40CB7">
      <w:pPr>
        <w:pStyle w:val="Prrafodelista"/>
        <w:spacing w:after="0" w:line="360" w:lineRule="auto"/>
        <w:ind w:left="349"/>
        <w:contextualSpacing w:val="0"/>
        <w:jc w:val="both"/>
        <w:rPr>
          <w:rFonts w:ascii="Arial" w:hAnsi="Arial" w:cs="Arial"/>
          <w:sz w:val="24"/>
          <w:szCs w:val="24"/>
        </w:rPr>
      </w:pPr>
    </w:p>
    <w:p w:rsidR="001F3890" w:rsidRDefault="001F3890" w:rsidP="00C45465">
      <w:pPr>
        <w:pStyle w:val="Prrafodelista"/>
        <w:numPr>
          <w:ilvl w:val="0"/>
          <w:numId w:val="7"/>
        </w:numPr>
        <w:spacing w:after="0" w:line="360" w:lineRule="auto"/>
        <w:contextualSpacing w:val="0"/>
        <w:jc w:val="both"/>
        <w:rPr>
          <w:rFonts w:ascii="Arial" w:hAnsi="Arial" w:cs="Arial"/>
          <w:sz w:val="24"/>
          <w:szCs w:val="24"/>
        </w:rPr>
      </w:pPr>
      <w:r w:rsidRPr="00710A06">
        <w:rPr>
          <w:rFonts w:ascii="Arial" w:hAnsi="Arial" w:cs="Arial"/>
          <w:sz w:val="24"/>
          <w:szCs w:val="24"/>
        </w:rPr>
        <w:t>Congruencia a los pronósticos de recaudación federal y estatal</w:t>
      </w:r>
    </w:p>
    <w:p w:rsidR="00E40CB7" w:rsidRPr="00710A06" w:rsidRDefault="00E40CB7" w:rsidP="00E40CB7">
      <w:pPr>
        <w:pStyle w:val="Prrafodelista"/>
        <w:spacing w:after="0" w:line="360" w:lineRule="auto"/>
        <w:ind w:left="349"/>
        <w:contextualSpacing w:val="0"/>
        <w:jc w:val="both"/>
        <w:rPr>
          <w:rFonts w:ascii="Arial" w:hAnsi="Arial" w:cs="Arial"/>
          <w:sz w:val="24"/>
          <w:szCs w:val="24"/>
        </w:rPr>
      </w:pPr>
    </w:p>
    <w:p w:rsidR="001F3890" w:rsidRDefault="001F3890" w:rsidP="00C45465">
      <w:pPr>
        <w:pStyle w:val="Prrafodelista"/>
        <w:numPr>
          <w:ilvl w:val="0"/>
          <w:numId w:val="7"/>
        </w:numPr>
        <w:spacing w:after="0" w:line="360" w:lineRule="auto"/>
        <w:contextualSpacing w:val="0"/>
        <w:jc w:val="both"/>
        <w:rPr>
          <w:rFonts w:ascii="Arial" w:hAnsi="Arial" w:cs="Arial"/>
          <w:sz w:val="24"/>
          <w:szCs w:val="24"/>
        </w:rPr>
      </w:pPr>
      <w:r w:rsidRPr="00710A06">
        <w:rPr>
          <w:rFonts w:ascii="Arial" w:hAnsi="Arial" w:cs="Arial"/>
          <w:sz w:val="24"/>
          <w:szCs w:val="24"/>
        </w:rPr>
        <w:t>Riesgos fiscales, evolución y perspectivas económicas</w:t>
      </w:r>
    </w:p>
    <w:p w:rsidR="00E40CB7" w:rsidRPr="00710A06" w:rsidRDefault="00E40CB7" w:rsidP="00E40CB7">
      <w:pPr>
        <w:pStyle w:val="Prrafodelista"/>
        <w:spacing w:after="0" w:line="360" w:lineRule="auto"/>
        <w:ind w:left="349"/>
        <w:contextualSpacing w:val="0"/>
        <w:jc w:val="both"/>
        <w:rPr>
          <w:rFonts w:ascii="Arial" w:hAnsi="Arial" w:cs="Arial"/>
          <w:sz w:val="24"/>
          <w:szCs w:val="24"/>
        </w:rPr>
      </w:pPr>
    </w:p>
    <w:p w:rsidR="001F3890" w:rsidRPr="00710A06" w:rsidRDefault="001F3890" w:rsidP="00C45465">
      <w:pPr>
        <w:spacing w:after="0" w:line="360" w:lineRule="auto"/>
        <w:ind w:left="-11"/>
        <w:jc w:val="both"/>
        <w:rPr>
          <w:rFonts w:ascii="Arial" w:hAnsi="Arial" w:cs="Arial"/>
          <w:sz w:val="24"/>
          <w:szCs w:val="24"/>
        </w:rPr>
      </w:pPr>
      <w:r w:rsidRPr="00710A06">
        <w:rPr>
          <w:rFonts w:ascii="Arial" w:hAnsi="Arial" w:cs="Arial"/>
          <w:sz w:val="24"/>
          <w:szCs w:val="24"/>
        </w:rPr>
        <w:lastRenderedPageBreak/>
        <w:t xml:space="preserve">Con estas medidas, la presente Iniciativa garantiza que la hacienda estatal cuente con finanzas sanas; observando los principios de eficiencia, eficacia, economía, austeridad, honradez y transparencia. </w:t>
      </w:r>
    </w:p>
    <w:p w:rsidR="001F3890" w:rsidRPr="00710A06" w:rsidRDefault="001F3890" w:rsidP="00C45465">
      <w:pPr>
        <w:spacing w:after="0" w:line="360" w:lineRule="auto"/>
        <w:ind w:left="-11"/>
        <w:jc w:val="both"/>
        <w:rPr>
          <w:rFonts w:ascii="Arial" w:hAnsi="Arial" w:cs="Arial"/>
          <w:sz w:val="24"/>
          <w:szCs w:val="24"/>
        </w:rPr>
      </w:pPr>
    </w:p>
    <w:p w:rsidR="001F3890" w:rsidRPr="00710A06" w:rsidRDefault="001F3890" w:rsidP="00C45465">
      <w:pPr>
        <w:spacing w:after="0" w:line="360" w:lineRule="auto"/>
        <w:ind w:left="-11"/>
        <w:jc w:val="both"/>
        <w:rPr>
          <w:rFonts w:ascii="Arial" w:hAnsi="Arial" w:cs="Arial"/>
          <w:sz w:val="24"/>
          <w:szCs w:val="24"/>
        </w:rPr>
      </w:pPr>
      <w:r w:rsidRPr="00710A06">
        <w:rPr>
          <w:rFonts w:ascii="Arial" w:hAnsi="Arial" w:cs="Arial"/>
          <w:sz w:val="24"/>
          <w:szCs w:val="24"/>
        </w:rPr>
        <w:t>Por lo antes expuesto la Iniciativa de Ley de Ingresos del Estado de Tlaxcala, para el Ejercicio Fiscal 2018</w:t>
      </w:r>
      <w:r w:rsidR="00E40CB7">
        <w:rPr>
          <w:rFonts w:ascii="Arial" w:hAnsi="Arial" w:cs="Arial"/>
          <w:sz w:val="24"/>
          <w:szCs w:val="24"/>
        </w:rPr>
        <w:t>,</w:t>
      </w:r>
      <w:r w:rsidRPr="00710A06">
        <w:rPr>
          <w:rFonts w:ascii="Arial" w:hAnsi="Arial" w:cs="Arial"/>
          <w:sz w:val="24"/>
          <w:szCs w:val="24"/>
        </w:rPr>
        <w:t xml:space="preserve"> prevé un monto total de ingresos por </w:t>
      </w:r>
      <w:r w:rsidRPr="00710A06">
        <w:rPr>
          <w:rFonts w:ascii="Arial" w:hAnsi="Arial" w:cs="Arial"/>
          <w:b/>
          <w:sz w:val="24"/>
          <w:szCs w:val="24"/>
        </w:rPr>
        <w:t>$ 18</w:t>
      </w:r>
      <w:proofErr w:type="gramStart"/>
      <w:r w:rsidRPr="00710A06">
        <w:rPr>
          <w:rFonts w:ascii="Arial" w:hAnsi="Arial" w:cs="Arial"/>
          <w:b/>
          <w:sz w:val="24"/>
          <w:szCs w:val="24"/>
        </w:rPr>
        <w:t>,135,704,254.41</w:t>
      </w:r>
      <w:proofErr w:type="gramEnd"/>
      <w:r w:rsidRPr="00710A06">
        <w:rPr>
          <w:rFonts w:ascii="Arial" w:hAnsi="Arial" w:cs="Arial"/>
          <w:b/>
          <w:sz w:val="24"/>
          <w:szCs w:val="24"/>
        </w:rPr>
        <w:t>.</w:t>
      </w:r>
    </w:p>
    <w:p w:rsidR="001F3890" w:rsidRDefault="001F3890" w:rsidP="00C45465">
      <w:pPr>
        <w:spacing w:after="0" w:line="360" w:lineRule="auto"/>
        <w:jc w:val="both"/>
        <w:rPr>
          <w:rFonts w:ascii="Arial" w:hAnsi="Arial" w:cs="Arial"/>
          <w:sz w:val="24"/>
          <w:szCs w:val="24"/>
        </w:rPr>
      </w:pPr>
    </w:p>
    <w:p w:rsidR="00E40CB7" w:rsidRDefault="00E40CB7" w:rsidP="00C45465">
      <w:pPr>
        <w:spacing w:after="0" w:line="360" w:lineRule="auto"/>
        <w:jc w:val="both"/>
        <w:rPr>
          <w:rFonts w:ascii="Arial" w:hAnsi="Arial" w:cs="Arial"/>
          <w:sz w:val="24"/>
          <w:szCs w:val="24"/>
        </w:rPr>
      </w:pPr>
    </w:p>
    <w:p w:rsidR="00E40CB7" w:rsidRDefault="00E40CB7" w:rsidP="00C45465">
      <w:pPr>
        <w:spacing w:after="0" w:line="360" w:lineRule="auto"/>
        <w:jc w:val="both"/>
        <w:rPr>
          <w:rFonts w:ascii="Arial" w:hAnsi="Arial" w:cs="Arial"/>
          <w:sz w:val="24"/>
          <w:szCs w:val="24"/>
        </w:rPr>
      </w:pPr>
    </w:p>
    <w:p w:rsidR="00E40CB7" w:rsidRDefault="00E40CB7" w:rsidP="00C45465">
      <w:pPr>
        <w:spacing w:after="0" w:line="360" w:lineRule="auto"/>
        <w:jc w:val="both"/>
        <w:rPr>
          <w:rFonts w:ascii="Arial" w:hAnsi="Arial" w:cs="Arial"/>
          <w:sz w:val="24"/>
          <w:szCs w:val="24"/>
        </w:rPr>
      </w:pPr>
    </w:p>
    <w:p w:rsidR="00E40CB7" w:rsidRDefault="00E40CB7" w:rsidP="00C45465">
      <w:pPr>
        <w:spacing w:after="0" w:line="360" w:lineRule="auto"/>
        <w:jc w:val="both"/>
        <w:rPr>
          <w:rFonts w:ascii="Arial" w:hAnsi="Arial" w:cs="Arial"/>
          <w:sz w:val="24"/>
          <w:szCs w:val="24"/>
        </w:rPr>
      </w:pPr>
    </w:p>
    <w:p w:rsidR="00E40CB7" w:rsidRDefault="00E40CB7" w:rsidP="00C45465">
      <w:pPr>
        <w:spacing w:after="0" w:line="360" w:lineRule="auto"/>
        <w:jc w:val="both"/>
        <w:rPr>
          <w:rFonts w:ascii="Arial" w:hAnsi="Arial" w:cs="Arial"/>
          <w:sz w:val="24"/>
          <w:szCs w:val="24"/>
        </w:rPr>
      </w:pPr>
    </w:p>
    <w:p w:rsidR="00E40CB7" w:rsidRDefault="00E40CB7" w:rsidP="00C45465">
      <w:pPr>
        <w:spacing w:after="0" w:line="360" w:lineRule="auto"/>
        <w:jc w:val="both"/>
        <w:rPr>
          <w:rFonts w:ascii="Arial" w:hAnsi="Arial" w:cs="Arial"/>
          <w:sz w:val="24"/>
          <w:szCs w:val="24"/>
        </w:rPr>
      </w:pPr>
    </w:p>
    <w:p w:rsidR="00E40CB7" w:rsidRDefault="00E40CB7" w:rsidP="00C45465">
      <w:pPr>
        <w:spacing w:after="0" w:line="360" w:lineRule="auto"/>
        <w:jc w:val="both"/>
        <w:rPr>
          <w:rFonts w:ascii="Arial" w:hAnsi="Arial" w:cs="Arial"/>
          <w:sz w:val="24"/>
          <w:szCs w:val="24"/>
        </w:rPr>
      </w:pPr>
    </w:p>
    <w:p w:rsidR="00E40CB7" w:rsidRDefault="00E40CB7" w:rsidP="00C45465">
      <w:pPr>
        <w:spacing w:after="0" w:line="360" w:lineRule="auto"/>
        <w:jc w:val="both"/>
        <w:rPr>
          <w:rFonts w:ascii="Arial" w:hAnsi="Arial" w:cs="Arial"/>
          <w:sz w:val="24"/>
          <w:szCs w:val="24"/>
        </w:rPr>
      </w:pPr>
    </w:p>
    <w:p w:rsidR="00E40CB7" w:rsidRDefault="00E40CB7" w:rsidP="00C45465">
      <w:pPr>
        <w:spacing w:after="0" w:line="360" w:lineRule="auto"/>
        <w:jc w:val="both"/>
        <w:rPr>
          <w:rFonts w:ascii="Arial" w:hAnsi="Arial" w:cs="Arial"/>
          <w:sz w:val="24"/>
          <w:szCs w:val="24"/>
        </w:rPr>
      </w:pPr>
    </w:p>
    <w:p w:rsidR="00E40CB7" w:rsidRDefault="00E40CB7" w:rsidP="00C45465">
      <w:pPr>
        <w:spacing w:after="0" w:line="360" w:lineRule="auto"/>
        <w:jc w:val="both"/>
        <w:rPr>
          <w:rFonts w:ascii="Arial" w:hAnsi="Arial" w:cs="Arial"/>
          <w:sz w:val="24"/>
          <w:szCs w:val="24"/>
        </w:rPr>
      </w:pPr>
    </w:p>
    <w:p w:rsidR="00E40CB7" w:rsidRDefault="00E40CB7" w:rsidP="00C45465">
      <w:pPr>
        <w:spacing w:after="0" w:line="360" w:lineRule="auto"/>
        <w:jc w:val="both"/>
        <w:rPr>
          <w:rFonts w:ascii="Arial" w:hAnsi="Arial" w:cs="Arial"/>
          <w:sz w:val="24"/>
          <w:szCs w:val="24"/>
        </w:rPr>
      </w:pPr>
    </w:p>
    <w:p w:rsidR="00E40CB7" w:rsidRDefault="00E40CB7" w:rsidP="00C45465">
      <w:pPr>
        <w:spacing w:after="0" w:line="360" w:lineRule="auto"/>
        <w:jc w:val="both"/>
        <w:rPr>
          <w:rFonts w:ascii="Arial" w:hAnsi="Arial" w:cs="Arial"/>
          <w:sz w:val="24"/>
          <w:szCs w:val="24"/>
        </w:rPr>
      </w:pPr>
    </w:p>
    <w:p w:rsidR="00E40CB7" w:rsidRDefault="00E40CB7" w:rsidP="00C45465">
      <w:pPr>
        <w:spacing w:after="0" w:line="360" w:lineRule="auto"/>
        <w:jc w:val="both"/>
        <w:rPr>
          <w:rFonts w:ascii="Arial" w:hAnsi="Arial" w:cs="Arial"/>
          <w:sz w:val="24"/>
          <w:szCs w:val="24"/>
        </w:rPr>
      </w:pPr>
    </w:p>
    <w:p w:rsidR="00E40CB7" w:rsidRDefault="00E40CB7" w:rsidP="00C45465">
      <w:pPr>
        <w:spacing w:after="0" w:line="360" w:lineRule="auto"/>
        <w:jc w:val="both"/>
        <w:rPr>
          <w:rFonts w:ascii="Arial" w:hAnsi="Arial" w:cs="Arial"/>
          <w:sz w:val="24"/>
          <w:szCs w:val="24"/>
        </w:rPr>
      </w:pPr>
    </w:p>
    <w:p w:rsidR="00E40CB7" w:rsidRDefault="00E40CB7" w:rsidP="00C45465">
      <w:pPr>
        <w:spacing w:after="0" w:line="360" w:lineRule="auto"/>
        <w:jc w:val="both"/>
        <w:rPr>
          <w:rFonts w:ascii="Arial" w:hAnsi="Arial" w:cs="Arial"/>
          <w:sz w:val="24"/>
          <w:szCs w:val="24"/>
        </w:rPr>
      </w:pPr>
    </w:p>
    <w:p w:rsidR="00E40CB7" w:rsidRDefault="00E40CB7" w:rsidP="00C45465">
      <w:pPr>
        <w:spacing w:after="0" w:line="360" w:lineRule="auto"/>
        <w:jc w:val="both"/>
        <w:rPr>
          <w:rFonts w:ascii="Arial" w:hAnsi="Arial" w:cs="Arial"/>
          <w:sz w:val="24"/>
          <w:szCs w:val="24"/>
        </w:rPr>
      </w:pPr>
    </w:p>
    <w:p w:rsidR="00E40CB7" w:rsidRDefault="00E40CB7" w:rsidP="00C45465">
      <w:pPr>
        <w:spacing w:after="0" w:line="360" w:lineRule="auto"/>
        <w:jc w:val="both"/>
        <w:rPr>
          <w:rFonts w:ascii="Arial" w:hAnsi="Arial" w:cs="Arial"/>
          <w:sz w:val="24"/>
          <w:szCs w:val="24"/>
        </w:rPr>
      </w:pPr>
    </w:p>
    <w:p w:rsidR="00E40CB7" w:rsidRDefault="00E40CB7" w:rsidP="00C45465">
      <w:pPr>
        <w:spacing w:after="0" w:line="360" w:lineRule="auto"/>
        <w:jc w:val="both"/>
        <w:rPr>
          <w:rFonts w:ascii="Arial" w:hAnsi="Arial" w:cs="Arial"/>
          <w:sz w:val="24"/>
          <w:szCs w:val="24"/>
        </w:rPr>
      </w:pPr>
    </w:p>
    <w:p w:rsidR="00E40CB7" w:rsidRDefault="00E40CB7" w:rsidP="00C45465">
      <w:pPr>
        <w:spacing w:after="0" w:line="360" w:lineRule="auto"/>
        <w:jc w:val="both"/>
        <w:rPr>
          <w:rFonts w:ascii="Arial" w:hAnsi="Arial" w:cs="Arial"/>
          <w:sz w:val="24"/>
          <w:szCs w:val="24"/>
        </w:rPr>
      </w:pPr>
    </w:p>
    <w:p w:rsidR="00E40CB7" w:rsidRPr="00710A06" w:rsidRDefault="00E40CB7" w:rsidP="00C45465">
      <w:pPr>
        <w:spacing w:after="0" w:line="360" w:lineRule="auto"/>
        <w:jc w:val="both"/>
        <w:rPr>
          <w:rFonts w:ascii="Arial" w:hAnsi="Arial" w:cs="Arial"/>
          <w:sz w:val="24"/>
          <w:szCs w:val="24"/>
        </w:rPr>
      </w:pPr>
    </w:p>
    <w:p w:rsidR="001F3890" w:rsidRPr="00710A06" w:rsidRDefault="001F3890" w:rsidP="00C45465">
      <w:pPr>
        <w:pStyle w:val="Prrafodelista"/>
        <w:numPr>
          <w:ilvl w:val="0"/>
          <w:numId w:val="10"/>
        </w:numPr>
        <w:spacing w:after="0" w:line="360" w:lineRule="auto"/>
        <w:ind w:left="709"/>
        <w:jc w:val="both"/>
        <w:rPr>
          <w:rFonts w:ascii="Arial" w:hAnsi="Arial" w:cs="Arial"/>
          <w:b/>
          <w:sz w:val="24"/>
          <w:szCs w:val="24"/>
        </w:rPr>
      </w:pPr>
      <w:r w:rsidRPr="00710A06">
        <w:rPr>
          <w:rFonts w:ascii="Arial" w:hAnsi="Arial" w:cs="Arial"/>
          <w:b/>
          <w:sz w:val="24"/>
          <w:szCs w:val="24"/>
        </w:rPr>
        <w:lastRenderedPageBreak/>
        <w:t>EN MATERIA DE PRESUPUESTO Y EGRESOS</w:t>
      </w:r>
    </w:p>
    <w:p w:rsidR="00710A06" w:rsidRPr="00710A06" w:rsidRDefault="00710A06" w:rsidP="00C45465">
      <w:pPr>
        <w:spacing w:after="0" w:line="360" w:lineRule="auto"/>
        <w:jc w:val="both"/>
        <w:rPr>
          <w:rFonts w:ascii="Arial" w:hAnsi="Arial" w:cs="Arial"/>
          <w:b/>
          <w:color w:val="000000" w:themeColor="text1"/>
          <w:sz w:val="24"/>
          <w:szCs w:val="24"/>
        </w:rPr>
      </w:pPr>
    </w:p>
    <w:p w:rsidR="00710A06" w:rsidRDefault="00710A06" w:rsidP="00C45465">
      <w:pPr>
        <w:spacing w:after="0" w:line="360" w:lineRule="auto"/>
        <w:jc w:val="both"/>
        <w:rPr>
          <w:rFonts w:ascii="Arial" w:hAnsi="Arial" w:cs="Arial"/>
          <w:b/>
          <w:color w:val="000000" w:themeColor="text1"/>
          <w:sz w:val="24"/>
          <w:szCs w:val="24"/>
        </w:rPr>
      </w:pPr>
      <w:r w:rsidRPr="00710A06">
        <w:rPr>
          <w:rFonts w:ascii="Arial" w:hAnsi="Arial" w:cs="Arial"/>
          <w:b/>
          <w:color w:val="000000" w:themeColor="text1"/>
          <w:sz w:val="24"/>
          <w:szCs w:val="24"/>
        </w:rPr>
        <w:t>CONSIDERACIONES GENERALES</w:t>
      </w:r>
    </w:p>
    <w:p w:rsidR="00E40CB7" w:rsidRPr="00710A06" w:rsidRDefault="00E40CB7" w:rsidP="00C45465">
      <w:pPr>
        <w:spacing w:after="0" w:line="360" w:lineRule="auto"/>
        <w:jc w:val="both"/>
        <w:rPr>
          <w:rFonts w:ascii="Arial" w:hAnsi="Arial" w:cs="Arial"/>
          <w:b/>
          <w:color w:val="000000" w:themeColor="text1"/>
          <w:sz w:val="24"/>
          <w:szCs w:val="24"/>
        </w:rPr>
      </w:pPr>
    </w:p>
    <w:p w:rsid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t>El Presupuesto de Egresos es un instrumento jurídico elemental que tras una debida alineación conforme a las prioridades y estrategias contenidas en el Plan Estatal de Desarrollo 2017-2021, y en observancia a las disposiciones jurídicas, posibilita durante el ejercicio fiscal a través de la asignación de recursos, la consecución de programas y acciones basados en las políticas públicas diseñadas con la finalidad de coadyuvar en la consolidación de un Estado desarrollado económica y socialmente, que permita aprovechar sus ventajas competitivas para la promoción de mayores oportunidades, buscando un desarrollo ordenado y sostenible, y con ello mejorar la calidad de vida de los tlaxcaltecas en un entorno de paz y seguridad.</w:t>
      </w:r>
    </w:p>
    <w:p w:rsidR="00E40CB7" w:rsidRPr="00710A06" w:rsidRDefault="00E40CB7" w:rsidP="00C45465">
      <w:pPr>
        <w:spacing w:after="0" w:line="360" w:lineRule="auto"/>
        <w:jc w:val="both"/>
        <w:rPr>
          <w:rFonts w:ascii="Arial" w:hAnsi="Arial" w:cs="Arial"/>
          <w:color w:val="000000" w:themeColor="text1"/>
          <w:sz w:val="24"/>
          <w:szCs w:val="24"/>
        </w:rPr>
      </w:pPr>
    </w:p>
    <w:p w:rsid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t>El Proyecto de Presupuesto de Egresos del Estado de Tlaxcala para el Ejercicio Fiscal 2018, contempla las erogaciones por concepto de gasto corriente e inversión de los Poderes Legislativo y Judicial, de las Dependencias y Entidades del Ejecutivo, de los Organismos Autónomos y de los Municipios únicamente en los que respecta al Fondo Estatal Participable y las Aportaciones del Ramo General 33.</w:t>
      </w:r>
    </w:p>
    <w:p w:rsidR="00E40CB7" w:rsidRPr="00710A06" w:rsidRDefault="00E40CB7" w:rsidP="00C45465">
      <w:pPr>
        <w:spacing w:after="0" w:line="360" w:lineRule="auto"/>
        <w:jc w:val="both"/>
        <w:rPr>
          <w:rFonts w:ascii="Arial" w:hAnsi="Arial" w:cs="Arial"/>
          <w:color w:val="000000" w:themeColor="text1"/>
          <w:sz w:val="24"/>
          <w:szCs w:val="24"/>
        </w:rPr>
      </w:pPr>
    </w:p>
    <w:p w:rsidR="00710A06" w:rsidRP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t>El Paquete Económico Estatal para 2018 puesto a consideración del Congreso del Estado, refleja el compromiso del Ejecutivo de manejar con responsabilidad las finanzas públicas promoviendo la estabilidad económica.</w:t>
      </w:r>
    </w:p>
    <w:p w:rsid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lastRenderedPageBreak/>
        <w:t>Con la finalidad de seguir en la trayectoria de consolidación fiscal, el Gobierno del Estado propone la aplicación de acciones que permitan generar ahorros en el gasto público, tales como; la contención del gasto en servicios personales; la reducción en gastos operativos y el uso adecuado de materiales y suministros, entre otros.</w:t>
      </w:r>
    </w:p>
    <w:p w:rsidR="00E40CB7" w:rsidRPr="00710A06" w:rsidRDefault="00E40CB7" w:rsidP="00C45465">
      <w:pPr>
        <w:spacing w:after="0" w:line="360" w:lineRule="auto"/>
        <w:jc w:val="both"/>
        <w:rPr>
          <w:rFonts w:ascii="Arial" w:hAnsi="Arial" w:cs="Arial"/>
          <w:color w:val="000000" w:themeColor="text1"/>
          <w:sz w:val="24"/>
          <w:szCs w:val="24"/>
        </w:rPr>
      </w:pPr>
    </w:p>
    <w:p w:rsid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t>En este tenor, la presente administración ha realizado la labor de integrar un Proyecto de Presupuesto de Egresos para el Ejercicio Fiscal 2018 observando a cabalidad los criterios generales de responsabilidad hacendaria y financiera bajo un enfoque de disciplina financiera, contribuyendo a un balance presupuestario sostenible, previendo una asignación de recursos públicos por una cantidad igual a la prevista en la Iniciativa con Proyecto de Ley de Ingresos del Estado de Tlaxcala para el ejercicio fiscal 2018, la cual se estimó tomando como referencia el Paquete Económico Federal para el 2018 presentado por conducto de la Secretaría de Hacienda y Crédito Público a la Cámara de Diputados del Congreso de la Unión, mismo que se integra por: los Criterios Generales de Política Económica; la Iniciativa de Ley de Ingresos de la Federación; así como, el Proyecto de Presupuesto de Egresos de la Federación, los cuales consideran un marco macroeconómico con estimaciones realistas y prudentes para las variables clave que determinan las finanzas públicas.</w:t>
      </w:r>
    </w:p>
    <w:p w:rsidR="00E40CB7" w:rsidRPr="00710A06" w:rsidRDefault="00E40CB7" w:rsidP="00C45465">
      <w:pPr>
        <w:spacing w:after="0" w:line="360" w:lineRule="auto"/>
        <w:jc w:val="both"/>
        <w:rPr>
          <w:rFonts w:ascii="Arial" w:hAnsi="Arial" w:cs="Arial"/>
          <w:color w:val="000000" w:themeColor="text1"/>
          <w:sz w:val="24"/>
          <w:szCs w:val="24"/>
        </w:rPr>
      </w:pPr>
    </w:p>
    <w:p w:rsidR="00710A06" w:rsidRPr="00710A06" w:rsidRDefault="00710A06" w:rsidP="00C45465">
      <w:pPr>
        <w:pStyle w:val="PRIMERAPLANA"/>
        <w:spacing w:line="360" w:lineRule="auto"/>
        <w:rPr>
          <w:rFonts w:cs="Arial"/>
          <w:color w:val="000000" w:themeColor="text1"/>
          <w:sz w:val="24"/>
          <w:szCs w:val="24"/>
        </w:rPr>
      </w:pPr>
      <w:r w:rsidRPr="00710A06">
        <w:rPr>
          <w:rFonts w:cs="Arial"/>
          <w:iCs/>
          <w:color w:val="000000" w:themeColor="text1"/>
          <w:sz w:val="24"/>
          <w:szCs w:val="24"/>
          <w:lang w:val="es-MX"/>
        </w:rPr>
        <w:t xml:space="preserve">Por otra parte, los servidores públicos al servicio del Gobierno del Estado, observarán su actuación con estricto apego a la ley, ética, honestidad, transparencia total y rendición de cuentas, </w:t>
      </w:r>
      <w:r w:rsidR="00360753">
        <w:rPr>
          <w:rFonts w:cs="Arial"/>
          <w:color w:val="000000" w:themeColor="text1"/>
          <w:sz w:val="24"/>
          <w:szCs w:val="24"/>
        </w:rPr>
        <w:t>mostrando</w:t>
      </w:r>
      <w:r w:rsidRPr="00710A06">
        <w:rPr>
          <w:rFonts w:cs="Arial"/>
          <w:color w:val="000000" w:themeColor="text1"/>
          <w:sz w:val="24"/>
          <w:szCs w:val="24"/>
        </w:rPr>
        <w:t xml:space="preserve"> el origen y la aplicación de los recursos públicos, que permita rendir cuentas claras a la sociedad tlaxcalteca, ya que la fiscalización superior es uno de los ejes más importantes de la política anticorrupción. </w:t>
      </w:r>
    </w:p>
    <w:p w:rsidR="00710A06" w:rsidRPr="00710A06" w:rsidRDefault="00710A06" w:rsidP="00C45465">
      <w:pPr>
        <w:pStyle w:val="PRIMERAPLANA"/>
        <w:spacing w:line="360" w:lineRule="auto"/>
        <w:rPr>
          <w:rFonts w:cs="Arial"/>
          <w:iCs/>
          <w:color w:val="000000" w:themeColor="text1"/>
          <w:sz w:val="24"/>
          <w:szCs w:val="24"/>
          <w:lang w:val="es-MX"/>
        </w:rPr>
      </w:pPr>
    </w:p>
    <w:p w:rsid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t>El Proyecto de Presupuesto de Egresos 2018 que se somete a consideración de esta Legislatura, busca con acciones concretas multiplicar y sumar esfuerzos para elevar la calidad de vida de la población, mediante la implementación de acciones para abatir la pobreza y desigualdad, otorgando un mayor impulso a los rubros de salud, educación, empleo y seguridad pública.</w:t>
      </w:r>
    </w:p>
    <w:p w:rsidR="00E40CB7" w:rsidRPr="00710A06" w:rsidRDefault="00E40CB7" w:rsidP="00C45465">
      <w:pPr>
        <w:spacing w:after="0" w:line="360" w:lineRule="auto"/>
        <w:jc w:val="both"/>
        <w:rPr>
          <w:rFonts w:ascii="Arial" w:hAnsi="Arial" w:cs="Arial"/>
          <w:color w:val="000000" w:themeColor="text1"/>
          <w:sz w:val="24"/>
          <w:szCs w:val="24"/>
        </w:rPr>
      </w:pPr>
    </w:p>
    <w:p w:rsid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t>El Paquete Económico 2018 del Estado de Tlaxcala se presenta bajo un escenario en el que la actividad económica crece a una tasa mayor a la esperada a principios de año a pesar de un entorno externo complejo. Las expectativas económicas para el cierre del año han mejorado y son alentadoras, resultado del desempeño favorable del mercado interno, la reactivación de la demanda externa y una mayor confianza sobre la solidez de la relación con nuestro principal socio comercial. La información disponible conduce a incrementar la estimación de crecimiento económico para 2017 de un rango entre 1.5 y 2.5 por ciento a un rango que va de 2.0 a 2.6 por ciento, consistente con las expectativas del sector privado.</w:t>
      </w:r>
    </w:p>
    <w:p w:rsidR="00E40CB7" w:rsidRPr="00710A06" w:rsidRDefault="00E40CB7" w:rsidP="00C45465">
      <w:pPr>
        <w:spacing w:after="0" w:line="360" w:lineRule="auto"/>
        <w:jc w:val="both"/>
        <w:rPr>
          <w:rFonts w:ascii="Arial" w:hAnsi="Arial" w:cs="Arial"/>
          <w:color w:val="000000" w:themeColor="text1"/>
          <w:sz w:val="24"/>
          <w:szCs w:val="24"/>
        </w:rPr>
      </w:pPr>
    </w:p>
    <w:p w:rsid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t>Una economía flexible, apalancada en la implementación de las Reformas Estructurales a nivel Federal y la aplicación oportuna de medidas fiscales responsables han permitido al país adaptarse y remontar choques negativos provenientes del exterior, que ha sido reconocida por analistas e inversionistas.</w:t>
      </w:r>
    </w:p>
    <w:p w:rsidR="00E40CB7" w:rsidRPr="00710A06" w:rsidRDefault="00E40CB7" w:rsidP="00C45465">
      <w:pPr>
        <w:spacing w:after="0" w:line="360" w:lineRule="auto"/>
        <w:jc w:val="both"/>
        <w:rPr>
          <w:rFonts w:ascii="Arial" w:hAnsi="Arial" w:cs="Arial"/>
          <w:color w:val="000000" w:themeColor="text1"/>
          <w:sz w:val="24"/>
          <w:szCs w:val="24"/>
        </w:rPr>
      </w:pPr>
    </w:p>
    <w:p w:rsid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t xml:space="preserve">La evolución de las cifras de finanzas públicas permite anticipar el cumplimiento de las metas fiscales para este año sin hacer uso de los recursos provenientes del Remanente de Operación del Banco de México </w:t>
      </w:r>
      <w:r w:rsidRPr="00710A06">
        <w:rPr>
          <w:rFonts w:ascii="Arial" w:hAnsi="Arial" w:cs="Arial"/>
          <w:color w:val="000000" w:themeColor="text1"/>
          <w:sz w:val="24"/>
          <w:szCs w:val="24"/>
        </w:rPr>
        <w:lastRenderedPageBreak/>
        <w:t>(ROBM). Las estimaciones para el cierre del año muestran Requerimientos Financieros del Sector Público (RFSP) de 2.9 por ciento del Producto Interno Bruto (PIB), sin incluir los ingresos por concepto del ROBM y 1.4 por ciento del PIB al considerarlo. Esta última cifra implica una mejora de 1.4 puntos porcentuales con respecto al observado en 2016. Dichas estimaciones son consistentes con un Saldo Histórico de los RFSP (SHRFSP) al cierre de 2017 de 49.5 por ciento y 48.0 por ciento como proporción del PIB, respectivamente. Ambas proyecciones son menores a la cifra de cierre de 2016, igual a 50.1 por ciento. Se estima que este año se obtendrá un superávit primario, el primero desde 2008 y equivalente a 0.4 por ciento del PIB sin el ROBM y 1.5 por ciento del PIB al incluirlo.</w:t>
      </w:r>
    </w:p>
    <w:p w:rsidR="00E40CB7" w:rsidRPr="00710A06" w:rsidRDefault="00E40CB7" w:rsidP="00C45465">
      <w:pPr>
        <w:spacing w:after="0" w:line="360" w:lineRule="auto"/>
        <w:jc w:val="both"/>
        <w:rPr>
          <w:rFonts w:ascii="Arial" w:hAnsi="Arial" w:cs="Arial"/>
          <w:color w:val="000000" w:themeColor="text1"/>
          <w:sz w:val="24"/>
          <w:szCs w:val="24"/>
        </w:rPr>
      </w:pPr>
    </w:p>
    <w:p w:rsid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t>Las referidas Reformas Estructurales han complementado la conducción responsable de la política económica y ayudan a explicar el desempeño positivo que ha experimentado la economía de nuestro país en un entorno externo tan complejo, ya que detonan inversiones, fomentan la productividad y la competitividad y generan una estructura económica más flexible para enfrentar retos internos y externos.</w:t>
      </w:r>
    </w:p>
    <w:p w:rsidR="00E40CB7" w:rsidRPr="00710A06" w:rsidRDefault="00E40CB7" w:rsidP="00C45465">
      <w:pPr>
        <w:spacing w:after="0" w:line="360" w:lineRule="auto"/>
        <w:jc w:val="both"/>
        <w:rPr>
          <w:rFonts w:ascii="Arial" w:hAnsi="Arial" w:cs="Arial"/>
          <w:color w:val="000000" w:themeColor="text1"/>
          <w:sz w:val="24"/>
          <w:szCs w:val="24"/>
        </w:rPr>
      </w:pPr>
    </w:p>
    <w:p w:rsidR="00710A06" w:rsidRP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t xml:space="preserve">En este contexto, la integración de la Iniciativa con Proyecto de Decreto de Presupuesto de Egresos del Estado de Tlaxcala para el Ejercicio Fiscal 2018 atiende el principio de equilibrio presupuestal entre los ingresos y egresos, tomando en cuenta los Criterios Generales de Política Económica presentados por el Gobierno de la República, los cuales prevén un crecimiento económico real estimado entre 2.0 y 3.0% para 2018; una inflación esperada de 3.0%; un tipo de cambio promedio de 18.10 pesos por dólar y un precio del petróleo de la mezcla mexicana de exportación </w:t>
      </w:r>
      <w:r w:rsidRPr="00710A06">
        <w:rPr>
          <w:rFonts w:ascii="Arial" w:hAnsi="Arial" w:cs="Arial"/>
          <w:color w:val="000000" w:themeColor="text1"/>
          <w:sz w:val="24"/>
          <w:szCs w:val="24"/>
        </w:rPr>
        <w:lastRenderedPageBreak/>
        <w:t xml:space="preserve">promedio de 46 dólares por barril (dpb), para efectos de estimación de la Ley de Ingresos de la Federación para el ejercicio fiscal 2018.  </w:t>
      </w:r>
    </w:p>
    <w:p w:rsidR="00710A06" w:rsidRPr="00710A06" w:rsidRDefault="00710A06" w:rsidP="00C45465">
      <w:pPr>
        <w:spacing w:after="0" w:line="360" w:lineRule="auto"/>
        <w:jc w:val="both"/>
        <w:rPr>
          <w:rFonts w:ascii="Arial" w:hAnsi="Arial" w:cs="Arial"/>
          <w:b/>
          <w:color w:val="000000" w:themeColor="text1"/>
          <w:sz w:val="24"/>
          <w:szCs w:val="24"/>
        </w:rPr>
      </w:pPr>
    </w:p>
    <w:p w:rsidR="00710A06" w:rsidRPr="00710A06" w:rsidRDefault="00710A06" w:rsidP="00C45465">
      <w:pPr>
        <w:spacing w:after="0" w:line="360" w:lineRule="auto"/>
        <w:jc w:val="both"/>
        <w:rPr>
          <w:rFonts w:ascii="Arial" w:hAnsi="Arial" w:cs="Arial"/>
          <w:b/>
          <w:color w:val="000000" w:themeColor="text1"/>
          <w:sz w:val="24"/>
          <w:szCs w:val="24"/>
        </w:rPr>
      </w:pPr>
    </w:p>
    <w:p w:rsidR="00710A06" w:rsidRDefault="00710A06" w:rsidP="00C45465">
      <w:pPr>
        <w:spacing w:after="0" w:line="360" w:lineRule="auto"/>
        <w:jc w:val="both"/>
        <w:rPr>
          <w:rFonts w:ascii="Arial" w:hAnsi="Arial" w:cs="Arial"/>
          <w:b/>
          <w:color w:val="000000" w:themeColor="text1"/>
          <w:sz w:val="24"/>
          <w:szCs w:val="24"/>
        </w:rPr>
      </w:pPr>
      <w:r w:rsidRPr="00710A06">
        <w:rPr>
          <w:rFonts w:ascii="Arial" w:hAnsi="Arial" w:cs="Arial"/>
          <w:b/>
          <w:color w:val="000000" w:themeColor="text1"/>
          <w:sz w:val="24"/>
          <w:szCs w:val="24"/>
        </w:rPr>
        <w:t>ENTORNO INTERNACIONAL</w:t>
      </w:r>
    </w:p>
    <w:p w:rsidR="00E40CB7" w:rsidRPr="00710A06" w:rsidRDefault="00E40CB7" w:rsidP="00C45465">
      <w:pPr>
        <w:spacing w:after="0" w:line="360" w:lineRule="auto"/>
        <w:jc w:val="both"/>
        <w:rPr>
          <w:rFonts w:ascii="Arial" w:hAnsi="Arial" w:cs="Arial"/>
          <w:b/>
          <w:color w:val="000000" w:themeColor="text1"/>
          <w:sz w:val="24"/>
          <w:szCs w:val="24"/>
        </w:rPr>
      </w:pPr>
    </w:p>
    <w:p w:rsidR="00710A06" w:rsidRDefault="00710A06" w:rsidP="00C45465">
      <w:pPr>
        <w:pStyle w:val="PRIMERAPLANA"/>
        <w:spacing w:line="360" w:lineRule="auto"/>
        <w:rPr>
          <w:rFonts w:cs="Arial"/>
          <w:iCs/>
          <w:color w:val="000000" w:themeColor="text1"/>
          <w:sz w:val="24"/>
          <w:szCs w:val="24"/>
          <w:lang w:val="es-ES"/>
        </w:rPr>
      </w:pPr>
      <w:r w:rsidRPr="00710A06">
        <w:rPr>
          <w:rFonts w:cs="Arial"/>
          <w:iCs/>
          <w:color w:val="000000" w:themeColor="text1"/>
          <w:sz w:val="24"/>
          <w:szCs w:val="24"/>
          <w:lang w:val="es-ES"/>
        </w:rPr>
        <w:t xml:space="preserve">De acuerdo con el Fondo Monetario Internacional (FMI), se espera que el crecimiento global se acelere en 2017 y permanezca sólido en 2018. En particular, se anticipa que la economía global crezca 3.5 por ciento en 2017, 0.3 </w:t>
      </w:r>
      <w:proofErr w:type="spellStart"/>
      <w:r w:rsidRPr="00710A06">
        <w:rPr>
          <w:rFonts w:cs="Arial"/>
          <w:iCs/>
          <w:color w:val="000000" w:themeColor="text1"/>
          <w:sz w:val="24"/>
          <w:szCs w:val="24"/>
          <w:lang w:val="es-ES"/>
        </w:rPr>
        <w:t>pp</w:t>
      </w:r>
      <w:proofErr w:type="spellEnd"/>
      <w:r w:rsidRPr="00710A06">
        <w:rPr>
          <w:rFonts w:cs="Arial"/>
          <w:iCs/>
          <w:color w:val="000000" w:themeColor="text1"/>
          <w:sz w:val="24"/>
          <w:szCs w:val="24"/>
          <w:lang w:val="es-ES"/>
        </w:rPr>
        <w:t xml:space="preserve"> por arriba de lo registrado en 2016, y que el ritmo de crecimiento se acelere ligeramente en 2018, para llegar a 3.6 por ciento.</w:t>
      </w:r>
    </w:p>
    <w:p w:rsidR="00E40CB7" w:rsidRPr="00710A06" w:rsidRDefault="00E40CB7" w:rsidP="00C45465">
      <w:pPr>
        <w:pStyle w:val="PRIMERAPLANA"/>
        <w:spacing w:line="360" w:lineRule="auto"/>
        <w:rPr>
          <w:rFonts w:cs="Arial"/>
          <w:iCs/>
          <w:color w:val="000000" w:themeColor="text1"/>
          <w:sz w:val="24"/>
          <w:szCs w:val="24"/>
          <w:lang w:val="es-ES"/>
        </w:rPr>
      </w:pPr>
    </w:p>
    <w:p w:rsidR="00710A06" w:rsidRDefault="00710A06" w:rsidP="00C45465">
      <w:pPr>
        <w:pStyle w:val="PRIMERAPLANA"/>
        <w:spacing w:line="360" w:lineRule="auto"/>
        <w:rPr>
          <w:rFonts w:cs="Arial"/>
          <w:iCs/>
          <w:color w:val="000000" w:themeColor="text1"/>
          <w:sz w:val="24"/>
          <w:szCs w:val="24"/>
          <w:lang w:val="es-ES"/>
        </w:rPr>
      </w:pPr>
      <w:r w:rsidRPr="00710A06">
        <w:rPr>
          <w:rFonts w:cs="Arial"/>
          <w:iCs/>
          <w:color w:val="000000" w:themeColor="text1"/>
          <w:sz w:val="24"/>
          <w:szCs w:val="24"/>
          <w:lang w:val="es-ES"/>
        </w:rPr>
        <w:t>En su actualización de julio a los pronósticos de crecimiento de la economía mundial, el FMI realizó una revisión al desempeño esperado de las economías avanzadas y emergentes en 2017 y 2018 que no implicó modificaciones a las expectativas globales de crecimiento para dichos años presentadas en abril (</w:t>
      </w:r>
      <w:proofErr w:type="spellStart"/>
      <w:r w:rsidRPr="00710A06">
        <w:rPr>
          <w:rFonts w:cs="Arial"/>
          <w:iCs/>
          <w:color w:val="000000" w:themeColor="text1"/>
          <w:sz w:val="24"/>
          <w:szCs w:val="24"/>
          <w:lang w:val="es-ES"/>
        </w:rPr>
        <w:t>World</w:t>
      </w:r>
      <w:proofErr w:type="spellEnd"/>
      <w:r w:rsidRPr="00710A06">
        <w:rPr>
          <w:rFonts w:cs="Arial"/>
          <w:iCs/>
          <w:color w:val="000000" w:themeColor="text1"/>
          <w:sz w:val="24"/>
          <w:szCs w:val="24"/>
          <w:lang w:val="es-ES"/>
        </w:rPr>
        <w:t xml:space="preserve"> </w:t>
      </w:r>
      <w:proofErr w:type="spellStart"/>
      <w:r w:rsidRPr="00710A06">
        <w:rPr>
          <w:rFonts w:cs="Arial"/>
          <w:iCs/>
          <w:color w:val="000000" w:themeColor="text1"/>
          <w:sz w:val="24"/>
          <w:szCs w:val="24"/>
          <w:lang w:val="es-ES"/>
        </w:rPr>
        <w:t>Economic</w:t>
      </w:r>
      <w:proofErr w:type="spellEnd"/>
      <w:r w:rsidRPr="00710A06">
        <w:rPr>
          <w:rFonts w:cs="Arial"/>
          <w:iCs/>
          <w:color w:val="000000" w:themeColor="text1"/>
          <w:sz w:val="24"/>
          <w:szCs w:val="24"/>
          <w:lang w:val="es-ES"/>
        </w:rPr>
        <w:t xml:space="preserve"> Outlook). El panorama global indica que los riesgos para el crecimiento económico mundial parecen estar balanceados en el corto plazo, pero permanecen inclinados a la baja en el mediano plazo.</w:t>
      </w:r>
    </w:p>
    <w:p w:rsidR="00E40CB7" w:rsidRPr="00710A06" w:rsidRDefault="00E40CB7" w:rsidP="00C45465">
      <w:pPr>
        <w:pStyle w:val="PRIMERAPLANA"/>
        <w:spacing w:line="360" w:lineRule="auto"/>
        <w:rPr>
          <w:rFonts w:cs="Arial"/>
          <w:iCs/>
          <w:color w:val="000000" w:themeColor="text1"/>
          <w:sz w:val="24"/>
          <w:szCs w:val="24"/>
          <w:lang w:val="es-ES"/>
        </w:rPr>
      </w:pPr>
    </w:p>
    <w:p w:rsidR="00710A06" w:rsidRDefault="00710A06" w:rsidP="00C45465">
      <w:pPr>
        <w:pStyle w:val="PRIMERAPLANA"/>
        <w:spacing w:line="360" w:lineRule="auto"/>
        <w:rPr>
          <w:rFonts w:cs="Arial"/>
          <w:iCs/>
          <w:color w:val="000000" w:themeColor="text1"/>
          <w:sz w:val="24"/>
          <w:szCs w:val="24"/>
          <w:lang w:val="es-ES"/>
        </w:rPr>
      </w:pPr>
      <w:r w:rsidRPr="00710A06">
        <w:rPr>
          <w:rFonts w:cs="Arial"/>
          <w:iCs/>
          <w:color w:val="000000" w:themeColor="text1"/>
          <w:sz w:val="24"/>
          <w:szCs w:val="24"/>
          <w:lang w:val="es-ES"/>
        </w:rPr>
        <w:t xml:space="preserve">Para 2017 se espera que las economías avanzadas incrementen su ritmo de crecimiento respecto a 2016, aunque para algunas de ellas se registraron revisiones a la baja. La expectativa de crecimiento en 2017 y 2018 para Estados Unidos se redujo, principalmente anticipando que la política fiscal en aquel país sea menos expansiva de lo que se asumía anteriormente. Por otro lado, la debilidad de los datos de actividad de Reino Unido en el primer trimestre derivó en ajustes a la baja en su crecimiento </w:t>
      </w:r>
      <w:r w:rsidRPr="00710A06">
        <w:rPr>
          <w:rFonts w:cs="Arial"/>
          <w:iCs/>
          <w:color w:val="000000" w:themeColor="text1"/>
          <w:sz w:val="24"/>
          <w:szCs w:val="24"/>
          <w:lang w:val="es-ES"/>
        </w:rPr>
        <w:lastRenderedPageBreak/>
        <w:t>estimado para 2017. En contraste, para la mayoría de las economías de la Zona del Euro los pronósticos fueron revisados al alza, reflejando un mejor desempeño de la demanda interna. En este contexto, el pronóstico de crecimiento de las economías avanzadas para 2017 permaneció sin cambios en 2.0 por ciento, mientras que para 2018 fue revisado marginalmente a la baja, de 2.0 a 1.9 por ciento.</w:t>
      </w:r>
    </w:p>
    <w:p w:rsidR="00E40CB7" w:rsidRPr="00710A06" w:rsidRDefault="00E40CB7" w:rsidP="00C45465">
      <w:pPr>
        <w:pStyle w:val="PRIMERAPLANA"/>
        <w:spacing w:line="360" w:lineRule="auto"/>
        <w:rPr>
          <w:rFonts w:cs="Arial"/>
          <w:iCs/>
          <w:color w:val="000000" w:themeColor="text1"/>
          <w:sz w:val="24"/>
          <w:szCs w:val="24"/>
          <w:lang w:val="es-ES"/>
        </w:rPr>
      </w:pPr>
    </w:p>
    <w:p w:rsidR="00710A06" w:rsidRDefault="00710A06" w:rsidP="00C45465">
      <w:pPr>
        <w:pStyle w:val="PRIMERAPLANA"/>
        <w:spacing w:line="360" w:lineRule="auto"/>
        <w:rPr>
          <w:rFonts w:cs="Arial"/>
          <w:iCs/>
          <w:color w:val="000000" w:themeColor="text1"/>
          <w:sz w:val="24"/>
          <w:szCs w:val="24"/>
          <w:lang w:val="es-ES"/>
        </w:rPr>
      </w:pPr>
      <w:r w:rsidRPr="00710A06">
        <w:rPr>
          <w:rFonts w:cs="Arial"/>
          <w:iCs/>
          <w:color w:val="000000" w:themeColor="text1"/>
          <w:sz w:val="24"/>
          <w:szCs w:val="24"/>
          <w:lang w:val="es-ES"/>
        </w:rPr>
        <w:t>Se espera que el crecimiento de las economías emergentes sea robusto en la mayoría de los países. En particular, se anticipa que el ritmo de expansión de China e India permanezca sólido y que el crecimiento en Latinoamérica se recupere gradualmente con Brasil y Argentina alcanzando el final de sus periodos de recesión. El FMI estima que las economías emergentes pasen de crecer a un ritmo anual de 4.3 por ciento en 2016 a 4.6 por ciento en 2017 y 4.8 por ciento en 2018.</w:t>
      </w:r>
    </w:p>
    <w:p w:rsidR="00E40CB7" w:rsidRPr="00710A06" w:rsidRDefault="00E40CB7" w:rsidP="00C45465">
      <w:pPr>
        <w:pStyle w:val="PRIMERAPLANA"/>
        <w:spacing w:line="360" w:lineRule="auto"/>
        <w:rPr>
          <w:rFonts w:cs="Arial"/>
          <w:iCs/>
          <w:color w:val="000000" w:themeColor="text1"/>
          <w:sz w:val="24"/>
          <w:szCs w:val="24"/>
          <w:lang w:val="es-ES"/>
        </w:rPr>
      </w:pPr>
    </w:p>
    <w:p w:rsidR="00710A06" w:rsidRDefault="00710A06" w:rsidP="00C45465">
      <w:pPr>
        <w:pStyle w:val="PRIMERAPLANA"/>
        <w:spacing w:line="360" w:lineRule="auto"/>
        <w:rPr>
          <w:rFonts w:cs="Arial"/>
          <w:iCs/>
          <w:color w:val="000000" w:themeColor="text1"/>
          <w:sz w:val="24"/>
          <w:szCs w:val="24"/>
          <w:lang w:val="es-ES"/>
        </w:rPr>
      </w:pPr>
      <w:r w:rsidRPr="00710A06">
        <w:rPr>
          <w:rFonts w:cs="Arial"/>
          <w:iCs/>
          <w:color w:val="000000" w:themeColor="text1"/>
          <w:sz w:val="24"/>
          <w:szCs w:val="24"/>
          <w:lang w:val="es-ES"/>
        </w:rPr>
        <w:t>El escenario macroeconómico de mediano plazo está sujeto a riesgos que podrían modificar las trayectorias anticipadas. Dentro de los riesgos a la baja destacan:</w:t>
      </w:r>
    </w:p>
    <w:p w:rsidR="00E40CB7" w:rsidRPr="00710A06" w:rsidRDefault="00E40CB7" w:rsidP="00C45465">
      <w:pPr>
        <w:pStyle w:val="PRIMERAPLANA"/>
        <w:spacing w:line="360" w:lineRule="auto"/>
        <w:rPr>
          <w:rFonts w:cs="Arial"/>
          <w:iCs/>
          <w:color w:val="000000" w:themeColor="text1"/>
          <w:sz w:val="24"/>
          <w:szCs w:val="24"/>
          <w:lang w:val="es-ES"/>
        </w:rPr>
      </w:pPr>
    </w:p>
    <w:p w:rsidR="00710A06" w:rsidRDefault="00710A06" w:rsidP="00C45465">
      <w:pPr>
        <w:pStyle w:val="PRIMERAPLANA"/>
        <w:numPr>
          <w:ilvl w:val="0"/>
          <w:numId w:val="36"/>
        </w:numPr>
        <w:spacing w:line="360" w:lineRule="auto"/>
        <w:rPr>
          <w:rFonts w:cs="Arial"/>
          <w:iCs/>
          <w:color w:val="000000" w:themeColor="text1"/>
          <w:sz w:val="24"/>
          <w:szCs w:val="24"/>
          <w:lang w:val="es-ES"/>
        </w:rPr>
      </w:pPr>
      <w:r w:rsidRPr="00710A06">
        <w:rPr>
          <w:rFonts w:cs="Arial"/>
          <w:iCs/>
          <w:color w:val="000000" w:themeColor="text1"/>
          <w:sz w:val="24"/>
          <w:szCs w:val="24"/>
          <w:lang w:val="es-ES"/>
        </w:rPr>
        <w:t>Resultado no favorable en la renegociación del Tratado de Libre Comercio de América el Norte (TLCAN). En caso de que al término de las rondas de negociación los intereses de México se vean afectados o de materializarse la salida de Estados Unidos del acuerdo, el resultado se reflejaría en una desaceleración del comercio y los flujos de inversión en sectores clave de la economía.</w:t>
      </w:r>
    </w:p>
    <w:p w:rsidR="00E40CB7" w:rsidRPr="00710A06" w:rsidRDefault="00E40CB7" w:rsidP="00E40CB7">
      <w:pPr>
        <w:pStyle w:val="PRIMERAPLANA"/>
        <w:spacing w:line="360" w:lineRule="auto"/>
        <w:ind w:left="720"/>
        <w:rPr>
          <w:rFonts w:cs="Arial"/>
          <w:iCs/>
          <w:color w:val="000000" w:themeColor="text1"/>
          <w:sz w:val="24"/>
          <w:szCs w:val="24"/>
          <w:lang w:val="es-ES"/>
        </w:rPr>
      </w:pPr>
    </w:p>
    <w:p w:rsidR="00710A06" w:rsidRDefault="00710A06" w:rsidP="00C45465">
      <w:pPr>
        <w:pStyle w:val="PRIMERAPLANA"/>
        <w:numPr>
          <w:ilvl w:val="0"/>
          <w:numId w:val="36"/>
        </w:numPr>
        <w:spacing w:line="360" w:lineRule="auto"/>
        <w:rPr>
          <w:rFonts w:cs="Arial"/>
          <w:iCs/>
          <w:color w:val="000000" w:themeColor="text1"/>
          <w:sz w:val="24"/>
          <w:szCs w:val="24"/>
          <w:lang w:val="es-ES"/>
        </w:rPr>
      </w:pPr>
      <w:r w:rsidRPr="00710A06">
        <w:rPr>
          <w:rFonts w:cs="Arial"/>
          <w:iCs/>
          <w:color w:val="000000" w:themeColor="text1"/>
          <w:sz w:val="24"/>
          <w:szCs w:val="24"/>
          <w:lang w:val="es-ES"/>
        </w:rPr>
        <w:t xml:space="preserve">Un crecimiento económico de Estados Unidos menor que el previsto. En caso de materializarse un menor crecimiento de esa economía, </w:t>
      </w:r>
      <w:r w:rsidRPr="00710A06">
        <w:rPr>
          <w:rFonts w:cs="Arial"/>
          <w:iCs/>
          <w:color w:val="000000" w:themeColor="text1"/>
          <w:sz w:val="24"/>
          <w:szCs w:val="24"/>
          <w:lang w:val="es-ES"/>
        </w:rPr>
        <w:lastRenderedPageBreak/>
        <w:t>las exportaciones de México aumentarían a tasas menores que las proyectadas.</w:t>
      </w:r>
    </w:p>
    <w:p w:rsidR="00E40CB7" w:rsidRPr="00710A06" w:rsidRDefault="00E40CB7" w:rsidP="00E40CB7">
      <w:pPr>
        <w:pStyle w:val="PRIMERAPLANA"/>
        <w:spacing w:line="360" w:lineRule="auto"/>
        <w:ind w:left="720"/>
        <w:rPr>
          <w:rFonts w:cs="Arial"/>
          <w:iCs/>
          <w:color w:val="000000" w:themeColor="text1"/>
          <w:sz w:val="24"/>
          <w:szCs w:val="24"/>
          <w:lang w:val="es-ES"/>
        </w:rPr>
      </w:pPr>
    </w:p>
    <w:p w:rsidR="00710A06" w:rsidRDefault="00710A06" w:rsidP="00C45465">
      <w:pPr>
        <w:pStyle w:val="PRIMERAPLANA"/>
        <w:numPr>
          <w:ilvl w:val="0"/>
          <w:numId w:val="36"/>
        </w:numPr>
        <w:spacing w:line="360" w:lineRule="auto"/>
        <w:rPr>
          <w:rFonts w:cs="Arial"/>
          <w:iCs/>
          <w:color w:val="000000" w:themeColor="text1"/>
          <w:sz w:val="24"/>
          <w:szCs w:val="24"/>
          <w:lang w:val="es-ES"/>
        </w:rPr>
      </w:pPr>
      <w:r w:rsidRPr="00710A06">
        <w:rPr>
          <w:rFonts w:cs="Arial"/>
          <w:iCs/>
          <w:color w:val="000000" w:themeColor="text1"/>
          <w:sz w:val="24"/>
          <w:szCs w:val="24"/>
          <w:lang w:val="es-ES"/>
        </w:rPr>
        <w:t>Condiciones en los mercados financieros internacionales menos favorables. Este fenómeno se traduciría en condiciones más restrictivas de financiamiento para los sectores público y privado del país, y en un deterioro en la confianza de consumidores y empresas.</w:t>
      </w:r>
    </w:p>
    <w:p w:rsidR="00E40CB7" w:rsidRPr="00710A06" w:rsidRDefault="00E40CB7" w:rsidP="00E40CB7">
      <w:pPr>
        <w:pStyle w:val="PRIMERAPLANA"/>
        <w:spacing w:line="360" w:lineRule="auto"/>
        <w:ind w:left="720"/>
        <w:rPr>
          <w:rFonts w:cs="Arial"/>
          <w:iCs/>
          <w:color w:val="000000" w:themeColor="text1"/>
          <w:sz w:val="24"/>
          <w:szCs w:val="24"/>
          <w:lang w:val="es-ES"/>
        </w:rPr>
      </w:pPr>
    </w:p>
    <w:p w:rsidR="00710A06" w:rsidRPr="00710A06" w:rsidRDefault="00710A06" w:rsidP="00C45465">
      <w:pPr>
        <w:pStyle w:val="PRIMERAPLANA"/>
        <w:numPr>
          <w:ilvl w:val="0"/>
          <w:numId w:val="36"/>
        </w:numPr>
        <w:spacing w:line="360" w:lineRule="auto"/>
        <w:rPr>
          <w:rFonts w:cs="Arial"/>
          <w:iCs/>
          <w:color w:val="000000" w:themeColor="text1"/>
          <w:sz w:val="24"/>
          <w:szCs w:val="24"/>
          <w:lang w:val="es-ES"/>
        </w:rPr>
      </w:pPr>
      <w:r w:rsidRPr="00710A06">
        <w:rPr>
          <w:rFonts w:cs="Arial"/>
          <w:iCs/>
          <w:color w:val="000000" w:themeColor="text1"/>
          <w:sz w:val="24"/>
          <w:szCs w:val="24"/>
          <w:lang w:val="es-ES"/>
        </w:rPr>
        <w:t>Precios internacionales del petróleo deprimidos o un bajo dinamismo de la plataforma de producción de petróleo. Esta situación afectaría adversamente el nivel de ingresos petroleros, generando presiones a las finanzas públicas en el mediano plazo, así como a la tasa de crecimiento potencial de la economía.</w:t>
      </w:r>
    </w:p>
    <w:p w:rsidR="00710A06" w:rsidRPr="00710A06" w:rsidRDefault="00710A06" w:rsidP="00C45465">
      <w:pPr>
        <w:pStyle w:val="PRIMERAPLANA"/>
        <w:spacing w:line="360" w:lineRule="auto"/>
        <w:ind w:left="720"/>
        <w:rPr>
          <w:rFonts w:cs="Arial"/>
          <w:iCs/>
          <w:color w:val="000000" w:themeColor="text1"/>
          <w:sz w:val="24"/>
          <w:szCs w:val="24"/>
          <w:lang w:val="es-ES"/>
        </w:rPr>
      </w:pPr>
    </w:p>
    <w:p w:rsidR="00710A06" w:rsidRDefault="00710A06" w:rsidP="00C45465">
      <w:pPr>
        <w:spacing w:after="0" w:line="360" w:lineRule="auto"/>
        <w:jc w:val="both"/>
        <w:rPr>
          <w:rFonts w:ascii="Arial" w:hAnsi="Arial" w:cs="Arial"/>
          <w:b/>
          <w:color w:val="000000" w:themeColor="text1"/>
          <w:sz w:val="24"/>
          <w:szCs w:val="24"/>
        </w:rPr>
      </w:pPr>
      <w:r w:rsidRPr="00710A06">
        <w:rPr>
          <w:rFonts w:ascii="Arial" w:hAnsi="Arial" w:cs="Arial"/>
          <w:b/>
          <w:color w:val="000000" w:themeColor="text1"/>
          <w:sz w:val="24"/>
          <w:szCs w:val="24"/>
        </w:rPr>
        <w:t>PANORAMA NACIONAL</w:t>
      </w:r>
    </w:p>
    <w:p w:rsidR="00E40CB7" w:rsidRPr="00710A06" w:rsidRDefault="00E40CB7" w:rsidP="00C45465">
      <w:pPr>
        <w:spacing w:after="0" w:line="360" w:lineRule="auto"/>
        <w:jc w:val="both"/>
        <w:rPr>
          <w:rFonts w:ascii="Arial" w:hAnsi="Arial" w:cs="Arial"/>
          <w:b/>
          <w:color w:val="000000" w:themeColor="text1"/>
          <w:sz w:val="24"/>
          <w:szCs w:val="24"/>
        </w:rPr>
      </w:pPr>
    </w:p>
    <w:p w:rsidR="00710A06" w:rsidRDefault="00710A06" w:rsidP="00C45465">
      <w:pPr>
        <w:pStyle w:val="PRIMERAPLANA"/>
        <w:spacing w:line="360" w:lineRule="auto"/>
        <w:rPr>
          <w:rFonts w:cs="Arial"/>
          <w:color w:val="000000" w:themeColor="text1"/>
          <w:sz w:val="24"/>
          <w:szCs w:val="24"/>
          <w:lang w:val="es-ES"/>
        </w:rPr>
      </w:pPr>
      <w:r w:rsidRPr="00710A06">
        <w:rPr>
          <w:rFonts w:cs="Arial"/>
          <w:color w:val="000000" w:themeColor="text1"/>
          <w:sz w:val="24"/>
          <w:szCs w:val="24"/>
          <w:lang w:val="es-ES"/>
        </w:rPr>
        <w:t xml:space="preserve">Con base en los Criterios Generales de Política Económica 2018, los indicadores que se toman como referencia para efectuar las proyecciones de ingresos son los empleados en el Proyecto de Presupuesto de Egresos de la Federación para el Ejercicio Fiscal del año 2018; con una expectativa de crecimiento económico de entre 2.0 y 3.0%, el tipo de cambio promedio anual de 18.1 pesos por dólar, y un precio del barril de petróleo de 46.0 dólares, con una plataforma de exportación promedio de 888 mil barriles diarios. Se proyecta que el valor real de las exportaciones de bienes y servicios registre un incremento anual de 3.6%. Por otro lado, se prevé que la inversión y el consumo se incrementen a tasas anuales de 1.8 y 2.6%, respectivamente. Se anticipa que al cierre de 2017 la inflación se ubicará en un nivel consistente con el objetivo establecido por el Banco de México de </w:t>
      </w:r>
      <w:r w:rsidRPr="00710A06">
        <w:rPr>
          <w:rFonts w:cs="Arial"/>
          <w:color w:val="000000" w:themeColor="text1"/>
          <w:sz w:val="24"/>
          <w:szCs w:val="24"/>
          <w:lang w:val="es-ES"/>
        </w:rPr>
        <w:lastRenderedPageBreak/>
        <w:t>3.0% con un intervalo de variabilidad de más/menos un punto porcentual. Asimismo, se calcula que el déficit en la cuenta corriente de la balanza de pagos será de alrededor de 1.8% del PIB. Se proyecta que el flujo de inversión extranjera directa financiará totalmente el déficit en cuenta corriente.</w:t>
      </w:r>
    </w:p>
    <w:p w:rsidR="00E40CB7" w:rsidRPr="00710A06" w:rsidRDefault="00E40CB7" w:rsidP="00C45465">
      <w:pPr>
        <w:pStyle w:val="PRIMERAPLANA"/>
        <w:spacing w:line="360" w:lineRule="auto"/>
        <w:rPr>
          <w:rFonts w:cs="Arial"/>
          <w:color w:val="000000" w:themeColor="text1"/>
          <w:sz w:val="24"/>
          <w:szCs w:val="24"/>
          <w:lang w:val="es-ES"/>
        </w:rPr>
      </w:pPr>
    </w:p>
    <w:p w:rsidR="00710A06" w:rsidRDefault="00710A06" w:rsidP="00C45465">
      <w:pPr>
        <w:pStyle w:val="PRIMERAPLANA"/>
        <w:spacing w:line="360" w:lineRule="auto"/>
        <w:rPr>
          <w:rFonts w:cs="Arial"/>
          <w:color w:val="000000" w:themeColor="text1"/>
          <w:sz w:val="24"/>
          <w:szCs w:val="24"/>
          <w:lang w:val="es-ES"/>
        </w:rPr>
      </w:pPr>
      <w:r w:rsidRPr="00710A06">
        <w:rPr>
          <w:rFonts w:cs="Arial"/>
          <w:color w:val="000000" w:themeColor="text1"/>
          <w:sz w:val="24"/>
          <w:szCs w:val="24"/>
          <w:lang w:val="es-ES"/>
        </w:rPr>
        <w:t>A cuatro años de su implementación, los resultados de la Reforma Hacendaria han sido favorables. Entre 2013 y 2016 los ingresos tributarios aumentaron en 4.5 puntos porcentuales del PIB para alcanzar un máximo histórico de 13.9 por ciento del producto, lo cual permitió compensar la disminución de 4.3 puntos porcentuales del PIB en los ingresos petroleros durante el mismo periodo. Esto también significó un cambio en la composición de los ingresos hacia fuentes más estables y menos sujetas a riesgos provenientes del exterior. Mientras que en 2013 los ingresos petroleros representaron 35.5 por ciento del total de los ingresos del Sector Público, en 2016 representaron el 16.3 por ciento, por lo que hoy las finanzas públicas son más sólidas.</w:t>
      </w:r>
    </w:p>
    <w:p w:rsidR="00E40CB7" w:rsidRPr="00710A06" w:rsidRDefault="00E40CB7" w:rsidP="00C45465">
      <w:pPr>
        <w:pStyle w:val="PRIMERAPLANA"/>
        <w:spacing w:line="360" w:lineRule="auto"/>
        <w:rPr>
          <w:rFonts w:cs="Arial"/>
          <w:color w:val="000000" w:themeColor="text1"/>
          <w:sz w:val="24"/>
          <w:szCs w:val="24"/>
          <w:lang w:val="es-ES"/>
        </w:rPr>
      </w:pPr>
    </w:p>
    <w:p w:rsidR="00710A06" w:rsidRDefault="00710A06" w:rsidP="00C45465">
      <w:pPr>
        <w:pStyle w:val="PRIMERAPLANA"/>
        <w:spacing w:line="360" w:lineRule="auto"/>
        <w:rPr>
          <w:rFonts w:cs="Arial"/>
          <w:color w:val="000000" w:themeColor="text1"/>
          <w:sz w:val="24"/>
          <w:szCs w:val="24"/>
          <w:lang w:val="es-ES"/>
        </w:rPr>
      </w:pPr>
      <w:r w:rsidRPr="00710A06">
        <w:rPr>
          <w:rFonts w:cs="Arial"/>
          <w:color w:val="000000" w:themeColor="text1"/>
          <w:sz w:val="24"/>
          <w:szCs w:val="24"/>
          <w:lang w:val="es-ES"/>
        </w:rPr>
        <w:t xml:space="preserve">Es importante resaltar que desde 2014 se ha dotado de certidumbre a los agentes económicos sobre el marco tributario prevaleciente hasta 2018, al tiempo que las finanzas públicas han seguido la trayectoria de consolidación fiscal comprometida en 2013. Esa estrategia ha contribuido a que nuestro país haya podido mitigar de la mejor manera posible los efectos de una elevada volatilidad e incertidumbre en el entorno económico global. </w:t>
      </w:r>
    </w:p>
    <w:p w:rsidR="00E40CB7" w:rsidRPr="00710A06" w:rsidRDefault="00E40CB7" w:rsidP="00C45465">
      <w:pPr>
        <w:pStyle w:val="PRIMERAPLANA"/>
        <w:spacing w:line="360" w:lineRule="auto"/>
        <w:rPr>
          <w:rFonts w:cs="Arial"/>
          <w:color w:val="000000" w:themeColor="text1"/>
          <w:sz w:val="24"/>
          <w:szCs w:val="24"/>
          <w:lang w:val="es-ES"/>
        </w:rPr>
      </w:pPr>
    </w:p>
    <w:p w:rsidR="00710A06" w:rsidRDefault="00710A06" w:rsidP="00C45465">
      <w:pPr>
        <w:pStyle w:val="PRIMERAPLANA"/>
        <w:spacing w:line="360" w:lineRule="auto"/>
        <w:rPr>
          <w:rFonts w:cs="Arial"/>
          <w:color w:val="000000" w:themeColor="text1"/>
          <w:sz w:val="24"/>
          <w:szCs w:val="24"/>
          <w:lang w:val="es-ES"/>
        </w:rPr>
      </w:pPr>
      <w:r w:rsidRPr="00710A06">
        <w:rPr>
          <w:rFonts w:cs="Arial"/>
          <w:color w:val="000000" w:themeColor="text1"/>
          <w:sz w:val="24"/>
          <w:szCs w:val="24"/>
          <w:lang w:val="es-ES"/>
        </w:rPr>
        <w:t xml:space="preserve">El entorno macroeconómico previsto para 2018 se encuentra sujeto a riesgos a la baja que podrían modificar las estimaciones anteriores, </w:t>
      </w:r>
      <w:r w:rsidRPr="00710A06">
        <w:rPr>
          <w:rFonts w:cs="Arial"/>
          <w:color w:val="000000" w:themeColor="text1"/>
          <w:sz w:val="24"/>
          <w:szCs w:val="24"/>
          <w:lang w:val="es-ES"/>
        </w:rPr>
        <w:lastRenderedPageBreak/>
        <w:t xml:space="preserve">impactando de manera negativa la economía local, donde destacan los siguientes: </w:t>
      </w:r>
    </w:p>
    <w:p w:rsidR="00E40CB7" w:rsidRPr="00710A06" w:rsidRDefault="00E40CB7" w:rsidP="00C45465">
      <w:pPr>
        <w:pStyle w:val="PRIMERAPLANA"/>
        <w:spacing w:line="360" w:lineRule="auto"/>
        <w:rPr>
          <w:rFonts w:cs="Arial"/>
          <w:color w:val="000000" w:themeColor="text1"/>
          <w:sz w:val="24"/>
          <w:szCs w:val="24"/>
          <w:lang w:val="es-ES"/>
        </w:rPr>
      </w:pPr>
    </w:p>
    <w:p w:rsidR="00710A06" w:rsidRDefault="00710A06" w:rsidP="00C45465">
      <w:pPr>
        <w:pStyle w:val="PRIMERAPLANA"/>
        <w:numPr>
          <w:ilvl w:val="0"/>
          <w:numId w:val="35"/>
        </w:numPr>
        <w:spacing w:line="360" w:lineRule="auto"/>
        <w:rPr>
          <w:rFonts w:cs="Arial"/>
          <w:color w:val="000000" w:themeColor="text1"/>
          <w:sz w:val="24"/>
          <w:szCs w:val="24"/>
          <w:lang w:val="es-ES"/>
        </w:rPr>
      </w:pPr>
      <w:r w:rsidRPr="00710A06">
        <w:rPr>
          <w:rFonts w:cs="Arial"/>
          <w:color w:val="000000" w:themeColor="text1"/>
          <w:sz w:val="24"/>
          <w:szCs w:val="24"/>
          <w:lang w:val="es-ES"/>
        </w:rPr>
        <w:t xml:space="preserve">Una posposición de la renegociación del TLCAN o bien que se abandone el tratado por parte de alguno de los miembros; </w:t>
      </w:r>
    </w:p>
    <w:p w:rsidR="00E40CB7" w:rsidRPr="00710A06" w:rsidRDefault="00E40CB7" w:rsidP="00E40CB7">
      <w:pPr>
        <w:pStyle w:val="PRIMERAPLANA"/>
        <w:spacing w:line="360" w:lineRule="auto"/>
        <w:ind w:left="720"/>
        <w:rPr>
          <w:rFonts w:cs="Arial"/>
          <w:color w:val="000000" w:themeColor="text1"/>
          <w:sz w:val="24"/>
          <w:szCs w:val="24"/>
          <w:lang w:val="es-ES"/>
        </w:rPr>
      </w:pPr>
    </w:p>
    <w:p w:rsidR="00710A06" w:rsidRDefault="00710A06" w:rsidP="00C45465">
      <w:pPr>
        <w:pStyle w:val="PRIMERAPLANA"/>
        <w:numPr>
          <w:ilvl w:val="0"/>
          <w:numId w:val="35"/>
        </w:numPr>
        <w:spacing w:line="360" w:lineRule="auto"/>
        <w:rPr>
          <w:rFonts w:cs="Arial"/>
          <w:color w:val="000000" w:themeColor="text1"/>
          <w:sz w:val="24"/>
          <w:szCs w:val="24"/>
          <w:lang w:val="es-ES"/>
        </w:rPr>
      </w:pPr>
      <w:r w:rsidRPr="00710A06">
        <w:rPr>
          <w:rFonts w:cs="Arial"/>
          <w:color w:val="000000" w:themeColor="text1"/>
          <w:sz w:val="24"/>
          <w:szCs w:val="24"/>
          <w:lang w:val="es-ES"/>
        </w:rPr>
        <w:t xml:space="preserve">Un menor dinamismo de la economía de Estados Unidos; </w:t>
      </w:r>
    </w:p>
    <w:p w:rsidR="00E40CB7" w:rsidRPr="00710A06" w:rsidRDefault="00E40CB7" w:rsidP="00E40CB7">
      <w:pPr>
        <w:pStyle w:val="PRIMERAPLANA"/>
        <w:spacing w:line="360" w:lineRule="auto"/>
        <w:ind w:left="720"/>
        <w:rPr>
          <w:rFonts w:cs="Arial"/>
          <w:color w:val="000000" w:themeColor="text1"/>
          <w:sz w:val="24"/>
          <w:szCs w:val="24"/>
          <w:lang w:val="es-ES"/>
        </w:rPr>
      </w:pPr>
    </w:p>
    <w:p w:rsidR="00710A06" w:rsidRDefault="00710A06" w:rsidP="00C45465">
      <w:pPr>
        <w:pStyle w:val="PRIMERAPLANA"/>
        <w:numPr>
          <w:ilvl w:val="0"/>
          <w:numId w:val="35"/>
        </w:numPr>
        <w:spacing w:line="360" w:lineRule="auto"/>
        <w:rPr>
          <w:rFonts w:cs="Arial"/>
          <w:color w:val="000000" w:themeColor="text1"/>
          <w:sz w:val="24"/>
          <w:szCs w:val="24"/>
          <w:lang w:val="es-ES"/>
        </w:rPr>
      </w:pPr>
      <w:r w:rsidRPr="00710A06">
        <w:rPr>
          <w:rFonts w:cs="Arial"/>
          <w:color w:val="000000" w:themeColor="text1"/>
          <w:sz w:val="24"/>
          <w:szCs w:val="24"/>
          <w:lang w:val="es-ES"/>
        </w:rPr>
        <w:t xml:space="preserve">Un debilitamiento de la economía mundial; </w:t>
      </w:r>
    </w:p>
    <w:p w:rsidR="00E40CB7" w:rsidRPr="00710A06" w:rsidRDefault="00E40CB7" w:rsidP="00E40CB7">
      <w:pPr>
        <w:pStyle w:val="PRIMERAPLANA"/>
        <w:spacing w:line="360" w:lineRule="auto"/>
        <w:ind w:left="720"/>
        <w:rPr>
          <w:rFonts w:cs="Arial"/>
          <w:color w:val="000000" w:themeColor="text1"/>
          <w:sz w:val="24"/>
          <w:szCs w:val="24"/>
          <w:lang w:val="es-ES"/>
        </w:rPr>
      </w:pPr>
    </w:p>
    <w:p w:rsidR="00710A06" w:rsidRDefault="00710A06" w:rsidP="00C45465">
      <w:pPr>
        <w:pStyle w:val="PRIMERAPLANA"/>
        <w:numPr>
          <w:ilvl w:val="0"/>
          <w:numId w:val="35"/>
        </w:numPr>
        <w:spacing w:line="360" w:lineRule="auto"/>
        <w:rPr>
          <w:rFonts w:cs="Arial"/>
          <w:color w:val="000000" w:themeColor="text1"/>
          <w:sz w:val="24"/>
          <w:szCs w:val="24"/>
          <w:lang w:val="es-ES"/>
        </w:rPr>
      </w:pPr>
      <w:r w:rsidRPr="00710A06">
        <w:rPr>
          <w:rFonts w:cs="Arial"/>
          <w:color w:val="000000" w:themeColor="text1"/>
          <w:sz w:val="24"/>
          <w:szCs w:val="24"/>
          <w:lang w:val="es-ES"/>
        </w:rPr>
        <w:t xml:space="preserve">Una elevada volatilidad en los mercados financieros internacionales; </w:t>
      </w:r>
    </w:p>
    <w:p w:rsidR="00E40CB7" w:rsidRPr="00710A06" w:rsidRDefault="00E40CB7" w:rsidP="00E40CB7">
      <w:pPr>
        <w:pStyle w:val="PRIMERAPLANA"/>
        <w:spacing w:line="360" w:lineRule="auto"/>
        <w:ind w:left="720"/>
        <w:rPr>
          <w:rFonts w:cs="Arial"/>
          <w:color w:val="000000" w:themeColor="text1"/>
          <w:sz w:val="24"/>
          <w:szCs w:val="24"/>
          <w:lang w:val="es-ES"/>
        </w:rPr>
      </w:pPr>
    </w:p>
    <w:p w:rsidR="00710A06" w:rsidRDefault="00710A06" w:rsidP="00C45465">
      <w:pPr>
        <w:pStyle w:val="PRIMERAPLANA"/>
        <w:numPr>
          <w:ilvl w:val="0"/>
          <w:numId w:val="35"/>
        </w:numPr>
        <w:spacing w:line="360" w:lineRule="auto"/>
        <w:rPr>
          <w:rFonts w:cs="Arial"/>
          <w:color w:val="000000" w:themeColor="text1"/>
          <w:sz w:val="24"/>
          <w:szCs w:val="24"/>
          <w:lang w:val="es-ES"/>
        </w:rPr>
      </w:pPr>
      <w:r w:rsidRPr="00710A06">
        <w:rPr>
          <w:rFonts w:cs="Arial"/>
          <w:color w:val="000000" w:themeColor="text1"/>
          <w:sz w:val="24"/>
          <w:szCs w:val="24"/>
          <w:lang w:val="es-ES"/>
        </w:rPr>
        <w:t xml:space="preserve">Una plataforma de producción de petróleo menor a la prevista; y, </w:t>
      </w:r>
    </w:p>
    <w:p w:rsidR="00E40CB7" w:rsidRPr="00710A06" w:rsidRDefault="00E40CB7" w:rsidP="00E40CB7">
      <w:pPr>
        <w:pStyle w:val="PRIMERAPLANA"/>
        <w:spacing w:line="360" w:lineRule="auto"/>
        <w:ind w:left="720"/>
        <w:rPr>
          <w:rFonts w:cs="Arial"/>
          <w:color w:val="000000" w:themeColor="text1"/>
          <w:sz w:val="24"/>
          <w:szCs w:val="24"/>
          <w:lang w:val="es-ES"/>
        </w:rPr>
      </w:pPr>
    </w:p>
    <w:p w:rsidR="00710A06" w:rsidRDefault="00710A06" w:rsidP="00C45465">
      <w:pPr>
        <w:pStyle w:val="PRIMERAPLANA"/>
        <w:numPr>
          <w:ilvl w:val="0"/>
          <w:numId w:val="35"/>
        </w:numPr>
        <w:spacing w:line="360" w:lineRule="auto"/>
        <w:rPr>
          <w:rFonts w:cs="Arial"/>
          <w:color w:val="000000" w:themeColor="text1"/>
          <w:sz w:val="24"/>
          <w:szCs w:val="24"/>
          <w:lang w:val="es-ES"/>
        </w:rPr>
      </w:pPr>
      <w:r w:rsidRPr="00710A06">
        <w:rPr>
          <w:rFonts w:cs="Arial"/>
          <w:color w:val="000000" w:themeColor="text1"/>
          <w:sz w:val="24"/>
          <w:szCs w:val="24"/>
          <w:lang w:val="es-ES"/>
        </w:rPr>
        <w:t>Un incremento de las tensiones geopolíticas.</w:t>
      </w:r>
    </w:p>
    <w:p w:rsidR="00E40CB7" w:rsidRPr="00710A06" w:rsidRDefault="00E40CB7" w:rsidP="00E40CB7">
      <w:pPr>
        <w:pStyle w:val="PRIMERAPLANA"/>
        <w:spacing w:line="360" w:lineRule="auto"/>
        <w:ind w:left="720"/>
        <w:rPr>
          <w:rFonts w:cs="Arial"/>
          <w:color w:val="000000" w:themeColor="text1"/>
          <w:sz w:val="24"/>
          <w:szCs w:val="24"/>
          <w:lang w:val="es-ES"/>
        </w:rPr>
      </w:pPr>
    </w:p>
    <w:p w:rsidR="00793EFB" w:rsidRDefault="00793EFB" w:rsidP="00C45465">
      <w:pPr>
        <w:pStyle w:val="PRIMERAPLANA"/>
        <w:spacing w:line="360" w:lineRule="auto"/>
        <w:rPr>
          <w:rFonts w:cs="Arial"/>
          <w:b/>
          <w:color w:val="000000" w:themeColor="text1"/>
          <w:sz w:val="24"/>
          <w:szCs w:val="24"/>
        </w:rPr>
      </w:pPr>
    </w:p>
    <w:p w:rsidR="00710A06" w:rsidRDefault="00710A06" w:rsidP="00C45465">
      <w:pPr>
        <w:pStyle w:val="PRIMERAPLANA"/>
        <w:spacing w:line="360" w:lineRule="auto"/>
        <w:rPr>
          <w:rFonts w:cs="Arial"/>
          <w:b/>
          <w:color w:val="000000" w:themeColor="text1"/>
          <w:sz w:val="24"/>
          <w:szCs w:val="24"/>
        </w:rPr>
      </w:pPr>
      <w:r w:rsidRPr="00710A06">
        <w:rPr>
          <w:rFonts w:cs="Arial"/>
          <w:b/>
          <w:color w:val="000000" w:themeColor="text1"/>
          <w:sz w:val="24"/>
          <w:szCs w:val="24"/>
        </w:rPr>
        <w:t>MODELO DE PRESUPUESTO</w:t>
      </w:r>
    </w:p>
    <w:p w:rsidR="00E40CB7" w:rsidRPr="00710A06" w:rsidRDefault="00E40CB7" w:rsidP="00C45465">
      <w:pPr>
        <w:pStyle w:val="PRIMERAPLANA"/>
        <w:spacing w:line="360" w:lineRule="auto"/>
        <w:rPr>
          <w:rFonts w:cs="Arial"/>
          <w:color w:val="000000" w:themeColor="text1"/>
          <w:sz w:val="24"/>
          <w:szCs w:val="24"/>
          <w:lang w:val="es-ES"/>
        </w:rPr>
      </w:pPr>
    </w:p>
    <w:p w:rsid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t>Por otra parte, es fundamental destacar a esa Honorable Soberanía que el presente Proyecto se encuentra integrado con un enfoque en resultados, mediante el modelo de Presupuesto basado en Resultados (</w:t>
      </w:r>
      <w:proofErr w:type="spellStart"/>
      <w:r w:rsidRPr="00710A06">
        <w:rPr>
          <w:rFonts w:ascii="Arial" w:hAnsi="Arial" w:cs="Arial"/>
          <w:color w:val="000000" w:themeColor="text1"/>
          <w:sz w:val="24"/>
          <w:szCs w:val="24"/>
        </w:rPr>
        <w:t>PbR</w:t>
      </w:r>
      <w:proofErr w:type="spellEnd"/>
      <w:r w:rsidRPr="00710A06">
        <w:rPr>
          <w:rFonts w:ascii="Arial" w:hAnsi="Arial" w:cs="Arial"/>
          <w:color w:val="000000" w:themeColor="text1"/>
          <w:sz w:val="24"/>
          <w:szCs w:val="24"/>
        </w:rPr>
        <w:t xml:space="preserve">), alineado con los objetivos, estrategias y metas programadas para el Ejercicio Fiscal de 2018 de conformidad con lo estipulado en la Ley General de Contabilidad Gubernamental, el Código Financiero para el Estado de Tlaxcala y sus Municipios, y el Plan Estatal de Desarrollo 2017-2021; y a su vez, con el Sistema de Evaluación del Desempeño (SED) que permitirá en el corto y </w:t>
      </w:r>
      <w:r w:rsidRPr="00710A06">
        <w:rPr>
          <w:rFonts w:ascii="Arial" w:hAnsi="Arial" w:cs="Arial"/>
          <w:color w:val="000000" w:themeColor="text1"/>
          <w:sz w:val="24"/>
          <w:szCs w:val="24"/>
        </w:rPr>
        <w:lastRenderedPageBreak/>
        <w:t xml:space="preserve">mediano plazo poder identificar los aspectos susceptibles de mejora en los programas que se ejecuten con recursos públicos. </w:t>
      </w:r>
    </w:p>
    <w:p w:rsidR="00E40CB7" w:rsidRPr="00710A06" w:rsidRDefault="00E40CB7" w:rsidP="00C45465">
      <w:pPr>
        <w:spacing w:after="0" w:line="360" w:lineRule="auto"/>
        <w:jc w:val="both"/>
        <w:rPr>
          <w:rFonts w:ascii="Arial" w:hAnsi="Arial" w:cs="Arial"/>
          <w:color w:val="000000" w:themeColor="text1"/>
          <w:sz w:val="24"/>
          <w:szCs w:val="24"/>
        </w:rPr>
      </w:pPr>
    </w:p>
    <w:p w:rsid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t>Esta técnica presupuestaria se ha utilizado en la construcción e integración de la Estructura Programática 2018 y en el análisis funcional de la estructura organizacional, para determinar ajustes al gasto, instrumentar medidas de contención y ahorro, así como para determinar la elegibilidad de los proyectos de inversión con mayor rentabilidad social.</w:t>
      </w:r>
    </w:p>
    <w:p w:rsidR="00E40CB7" w:rsidRPr="00710A06" w:rsidRDefault="00E40CB7" w:rsidP="00C45465">
      <w:pPr>
        <w:spacing w:after="0" w:line="360" w:lineRule="auto"/>
        <w:jc w:val="both"/>
        <w:rPr>
          <w:rFonts w:ascii="Arial" w:hAnsi="Arial" w:cs="Arial"/>
          <w:color w:val="000000" w:themeColor="text1"/>
          <w:sz w:val="24"/>
          <w:szCs w:val="24"/>
        </w:rPr>
      </w:pPr>
    </w:p>
    <w:p w:rsidR="00710A06" w:rsidRP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t>Se tomó como referencia el modelo de presupuesto del Instituto Mexicano para la Competitividad, A.C. (IMCO A.C.); encontrándose en la elaboración del presente algunas buenas prácticas, siendo las más relevantes la inclusión de la clasificación del gasto por sector y el Anexo de presupuesto para niños, niñas y adolescentes elaborado por el Fondo de las Naciones Unidas para la Infancia (UNICEF).</w:t>
      </w:r>
    </w:p>
    <w:p w:rsidR="00710A06" w:rsidRDefault="00710A06" w:rsidP="00C45465">
      <w:pPr>
        <w:spacing w:after="0" w:line="360" w:lineRule="auto"/>
        <w:jc w:val="both"/>
        <w:rPr>
          <w:rFonts w:ascii="Arial" w:hAnsi="Arial" w:cs="Arial"/>
          <w:color w:val="000000" w:themeColor="text1"/>
          <w:sz w:val="24"/>
          <w:szCs w:val="24"/>
        </w:rPr>
      </w:pPr>
    </w:p>
    <w:p w:rsidR="00793EFB" w:rsidRDefault="00793EFB" w:rsidP="00C45465">
      <w:pPr>
        <w:spacing w:after="0" w:line="360" w:lineRule="auto"/>
        <w:jc w:val="both"/>
        <w:rPr>
          <w:rFonts w:ascii="Arial" w:hAnsi="Arial" w:cs="Arial"/>
          <w:color w:val="000000" w:themeColor="text1"/>
          <w:sz w:val="24"/>
          <w:szCs w:val="24"/>
        </w:rPr>
      </w:pPr>
    </w:p>
    <w:p w:rsidR="00793EFB" w:rsidRDefault="00793EFB" w:rsidP="00C45465">
      <w:pPr>
        <w:spacing w:after="0" w:line="360" w:lineRule="auto"/>
        <w:jc w:val="both"/>
        <w:rPr>
          <w:rFonts w:ascii="Arial" w:hAnsi="Arial" w:cs="Arial"/>
          <w:color w:val="000000" w:themeColor="text1"/>
          <w:sz w:val="24"/>
          <w:szCs w:val="24"/>
        </w:rPr>
      </w:pPr>
    </w:p>
    <w:p w:rsidR="00793EFB" w:rsidRDefault="00793EFB" w:rsidP="00C45465">
      <w:pPr>
        <w:spacing w:after="0" w:line="360" w:lineRule="auto"/>
        <w:jc w:val="both"/>
        <w:rPr>
          <w:rFonts w:ascii="Arial" w:hAnsi="Arial" w:cs="Arial"/>
          <w:color w:val="000000" w:themeColor="text1"/>
          <w:sz w:val="24"/>
          <w:szCs w:val="24"/>
        </w:rPr>
      </w:pPr>
    </w:p>
    <w:p w:rsidR="00793EFB" w:rsidRDefault="00793EFB" w:rsidP="00C45465">
      <w:pPr>
        <w:spacing w:after="0" w:line="360" w:lineRule="auto"/>
        <w:jc w:val="both"/>
        <w:rPr>
          <w:rFonts w:ascii="Arial" w:hAnsi="Arial" w:cs="Arial"/>
          <w:color w:val="000000" w:themeColor="text1"/>
          <w:sz w:val="24"/>
          <w:szCs w:val="24"/>
        </w:rPr>
      </w:pPr>
    </w:p>
    <w:p w:rsidR="00793EFB" w:rsidRDefault="00793EFB" w:rsidP="00C45465">
      <w:pPr>
        <w:spacing w:after="0" w:line="360" w:lineRule="auto"/>
        <w:jc w:val="both"/>
        <w:rPr>
          <w:rFonts w:ascii="Arial" w:hAnsi="Arial" w:cs="Arial"/>
          <w:color w:val="000000" w:themeColor="text1"/>
          <w:sz w:val="24"/>
          <w:szCs w:val="24"/>
        </w:rPr>
      </w:pPr>
    </w:p>
    <w:p w:rsidR="00793EFB" w:rsidRDefault="00793EFB" w:rsidP="00C45465">
      <w:pPr>
        <w:spacing w:after="0" w:line="360" w:lineRule="auto"/>
        <w:jc w:val="both"/>
        <w:rPr>
          <w:rFonts w:ascii="Arial" w:hAnsi="Arial" w:cs="Arial"/>
          <w:color w:val="000000" w:themeColor="text1"/>
          <w:sz w:val="24"/>
          <w:szCs w:val="24"/>
        </w:rPr>
      </w:pPr>
    </w:p>
    <w:p w:rsidR="00793EFB" w:rsidRDefault="00793EFB" w:rsidP="00C45465">
      <w:pPr>
        <w:spacing w:after="0" w:line="360" w:lineRule="auto"/>
        <w:jc w:val="both"/>
        <w:rPr>
          <w:rFonts w:ascii="Arial" w:hAnsi="Arial" w:cs="Arial"/>
          <w:color w:val="000000" w:themeColor="text1"/>
          <w:sz w:val="24"/>
          <w:szCs w:val="24"/>
        </w:rPr>
      </w:pPr>
    </w:p>
    <w:p w:rsidR="00793EFB" w:rsidRDefault="00793EFB" w:rsidP="00C45465">
      <w:pPr>
        <w:spacing w:after="0" w:line="360" w:lineRule="auto"/>
        <w:jc w:val="both"/>
        <w:rPr>
          <w:rFonts w:ascii="Arial" w:hAnsi="Arial" w:cs="Arial"/>
          <w:color w:val="000000" w:themeColor="text1"/>
          <w:sz w:val="24"/>
          <w:szCs w:val="24"/>
        </w:rPr>
      </w:pPr>
    </w:p>
    <w:p w:rsidR="00793EFB" w:rsidRDefault="00793EFB" w:rsidP="00C45465">
      <w:pPr>
        <w:spacing w:after="0" w:line="360" w:lineRule="auto"/>
        <w:jc w:val="both"/>
        <w:rPr>
          <w:rFonts w:ascii="Arial" w:hAnsi="Arial" w:cs="Arial"/>
          <w:color w:val="000000" w:themeColor="text1"/>
          <w:sz w:val="24"/>
          <w:szCs w:val="24"/>
        </w:rPr>
      </w:pPr>
    </w:p>
    <w:p w:rsidR="00793EFB" w:rsidRDefault="00793EFB" w:rsidP="00C45465">
      <w:pPr>
        <w:spacing w:after="0" w:line="360" w:lineRule="auto"/>
        <w:jc w:val="both"/>
        <w:rPr>
          <w:rFonts w:ascii="Arial" w:hAnsi="Arial" w:cs="Arial"/>
          <w:color w:val="000000" w:themeColor="text1"/>
          <w:sz w:val="24"/>
          <w:szCs w:val="24"/>
        </w:rPr>
      </w:pPr>
    </w:p>
    <w:p w:rsidR="00793EFB" w:rsidRDefault="00793EFB" w:rsidP="00C45465">
      <w:pPr>
        <w:spacing w:after="0" w:line="360" w:lineRule="auto"/>
        <w:jc w:val="both"/>
        <w:rPr>
          <w:rFonts w:ascii="Arial" w:hAnsi="Arial" w:cs="Arial"/>
          <w:color w:val="000000" w:themeColor="text1"/>
          <w:sz w:val="24"/>
          <w:szCs w:val="24"/>
        </w:rPr>
      </w:pPr>
    </w:p>
    <w:p w:rsidR="00793EFB" w:rsidRPr="00710A06" w:rsidRDefault="00793EFB" w:rsidP="00C45465">
      <w:pPr>
        <w:spacing w:after="0" w:line="360" w:lineRule="auto"/>
        <w:jc w:val="both"/>
        <w:rPr>
          <w:rFonts w:ascii="Arial" w:hAnsi="Arial" w:cs="Arial"/>
          <w:color w:val="000000" w:themeColor="text1"/>
          <w:sz w:val="24"/>
          <w:szCs w:val="24"/>
        </w:rPr>
      </w:pPr>
    </w:p>
    <w:p w:rsidR="00710A06" w:rsidRPr="00710A06" w:rsidRDefault="00710A06" w:rsidP="00C45465">
      <w:pPr>
        <w:spacing w:after="0" w:line="360" w:lineRule="auto"/>
        <w:jc w:val="both"/>
        <w:rPr>
          <w:rFonts w:ascii="Arial" w:hAnsi="Arial" w:cs="Arial"/>
          <w:b/>
          <w:color w:val="000000" w:themeColor="text1"/>
          <w:sz w:val="24"/>
          <w:szCs w:val="24"/>
        </w:rPr>
      </w:pPr>
      <w:r w:rsidRPr="00710A06">
        <w:rPr>
          <w:rFonts w:ascii="Arial" w:hAnsi="Arial" w:cs="Arial"/>
          <w:b/>
          <w:color w:val="000000" w:themeColor="text1"/>
          <w:sz w:val="24"/>
          <w:szCs w:val="24"/>
        </w:rPr>
        <w:lastRenderedPageBreak/>
        <w:t>CUMPLIMIENTO DE CRITERIOS IMCO (2008 – 2017)</w:t>
      </w:r>
    </w:p>
    <w:p w:rsidR="00710A06" w:rsidRPr="00710A06" w:rsidRDefault="00710A06" w:rsidP="00C45465">
      <w:pPr>
        <w:spacing w:after="0" w:line="360" w:lineRule="auto"/>
        <w:jc w:val="both"/>
        <w:rPr>
          <w:rFonts w:ascii="Arial" w:hAnsi="Arial" w:cs="Arial"/>
          <w:color w:val="000000" w:themeColor="text1"/>
          <w:sz w:val="24"/>
          <w:szCs w:val="24"/>
        </w:rPr>
      </w:pPr>
      <w:r w:rsidRPr="00710A06">
        <w:rPr>
          <w:rFonts w:ascii="Arial" w:eastAsia="Calibri" w:hAnsi="Arial" w:cs="Arial"/>
          <w:noProof/>
          <w:color w:val="000000" w:themeColor="text1"/>
          <w:sz w:val="24"/>
          <w:szCs w:val="24"/>
          <w:lang w:eastAsia="es-MX"/>
        </w:rPr>
        <w:drawing>
          <wp:inline distT="0" distB="0" distL="0" distR="0" wp14:anchorId="18010CC6" wp14:editId="7B53CCB6">
            <wp:extent cx="5190272" cy="3200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7169" t="39529" r="38731" b="23355"/>
                    <a:stretch/>
                  </pic:blipFill>
                  <pic:spPr bwMode="auto">
                    <a:xfrm>
                      <a:off x="0" y="0"/>
                      <a:ext cx="5205629" cy="3209869"/>
                    </a:xfrm>
                    <a:prstGeom prst="rect">
                      <a:avLst/>
                    </a:prstGeom>
                    <a:ln>
                      <a:noFill/>
                    </a:ln>
                    <a:extLst>
                      <a:ext uri="{53640926-AAD7-44D8-BBD7-CCE9431645EC}">
                        <a14:shadowObscured xmlns:a14="http://schemas.microsoft.com/office/drawing/2010/main"/>
                      </a:ext>
                    </a:extLst>
                  </pic:spPr>
                </pic:pic>
              </a:graphicData>
            </a:graphic>
          </wp:inline>
        </w:drawing>
      </w:r>
    </w:p>
    <w:p w:rsidR="00710A06" w:rsidRPr="00710A06" w:rsidRDefault="00710A06" w:rsidP="00C45465">
      <w:pPr>
        <w:pStyle w:val="PRIMERAPLANA"/>
        <w:spacing w:line="360" w:lineRule="auto"/>
        <w:rPr>
          <w:rFonts w:cs="Arial"/>
          <w:iCs/>
          <w:color w:val="000000" w:themeColor="text1"/>
          <w:sz w:val="24"/>
          <w:szCs w:val="24"/>
          <w:lang w:val="es-ES"/>
        </w:rPr>
      </w:pPr>
    </w:p>
    <w:p w:rsidR="00710A06" w:rsidRPr="00710A06" w:rsidRDefault="00710A06" w:rsidP="00C45465">
      <w:pPr>
        <w:pStyle w:val="PRIMERAPLANA"/>
        <w:spacing w:line="360" w:lineRule="auto"/>
        <w:rPr>
          <w:rFonts w:cs="Arial"/>
          <w:iCs/>
          <w:color w:val="000000" w:themeColor="text1"/>
          <w:sz w:val="24"/>
          <w:szCs w:val="24"/>
          <w:lang w:val="es-ES"/>
        </w:rPr>
      </w:pPr>
      <w:r w:rsidRPr="00710A06">
        <w:rPr>
          <w:rFonts w:cs="Arial"/>
          <w:iCs/>
          <w:color w:val="000000" w:themeColor="text1"/>
          <w:sz w:val="24"/>
          <w:szCs w:val="24"/>
          <w:lang w:val="es-ES"/>
        </w:rPr>
        <w:t>El Proyecto de Presupuesto de Egresos del Estado de Tlaxcala para el Ejercicio Fiscal 2018 que se somete a la consideración de esta Legislatura, se estructura de acuerdo al Clasificador por Objeto del Gasto aprobado por el CONAC y en la Norma para armonizar la presentación de la información adicional del Proyecto del Presupuesto de Egresos.</w:t>
      </w:r>
    </w:p>
    <w:p w:rsidR="00710A06" w:rsidRPr="00710A06" w:rsidRDefault="00710A06" w:rsidP="00C45465">
      <w:pPr>
        <w:spacing w:after="0" w:line="360" w:lineRule="auto"/>
        <w:jc w:val="both"/>
        <w:rPr>
          <w:rFonts w:ascii="Arial" w:hAnsi="Arial" w:cs="Arial"/>
          <w:color w:val="000000" w:themeColor="text1"/>
          <w:sz w:val="24"/>
          <w:szCs w:val="24"/>
        </w:rPr>
      </w:pPr>
    </w:p>
    <w:p w:rsidR="00710A06" w:rsidRP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t>De acuerdo a lo establecido en la Ley de Disciplina Financiera de las Entidades Federativas y los Municipios, y para contribuir a generar balances presupuestarios sostenibles, se ha alineado la estructura programática y presupuestal, fortaleciendo programas presupuestarios apegados a políticas públicas establecidas en el Plan Estatal de Desarrollo 2017-2021, a través de objetivos y estrategias en beneficio de la población tlaxcalteca</w:t>
      </w:r>
      <w:r w:rsidR="00E40CB7">
        <w:rPr>
          <w:rFonts w:ascii="Arial" w:hAnsi="Arial" w:cs="Arial"/>
          <w:color w:val="000000" w:themeColor="text1"/>
          <w:sz w:val="24"/>
          <w:szCs w:val="24"/>
        </w:rPr>
        <w:t>.</w:t>
      </w:r>
    </w:p>
    <w:p w:rsidR="00710A06" w:rsidRDefault="00710A06" w:rsidP="00C45465">
      <w:pPr>
        <w:pStyle w:val="PRIMERAPLANA"/>
        <w:spacing w:line="360" w:lineRule="auto"/>
        <w:rPr>
          <w:rFonts w:cs="Arial"/>
          <w:b/>
          <w:iCs/>
          <w:color w:val="000000" w:themeColor="text1"/>
          <w:sz w:val="24"/>
          <w:szCs w:val="24"/>
          <w:lang w:val="es-ES"/>
        </w:rPr>
      </w:pPr>
    </w:p>
    <w:p w:rsidR="00793EFB" w:rsidRPr="00710A06" w:rsidRDefault="00793EFB" w:rsidP="00C45465">
      <w:pPr>
        <w:pStyle w:val="PRIMERAPLANA"/>
        <w:spacing w:line="360" w:lineRule="auto"/>
        <w:rPr>
          <w:rFonts w:cs="Arial"/>
          <w:b/>
          <w:iCs/>
          <w:color w:val="000000" w:themeColor="text1"/>
          <w:sz w:val="24"/>
          <w:szCs w:val="24"/>
          <w:lang w:val="es-ES"/>
        </w:rPr>
      </w:pPr>
    </w:p>
    <w:p w:rsidR="00710A06" w:rsidRPr="00710A06" w:rsidRDefault="00710A06" w:rsidP="00C45465">
      <w:pPr>
        <w:pStyle w:val="PRIMERAPLANA"/>
        <w:spacing w:line="360" w:lineRule="auto"/>
        <w:rPr>
          <w:rFonts w:cs="Arial"/>
          <w:b/>
          <w:iCs/>
          <w:color w:val="000000" w:themeColor="text1"/>
          <w:sz w:val="24"/>
          <w:szCs w:val="24"/>
          <w:lang w:val="es-ES"/>
        </w:rPr>
      </w:pPr>
      <w:r w:rsidRPr="00710A06">
        <w:rPr>
          <w:rFonts w:cs="Arial"/>
          <w:b/>
          <w:iCs/>
          <w:color w:val="000000" w:themeColor="text1"/>
          <w:sz w:val="24"/>
          <w:szCs w:val="24"/>
          <w:lang w:val="es-ES"/>
        </w:rPr>
        <w:lastRenderedPageBreak/>
        <w:t>DISCIPLINA FINANCIERA</w:t>
      </w:r>
    </w:p>
    <w:p w:rsidR="00710A06" w:rsidRPr="00710A06" w:rsidRDefault="00710A06" w:rsidP="00C45465">
      <w:pPr>
        <w:pStyle w:val="PRIMERAPLANA"/>
        <w:spacing w:line="360" w:lineRule="auto"/>
        <w:rPr>
          <w:rFonts w:cs="Arial"/>
          <w:b/>
          <w:iCs/>
          <w:color w:val="000000" w:themeColor="text1"/>
          <w:sz w:val="24"/>
          <w:szCs w:val="24"/>
          <w:lang w:val="es-ES"/>
        </w:rPr>
      </w:pPr>
    </w:p>
    <w:p w:rsid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t>El objetivo de la Disciplina Financiera es promover finanzas públicas locales sostenibles, a través de reglas de disciplina financiera, el uso responsable de la deuda pública, así como el fortalecimiento de la transparencia y rendición de cuentas, entre otras medidas.</w:t>
      </w:r>
    </w:p>
    <w:p w:rsidR="00E40CB7" w:rsidRPr="00710A06" w:rsidRDefault="00E40CB7" w:rsidP="00C45465">
      <w:pPr>
        <w:spacing w:after="0" w:line="360" w:lineRule="auto"/>
        <w:jc w:val="both"/>
        <w:rPr>
          <w:rFonts w:ascii="Arial" w:hAnsi="Arial" w:cs="Arial"/>
          <w:b/>
          <w:color w:val="000000" w:themeColor="text1"/>
          <w:sz w:val="24"/>
          <w:szCs w:val="24"/>
        </w:rPr>
      </w:pPr>
    </w:p>
    <w:p w:rsid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t>En este sentido, aunado al compromiso asumido por la presente administración en el entendido de que los recursos financieros de que dispone el Gobierno del Estado son escasos ante las crecientes necesidades sociales y públicas, toda vez que la principal fuente de recursos la constituyen las transferencias del Gobierno Federal, las cuales provienen de contribuciones federales que, en los momentos actuales, atraviesan por circunstancias inciertas ante los efectos de la crisis financiera internacional, convertida en una desaceleración económica en algunos países, se han implementado diversas medidas encaminadas a racionalizar el gasto público y a la elaboración de presupuestos realistas en un ámbito de racionalidad, austeridad y disciplina presupuestal, alineadas a las políticas establecidas por el Gobierno Federal.</w:t>
      </w:r>
    </w:p>
    <w:p w:rsidR="00E40CB7" w:rsidRPr="00710A06" w:rsidRDefault="00E40CB7" w:rsidP="00C45465">
      <w:pPr>
        <w:spacing w:after="0" w:line="360" w:lineRule="auto"/>
        <w:jc w:val="both"/>
        <w:rPr>
          <w:rFonts w:ascii="Arial" w:hAnsi="Arial" w:cs="Arial"/>
          <w:color w:val="000000" w:themeColor="text1"/>
          <w:sz w:val="24"/>
          <w:szCs w:val="24"/>
        </w:rPr>
      </w:pPr>
    </w:p>
    <w:p w:rsid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t>Esta Administración busca fortalecer en el ejercicio del gasto los principios de racionalidad, austeridad y eficiencia; es por esto, que el Gobierno del Estado rige su política de gasto con base en la legalidad, transparencia, racionalidad y suficiencia presupuestal, con la finalidad de dar continuidad a los esfuerzos encaminados en atender con oportunidad las demandas y necesidades de sus habitantes.</w:t>
      </w:r>
    </w:p>
    <w:p w:rsidR="00E40CB7" w:rsidRPr="00710A06" w:rsidRDefault="00E40CB7" w:rsidP="00C45465">
      <w:pPr>
        <w:spacing w:after="0" w:line="360" w:lineRule="auto"/>
        <w:jc w:val="both"/>
        <w:rPr>
          <w:rFonts w:ascii="Arial" w:hAnsi="Arial" w:cs="Arial"/>
          <w:color w:val="000000" w:themeColor="text1"/>
          <w:sz w:val="24"/>
          <w:szCs w:val="24"/>
        </w:rPr>
      </w:pPr>
    </w:p>
    <w:p w:rsid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lastRenderedPageBreak/>
        <w:t>En la elaboración del presente Proyecto de Presupuesto de Egresos, para evitar un desfasamiento del gasto en relación con los ingresos, que pudiese derivar en resultados deficitarios, los ejecutores de gasto en el ejercicio de sus respectivos presupuestos están obligados a considerar medidas para racionalizar el gasto destinado a las actividades administrativas y de apoyo, sin afectar el cumplimiento de las metas de los programas presupuestarios considerados para su ejecución, procurando el uso de los recursos públicos con la mayor eficiencia, eficacia, transparencia y austeridad, fortaleciendo las acciones tendientes a lograr ahorros y economías, sin detrimento de los resultados, y reorientarlos al gasto social. Con estas premisas se busca regular el ejercicio del gasto, permitiendo a las Dependencias y Entidades contar con una operación administrativa eficiente, acorde al marco normativo y a los sistemas de registro y control.</w:t>
      </w:r>
    </w:p>
    <w:p w:rsidR="00E40CB7" w:rsidRPr="00710A06" w:rsidRDefault="00E40CB7" w:rsidP="00C45465">
      <w:pPr>
        <w:spacing w:after="0" w:line="360" w:lineRule="auto"/>
        <w:jc w:val="both"/>
        <w:rPr>
          <w:rFonts w:ascii="Arial" w:hAnsi="Arial" w:cs="Arial"/>
          <w:color w:val="000000" w:themeColor="text1"/>
          <w:sz w:val="24"/>
          <w:szCs w:val="24"/>
        </w:rPr>
      </w:pPr>
    </w:p>
    <w:p w:rsid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t>Entre las acciones de disciplina presupuestaria en el ejercicio del gasto público propuestas, se considera la contención de los recursos destinados a servicios personales, la reducción del gasto corriente de operación, y la reorientación del presupuesto a programas prioritarios de educación, salud y empleo.</w:t>
      </w:r>
    </w:p>
    <w:p w:rsidR="00E40CB7" w:rsidRPr="00710A06" w:rsidRDefault="00E40CB7" w:rsidP="00C45465">
      <w:pPr>
        <w:spacing w:after="0" w:line="360" w:lineRule="auto"/>
        <w:jc w:val="both"/>
        <w:rPr>
          <w:rFonts w:ascii="Arial" w:hAnsi="Arial" w:cs="Arial"/>
          <w:color w:val="000000" w:themeColor="text1"/>
          <w:sz w:val="24"/>
          <w:szCs w:val="24"/>
        </w:rPr>
      </w:pPr>
    </w:p>
    <w:p w:rsidR="00710A06" w:rsidRDefault="00710A06" w:rsidP="00C45465">
      <w:pPr>
        <w:pStyle w:val="PRIMERAPLANA"/>
        <w:spacing w:line="360" w:lineRule="auto"/>
        <w:rPr>
          <w:rFonts w:cs="Arial"/>
          <w:b/>
          <w:iCs/>
          <w:color w:val="000000" w:themeColor="text1"/>
          <w:sz w:val="24"/>
          <w:szCs w:val="24"/>
          <w:lang w:val="es-MX"/>
        </w:rPr>
      </w:pPr>
      <w:r w:rsidRPr="00710A06">
        <w:rPr>
          <w:rFonts w:cs="Arial"/>
          <w:b/>
          <w:iCs/>
          <w:color w:val="000000" w:themeColor="text1"/>
          <w:sz w:val="24"/>
          <w:szCs w:val="24"/>
          <w:lang w:val="es-MX"/>
        </w:rPr>
        <w:t>En este entendido, en cumplimiento a las disposiciones en materia de Disciplina Financiera, esta Iniciativa con Proyecto de Decreto contempla:</w:t>
      </w:r>
    </w:p>
    <w:p w:rsidR="00E40CB7" w:rsidRPr="00710A06" w:rsidRDefault="00E40CB7" w:rsidP="00C45465">
      <w:pPr>
        <w:pStyle w:val="PRIMERAPLANA"/>
        <w:spacing w:line="360" w:lineRule="auto"/>
        <w:rPr>
          <w:rFonts w:cs="Arial"/>
          <w:b/>
          <w:iCs/>
          <w:color w:val="000000" w:themeColor="text1"/>
          <w:sz w:val="24"/>
          <w:szCs w:val="24"/>
          <w:lang w:val="es-MX"/>
        </w:rPr>
      </w:pPr>
    </w:p>
    <w:p w:rsidR="00710A06" w:rsidRDefault="00710A06" w:rsidP="00C45465">
      <w:pPr>
        <w:numPr>
          <w:ilvl w:val="0"/>
          <w:numId w:val="30"/>
        </w:num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t>Los riesgos para las finanzas públicas estatales.</w:t>
      </w:r>
    </w:p>
    <w:p w:rsidR="00E40CB7" w:rsidRPr="00710A06" w:rsidRDefault="00E40CB7" w:rsidP="00E40CB7">
      <w:pPr>
        <w:spacing w:after="0" w:line="360" w:lineRule="auto"/>
        <w:ind w:left="720"/>
        <w:jc w:val="both"/>
        <w:rPr>
          <w:rFonts w:ascii="Arial" w:hAnsi="Arial" w:cs="Arial"/>
          <w:color w:val="000000" w:themeColor="text1"/>
          <w:sz w:val="24"/>
          <w:szCs w:val="24"/>
        </w:rPr>
      </w:pPr>
    </w:p>
    <w:p w:rsidR="00710A06" w:rsidRDefault="00710A06" w:rsidP="00C45465">
      <w:pPr>
        <w:numPr>
          <w:ilvl w:val="0"/>
          <w:numId w:val="30"/>
        </w:num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t>Los resultados presupuestarios de los últimos cinco años.</w:t>
      </w:r>
    </w:p>
    <w:p w:rsidR="00E40CB7" w:rsidRPr="00710A06" w:rsidRDefault="00E40CB7" w:rsidP="00E40CB7">
      <w:pPr>
        <w:spacing w:after="0" w:line="360" w:lineRule="auto"/>
        <w:ind w:left="720"/>
        <w:jc w:val="both"/>
        <w:rPr>
          <w:rFonts w:ascii="Arial" w:hAnsi="Arial" w:cs="Arial"/>
          <w:color w:val="000000" w:themeColor="text1"/>
          <w:sz w:val="24"/>
          <w:szCs w:val="24"/>
        </w:rPr>
      </w:pPr>
    </w:p>
    <w:p w:rsidR="00710A06" w:rsidRDefault="00710A06" w:rsidP="00C45465">
      <w:pPr>
        <w:numPr>
          <w:ilvl w:val="0"/>
          <w:numId w:val="30"/>
        </w:num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lastRenderedPageBreak/>
        <w:t>Las proyecciones de egresos en materia presupuestal.</w:t>
      </w:r>
    </w:p>
    <w:p w:rsidR="00E40CB7" w:rsidRPr="00710A06" w:rsidRDefault="00E40CB7" w:rsidP="00E40CB7">
      <w:pPr>
        <w:spacing w:after="0" w:line="360" w:lineRule="auto"/>
        <w:ind w:left="720"/>
        <w:jc w:val="both"/>
        <w:rPr>
          <w:rFonts w:ascii="Arial" w:hAnsi="Arial" w:cs="Arial"/>
          <w:color w:val="000000" w:themeColor="text1"/>
          <w:sz w:val="24"/>
          <w:szCs w:val="24"/>
        </w:rPr>
      </w:pPr>
    </w:p>
    <w:p w:rsid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t>Asimismo, en este proyecto de Presupuesto de Egresos se prevén medidas y recursos para atender diversas situaciones que pudieran afectar las finanzas públicas, destacando las siguientes:</w:t>
      </w:r>
    </w:p>
    <w:p w:rsidR="00E40CB7" w:rsidRPr="00710A06" w:rsidRDefault="00E40CB7" w:rsidP="00C45465">
      <w:pPr>
        <w:spacing w:after="0" w:line="360" w:lineRule="auto"/>
        <w:jc w:val="both"/>
        <w:rPr>
          <w:rFonts w:ascii="Arial" w:hAnsi="Arial" w:cs="Arial"/>
          <w:color w:val="000000" w:themeColor="text1"/>
          <w:sz w:val="24"/>
          <w:szCs w:val="24"/>
        </w:rPr>
      </w:pPr>
    </w:p>
    <w:p w:rsidR="00710A06" w:rsidRDefault="00710A06" w:rsidP="00C45465">
      <w:pPr>
        <w:numPr>
          <w:ilvl w:val="0"/>
          <w:numId w:val="29"/>
        </w:numPr>
        <w:spacing w:after="0" w:line="360" w:lineRule="auto"/>
        <w:jc w:val="both"/>
        <w:rPr>
          <w:rFonts w:ascii="Arial" w:hAnsi="Arial" w:cs="Arial"/>
          <w:color w:val="000000" w:themeColor="text1"/>
          <w:sz w:val="24"/>
          <w:szCs w:val="24"/>
        </w:rPr>
      </w:pPr>
      <w:r w:rsidRPr="00710A06">
        <w:rPr>
          <w:rFonts w:ascii="Arial" w:hAnsi="Arial" w:cs="Arial"/>
          <w:b/>
          <w:color w:val="000000" w:themeColor="text1"/>
          <w:sz w:val="24"/>
          <w:szCs w:val="24"/>
        </w:rPr>
        <w:t>Pensiones.-</w:t>
      </w:r>
      <w:r w:rsidRPr="00710A06">
        <w:rPr>
          <w:rFonts w:ascii="Arial" w:hAnsi="Arial" w:cs="Arial"/>
          <w:color w:val="000000" w:themeColor="text1"/>
          <w:sz w:val="24"/>
          <w:szCs w:val="24"/>
        </w:rPr>
        <w:t xml:space="preserve"> Tema financiero que se desarrolla en el apartado de Riesgos Fiscales.</w:t>
      </w:r>
    </w:p>
    <w:p w:rsidR="00E40CB7" w:rsidRPr="00710A06" w:rsidRDefault="00E40CB7" w:rsidP="00E40CB7">
      <w:pPr>
        <w:spacing w:after="0" w:line="360" w:lineRule="auto"/>
        <w:ind w:left="720"/>
        <w:jc w:val="both"/>
        <w:rPr>
          <w:rFonts w:ascii="Arial" w:hAnsi="Arial" w:cs="Arial"/>
          <w:color w:val="000000" w:themeColor="text1"/>
          <w:sz w:val="24"/>
          <w:szCs w:val="24"/>
        </w:rPr>
      </w:pPr>
    </w:p>
    <w:p w:rsidR="00710A06" w:rsidRDefault="00710A06" w:rsidP="00C45465">
      <w:pPr>
        <w:numPr>
          <w:ilvl w:val="0"/>
          <w:numId w:val="29"/>
        </w:numPr>
        <w:spacing w:after="0" w:line="360" w:lineRule="auto"/>
        <w:ind w:left="714" w:hanging="357"/>
        <w:jc w:val="both"/>
        <w:rPr>
          <w:rFonts w:ascii="Arial" w:hAnsi="Arial" w:cs="Arial"/>
          <w:color w:val="000000" w:themeColor="text1"/>
          <w:sz w:val="24"/>
          <w:szCs w:val="24"/>
        </w:rPr>
      </w:pPr>
      <w:r w:rsidRPr="00710A06">
        <w:rPr>
          <w:rFonts w:ascii="Arial" w:hAnsi="Arial" w:cs="Arial"/>
          <w:b/>
          <w:color w:val="000000" w:themeColor="text1"/>
          <w:sz w:val="24"/>
          <w:szCs w:val="24"/>
        </w:rPr>
        <w:t>Desastres naturales.-</w:t>
      </w:r>
      <w:r w:rsidRPr="00710A06">
        <w:rPr>
          <w:rFonts w:ascii="Arial" w:hAnsi="Arial" w:cs="Arial"/>
          <w:color w:val="000000" w:themeColor="text1"/>
          <w:sz w:val="24"/>
          <w:szCs w:val="24"/>
        </w:rPr>
        <w:t xml:space="preserve"> Se consideran recursos para el Fondo de Desastres Naturales, por un monto de 50 millones de pesos, para cubrir el costo de daños en infraestructura pública y atender a la población afectada. Los recursos se deberán depositar en el fideicomiso de administración y pago.</w:t>
      </w:r>
    </w:p>
    <w:p w:rsidR="00E40CB7" w:rsidRPr="00710A06" w:rsidRDefault="00E40CB7" w:rsidP="00E40CB7">
      <w:pPr>
        <w:spacing w:after="0" w:line="360" w:lineRule="auto"/>
        <w:ind w:left="714"/>
        <w:jc w:val="both"/>
        <w:rPr>
          <w:rFonts w:ascii="Arial" w:hAnsi="Arial" w:cs="Arial"/>
          <w:color w:val="000000" w:themeColor="text1"/>
          <w:sz w:val="24"/>
          <w:szCs w:val="24"/>
        </w:rPr>
      </w:pPr>
    </w:p>
    <w:p w:rsidR="00710A06" w:rsidRDefault="00710A06" w:rsidP="00C45465">
      <w:pPr>
        <w:numPr>
          <w:ilvl w:val="0"/>
          <w:numId w:val="29"/>
        </w:numPr>
        <w:spacing w:after="0" w:line="360" w:lineRule="auto"/>
        <w:ind w:left="714" w:hanging="357"/>
        <w:jc w:val="both"/>
        <w:rPr>
          <w:rFonts w:ascii="Arial" w:hAnsi="Arial" w:cs="Arial"/>
          <w:color w:val="000000" w:themeColor="text1"/>
          <w:sz w:val="24"/>
          <w:szCs w:val="24"/>
        </w:rPr>
      </w:pPr>
      <w:r w:rsidRPr="00710A06">
        <w:rPr>
          <w:rFonts w:ascii="Arial" w:hAnsi="Arial" w:cs="Arial"/>
          <w:b/>
          <w:color w:val="000000" w:themeColor="text1"/>
          <w:sz w:val="24"/>
          <w:szCs w:val="24"/>
        </w:rPr>
        <w:t>Servicios personales.-</w:t>
      </w:r>
      <w:r w:rsidRPr="00710A06">
        <w:rPr>
          <w:rFonts w:ascii="Arial" w:hAnsi="Arial" w:cs="Arial"/>
          <w:color w:val="000000" w:themeColor="text1"/>
          <w:sz w:val="24"/>
          <w:szCs w:val="24"/>
        </w:rPr>
        <w:t xml:space="preserve"> Se incluye una sección específica correspondiente al gasto en servicios personales, el cual comprende las remuneraciones de los servidores públicos, desglosando las percepciones ordinarias y extraordinarias, e incluyendo las erogaciones por concepto de obligaciones de carácter fiscal y de seguridad social inherentes a las mismas, así como un fondo para previsiones salariales y económicas destinado a cubrir los incrementos salariales, la creación de plazas y otras medidas económicas de índole laboral.</w:t>
      </w:r>
    </w:p>
    <w:p w:rsidR="00E40CB7" w:rsidRPr="00710A06" w:rsidRDefault="00E40CB7" w:rsidP="00E40CB7">
      <w:pPr>
        <w:spacing w:after="0" w:line="360" w:lineRule="auto"/>
        <w:ind w:left="714"/>
        <w:jc w:val="both"/>
        <w:rPr>
          <w:rFonts w:ascii="Arial" w:hAnsi="Arial" w:cs="Arial"/>
          <w:color w:val="000000" w:themeColor="text1"/>
          <w:sz w:val="24"/>
          <w:szCs w:val="24"/>
        </w:rPr>
      </w:pPr>
    </w:p>
    <w:p w:rsidR="00710A06" w:rsidRDefault="00710A06" w:rsidP="00C45465">
      <w:pPr>
        <w:numPr>
          <w:ilvl w:val="0"/>
          <w:numId w:val="29"/>
        </w:numPr>
        <w:spacing w:after="0" w:line="360" w:lineRule="auto"/>
        <w:ind w:left="714" w:hanging="357"/>
        <w:jc w:val="both"/>
        <w:rPr>
          <w:rFonts w:ascii="Arial" w:hAnsi="Arial" w:cs="Arial"/>
          <w:color w:val="000000" w:themeColor="text1"/>
          <w:sz w:val="24"/>
          <w:szCs w:val="24"/>
        </w:rPr>
      </w:pPr>
      <w:r w:rsidRPr="00710A06">
        <w:rPr>
          <w:rFonts w:ascii="Arial" w:hAnsi="Arial" w:cs="Arial"/>
          <w:b/>
          <w:color w:val="000000" w:themeColor="text1"/>
          <w:sz w:val="24"/>
          <w:szCs w:val="24"/>
        </w:rPr>
        <w:t>ADEFAS.-</w:t>
      </w:r>
      <w:r w:rsidRPr="00710A06">
        <w:rPr>
          <w:rFonts w:ascii="Arial" w:hAnsi="Arial" w:cs="Arial"/>
          <w:color w:val="000000" w:themeColor="text1"/>
          <w:sz w:val="24"/>
          <w:szCs w:val="24"/>
        </w:rPr>
        <w:t xml:space="preserve"> En el caso de los </w:t>
      </w:r>
      <w:r w:rsidRPr="00710A06">
        <w:rPr>
          <w:rFonts w:ascii="Arial" w:hAnsi="Arial" w:cs="Arial"/>
          <w:b/>
          <w:color w:val="000000" w:themeColor="text1"/>
          <w:sz w:val="24"/>
          <w:szCs w:val="24"/>
        </w:rPr>
        <w:t>Adeudos de Ejercicios Fiscales Anteriores</w:t>
      </w:r>
      <w:r w:rsidRPr="00710A06">
        <w:rPr>
          <w:rFonts w:ascii="Arial" w:hAnsi="Arial" w:cs="Arial"/>
          <w:color w:val="000000" w:themeColor="text1"/>
          <w:sz w:val="24"/>
          <w:szCs w:val="24"/>
        </w:rPr>
        <w:t xml:space="preserve"> (ADEFAS), se establece un monto equivalente al 2% de </w:t>
      </w:r>
      <w:r w:rsidRPr="00710A06">
        <w:rPr>
          <w:rFonts w:ascii="Arial" w:hAnsi="Arial" w:cs="Arial"/>
          <w:color w:val="000000" w:themeColor="text1"/>
          <w:sz w:val="24"/>
          <w:szCs w:val="24"/>
        </w:rPr>
        <w:lastRenderedPageBreak/>
        <w:t>los ingresos totales, para el pago de adeudos que al cierre del ejercicio de 2017 se encuentren pendientes de pago.</w:t>
      </w:r>
    </w:p>
    <w:p w:rsidR="00E40CB7" w:rsidRPr="00710A06" w:rsidRDefault="00E40CB7" w:rsidP="00E40CB7">
      <w:pPr>
        <w:spacing w:after="0" w:line="360" w:lineRule="auto"/>
        <w:ind w:left="714"/>
        <w:jc w:val="both"/>
        <w:rPr>
          <w:rFonts w:ascii="Arial" w:hAnsi="Arial" w:cs="Arial"/>
          <w:color w:val="000000" w:themeColor="text1"/>
          <w:sz w:val="24"/>
          <w:szCs w:val="24"/>
        </w:rPr>
      </w:pPr>
    </w:p>
    <w:p w:rsidR="00710A06" w:rsidRDefault="00710A06" w:rsidP="00C45465">
      <w:pPr>
        <w:numPr>
          <w:ilvl w:val="0"/>
          <w:numId w:val="29"/>
        </w:numPr>
        <w:spacing w:after="0" w:line="360" w:lineRule="auto"/>
        <w:jc w:val="both"/>
        <w:rPr>
          <w:rFonts w:ascii="Arial" w:hAnsi="Arial" w:cs="Arial"/>
          <w:color w:val="000000" w:themeColor="text1"/>
          <w:sz w:val="24"/>
          <w:szCs w:val="24"/>
        </w:rPr>
      </w:pPr>
      <w:r w:rsidRPr="00710A06">
        <w:rPr>
          <w:rFonts w:ascii="Arial" w:hAnsi="Arial" w:cs="Arial"/>
          <w:b/>
          <w:color w:val="000000" w:themeColor="text1"/>
          <w:sz w:val="24"/>
          <w:szCs w:val="24"/>
        </w:rPr>
        <w:t>Excedentes presupuestarios.-</w:t>
      </w:r>
      <w:r w:rsidRPr="00710A06">
        <w:rPr>
          <w:rFonts w:ascii="Arial" w:hAnsi="Arial" w:cs="Arial"/>
          <w:color w:val="000000" w:themeColor="text1"/>
          <w:sz w:val="24"/>
          <w:szCs w:val="24"/>
        </w:rPr>
        <w:t xml:space="preserve"> Por otro lado, en el proyecto se establece que, en caso de cumplirse o rebasarse las expectativas económicas previstas, los excedentes presupuestarios que se determinen, deberán aplicarse, de conformidad con lo establecido en el Código Financiero para el Estado de Tlaxcala y sus Municipios, como sigue:</w:t>
      </w:r>
    </w:p>
    <w:p w:rsidR="00E40CB7" w:rsidRDefault="00E40CB7" w:rsidP="00E40CB7">
      <w:pPr>
        <w:pStyle w:val="Prrafodelista"/>
        <w:rPr>
          <w:rFonts w:ascii="Arial" w:hAnsi="Arial" w:cs="Arial"/>
          <w:color w:val="000000" w:themeColor="text1"/>
          <w:sz w:val="24"/>
          <w:szCs w:val="24"/>
        </w:rPr>
      </w:pPr>
    </w:p>
    <w:p w:rsidR="00710A06" w:rsidRDefault="00710A06" w:rsidP="00C45465">
      <w:pPr>
        <w:numPr>
          <w:ilvl w:val="1"/>
          <w:numId w:val="31"/>
        </w:numPr>
        <w:spacing w:after="0" w:line="360" w:lineRule="auto"/>
        <w:ind w:left="1434" w:hanging="357"/>
        <w:jc w:val="both"/>
        <w:rPr>
          <w:rFonts w:ascii="Arial" w:hAnsi="Arial" w:cs="Arial"/>
          <w:color w:val="000000" w:themeColor="text1"/>
          <w:sz w:val="24"/>
          <w:szCs w:val="24"/>
        </w:rPr>
      </w:pPr>
      <w:r w:rsidRPr="00710A06">
        <w:rPr>
          <w:rFonts w:ascii="Arial" w:hAnsi="Arial" w:cs="Arial"/>
          <w:color w:val="000000" w:themeColor="text1"/>
          <w:sz w:val="24"/>
          <w:szCs w:val="24"/>
        </w:rPr>
        <w:t xml:space="preserve">Cuando menos, el 50% deberá utilizarse para amortizar la deuda pública del Estado, ADEFAS, pasivos, obligaciones; y pago de sentencias definitivas emitidas por autoridad competente. </w:t>
      </w:r>
    </w:p>
    <w:p w:rsidR="00E40CB7" w:rsidRPr="00710A06" w:rsidRDefault="00E40CB7" w:rsidP="00E40CB7">
      <w:pPr>
        <w:spacing w:after="0" w:line="360" w:lineRule="auto"/>
        <w:ind w:left="1434"/>
        <w:jc w:val="both"/>
        <w:rPr>
          <w:rFonts w:ascii="Arial" w:hAnsi="Arial" w:cs="Arial"/>
          <w:color w:val="000000" w:themeColor="text1"/>
          <w:sz w:val="24"/>
          <w:szCs w:val="24"/>
        </w:rPr>
      </w:pPr>
    </w:p>
    <w:p w:rsidR="00710A06" w:rsidRDefault="00710A06" w:rsidP="00C45465">
      <w:pPr>
        <w:numPr>
          <w:ilvl w:val="1"/>
          <w:numId w:val="31"/>
        </w:numPr>
        <w:spacing w:after="0" w:line="360" w:lineRule="auto"/>
        <w:ind w:left="1434" w:hanging="357"/>
        <w:jc w:val="both"/>
        <w:rPr>
          <w:rFonts w:ascii="Arial" w:hAnsi="Arial" w:cs="Arial"/>
          <w:color w:val="000000" w:themeColor="text1"/>
          <w:sz w:val="24"/>
          <w:szCs w:val="24"/>
        </w:rPr>
      </w:pPr>
      <w:r w:rsidRPr="00710A06">
        <w:rPr>
          <w:rFonts w:ascii="Arial" w:hAnsi="Arial" w:cs="Arial"/>
          <w:color w:val="000000" w:themeColor="text1"/>
          <w:sz w:val="24"/>
          <w:szCs w:val="24"/>
        </w:rPr>
        <w:t>Fondo de Contingencias, con la finalidad de compensar la caída de Ingresos de libre disposición de ejercicios subsecuentes.</w:t>
      </w:r>
    </w:p>
    <w:p w:rsidR="00E40CB7" w:rsidRDefault="00E40CB7" w:rsidP="00E40CB7">
      <w:pPr>
        <w:pStyle w:val="Prrafodelista"/>
        <w:rPr>
          <w:rFonts w:ascii="Arial" w:hAnsi="Arial" w:cs="Arial"/>
          <w:color w:val="000000" w:themeColor="text1"/>
          <w:sz w:val="24"/>
          <w:szCs w:val="24"/>
        </w:rPr>
      </w:pPr>
    </w:p>
    <w:p w:rsidR="00E40CB7" w:rsidRPr="00710A06" w:rsidRDefault="00E40CB7" w:rsidP="00E40CB7">
      <w:pPr>
        <w:spacing w:after="0" w:line="360" w:lineRule="auto"/>
        <w:ind w:left="1434"/>
        <w:jc w:val="both"/>
        <w:rPr>
          <w:rFonts w:ascii="Arial" w:hAnsi="Arial" w:cs="Arial"/>
          <w:color w:val="000000" w:themeColor="text1"/>
          <w:sz w:val="24"/>
          <w:szCs w:val="24"/>
        </w:rPr>
      </w:pPr>
    </w:p>
    <w:p w:rsidR="00710A06" w:rsidRDefault="00710A06" w:rsidP="00C45465">
      <w:pPr>
        <w:numPr>
          <w:ilvl w:val="1"/>
          <w:numId w:val="31"/>
        </w:numPr>
        <w:spacing w:after="0" w:line="360" w:lineRule="auto"/>
        <w:ind w:left="1434" w:hanging="357"/>
        <w:jc w:val="both"/>
        <w:rPr>
          <w:rFonts w:ascii="Arial" w:hAnsi="Arial" w:cs="Arial"/>
          <w:color w:val="000000" w:themeColor="text1"/>
          <w:sz w:val="24"/>
          <w:szCs w:val="24"/>
        </w:rPr>
      </w:pPr>
      <w:r w:rsidRPr="00710A06">
        <w:rPr>
          <w:rFonts w:ascii="Arial" w:hAnsi="Arial" w:cs="Arial"/>
          <w:color w:val="000000" w:themeColor="text1"/>
          <w:sz w:val="24"/>
          <w:szCs w:val="24"/>
        </w:rPr>
        <w:t xml:space="preserve"> Aportaciones a Pensiones.</w:t>
      </w:r>
    </w:p>
    <w:p w:rsidR="00E40CB7" w:rsidRPr="00710A06" w:rsidRDefault="00E40CB7" w:rsidP="00E40CB7">
      <w:pPr>
        <w:spacing w:after="0" w:line="360" w:lineRule="auto"/>
        <w:ind w:left="1434"/>
        <w:jc w:val="both"/>
        <w:rPr>
          <w:rFonts w:ascii="Arial" w:hAnsi="Arial" w:cs="Arial"/>
          <w:color w:val="000000" w:themeColor="text1"/>
          <w:sz w:val="24"/>
          <w:szCs w:val="24"/>
        </w:rPr>
      </w:pPr>
    </w:p>
    <w:p w:rsidR="00710A06" w:rsidRDefault="00710A06" w:rsidP="00C45465">
      <w:pPr>
        <w:numPr>
          <w:ilvl w:val="1"/>
          <w:numId w:val="31"/>
        </w:numPr>
        <w:spacing w:after="0" w:line="360" w:lineRule="auto"/>
        <w:ind w:left="1434" w:hanging="357"/>
        <w:jc w:val="both"/>
        <w:rPr>
          <w:rFonts w:ascii="Arial" w:hAnsi="Arial" w:cs="Arial"/>
          <w:color w:val="000000" w:themeColor="text1"/>
          <w:sz w:val="24"/>
          <w:szCs w:val="24"/>
        </w:rPr>
      </w:pPr>
      <w:r w:rsidRPr="00710A06">
        <w:rPr>
          <w:rFonts w:ascii="Arial" w:hAnsi="Arial" w:cs="Arial"/>
          <w:color w:val="000000" w:themeColor="text1"/>
          <w:sz w:val="24"/>
          <w:szCs w:val="24"/>
        </w:rPr>
        <w:t>Fondo de Desastres Naturales.</w:t>
      </w:r>
    </w:p>
    <w:p w:rsidR="00E40CB7" w:rsidRPr="00710A06" w:rsidRDefault="00E40CB7" w:rsidP="00E40CB7">
      <w:pPr>
        <w:spacing w:after="0" w:line="360" w:lineRule="auto"/>
        <w:ind w:left="1434"/>
        <w:jc w:val="both"/>
        <w:rPr>
          <w:rFonts w:ascii="Arial" w:hAnsi="Arial" w:cs="Arial"/>
          <w:color w:val="000000" w:themeColor="text1"/>
          <w:sz w:val="24"/>
          <w:szCs w:val="24"/>
        </w:rPr>
      </w:pPr>
    </w:p>
    <w:p w:rsidR="00710A06" w:rsidRDefault="00710A06" w:rsidP="00C45465">
      <w:pPr>
        <w:numPr>
          <w:ilvl w:val="1"/>
          <w:numId w:val="31"/>
        </w:numPr>
        <w:spacing w:after="0" w:line="360" w:lineRule="auto"/>
        <w:ind w:left="1434" w:hanging="357"/>
        <w:jc w:val="both"/>
        <w:rPr>
          <w:rFonts w:ascii="Arial" w:hAnsi="Arial" w:cs="Arial"/>
          <w:color w:val="000000" w:themeColor="text1"/>
          <w:sz w:val="24"/>
          <w:szCs w:val="24"/>
        </w:rPr>
      </w:pPr>
      <w:r w:rsidRPr="00710A06">
        <w:rPr>
          <w:rFonts w:ascii="Arial" w:hAnsi="Arial" w:cs="Arial"/>
          <w:color w:val="000000" w:themeColor="text1"/>
          <w:sz w:val="24"/>
          <w:szCs w:val="24"/>
        </w:rPr>
        <w:t xml:space="preserve">En caso de que existan remanentes, de estos ingresos excedentes, se destinarán a inversión pública de infraestructura o programas sociales, a través de los fondos constituidos para tal efecto, a fin de que los recursos </w:t>
      </w:r>
      <w:r w:rsidRPr="00710A06">
        <w:rPr>
          <w:rFonts w:ascii="Arial" w:hAnsi="Arial" w:cs="Arial"/>
          <w:color w:val="000000" w:themeColor="text1"/>
          <w:sz w:val="24"/>
          <w:szCs w:val="24"/>
        </w:rPr>
        <w:lastRenderedPageBreak/>
        <w:t>correspondientes se ejerzan a más tardar en el ejercicio inmediato siguiente.</w:t>
      </w:r>
    </w:p>
    <w:p w:rsidR="00E40CB7" w:rsidRPr="00710A06" w:rsidRDefault="00E40CB7" w:rsidP="00E40CB7">
      <w:pPr>
        <w:spacing w:after="0" w:line="360" w:lineRule="auto"/>
        <w:ind w:left="1434"/>
        <w:jc w:val="both"/>
        <w:rPr>
          <w:rFonts w:ascii="Arial" w:hAnsi="Arial" w:cs="Arial"/>
          <w:color w:val="000000" w:themeColor="text1"/>
          <w:sz w:val="24"/>
          <w:szCs w:val="24"/>
        </w:rPr>
      </w:pPr>
    </w:p>
    <w:p w:rsidR="00710A06" w:rsidRPr="00710A06" w:rsidRDefault="00710A06" w:rsidP="00C45465">
      <w:pPr>
        <w:numPr>
          <w:ilvl w:val="1"/>
          <w:numId w:val="31"/>
        </w:numPr>
        <w:spacing w:after="0" w:line="360" w:lineRule="auto"/>
        <w:ind w:left="1434" w:hanging="357"/>
        <w:jc w:val="both"/>
        <w:rPr>
          <w:rFonts w:ascii="Arial" w:hAnsi="Arial" w:cs="Arial"/>
          <w:color w:val="000000" w:themeColor="text1"/>
          <w:sz w:val="24"/>
          <w:szCs w:val="24"/>
        </w:rPr>
      </w:pPr>
      <w:r w:rsidRPr="00710A06">
        <w:rPr>
          <w:rFonts w:ascii="Arial" w:hAnsi="Arial" w:cs="Arial"/>
          <w:color w:val="000000" w:themeColor="text1"/>
          <w:sz w:val="24"/>
          <w:szCs w:val="24"/>
        </w:rPr>
        <w:t>Si la Entidad se encuentra en la clasificación como entidad con endeudamiento sostenible, según el Sistema de Alertas, podrá destinar los ingresos excedentes de libre disposición a los rubros mencionados anteriormente, sin restricción alguna.</w:t>
      </w:r>
    </w:p>
    <w:p w:rsidR="00710A06" w:rsidRPr="00710A06" w:rsidRDefault="00710A06" w:rsidP="00C45465">
      <w:pPr>
        <w:spacing w:after="0" w:line="360" w:lineRule="auto"/>
        <w:ind w:left="360"/>
        <w:jc w:val="both"/>
        <w:rPr>
          <w:rFonts w:ascii="Arial" w:hAnsi="Arial" w:cs="Arial"/>
          <w:color w:val="000000" w:themeColor="text1"/>
          <w:sz w:val="24"/>
          <w:szCs w:val="24"/>
        </w:rPr>
      </w:pPr>
    </w:p>
    <w:p w:rsidR="00710A06" w:rsidRPr="00710A06" w:rsidRDefault="00710A06" w:rsidP="00C45465">
      <w:pPr>
        <w:spacing w:after="0" w:line="360" w:lineRule="auto"/>
        <w:ind w:left="360"/>
        <w:jc w:val="both"/>
        <w:rPr>
          <w:rFonts w:ascii="Arial" w:hAnsi="Arial" w:cs="Arial"/>
          <w:color w:val="000000" w:themeColor="text1"/>
          <w:sz w:val="24"/>
          <w:szCs w:val="24"/>
        </w:rPr>
      </w:pPr>
      <w:r w:rsidRPr="00710A06">
        <w:rPr>
          <w:rFonts w:ascii="Arial" w:hAnsi="Arial" w:cs="Arial"/>
          <w:color w:val="000000" w:themeColor="text1"/>
          <w:sz w:val="24"/>
          <w:szCs w:val="24"/>
        </w:rPr>
        <w:t>Los Municipios y demás entes públicos se apegarán a la misma regla, conforme lo previsto en el Código Financiero del Estado de Tlaxcala y sus Municipios.</w:t>
      </w:r>
    </w:p>
    <w:p w:rsidR="00710A06" w:rsidRPr="00710A06" w:rsidRDefault="00710A06" w:rsidP="00C45465">
      <w:pPr>
        <w:pStyle w:val="PRIMERAPLANA"/>
        <w:spacing w:line="360" w:lineRule="auto"/>
        <w:rPr>
          <w:rFonts w:cs="Arial"/>
          <w:b/>
          <w:iCs/>
          <w:color w:val="000000" w:themeColor="text1"/>
          <w:sz w:val="24"/>
          <w:szCs w:val="24"/>
          <w:lang w:val="es-MX"/>
        </w:rPr>
      </w:pPr>
    </w:p>
    <w:p w:rsidR="00710A06" w:rsidRPr="00710A06" w:rsidRDefault="00710A06" w:rsidP="00C45465">
      <w:pPr>
        <w:pStyle w:val="PRIMERAPLANA"/>
        <w:spacing w:line="360" w:lineRule="auto"/>
        <w:rPr>
          <w:rFonts w:cs="Arial"/>
          <w:b/>
          <w:iCs/>
          <w:color w:val="000000" w:themeColor="text1"/>
          <w:sz w:val="24"/>
          <w:szCs w:val="24"/>
          <w:lang w:val="es-MX"/>
        </w:rPr>
      </w:pPr>
      <w:r w:rsidRPr="00710A06">
        <w:rPr>
          <w:rFonts w:cs="Arial"/>
          <w:b/>
          <w:iCs/>
          <w:color w:val="000000" w:themeColor="text1"/>
          <w:sz w:val="24"/>
          <w:szCs w:val="24"/>
          <w:lang w:val="es-MX"/>
        </w:rPr>
        <w:t>Para efectos de lo anterior, es de puntualizar las siguientes:</w:t>
      </w:r>
    </w:p>
    <w:p w:rsidR="00710A06" w:rsidRPr="00710A06" w:rsidRDefault="00710A06" w:rsidP="00C45465">
      <w:pPr>
        <w:pStyle w:val="PRIMERAPLANA"/>
        <w:spacing w:line="360" w:lineRule="auto"/>
        <w:rPr>
          <w:rFonts w:cs="Arial"/>
          <w:b/>
          <w:iCs/>
          <w:color w:val="000000" w:themeColor="text1"/>
          <w:sz w:val="24"/>
          <w:szCs w:val="24"/>
          <w:lang w:val="es-MX"/>
        </w:rPr>
      </w:pPr>
    </w:p>
    <w:p w:rsidR="00710A06" w:rsidRDefault="00710A06" w:rsidP="00C45465">
      <w:pPr>
        <w:spacing w:after="0" w:line="360" w:lineRule="auto"/>
        <w:jc w:val="both"/>
        <w:rPr>
          <w:rFonts w:ascii="Arial" w:hAnsi="Arial" w:cs="Arial"/>
          <w:b/>
          <w:bCs/>
          <w:color w:val="000000" w:themeColor="text1"/>
          <w:sz w:val="24"/>
          <w:szCs w:val="24"/>
        </w:rPr>
      </w:pPr>
      <w:r w:rsidRPr="00710A06">
        <w:rPr>
          <w:rFonts w:ascii="Arial" w:hAnsi="Arial" w:cs="Arial"/>
          <w:b/>
          <w:bCs/>
          <w:color w:val="000000" w:themeColor="text1"/>
          <w:sz w:val="24"/>
          <w:szCs w:val="24"/>
        </w:rPr>
        <w:t>PERSPECTIVAS ECONÓMICAS Y FISCALES DEL ESTADO DE TLAXCALA 2018-202</w:t>
      </w:r>
      <w:r w:rsidR="00F7212A">
        <w:rPr>
          <w:rFonts w:ascii="Arial" w:hAnsi="Arial" w:cs="Arial"/>
          <w:b/>
          <w:bCs/>
          <w:color w:val="000000" w:themeColor="text1"/>
          <w:sz w:val="24"/>
          <w:szCs w:val="24"/>
        </w:rPr>
        <w:t>3</w:t>
      </w:r>
      <w:r w:rsidRPr="00710A06">
        <w:rPr>
          <w:rFonts w:ascii="Arial" w:hAnsi="Arial" w:cs="Arial"/>
          <w:b/>
          <w:bCs/>
          <w:color w:val="000000" w:themeColor="text1"/>
          <w:sz w:val="24"/>
          <w:szCs w:val="24"/>
        </w:rPr>
        <w:t>.</w:t>
      </w:r>
    </w:p>
    <w:p w:rsidR="00E40CB7" w:rsidRPr="00710A06" w:rsidRDefault="00E40CB7" w:rsidP="00C45465">
      <w:pPr>
        <w:spacing w:after="0" w:line="360" w:lineRule="auto"/>
        <w:jc w:val="both"/>
        <w:rPr>
          <w:rFonts w:ascii="Arial" w:hAnsi="Arial" w:cs="Arial"/>
          <w:b/>
          <w:bCs/>
          <w:color w:val="000000" w:themeColor="text1"/>
          <w:sz w:val="24"/>
          <w:szCs w:val="24"/>
        </w:rPr>
      </w:pPr>
    </w:p>
    <w:p w:rsid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t>El Gobierno del Estado, siguiendo las políticas establecidas en los últimos años por el Gobierno Federal ha</w:t>
      </w:r>
      <w:r w:rsidRPr="00710A06">
        <w:rPr>
          <w:rFonts w:ascii="Arial" w:hAnsi="Arial" w:cs="Arial"/>
          <w:color w:val="000000" w:themeColor="text1"/>
          <w:sz w:val="24"/>
          <w:szCs w:val="24"/>
          <w:lang w:eastAsia="es-MX"/>
        </w:rPr>
        <w:t xml:space="preserve"> </w:t>
      </w:r>
      <w:r w:rsidRPr="00710A06">
        <w:rPr>
          <w:rFonts w:ascii="Arial" w:hAnsi="Arial" w:cs="Arial"/>
          <w:color w:val="000000" w:themeColor="text1"/>
          <w:sz w:val="24"/>
          <w:szCs w:val="24"/>
        </w:rPr>
        <w:t xml:space="preserve">trabajado de manera continua para fortalecer los ingresos, mejorar la eficiencia del gasto e impulsar la responsabilidad fiscal, la transparencia presupuestal y la rendición de cuentas. </w:t>
      </w:r>
    </w:p>
    <w:p w:rsidR="00E40CB7" w:rsidRPr="00710A06" w:rsidRDefault="00E40CB7" w:rsidP="00C45465">
      <w:pPr>
        <w:spacing w:after="0" w:line="360" w:lineRule="auto"/>
        <w:jc w:val="both"/>
        <w:rPr>
          <w:rFonts w:ascii="Arial" w:hAnsi="Arial" w:cs="Arial"/>
          <w:color w:val="000000" w:themeColor="text1"/>
          <w:sz w:val="24"/>
          <w:szCs w:val="24"/>
        </w:rPr>
      </w:pPr>
    </w:p>
    <w:p w:rsid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t xml:space="preserve">Se prevé que en 2018 las exportaciones no petroleras de México registren una aceleración respecto a 2017. Esto se traduciría en un mayor crecimiento de la producción de manufacturas y de los servicios más relacionados con el comercio exterior. Asimismo, se anticipa que la </w:t>
      </w:r>
      <w:r w:rsidRPr="00710A06">
        <w:rPr>
          <w:rFonts w:ascii="Arial" w:hAnsi="Arial" w:cs="Arial"/>
          <w:color w:val="000000" w:themeColor="text1"/>
          <w:sz w:val="24"/>
          <w:szCs w:val="24"/>
        </w:rPr>
        <w:lastRenderedPageBreak/>
        <w:t>plataforma de producción de petróleo en 2018 comience a recuperarse de la tendencia decreciente que registra desde 2005.</w:t>
      </w:r>
    </w:p>
    <w:p w:rsidR="00E40CB7" w:rsidRPr="00710A06" w:rsidRDefault="00E40CB7" w:rsidP="00C45465">
      <w:pPr>
        <w:spacing w:after="0" w:line="360" w:lineRule="auto"/>
        <w:jc w:val="both"/>
        <w:rPr>
          <w:rFonts w:ascii="Arial" w:hAnsi="Arial" w:cs="Arial"/>
          <w:color w:val="000000" w:themeColor="text1"/>
          <w:sz w:val="24"/>
          <w:szCs w:val="24"/>
        </w:rPr>
      </w:pPr>
    </w:p>
    <w:p w:rsid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t>Por otro lado, se estima un fortalecimiento de la demanda interna, apoyado en la creación de empleos formales, la expansión del crédito, un aumento de los salarios, la convergencia de la inflación al objetivo del Banco de México de 3.0 por ciento con un rango de un punto porcentual, y una mejoría paulatina de la confianza de los consumidores y las empresas. Por tanto, también se anticipa un mayor crecimiento de los sectores de la construcción y los servicios menos vinculados con el sector externo.</w:t>
      </w:r>
    </w:p>
    <w:p w:rsidR="00E40CB7" w:rsidRPr="00710A06" w:rsidRDefault="00E40CB7" w:rsidP="00C45465">
      <w:pPr>
        <w:spacing w:after="0" w:line="360" w:lineRule="auto"/>
        <w:jc w:val="both"/>
        <w:rPr>
          <w:rFonts w:ascii="Arial" w:hAnsi="Arial" w:cs="Arial"/>
          <w:color w:val="000000" w:themeColor="text1"/>
          <w:sz w:val="24"/>
          <w:szCs w:val="24"/>
        </w:rPr>
      </w:pPr>
    </w:p>
    <w:p w:rsid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t>Asimismo, se prevé que el dinamismo del consumo y la inversión también estarán apuntalados por los efectos de la implementación de las Reformas Estructurales. En particular, se anticipa que las rondas de licitaciones del sector energético continúen impulsando una mayor inversión y que comiencen a contribuir a una mayor producción de petróleo y gas. De acuerdo con la encuesta a los especialistas en economía del sector privado publicada por el Banco de México en septiembre de 2017, se espera que el ingreso de inversión extranjera directa se incremente de 24.2 mmd en 2017 a 25.0 mmd en 2018. Considerando los factores anteriores y los efectos asociados a las Reformas Estructurales, se estima que durante 2018 el valor real del PIB de México registre un crecimiento anual de entre 2.0 y 3.0 por ciento. Para efectos de las estimaciones de finanzas públicas, se plantea utilizar un crecimiento puntual del PIB para 2018 de 2.5 por ciento.</w:t>
      </w:r>
    </w:p>
    <w:p w:rsidR="00E40CB7" w:rsidRPr="00710A06" w:rsidRDefault="00E40CB7" w:rsidP="00C45465">
      <w:pPr>
        <w:spacing w:after="0" w:line="360" w:lineRule="auto"/>
        <w:jc w:val="both"/>
        <w:rPr>
          <w:rFonts w:ascii="Arial" w:hAnsi="Arial" w:cs="Arial"/>
          <w:color w:val="000000" w:themeColor="text1"/>
          <w:sz w:val="24"/>
          <w:szCs w:val="24"/>
        </w:rPr>
      </w:pPr>
    </w:p>
    <w:p w:rsid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t xml:space="preserve">El marco macroeconómico de mediano plazo contempla los efectos positivos de la agenda de Reformas Estructurales que se han implementado durante la presente administración federal. Asimismo, el escenario de </w:t>
      </w:r>
      <w:r w:rsidRPr="00710A06">
        <w:rPr>
          <w:rFonts w:ascii="Arial" w:hAnsi="Arial" w:cs="Arial"/>
          <w:color w:val="000000" w:themeColor="text1"/>
          <w:sz w:val="24"/>
          <w:szCs w:val="24"/>
        </w:rPr>
        <w:lastRenderedPageBreak/>
        <w:t xml:space="preserve">mediano plazo se elaboró considerando una serie de trayectorias futuras para indicadores internacionales que podrían afectarlo, tales como: 1) la evolución de la economía de Estados Unidos; 2) las tasas de interés internacionales; 3) el entorno en los mercados internacionales de capital; y 4) los precios del petróleo y del gas natural a nivel mundial. </w:t>
      </w:r>
    </w:p>
    <w:p w:rsidR="00E40CB7" w:rsidRPr="00710A06" w:rsidRDefault="00E40CB7" w:rsidP="00C45465">
      <w:pPr>
        <w:spacing w:after="0" w:line="360" w:lineRule="auto"/>
        <w:jc w:val="both"/>
        <w:rPr>
          <w:rFonts w:ascii="Arial" w:hAnsi="Arial" w:cs="Arial"/>
          <w:color w:val="000000" w:themeColor="text1"/>
          <w:sz w:val="24"/>
          <w:szCs w:val="24"/>
        </w:rPr>
      </w:pPr>
    </w:p>
    <w:p w:rsid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t>Se estima que durante 2019 el PIB de México tenga un crecimiento anual de entre 2.5 y 3.5 por ciento, para 2020 su crecimiento sea entre 3.0 y 4.0 por ciento, mientras que en el periodo 2021-2023 éste se ubicaría en un rango de 3.5 a 4.5 por ciento. Para efectos de las estimaciones de finanzas públicas se plantea utilizar un crecimiento puntual del PIB para el periodo 2019 y 2020 de 3.0 y 3.5 por ciento, respectivamente, y para los años 2021 al 2023 un crecimiento de 3.5 por ciento.</w:t>
      </w:r>
    </w:p>
    <w:p w:rsidR="00E40CB7" w:rsidRPr="00710A06" w:rsidRDefault="00E40CB7" w:rsidP="00C45465">
      <w:pPr>
        <w:spacing w:after="0" w:line="360" w:lineRule="auto"/>
        <w:jc w:val="both"/>
        <w:rPr>
          <w:rFonts w:ascii="Arial" w:hAnsi="Arial" w:cs="Arial"/>
          <w:color w:val="000000" w:themeColor="text1"/>
          <w:sz w:val="24"/>
          <w:szCs w:val="24"/>
        </w:rPr>
      </w:pPr>
    </w:p>
    <w:p w:rsidR="00710A06" w:rsidRP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t>En el siguiente cuadro se presentan las perspectivas de finanzas públicas de mediano plazo para el Estado de Tlaxcala, tomando como referencia los Criterios Generales de Política Económica 2018.</w:t>
      </w:r>
    </w:p>
    <w:p w:rsidR="00710A06" w:rsidRPr="00710A06" w:rsidRDefault="00710A06" w:rsidP="00C45465">
      <w:pPr>
        <w:spacing w:after="0" w:line="360" w:lineRule="auto"/>
        <w:jc w:val="both"/>
        <w:rPr>
          <w:rFonts w:ascii="Arial" w:hAnsi="Arial" w:cs="Arial"/>
          <w:color w:val="000000" w:themeColor="text1"/>
          <w:sz w:val="24"/>
          <w:szCs w:val="24"/>
        </w:rPr>
      </w:pPr>
    </w:p>
    <w:p w:rsidR="00710A06" w:rsidRPr="00710A06" w:rsidRDefault="00710A06" w:rsidP="00C45465">
      <w:pPr>
        <w:spacing w:after="0" w:line="360" w:lineRule="auto"/>
        <w:jc w:val="both"/>
        <w:rPr>
          <w:rFonts w:ascii="Arial" w:hAnsi="Arial" w:cs="Arial"/>
          <w:color w:val="000000" w:themeColor="text1"/>
          <w:sz w:val="24"/>
          <w:szCs w:val="24"/>
        </w:rPr>
      </w:pPr>
    </w:p>
    <w:p w:rsidR="00710A06" w:rsidRPr="00710A06" w:rsidRDefault="00710A06" w:rsidP="00C45465">
      <w:pPr>
        <w:spacing w:after="0" w:line="360" w:lineRule="auto"/>
        <w:jc w:val="both"/>
        <w:rPr>
          <w:rFonts w:ascii="Arial" w:hAnsi="Arial" w:cs="Arial"/>
          <w:color w:val="000000" w:themeColor="text1"/>
          <w:sz w:val="24"/>
          <w:szCs w:val="24"/>
        </w:rPr>
      </w:pPr>
    </w:p>
    <w:p w:rsidR="00710A06" w:rsidRPr="00710A06" w:rsidRDefault="00710A06" w:rsidP="00C45465">
      <w:pPr>
        <w:spacing w:after="0" w:line="360" w:lineRule="auto"/>
        <w:jc w:val="both"/>
        <w:rPr>
          <w:rFonts w:ascii="Arial" w:hAnsi="Arial" w:cs="Arial"/>
          <w:color w:val="000000" w:themeColor="text1"/>
          <w:sz w:val="24"/>
          <w:szCs w:val="24"/>
        </w:rPr>
      </w:pPr>
    </w:p>
    <w:tbl>
      <w:tblPr>
        <w:tblW w:w="5000" w:type="pct"/>
        <w:tblLayout w:type="fixed"/>
        <w:tblCellMar>
          <w:left w:w="70" w:type="dxa"/>
          <w:right w:w="70" w:type="dxa"/>
        </w:tblCellMar>
        <w:tblLook w:val="04A0" w:firstRow="1" w:lastRow="0" w:firstColumn="1" w:lastColumn="0" w:noHBand="0" w:noVBand="1"/>
      </w:tblPr>
      <w:tblGrid>
        <w:gridCol w:w="2483"/>
        <w:gridCol w:w="991"/>
        <w:gridCol w:w="992"/>
        <w:gridCol w:w="1133"/>
        <w:gridCol w:w="943"/>
        <w:gridCol w:w="879"/>
        <w:gridCol w:w="876"/>
      </w:tblGrid>
      <w:tr w:rsidR="00710A06" w:rsidRPr="00710A06" w:rsidTr="00527D85">
        <w:trPr>
          <w:trHeight w:val="300"/>
          <w:tblHeader/>
        </w:trPr>
        <w:tc>
          <w:tcPr>
            <w:tcW w:w="5000" w:type="pct"/>
            <w:gridSpan w:val="7"/>
            <w:tcBorders>
              <w:top w:val="single" w:sz="8" w:space="0" w:color="auto"/>
              <w:left w:val="single" w:sz="8" w:space="0" w:color="auto"/>
              <w:bottom w:val="nil"/>
              <w:right w:val="single" w:sz="8" w:space="0" w:color="000000"/>
            </w:tcBorders>
            <w:shd w:val="clear" w:color="000000" w:fill="D9D9D9"/>
            <w:noWrap/>
            <w:vAlign w:val="center"/>
            <w:hideMark/>
          </w:tcPr>
          <w:p w:rsidR="00710A06" w:rsidRPr="00710A06" w:rsidRDefault="00710A06" w:rsidP="00C45465">
            <w:pPr>
              <w:spacing w:after="0" w:line="360" w:lineRule="auto"/>
              <w:jc w:val="center"/>
              <w:rPr>
                <w:rFonts w:ascii="Arial" w:eastAsia="Times New Roman" w:hAnsi="Arial" w:cs="Arial"/>
                <w:b/>
                <w:bCs/>
                <w:color w:val="000000"/>
                <w:sz w:val="12"/>
                <w:szCs w:val="12"/>
                <w:lang w:eastAsia="es-MX"/>
              </w:rPr>
            </w:pPr>
            <w:r w:rsidRPr="00710A06">
              <w:rPr>
                <w:rFonts w:ascii="Arial" w:eastAsia="Times New Roman" w:hAnsi="Arial" w:cs="Arial"/>
                <w:b/>
                <w:bCs/>
                <w:color w:val="000000"/>
                <w:sz w:val="12"/>
                <w:szCs w:val="12"/>
                <w:lang w:eastAsia="es-MX"/>
              </w:rPr>
              <w:t>NOMBRE DE LA ENTIDAD FEDERATIVA / MUNICIPIO(a)</w:t>
            </w:r>
          </w:p>
        </w:tc>
      </w:tr>
      <w:tr w:rsidR="00710A06" w:rsidRPr="00710A06" w:rsidTr="00527D85">
        <w:trPr>
          <w:trHeight w:val="300"/>
          <w:tblHeader/>
        </w:trPr>
        <w:tc>
          <w:tcPr>
            <w:tcW w:w="5000" w:type="pct"/>
            <w:gridSpan w:val="7"/>
            <w:tcBorders>
              <w:top w:val="nil"/>
              <w:left w:val="single" w:sz="8" w:space="0" w:color="auto"/>
              <w:bottom w:val="nil"/>
              <w:right w:val="single" w:sz="8" w:space="0" w:color="000000"/>
            </w:tcBorders>
            <w:shd w:val="clear" w:color="000000" w:fill="D9D9D9"/>
            <w:noWrap/>
            <w:vAlign w:val="center"/>
            <w:hideMark/>
          </w:tcPr>
          <w:p w:rsidR="00710A06" w:rsidRPr="00710A06" w:rsidRDefault="00710A06" w:rsidP="00C45465">
            <w:pPr>
              <w:spacing w:after="0" w:line="360" w:lineRule="auto"/>
              <w:jc w:val="center"/>
              <w:rPr>
                <w:rFonts w:ascii="Arial" w:eastAsia="Times New Roman" w:hAnsi="Arial" w:cs="Arial"/>
                <w:b/>
                <w:bCs/>
                <w:color w:val="000000"/>
                <w:sz w:val="12"/>
                <w:szCs w:val="12"/>
                <w:lang w:eastAsia="es-MX"/>
              </w:rPr>
            </w:pPr>
            <w:r w:rsidRPr="00710A06">
              <w:rPr>
                <w:rFonts w:ascii="Arial" w:eastAsia="Times New Roman" w:hAnsi="Arial" w:cs="Arial"/>
                <w:b/>
                <w:bCs/>
                <w:color w:val="000000"/>
                <w:sz w:val="12"/>
                <w:szCs w:val="12"/>
                <w:lang w:eastAsia="es-MX"/>
              </w:rPr>
              <w:t>Proyección de Egresos - LDF</w:t>
            </w:r>
          </w:p>
        </w:tc>
      </w:tr>
      <w:tr w:rsidR="00710A06" w:rsidRPr="00710A06" w:rsidTr="00527D85">
        <w:trPr>
          <w:trHeight w:val="330"/>
          <w:tblHeader/>
        </w:trPr>
        <w:tc>
          <w:tcPr>
            <w:tcW w:w="5000" w:type="pct"/>
            <w:gridSpan w:val="7"/>
            <w:tcBorders>
              <w:top w:val="nil"/>
              <w:left w:val="single" w:sz="8" w:space="0" w:color="auto"/>
              <w:bottom w:val="nil"/>
              <w:right w:val="single" w:sz="8" w:space="0" w:color="000000"/>
            </w:tcBorders>
            <w:shd w:val="clear" w:color="000000" w:fill="D9D9D9"/>
            <w:noWrap/>
            <w:vAlign w:val="center"/>
            <w:hideMark/>
          </w:tcPr>
          <w:p w:rsidR="00710A06" w:rsidRPr="00710A06" w:rsidRDefault="00710A06" w:rsidP="00C45465">
            <w:pPr>
              <w:spacing w:after="0" w:line="360" w:lineRule="auto"/>
              <w:jc w:val="center"/>
              <w:rPr>
                <w:rFonts w:ascii="Arial" w:eastAsia="Times New Roman" w:hAnsi="Arial" w:cs="Arial"/>
                <w:b/>
                <w:bCs/>
                <w:color w:val="000000"/>
                <w:sz w:val="12"/>
                <w:szCs w:val="12"/>
                <w:lang w:eastAsia="es-MX"/>
              </w:rPr>
            </w:pPr>
            <w:r w:rsidRPr="00710A06">
              <w:rPr>
                <w:rFonts w:ascii="Arial" w:eastAsia="Times New Roman" w:hAnsi="Arial" w:cs="Arial"/>
                <w:b/>
                <w:bCs/>
                <w:color w:val="000000"/>
                <w:sz w:val="12"/>
                <w:szCs w:val="12"/>
                <w:lang w:eastAsia="es-MX"/>
              </w:rPr>
              <w:t>(PESOS)</w:t>
            </w:r>
          </w:p>
        </w:tc>
      </w:tr>
      <w:tr w:rsidR="00710A06" w:rsidRPr="00710A06" w:rsidTr="00527D85">
        <w:trPr>
          <w:trHeight w:val="80"/>
          <w:tblHeader/>
        </w:trPr>
        <w:tc>
          <w:tcPr>
            <w:tcW w:w="5000" w:type="pct"/>
            <w:gridSpan w:val="7"/>
            <w:tcBorders>
              <w:top w:val="nil"/>
              <w:left w:val="single" w:sz="8" w:space="0" w:color="auto"/>
              <w:bottom w:val="single" w:sz="8" w:space="0" w:color="auto"/>
              <w:right w:val="single" w:sz="8" w:space="0" w:color="000000"/>
            </w:tcBorders>
            <w:shd w:val="clear" w:color="000000" w:fill="D9D9D9"/>
            <w:noWrap/>
            <w:vAlign w:val="center"/>
            <w:hideMark/>
          </w:tcPr>
          <w:p w:rsidR="00710A06" w:rsidRPr="00710A06" w:rsidRDefault="00710A06" w:rsidP="00C45465">
            <w:pPr>
              <w:spacing w:after="0" w:line="360" w:lineRule="auto"/>
              <w:jc w:val="center"/>
              <w:rPr>
                <w:rFonts w:ascii="Arial" w:eastAsia="Times New Roman" w:hAnsi="Arial" w:cs="Arial"/>
                <w:b/>
                <w:bCs/>
                <w:color w:val="000000"/>
                <w:sz w:val="12"/>
                <w:szCs w:val="12"/>
                <w:lang w:eastAsia="es-MX"/>
              </w:rPr>
            </w:pPr>
            <w:r w:rsidRPr="00710A06">
              <w:rPr>
                <w:rFonts w:ascii="Arial" w:eastAsia="Times New Roman" w:hAnsi="Arial" w:cs="Arial"/>
                <w:b/>
                <w:bCs/>
                <w:color w:val="000000"/>
                <w:sz w:val="12"/>
                <w:szCs w:val="12"/>
                <w:lang w:eastAsia="es-MX"/>
              </w:rPr>
              <w:t>(CIFRAS NOMINALES)</w:t>
            </w:r>
          </w:p>
        </w:tc>
      </w:tr>
      <w:tr w:rsidR="00710A06" w:rsidRPr="00710A06" w:rsidTr="00527D85">
        <w:trPr>
          <w:trHeight w:val="315"/>
          <w:tblHeader/>
        </w:trPr>
        <w:tc>
          <w:tcPr>
            <w:tcW w:w="1496" w:type="pct"/>
            <w:tcBorders>
              <w:top w:val="nil"/>
              <w:left w:val="single" w:sz="8" w:space="0" w:color="auto"/>
              <w:bottom w:val="single" w:sz="8" w:space="0" w:color="auto"/>
              <w:right w:val="single" w:sz="8" w:space="0" w:color="auto"/>
            </w:tcBorders>
            <w:shd w:val="clear" w:color="000000" w:fill="D9D9D9"/>
            <w:noWrap/>
            <w:vAlign w:val="center"/>
            <w:hideMark/>
          </w:tcPr>
          <w:p w:rsidR="00710A06" w:rsidRPr="00710A06" w:rsidRDefault="00710A06" w:rsidP="00C45465">
            <w:pPr>
              <w:spacing w:after="0" w:line="360" w:lineRule="auto"/>
              <w:jc w:val="center"/>
              <w:rPr>
                <w:rFonts w:ascii="Arial" w:eastAsia="Times New Roman" w:hAnsi="Arial" w:cs="Arial"/>
                <w:b/>
                <w:bCs/>
                <w:color w:val="000000"/>
                <w:sz w:val="12"/>
                <w:szCs w:val="12"/>
                <w:lang w:eastAsia="es-MX"/>
              </w:rPr>
            </w:pPr>
            <w:r w:rsidRPr="00710A06">
              <w:rPr>
                <w:rFonts w:ascii="Arial" w:eastAsia="Times New Roman" w:hAnsi="Arial" w:cs="Arial"/>
                <w:b/>
                <w:bCs/>
                <w:color w:val="000000"/>
                <w:sz w:val="12"/>
                <w:szCs w:val="12"/>
                <w:lang w:eastAsia="es-MX"/>
              </w:rPr>
              <w:t>Concepto (b)</w:t>
            </w:r>
          </w:p>
        </w:tc>
        <w:tc>
          <w:tcPr>
            <w:tcW w:w="597" w:type="pct"/>
            <w:tcBorders>
              <w:top w:val="nil"/>
              <w:left w:val="nil"/>
              <w:bottom w:val="single" w:sz="8" w:space="0" w:color="auto"/>
              <w:right w:val="single" w:sz="8" w:space="0" w:color="auto"/>
            </w:tcBorders>
            <w:shd w:val="clear" w:color="000000" w:fill="D9D9D9"/>
            <w:noWrap/>
            <w:vAlign w:val="center"/>
            <w:hideMark/>
          </w:tcPr>
          <w:p w:rsidR="00710A06" w:rsidRPr="00710A06" w:rsidRDefault="00710A06" w:rsidP="00C45465">
            <w:pPr>
              <w:spacing w:after="0" w:line="360" w:lineRule="auto"/>
              <w:jc w:val="center"/>
              <w:rPr>
                <w:rFonts w:ascii="Arial" w:eastAsia="Times New Roman" w:hAnsi="Arial" w:cs="Arial"/>
                <w:b/>
                <w:bCs/>
                <w:color w:val="000000"/>
                <w:sz w:val="12"/>
                <w:szCs w:val="12"/>
                <w:lang w:eastAsia="es-MX"/>
              </w:rPr>
            </w:pPr>
            <w:r w:rsidRPr="00710A06">
              <w:rPr>
                <w:rFonts w:ascii="Arial" w:eastAsia="Times New Roman" w:hAnsi="Arial" w:cs="Arial"/>
                <w:b/>
                <w:bCs/>
                <w:color w:val="000000"/>
                <w:sz w:val="12"/>
                <w:szCs w:val="12"/>
                <w:lang w:eastAsia="es-MX"/>
              </w:rPr>
              <w:t>2018</w:t>
            </w:r>
          </w:p>
        </w:tc>
        <w:tc>
          <w:tcPr>
            <w:tcW w:w="598" w:type="pct"/>
            <w:tcBorders>
              <w:top w:val="nil"/>
              <w:left w:val="nil"/>
              <w:bottom w:val="single" w:sz="8" w:space="0" w:color="auto"/>
              <w:right w:val="single" w:sz="8" w:space="0" w:color="auto"/>
            </w:tcBorders>
            <w:shd w:val="clear" w:color="000000" w:fill="D9D9D9"/>
            <w:noWrap/>
            <w:vAlign w:val="center"/>
            <w:hideMark/>
          </w:tcPr>
          <w:p w:rsidR="00710A06" w:rsidRPr="00710A06" w:rsidRDefault="00710A06" w:rsidP="00C45465">
            <w:pPr>
              <w:spacing w:after="0" w:line="360" w:lineRule="auto"/>
              <w:jc w:val="center"/>
              <w:rPr>
                <w:rFonts w:ascii="Arial" w:eastAsia="Times New Roman" w:hAnsi="Arial" w:cs="Arial"/>
                <w:b/>
                <w:bCs/>
                <w:color w:val="000000"/>
                <w:sz w:val="12"/>
                <w:szCs w:val="12"/>
                <w:lang w:eastAsia="es-MX"/>
              </w:rPr>
            </w:pPr>
            <w:r w:rsidRPr="00710A06">
              <w:rPr>
                <w:rFonts w:ascii="Arial" w:eastAsia="Times New Roman" w:hAnsi="Arial" w:cs="Arial"/>
                <w:b/>
                <w:bCs/>
                <w:color w:val="000000"/>
                <w:sz w:val="12"/>
                <w:szCs w:val="12"/>
                <w:lang w:eastAsia="es-MX"/>
              </w:rPr>
              <w:t>2019</w:t>
            </w:r>
          </w:p>
        </w:tc>
        <w:tc>
          <w:tcPr>
            <w:tcW w:w="683" w:type="pct"/>
            <w:tcBorders>
              <w:top w:val="nil"/>
              <w:left w:val="nil"/>
              <w:bottom w:val="single" w:sz="8" w:space="0" w:color="auto"/>
              <w:right w:val="single" w:sz="8" w:space="0" w:color="auto"/>
            </w:tcBorders>
            <w:shd w:val="clear" w:color="000000" w:fill="D9D9D9"/>
            <w:noWrap/>
            <w:vAlign w:val="center"/>
            <w:hideMark/>
          </w:tcPr>
          <w:p w:rsidR="00710A06" w:rsidRPr="00710A06" w:rsidRDefault="00710A06" w:rsidP="00C45465">
            <w:pPr>
              <w:spacing w:after="0" w:line="360" w:lineRule="auto"/>
              <w:jc w:val="center"/>
              <w:rPr>
                <w:rFonts w:ascii="Arial" w:eastAsia="Times New Roman" w:hAnsi="Arial" w:cs="Arial"/>
                <w:b/>
                <w:bCs/>
                <w:color w:val="000000"/>
                <w:sz w:val="12"/>
                <w:szCs w:val="12"/>
                <w:lang w:eastAsia="es-MX"/>
              </w:rPr>
            </w:pPr>
            <w:r w:rsidRPr="00710A06">
              <w:rPr>
                <w:rFonts w:ascii="Arial" w:eastAsia="Times New Roman" w:hAnsi="Arial" w:cs="Arial"/>
                <w:b/>
                <w:bCs/>
                <w:color w:val="000000"/>
                <w:sz w:val="12"/>
                <w:szCs w:val="12"/>
                <w:lang w:eastAsia="es-MX"/>
              </w:rPr>
              <w:t>2020</w:t>
            </w:r>
          </w:p>
        </w:tc>
        <w:tc>
          <w:tcPr>
            <w:tcW w:w="568" w:type="pct"/>
            <w:tcBorders>
              <w:top w:val="nil"/>
              <w:left w:val="nil"/>
              <w:bottom w:val="single" w:sz="8" w:space="0" w:color="auto"/>
              <w:right w:val="single" w:sz="8" w:space="0" w:color="auto"/>
            </w:tcBorders>
            <w:shd w:val="clear" w:color="000000" w:fill="D9D9D9"/>
            <w:noWrap/>
            <w:vAlign w:val="center"/>
            <w:hideMark/>
          </w:tcPr>
          <w:p w:rsidR="00710A06" w:rsidRPr="00710A06" w:rsidRDefault="00710A06" w:rsidP="00C45465">
            <w:pPr>
              <w:spacing w:after="0" w:line="360" w:lineRule="auto"/>
              <w:jc w:val="center"/>
              <w:rPr>
                <w:rFonts w:ascii="Arial" w:eastAsia="Times New Roman" w:hAnsi="Arial" w:cs="Arial"/>
                <w:b/>
                <w:bCs/>
                <w:color w:val="000000"/>
                <w:sz w:val="12"/>
                <w:szCs w:val="12"/>
                <w:lang w:eastAsia="es-MX"/>
              </w:rPr>
            </w:pPr>
            <w:r w:rsidRPr="00710A06">
              <w:rPr>
                <w:rFonts w:ascii="Arial" w:eastAsia="Times New Roman" w:hAnsi="Arial" w:cs="Arial"/>
                <w:b/>
                <w:bCs/>
                <w:color w:val="000000"/>
                <w:sz w:val="12"/>
                <w:szCs w:val="12"/>
                <w:lang w:eastAsia="es-MX"/>
              </w:rPr>
              <w:t>2021</w:t>
            </w:r>
          </w:p>
        </w:tc>
        <w:tc>
          <w:tcPr>
            <w:tcW w:w="530" w:type="pct"/>
            <w:tcBorders>
              <w:top w:val="nil"/>
              <w:left w:val="nil"/>
              <w:bottom w:val="single" w:sz="8" w:space="0" w:color="auto"/>
              <w:right w:val="single" w:sz="8" w:space="0" w:color="auto"/>
            </w:tcBorders>
            <w:shd w:val="clear" w:color="000000" w:fill="D9D9D9"/>
            <w:noWrap/>
            <w:vAlign w:val="center"/>
            <w:hideMark/>
          </w:tcPr>
          <w:p w:rsidR="00710A06" w:rsidRPr="00710A06" w:rsidRDefault="00710A06" w:rsidP="00C45465">
            <w:pPr>
              <w:spacing w:after="0" w:line="360" w:lineRule="auto"/>
              <w:jc w:val="center"/>
              <w:rPr>
                <w:rFonts w:ascii="Arial" w:eastAsia="Times New Roman" w:hAnsi="Arial" w:cs="Arial"/>
                <w:b/>
                <w:bCs/>
                <w:color w:val="000000"/>
                <w:sz w:val="12"/>
                <w:szCs w:val="12"/>
                <w:lang w:eastAsia="es-MX"/>
              </w:rPr>
            </w:pPr>
            <w:r w:rsidRPr="00710A06">
              <w:rPr>
                <w:rFonts w:ascii="Arial" w:eastAsia="Times New Roman" w:hAnsi="Arial" w:cs="Arial"/>
                <w:b/>
                <w:bCs/>
                <w:color w:val="000000"/>
                <w:sz w:val="12"/>
                <w:szCs w:val="12"/>
                <w:lang w:eastAsia="es-MX"/>
              </w:rPr>
              <w:t>2022</w:t>
            </w:r>
          </w:p>
        </w:tc>
        <w:tc>
          <w:tcPr>
            <w:tcW w:w="528" w:type="pct"/>
            <w:tcBorders>
              <w:top w:val="nil"/>
              <w:left w:val="nil"/>
              <w:bottom w:val="single" w:sz="8" w:space="0" w:color="auto"/>
              <w:right w:val="single" w:sz="8" w:space="0" w:color="auto"/>
            </w:tcBorders>
            <w:shd w:val="clear" w:color="000000" w:fill="D9D9D9"/>
            <w:noWrap/>
            <w:vAlign w:val="center"/>
            <w:hideMark/>
          </w:tcPr>
          <w:p w:rsidR="00710A06" w:rsidRPr="00710A06" w:rsidRDefault="00710A06" w:rsidP="00C45465">
            <w:pPr>
              <w:spacing w:after="0" w:line="360" w:lineRule="auto"/>
              <w:jc w:val="center"/>
              <w:rPr>
                <w:rFonts w:ascii="Arial" w:eastAsia="Times New Roman" w:hAnsi="Arial" w:cs="Arial"/>
                <w:b/>
                <w:bCs/>
                <w:color w:val="000000"/>
                <w:sz w:val="12"/>
                <w:szCs w:val="12"/>
                <w:lang w:eastAsia="es-MX"/>
              </w:rPr>
            </w:pPr>
            <w:r w:rsidRPr="00710A06">
              <w:rPr>
                <w:rFonts w:ascii="Arial" w:eastAsia="Times New Roman" w:hAnsi="Arial" w:cs="Arial"/>
                <w:b/>
                <w:bCs/>
                <w:color w:val="000000"/>
                <w:sz w:val="12"/>
                <w:szCs w:val="12"/>
                <w:lang w:eastAsia="es-MX"/>
              </w:rPr>
              <w:t>2023</w:t>
            </w:r>
          </w:p>
        </w:tc>
      </w:tr>
      <w:tr w:rsidR="00710A06" w:rsidRPr="00710A06" w:rsidTr="00710A06">
        <w:trPr>
          <w:trHeight w:val="400"/>
        </w:trPr>
        <w:tc>
          <w:tcPr>
            <w:tcW w:w="149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b/>
                <w:bCs/>
                <w:color w:val="000000"/>
                <w:sz w:val="12"/>
                <w:szCs w:val="12"/>
                <w:lang w:eastAsia="es-MX"/>
              </w:rPr>
            </w:pPr>
            <w:r w:rsidRPr="00710A06">
              <w:rPr>
                <w:rFonts w:ascii="Arial" w:eastAsia="Times New Roman" w:hAnsi="Arial" w:cs="Arial"/>
                <w:b/>
                <w:bCs/>
                <w:color w:val="000000"/>
                <w:sz w:val="12"/>
                <w:szCs w:val="12"/>
                <w:lang w:eastAsia="es-MX"/>
              </w:rPr>
              <w:t>1.  Gasto No Etiquetado</w:t>
            </w:r>
            <w:r w:rsidRPr="00710A06">
              <w:rPr>
                <w:rFonts w:ascii="Arial" w:eastAsia="Times New Roman" w:hAnsi="Arial" w:cs="Arial"/>
                <w:color w:val="000000"/>
                <w:sz w:val="12"/>
                <w:szCs w:val="12"/>
                <w:lang w:eastAsia="es-MX"/>
              </w:rPr>
              <w:t xml:space="preserve"> </w:t>
            </w:r>
            <w:r w:rsidRPr="00710A06">
              <w:rPr>
                <w:rFonts w:ascii="Arial" w:eastAsia="Times New Roman" w:hAnsi="Arial" w:cs="Arial"/>
                <w:b/>
                <w:bCs/>
                <w:color w:val="000000"/>
                <w:sz w:val="12"/>
                <w:szCs w:val="12"/>
                <w:lang w:eastAsia="es-MX"/>
              </w:rPr>
              <w:t>(1=A+B+C+D+E+F+G+H+I)</w:t>
            </w:r>
          </w:p>
        </w:tc>
        <w:tc>
          <w:tcPr>
            <w:tcW w:w="597"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b/>
                <w:bCs/>
                <w:color w:val="000000"/>
                <w:sz w:val="10"/>
                <w:szCs w:val="12"/>
                <w:lang w:eastAsia="es-MX"/>
              </w:rPr>
            </w:pPr>
            <w:r w:rsidRPr="00710A06">
              <w:rPr>
                <w:rFonts w:ascii="Arial" w:eastAsia="Times New Roman" w:hAnsi="Arial" w:cs="Arial"/>
                <w:b/>
                <w:bCs/>
                <w:color w:val="000000"/>
                <w:sz w:val="10"/>
                <w:szCs w:val="12"/>
                <w:lang w:eastAsia="es-MX"/>
              </w:rPr>
              <w:t>8,673,620,636</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b/>
                <w:bCs/>
                <w:color w:val="000000"/>
                <w:sz w:val="10"/>
                <w:szCs w:val="12"/>
                <w:lang w:eastAsia="es-MX"/>
              </w:rPr>
            </w:pPr>
            <w:r w:rsidRPr="00710A06">
              <w:rPr>
                <w:rFonts w:ascii="Arial" w:eastAsia="Times New Roman" w:hAnsi="Arial" w:cs="Arial"/>
                <w:b/>
                <w:bCs/>
                <w:color w:val="000000"/>
                <w:sz w:val="10"/>
                <w:szCs w:val="12"/>
                <w:lang w:eastAsia="es-MX"/>
              </w:rPr>
              <w:t>8,933,829,255</w:t>
            </w:r>
          </w:p>
        </w:tc>
        <w:tc>
          <w:tcPr>
            <w:tcW w:w="68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b/>
                <w:bCs/>
                <w:color w:val="000000"/>
                <w:sz w:val="10"/>
                <w:szCs w:val="12"/>
                <w:lang w:eastAsia="es-MX"/>
              </w:rPr>
            </w:pPr>
            <w:r w:rsidRPr="00710A06">
              <w:rPr>
                <w:rFonts w:ascii="Arial" w:eastAsia="Times New Roman" w:hAnsi="Arial" w:cs="Arial"/>
                <w:b/>
                <w:bCs/>
                <w:color w:val="000000"/>
                <w:sz w:val="10"/>
                <w:szCs w:val="12"/>
                <w:lang w:eastAsia="es-MX"/>
              </w:rPr>
              <w:t>9,246,513,279</w:t>
            </w:r>
          </w:p>
        </w:tc>
        <w:tc>
          <w:tcPr>
            <w:tcW w:w="56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b/>
                <w:bCs/>
                <w:color w:val="000000"/>
                <w:sz w:val="10"/>
                <w:szCs w:val="12"/>
                <w:lang w:eastAsia="es-MX"/>
              </w:rPr>
            </w:pPr>
            <w:r w:rsidRPr="00710A06">
              <w:rPr>
                <w:rFonts w:ascii="Arial" w:eastAsia="Times New Roman" w:hAnsi="Arial" w:cs="Arial"/>
                <w:b/>
                <w:bCs/>
                <w:color w:val="000000"/>
                <w:sz w:val="10"/>
                <w:szCs w:val="12"/>
                <w:lang w:eastAsia="es-MX"/>
              </w:rPr>
              <w:t>9,616,373,810</w:t>
            </w:r>
          </w:p>
        </w:tc>
        <w:tc>
          <w:tcPr>
            <w:tcW w:w="530"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b/>
                <w:bCs/>
                <w:color w:val="000000"/>
                <w:sz w:val="10"/>
                <w:szCs w:val="12"/>
                <w:lang w:eastAsia="es-MX"/>
              </w:rPr>
            </w:pPr>
            <w:r w:rsidRPr="00710A06">
              <w:rPr>
                <w:rFonts w:ascii="Arial" w:eastAsia="Times New Roman" w:hAnsi="Arial" w:cs="Arial"/>
                <w:b/>
                <w:bCs/>
                <w:color w:val="000000"/>
                <w:sz w:val="10"/>
                <w:szCs w:val="12"/>
                <w:lang w:eastAsia="es-MX"/>
              </w:rPr>
              <w:t>10,001,028,763</w:t>
            </w:r>
          </w:p>
        </w:tc>
        <w:tc>
          <w:tcPr>
            <w:tcW w:w="52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b/>
                <w:bCs/>
                <w:color w:val="000000"/>
                <w:sz w:val="10"/>
                <w:szCs w:val="12"/>
                <w:lang w:eastAsia="es-MX"/>
              </w:rPr>
            </w:pPr>
            <w:r w:rsidRPr="00710A06">
              <w:rPr>
                <w:rFonts w:ascii="Arial" w:eastAsia="Times New Roman" w:hAnsi="Arial" w:cs="Arial"/>
                <w:b/>
                <w:bCs/>
                <w:color w:val="000000"/>
                <w:sz w:val="10"/>
                <w:szCs w:val="12"/>
                <w:lang w:eastAsia="es-MX"/>
              </w:rPr>
              <w:t>10,401,069,913</w:t>
            </w:r>
          </w:p>
        </w:tc>
      </w:tr>
      <w:tr w:rsidR="00710A06" w:rsidRPr="00710A06" w:rsidTr="00710A06">
        <w:trPr>
          <w:trHeight w:val="345"/>
        </w:trPr>
        <w:tc>
          <w:tcPr>
            <w:tcW w:w="149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A.     Servicios Personales</w:t>
            </w:r>
          </w:p>
        </w:tc>
        <w:tc>
          <w:tcPr>
            <w:tcW w:w="597"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2,306,479,488</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2,375,673,873</w:t>
            </w:r>
          </w:p>
        </w:tc>
        <w:tc>
          <w:tcPr>
            <w:tcW w:w="68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2,458,822,458</w:t>
            </w:r>
          </w:p>
        </w:tc>
        <w:tc>
          <w:tcPr>
            <w:tcW w:w="56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2,557,175,357</w:t>
            </w:r>
          </w:p>
        </w:tc>
        <w:tc>
          <w:tcPr>
            <w:tcW w:w="530"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2,659,462,371</w:t>
            </w:r>
          </w:p>
        </w:tc>
        <w:tc>
          <w:tcPr>
            <w:tcW w:w="52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2,765,840,866</w:t>
            </w:r>
          </w:p>
        </w:tc>
      </w:tr>
      <w:tr w:rsidR="00710A06" w:rsidRPr="00710A06" w:rsidTr="00710A06">
        <w:trPr>
          <w:trHeight w:val="345"/>
        </w:trPr>
        <w:tc>
          <w:tcPr>
            <w:tcW w:w="149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B.     Materiales y Suministros</w:t>
            </w:r>
          </w:p>
        </w:tc>
        <w:tc>
          <w:tcPr>
            <w:tcW w:w="597"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179,938,218</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185,336,365</w:t>
            </w:r>
          </w:p>
        </w:tc>
        <w:tc>
          <w:tcPr>
            <w:tcW w:w="68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191,823,137</w:t>
            </w:r>
          </w:p>
        </w:tc>
        <w:tc>
          <w:tcPr>
            <w:tcW w:w="56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199,496,062</w:t>
            </w:r>
          </w:p>
        </w:tc>
        <w:tc>
          <w:tcPr>
            <w:tcW w:w="530"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207,475,905</w:t>
            </w:r>
          </w:p>
        </w:tc>
        <w:tc>
          <w:tcPr>
            <w:tcW w:w="52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215,774,941</w:t>
            </w:r>
          </w:p>
        </w:tc>
      </w:tr>
      <w:tr w:rsidR="00710A06" w:rsidRPr="00710A06" w:rsidTr="00710A06">
        <w:trPr>
          <w:trHeight w:val="345"/>
        </w:trPr>
        <w:tc>
          <w:tcPr>
            <w:tcW w:w="149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C.    Servicios Generales</w:t>
            </w:r>
          </w:p>
        </w:tc>
        <w:tc>
          <w:tcPr>
            <w:tcW w:w="597"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219,918,116</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226,515,659</w:t>
            </w:r>
          </w:p>
        </w:tc>
        <w:tc>
          <w:tcPr>
            <w:tcW w:w="68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234,443,708</w:t>
            </w:r>
          </w:p>
        </w:tc>
        <w:tc>
          <w:tcPr>
            <w:tcW w:w="56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243,821,456</w:t>
            </w:r>
          </w:p>
        </w:tc>
        <w:tc>
          <w:tcPr>
            <w:tcW w:w="530"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253,574,314</w:t>
            </w:r>
          </w:p>
        </w:tc>
        <w:tc>
          <w:tcPr>
            <w:tcW w:w="52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263,717,287</w:t>
            </w:r>
          </w:p>
        </w:tc>
      </w:tr>
      <w:tr w:rsidR="00710A06" w:rsidRPr="00710A06" w:rsidTr="00710A06">
        <w:trPr>
          <w:trHeight w:val="436"/>
        </w:trPr>
        <w:tc>
          <w:tcPr>
            <w:tcW w:w="149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lastRenderedPageBreak/>
              <w:t>D.    Transferencias, Asignaciones, Subsidios y Otras Ayudas</w:t>
            </w:r>
          </w:p>
        </w:tc>
        <w:tc>
          <w:tcPr>
            <w:tcW w:w="597"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3,506,038,741</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3,611,219,903</w:t>
            </w:r>
          </w:p>
        </w:tc>
        <w:tc>
          <w:tcPr>
            <w:tcW w:w="68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3,737,612,600</w:t>
            </w:r>
          </w:p>
        </w:tc>
        <w:tc>
          <w:tcPr>
            <w:tcW w:w="56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3,887,117,104</w:t>
            </w:r>
          </w:p>
        </w:tc>
        <w:tc>
          <w:tcPr>
            <w:tcW w:w="530"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4,042,601,788</w:t>
            </w:r>
          </w:p>
        </w:tc>
        <w:tc>
          <w:tcPr>
            <w:tcW w:w="52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4,204,305,860</w:t>
            </w:r>
          </w:p>
        </w:tc>
      </w:tr>
      <w:tr w:rsidR="00710A06" w:rsidRPr="00710A06" w:rsidTr="00710A06">
        <w:trPr>
          <w:trHeight w:val="413"/>
        </w:trPr>
        <w:tc>
          <w:tcPr>
            <w:tcW w:w="149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E.     Bienes Muebles, Inmuebles e Intangibles</w:t>
            </w:r>
          </w:p>
        </w:tc>
        <w:tc>
          <w:tcPr>
            <w:tcW w:w="597"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237,512</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244,637</w:t>
            </w:r>
          </w:p>
        </w:tc>
        <w:tc>
          <w:tcPr>
            <w:tcW w:w="68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253,200</w:t>
            </w:r>
          </w:p>
        </w:tc>
        <w:tc>
          <w:tcPr>
            <w:tcW w:w="56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263,328</w:t>
            </w:r>
          </w:p>
        </w:tc>
        <w:tc>
          <w:tcPr>
            <w:tcW w:w="530"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273,861</w:t>
            </w:r>
          </w:p>
        </w:tc>
        <w:tc>
          <w:tcPr>
            <w:tcW w:w="52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284,815</w:t>
            </w:r>
          </w:p>
        </w:tc>
      </w:tr>
      <w:tr w:rsidR="00710A06" w:rsidRPr="00710A06" w:rsidTr="00710A06">
        <w:trPr>
          <w:trHeight w:val="345"/>
        </w:trPr>
        <w:tc>
          <w:tcPr>
            <w:tcW w:w="149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F.     Inversión Pública</w:t>
            </w:r>
          </w:p>
        </w:tc>
        <w:tc>
          <w:tcPr>
            <w:tcW w:w="597"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614,279,000</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632,707,370</w:t>
            </w:r>
          </w:p>
        </w:tc>
        <w:tc>
          <w:tcPr>
            <w:tcW w:w="68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654,852,128</w:t>
            </w:r>
          </w:p>
        </w:tc>
        <w:tc>
          <w:tcPr>
            <w:tcW w:w="56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681,046,213</w:t>
            </w:r>
          </w:p>
        </w:tc>
        <w:tc>
          <w:tcPr>
            <w:tcW w:w="530"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708,288,062</w:t>
            </w:r>
          </w:p>
        </w:tc>
        <w:tc>
          <w:tcPr>
            <w:tcW w:w="52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736,619,584</w:t>
            </w:r>
          </w:p>
        </w:tc>
      </w:tr>
      <w:tr w:rsidR="00710A06" w:rsidRPr="00710A06" w:rsidTr="00710A06">
        <w:trPr>
          <w:trHeight w:val="326"/>
        </w:trPr>
        <w:tc>
          <w:tcPr>
            <w:tcW w:w="149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G.    Inversiones Financieras y Otras Provisiones</w:t>
            </w:r>
          </w:p>
        </w:tc>
        <w:tc>
          <w:tcPr>
            <w:tcW w:w="597"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0 </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w:t>
            </w:r>
          </w:p>
        </w:tc>
        <w:tc>
          <w:tcPr>
            <w:tcW w:w="68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w:t>
            </w:r>
          </w:p>
        </w:tc>
        <w:tc>
          <w:tcPr>
            <w:tcW w:w="56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w:t>
            </w:r>
          </w:p>
        </w:tc>
        <w:tc>
          <w:tcPr>
            <w:tcW w:w="530"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w:t>
            </w:r>
          </w:p>
        </w:tc>
        <w:tc>
          <w:tcPr>
            <w:tcW w:w="52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w:t>
            </w:r>
          </w:p>
        </w:tc>
      </w:tr>
      <w:tr w:rsidR="00710A06" w:rsidRPr="00710A06" w:rsidTr="00710A06">
        <w:trPr>
          <w:trHeight w:val="345"/>
        </w:trPr>
        <w:tc>
          <w:tcPr>
            <w:tcW w:w="149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 xml:space="preserve">H.    Participaciones y Aportaciones </w:t>
            </w:r>
          </w:p>
        </w:tc>
        <w:tc>
          <w:tcPr>
            <w:tcW w:w="597"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1,846,729,561</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1,902,131,448</w:t>
            </w:r>
          </w:p>
        </w:tc>
        <w:tc>
          <w:tcPr>
            <w:tcW w:w="68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1,968,706,048</w:t>
            </w:r>
          </w:p>
        </w:tc>
        <w:tc>
          <w:tcPr>
            <w:tcW w:w="56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2,047,454,290</w:t>
            </w:r>
          </w:p>
        </w:tc>
        <w:tc>
          <w:tcPr>
            <w:tcW w:w="530"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2,129,352,462</w:t>
            </w:r>
          </w:p>
        </w:tc>
        <w:tc>
          <w:tcPr>
            <w:tcW w:w="52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2,214,526,560</w:t>
            </w:r>
          </w:p>
        </w:tc>
      </w:tr>
      <w:tr w:rsidR="00710A06" w:rsidRPr="00710A06" w:rsidTr="00710A06">
        <w:trPr>
          <w:trHeight w:val="315"/>
        </w:trPr>
        <w:tc>
          <w:tcPr>
            <w:tcW w:w="149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I.      Deuda Pública</w:t>
            </w:r>
          </w:p>
        </w:tc>
        <w:tc>
          <w:tcPr>
            <w:tcW w:w="597"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0 </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w:t>
            </w:r>
          </w:p>
        </w:tc>
        <w:tc>
          <w:tcPr>
            <w:tcW w:w="68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0 </w:t>
            </w:r>
          </w:p>
        </w:tc>
        <w:tc>
          <w:tcPr>
            <w:tcW w:w="56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0 </w:t>
            </w:r>
          </w:p>
        </w:tc>
        <w:tc>
          <w:tcPr>
            <w:tcW w:w="530"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0 </w:t>
            </w:r>
          </w:p>
        </w:tc>
        <w:tc>
          <w:tcPr>
            <w:tcW w:w="52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0 </w:t>
            </w:r>
          </w:p>
        </w:tc>
      </w:tr>
      <w:tr w:rsidR="00710A06" w:rsidRPr="00710A06" w:rsidTr="00710A06">
        <w:trPr>
          <w:trHeight w:val="315"/>
        </w:trPr>
        <w:tc>
          <w:tcPr>
            <w:tcW w:w="149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 </w:t>
            </w:r>
          </w:p>
        </w:tc>
        <w:tc>
          <w:tcPr>
            <w:tcW w:w="597"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 </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 </w:t>
            </w:r>
          </w:p>
        </w:tc>
        <w:tc>
          <w:tcPr>
            <w:tcW w:w="68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 </w:t>
            </w:r>
          </w:p>
        </w:tc>
        <w:tc>
          <w:tcPr>
            <w:tcW w:w="56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 </w:t>
            </w:r>
          </w:p>
        </w:tc>
        <w:tc>
          <w:tcPr>
            <w:tcW w:w="530"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 </w:t>
            </w:r>
          </w:p>
        </w:tc>
        <w:tc>
          <w:tcPr>
            <w:tcW w:w="52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 </w:t>
            </w:r>
          </w:p>
        </w:tc>
      </w:tr>
      <w:tr w:rsidR="00710A06" w:rsidRPr="00710A06" w:rsidTr="00710A06">
        <w:trPr>
          <w:trHeight w:val="675"/>
        </w:trPr>
        <w:tc>
          <w:tcPr>
            <w:tcW w:w="149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b/>
                <w:bCs/>
                <w:color w:val="000000"/>
                <w:sz w:val="12"/>
                <w:szCs w:val="12"/>
                <w:lang w:eastAsia="es-MX"/>
              </w:rPr>
            </w:pPr>
            <w:r w:rsidRPr="00710A06">
              <w:rPr>
                <w:rFonts w:ascii="Arial" w:eastAsia="Times New Roman" w:hAnsi="Arial" w:cs="Arial"/>
                <w:b/>
                <w:bCs/>
                <w:color w:val="000000"/>
                <w:sz w:val="12"/>
                <w:szCs w:val="12"/>
                <w:lang w:eastAsia="es-MX"/>
              </w:rPr>
              <w:t>2.  Gasto Etiquetado (2=A+B+C+D+E+F+G+H+I)</w:t>
            </w:r>
          </w:p>
        </w:tc>
        <w:tc>
          <w:tcPr>
            <w:tcW w:w="597"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b/>
                <w:bCs/>
                <w:color w:val="000000"/>
                <w:sz w:val="10"/>
                <w:szCs w:val="12"/>
                <w:lang w:eastAsia="es-MX"/>
              </w:rPr>
            </w:pPr>
            <w:r w:rsidRPr="00710A06">
              <w:rPr>
                <w:rFonts w:ascii="Arial" w:eastAsia="Times New Roman" w:hAnsi="Arial" w:cs="Arial"/>
                <w:b/>
                <w:bCs/>
                <w:color w:val="000000"/>
                <w:sz w:val="10"/>
                <w:szCs w:val="12"/>
                <w:lang w:eastAsia="es-MX"/>
              </w:rPr>
              <w:t>9,462,083,618</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b/>
                <w:bCs/>
                <w:color w:val="000000"/>
                <w:sz w:val="10"/>
                <w:szCs w:val="12"/>
                <w:lang w:eastAsia="es-MX"/>
              </w:rPr>
            </w:pPr>
            <w:r w:rsidRPr="00710A06">
              <w:rPr>
                <w:rFonts w:ascii="Arial" w:eastAsia="Times New Roman" w:hAnsi="Arial" w:cs="Arial"/>
                <w:b/>
                <w:bCs/>
                <w:color w:val="000000"/>
                <w:sz w:val="10"/>
                <w:szCs w:val="12"/>
                <w:lang w:eastAsia="es-MX"/>
              </w:rPr>
              <w:t>9,745,946,127</w:t>
            </w:r>
          </w:p>
        </w:tc>
        <w:tc>
          <w:tcPr>
            <w:tcW w:w="68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b/>
                <w:bCs/>
                <w:color w:val="000000"/>
                <w:sz w:val="10"/>
                <w:szCs w:val="12"/>
                <w:lang w:eastAsia="es-MX"/>
              </w:rPr>
            </w:pPr>
            <w:r w:rsidRPr="00710A06">
              <w:rPr>
                <w:rFonts w:ascii="Arial" w:eastAsia="Times New Roman" w:hAnsi="Arial" w:cs="Arial"/>
                <w:b/>
                <w:bCs/>
                <w:color w:val="000000"/>
                <w:sz w:val="10"/>
                <w:szCs w:val="12"/>
                <w:lang w:eastAsia="es-MX"/>
              </w:rPr>
              <w:t>10,087,054,241</w:t>
            </w:r>
          </w:p>
        </w:tc>
        <w:tc>
          <w:tcPr>
            <w:tcW w:w="56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b/>
                <w:bCs/>
                <w:color w:val="000000"/>
                <w:sz w:val="10"/>
                <w:szCs w:val="12"/>
                <w:lang w:eastAsia="es-MX"/>
              </w:rPr>
            </w:pPr>
            <w:r w:rsidRPr="00710A06">
              <w:rPr>
                <w:rFonts w:ascii="Arial" w:eastAsia="Times New Roman" w:hAnsi="Arial" w:cs="Arial"/>
                <w:b/>
                <w:bCs/>
                <w:color w:val="000000"/>
                <w:sz w:val="10"/>
                <w:szCs w:val="12"/>
                <w:lang w:eastAsia="es-MX"/>
              </w:rPr>
              <w:t>10,490,536,411</w:t>
            </w:r>
          </w:p>
        </w:tc>
        <w:tc>
          <w:tcPr>
            <w:tcW w:w="530"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b/>
                <w:bCs/>
                <w:color w:val="000000"/>
                <w:sz w:val="10"/>
                <w:szCs w:val="12"/>
                <w:lang w:eastAsia="es-MX"/>
              </w:rPr>
            </w:pPr>
            <w:r w:rsidRPr="00710A06">
              <w:rPr>
                <w:rFonts w:ascii="Arial" w:eastAsia="Times New Roman" w:hAnsi="Arial" w:cs="Arial"/>
                <w:b/>
                <w:bCs/>
                <w:color w:val="000000"/>
                <w:sz w:val="10"/>
                <w:szCs w:val="12"/>
                <w:lang w:eastAsia="es-MX"/>
              </w:rPr>
              <w:t>10,910,157,867</w:t>
            </w:r>
          </w:p>
        </w:tc>
        <w:tc>
          <w:tcPr>
            <w:tcW w:w="52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b/>
                <w:bCs/>
                <w:color w:val="000000"/>
                <w:sz w:val="10"/>
                <w:szCs w:val="12"/>
                <w:lang w:eastAsia="es-MX"/>
              </w:rPr>
            </w:pPr>
            <w:r w:rsidRPr="00710A06">
              <w:rPr>
                <w:rFonts w:ascii="Arial" w:eastAsia="Times New Roman" w:hAnsi="Arial" w:cs="Arial"/>
                <w:b/>
                <w:bCs/>
                <w:color w:val="000000"/>
                <w:sz w:val="10"/>
                <w:szCs w:val="12"/>
                <w:lang w:eastAsia="es-MX"/>
              </w:rPr>
              <w:t>11,346,564,182</w:t>
            </w:r>
          </w:p>
        </w:tc>
      </w:tr>
      <w:tr w:rsidR="00710A06" w:rsidRPr="00710A06" w:rsidTr="00710A06">
        <w:trPr>
          <w:trHeight w:val="345"/>
        </w:trPr>
        <w:tc>
          <w:tcPr>
            <w:tcW w:w="149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A.     Servicios Personales</w:t>
            </w:r>
          </w:p>
        </w:tc>
        <w:tc>
          <w:tcPr>
            <w:tcW w:w="597"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w:t>
            </w:r>
          </w:p>
        </w:tc>
        <w:tc>
          <w:tcPr>
            <w:tcW w:w="68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w:t>
            </w:r>
          </w:p>
        </w:tc>
        <w:tc>
          <w:tcPr>
            <w:tcW w:w="56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w:t>
            </w:r>
          </w:p>
        </w:tc>
        <w:tc>
          <w:tcPr>
            <w:tcW w:w="530"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w:t>
            </w:r>
          </w:p>
        </w:tc>
        <w:tc>
          <w:tcPr>
            <w:tcW w:w="52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w:t>
            </w:r>
          </w:p>
        </w:tc>
      </w:tr>
      <w:tr w:rsidR="00710A06" w:rsidRPr="00710A06" w:rsidTr="00710A06">
        <w:trPr>
          <w:trHeight w:val="345"/>
        </w:trPr>
        <w:tc>
          <w:tcPr>
            <w:tcW w:w="149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B.     Materiales y Suministros</w:t>
            </w:r>
          </w:p>
        </w:tc>
        <w:tc>
          <w:tcPr>
            <w:tcW w:w="597"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w:t>
            </w:r>
          </w:p>
        </w:tc>
        <w:tc>
          <w:tcPr>
            <w:tcW w:w="68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w:t>
            </w:r>
          </w:p>
        </w:tc>
        <w:tc>
          <w:tcPr>
            <w:tcW w:w="56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w:t>
            </w:r>
          </w:p>
        </w:tc>
        <w:tc>
          <w:tcPr>
            <w:tcW w:w="530"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w:t>
            </w:r>
          </w:p>
        </w:tc>
        <w:tc>
          <w:tcPr>
            <w:tcW w:w="52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w:t>
            </w:r>
          </w:p>
        </w:tc>
      </w:tr>
      <w:tr w:rsidR="00710A06" w:rsidRPr="00710A06" w:rsidTr="00710A06">
        <w:trPr>
          <w:trHeight w:val="345"/>
        </w:trPr>
        <w:tc>
          <w:tcPr>
            <w:tcW w:w="149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C.    Servicios Generales</w:t>
            </w:r>
          </w:p>
        </w:tc>
        <w:tc>
          <w:tcPr>
            <w:tcW w:w="597"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w:t>
            </w:r>
          </w:p>
        </w:tc>
        <w:tc>
          <w:tcPr>
            <w:tcW w:w="68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w:t>
            </w:r>
          </w:p>
        </w:tc>
        <w:tc>
          <w:tcPr>
            <w:tcW w:w="56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w:t>
            </w:r>
          </w:p>
        </w:tc>
        <w:tc>
          <w:tcPr>
            <w:tcW w:w="530"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w:t>
            </w:r>
          </w:p>
        </w:tc>
        <w:tc>
          <w:tcPr>
            <w:tcW w:w="52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w:t>
            </w:r>
          </w:p>
        </w:tc>
      </w:tr>
      <w:tr w:rsidR="00710A06" w:rsidRPr="00710A06" w:rsidTr="00710A06">
        <w:trPr>
          <w:trHeight w:val="555"/>
        </w:trPr>
        <w:tc>
          <w:tcPr>
            <w:tcW w:w="149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D.    Transferencias, Asignaciones, Subsidios y Otras Ayudas</w:t>
            </w:r>
          </w:p>
        </w:tc>
        <w:tc>
          <w:tcPr>
            <w:tcW w:w="597"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7,528,700,547</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7,754,561,564</w:t>
            </w:r>
          </w:p>
        </w:tc>
        <w:tc>
          <w:tcPr>
            <w:tcW w:w="68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8,025,971,218</w:t>
            </w:r>
          </w:p>
        </w:tc>
        <w:tc>
          <w:tcPr>
            <w:tcW w:w="56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8,347,010,067</w:t>
            </w:r>
          </w:p>
        </w:tc>
        <w:tc>
          <w:tcPr>
            <w:tcW w:w="530"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8,680,890,469</w:t>
            </w:r>
          </w:p>
        </w:tc>
        <w:tc>
          <w:tcPr>
            <w:tcW w:w="52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9,028,126,088</w:t>
            </w:r>
          </w:p>
        </w:tc>
      </w:tr>
      <w:tr w:rsidR="00710A06" w:rsidRPr="00710A06" w:rsidTr="00710A06">
        <w:trPr>
          <w:trHeight w:val="510"/>
        </w:trPr>
        <w:tc>
          <w:tcPr>
            <w:tcW w:w="149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E.     Bienes Muebles, Inmuebles e Intangibles</w:t>
            </w:r>
          </w:p>
        </w:tc>
        <w:tc>
          <w:tcPr>
            <w:tcW w:w="597"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w:t>
            </w:r>
          </w:p>
        </w:tc>
        <w:tc>
          <w:tcPr>
            <w:tcW w:w="68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w:t>
            </w:r>
          </w:p>
        </w:tc>
        <w:tc>
          <w:tcPr>
            <w:tcW w:w="56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w:t>
            </w:r>
          </w:p>
        </w:tc>
        <w:tc>
          <w:tcPr>
            <w:tcW w:w="530"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w:t>
            </w:r>
          </w:p>
        </w:tc>
        <w:tc>
          <w:tcPr>
            <w:tcW w:w="52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w:t>
            </w:r>
          </w:p>
        </w:tc>
      </w:tr>
      <w:tr w:rsidR="00710A06" w:rsidRPr="00710A06" w:rsidTr="00710A06">
        <w:trPr>
          <w:trHeight w:val="345"/>
        </w:trPr>
        <w:tc>
          <w:tcPr>
            <w:tcW w:w="149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F.     Inversión Pública</w:t>
            </w:r>
          </w:p>
        </w:tc>
        <w:tc>
          <w:tcPr>
            <w:tcW w:w="597"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522,478,560</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538,152,917</w:t>
            </w:r>
          </w:p>
        </w:tc>
        <w:tc>
          <w:tcPr>
            <w:tcW w:w="68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556,988,269</w:t>
            </w:r>
          </w:p>
        </w:tc>
        <w:tc>
          <w:tcPr>
            <w:tcW w:w="56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579,267,800</w:t>
            </w:r>
          </w:p>
        </w:tc>
        <w:tc>
          <w:tcPr>
            <w:tcW w:w="530"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602,438,512</w:t>
            </w:r>
          </w:p>
        </w:tc>
        <w:tc>
          <w:tcPr>
            <w:tcW w:w="52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626,536,052</w:t>
            </w:r>
          </w:p>
        </w:tc>
      </w:tr>
      <w:tr w:rsidR="00710A06" w:rsidRPr="00710A06" w:rsidTr="00710A06">
        <w:trPr>
          <w:trHeight w:val="510"/>
        </w:trPr>
        <w:tc>
          <w:tcPr>
            <w:tcW w:w="149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G.    Inversiones Financieras y Otras Provisiones</w:t>
            </w:r>
          </w:p>
        </w:tc>
        <w:tc>
          <w:tcPr>
            <w:tcW w:w="597"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w:t>
            </w:r>
          </w:p>
        </w:tc>
        <w:tc>
          <w:tcPr>
            <w:tcW w:w="68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w:t>
            </w:r>
          </w:p>
        </w:tc>
        <w:tc>
          <w:tcPr>
            <w:tcW w:w="56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w:t>
            </w:r>
          </w:p>
        </w:tc>
        <w:tc>
          <w:tcPr>
            <w:tcW w:w="530"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w:t>
            </w:r>
          </w:p>
        </w:tc>
        <w:tc>
          <w:tcPr>
            <w:tcW w:w="52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w:t>
            </w:r>
          </w:p>
        </w:tc>
      </w:tr>
      <w:tr w:rsidR="00710A06" w:rsidRPr="00710A06" w:rsidTr="00710A06">
        <w:trPr>
          <w:trHeight w:val="345"/>
        </w:trPr>
        <w:tc>
          <w:tcPr>
            <w:tcW w:w="149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H.    Participaciones y Aportaciones</w:t>
            </w:r>
          </w:p>
        </w:tc>
        <w:tc>
          <w:tcPr>
            <w:tcW w:w="597"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1,410,904,511</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1,453,231,646</w:t>
            </w:r>
          </w:p>
        </w:tc>
        <w:tc>
          <w:tcPr>
            <w:tcW w:w="68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1,504,094,754</w:t>
            </w:r>
          </w:p>
        </w:tc>
        <w:tc>
          <w:tcPr>
            <w:tcW w:w="56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1,564,258,544</w:t>
            </w:r>
          </w:p>
        </w:tc>
        <w:tc>
          <w:tcPr>
            <w:tcW w:w="530"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1,626,828,886</w:t>
            </w:r>
          </w:p>
        </w:tc>
        <w:tc>
          <w:tcPr>
            <w:tcW w:w="52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1,691,902,042</w:t>
            </w:r>
          </w:p>
        </w:tc>
      </w:tr>
      <w:tr w:rsidR="00710A06" w:rsidRPr="00710A06" w:rsidTr="00710A06">
        <w:trPr>
          <w:trHeight w:val="315"/>
        </w:trPr>
        <w:tc>
          <w:tcPr>
            <w:tcW w:w="149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I.      Deuda Pública</w:t>
            </w:r>
          </w:p>
        </w:tc>
        <w:tc>
          <w:tcPr>
            <w:tcW w:w="597"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0 </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w:t>
            </w:r>
          </w:p>
        </w:tc>
        <w:tc>
          <w:tcPr>
            <w:tcW w:w="68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0 </w:t>
            </w:r>
          </w:p>
        </w:tc>
        <w:tc>
          <w:tcPr>
            <w:tcW w:w="56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0 </w:t>
            </w:r>
          </w:p>
        </w:tc>
        <w:tc>
          <w:tcPr>
            <w:tcW w:w="530"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0 </w:t>
            </w:r>
          </w:p>
        </w:tc>
        <w:tc>
          <w:tcPr>
            <w:tcW w:w="52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0 </w:t>
            </w:r>
          </w:p>
        </w:tc>
      </w:tr>
      <w:tr w:rsidR="00710A06" w:rsidRPr="00710A06" w:rsidTr="00710A06">
        <w:trPr>
          <w:trHeight w:val="315"/>
        </w:trPr>
        <w:tc>
          <w:tcPr>
            <w:tcW w:w="149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 </w:t>
            </w:r>
          </w:p>
        </w:tc>
        <w:tc>
          <w:tcPr>
            <w:tcW w:w="597"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 </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 </w:t>
            </w:r>
          </w:p>
        </w:tc>
        <w:tc>
          <w:tcPr>
            <w:tcW w:w="68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 </w:t>
            </w:r>
          </w:p>
        </w:tc>
        <w:tc>
          <w:tcPr>
            <w:tcW w:w="56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 </w:t>
            </w:r>
          </w:p>
        </w:tc>
        <w:tc>
          <w:tcPr>
            <w:tcW w:w="530"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 </w:t>
            </w:r>
          </w:p>
        </w:tc>
        <w:tc>
          <w:tcPr>
            <w:tcW w:w="52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 </w:t>
            </w:r>
          </w:p>
        </w:tc>
      </w:tr>
      <w:tr w:rsidR="00710A06" w:rsidRPr="00710A06" w:rsidTr="00710A06">
        <w:trPr>
          <w:trHeight w:val="515"/>
        </w:trPr>
        <w:tc>
          <w:tcPr>
            <w:tcW w:w="149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b/>
                <w:bCs/>
                <w:color w:val="000000"/>
                <w:sz w:val="12"/>
                <w:szCs w:val="12"/>
                <w:lang w:eastAsia="es-MX"/>
              </w:rPr>
            </w:pPr>
            <w:r w:rsidRPr="00710A06">
              <w:rPr>
                <w:rFonts w:ascii="Arial" w:eastAsia="Times New Roman" w:hAnsi="Arial" w:cs="Arial"/>
                <w:b/>
                <w:bCs/>
                <w:color w:val="000000"/>
                <w:sz w:val="12"/>
                <w:szCs w:val="12"/>
                <w:lang w:eastAsia="es-MX"/>
              </w:rPr>
              <w:t>3.  Total del Resultado de Egresos (3=1+2)</w:t>
            </w:r>
          </w:p>
        </w:tc>
        <w:tc>
          <w:tcPr>
            <w:tcW w:w="597"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b/>
                <w:bCs/>
                <w:color w:val="000000"/>
                <w:sz w:val="10"/>
                <w:szCs w:val="12"/>
                <w:lang w:eastAsia="es-MX"/>
              </w:rPr>
            </w:pPr>
            <w:r w:rsidRPr="00710A06">
              <w:rPr>
                <w:rFonts w:ascii="Arial" w:eastAsia="Times New Roman" w:hAnsi="Arial" w:cs="Arial"/>
                <w:b/>
                <w:bCs/>
                <w:color w:val="000000"/>
                <w:sz w:val="10"/>
                <w:szCs w:val="12"/>
                <w:lang w:eastAsia="es-MX"/>
              </w:rPr>
              <w:t>18,135,704,254</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b/>
                <w:bCs/>
                <w:color w:val="000000"/>
                <w:sz w:val="10"/>
                <w:szCs w:val="12"/>
                <w:lang w:eastAsia="es-MX"/>
              </w:rPr>
            </w:pPr>
            <w:r w:rsidRPr="00710A06">
              <w:rPr>
                <w:rFonts w:ascii="Arial" w:eastAsia="Times New Roman" w:hAnsi="Arial" w:cs="Arial"/>
                <w:b/>
                <w:bCs/>
                <w:color w:val="000000"/>
                <w:sz w:val="10"/>
                <w:szCs w:val="12"/>
                <w:lang w:eastAsia="es-MX"/>
              </w:rPr>
              <w:t>18,679,775,382</w:t>
            </w:r>
          </w:p>
        </w:tc>
        <w:tc>
          <w:tcPr>
            <w:tcW w:w="68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b/>
                <w:bCs/>
                <w:color w:val="000000"/>
                <w:sz w:val="10"/>
                <w:szCs w:val="12"/>
                <w:lang w:eastAsia="es-MX"/>
              </w:rPr>
            </w:pPr>
            <w:r w:rsidRPr="00710A06">
              <w:rPr>
                <w:rFonts w:ascii="Arial" w:eastAsia="Times New Roman" w:hAnsi="Arial" w:cs="Arial"/>
                <w:b/>
                <w:bCs/>
                <w:color w:val="000000"/>
                <w:sz w:val="10"/>
                <w:szCs w:val="12"/>
                <w:lang w:eastAsia="es-MX"/>
              </w:rPr>
              <w:t>19,333,567,520</w:t>
            </w:r>
          </w:p>
        </w:tc>
        <w:tc>
          <w:tcPr>
            <w:tcW w:w="56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b/>
                <w:bCs/>
                <w:color w:val="000000"/>
                <w:sz w:val="10"/>
                <w:szCs w:val="12"/>
                <w:lang w:eastAsia="es-MX"/>
              </w:rPr>
            </w:pPr>
            <w:r w:rsidRPr="00710A06">
              <w:rPr>
                <w:rFonts w:ascii="Arial" w:eastAsia="Times New Roman" w:hAnsi="Arial" w:cs="Arial"/>
                <w:b/>
                <w:bCs/>
                <w:color w:val="000000"/>
                <w:sz w:val="10"/>
                <w:szCs w:val="12"/>
                <w:lang w:eastAsia="es-MX"/>
              </w:rPr>
              <w:t>20,106,910,221</w:t>
            </w:r>
          </w:p>
        </w:tc>
        <w:tc>
          <w:tcPr>
            <w:tcW w:w="530"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b/>
                <w:bCs/>
                <w:color w:val="000000"/>
                <w:sz w:val="10"/>
                <w:szCs w:val="12"/>
                <w:lang w:eastAsia="es-MX"/>
              </w:rPr>
            </w:pPr>
            <w:r w:rsidRPr="00710A06">
              <w:rPr>
                <w:rFonts w:ascii="Arial" w:eastAsia="Times New Roman" w:hAnsi="Arial" w:cs="Arial"/>
                <w:b/>
                <w:bCs/>
                <w:color w:val="000000"/>
                <w:sz w:val="10"/>
                <w:szCs w:val="12"/>
                <w:lang w:eastAsia="es-MX"/>
              </w:rPr>
              <w:t>20,911,186,630</w:t>
            </w:r>
          </w:p>
        </w:tc>
        <w:tc>
          <w:tcPr>
            <w:tcW w:w="52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b/>
                <w:bCs/>
                <w:color w:val="000000"/>
                <w:sz w:val="10"/>
                <w:szCs w:val="12"/>
                <w:lang w:eastAsia="es-MX"/>
              </w:rPr>
            </w:pPr>
            <w:r w:rsidRPr="00710A06">
              <w:rPr>
                <w:rFonts w:ascii="Arial" w:eastAsia="Times New Roman" w:hAnsi="Arial" w:cs="Arial"/>
                <w:b/>
                <w:bCs/>
                <w:color w:val="000000"/>
                <w:sz w:val="10"/>
                <w:szCs w:val="12"/>
                <w:lang w:eastAsia="es-MX"/>
              </w:rPr>
              <w:t>21,747,634,095</w:t>
            </w:r>
          </w:p>
        </w:tc>
      </w:tr>
      <w:tr w:rsidR="00710A06" w:rsidRPr="00710A06" w:rsidTr="00710A06">
        <w:trPr>
          <w:trHeight w:val="315"/>
        </w:trPr>
        <w:tc>
          <w:tcPr>
            <w:tcW w:w="149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 </w:t>
            </w:r>
          </w:p>
        </w:tc>
        <w:tc>
          <w:tcPr>
            <w:tcW w:w="597"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 </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 </w:t>
            </w:r>
          </w:p>
        </w:tc>
        <w:tc>
          <w:tcPr>
            <w:tcW w:w="68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 </w:t>
            </w:r>
          </w:p>
        </w:tc>
        <w:tc>
          <w:tcPr>
            <w:tcW w:w="56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 </w:t>
            </w:r>
          </w:p>
        </w:tc>
        <w:tc>
          <w:tcPr>
            <w:tcW w:w="530"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 </w:t>
            </w:r>
          </w:p>
        </w:tc>
        <w:tc>
          <w:tcPr>
            <w:tcW w:w="52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 </w:t>
            </w:r>
          </w:p>
        </w:tc>
      </w:tr>
    </w:tbl>
    <w:p w:rsidR="00710A06" w:rsidRDefault="00710A06" w:rsidP="00C45465">
      <w:pPr>
        <w:pStyle w:val="PRIMERAPLANA"/>
        <w:spacing w:line="360" w:lineRule="auto"/>
        <w:rPr>
          <w:rFonts w:cs="Arial"/>
          <w:b/>
          <w:iCs/>
          <w:sz w:val="24"/>
          <w:szCs w:val="24"/>
          <w:lang w:val="es-ES"/>
        </w:rPr>
      </w:pPr>
    </w:p>
    <w:p w:rsidR="00527D85" w:rsidRDefault="00527D85" w:rsidP="00C45465">
      <w:pPr>
        <w:pStyle w:val="PRIMERAPLANA"/>
        <w:spacing w:line="360" w:lineRule="auto"/>
        <w:rPr>
          <w:rFonts w:cs="Arial"/>
          <w:b/>
          <w:iCs/>
          <w:sz w:val="24"/>
          <w:szCs w:val="24"/>
          <w:lang w:val="es-ES"/>
        </w:rPr>
      </w:pPr>
    </w:p>
    <w:p w:rsidR="00527D85" w:rsidRPr="00710A06" w:rsidRDefault="00527D85" w:rsidP="00C45465">
      <w:pPr>
        <w:pStyle w:val="PRIMERAPLANA"/>
        <w:spacing w:line="360" w:lineRule="auto"/>
        <w:rPr>
          <w:rFonts w:cs="Arial"/>
          <w:b/>
          <w:iCs/>
          <w:sz w:val="24"/>
          <w:szCs w:val="24"/>
          <w:lang w:val="es-ES"/>
        </w:rPr>
      </w:pPr>
    </w:p>
    <w:tbl>
      <w:tblPr>
        <w:tblW w:w="9211" w:type="dxa"/>
        <w:jc w:val="center"/>
        <w:tblCellMar>
          <w:left w:w="70" w:type="dxa"/>
          <w:right w:w="70" w:type="dxa"/>
        </w:tblCellMar>
        <w:tblLook w:val="04A0" w:firstRow="1" w:lastRow="0" w:firstColumn="1" w:lastColumn="0" w:noHBand="0" w:noVBand="1"/>
      </w:tblPr>
      <w:tblGrid>
        <w:gridCol w:w="1747"/>
        <w:gridCol w:w="7464"/>
      </w:tblGrid>
      <w:tr w:rsidR="00710A06" w:rsidRPr="00710A06" w:rsidTr="00710A06">
        <w:trPr>
          <w:trHeight w:val="681"/>
          <w:jc w:val="center"/>
        </w:trPr>
        <w:tc>
          <w:tcPr>
            <w:tcW w:w="9211" w:type="dxa"/>
            <w:gridSpan w:val="2"/>
            <w:tcBorders>
              <w:top w:val="nil"/>
              <w:left w:val="single" w:sz="4" w:space="0" w:color="A6A6A6"/>
              <w:bottom w:val="single" w:sz="4" w:space="0" w:color="A6A6A6"/>
              <w:right w:val="nil"/>
            </w:tcBorders>
            <w:shd w:val="clear" w:color="000000" w:fill="CCCCCC"/>
            <w:vAlign w:val="center"/>
            <w:hideMark/>
          </w:tcPr>
          <w:p w:rsidR="00710A06" w:rsidRPr="00710A06" w:rsidRDefault="00710A06" w:rsidP="00C45465">
            <w:pPr>
              <w:spacing w:after="0" w:line="360" w:lineRule="auto"/>
              <w:jc w:val="center"/>
              <w:rPr>
                <w:rFonts w:ascii="Arial" w:eastAsia="Times New Roman" w:hAnsi="Arial" w:cs="Arial"/>
                <w:b/>
                <w:bCs/>
                <w:lang w:eastAsia="es-MX"/>
              </w:rPr>
            </w:pPr>
            <w:r w:rsidRPr="00710A06">
              <w:rPr>
                <w:rFonts w:ascii="Arial" w:eastAsia="Times New Roman" w:hAnsi="Arial" w:cs="Arial"/>
                <w:b/>
                <w:bCs/>
                <w:lang w:eastAsia="es-MX"/>
              </w:rPr>
              <w:lastRenderedPageBreak/>
              <w:t>GOBIERNO DEL ESTADO DE TLAXCALA SUPUESTOS DE FINANZAS PÚBLICAS DE MEDIANO PLAZO 2017-2022</w:t>
            </w:r>
          </w:p>
        </w:tc>
      </w:tr>
      <w:tr w:rsidR="00710A06" w:rsidRPr="00710A06" w:rsidTr="00710A06">
        <w:trPr>
          <w:trHeight w:val="211"/>
          <w:jc w:val="center"/>
        </w:trPr>
        <w:tc>
          <w:tcPr>
            <w:tcW w:w="1747" w:type="dxa"/>
            <w:tcBorders>
              <w:top w:val="nil"/>
              <w:left w:val="single" w:sz="4" w:space="0" w:color="A6A6A6"/>
              <w:bottom w:val="single" w:sz="4" w:space="0" w:color="A6A6A6"/>
              <w:right w:val="single" w:sz="4" w:space="0" w:color="A6A6A6"/>
            </w:tcBorders>
            <w:shd w:val="clear" w:color="auto" w:fill="auto"/>
            <w:vAlign w:val="center"/>
            <w:hideMark/>
          </w:tcPr>
          <w:p w:rsidR="00710A06" w:rsidRPr="00710A06" w:rsidRDefault="00710A06" w:rsidP="00C45465">
            <w:pPr>
              <w:spacing w:after="0" w:line="360" w:lineRule="auto"/>
              <w:jc w:val="center"/>
              <w:rPr>
                <w:rFonts w:ascii="Arial" w:eastAsia="Times New Roman" w:hAnsi="Arial" w:cs="Arial"/>
                <w:b/>
                <w:lang w:eastAsia="es-MX"/>
              </w:rPr>
            </w:pPr>
            <w:r w:rsidRPr="00710A06">
              <w:rPr>
                <w:rFonts w:ascii="Arial" w:eastAsia="Times New Roman" w:hAnsi="Arial" w:cs="Arial"/>
                <w:b/>
                <w:lang w:eastAsia="es-MX"/>
              </w:rPr>
              <w:t>Concepto</w:t>
            </w:r>
          </w:p>
        </w:tc>
        <w:tc>
          <w:tcPr>
            <w:tcW w:w="7464" w:type="dxa"/>
            <w:tcBorders>
              <w:top w:val="nil"/>
              <w:left w:val="nil"/>
              <w:bottom w:val="single" w:sz="4" w:space="0" w:color="A6A6A6"/>
              <w:right w:val="single" w:sz="4" w:space="0" w:color="A6A6A6"/>
            </w:tcBorders>
            <w:shd w:val="clear" w:color="auto" w:fill="auto"/>
            <w:vAlign w:val="center"/>
            <w:hideMark/>
          </w:tcPr>
          <w:p w:rsidR="00710A06" w:rsidRPr="00710A06" w:rsidRDefault="00710A06" w:rsidP="00C45465">
            <w:pPr>
              <w:spacing w:after="0" w:line="360" w:lineRule="auto"/>
              <w:jc w:val="center"/>
              <w:rPr>
                <w:rFonts w:ascii="Arial" w:eastAsia="Times New Roman" w:hAnsi="Arial" w:cs="Arial"/>
                <w:b/>
                <w:lang w:eastAsia="es-MX"/>
              </w:rPr>
            </w:pPr>
            <w:r w:rsidRPr="00710A06">
              <w:rPr>
                <w:rFonts w:ascii="Arial" w:eastAsia="Times New Roman" w:hAnsi="Arial" w:cs="Arial"/>
                <w:b/>
                <w:lang w:eastAsia="es-MX"/>
              </w:rPr>
              <w:t>Supuestos</w:t>
            </w:r>
          </w:p>
        </w:tc>
      </w:tr>
      <w:tr w:rsidR="00710A06" w:rsidRPr="00710A06" w:rsidTr="00710A06">
        <w:trPr>
          <w:trHeight w:val="211"/>
          <w:jc w:val="center"/>
        </w:trPr>
        <w:tc>
          <w:tcPr>
            <w:tcW w:w="1747" w:type="dxa"/>
            <w:tcBorders>
              <w:top w:val="nil"/>
              <w:left w:val="single" w:sz="4" w:space="0" w:color="A6A6A6"/>
              <w:bottom w:val="single" w:sz="4" w:space="0" w:color="A6A6A6"/>
              <w:right w:val="single" w:sz="4" w:space="0" w:color="A6A6A6"/>
            </w:tcBorders>
            <w:shd w:val="clear" w:color="auto" w:fill="auto"/>
            <w:vAlign w:val="center"/>
            <w:hideMark/>
          </w:tcPr>
          <w:p w:rsidR="00710A06" w:rsidRPr="00710A06" w:rsidRDefault="00710A06" w:rsidP="00C45465">
            <w:pPr>
              <w:spacing w:after="0" w:line="360" w:lineRule="auto"/>
              <w:jc w:val="center"/>
              <w:rPr>
                <w:rFonts w:ascii="Arial" w:eastAsia="Times New Roman" w:hAnsi="Arial" w:cs="Arial"/>
                <w:b/>
                <w:lang w:eastAsia="es-MX"/>
              </w:rPr>
            </w:pPr>
          </w:p>
        </w:tc>
        <w:tc>
          <w:tcPr>
            <w:tcW w:w="7464" w:type="dxa"/>
            <w:tcBorders>
              <w:top w:val="nil"/>
              <w:left w:val="nil"/>
              <w:bottom w:val="single" w:sz="4" w:space="0" w:color="A6A6A6"/>
              <w:right w:val="single" w:sz="4" w:space="0" w:color="A6A6A6"/>
            </w:tcBorders>
            <w:shd w:val="clear" w:color="auto" w:fill="auto"/>
            <w:vAlign w:val="center"/>
            <w:hideMark/>
          </w:tcPr>
          <w:p w:rsidR="00710A06" w:rsidRPr="00710A06" w:rsidRDefault="00710A06" w:rsidP="00C45465">
            <w:pPr>
              <w:spacing w:after="0" w:line="360" w:lineRule="auto"/>
              <w:jc w:val="center"/>
              <w:rPr>
                <w:rFonts w:ascii="Arial" w:eastAsia="Times New Roman" w:hAnsi="Arial" w:cs="Arial"/>
                <w:b/>
                <w:lang w:eastAsia="es-MX"/>
              </w:rPr>
            </w:pPr>
            <w:r w:rsidRPr="00710A06">
              <w:rPr>
                <w:rFonts w:ascii="Arial" w:eastAsia="Times New Roman" w:hAnsi="Arial" w:cs="Arial"/>
                <w:b/>
                <w:lang w:eastAsia="es-MX"/>
              </w:rPr>
              <w:t>Uso de recursos</w:t>
            </w:r>
          </w:p>
        </w:tc>
      </w:tr>
      <w:tr w:rsidR="00710A06" w:rsidRPr="00710A06" w:rsidTr="00710A06">
        <w:trPr>
          <w:trHeight w:val="649"/>
          <w:jc w:val="center"/>
        </w:trPr>
        <w:tc>
          <w:tcPr>
            <w:tcW w:w="1747" w:type="dxa"/>
            <w:tcBorders>
              <w:top w:val="nil"/>
              <w:left w:val="single" w:sz="4" w:space="0" w:color="A6A6A6"/>
              <w:bottom w:val="single" w:sz="4" w:space="0" w:color="A6A6A6"/>
              <w:right w:val="single" w:sz="4" w:space="0" w:color="A6A6A6"/>
            </w:tcBorders>
            <w:shd w:val="clear" w:color="auto" w:fill="auto"/>
            <w:vAlign w:val="center"/>
            <w:hideMark/>
          </w:tcPr>
          <w:p w:rsidR="00710A06" w:rsidRPr="00710A06" w:rsidRDefault="00710A06" w:rsidP="00C45465">
            <w:pPr>
              <w:spacing w:after="0" w:line="360" w:lineRule="auto"/>
              <w:rPr>
                <w:rFonts w:ascii="Arial" w:eastAsia="Times New Roman" w:hAnsi="Arial" w:cs="Arial"/>
                <w:lang w:eastAsia="es-MX"/>
              </w:rPr>
            </w:pPr>
            <w:r w:rsidRPr="00710A06">
              <w:rPr>
                <w:rFonts w:ascii="Arial" w:eastAsia="Times New Roman" w:hAnsi="Arial" w:cs="Arial"/>
                <w:lang w:eastAsia="es-MX"/>
              </w:rPr>
              <w:t>Gasto neto total</w:t>
            </w:r>
          </w:p>
        </w:tc>
        <w:tc>
          <w:tcPr>
            <w:tcW w:w="7464" w:type="dxa"/>
            <w:tcBorders>
              <w:top w:val="nil"/>
              <w:left w:val="nil"/>
              <w:bottom w:val="single" w:sz="4" w:space="0" w:color="A6A6A6"/>
              <w:right w:val="single" w:sz="4" w:space="0" w:color="A6A6A6"/>
            </w:tcBorders>
            <w:shd w:val="clear" w:color="auto" w:fill="auto"/>
            <w:vAlign w:val="center"/>
            <w:hideMark/>
          </w:tcPr>
          <w:p w:rsidR="00710A06" w:rsidRPr="00710A06" w:rsidRDefault="00710A06" w:rsidP="00C45465">
            <w:pPr>
              <w:spacing w:after="0" w:line="360" w:lineRule="auto"/>
              <w:rPr>
                <w:rFonts w:ascii="Arial" w:eastAsia="Times New Roman" w:hAnsi="Arial" w:cs="Arial"/>
                <w:lang w:eastAsia="es-MX"/>
              </w:rPr>
            </w:pPr>
            <w:r w:rsidRPr="00710A06">
              <w:rPr>
                <w:rFonts w:ascii="Arial" w:eastAsia="Times New Roman" w:hAnsi="Arial" w:cs="Arial"/>
                <w:lang w:eastAsia="es-MX"/>
              </w:rPr>
              <w:t>Es igual a las fuentes de financiamiento (ingresos) ubicándose en alrededor de un 3.5% de incremento anual entre 2017 y 2022.</w:t>
            </w:r>
          </w:p>
        </w:tc>
      </w:tr>
      <w:tr w:rsidR="00710A06" w:rsidRPr="00710A06" w:rsidTr="00710A06">
        <w:trPr>
          <w:trHeight w:val="823"/>
          <w:jc w:val="center"/>
        </w:trPr>
        <w:tc>
          <w:tcPr>
            <w:tcW w:w="1747" w:type="dxa"/>
            <w:tcBorders>
              <w:top w:val="nil"/>
              <w:left w:val="single" w:sz="4" w:space="0" w:color="A6A6A6"/>
              <w:bottom w:val="single" w:sz="4" w:space="0" w:color="A6A6A6"/>
              <w:right w:val="single" w:sz="4" w:space="0" w:color="A6A6A6"/>
            </w:tcBorders>
            <w:shd w:val="clear" w:color="auto" w:fill="auto"/>
            <w:vAlign w:val="center"/>
            <w:hideMark/>
          </w:tcPr>
          <w:p w:rsidR="00710A06" w:rsidRPr="00710A06" w:rsidRDefault="00710A06" w:rsidP="00C45465">
            <w:pPr>
              <w:spacing w:after="0" w:line="360" w:lineRule="auto"/>
              <w:rPr>
                <w:rFonts w:ascii="Arial" w:eastAsia="Times New Roman" w:hAnsi="Arial" w:cs="Arial"/>
                <w:lang w:eastAsia="es-MX"/>
              </w:rPr>
            </w:pPr>
            <w:r w:rsidRPr="00710A06">
              <w:rPr>
                <w:rFonts w:ascii="Arial" w:eastAsia="Times New Roman" w:hAnsi="Arial" w:cs="Arial"/>
                <w:lang w:eastAsia="es-MX"/>
              </w:rPr>
              <w:t>Gasto etiquetado</w:t>
            </w:r>
          </w:p>
        </w:tc>
        <w:tc>
          <w:tcPr>
            <w:tcW w:w="7464" w:type="dxa"/>
            <w:tcBorders>
              <w:top w:val="nil"/>
              <w:left w:val="nil"/>
              <w:bottom w:val="single" w:sz="4" w:space="0" w:color="A6A6A6"/>
              <w:right w:val="single" w:sz="4" w:space="0" w:color="A6A6A6"/>
            </w:tcBorders>
            <w:shd w:val="clear" w:color="auto" w:fill="auto"/>
            <w:vAlign w:val="center"/>
            <w:hideMark/>
          </w:tcPr>
          <w:p w:rsidR="00710A06" w:rsidRPr="00710A06" w:rsidRDefault="00710A06" w:rsidP="00C45465">
            <w:pPr>
              <w:spacing w:after="0" w:line="360" w:lineRule="auto"/>
              <w:rPr>
                <w:rFonts w:ascii="Arial" w:eastAsia="Times New Roman" w:hAnsi="Arial" w:cs="Arial"/>
                <w:lang w:eastAsia="es-MX"/>
              </w:rPr>
            </w:pPr>
            <w:r w:rsidRPr="00710A06">
              <w:rPr>
                <w:rFonts w:ascii="Arial" w:eastAsia="Times New Roman" w:hAnsi="Arial" w:cs="Arial"/>
                <w:lang w:eastAsia="es-MX"/>
              </w:rPr>
              <w:t>Son los gastos que realizan las Entidades Federativas y los Municipios generados de  las Transferencias que les asigna la Federación</w:t>
            </w:r>
          </w:p>
        </w:tc>
      </w:tr>
      <w:tr w:rsidR="00710A06" w:rsidRPr="00710A06" w:rsidTr="00710A06">
        <w:trPr>
          <w:trHeight w:val="676"/>
          <w:jc w:val="center"/>
        </w:trPr>
        <w:tc>
          <w:tcPr>
            <w:tcW w:w="1747" w:type="dxa"/>
            <w:tcBorders>
              <w:top w:val="nil"/>
              <w:left w:val="single" w:sz="4" w:space="0" w:color="A6A6A6"/>
              <w:bottom w:val="single" w:sz="4" w:space="0" w:color="A6A6A6"/>
              <w:right w:val="single" w:sz="4" w:space="0" w:color="A6A6A6"/>
            </w:tcBorders>
            <w:shd w:val="clear" w:color="auto" w:fill="auto"/>
            <w:vAlign w:val="center"/>
            <w:hideMark/>
          </w:tcPr>
          <w:p w:rsidR="00710A06" w:rsidRPr="00710A06" w:rsidRDefault="00710A06" w:rsidP="00C45465">
            <w:pPr>
              <w:spacing w:after="0" w:line="360" w:lineRule="auto"/>
              <w:rPr>
                <w:rFonts w:ascii="Arial" w:eastAsia="Times New Roman" w:hAnsi="Arial" w:cs="Arial"/>
                <w:lang w:eastAsia="es-MX"/>
              </w:rPr>
            </w:pPr>
            <w:r w:rsidRPr="00710A06">
              <w:rPr>
                <w:rFonts w:ascii="Arial" w:eastAsia="Times New Roman" w:hAnsi="Arial" w:cs="Arial"/>
                <w:lang w:eastAsia="es-MX"/>
              </w:rPr>
              <w:t>Gasto no etiquetado</w:t>
            </w:r>
          </w:p>
        </w:tc>
        <w:tc>
          <w:tcPr>
            <w:tcW w:w="7464" w:type="dxa"/>
            <w:tcBorders>
              <w:top w:val="nil"/>
              <w:left w:val="nil"/>
              <w:bottom w:val="single" w:sz="4" w:space="0" w:color="A6A6A6"/>
              <w:right w:val="single" w:sz="4" w:space="0" w:color="A6A6A6"/>
            </w:tcBorders>
            <w:shd w:val="clear" w:color="auto" w:fill="auto"/>
            <w:vAlign w:val="center"/>
            <w:hideMark/>
          </w:tcPr>
          <w:p w:rsidR="00710A06" w:rsidRPr="00710A06" w:rsidRDefault="00710A06" w:rsidP="00C45465">
            <w:pPr>
              <w:spacing w:after="0" w:line="360" w:lineRule="auto"/>
              <w:rPr>
                <w:rFonts w:ascii="Arial" w:eastAsia="Times New Roman" w:hAnsi="Arial" w:cs="Arial"/>
                <w:lang w:eastAsia="es-MX"/>
              </w:rPr>
            </w:pPr>
            <w:r w:rsidRPr="00710A06">
              <w:rPr>
                <w:rFonts w:ascii="Arial" w:eastAsia="Times New Roman" w:hAnsi="Arial" w:cs="Arial"/>
                <w:lang w:eastAsia="es-MX"/>
              </w:rPr>
              <w:t>Son los gastos que realizan las Entidades Federativas y los Municipios generados de  sus Ingresos locales y las participaciones federales, así como los Financiamientos y cualquier otro recurso que no esté destinado a un fin específico</w:t>
            </w:r>
          </w:p>
        </w:tc>
      </w:tr>
      <w:tr w:rsidR="00710A06" w:rsidRPr="00710A06" w:rsidTr="00710A06">
        <w:trPr>
          <w:trHeight w:val="949"/>
          <w:jc w:val="center"/>
        </w:trPr>
        <w:tc>
          <w:tcPr>
            <w:tcW w:w="1747" w:type="dxa"/>
            <w:tcBorders>
              <w:top w:val="nil"/>
              <w:left w:val="single" w:sz="4" w:space="0" w:color="A6A6A6"/>
              <w:bottom w:val="single" w:sz="4" w:space="0" w:color="A6A6A6"/>
              <w:right w:val="single" w:sz="4" w:space="0" w:color="A6A6A6"/>
            </w:tcBorders>
            <w:shd w:val="clear" w:color="auto" w:fill="auto"/>
            <w:vAlign w:val="center"/>
            <w:hideMark/>
          </w:tcPr>
          <w:p w:rsidR="00710A06" w:rsidRPr="00710A06" w:rsidRDefault="00710A06" w:rsidP="00C45465">
            <w:pPr>
              <w:spacing w:after="0" w:line="360" w:lineRule="auto"/>
              <w:rPr>
                <w:rFonts w:ascii="Arial" w:eastAsia="Times New Roman" w:hAnsi="Arial" w:cs="Arial"/>
                <w:lang w:eastAsia="es-MX"/>
              </w:rPr>
            </w:pPr>
            <w:r w:rsidRPr="00710A06">
              <w:rPr>
                <w:rFonts w:ascii="Arial" w:eastAsia="Times New Roman" w:hAnsi="Arial" w:cs="Arial"/>
                <w:lang w:eastAsia="es-MX"/>
              </w:rPr>
              <w:t>Servicios personales</w:t>
            </w:r>
          </w:p>
        </w:tc>
        <w:tc>
          <w:tcPr>
            <w:tcW w:w="7464" w:type="dxa"/>
            <w:tcBorders>
              <w:top w:val="nil"/>
              <w:left w:val="nil"/>
              <w:bottom w:val="single" w:sz="4" w:space="0" w:color="A6A6A6"/>
              <w:right w:val="single" w:sz="4" w:space="0" w:color="A6A6A6"/>
            </w:tcBorders>
            <w:shd w:val="clear" w:color="auto" w:fill="auto"/>
            <w:vAlign w:val="center"/>
            <w:hideMark/>
          </w:tcPr>
          <w:p w:rsidR="00710A06" w:rsidRPr="00710A06" w:rsidRDefault="00710A06" w:rsidP="00C45465">
            <w:pPr>
              <w:spacing w:after="0" w:line="360" w:lineRule="auto"/>
              <w:rPr>
                <w:rFonts w:ascii="Arial" w:eastAsia="Times New Roman" w:hAnsi="Arial" w:cs="Arial"/>
                <w:lang w:eastAsia="es-MX"/>
              </w:rPr>
            </w:pPr>
            <w:r w:rsidRPr="00710A06">
              <w:rPr>
                <w:rFonts w:ascii="Arial" w:eastAsia="Times New Roman" w:hAnsi="Arial" w:cs="Arial"/>
                <w:lang w:eastAsia="es-MX"/>
              </w:rPr>
              <w:t>Se incrementan en función de lo establecido en la Ley de Disciplina Financiera de las Entidades Federativas y los Municipios</w:t>
            </w:r>
          </w:p>
        </w:tc>
      </w:tr>
      <w:tr w:rsidR="00710A06" w:rsidRPr="00710A06" w:rsidTr="00710A06">
        <w:trPr>
          <w:trHeight w:val="977"/>
          <w:jc w:val="center"/>
        </w:trPr>
        <w:tc>
          <w:tcPr>
            <w:tcW w:w="1747" w:type="dxa"/>
            <w:tcBorders>
              <w:top w:val="nil"/>
              <w:left w:val="single" w:sz="4" w:space="0" w:color="A6A6A6"/>
              <w:bottom w:val="single" w:sz="4" w:space="0" w:color="A6A6A6"/>
              <w:right w:val="single" w:sz="4" w:space="0" w:color="A6A6A6"/>
            </w:tcBorders>
            <w:shd w:val="clear" w:color="auto" w:fill="auto"/>
            <w:vAlign w:val="center"/>
            <w:hideMark/>
          </w:tcPr>
          <w:p w:rsidR="00710A06" w:rsidRPr="00710A06" w:rsidRDefault="00710A06" w:rsidP="00C45465">
            <w:pPr>
              <w:spacing w:after="0" w:line="360" w:lineRule="auto"/>
              <w:rPr>
                <w:rFonts w:ascii="Arial" w:eastAsia="Times New Roman" w:hAnsi="Arial" w:cs="Arial"/>
                <w:lang w:eastAsia="es-MX"/>
              </w:rPr>
            </w:pPr>
            <w:r w:rsidRPr="00710A06">
              <w:rPr>
                <w:rFonts w:ascii="Arial" w:eastAsia="Times New Roman" w:hAnsi="Arial" w:cs="Arial"/>
                <w:lang w:eastAsia="es-MX"/>
              </w:rPr>
              <w:t>Pensiones y Jubilaciones</w:t>
            </w:r>
          </w:p>
        </w:tc>
        <w:tc>
          <w:tcPr>
            <w:tcW w:w="7464" w:type="dxa"/>
            <w:tcBorders>
              <w:top w:val="nil"/>
              <w:left w:val="nil"/>
              <w:bottom w:val="single" w:sz="4" w:space="0" w:color="A6A6A6"/>
              <w:right w:val="single" w:sz="4" w:space="0" w:color="A6A6A6"/>
            </w:tcBorders>
            <w:shd w:val="clear" w:color="auto" w:fill="auto"/>
            <w:vAlign w:val="center"/>
            <w:hideMark/>
          </w:tcPr>
          <w:p w:rsidR="00710A06" w:rsidRPr="00710A06" w:rsidRDefault="00710A06" w:rsidP="00C45465">
            <w:pPr>
              <w:spacing w:after="0" w:line="360" w:lineRule="auto"/>
              <w:rPr>
                <w:rFonts w:ascii="Arial" w:eastAsia="Times New Roman" w:hAnsi="Arial" w:cs="Arial"/>
                <w:lang w:eastAsia="es-MX"/>
              </w:rPr>
            </w:pPr>
            <w:r w:rsidRPr="00710A06">
              <w:rPr>
                <w:rFonts w:ascii="Arial" w:eastAsia="Times New Roman" w:hAnsi="Arial" w:cs="Arial"/>
                <w:lang w:eastAsia="es-MX"/>
              </w:rPr>
              <w:t xml:space="preserve">Son los gastos destinados para el pago a pensionistas y jubilados o a sus familiares, que cubren el Gobierno del Estado a través de la Dirección de Pensiones Civiles.  </w:t>
            </w:r>
          </w:p>
        </w:tc>
      </w:tr>
      <w:tr w:rsidR="00710A06" w:rsidRPr="00710A06" w:rsidTr="00710A06">
        <w:trPr>
          <w:trHeight w:val="990"/>
          <w:jc w:val="center"/>
        </w:trPr>
        <w:tc>
          <w:tcPr>
            <w:tcW w:w="1747" w:type="dxa"/>
            <w:tcBorders>
              <w:top w:val="nil"/>
              <w:left w:val="single" w:sz="4" w:space="0" w:color="A6A6A6"/>
              <w:bottom w:val="single" w:sz="4" w:space="0" w:color="A6A6A6"/>
              <w:right w:val="single" w:sz="4" w:space="0" w:color="A6A6A6"/>
            </w:tcBorders>
            <w:shd w:val="clear" w:color="auto" w:fill="auto"/>
            <w:vAlign w:val="center"/>
            <w:hideMark/>
          </w:tcPr>
          <w:p w:rsidR="00710A06" w:rsidRPr="00710A06" w:rsidRDefault="00710A06" w:rsidP="00C45465">
            <w:pPr>
              <w:spacing w:after="0" w:line="360" w:lineRule="auto"/>
              <w:rPr>
                <w:rFonts w:ascii="Arial" w:eastAsia="Times New Roman" w:hAnsi="Arial" w:cs="Arial"/>
                <w:lang w:eastAsia="es-MX"/>
              </w:rPr>
            </w:pPr>
            <w:r w:rsidRPr="00710A06">
              <w:rPr>
                <w:rFonts w:ascii="Arial" w:eastAsia="Times New Roman" w:hAnsi="Arial" w:cs="Arial"/>
                <w:lang w:eastAsia="es-MX"/>
              </w:rPr>
              <w:t>Inversión física</w:t>
            </w:r>
          </w:p>
        </w:tc>
        <w:tc>
          <w:tcPr>
            <w:tcW w:w="7464" w:type="dxa"/>
            <w:tcBorders>
              <w:top w:val="nil"/>
              <w:left w:val="nil"/>
              <w:bottom w:val="single" w:sz="4" w:space="0" w:color="A6A6A6"/>
              <w:right w:val="single" w:sz="4" w:space="0" w:color="A6A6A6"/>
            </w:tcBorders>
            <w:shd w:val="clear" w:color="auto" w:fill="auto"/>
            <w:vAlign w:val="center"/>
            <w:hideMark/>
          </w:tcPr>
          <w:p w:rsidR="00710A06" w:rsidRPr="00710A06" w:rsidRDefault="00710A06" w:rsidP="00C45465">
            <w:pPr>
              <w:spacing w:after="0" w:line="360" w:lineRule="auto"/>
              <w:rPr>
                <w:rFonts w:ascii="Arial" w:eastAsia="Times New Roman" w:hAnsi="Arial" w:cs="Arial"/>
                <w:lang w:eastAsia="es-MX"/>
              </w:rPr>
            </w:pPr>
            <w:r w:rsidRPr="00710A06">
              <w:rPr>
                <w:rFonts w:ascii="Arial" w:eastAsia="Times New Roman" w:hAnsi="Arial" w:cs="Arial"/>
                <w:lang w:eastAsia="es-MX"/>
              </w:rPr>
              <w:t>Son los gastos destinados a la inversión de capital y las transferencias a los otros componentes institucionales del sistema económico, con cargo a la Inversión Pública.</w:t>
            </w:r>
          </w:p>
        </w:tc>
      </w:tr>
      <w:tr w:rsidR="00710A06" w:rsidRPr="00710A06" w:rsidTr="00710A06">
        <w:trPr>
          <w:trHeight w:val="1013"/>
          <w:jc w:val="center"/>
        </w:trPr>
        <w:tc>
          <w:tcPr>
            <w:tcW w:w="1747" w:type="dxa"/>
            <w:tcBorders>
              <w:top w:val="nil"/>
              <w:left w:val="single" w:sz="4" w:space="0" w:color="A6A6A6"/>
              <w:bottom w:val="single" w:sz="4" w:space="0" w:color="A6A6A6"/>
              <w:right w:val="single" w:sz="4" w:space="0" w:color="A6A6A6"/>
            </w:tcBorders>
            <w:shd w:val="clear" w:color="auto" w:fill="auto"/>
            <w:vAlign w:val="center"/>
            <w:hideMark/>
          </w:tcPr>
          <w:p w:rsidR="00710A06" w:rsidRPr="00710A06" w:rsidRDefault="00710A06" w:rsidP="00C45465">
            <w:pPr>
              <w:spacing w:after="0" w:line="360" w:lineRule="auto"/>
              <w:rPr>
                <w:rFonts w:ascii="Arial" w:eastAsia="Times New Roman" w:hAnsi="Arial" w:cs="Arial"/>
                <w:lang w:eastAsia="es-MX"/>
              </w:rPr>
            </w:pPr>
            <w:r w:rsidRPr="00710A06">
              <w:rPr>
                <w:rFonts w:ascii="Arial" w:eastAsia="Times New Roman" w:hAnsi="Arial" w:cs="Arial"/>
                <w:lang w:eastAsia="es-MX"/>
              </w:rPr>
              <w:t>Inversión financiera</w:t>
            </w:r>
          </w:p>
        </w:tc>
        <w:tc>
          <w:tcPr>
            <w:tcW w:w="7464" w:type="dxa"/>
            <w:tcBorders>
              <w:top w:val="nil"/>
              <w:left w:val="nil"/>
              <w:bottom w:val="single" w:sz="4" w:space="0" w:color="A6A6A6"/>
              <w:right w:val="single" w:sz="4" w:space="0" w:color="A6A6A6"/>
            </w:tcBorders>
            <w:shd w:val="clear" w:color="auto" w:fill="auto"/>
            <w:vAlign w:val="center"/>
            <w:hideMark/>
          </w:tcPr>
          <w:p w:rsidR="00710A06" w:rsidRPr="00710A06" w:rsidRDefault="00710A06" w:rsidP="00C45465">
            <w:pPr>
              <w:spacing w:after="0" w:line="360" w:lineRule="auto"/>
              <w:rPr>
                <w:rFonts w:ascii="Arial" w:eastAsia="Times New Roman" w:hAnsi="Arial" w:cs="Arial"/>
                <w:lang w:eastAsia="es-MX"/>
              </w:rPr>
            </w:pPr>
            <w:r w:rsidRPr="00710A06">
              <w:rPr>
                <w:rFonts w:ascii="Arial" w:eastAsia="Times New Roman" w:hAnsi="Arial" w:cs="Arial"/>
                <w:lang w:eastAsia="es-MX"/>
              </w:rPr>
              <w:t>Gastos que realiza la administración pública en la adquisición de acciones, bonos y otros títulos y valores; así como en préstamos otorgados a diversos agentes económicos. Se incluyen las aportaciones de capital a las entidades públicas; así como las erogaciones contingentes e imprevistas para el cumplimiento de obligaciones del Gobierno.</w:t>
            </w:r>
          </w:p>
        </w:tc>
      </w:tr>
    </w:tbl>
    <w:p w:rsidR="00710A06" w:rsidRPr="00710A06" w:rsidRDefault="00710A06" w:rsidP="00C45465">
      <w:pPr>
        <w:pStyle w:val="PRIMERAPLANA"/>
        <w:spacing w:line="360" w:lineRule="auto"/>
        <w:rPr>
          <w:rFonts w:cs="Arial"/>
          <w:b/>
          <w:iCs/>
          <w:sz w:val="24"/>
          <w:szCs w:val="24"/>
          <w:lang w:val="es-MX"/>
        </w:rPr>
      </w:pPr>
    </w:p>
    <w:p w:rsidR="00710A06" w:rsidRPr="00710A06" w:rsidRDefault="00710A06" w:rsidP="00C45465">
      <w:pPr>
        <w:pStyle w:val="PRIMERAPLANA"/>
        <w:spacing w:line="360" w:lineRule="auto"/>
        <w:rPr>
          <w:rFonts w:cs="Arial"/>
          <w:b/>
          <w:iCs/>
          <w:sz w:val="24"/>
          <w:szCs w:val="24"/>
          <w:lang w:val="es-MX"/>
        </w:rPr>
      </w:pPr>
    </w:p>
    <w:p w:rsidR="00710A06" w:rsidRPr="00710A06" w:rsidRDefault="00710A06" w:rsidP="00C45465">
      <w:pPr>
        <w:pStyle w:val="PRIMERAPLANA"/>
        <w:spacing w:line="360" w:lineRule="auto"/>
        <w:rPr>
          <w:rFonts w:cs="Arial"/>
          <w:iCs/>
          <w:color w:val="000000" w:themeColor="text1"/>
          <w:sz w:val="24"/>
          <w:szCs w:val="24"/>
          <w:lang w:val="es-ES"/>
        </w:rPr>
      </w:pPr>
    </w:p>
    <w:p w:rsidR="00710A06" w:rsidRPr="00710A06" w:rsidRDefault="00710A06" w:rsidP="00C45465">
      <w:pPr>
        <w:spacing w:after="0" w:line="360" w:lineRule="auto"/>
        <w:jc w:val="both"/>
        <w:rPr>
          <w:rFonts w:ascii="Arial" w:eastAsia="Times New Roman" w:hAnsi="Arial" w:cs="Arial"/>
          <w:iCs/>
          <w:color w:val="000000" w:themeColor="text1"/>
          <w:sz w:val="24"/>
          <w:szCs w:val="24"/>
          <w:lang w:val="es-ES" w:eastAsia="es-ES"/>
        </w:rPr>
      </w:pPr>
    </w:p>
    <w:p w:rsidR="00710A06" w:rsidRPr="00710A06" w:rsidRDefault="00710A06" w:rsidP="00C45465">
      <w:pPr>
        <w:spacing w:after="0" w:line="360" w:lineRule="auto"/>
        <w:jc w:val="both"/>
        <w:rPr>
          <w:rFonts w:ascii="Arial" w:hAnsi="Arial" w:cs="Arial"/>
          <w:b/>
          <w:bCs/>
          <w:color w:val="000000" w:themeColor="text1"/>
          <w:sz w:val="24"/>
          <w:szCs w:val="24"/>
        </w:rPr>
      </w:pPr>
      <w:r w:rsidRPr="00710A06">
        <w:rPr>
          <w:rFonts w:ascii="Arial" w:hAnsi="Arial" w:cs="Arial"/>
          <w:b/>
          <w:bCs/>
          <w:color w:val="000000" w:themeColor="text1"/>
          <w:sz w:val="24"/>
          <w:szCs w:val="24"/>
        </w:rPr>
        <w:lastRenderedPageBreak/>
        <w:t>RIESGOS FISCALES.</w:t>
      </w:r>
    </w:p>
    <w:p w:rsid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t xml:space="preserve">Los riesgos fiscales de largo plazo para las finanzas públicas del Estado, se pueden definir como obligaciones no transitorias, cuya dinámica depende entre otros, del desempeño de las variables macroeconómicas en el corto plazo. </w:t>
      </w:r>
    </w:p>
    <w:p w:rsidR="00E40CB7" w:rsidRPr="00710A06" w:rsidRDefault="00E40CB7" w:rsidP="00C45465">
      <w:pPr>
        <w:spacing w:after="0" w:line="360" w:lineRule="auto"/>
        <w:jc w:val="both"/>
        <w:rPr>
          <w:rFonts w:ascii="Arial" w:hAnsi="Arial" w:cs="Arial"/>
          <w:color w:val="000000" w:themeColor="text1"/>
          <w:sz w:val="24"/>
          <w:szCs w:val="24"/>
        </w:rPr>
      </w:pPr>
    </w:p>
    <w:p w:rsid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t>El escenario macroeconómico de mediano plazo está sujeto a riesgos que podrían modificar las trayectorias anticipadas. Dentro de los riesgos a la baja destacan:</w:t>
      </w:r>
    </w:p>
    <w:p w:rsidR="00E40CB7" w:rsidRPr="00710A06" w:rsidRDefault="00E40CB7" w:rsidP="00C45465">
      <w:pPr>
        <w:spacing w:after="0" w:line="360" w:lineRule="auto"/>
        <w:jc w:val="both"/>
        <w:rPr>
          <w:rFonts w:ascii="Arial" w:hAnsi="Arial" w:cs="Arial"/>
          <w:color w:val="000000" w:themeColor="text1"/>
          <w:sz w:val="24"/>
          <w:szCs w:val="24"/>
        </w:rPr>
      </w:pPr>
    </w:p>
    <w:p w:rsidR="00710A06" w:rsidRDefault="00710A06" w:rsidP="00C45465">
      <w:pPr>
        <w:pStyle w:val="Prrafodelista"/>
        <w:numPr>
          <w:ilvl w:val="0"/>
          <w:numId w:val="8"/>
        </w:numPr>
        <w:spacing w:after="0" w:line="360" w:lineRule="auto"/>
        <w:contextualSpacing w:val="0"/>
        <w:jc w:val="both"/>
        <w:rPr>
          <w:rFonts w:ascii="Arial" w:hAnsi="Arial" w:cs="Arial"/>
          <w:color w:val="000000" w:themeColor="text1"/>
          <w:sz w:val="24"/>
          <w:szCs w:val="24"/>
        </w:rPr>
      </w:pPr>
      <w:r w:rsidRPr="00710A06">
        <w:rPr>
          <w:rFonts w:ascii="Arial" w:hAnsi="Arial" w:cs="Arial"/>
          <w:color w:val="000000" w:themeColor="text1"/>
          <w:sz w:val="24"/>
          <w:szCs w:val="24"/>
        </w:rPr>
        <w:t>Resultado no favorable en la renegociación del TLCAN. En caso de que al término de las rondas de negociación los intereses de México se vean afectados o de materializarse la salida de Estados Unidos del acuerdo, el resultado se reflejaría en una desaceleración del comercio y los flujos de inversión en sectores clave de la economía.</w:t>
      </w:r>
    </w:p>
    <w:p w:rsidR="00E40CB7" w:rsidRPr="00710A06" w:rsidRDefault="00E40CB7" w:rsidP="00E40CB7">
      <w:pPr>
        <w:pStyle w:val="Prrafodelista"/>
        <w:spacing w:after="0" w:line="360" w:lineRule="auto"/>
        <w:contextualSpacing w:val="0"/>
        <w:jc w:val="both"/>
        <w:rPr>
          <w:rFonts w:ascii="Arial" w:hAnsi="Arial" w:cs="Arial"/>
          <w:color w:val="000000" w:themeColor="text1"/>
          <w:sz w:val="24"/>
          <w:szCs w:val="24"/>
        </w:rPr>
      </w:pPr>
    </w:p>
    <w:p w:rsidR="00710A06" w:rsidRDefault="00710A06" w:rsidP="00C45465">
      <w:pPr>
        <w:pStyle w:val="Prrafodelista"/>
        <w:numPr>
          <w:ilvl w:val="0"/>
          <w:numId w:val="8"/>
        </w:numPr>
        <w:spacing w:after="0" w:line="360" w:lineRule="auto"/>
        <w:contextualSpacing w:val="0"/>
        <w:jc w:val="both"/>
        <w:rPr>
          <w:rFonts w:ascii="Arial" w:hAnsi="Arial" w:cs="Arial"/>
          <w:color w:val="000000" w:themeColor="text1"/>
          <w:sz w:val="24"/>
          <w:szCs w:val="24"/>
        </w:rPr>
      </w:pPr>
      <w:r w:rsidRPr="00710A06">
        <w:rPr>
          <w:rFonts w:ascii="Arial" w:hAnsi="Arial" w:cs="Arial"/>
          <w:color w:val="000000" w:themeColor="text1"/>
          <w:sz w:val="24"/>
          <w:szCs w:val="24"/>
        </w:rPr>
        <w:t>Un crecimiento económico de Estados Unidos menor que el previsto. En caso de materializarse un menor crecimiento de esa economía, las exportaciones de México aumentarían a tasas menores que las proyectadas.</w:t>
      </w:r>
    </w:p>
    <w:p w:rsidR="00E40CB7" w:rsidRPr="00710A06" w:rsidRDefault="00E40CB7" w:rsidP="00E40CB7">
      <w:pPr>
        <w:pStyle w:val="Prrafodelista"/>
        <w:spacing w:after="0" w:line="360" w:lineRule="auto"/>
        <w:contextualSpacing w:val="0"/>
        <w:jc w:val="both"/>
        <w:rPr>
          <w:rFonts w:ascii="Arial" w:hAnsi="Arial" w:cs="Arial"/>
          <w:color w:val="000000" w:themeColor="text1"/>
          <w:sz w:val="24"/>
          <w:szCs w:val="24"/>
        </w:rPr>
      </w:pPr>
    </w:p>
    <w:p w:rsidR="00710A06" w:rsidRDefault="00710A06" w:rsidP="00C45465">
      <w:pPr>
        <w:pStyle w:val="Prrafodelista"/>
        <w:numPr>
          <w:ilvl w:val="0"/>
          <w:numId w:val="8"/>
        </w:numPr>
        <w:spacing w:after="0" w:line="360" w:lineRule="auto"/>
        <w:contextualSpacing w:val="0"/>
        <w:jc w:val="both"/>
        <w:rPr>
          <w:rFonts w:ascii="Arial" w:hAnsi="Arial" w:cs="Arial"/>
          <w:color w:val="000000" w:themeColor="text1"/>
          <w:sz w:val="24"/>
          <w:szCs w:val="24"/>
        </w:rPr>
      </w:pPr>
      <w:r w:rsidRPr="00710A06">
        <w:rPr>
          <w:rFonts w:ascii="Arial" w:hAnsi="Arial" w:cs="Arial"/>
          <w:color w:val="000000" w:themeColor="text1"/>
          <w:sz w:val="24"/>
          <w:szCs w:val="24"/>
        </w:rPr>
        <w:t>Condiciones en los mercados financieros internacionales menos favorables. Este fenómeno se traduciría en condiciones más restrictivas de financiamiento para los sectores público y privado del país, y en un deterioro en la confianza de consumidores y empresas.</w:t>
      </w:r>
    </w:p>
    <w:p w:rsidR="00E40CB7" w:rsidRPr="00710A06" w:rsidRDefault="00E40CB7" w:rsidP="00E40CB7">
      <w:pPr>
        <w:pStyle w:val="Prrafodelista"/>
        <w:spacing w:after="0" w:line="360" w:lineRule="auto"/>
        <w:contextualSpacing w:val="0"/>
        <w:jc w:val="both"/>
        <w:rPr>
          <w:rFonts w:ascii="Arial" w:hAnsi="Arial" w:cs="Arial"/>
          <w:color w:val="000000" w:themeColor="text1"/>
          <w:sz w:val="24"/>
          <w:szCs w:val="24"/>
        </w:rPr>
      </w:pPr>
    </w:p>
    <w:p w:rsidR="00710A06" w:rsidRDefault="00710A06" w:rsidP="00C45465">
      <w:pPr>
        <w:pStyle w:val="Prrafodelista"/>
        <w:numPr>
          <w:ilvl w:val="0"/>
          <w:numId w:val="8"/>
        </w:numPr>
        <w:spacing w:after="0" w:line="360" w:lineRule="auto"/>
        <w:contextualSpacing w:val="0"/>
        <w:jc w:val="both"/>
        <w:rPr>
          <w:rFonts w:ascii="Arial" w:hAnsi="Arial" w:cs="Arial"/>
          <w:color w:val="000000" w:themeColor="text1"/>
          <w:sz w:val="24"/>
          <w:szCs w:val="24"/>
        </w:rPr>
      </w:pPr>
      <w:r w:rsidRPr="00710A06">
        <w:rPr>
          <w:rFonts w:ascii="Arial" w:hAnsi="Arial" w:cs="Arial"/>
          <w:color w:val="000000" w:themeColor="text1"/>
          <w:sz w:val="24"/>
          <w:szCs w:val="24"/>
        </w:rPr>
        <w:t xml:space="preserve">Precios internacionales del petróleo deprimidos o un bajo dinamismo de la plataforma de producción de petróleo. Esta situación afectaría </w:t>
      </w:r>
      <w:r w:rsidRPr="00710A06">
        <w:rPr>
          <w:rFonts w:ascii="Arial" w:hAnsi="Arial" w:cs="Arial"/>
          <w:color w:val="000000" w:themeColor="text1"/>
          <w:sz w:val="24"/>
          <w:szCs w:val="24"/>
        </w:rPr>
        <w:lastRenderedPageBreak/>
        <w:t>adversamente el nivel de ingresos petroleros, generando presiones a las finanzas públicas en el mediano plazo, así como a la tasa de crecimiento potencial de la economía.</w:t>
      </w:r>
    </w:p>
    <w:p w:rsidR="00E40CB7" w:rsidRPr="00710A06" w:rsidRDefault="00E40CB7" w:rsidP="00E40CB7">
      <w:pPr>
        <w:pStyle w:val="Prrafodelista"/>
        <w:spacing w:after="0" w:line="360" w:lineRule="auto"/>
        <w:contextualSpacing w:val="0"/>
        <w:jc w:val="both"/>
        <w:rPr>
          <w:rFonts w:ascii="Arial" w:hAnsi="Arial" w:cs="Arial"/>
          <w:color w:val="000000" w:themeColor="text1"/>
          <w:sz w:val="24"/>
          <w:szCs w:val="24"/>
        </w:rPr>
      </w:pPr>
    </w:p>
    <w:p w:rsidR="00710A06" w:rsidRP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t>En consecuencia, el diseño e implementación de la política fiscal debe considerar los riesgos de mediano y largo plazos. A continuación se presentan los principales factores estatales que podrían tener un impacto en las finanzas públicas y las acciones que se han tomado para evitar que se conviertan en un riesgo para las finanzas públicas del Estado.</w:t>
      </w:r>
    </w:p>
    <w:p w:rsidR="00710A06" w:rsidRPr="00710A06" w:rsidRDefault="00710A06" w:rsidP="00C45465">
      <w:pPr>
        <w:spacing w:after="0" w:line="360" w:lineRule="auto"/>
        <w:jc w:val="both"/>
        <w:rPr>
          <w:rFonts w:ascii="Arial" w:hAnsi="Arial" w:cs="Arial"/>
          <w:b/>
          <w:color w:val="000000" w:themeColor="text1"/>
          <w:sz w:val="24"/>
          <w:szCs w:val="24"/>
        </w:rPr>
      </w:pPr>
    </w:p>
    <w:p w:rsidR="00710A06" w:rsidRPr="00710A06" w:rsidRDefault="00710A06" w:rsidP="00C45465">
      <w:pPr>
        <w:spacing w:after="0" w:line="360" w:lineRule="auto"/>
        <w:jc w:val="both"/>
        <w:rPr>
          <w:rFonts w:ascii="Arial" w:hAnsi="Arial" w:cs="Arial"/>
          <w:b/>
          <w:color w:val="000000" w:themeColor="text1"/>
          <w:sz w:val="24"/>
          <w:szCs w:val="24"/>
        </w:rPr>
      </w:pPr>
      <w:r w:rsidRPr="00710A06">
        <w:rPr>
          <w:rFonts w:ascii="Arial" w:hAnsi="Arial" w:cs="Arial"/>
          <w:b/>
          <w:color w:val="000000" w:themeColor="text1"/>
          <w:sz w:val="24"/>
          <w:szCs w:val="24"/>
        </w:rPr>
        <w:t>Pensiones y Jubilaciones</w:t>
      </w:r>
    </w:p>
    <w:p w:rsidR="00710A06" w:rsidRPr="00710A06" w:rsidRDefault="00710A06" w:rsidP="00C45465">
      <w:pPr>
        <w:spacing w:after="0" w:line="360" w:lineRule="auto"/>
        <w:jc w:val="both"/>
        <w:rPr>
          <w:rFonts w:ascii="Arial" w:hAnsi="Arial" w:cs="Arial"/>
          <w:color w:val="000000" w:themeColor="text1"/>
          <w:sz w:val="24"/>
          <w:szCs w:val="24"/>
        </w:rPr>
      </w:pPr>
    </w:p>
    <w:p w:rsid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t>Los sistemas de pensiones tienen como objetivo proteger el flujo de ingresos de un trabajador y su familia. El flujo de ingresos presente o futuro de una familia puede verse interrumpido por la materialización de los siguientes riesgos: la edad avanzada, la cesantía en edad avanzada, la muerte prematura y los accidentes y las enfermedades que causan la invalidez o incapacidad de seguir trabajando.</w:t>
      </w:r>
    </w:p>
    <w:p w:rsidR="00E40CB7" w:rsidRPr="00710A06" w:rsidRDefault="00E40CB7" w:rsidP="00C45465">
      <w:pPr>
        <w:spacing w:after="0" w:line="360" w:lineRule="auto"/>
        <w:jc w:val="both"/>
        <w:rPr>
          <w:rFonts w:ascii="Arial" w:hAnsi="Arial" w:cs="Arial"/>
          <w:color w:val="000000" w:themeColor="text1"/>
          <w:sz w:val="24"/>
          <w:szCs w:val="24"/>
        </w:rPr>
      </w:pPr>
    </w:p>
    <w:p w:rsid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t>La reforma estructural aprobada por el Congreso, permitió las mejoras siguientes:</w:t>
      </w:r>
    </w:p>
    <w:p w:rsidR="00E40CB7" w:rsidRPr="00710A06" w:rsidRDefault="00E40CB7" w:rsidP="00C45465">
      <w:pPr>
        <w:spacing w:after="0" w:line="360" w:lineRule="auto"/>
        <w:jc w:val="both"/>
        <w:rPr>
          <w:rFonts w:ascii="Arial" w:hAnsi="Arial" w:cs="Arial"/>
          <w:color w:val="000000" w:themeColor="text1"/>
          <w:sz w:val="24"/>
          <w:szCs w:val="24"/>
        </w:rPr>
      </w:pPr>
    </w:p>
    <w:p w:rsidR="00710A06" w:rsidRDefault="00710A06" w:rsidP="00E40CB7">
      <w:pPr>
        <w:pStyle w:val="Prrafodelista"/>
        <w:numPr>
          <w:ilvl w:val="0"/>
          <w:numId w:val="39"/>
        </w:numPr>
        <w:spacing w:after="0" w:line="360" w:lineRule="auto"/>
        <w:contextualSpacing w:val="0"/>
        <w:jc w:val="both"/>
        <w:rPr>
          <w:rFonts w:ascii="Arial" w:hAnsi="Arial" w:cs="Arial"/>
          <w:color w:val="000000" w:themeColor="text1"/>
          <w:sz w:val="24"/>
          <w:szCs w:val="24"/>
        </w:rPr>
      </w:pPr>
      <w:r w:rsidRPr="00710A06">
        <w:rPr>
          <w:rFonts w:ascii="Arial" w:hAnsi="Arial" w:cs="Arial"/>
          <w:color w:val="000000" w:themeColor="text1"/>
          <w:sz w:val="24"/>
          <w:szCs w:val="24"/>
        </w:rPr>
        <w:t xml:space="preserve">Se incrementaron las aportaciones de jubilados y pensionados pasando de un 3 % a un 6 %, manteniendo los mismos derechos que la Ley anterior les brindaba. </w:t>
      </w:r>
    </w:p>
    <w:p w:rsidR="00E40CB7" w:rsidRPr="00710A06" w:rsidRDefault="00E40CB7" w:rsidP="00E40CB7">
      <w:pPr>
        <w:pStyle w:val="Prrafodelista"/>
        <w:spacing w:after="0" w:line="360" w:lineRule="auto"/>
        <w:contextualSpacing w:val="0"/>
        <w:jc w:val="both"/>
        <w:rPr>
          <w:rFonts w:ascii="Arial" w:hAnsi="Arial" w:cs="Arial"/>
          <w:color w:val="000000" w:themeColor="text1"/>
          <w:sz w:val="24"/>
          <w:szCs w:val="24"/>
        </w:rPr>
      </w:pPr>
    </w:p>
    <w:p w:rsidR="00710A06" w:rsidRDefault="00710A06" w:rsidP="00E40CB7">
      <w:pPr>
        <w:pStyle w:val="Prrafodelista"/>
        <w:numPr>
          <w:ilvl w:val="0"/>
          <w:numId w:val="39"/>
        </w:numPr>
        <w:spacing w:after="0" w:line="360" w:lineRule="auto"/>
        <w:contextualSpacing w:val="0"/>
        <w:jc w:val="both"/>
        <w:rPr>
          <w:rFonts w:ascii="Arial" w:hAnsi="Arial" w:cs="Arial"/>
          <w:color w:val="000000" w:themeColor="text1"/>
          <w:sz w:val="24"/>
          <w:szCs w:val="24"/>
        </w:rPr>
      </w:pPr>
      <w:r w:rsidRPr="00710A06">
        <w:rPr>
          <w:rFonts w:ascii="Arial" w:hAnsi="Arial" w:cs="Arial"/>
          <w:color w:val="000000" w:themeColor="text1"/>
          <w:sz w:val="24"/>
          <w:szCs w:val="24"/>
        </w:rPr>
        <w:t xml:space="preserve">A los servidores públicos activos se les duplicó su aportación del 6 % al 12 % del salario base. </w:t>
      </w:r>
    </w:p>
    <w:p w:rsidR="00E40CB7" w:rsidRPr="00E40CB7" w:rsidRDefault="00E40CB7" w:rsidP="00E40CB7">
      <w:pPr>
        <w:pStyle w:val="Prrafodelista"/>
        <w:rPr>
          <w:rFonts w:ascii="Arial" w:hAnsi="Arial" w:cs="Arial"/>
          <w:color w:val="000000" w:themeColor="text1"/>
          <w:sz w:val="24"/>
          <w:szCs w:val="24"/>
        </w:rPr>
      </w:pPr>
    </w:p>
    <w:p w:rsidR="00710A06" w:rsidRDefault="00710A06" w:rsidP="00E40CB7">
      <w:pPr>
        <w:pStyle w:val="Prrafodelista"/>
        <w:numPr>
          <w:ilvl w:val="0"/>
          <w:numId w:val="39"/>
        </w:numPr>
        <w:spacing w:after="0" w:line="360" w:lineRule="auto"/>
        <w:contextualSpacing w:val="0"/>
        <w:jc w:val="both"/>
        <w:rPr>
          <w:rFonts w:ascii="Arial" w:hAnsi="Arial" w:cs="Arial"/>
          <w:color w:val="000000" w:themeColor="text1"/>
          <w:sz w:val="24"/>
          <w:szCs w:val="24"/>
        </w:rPr>
      </w:pPr>
      <w:r w:rsidRPr="00710A06">
        <w:rPr>
          <w:rFonts w:ascii="Arial" w:hAnsi="Arial" w:cs="Arial"/>
          <w:color w:val="000000" w:themeColor="text1"/>
          <w:sz w:val="24"/>
          <w:szCs w:val="24"/>
        </w:rPr>
        <w:t>La aportación del Gobierno se duplicó pasando del 9 % al 18 % del salario base. En el esquema anterior, el gobierno aportaba $0.50 más de aportación que el servidor público, es decir por cada peso que aportaba el trabajador el gobierno aportaba $1.50. En el esquema actual el gobierno aporta $1.00 más que el servidor público, es decir por cada $2.00 aportados por el trabajador, el gobierno aporta $3.00.</w:t>
      </w:r>
    </w:p>
    <w:p w:rsidR="00E40CB7" w:rsidRPr="00710A06" w:rsidRDefault="00E40CB7" w:rsidP="00E40CB7">
      <w:pPr>
        <w:pStyle w:val="Prrafodelista"/>
        <w:spacing w:after="0" w:line="360" w:lineRule="auto"/>
        <w:contextualSpacing w:val="0"/>
        <w:jc w:val="both"/>
        <w:rPr>
          <w:rFonts w:ascii="Arial" w:hAnsi="Arial" w:cs="Arial"/>
          <w:color w:val="000000" w:themeColor="text1"/>
          <w:sz w:val="24"/>
          <w:szCs w:val="24"/>
        </w:rPr>
      </w:pPr>
    </w:p>
    <w:p w:rsidR="00710A06" w:rsidRDefault="00710A06" w:rsidP="00E40CB7">
      <w:pPr>
        <w:pStyle w:val="Prrafodelista"/>
        <w:numPr>
          <w:ilvl w:val="0"/>
          <w:numId w:val="39"/>
        </w:numPr>
        <w:spacing w:after="0" w:line="360" w:lineRule="auto"/>
        <w:contextualSpacing w:val="0"/>
        <w:jc w:val="both"/>
        <w:rPr>
          <w:rFonts w:ascii="Arial" w:hAnsi="Arial" w:cs="Arial"/>
          <w:color w:val="000000" w:themeColor="text1"/>
          <w:sz w:val="24"/>
          <w:szCs w:val="24"/>
        </w:rPr>
      </w:pPr>
      <w:r w:rsidRPr="00710A06">
        <w:rPr>
          <w:rFonts w:ascii="Arial" w:hAnsi="Arial" w:cs="Arial"/>
          <w:color w:val="000000" w:themeColor="text1"/>
          <w:sz w:val="24"/>
          <w:szCs w:val="24"/>
        </w:rPr>
        <w:t>Para los servidores públicos de nuevo ingreso el esquema de afiliación es el de cuentas individuales. En cuanto a la edad para jubilarse, se establece incrementarla de manera gradual; es decir, para el 2013 y 2014 se consideró a los 53 años de edad y 28 años de servicio y para 2015 y 2016 se aumentó un año, es decir 54 años de edad y 28 años de servicio y así sucesivamente dos años calendario, por un año de edad, hasta el 2024 en donde hombres y mujeres llegarán a 58 años de edad y 28 años de aportación.</w:t>
      </w:r>
    </w:p>
    <w:p w:rsidR="00E40CB7" w:rsidRPr="00710A06" w:rsidRDefault="00E40CB7" w:rsidP="00E40CB7">
      <w:pPr>
        <w:pStyle w:val="Prrafodelista"/>
        <w:spacing w:after="0" w:line="360" w:lineRule="auto"/>
        <w:contextualSpacing w:val="0"/>
        <w:jc w:val="both"/>
        <w:rPr>
          <w:rFonts w:ascii="Arial" w:hAnsi="Arial" w:cs="Arial"/>
          <w:color w:val="000000" w:themeColor="text1"/>
          <w:sz w:val="24"/>
          <w:szCs w:val="24"/>
        </w:rPr>
      </w:pPr>
    </w:p>
    <w:p w:rsidR="00710A06" w:rsidRDefault="00710A06" w:rsidP="00E40CB7">
      <w:pPr>
        <w:pStyle w:val="Prrafodelista"/>
        <w:numPr>
          <w:ilvl w:val="0"/>
          <w:numId w:val="39"/>
        </w:numPr>
        <w:spacing w:after="0" w:line="360" w:lineRule="auto"/>
        <w:contextualSpacing w:val="0"/>
        <w:jc w:val="both"/>
        <w:rPr>
          <w:rFonts w:ascii="Arial" w:hAnsi="Arial" w:cs="Arial"/>
          <w:color w:val="000000" w:themeColor="text1"/>
          <w:sz w:val="24"/>
          <w:szCs w:val="24"/>
        </w:rPr>
      </w:pPr>
      <w:r w:rsidRPr="00710A06">
        <w:rPr>
          <w:rFonts w:ascii="Arial" w:hAnsi="Arial" w:cs="Arial"/>
          <w:color w:val="000000" w:themeColor="text1"/>
          <w:sz w:val="24"/>
          <w:szCs w:val="24"/>
        </w:rPr>
        <w:t>Los servidores públicos serán sujetos del Libro A de dicho ordenamiento, excepto en el caso de que los servidores públicos opten por el Régimen Permanente de Ahorro Personal, siempre y cuando manifiesten su voluntad libre e informada y por escrito a la Institución de ser sujeto al Libro B, dentro del plazo de seis meses siguientes a la entrada en vigor de la Ley de Pensiones.</w:t>
      </w:r>
    </w:p>
    <w:p w:rsidR="00E40CB7" w:rsidRPr="00E40CB7" w:rsidRDefault="00E40CB7" w:rsidP="00E40CB7">
      <w:pPr>
        <w:pStyle w:val="Prrafodelista"/>
        <w:rPr>
          <w:rFonts w:ascii="Arial" w:hAnsi="Arial" w:cs="Arial"/>
          <w:color w:val="000000" w:themeColor="text1"/>
          <w:sz w:val="24"/>
          <w:szCs w:val="24"/>
        </w:rPr>
      </w:pPr>
    </w:p>
    <w:p w:rsid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t xml:space="preserve">Con lo anterior, se dio estabilidad económica a la institución, dado que, si sólo se hubieran aumentado las aportaciones, estas hubiesen sido suficientes sólo para financiar las jubilaciones de los inactivos, pero no para pagar a los nuevos jubilados, por lo que, en el mediano plazo no hubiera </w:t>
      </w:r>
      <w:r w:rsidRPr="00710A06">
        <w:rPr>
          <w:rFonts w:ascii="Arial" w:hAnsi="Arial" w:cs="Arial"/>
          <w:color w:val="000000" w:themeColor="text1"/>
          <w:sz w:val="24"/>
          <w:szCs w:val="24"/>
        </w:rPr>
        <w:lastRenderedPageBreak/>
        <w:t>sido sustentable financieramente; por ello en un horizonte de largo plazo, fue necesario aumentar la edad promedio de jubilación y establecer cuentas individuales para los nuevos afiliados.</w:t>
      </w:r>
    </w:p>
    <w:p w:rsidR="00E40CB7" w:rsidRPr="00710A06" w:rsidRDefault="00E40CB7" w:rsidP="00C45465">
      <w:pPr>
        <w:spacing w:after="0" w:line="360" w:lineRule="auto"/>
        <w:jc w:val="both"/>
        <w:rPr>
          <w:rFonts w:ascii="Arial" w:hAnsi="Arial" w:cs="Arial"/>
          <w:color w:val="000000" w:themeColor="text1"/>
          <w:sz w:val="24"/>
          <w:szCs w:val="24"/>
        </w:rPr>
      </w:pPr>
    </w:p>
    <w:p w:rsid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t>Con la reforma al Sistema Estatal de Pensiones y a los servicios médicos se buscó impulsar mecanismos que incentivaran la capitalización de Pensiones Civiles, a través de la modificación en las cuotas de aportación por parte del Gobierno Estatal y del trabajador y de las edades para jubilación y pensión de los trabajadores en activo.</w:t>
      </w:r>
    </w:p>
    <w:p w:rsidR="00E40CB7" w:rsidRPr="00710A06" w:rsidRDefault="00E40CB7" w:rsidP="00C45465">
      <w:pPr>
        <w:spacing w:after="0" w:line="360" w:lineRule="auto"/>
        <w:jc w:val="both"/>
        <w:rPr>
          <w:rFonts w:ascii="Arial" w:hAnsi="Arial" w:cs="Arial"/>
          <w:color w:val="000000" w:themeColor="text1"/>
          <w:sz w:val="24"/>
          <w:szCs w:val="24"/>
        </w:rPr>
      </w:pPr>
    </w:p>
    <w:p w:rsid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t>Adicionalmente se establecieron nuevos esquemas para el otorgamiento de créditos, fortaleciendo el régimen de inversión de los recursos pensionarios de los trabajadores. Por último, se buscó la consolidación del sistema de cuentas individuales de aportación, siendo obligatoria para los trabajadores de nuevo ingreso.</w:t>
      </w:r>
    </w:p>
    <w:p w:rsidR="00E40CB7" w:rsidRPr="00710A06" w:rsidRDefault="00E40CB7" w:rsidP="00C45465">
      <w:pPr>
        <w:spacing w:after="0" w:line="360" w:lineRule="auto"/>
        <w:jc w:val="both"/>
        <w:rPr>
          <w:rFonts w:ascii="Arial" w:hAnsi="Arial" w:cs="Arial"/>
          <w:color w:val="000000" w:themeColor="text1"/>
          <w:sz w:val="24"/>
          <w:szCs w:val="24"/>
        </w:rPr>
      </w:pPr>
    </w:p>
    <w:p w:rsidR="00710A06" w:rsidRDefault="00710A06" w:rsidP="00C45465">
      <w:pPr>
        <w:spacing w:after="0" w:line="360" w:lineRule="auto"/>
        <w:jc w:val="both"/>
        <w:rPr>
          <w:rFonts w:ascii="Arial" w:hAnsi="Arial" w:cs="Arial"/>
          <w:b/>
          <w:color w:val="000000" w:themeColor="text1"/>
          <w:sz w:val="24"/>
          <w:szCs w:val="24"/>
        </w:rPr>
      </w:pPr>
      <w:r w:rsidRPr="00710A06">
        <w:rPr>
          <w:rFonts w:ascii="Arial" w:hAnsi="Arial" w:cs="Arial"/>
          <w:b/>
          <w:color w:val="000000" w:themeColor="text1"/>
          <w:sz w:val="24"/>
          <w:szCs w:val="24"/>
        </w:rPr>
        <w:t>Deuda Pública</w:t>
      </w:r>
    </w:p>
    <w:p w:rsidR="00E40CB7" w:rsidRPr="00710A06" w:rsidRDefault="00E40CB7" w:rsidP="00C45465">
      <w:pPr>
        <w:spacing w:after="0" w:line="360" w:lineRule="auto"/>
        <w:jc w:val="both"/>
        <w:rPr>
          <w:rFonts w:ascii="Arial" w:hAnsi="Arial" w:cs="Arial"/>
          <w:b/>
          <w:color w:val="000000" w:themeColor="text1"/>
          <w:sz w:val="24"/>
          <w:szCs w:val="24"/>
        </w:rPr>
      </w:pPr>
    </w:p>
    <w:p w:rsid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t xml:space="preserve">Tlaxcala es ejemplo de que el manejo de la deuda pública puede realizarse bajo los principios de disciplina y responsabilidad fiscal, al ubicar en un 0 % como porcentaje del PIB Estatal en nivel de endeudamiento del Estado, ya que el mantenimiento de finanzas públicas sanas es prioridad de esta administración; sin embargo, considerando el deterioro de los resultados fiscales a nivel nacional podría conducir al requerimiento de recursos para proyectos de infraestructura, por lo que no se desestima en el mediano plazo, la posibilidad de contratación de deuda para el financiamiento del gasto público. </w:t>
      </w:r>
    </w:p>
    <w:p w:rsidR="00E40CB7" w:rsidRPr="00710A06" w:rsidRDefault="00E40CB7" w:rsidP="00C45465">
      <w:pPr>
        <w:spacing w:after="0" w:line="360" w:lineRule="auto"/>
        <w:jc w:val="both"/>
        <w:rPr>
          <w:rFonts w:ascii="Arial" w:hAnsi="Arial" w:cs="Arial"/>
          <w:color w:val="000000" w:themeColor="text1"/>
          <w:sz w:val="24"/>
          <w:szCs w:val="24"/>
        </w:rPr>
      </w:pPr>
    </w:p>
    <w:p w:rsidR="00710A06" w:rsidRDefault="00710A06" w:rsidP="00C45465">
      <w:pPr>
        <w:spacing w:after="0" w:line="360" w:lineRule="auto"/>
        <w:jc w:val="both"/>
        <w:rPr>
          <w:rFonts w:ascii="Arial" w:hAnsi="Arial" w:cs="Arial"/>
          <w:b/>
          <w:color w:val="000000" w:themeColor="text1"/>
          <w:sz w:val="24"/>
          <w:szCs w:val="24"/>
        </w:rPr>
      </w:pPr>
      <w:r w:rsidRPr="00710A06">
        <w:rPr>
          <w:rFonts w:ascii="Arial" w:hAnsi="Arial" w:cs="Arial"/>
          <w:b/>
          <w:color w:val="000000" w:themeColor="text1"/>
          <w:sz w:val="24"/>
          <w:szCs w:val="24"/>
        </w:rPr>
        <w:lastRenderedPageBreak/>
        <w:t>Menor crecimiento económico</w:t>
      </w:r>
    </w:p>
    <w:p w:rsidR="00E40CB7" w:rsidRPr="00710A06" w:rsidRDefault="00E40CB7" w:rsidP="00C45465">
      <w:pPr>
        <w:spacing w:after="0" w:line="360" w:lineRule="auto"/>
        <w:jc w:val="both"/>
        <w:rPr>
          <w:rFonts w:ascii="Arial" w:hAnsi="Arial" w:cs="Arial"/>
          <w:b/>
          <w:color w:val="000000" w:themeColor="text1"/>
          <w:sz w:val="24"/>
          <w:szCs w:val="24"/>
        </w:rPr>
      </w:pPr>
    </w:p>
    <w:p w:rsid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t>El Estado de Tlaxcala tiene una población de 1.3 millones de habitantes y es la Entidad más pequeña en términos de producción económica. La economía del estado es débil en comparación con otros estados mexicanos, lo cual limita la capacidad de generar ingresos desde la base tributaria regional. En 2012 el PIB per cápita era equivalente al 53.4 % de la media nacional, muy por debajo de la media registrada y en 2013 los ingresos propios representaron el 3.1 % del total de ingresos muy por debajo de la mediana del resto de los estados, por lo que un cambio estructural en la dinámica económica y los niveles de riqueza de Tlaxcala podrían generar menores niveles de ingresos propios y una menor flexibilidad financiera, pudiendo ejercer presión en la estabilidad económica del Estado.</w:t>
      </w:r>
    </w:p>
    <w:p w:rsidR="00E40CB7" w:rsidRPr="00710A06" w:rsidRDefault="00E40CB7" w:rsidP="00C45465">
      <w:pPr>
        <w:spacing w:after="0" w:line="360" w:lineRule="auto"/>
        <w:jc w:val="both"/>
        <w:rPr>
          <w:rFonts w:ascii="Arial" w:hAnsi="Arial" w:cs="Arial"/>
          <w:color w:val="000000" w:themeColor="text1"/>
          <w:sz w:val="24"/>
          <w:szCs w:val="24"/>
        </w:rPr>
      </w:pPr>
    </w:p>
    <w:p w:rsidR="00710A06" w:rsidRP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t>Para contener este riesgo, el Gobierno del Estado prevé una mayor promoción de la inversión pública y del turismo, la incorporación de causantes informales, intensificar la fiscalización y el cobro de impuestos, modernizar el sistema de recaudación estatal, para fomentar la economía e incrementar la recaudación.</w:t>
      </w:r>
    </w:p>
    <w:p w:rsidR="00710A06" w:rsidRPr="00710A06" w:rsidRDefault="00710A06" w:rsidP="00C45465">
      <w:pPr>
        <w:pStyle w:val="PRIMERAPLANA"/>
        <w:spacing w:line="360" w:lineRule="auto"/>
        <w:rPr>
          <w:rFonts w:cs="Arial"/>
          <w:b/>
          <w:iCs/>
          <w:color w:val="000000" w:themeColor="text1"/>
          <w:sz w:val="24"/>
          <w:szCs w:val="24"/>
          <w:lang w:val="es-MX"/>
        </w:rPr>
      </w:pPr>
    </w:p>
    <w:p w:rsidR="00710A06" w:rsidRDefault="00710A06" w:rsidP="00C45465">
      <w:pPr>
        <w:spacing w:after="0" w:line="360" w:lineRule="auto"/>
        <w:jc w:val="both"/>
        <w:rPr>
          <w:rFonts w:ascii="Arial" w:hAnsi="Arial" w:cs="Arial"/>
          <w:b/>
          <w:bCs/>
          <w:color w:val="000000" w:themeColor="text1"/>
          <w:sz w:val="24"/>
          <w:szCs w:val="24"/>
        </w:rPr>
      </w:pPr>
      <w:r w:rsidRPr="00710A06">
        <w:rPr>
          <w:rFonts w:ascii="Arial" w:hAnsi="Arial" w:cs="Arial"/>
          <w:b/>
          <w:bCs/>
          <w:color w:val="000000" w:themeColor="text1"/>
          <w:sz w:val="24"/>
          <w:szCs w:val="24"/>
        </w:rPr>
        <w:t>EVOLUCIÓN DE LAS FINANZAS PÚBLICAS 2012-2017.</w:t>
      </w:r>
    </w:p>
    <w:p w:rsidR="00E40CB7" w:rsidRPr="00710A06" w:rsidRDefault="00E40CB7" w:rsidP="00C45465">
      <w:pPr>
        <w:spacing w:after="0" w:line="360" w:lineRule="auto"/>
        <w:jc w:val="both"/>
        <w:rPr>
          <w:rFonts w:ascii="Arial" w:hAnsi="Arial" w:cs="Arial"/>
          <w:b/>
          <w:bCs/>
          <w:color w:val="000000" w:themeColor="text1"/>
          <w:sz w:val="24"/>
          <w:szCs w:val="24"/>
        </w:rPr>
      </w:pPr>
    </w:p>
    <w:p w:rsid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t xml:space="preserve">La evolución de las finanzas públicas del Estado obedece a la dinámica de los ingresos estatales totales, los cuales a su vez son determinados por el comportamiento de la Recaudación Federal Participable (RFP); esta situación que no es privativa del Estado de Tlaxcala, sino que se presenta en la gran mayoría de las entidades de la República, debido a las condiciones de los Convenios de Coordinación Fiscal y a las potestades </w:t>
      </w:r>
      <w:r w:rsidRPr="00710A06">
        <w:rPr>
          <w:rFonts w:ascii="Arial" w:hAnsi="Arial" w:cs="Arial"/>
          <w:color w:val="000000" w:themeColor="text1"/>
          <w:sz w:val="24"/>
          <w:szCs w:val="24"/>
        </w:rPr>
        <w:lastRenderedPageBreak/>
        <w:t>tributarias que se otorgan a los estados para evitar la doble tributación, propicia que las finanzas públicas estatales sean sensibles ante el comportamiento de la economía nacional e internacional.</w:t>
      </w:r>
    </w:p>
    <w:p w:rsidR="00E40CB7" w:rsidRPr="00710A06" w:rsidRDefault="00E40CB7" w:rsidP="00C45465">
      <w:pPr>
        <w:spacing w:after="0" w:line="360" w:lineRule="auto"/>
        <w:jc w:val="both"/>
        <w:rPr>
          <w:rFonts w:ascii="Arial" w:hAnsi="Arial" w:cs="Arial"/>
          <w:color w:val="000000" w:themeColor="text1"/>
          <w:sz w:val="24"/>
          <w:szCs w:val="24"/>
        </w:rPr>
      </w:pPr>
    </w:p>
    <w:p w:rsid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t>Durante el periodo 2012-2017, los ingresos provenientes de la Federación registraron un incremento real moderado, debido principalmente a los resultados positivos de la economía nacional y de las medidas adoptadas a través de la Reforma Hacendaria, sin embargo la baja en los precios del petróleo en años recientes, así como la salida del Reino Unido de la Unión Europea y la constante apreciación del dólar frente al peso, son factores que han aumentado la volatilidad de capitales en el país, rompiendo la dinámica de crecimiento observada en el periodo aludido; por otra parte y en concordancia con las políticas aplicadas por el Gobierno Federal, el Ejecutivo del Estado puso en marcha una política fiscal para la contención del gasto, implementando entre otras medidas la aplicación de criterios de Racionalidad, Austeridad y Disciplina Presupuestal por parte de las Dependencias y Entidades del Ejecutivo, a fin de optimizar el uso de recursos materiales y financieros al interior de los entes públicos, se disminuyeron las estructuras burocráticas de personal y se extinguieron entes públicos que realizaban actividades concurrentes con otros.</w:t>
      </w:r>
    </w:p>
    <w:p w:rsidR="00E40CB7" w:rsidRPr="00710A06" w:rsidRDefault="00E40CB7" w:rsidP="00C45465">
      <w:pPr>
        <w:spacing w:after="0" w:line="360" w:lineRule="auto"/>
        <w:jc w:val="both"/>
        <w:rPr>
          <w:rFonts w:ascii="Arial" w:hAnsi="Arial" w:cs="Arial"/>
          <w:color w:val="000000" w:themeColor="text1"/>
          <w:sz w:val="24"/>
          <w:szCs w:val="24"/>
        </w:rPr>
      </w:pPr>
    </w:p>
    <w:p w:rsidR="00710A06" w:rsidRP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t>Como una acción responsable por parte del Ejecutivo del Estado, se han efectuado pronósticos conservadores, que nos permitirán sortear de manera favorable los embates de un entorno económico internacional y nacional adverso, permitiendo ampliar la cobertura de programas de carácter social en la Entidad, beneficiando de manera directa a los sectores más vulnerables de la población tlaxcalteca.</w:t>
      </w:r>
    </w:p>
    <w:p w:rsidR="00710A06" w:rsidRP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lastRenderedPageBreak/>
        <w:t>La modernización de la administración tributaria tiene un papel fundamental en el fortalecimiento de la hacienda pública estatal. En este rubro, se han implementado mejoras administrativas, consolidándose la aplicación de sistemas recaudatorios más eficientes; reforzando la fiscalización de contribuyentes de impuestos estatales y promoviendo activamente el pago de contribuciones vía internet.</w:t>
      </w:r>
    </w:p>
    <w:p w:rsidR="00710A06" w:rsidRPr="00710A06" w:rsidRDefault="00710A06" w:rsidP="00C45465">
      <w:pPr>
        <w:spacing w:after="0" w:line="360" w:lineRule="auto"/>
        <w:jc w:val="both"/>
        <w:rPr>
          <w:rFonts w:ascii="Arial" w:hAnsi="Arial" w:cs="Arial"/>
          <w:color w:val="000000" w:themeColor="text1"/>
          <w:sz w:val="24"/>
          <w:szCs w:val="24"/>
        </w:rPr>
      </w:pPr>
    </w:p>
    <w:p w:rsidR="00710A06" w:rsidRDefault="00710A06" w:rsidP="00C45465">
      <w:pPr>
        <w:spacing w:after="0" w:line="360" w:lineRule="auto"/>
        <w:jc w:val="both"/>
        <w:rPr>
          <w:rFonts w:ascii="Arial" w:hAnsi="Arial" w:cs="Arial"/>
          <w:color w:val="000000" w:themeColor="text1"/>
          <w:sz w:val="24"/>
          <w:szCs w:val="24"/>
        </w:rPr>
      </w:pPr>
      <w:r w:rsidRPr="00710A06">
        <w:rPr>
          <w:rFonts w:ascii="Arial" w:hAnsi="Arial" w:cs="Arial"/>
          <w:color w:val="000000" w:themeColor="text1"/>
          <w:sz w:val="24"/>
          <w:szCs w:val="24"/>
        </w:rPr>
        <w:t>A continuación se presentan los resultados obtenidos en la recaudación de contribuciones locales, así como de recursos federales etiquetados y de libre disposición en los últimos cinco años y el pronóstico de cierre 2017.</w:t>
      </w:r>
    </w:p>
    <w:p w:rsidR="00E40CB7" w:rsidRPr="00710A06" w:rsidRDefault="00E40CB7" w:rsidP="00C45465">
      <w:pPr>
        <w:spacing w:after="0" w:line="360" w:lineRule="auto"/>
        <w:jc w:val="both"/>
        <w:rPr>
          <w:rFonts w:ascii="Arial" w:hAnsi="Arial" w:cs="Arial"/>
          <w:color w:val="000000" w:themeColor="text1"/>
          <w:sz w:val="24"/>
          <w:szCs w:val="24"/>
        </w:rPr>
      </w:pPr>
    </w:p>
    <w:tbl>
      <w:tblPr>
        <w:tblW w:w="5000" w:type="pct"/>
        <w:tblLayout w:type="fixed"/>
        <w:tblCellMar>
          <w:left w:w="70" w:type="dxa"/>
          <w:right w:w="70" w:type="dxa"/>
        </w:tblCellMar>
        <w:tblLook w:val="04A0" w:firstRow="1" w:lastRow="0" w:firstColumn="1" w:lastColumn="0" w:noHBand="0" w:noVBand="1"/>
      </w:tblPr>
      <w:tblGrid>
        <w:gridCol w:w="2765"/>
        <w:gridCol w:w="992"/>
        <w:gridCol w:w="850"/>
        <w:gridCol w:w="851"/>
        <w:gridCol w:w="850"/>
        <w:gridCol w:w="992"/>
        <w:gridCol w:w="997"/>
      </w:tblGrid>
      <w:tr w:rsidR="00710A06" w:rsidRPr="00710A06" w:rsidTr="00527D85">
        <w:trPr>
          <w:trHeight w:val="300"/>
          <w:tblHeader/>
        </w:trPr>
        <w:tc>
          <w:tcPr>
            <w:tcW w:w="5000" w:type="pct"/>
            <w:gridSpan w:val="7"/>
            <w:tcBorders>
              <w:top w:val="single" w:sz="8" w:space="0" w:color="auto"/>
              <w:left w:val="single" w:sz="8" w:space="0" w:color="auto"/>
              <w:bottom w:val="nil"/>
              <w:right w:val="single" w:sz="8" w:space="0" w:color="000000"/>
            </w:tcBorders>
            <w:shd w:val="clear" w:color="000000" w:fill="D9D9D9"/>
            <w:noWrap/>
            <w:vAlign w:val="center"/>
            <w:hideMark/>
          </w:tcPr>
          <w:p w:rsidR="00710A06" w:rsidRPr="00710A06" w:rsidRDefault="00710A06" w:rsidP="00C45465">
            <w:pPr>
              <w:spacing w:after="0" w:line="360" w:lineRule="auto"/>
              <w:jc w:val="center"/>
              <w:rPr>
                <w:rFonts w:ascii="Arial" w:eastAsia="Times New Roman" w:hAnsi="Arial" w:cs="Arial"/>
                <w:b/>
                <w:bCs/>
                <w:color w:val="000000"/>
                <w:sz w:val="12"/>
                <w:szCs w:val="12"/>
                <w:lang w:eastAsia="es-MX"/>
              </w:rPr>
            </w:pPr>
            <w:r w:rsidRPr="00710A06">
              <w:rPr>
                <w:rFonts w:ascii="Arial" w:eastAsia="Times New Roman" w:hAnsi="Arial" w:cs="Arial"/>
                <w:b/>
                <w:bCs/>
                <w:color w:val="000000"/>
                <w:sz w:val="12"/>
                <w:szCs w:val="12"/>
                <w:lang w:eastAsia="es-MX"/>
              </w:rPr>
              <w:t>NOMBRE DE LA ENTIDAD FEDERATIVA / MUNICIPIO(a)</w:t>
            </w:r>
          </w:p>
        </w:tc>
      </w:tr>
      <w:tr w:rsidR="00710A06" w:rsidRPr="00710A06" w:rsidTr="00527D85">
        <w:trPr>
          <w:trHeight w:val="300"/>
          <w:tblHeader/>
        </w:trPr>
        <w:tc>
          <w:tcPr>
            <w:tcW w:w="5000" w:type="pct"/>
            <w:gridSpan w:val="7"/>
            <w:tcBorders>
              <w:top w:val="nil"/>
              <w:left w:val="single" w:sz="8" w:space="0" w:color="auto"/>
              <w:bottom w:val="nil"/>
              <w:right w:val="single" w:sz="8" w:space="0" w:color="000000"/>
            </w:tcBorders>
            <w:shd w:val="clear" w:color="000000" w:fill="D9D9D9"/>
            <w:noWrap/>
            <w:vAlign w:val="center"/>
            <w:hideMark/>
          </w:tcPr>
          <w:p w:rsidR="00710A06" w:rsidRPr="00710A06" w:rsidRDefault="00710A06" w:rsidP="00C45465">
            <w:pPr>
              <w:spacing w:after="0" w:line="360" w:lineRule="auto"/>
              <w:jc w:val="center"/>
              <w:rPr>
                <w:rFonts w:ascii="Arial" w:eastAsia="Times New Roman" w:hAnsi="Arial" w:cs="Arial"/>
                <w:b/>
                <w:bCs/>
                <w:color w:val="000000"/>
                <w:sz w:val="12"/>
                <w:szCs w:val="12"/>
                <w:lang w:eastAsia="es-MX"/>
              </w:rPr>
            </w:pPr>
            <w:r w:rsidRPr="00710A06">
              <w:rPr>
                <w:rFonts w:ascii="Arial" w:eastAsia="Times New Roman" w:hAnsi="Arial" w:cs="Arial"/>
                <w:b/>
                <w:bCs/>
                <w:color w:val="000000"/>
                <w:sz w:val="12"/>
                <w:szCs w:val="12"/>
                <w:lang w:eastAsia="es-MX"/>
              </w:rPr>
              <w:t>Resultados de Egresos - LDF</w:t>
            </w:r>
          </w:p>
        </w:tc>
      </w:tr>
      <w:tr w:rsidR="00710A06" w:rsidRPr="00710A06" w:rsidTr="00527D85">
        <w:trPr>
          <w:trHeight w:val="315"/>
          <w:tblHeader/>
        </w:trPr>
        <w:tc>
          <w:tcPr>
            <w:tcW w:w="5000" w:type="pct"/>
            <w:gridSpan w:val="7"/>
            <w:tcBorders>
              <w:top w:val="nil"/>
              <w:left w:val="single" w:sz="8" w:space="0" w:color="auto"/>
              <w:bottom w:val="single" w:sz="8" w:space="0" w:color="auto"/>
              <w:right w:val="single" w:sz="8" w:space="0" w:color="000000"/>
            </w:tcBorders>
            <w:shd w:val="clear" w:color="000000" w:fill="D9D9D9"/>
            <w:noWrap/>
            <w:vAlign w:val="center"/>
            <w:hideMark/>
          </w:tcPr>
          <w:p w:rsidR="00710A06" w:rsidRPr="00710A06" w:rsidRDefault="00710A06" w:rsidP="00C45465">
            <w:pPr>
              <w:spacing w:after="0" w:line="360" w:lineRule="auto"/>
              <w:jc w:val="center"/>
              <w:rPr>
                <w:rFonts w:ascii="Arial" w:eastAsia="Times New Roman" w:hAnsi="Arial" w:cs="Arial"/>
                <w:b/>
                <w:bCs/>
                <w:color w:val="000000"/>
                <w:sz w:val="12"/>
                <w:szCs w:val="12"/>
                <w:lang w:eastAsia="es-MX"/>
              </w:rPr>
            </w:pPr>
            <w:r w:rsidRPr="00710A06">
              <w:rPr>
                <w:rFonts w:ascii="Arial" w:eastAsia="Times New Roman" w:hAnsi="Arial" w:cs="Arial"/>
                <w:b/>
                <w:bCs/>
                <w:color w:val="000000"/>
                <w:sz w:val="12"/>
                <w:szCs w:val="12"/>
                <w:lang w:eastAsia="es-MX"/>
              </w:rPr>
              <w:t>(PESOS)</w:t>
            </w:r>
          </w:p>
        </w:tc>
      </w:tr>
      <w:tr w:rsidR="00710A06" w:rsidRPr="00710A06" w:rsidTr="00527D85">
        <w:trPr>
          <w:trHeight w:val="315"/>
          <w:tblHeader/>
        </w:trPr>
        <w:tc>
          <w:tcPr>
            <w:tcW w:w="1666" w:type="pct"/>
            <w:tcBorders>
              <w:top w:val="nil"/>
              <w:left w:val="single" w:sz="8" w:space="0" w:color="auto"/>
              <w:bottom w:val="single" w:sz="8" w:space="0" w:color="auto"/>
              <w:right w:val="single" w:sz="8" w:space="0" w:color="auto"/>
            </w:tcBorders>
            <w:shd w:val="clear" w:color="000000" w:fill="D9D9D9"/>
            <w:noWrap/>
            <w:vAlign w:val="center"/>
            <w:hideMark/>
          </w:tcPr>
          <w:p w:rsidR="00710A06" w:rsidRPr="00710A06" w:rsidRDefault="00710A06" w:rsidP="00C45465">
            <w:pPr>
              <w:spacing w:after="0" w:line="360" w:lineRule="auto"/>
              <w:jc w:val="center"/>
              <w:rPr>
                <w:rFonts w:ascii="Arial" w:eastAsia="Times New Roman" w:hAnsi="Arial" w:cs="Arial"/>
                <w:b/>
                <w:bCs/>
                <w:color w:val="000000"/>
                <w:sz w:val="12"/>
                <w:szCs w:val="12"/>
                <w:lang w:eastAsia="es-MX"/>
              </w:rPr>
            </w:pPr>
            <w:r w:rsidRPr="00710A06">
              <w:rPr>
                <w:rFonts w:ascii="Arial" w:eastAsia="Times New Roman" w:hAnsi="Arial" w:cs="Arial"/>
                <w:b/>
                <w:bCs/>
                <w:color w:val="000000"/>
                <w:sz w:val="12"/>
                <w:szCs w:val="12"/>
                <w:lang w:eastAsia="es-MX"/>
              </w:rPr>
              <w:t>Concepto (b)</w:t>
            </w:r>
          </w:p>
        </w:tc>
        <w:tc>
          <w:tcPr>
            <w:tcW w:w="598" w:type="pct"/>
            <w:tcBorders>
              <w:top w:val="nil"/>
              <w:left w:val="nil"/>
              <w:bottom w:val="single" w:sz="8" w:space="0" w:color="auto"/>
              <w:right w:val="single" w:sz="8" w:space="0" w:color="auto"/>
            </w:tcBorders>
            <w:shd w:val="clear" w:color="000000" w:fill="D9D9D9"/>
            <w:noWrap/>
            <w:vAlign w:val="center"/>
            <w:hideMark/>
          </w:tcPr>
          <w:p w:rsidR="00710A06" w:rsidRPr="00710A06" w:rsidRDefault="00710A06" w:rsidP="00C45465">
            <w:pPr>
              <w:spacing w:after="0" w:line="360" w:lineRule="auto"/>
              <w:jc w:val="center"/>
              <w:rPr>
                <w:rFonts w:ascii="Arial" w:eastAsia="Times New Roman" w:hAnsi="Arial" w:cs="Arial"/>
                <w:b/>
                <w:bCs/>
                <w:color w:val="000000"/>
                <w:sz w:val="12"/>
                <w:szCs w:val="12"/>
                <w:lang w:eastAsia="es-MX"/>
              </w:rPr>
            </w:pPr>
            <w:r w:rsidRPr="00710A06">
              <w:rPr>
                <w:rFonts w:ascii="Arial" w:eastAsia="Times New Roman" w:hAnsi="Arial" w:cs="Arial"/>
                <w:b/>
                <w:bCs/>
                <w:color w:val="000000"/>
                <w:sz w:val="12"/>
                <w:szCs w:val="12"/>
                <w:lang w:eastAsia="es-MX"/>
              </w:rPr>
              <w:t>2012</w:t>
            </w:r>
          </w:p>
        </w:tc>
        <w:tc>
          <w:tcPr>
            <w:tcW w:w="512" w:type="pct"/>
            <w:tcBorders>
              <w:top w:val="nil"/>
              <w:left w:val="nil"/>
              <w:bottom w:val="single" w:sz="8" w:space="0" w:color="auto"/>
              <w:right w:val="single" w:sz="8" w:space="0" w:color="auto"/>
            </w:tcBorders>
            <w:shd w:val="clear" w:color="000000" w:fill="D9D9D9"/>
            <w:noWrap/>
            <w:vAlign w:val="center"/>
            <w:hideMark/>
          </w:tcPr>
          <w:p w:rsidR="00710A06" w:rsidRPr="00710A06" w:rsidRDefault="00710A06" w:rsidP="00C45465">
            <w:pPr>
              <w:spacing w:after="0" w:line="360" w:lineRule="auto"/>
              <w:jc w:val="center"/>
              <w:rPr>
                <w:rFonts w:ascii="Arial" w:eastAsia="Times New Roman" w:hAnsi="Arial" w:cs="Arial"/>
                <w:b/>
                <w:bCs/>
                <w:color w:val="000000"/>
                <w:sz w:val="12"/>
                <w:szCs w:val="12"/>
                <w:lang w:eastAsia="es-MX"/>
              </w:rPr>
            </w:pPr>
            <w:r w:rsidRPr="00710A06">
              <w:rPr>
                <w:rFonts w:ascii="Arial" w:eastAsia="Times New Roman" w:hAnsi="Arial" w:cs="Arial"/>
                <w:b/>
                <w:bCs/>
                <w:color w:val="000000"/>
                <w:sz w:val="12"/>
                <w:szCs w:val="12"/>
                <w:lang w:eastAsia="es-MX"/>
              </w:rPr>
              <w:t>2013</w:t>
            </w:r>
          </w:p>
        </w:tc>
        <w:tc>
          <w:tcPr>
            <w:tcW w:w="513" w:type="pct"/>
            <w:tcBorders>
              <w:top w:val="nil"/>
              <w:left w:val="nil"/>
              <w:bottom w:val="single" w:sz="8" w:space="0" w:color="auto"/>
              <w:right w:val="single" w:sz="8" w:space="0" w:color="auto"/>
            </w:tcBorders>
            <w:shd w:val="clear" w:color="000000" w:fill="D9D9D9"/>
            <w:noWrap/>
            <w:vAlign w:val="center"/>
            <w:hideMark/>
          </w:tcPr>
          <w:p w:rsidR="00710A06" w:rsidRPr="00710A06" w:rsidRDefault="00710A06" w:rsidP="00C45465">
            <w:pPr>
              <w:spacing w:after="0" w:line="360" w:lineRule="auto"/>
              <w:jc w:val="center"/>
              <w:rPr>
                <w:rFonts w:ascii="Arial" w:eastAsia="Times New Roman" w:hAnsi="Arial" w:cs="Arial"/>
                <w:b/>
                <w:bCs/>
                <w:color w:val="000000"/>
                <w:sz w:val="12"/>
                <w:szCs w:val="12"/>
                <w:lang w:eastAsia="es-MX"/>
              </w:rPr>
            </w:pPr>
            <w:r w:rsidRPr="00710A06">
              <w:rPr>
                <w:rFonts w:ascii="Arial" w:eastAsia="Times New Roman" w:hAnsi="Arial" w:cs="Arial"/>
                <w:b/>
                <w:bCs/>
                <w:color w:val="000000"/>
                <w:sz w:val="12"/>
                <w:szCs w:val="12"/>
                <w:lang w:eastAsia="es-MX"/>
              </w:rPr>
              <w:t>2014</w:t>
            </w:r>
          </w:p>
        </w:tc>
        <w:tc>
          <w:tcPr>
            <w:tcW w:w="512" w:type="pct"/>
            <w:tcBorders>
              <w:top w:val="nil"/>
              <w:left w:val="nil"/>
              <w:bottom w:val="single" w:sz="8" w:space="0" w:color="auto"/>
              <w:right w:val="single" w:sz="8" w:space="0" w:color="auto"/>
            </w:tcBorders>
            <w:shd w:val="clear" w:color="000000" w:fill="D9D9D9"/>
            <w:noWrap/>
            <w:vAlign w:val="center"/>
            <w:hideMark/>
          </w:tcPr>
          <w:p w:rsidR="00710A06" w:rsidRPr="00710A06" w:rsidRDefault="00710A06" w:rsidP="00C45465">
            <w:pPr>
              <w:spacing w:after="0" w:line="360" w:lineRule="auto"/>
              <w:jc w:val="center"/>
              <w:rPr>
                <w:rFonts w:ascii="Arial" w:eastAsia="Times New Roman" w:hAnsi="Arial" w:cs="Arial"/>
                <w:b/>
                <w:bCs/>
                <w:color w:val="000000"/>
                <w:sz w:val="12"/>
                <w:szCs w:val="12"/>
                <w:lang w:eastAsia="es-MX"/>
              </w:rPr>
            </w:pPr>
            <w:r w:rsidRPr="00710A06">
              <w:rPr>
                <w:rFonts w:ascii="Arial" w:eastAsia="Times New Roman" w:hAnsi="Arial" w:cs="Arial"/>
                <w:b/>
                <w:bCs/>
                <w:color w:val="000000"/>
                <w:sz w:val="12"/>
                <w:szCs w:val="12"/>
                <w:lang w:eastAsia="es-MX"/>
              </w:rPr>
              <w:t>2015</w:t>
            </w:r>
          </w:p>
        </w:tc>
        <w:tc>
          <w:tcPr>
            <w:tcW w:w="598" w:type="pct"/>
            <w:tcBorders>
              <w:top w:val="nil"/>
              <w:left w:val="nil"/>
              <w:bottom w:val="single" w:sz="8" w:space="0" w:color="auto"/>
              <w:right w:val="single" w:sz="8" w:space="0" w:color="auto"/>
            </w:tcBorders>
            <w:shd w:val="clear" w:color="000000" w:fill="D9D9D9"/>
            <w:noWrap/>
            <w:vAlign w:val="center"/>
            <w:hideMark/>
          </w:tcPr>
          <w:p w:rsidR="00710A06" w:rsidRPr="00710A06" w:rsidRDefault="00710A06" w:rsidP="00C45465">
            <w:pPr>
              <w:spacing w:after="0" w:line="360" w:lineRule="auto"/>
              <w:jc w:val="center"/>
              <w:rPr>
                <w:rFonts w:ascii="Arial" w:eastAsia="Times New Roman" w:hAnsi="Arial" w:cs="Arial"/>
                <w:b/>
                <w:bCs/>
                <w:color w:val="000000"/>
                <w:sz w:val="12"/>
                <w:szCs w:val="12"/>
                <w:lang w:eastAsia="es-MX"/>
              </w:rPr>
            </w:pPr>
            <w:r w:rsidRPr="00710A06">
              <w:rPr>
                <w:rFonts w:ascii="Arial" w:eastAsia="Times New Roman" w:hAnsi="Arial" w:cs="Arial"/>
                <w:b/>
                <w:bCs/>
                <w:color w:val="000000"/>
                <w:sz w:val="12"/>
                <w:szCs w:val="12"/>
                <w:lang w:eastAsia="es-MX"/>
              </w:rPr>
              <w:t>2016</w:t>
            </w:r>
          </w:p>
        </w:tc>
        <w:tc>
          <w:tcPr>
            <w:tcW w:w="601" w:type="pct"/>
            <w:tcBorders>
              <w:top w:val="nil"/>
              <w:left w:val="nil"/>
              <w:bottom w:val="single" w:sz="8" w:space="0" w:color="auto"/>
              <w:right w:val="single" w:sz="8" w:space="0" w:color="auto"/>
            </w:tcBorders>
            <w:shd w:val="clear" w:color="000000" w:fill="D9D9D9"/>
            <w:noWrap/>
            <w:vAlign w:val="center"/>
            <w:hideMark/>
          </w:tcPr>
          <w:p w:rsidR="00710A06" w:rsidRPr="00710A06" w:rsidRDefault="00710A06" w:rsidP="00C45465">
            <w:pPr>
              <w:spacing w:after="0" w:line="360" w:lineRule="auto"/>
              <w:jc w:val="center"/>
              <w:rPr>
                <w:rFonts w:ascii="Arial" w:eastAsia="Times New Roman" w:hAnsi="Arial" w:cs="Arial"/>
                <w:b/>
                <w:bCs/>
                <w:color w:val="000000"/>
                <w:sz w:val="12"/>
                <w:szCs w:val="12"/>
                <w:lang w:eastAsia="es-MX"/>
              </w:rPr>
            </w:pPr>
            <w:r w:rsidRPr="00710A06">
              <w:rPr>
                <w:rFonts w:ascii="Arial" w:eastAsia="Times New Roman" w:hAnsi="Arial" w:cs="Arial"/>
                <w:b/>
                <w:bCs/>
                <w:color w:val="000000"/>
                <w:sz w:val="12"/>
                <w:szCs w:val="12"/>
                <w:lang w:eastAsia="es-MX"/>
              </w:rPr>
              <w:t>2017</w:t>
            </w:r>
          </w:p>
        </w:tc>
      </w:tr>
      <w:tr w:rsidR="00710A06" w:rsidRPr="00710A06" w:rsidTr="00710A06">
        <w:trPr>
          <w:trHeight w:val="326"/>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b/>
                <w:bCs/>
                <w:color w:val="000000"/>
                <w:sz w:val="12"/>
                <w:szCs w:val="12"/>
                <w:lang w:eastAsia="es-MX"/>
              </w:rPr>
            </w:pPr>
            <w:r w:rsidRPr="00710A06">
              <w:rPr>
                <w:rFonts w:ascii="Arial" w:eastAsia="Times New Roman" w:hAnsi="Arial" w:cs="Arial"/>
                <w:b/>
                <w:bCs/>
                <w:color w:val="000000"/>
                <w:sz w:val="12"/>
                <w:szCs w:val="12"/>
                <w:lang w:eastAsia="es-MX"/>
              </w:rPr>
              <w:t>1.  Gasto No Etiquetado</w:t>
            </w:r>
            <w:r w:rsidRPr="00710A06">
              <w:rPr>
                <w:rFonts w:ascii="Arial" w:eastAsia="Times New Roman" w:hAnsi="Arial" w:cs="Arial"/>
                <w:color w:val="000000"/>
                <w:sz w:val="12"/>
                <w:szCs w:val="12"/>
                <w:lang w:eastAsia="es-MX"/>
              </w:rPr>
              <w:t xml:space="preserve"> </w:t>
            </w:r>
            <w:r w:rsidRPr="00710A06">
              <w:rPr>
                <w:rFonts w:ascii="Arial" w:eastAsia="Times New Roman" w:hAnsi="Arial" w:cs="Arial"/>
                <w:b/>
                <w:bCs/>
                <w:color w:val="000000"/>
                <w:sz w:val="12"/>
                <w:szCs w:val="12"/>
                <w:lang w:eastAsia="es-MX"/>
              </w:rPr>
              <w:t>(1=A+B+C+D+E+F+G+H+I)</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b/>
                <w:bCs/>
                <w:color w:val="000000"/>
                <w:sz w:val="10"/>
                <w:szCs w:val="12"/>
                <w:lang w:eastAsia="es-MX"/>
              </w:rPr>
            </w:pPr>
            <w:r w:rsidRPr="00710A06">
              <w:rPr>
                <w:rFonts w:ascii="Arial" w:eastAsia="Times New Roman" w:hAnsi="Arial" w:cs="Arial"/>
                <w:b/>
                <w:bCs/>
                <w:color w:val="000000"/>
                <w:sz w:val="10"/>
                <w:szCs w:val="12"/>
                <w:lang w:eastAsia="es-MX"/>
              </w:rPr>
              <w:t>5,668,693,597</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b/>
                <w:bCs/>
                <w:color w:val="000000"/>
                <w:sz w:val="10"/>
                <w:szCs w:val="12"/>
                <w:lang w:eastAsia="es-MX"/>
              </w:rPr>
            </w:pPr>
            <w:r w:rsidRPr="00710A06">
              <w:rPr>
                <w:rFonts w:ascii="Arial" w:eastAsia="Times New Roman" w:hAnsi="Arial" w:cs="Arial"/>
                <w:b/>
                <w:bCs/>
                <w:color w:val="000000"/>
                <w:sz w:val="10"/>
                <w:szCs w:val="12"/>
                <w:lang w:eastAsia="es-MX"/>
              </w:rPr>
              <w:t>5,966,546,601</w:t>
            </w:r>
          </w:p>
        </w:tc>
        <w:tc>
          <w:tcPr>
            <w:tcW w:w="51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b/>
                <w:bCs/>
                <w:color w:val="000000"/>
                <w:sz w:val="10"/>
                <w:szCs w:val="12"/>
                <w:lang w:eastAsia="es-MX"/>
              </w:rPr>
            </w:pPr>
            <w:r w:rsidRPr="00710A06">
              <w:rPr>
                <w:rFonts w:ascii="Arial" w:eastAsia="Times New Roman" w:hAnsi="Arial" w:cs="Arial"/>
                <w:b/>
                <w:bCs/>
                <w:color w:val="000000"/>
                <w:sz w:val="10"/>
                <w:szCs w:val="12"/>
                <w:lang w:eastAsia="es-MX"/>
              </w:rPr>
              <w:t>6,399,668,274</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b/>
                <w:bCs/>
                <w:color w:val="000000"/>
                <w:sz w:val="10"/>
                <w:szCs w:val="12"/>
                <w:lang w:eastAsia="es-MX"/>
              </w:rPr>
            </w:pPr>
            <w:r w:rsidRPr="00710A06">
              <w:rPr>
                <w:rFonts w:ascii="Arial" w:eastAsia="Times New Roman" w:hAnsi="Arial" w:cs="Arial"/>
                <w:b/>
                <w:bCs/>
                <w:color w:val="000000"/>
                <w:sz w:val="10"/>
                <w:szCs w:val="12"/>
                <w:lang w:eastAsia="es-MX"/>
              </w:rPr>
              <w:t>6,578,578,476</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b/>
                <w:bCs/>
                <w:color w:val="000000"/>
                <w:sz w:val="10"/>
                <w:szCs w:val="12"/>
                <w:lang w:eastAsia="es-MX"/>
              </w:rPr>
            </w:pPr>
            <w:r w:rsidRPr="00710A06">
              <w:rPr>
                <w:rFonts w:ascii="Arial" w:eastAsia="Times New Roman" w:hAnsi="Arial" w:cs="Arial"/>
                <w:b/>
                <w:bCs/>
                <w:color w:val="000000"/>
                <w:sz w:val="10"/>
                <w:szCs w:val="12"/>
                <w:lang w:eastAsia="es-MX"/>
              </w:rPr>
              <w:t>7,175,671,914</w:t>
            </w:r>
          </w:p>
        </w:tc>
        <w:tc>
          <w:tcPr>
            <w:tcW w:w="601"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b/>
                <w:bCs/>
                <w:color w:val="000000"/>
                <w:sz w:val="10"/>
                <w:szCs w:val="12"/>
                <w:lang w:eastAsia="es-MX"/>
              </w:rPr>
            </w:pPr>
            <w:r w:rsidRPr="00710A06">
              <w:rPr>
                <w:rFonts w:ascii="Arial" w:eastAsia="Times New Roman" w:hAnsi="Arial" w:cs="Arial"/>
                <w:b/>
                <w:bCs/>
                <w:color w:val="000000"/>
                <w:sz w:val="10"/>
                <w:szCs w:val="12"/>
                <w:lang w:eastAsia="es-MX"/>
              </w:rPr>
              <w:t>8,861,552,135</w:t>
            </w:r>
          </w:p>
        </w:tc>
      </w:tr>
      <w:tr w:rsidR="00710A06" w:rsidRPr="00710A06" w:rsidTr="00710A06">
        <w:trPr>
          <w:trHeight w:val="34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A.     Servicios Personales</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1,519,105,090</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1,684,459,581</w:t>
            </w:r>
          </w:p>
        </w:tc>
        <w:tc>
          <w:tcPr>
            <w:tcW w:w="51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1,922,247,217</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2,005,123,138</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2,022,650,878</w:t>
            </w:r>
          </w:p>
        </w:tc>
        <w:tc>
          <w:tcPr>
            <w:tcW w:w="601"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2,267,039,217</w:t>
            </w:r>
          </w:p>
        </w:tc>
      </w:tr>
      <w:tr w:rsidR="00710A06" w:rsidRPr="00710A06" w:rsidTr="00710A06">
        <w:trPr>
          <w:trHeight w:val="34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B.     Materiales y Suministros</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133,715,663</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131,543,003</w:t>
            </w:r>
          </w:p>
        </w:tc>
        <w:tc>
          <w:tcPr>
            <w:tcW w:w="51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156,730,379</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147,435,038</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145,937,523</w:t>
            </w:r>
          </w:p>
        </w:tc>
        <w:tc>
          <w:tcPr>
            <w:tcW w:w="601"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164,823,296</w:t>
            </w:r>
          </w:p>
        </w:tc>
      </w:tr>
      <w:tr w:rsidR="00710A06" w:rsidRPr="00710A06" w:rsidTr="00710A06">
        <w:trPr>
          <w:trHeight w:val="34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C.    Servicios Generales</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222,970,617</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252,711,986</w:t>
            </w:r>
          </w:p>
        </w:tc>
        <w:tc>
          <w:tcPr>
            <w:tcW w:w="51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312,046,698</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246,840,379</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203,419,930</w:t>
            </w:r>
          </w:p>
        </w:tc>
        <w:tc>
          <w:tcPr>
            <w:tcW w:w="601"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244,259,346</w:t>
            </w:r>
          </w:p>
        </w:tc>
      </w:tr>
      <w:tr w:rsidR="00710A06" w:rsidRPr="00710A06" w:rsidTr="00710A06">
        <w:trPr>
          <w:trHeight w:val="446"/>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D.    Transferencias, Asignaciones, Subsidios y Otras Ayudas</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2,328,920,594</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2,276,291,079</w:t>
            </w:r>
          </w:p>
        </w:tc>
        <w:tc>
          <w:tcPr>
            <w:tcW w:w="51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2,286,513,378</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2,390,541,816</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2,724,191,676</w:t>
            </w:r>
          </w:p>
        </w:tc>
        <w:tc>
          <w:tcPr>
            <w:tcW w:w="601"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4,147,166,660</w:t>
            </w:r>
          </w:p>
        </w:tc>
      </w:tr>
      <w:tr w:rsidR="00710A06" w:rsidRPr="00710A06" w:rsidTr="00710A06">
        <w:trPr>
          <w:trHeight w:val="409"/>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E.     Bienes Muebles, Inmuebles e Intangibles</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84,152,604</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27,624,657</w:t>
            </w:r>
          </w:p>
        </w:tc>
        <w:tc>
          <w:tcPr>
            <w:tcW w:w="51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46,435,916</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107,204,327</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79,496,428</w:t>
            </w:r>
          </w:p>
        </w:tc>
        <w:tc>
          <w:tcPr>
            <w:tcW w:w="601"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12,473,493</w:t>
            </w:r>
          </w:p>
        </w:tc>
      </w:tr>
      <w:tr w:rsidR="00710A06" w:rsidRPr="00710A06" w:rsidTr="00710A06">
        <w:trPr>
          <w:trHeight w:val="34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F.     Inversión Pública</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16,167,573</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33,147,548</w:t>
            </w:r>
          </w:p>
        </w:tc>
        <w:tc>
          <w:tcPr>
            <w:tcW w:w="51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158,446,381</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165,993,462</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367,132,593</w:t>
            </w:r>
          </w:p>
        </w:tc>
        <w:tc>
          <w:tcPr>
            <w:tcW w:w="601"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75,852,636</w:t>
            </w:r>
          </w:p>
        </w:tc>
      </w:tr>
      <w:tr w:rsidR="00710A06" w:rsidRPr="00710A06" w:rsidTr="00710A06">
        <w:trPr>
          <w:trHeight w:val="510"/>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G.    Inversiones Financieras y Otras Provisiones</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0 </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w:t>
            </w:r>
          </w:p>
        </w:tc>
        <w:tc>
          <w:tcPr>
            <w:tcW w:w="51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0 </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 0</w:t>
            </w:r>
          </w:p>
        </w:tc>
        <w:tc>
          <w:tcPr>
            <w:tcW w:w="601"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10,000,000</w:t>
            </w:r>
          </w:p>
        </w:tc>
      </w:tr>
      <w:tr w:rsidR="00710A06" w:rsidRPr="00710A06" w:rsidTr="00710A06">
        <w:trPr>
          <w:trHeight w:val="34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 xml:space="preserve">H.    Participaciones y Aportaciones </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1,363,661,458</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1,560,768,748</w:t>
            </w:r>
          </w:p>
        </w:tc>
        <w:tc>
          <w:tcPr>
            <w:tcW w:w="51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1,517,248,304</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1,515,440,318</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1,632,842,887</w:t>
            </w:r>
          </w:p>
        </w:tc>
        <w:tc>
          <w:tcPr>
            <w:tcW w:w="601"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1,939,937,487</w:t>
            </w:r>
          </w:p>
        </w:tc>
      </w:tr>
      <w:tr w:rsidR="00710A06" w:rsidRPr="00710A06" w:rsidTr="00710A06">
        <w:trPr>
          <w:trHeight w:val="31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I.      Deuda Pública</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0 </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w:t>
            </w:r>
          </w:p>
        </w:tc>
        <w:tc>
          <w:tcPr>
            <w:tcW w:w="51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0 </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0 </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0 </w:t>
            </w:r>
          </w:p>
        </w:tc>
        <w:tc>
          <w:tcPr>
            <w:tcW w:w="601"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0 </w:t>
            </w:r>
          </w:p>
        </w:tc>
      </w:tr>
      <w:tr w:rsidR="00710A06" w:rsidRPr="00710A06" w:rsidTr="00710A06">
        <w:trPr>
          <w:trHeight w:val="133"/>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 </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 </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 </w:t>
            </w:r>
          </w:p>
        </w:tc>
        <w:tc>
          <w:tcPr>
            <w:tcW w:w="51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 </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 </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 </w:t>
            </w:r>
          </w:p>
        </w:tc>
        <w:tc>
          <w:tcPr>
            <w:tcW w:w="601"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 </w:t>
            </w:r>
          </w:p>
        </w:tc>
      </w:tr>
      <w:tr w:rsidR="00710A06" w:rsidRPr="00710A06" w:rsidTr="00710A06">
        <w:trPr>
          <w:trHeight w:val="458"/>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b/>
                <w:bCs/>
                <w:color w:val="000000"/>
                <w:sz w:val="12"/>
                <w:szCs w:val="12"/>
                <w:lang w:eastAsia="es-MX"/>
              </w:rPr>
            </w:pPr>
            <w:r w:rsidRPr="00710A06">
              <w:rPr>
                <w:rFonts w:ascii="Arial" w:eastAsia="Times New Roman" w:hAnsi="Arial" w:cs="Arial"/>
                <w:b/>
                <w:bCs/>
                <w:color w:val="000000"/>
                <w:sz w:val="12"/>
                <w:szCs w:val="12"/>
                <w:lang w:eastAsia="es-MX"/>
              </w:rPr>
              <w:t>2.  Gasto Etiquetado (2=A+B+C+D+E+F+G+H+I)</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b/>
                <w:bCs/>
                <w:color w:val="000000"/>
                <w:sz w:val="10"/>
                <w:szCs w:val="12"/>
                <w:lang w:eastAsia="es-MX"/>
              </w:rPr>
            </w:pPr>
            <w:r w:rsidRPr="00710A06">
              <w:rPr>
                <w:rFonts w:ascii="Arial" w:eastAsia="Times New Roman" w:hAnsi="Arial" w:cs="Arial"/>
                <w:b/>
                <w:bCs/>
                <w:color w:val="000000"/>
                <w:sz w:val="10"/>
                <w:szCs w:val="12"/>
                <w:lang w:eastAsia="es-MX"/>
              </w:rPr>
              <w:t>9,722,995,764</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b/>
                <w:bCs/>
                <w:color w:val="000000"/>
                <w:sz w:val="10"/>
                <w:szCs w:val="12"/>
                <w:lang w:eastAsia="es-MX"/>
              </w:rPr>
            </w:pPr>
            <w:r w:rsidRPr="00710A06">
              <w:rPr>
                <w:rFonts w:ascii="Arial" w:eastAsia="Times New Roman" w:hAnsi="Arial" w:cs="Arial"/>
                <w:b/>
                <w:bCs/>
                <w:color w:val="000000"/>
                <w:sz w:val="10"/>
                <w:szCs w:val="12"/>
                <w:lang w:eastAsia="es-MX"/>
              </w:rPr>
              <w:t>10,153,630,847</w:t>
            </w:r>
          </w:p>
        </w:tc>
        <w:tc>
          <w:tcPr>
            <w:tcW w:w="51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b/>
                <w:bCs/>
                <w:color w:val="000000"/>
                <w:sz w:val="10"/>
                <w:szCs w:val="12"/>
                <w:lang w:eastAsia="es-MX"/>
              </w:rPr>
            </w:pPr>
            <w:r w:rsidRPr="00710A06">
              <w:rPr>
                <w:rFonts w:ascii="Arial" w:eastAsia="Times New Roman" w:hAnsi="Arial" w:cs="Arial"/>
                <w:b/>
                <w:bCs/>
                <w:color w:val="000000"/>
                <w:sz w:val="10"/>
                <w:szCs w:val="12"/>
                <w:lang w:eastAsia="es-MX"/>
              </w:rPr>
              <w:t>11,116,330,874</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b/>
                <w:bCs/>
                <w:color w:val="000000"/>
                <w:sz w:val="10"/>
                <w:szCs w:val="12"/>
                <w:lang w:eastAsia="es-MX"/>
              </w:rPr>
            </w:pPr>
            <w:r w:rsidRPr="00710A06">
              <w:rPr>
                <w:rFonts w:ascii="Arial" w:eastAsia="Times New Roman" w:hAnsi="Arial" w:cs="Arial"/>
                <w:b/>
                <w:bCs/>
                <w:color w:val="000000"/>
                <w:sz w:val="10"/>
                <w:szCs w:val="12"/>
                <w:lang w:eastAsia="es-MX"/>
              </w:rPr>
              <w:t>12,964,014,015</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b/>
                <w:bCs/>
                <w:color w:val="000000"/>
                <w:sz w:val="10"/>
                <w:szCs w:val="12"/>
                <w:lang w:eastAsia="es-MX"/>
              </w:rPr>
            </w:pPr>
            <w:r w:rsidRPr="00710A06">
              <w:rPr>
                <w:rFonts w:ascii="Arial" w:eastAsia="Times New Roman" w:hAnsi="Arial" w:cs="Arial"/>
                <w:b/>
                <w:bCs/>
                <w:color w:val="000000"/>
                <w:sz w:val="10"/>
                <w:szCs w:val="12"/>
                <w:lang w:eastAsia="es-MX"/>
              </w:rPr>
              <w:t>10,802,156,915</w:t>
            </w:r>
          </w:p>
        </w:tc>
        <w:tc>
          <w:tcPr>
            <w:tcW w:w="601"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b/>
                <w:bCs/>
                <w:color w:val="000000"/>
                <w:sz w:val="10"/>
                <w:szCs w:val="12"/>
                <w:lang w:eastAsia="es-MX"/>
              </w:rPr>
            </w:pPr>
            <w:r w:rsidRPr="00710A06">
              <w:rPr>
                <w:rFonts w:ascii="Arial" w:eastAsia="Times New Roman" w:hAnsi="Arial" w:cs="Arial"/>
                <w:b/>
                <w:bCs/>
                <w:color w:val="000000"/>
                <w:sz w:val="10"/>
                <w:szCs w:val="12"/>
                <w:lang w:eastAsia="es-MX"/>
              </w:rPr>
              <w:t>11,927,809,801</w:t>
            </w:r>
          </w:p>
        </w:tc>
      </w:tr>
      <w:tr w:rsidR="00710A06" w:rsidRPr="00710A06" w:rsidTr="00710A06">
        <w:trPr>
          <w:trHeight w:val="34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A.     Servicios Personales</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178,854,379</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45,350,655</w:t>
            </w:r>
          </w:p>
        </w:tc>
        <w:tc>
          <w:tcPr>
            <w:tcW w:w="51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4,147,092</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4,474,227</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704,576</w:t>
            </w:r>
          </w:p>
        </w:tc>
        <w:tc>
          <w:tcPr>
            <w:tcW w:w="601"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100,000</w:t>
            </w:r>
          </w:p>
        </w:tc>
      </w:tr>
      <w:tr w:rsidR="00710A06" w:rsidRPr="00710A06" w:rsidTr="00710A06">
        <w:trPr>
          <w:trHeight w:val="34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B.     Materiales y Suministros</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49,007,545</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61,407,142</w:t>
            </w:r>
          </w:p>
        </w:tc>
        <w:tc>
          <w:tcPr>
            <w:tcW w:w="51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54,224,264</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15,116,350</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33,558,645</w:t>
            </w:r>
          </w:p>
        </w:tc>
        <w:tc>
          <w:tcPr>
            <w:tcW w:w="601"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26,082,253</w:t>
            </w:r>
          </w:p>
        </w:tc>
      </w:tr>
      <w:tr w:rsidR="00710A06" w:rsidRPr="00710A06" w:rsidTr="00710A06">
        <w:trPr>
          <w:trHeight w:val="34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C.    Servicios Generales</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68,629,512</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52,998,106</w:t>
            </w:r>
          </w:p>
        </w:tc>
        <w:tc>
          <w:tcPr>
            <w:tcW w:w="51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65,411,424</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39,888,302</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46,888,894</w:t>
            </w:r>
          </w:p>
        </w:tc>
        <w:tc>
          <w:tcPr>
            <w:tcW w:w="601"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45,569,187</w:t>
            </w:r>
          </w:p>
        </w:tc>
      </w:tr>
    </w:tbl>
    <w:p w:rsidR="003F141E" w:rsidRDefault="003F141E"/>
    <w:tbl>
      <w:tblPr>
        <w:tblW w:w="5000" w:type="pct"/>
        <w:tblLayout w:type="fixed"/>
        <w:tblCellMar>
          <w:left w:w="70" w:type="dxa"/>
          <w:right w:w="70" w:type="dxa"/>
        </w:tblCellMar>
        <w:tblLook w:val="04A0" w:firstRow="1" w:lastRow="0" w:firstColumn="1" w:lastColumn="0" w:noHBand="0" w:noVBand="1"/>
      </w:tblPr>
      <w:tblGrid>
        <w:gridCol w:w="2765"/>
        <w:gridCol w:w="992"/>
        <w:gridCol w:w="850"/>
        <w:gridCol w:w="851"/>
        <w:gridCol w:w="850"/>
        <w:gridCol w:w="992"/>
        <w:gridCol w:w="997"/>
      </w:tblGrid>
      <w:tr w:rsidR="00710A06" w:rsidRPr="00710A06" w:rsidTr="003F141E">
        <w:trPr>
          <w:trHeight w:val="451"/>
        </w:trPr>
        <w:tc>
          <w:tcPr>
            <w:tcW w:w="1666"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D.    Transferencias, Asignaciones, Subsidios y Otras Ayudas</w:t>
            </w:r>
          </w:p>
        </w:tc>
        <w:tc>
          <w:tcPr>
            <w:tcW w:w="598" w:type="pct"/>
            <w:tcBorders>
              <w:top w:val="single" w:sz="4" w:space="0" w:color="auto"/>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7,521,215,340</w:t>
            </w:r>
          </w:p>
        </w:tc>
        <w:tc>
          <w:tcPr>
            <w:tcW w:w="512" w:type="pct"/>
            <w:tcBorders>
              <w:top w:val="single" w:sz="4" w:space="0" w:color="auto"/>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7,913,952,573</w:t>
            </w:r>
          </w:p>
        </w:tc>
        <w:tc>
          <w:tcPr>
            <w:tcW w:w="513" w:type="pct"/>
            <w:tcBorders>
              <w:top w:val="single" w:sz="4" w:space="0" w:color="auto"/>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8,534,551,271</w:t>
            </w:r>
          </w:p>
        </w:tc>
        <w:tc>
          <w:tcPr>
            <w:tcW w:w="512" w:type="pct"/>
            <w:tcBorders>
              <w:top w:val="single" w:sz="4" w:space="0" w:color="auto"/>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9,736,349,635</w:t>
            </w:r>
          </w:p>
        </w:tc>
        <w:tc>
          <w:tcPr>
            <w:tcW w:w="598" w:type="pct"/>
            <w:tcBorders>
              <w:top w:val="single" w:sz="4" w:space="0" w:color="auto"/>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8,221,128,538</w:t>
            </w:r>
          </w:p>
        </w:tc>
        <w:tc>
          <w:tcPr>
            <w:tcW w:w="601" w:type="pct"/>
            <w:tcBorders>
              <w:top w:val="single" w:sz="4" w:space="0" w:color="auto"/>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9,324,209,955</w:t>
            </w:r>
          </w:p>
        </w:tc>
      </w:tr>
      <w:tr w:rsidR="00710A06" w:rsidRPr="00710A06" w:rsidTr="00710A06">
        <w:trPr>
          <w:trHeight w:val="510"/>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E.     Bienes Muebles, Inmuebles e Intangibles</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141,496,823</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125,008,856</w:t>
            </w:r>
          </w:p>
        </w:tc>
        <w:tc>
          <w:tcPr>
            <w:tcW w:w="51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50,679,363</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151,053,952</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68,430,652</w:t>
            </w:r>
          </w:p>
        </w:tc>
        <w:tc>
          <w:tcPr>
            <w:tcW w:w="601"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42,883,873</w:t>
            </w:r>
          </w:p>
        </w:tc>
      </w:tr>
      <w:tr w:rsidR="00710A06" w:rsidRPr="00710A06" w:rsidTr="00710A06">
        <w:trPr>
          <w:trHeight w:val="34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F.     Inversión Pública</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683,111,247</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966,970,996</w:t>
            </w:r>
          </w:p>
        </w:tc>
        <w:tc>
          <w:tcPr>
            <w:tcW w:w="51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893,060,701</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1,206,803,851</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745,861,262</w:t>
            </w:r>
          </w:p>
        </w:tc>
        <w:tc>
          <w:tcPr>
            <w:tcW w:w="601"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628,403,210</w:t>
            </w:r>
          </w:p>
        </w:tc>
      </w:tr>
      <w:tr w:rsidR="00710A06" w:rsidRPr="00710A06" w:rsidTr="00710A06">
        <w:trPr>
          <w:trHeight w:val="26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G.    Inversiones Financieras y Otras Provisiones</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0 </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w:t>
            </w:r>
          </w:p>
        </w:tc>
        <w:tc>
          <w:tcPr>
            <w:tcW w:w="51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0 </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135,838,469</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95,091,383</w:t>
            </w:r>
          </w:p>
        </w:tc>
        <w:tc>
          <w:tcPr>
            <w:tcW w:w="601"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6,448,360</w:t>
            </w:r>
          </w:p>
        </w:tc>
      </w:tr>
      <w:tr w:rsidR="00710A06" w:rsidRPr="00710A06" w:rsidTr="00710A06">
        <w:trPr>
          <w:trHeight w:val="34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H.    Participaciones y Aportaciones</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1,080,680,918</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987,942,519</w:t>
            </w:r>
          </w:p>
        </w:tc>
        <w:tc>
          <w:tcPr>
            <w:tcW w:w="51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1,514,256,758</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1,674,489,229</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1,590,492,965</w:t>
            </w:r>
          </w:p>
        </w:tc>
        <w:tc>
          <w:tcPr>
            <w:tcW w:w="601"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1,854,112,963</w:t>
            </w:r>
          </w:p>
        </w:tc>
      </w:tr>
      <w:tr w:rsidR="00710A06" w:rsidRPr="00710A06" w:rsidTr="00710A06">
        <w:trPr>
          <w:trHeight w:val="31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I.      Deuda Pública</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0 </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w:t>
            </w:r>
          </w:p>
        </w:tc>
        <w:tc>
          <w:tcPr>
            <w:tcW w:w="51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0 </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0 </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0 </w:t>
            </w:r>
          </w:p>
        </w:tc>
        <w:tc>
          <w:tcPr>
            <w:tcW w:w="601"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0 </w:t>
            </w:r>
          </w:p>
        </w:tc>
      </w:tr>
      <w:tr w:rsidR="00710A06" w:rsidRPr="00710A06" w:rsidTr="00710A06">
        <w:trPr>
          <w:trHeight w:val="163"/>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 </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 </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 </w:t>
            </w:r>
          </w:p>
        </w:tc>
        <w:tc>
          <w:tcPr>
            <w:tcW w:w="51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 </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 </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 </w:t>
            </w:r>
          </w:p>
        </w:tc>
        <w:tc>
          <w:tcPr>
            <w:tcW w:w="601"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0"/>
                <w:szCs w:val="12"/>
                <w:lang w:eastAsia="es-MX"/>
              </w:rPr>
            </w:pPr>
            <w:r w:rsidRPr="00710A06">
              <w:rPr>
                <w:rFonts w:ascii="Arial" w:eastAsia="Times New Roman" w:hAnsi="Arial" w:cs="Arial"/>
                <w:color w:val="000000"/>
                <w:sz w:val="10"/>
                <w:szCs w:val="12"/>
                <w:lang w:eastAsia="es-MX"/>
              </w:rPr>
              <w:t> </w:t>
            </w:r>
          </w:p>
        </w:tc>
      </w:tr>
      <w:tr w:rsidR="00710A06" w:rsidRPr="00710A06" w:rsidTr="00710A06">
        <w:trPr>
          <w:trHeight w:val="338"/>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b/>
                <w:bCs/>
                <w:color w:val="000000"/>
                <w:sz w:val="12"/>
                <w:szCs w:val="12"/>
                <w:lang w:eastAsia="es-MX"/>
              </w:rPr>
            </w:pPr>
            <w:r w:rsidRPr="00710A06">
              <w:rPr>
                <w:rFonts w:ascii="Arial" w:eastAsia="Times New Roman" w:hAnsi="Arial" w:cs="Arial"/>
                <w:b/>
                <w:bCs/>
                <w:color w:val="000000"/>
                <w:sz w:val="12"/>
                <w:szCs w:val="12"/>
                <w:lang w:eastAsia="es-MX"/>
              </w:rPr>
              <w:t>3.  Total del Resultado de Egresos (3=1+2)</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b/>
                <w:bCs/>
                <w:color w:val="000000"/>
                <w:sz w:val="10"/>
                <w:szCs w:val="12"/>
                <w:lang w:eastAsia="es-MX"/>
              </w:rPr>
            </w:pPr>
            <w:r w:rsidRPr="00710A06">
              <w:rPr>
                <w:rFonts w:ascii="Arial" w:eastAsia="Times New Roman" w:hAnsi="Arial" w:cs="Arial"/>
                <w:b/>
                <w:bCs/>
                <w:color w:val="000000"/>
                <w:sz w:val="10"/>
                <w:szCs w:val="12"/>
                <w:lang w:eastAsia="es-MX"/>
              </w:rPr>
              <w:t>15,391,689,361</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b/>
                <w:bCs/>
                <w:color w:val="000000"/>
                <w:sz w:val="10"/>
                <w:szCs w:val="12"/>
                <w:lang w:eastAsia="es-MX"/>
              </w:rPr>
            </w:pPr>
            <w:r w:rsidRPr="00710A06">
              <w:rPr>
                <w:rFonts w:ascii="Arial" w:eastAsia="Times New Roman" w:hAnsi="Arial" w:cs="Arial"/>
                <w:b/>
                <w:bCs/>
                <w:color w:val="000000"/>
                <w:sz w:val="10"/>
                <w:szCs w:val="12"/>
                <w:lang w:eastAsia="es-MX"/>
              </w:rPr>
              <w:t>16,120,177,448</w:t>
            </w:r>
          </w:p>
        </w:tc>
        <w:tc>
          <w:tcPr>
            <w:tcW w:w="51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b/>
                <w:bCs/>
                <w:color w:val="000000"/>
                <w:sz w:val="10"/>
                <w:szCs w:val="12"/>
                <w:lang w:eastAsia="es-MX"/>
              </w:rPr>
            </w:pPr>
            <w:r w:rsidRPr="00710A06">
              <w:rPr>
                <w:rFonts w:ascii="Arial" w:eastAsia="Times New Roman" w:hAnsi="Arial" w:cs="Arial"/>
                <w:b/>
                <w:bCs/>
                <w:color w:val="000000"/>
                <w:sz w:val="10"/>
                <w:szCs w:val="12"/>
                <w:lang w:eastAsia="es-MX"/>
              </w:rPr>
              <w:t>17,515,999,147</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b/>
                <w:bCs/>
                <w:color w:val="000000"/>
                <w:sz w:val="10"/>
                <w:szCs w:val="12"/>
                <w:lang w:eastAsia="es-MX"/>
              </w:rPr>
            </w:pPr>
            <w:r w:rsidRPr="00710A06">
              <w:rPr>
                <w:rFonts w:ascii="Arial" w:eastAsia="Times New Roman" w:hAnsi="Arial" w:cs="Arial"/>
                <w:b/>
                <w:bCs/>
                <w:color w:val="000000"/>
                <w:sz w:val="10"/>
                <w:szCs w:val="12"/>
                <w:lang w:eastAsia="es-MX"/>
              </w:rPr>
              <w:t>19,542,592,491</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b/>
                <w:bCs/>
                <w:color w:val="000000"/>
                <w:sz w:val="10"/>
                <w:szCs w:val="12"/>
                <w:lang w:eastAsia="es-MX"/>
              </w:rPr>
            </w:pPr>
            <w:r w:rsidRPr="00710A06">
              <w:rPr>
                <w:rFonts w:ascii="Arial" w:eastAsia="Times New Roman" w:hAnsi="Arial" w:cs="Arial"/>
                <w:b/>
                <w:bCs/>
                <w:color w:val="000000"/>
                <w:sz w:val="10"/>
                <w:szCs w:val="12"/>
                <w:lang w:eastAsia="es-MX"/>
              </w:rPr>
              <w:t>17,977,828,828</w:t>
            </w:r>
          </w:p>
        </w:tc>
        <w:tc>
          <w:tcPr>
            <w:tcW w:w="601"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b/>
                <w:bCs/>
                <w:color w:val="000000"/>
                <w:sz w:val="10"/>
                <w:szCs w:val="12"/>
                <w:lang w:eastAsia="es-MX"/>
              </w:rPr>
            </w:pPr>
            <w:r w:rsidRPr="00710A06">
              <w:rPr>
                <w:rFonts w:ascii="Arial" w:eastAsia="Times New Roman" w:hAnsi="Arial" w:cs="Arial"/>
                <w:b/>
                <w:bCs/>
                <w:color w:val="000000"/>
                <w:sz w:val="10"/>
                <w:szCs w:val="12"/>
                <w:lang w:eastAsia="es-MX"/>
              </w:rPr>
              <w:t>20,789,361,936</w:t>
            </w:r>
          </w:p>
        </w:tc>
      </w:tr>
      <w:tr w:rsidR="00710A06" w:rsidRPr="00710A06" w:rsidTr="00710A06">
        <w:trPr>
          <w:trHeight w:val="31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 </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 </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 </w:t>
            </w:r>
          </w:p>
        </w:tc>
        <w:tc>
          <w:tcPr>
            <w:tcW w:w="513"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 </w:t>
            </w:r>
          </w:p>
        </w:tc>
        <w:tc>
          <w:tcPr>
            <w:tcW w:w="512"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 </w:t>
            </w:r>
          </w:p>
        </w:tc>
        <w:tc>
          <w:tcPr>
            <w:tcW w:w="598"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 </w:t>
            </w:r>
          </w:p>
        </w:tc>
        <w:tc>
          <w:tcPr>
            <w:tcW w:w="601" w:type="pct"/>
            <w:tcBorders>
              <w:top w:val="nil"/>
              <w:left w:val="nil"/>
              <w:bottom w:val="single" w:sz="8" w:space="0" w:color="auto"/>
              <w:right w:val="single" w:sz="8" w:space="0" w:color="auto"/>
            </w:tcBorders>
            <w:shd w:val="clear" w:color="auto" w:fill="auto"/>
            <w:noWrap/>
            <w:vAlign w:val="center"/>
            <w:hideMark/>
          </w:tcPr>
          <w:p w:rsidR="00710A06" w:rsidRPr="00710A06" w:rsidRDefault="00710A06" w:rsidP="00C45465">
            <w:pPr>
              <w:spacing w:after="0" w:line="360" w:lineRule="auto"/>
              <w:jc w:val="right"/>
              <w:rPr>
                <w:rFonts w:ascii="Arial" w:eastAsia="Times New Roman" w:hAnsi="Arial" w:cs="Arial"/>
                <w:color w:val="000000"/>
                <w:sz w:val="12"/>
                <w:szCs w:val="12"/>
                <w:lang w:eastAsia="es-MX"/>
              </w:rPr>
            </w:pPr>
            <w:r w:rsidRPr="00710A06">
              <w:rPr>
                <w:rFonts w:ascii="Arial" w:eastAsia="Times New Roman" w:hAnsi="Arial" w:cs="Arial"/>
                <w:color w:val="000000"/>
                <w:sz w:val="12"/>
                <w:szCs w:val="12"/>
                <w:lang w:eastAsia="es-MX"/>
              </w:rPr>
              <w:t> </w:t>
            </w:r>
          </w:p>
        </w:tc>
      </w:tr>
    </w:tbl>
    <w:p w:rsidR="00E40CB7" w:rsidRDefault="00E40CB7" w:rsidP="00C45465">
      <w:pPr>
        <w:spacing w:after="0" w:line="360" w:lineRule="auto"/>
        <w:rPr>
          <w:rFonts w:ascii="Arial" w:hAnsi="Arial" w:cs="Arial"/>
          <w:b/>
          <w:bCs/>
          <w:color w:val="000000" w:themeColor="text1"/>
          <w:sz w:val="24"/>
        </w:rPr>
      </w:pPr>
    </w:p>
    <w:p w:rsidR="00E40CB7" w:rsidRDefault="00E40CB7" w:rsidP="00C45465">
      <w:pPr>
        <w:spacing w:after="0" w:line="360" w:lineRule="auto"/>
        <w:rPr>
          <w:rFonts w:ascii="Arial" w:hAnsi="Arial" w:cs="Arial"/>
          <w:b/>
          <w:bCs/>
          <w:color w:val="000000" w:themeColor="text1"/>
          <w:sz w:val="24"/>
        </w:rPr>
      </w:pPr>
    </w:p>
    <w:p w:rsidR="00710A06" w:rsidRPr="00710A06" w:rsidRDefault="00710A06" w:rsidP="00C45465">
      <w:pPr>
        <w:spacing w:after="0" w:line="360" w:lineRule="auto"/>
        <w:rPr>
          <w:rFonts w:ascii="Arial" w:hAnsi="Arial" w:cs="Arial"/>
          <w:b/>
          <w:bCs/>
          <w:color w:val="000000" w:themeColor="text1"/>
          <w:sz w:val="24"/>
        </w:rPr>
      </w:pPr>
      <w:r w:rsidRPr="00710A06">
        <w:rPr>
          <w:rFonts w:ascii="Arial" w:hAnsi="Arial" w:cs="Arial"/>
          <w:b/>
          <w:bCs/>
          <w:color w:val="000000" w:themeColor="text1"/>
          <w:sz w:val="24"/>
        </w:rPr>
        <w:t>SISTEMA ESTATAL DE PENSIONES.</w:t>
      </w:r>
    </w:p>
    <w:p w:rsidR="00E40CB7" w:rsidRDefault="00E40CB7" w:rsidP="00C45465">
      <w:pPr>
        <w:spacing w:after="0" w:line="360" w:lineRule="auto"/>
        <w:rPr>
          <w:rFonts w:ascii="Arial" w:hAnsi="Arial" w:cs="Arial"/>
          <w:color w:val="000000" w:themeColor="text1"/>
          <w:sz w:val="24"/>
        </w:rPr>
      </w:pPr>
    </w:p>
    <w:p w:rsidR="00710A06" w:rsidRDefault="00710A06" w:rsidP="00E40CB7">
      <w:pPr>
        <w:spacing w:after="0" w:line="360" w:lineRule="auto"/>
        <w:jc w:val="both"/>
        <w:rPr>
          <w:rFonts w:ascii="Arial" w:hAnsi="Arial" w:cs="Arial"/>
          <w:color w:val="000000" w:themeColor="text1"/>
          <w:sz w:val="24"/>
        </w:rPr>
      </w:pPr>
      <w:r w:rsidRPr="00710A06">
        <w:rPr>
          <w:rFonts w:ascii="Arial" w:hAnsi="Arial" w:cs="Arial"/>
          <w:color w:val="000000" w:themeColor="text1"/>
          <w:sz w:val="24"/>
        </w:rPr>
        <w:t>De acuerdo al último estudio actuarial de las pensiones del Estado de Tlaxcala</w:t>
      </w:r>
      <w:r w:rsidRPr="00710A06">
        <w:rPr>
          <w:rFonts w:ascii="Arial" w:hAnsi="Arial" w:cs="Arial"/>
          <w:b/>
          <w:color w:val="000000" w:themeColor="text1"/>
          <w:sz w:val="24"/>
          <w:vertAlign w:val="superscript"/>
        </w:rPr>
        <w:footnoteReference w:id="2"/>
      </w:r>
      <w:r w:rsidRPr="00710A06">
        <w:rPr>
          <w:rFonts w:ascii="Arial" w:hAnsi="Arial" w:cs="Arial"/>
          <w:color w:val="000000" w:themeColor="text1"/>
          <w:sz w:val="24"/>
        </w:rPr>
        <w:t>, correspondiente al ejercicio fiscal 2015 y con una vigencia al ejercicio 2018 se tiene una reserva actuarial de 184.3 millones de pesos, con una población afiliada activa de 8,292 trabajadores y 1,892 jubilados, como a continuación se presenta:</w:t>
      </w:r>
    </w:p>
    <w:p w:rsidR="00E40CB7" w:rsidRPr="00710A06" w:rsidRDefault="00E40CB7" w:rsidP="00E40CB7">
      <w:pPr>
        <w:spacing w:after="0" w:line="360" w:lineRule="auto"/>
        <w:jc w:val="both"/>
        <w:rPr>
          <w:rFonts w:ascii="Arial" w:hAnsi="Arial" w:cs="Arial"/>
          <w:color w:val="000000" w:themeColor="text1"/>
          <w:sz w:val="24"/>
        </w:rPr>
      </w:pPr>
    </w:p>
    <w:p w:rsidR="00E40CB7" w:rsidRDefault="00E40CB7" w:rsidP="00C45465">
      <w:pPr>
        <w:spacing w:after="0" w:line="360" w:lineRule="auto"/>
        <w:jc w:val="center"/>
        <w:rPr>
          <w:rFonts w:ascii="Arial" w:hAnsi="Arial" w:cs="Arial"/>
          <w:b/>
          <w:color w:val="000000" w:themeColor="text1"/>
          <w:sz w:val="24"/>
        </w:rPr>
      </w:pPr>
    </w:p>
    <w:p w:rsidR="00E40CB7" w:rsidRDefault="00E40CB7" w:rsidP="00C45465">
      <w:pPr>
        <w:spacing w:after="0" w:line="360" w:lineRule="auto"/>
        <w:jc w:val="center"/>
        <w:rPr>
          <w:rFonts w:ascii="Arial" w:hAnsi="Arial" w:cs="Arial"/>
          <w:b/>
          <w:color w:val="000000" w:themeColor="text1"/>
          <w:sz w:val="24"/>
        </w:rPr>
      </w:pPr>
    </w:p>
    <w:p w:rsidR="00E40CB7" w:rsidRDefault="00E40CB7" w:rsidP="00C45465">
      <w:pPr>
        <w:spacing w:after="0" w:line="360" w:lineRule="auto"/>
        <w:jc w:val="center"/>
        <w:rPr>
          <w:rFonts w:ascii="Arial" w:hAnsi="Arial" w:cs="Arial"/>
          <w:b/>
          <w:color w:val="000000" w:themeColor="text1"/>
          <w:sz w:val="24"/>
        </w:rPr>
      </w:pPr>
    </w:p>
    <w:p w:rsidR="00E40CB7" w:rsidRDefault="00E40CB7" w:rsidP="00C45465">
      <w:pPr>
        <w:spacing w:after="0" w:line="360" w:lineRule="auto"/>
        <w:jc w:val="center"/>
        <w:rPr>
          <w:rFonts w:ascii="Arial" w:hAnsi="Arial" w:cs="Arial"/>
          <w:b/>
          <w:color w:val="000000" w:themeColor="text1"/>
          <w:sz w:val="24"/>
        </w:rPr>
      </w:pPr>
    </w:p>
    <w:p w:rsidR="00E40CB7" w:rsidRDefault="00E40CB7" w:rsidP="00C45465">
      <w:pPr>
        <w:spacing w:after="0" w:line="360" w:lineRule="auto"/>
        <w:jc w:val="center"/>
        <w:rPr>
          <w:rFonts w:ascii="Arial" w:hAnsi="Arial" w:cs="Arial"/>
          <w:b/>
          <w:color w:val="000000" w:themeColor="text1"/>
          <w:sz w:val="24"/>
        </w:rPr>
      </w:pPr>
    </w:p>
    <w:p w:rsidR="00E40CB7" w:rsidRDefault="00E40CB7" w:rsidP="00C45465">
      <w:pPr>
        <w:spacing w:after="0" w:line="360" w:lineRule="auto"/>
        <w:jc w:val="center"/>
        <w:rPr>
          <w:rFonts w:ascii="Arial" w:hAnsi="Arial" w:cs="Arial"/>
          <w:b/>
          <w:color w:val="000000" w:themeColor="text1"/>
          <w:sz w:val="24"/>
        </w:rPr>
      </w:pPr>
    </w:p>
    <w:p w:rsidR="00E40CB7" w:rsidRDefault="00E40CB7" w:rsidP="00C45465">
      <w:pPr>
        <w:spacing w:after="0" w:line="360" w:lineRule="auto"/>
        <w:jc w:val="center"/>
        <w:rPr>
          <w:rFonts w:ascii="Arial" w:hAnsi="Arial" w:cs="Arial"/>
          <w:b/>
          <w:color w:val="000000" w:themeColor="text1"/>
          <w:sz w:val="24"/>
        </w:rPr>
      </w:pPr>
    </w:p>
    <w:p w:rsidR="00E40CB7" w:rsidRDefault="00E40CB7" w:rsidP="00C45465">
      <w:pPr>
        <w:spacing w:after="0" w:line="360" w:lineRule="auto"/>
        <w:jc w:val="center"/>
        <w:rPr>
          <w:rFonts w:ascii="Arial" w:hAnsi="Arial" w:cs="Arial"/>
          <w:b/>
          <w:color w:val="000000" w:themeColor="text1"/>
          <w:sz w:val="24"/>
        </w:rPr>
      </w:pPr>
    </w:p>
    <w:p w:rsidR="00E40CB7" w:rsidRDefault="00E40CB7" w:rsidP="00C45465">
      <w:pPr>
        <w:spacing w:after="0" w:line="360" w:lineRule="auto"/>
        <w:jc w:val="center"/>
        <w:rPr>
          <w:rFonts w:ascii="Arial" w:hAnsi="Arial" w:cs="Arial"/>
          <w:b/>
          <w:color w:val="000000" w:themeColor="text1"/>
          <w:sz w:val="24"/>
        </w:rPr>
      </w:pPr>
    </w:p>
    <w:p w:rsidR="00710A06" w:rsidRPr="00710A06" w:rsidRDefault="00710A06" w:rsidP="00C45465">
      <w:pPr>
        <w:spacing w:after="0" w:line="360" w:lineRule="auto"/>
        <w:jc w:val="center"/>
        <w:rPr>
          <w:rFonts w:ascii="Arial" w:hAnsi="Arial" w:cs="Arial"/>
          <w:b/>
          <w:color w:val="000000" w:themeColor="text1"/>
          <w:sz w:val="24"/>
        </w:rPr>
      </w:pPr>
      <w:r w:rsidRPr="00710A06">
        <w:rPr>
          <w:rFonts w:ascii="Arial" w:hAnsi="Arial" w:cs="Arial"/>
          <w:b/>
          <w:color w:val="000000" w:themeColor="text1"/>
          <w:sz w:val="24"/>
        </w:rPr>
        <w:t>Estudio Actuarial de Pensiones</w:t>
      </w:r>
    </w:p>
    <w:p w:rsidR="00710A06" w:rsidRPr="00710A06" w:rsidRDefault="00710A06" w:rsidP="00C45465">
      <w:pPr>
        <w:spacing w:after="0" w:line="360" w:lineRule="auto"/>
        <w:rPr>
          <w:rFonts w:ascii="Arial" w:hAnsi="Arial" w:cs="Arial"/>
          <w:color w:val="000000" w:themeColor="text1"/>
          <w:sz w:val="24"/>
        </w:rPr>
      </w:pPr>
      <w:r w:rsidRPr="00710A06">
        <w:rPr>
          <w:rFonts w:ascii="Arial" w:hAnsi="Arial" w:cs="Arial"/>
          <w:noProof/>
          <w:color w:val="000000" w:themeColor="text1"/>
          <w:sz w:val="24"/>
          <w:lang w:eastAsia="es-MX"/>
        </w:rPr>
        <w:drawing>
          <wp:inline distT="0" distB="0" distL="0" distR="0" wp14:anchorId="409CEA7A" wp14:editId="5EDC0E81">
            <wp:extent cx="5176395" cy="3086100"/>
            <wp:effectExtent l="19050" t="0" r="5205" b="0"/>
            <wp:docPr id="7" name="Imagen 2"/>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179695" cy="3088067"/>
                    </a:xfrm>
                    <a:prstGeom prst="rect">
                      <a:avLst/>
                    </a:prstGeom>
                  </pic:spPr>
                </pic:pic>
              </a:graphicData>
            </a:graphic>
          </wp:inline>
        </w:drawing>
      </w:r>
    </w:p>
    <w:p w:rsidR="00710A06" w:rsidRPr="00710A06" w:rsidRDefault="00710A06" w:rsidP="00C45465">
      <w:pPr>
        <w:spacing w:after="0" w:line="360" w:lineRule="auto"/>
        <w:rPr>
          <w:rFonts w:ascii="Arial" w:hAnsi="Arial" w:cs="Arial"/>
          <w:color w:val="000000" w:themeColor="text1"/>
          <w:sz w:val="24"/>
        </w:rPr>
      </w:pPr>
    </w:p>
    <w:p w:rsidR="00710A06" w:rsidRPr="00710A06" w:rsidRDefault="00710A06" w:rsidP="00C45465">
      <w:pPr>
        <w:spacing w:after="0" w:line="360" w:lineRule="auto"/>
        <w:rPr>
          <w:rFonts w:ascii="Arial" w:hAnsi="Arial" w:cs="Arial"/>
          <w:color w:val="000000" w:themeColor="text1"/>
          <w:sz w:val="24"/>
        </w:rPr>
      </w:pPr>
      <w:r w:rsidRPr="00710A06">
        <w:rPr>
          <w:rFonts w:ascii="Arial" w:hAnsi="Arial" w:cs="Arial"/>
          <w:noProof/>
          <w:color w:val="000000" w:themeColor="text1"/>
          <w:sz w:val="24"/>
          <w:lang w:eastAsia="es-MX"/>
        </w:rPr>
        <w:drawing>
          <wp:inline distT="0" distB="0" distL="0" distR="0" wp14:anchorId="3B254FF1" wp14:editId="2178ABAA">
            <wp:extent cx="5179695" cy="2454275"/>
            <wp:effectExtent l="0" t="0" r="1905" b="3175"/>
            <wp:docPr id="12" name="Imagen 3"/>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lum bright="-20000" contrast="40000"/>
                      <a:extLst>
                        <a:ext uri="{28A0092B-C50C-407E-A947-70E740481C1C}">
                          <a14:useLocalDpi xmlns:a14="http://schemas.microsoft.com/office/drawing/2010/main" val="0"/>
                        </a:ext>
                      </a:extLst>
                    </a:blip>
                    <a:srcRect/>
                    <a:stretch>
                      <a:fillRect/>
                    </a:stretch>
                  </pic:blipFill>
                  <pic:spPr bwMode="auto">
                    <a:xfrm>
                      <a:off x="0" y="0"/>
                      <a:ext cx="5179695" cy="2454275"/>
                    </a:xfrm>
                    <a:prstGeom prst="rect">
                      <a:avLst/>
                    </a:prstGeom>
                    <a:noFill/>
                    <a:ln>
                      <a:noFill/>
                    </a:ln>
                  </pic:spPr>
                </pic:pic>
              </a:graphicData>
            </a:graphic>
          </wp:inline>
        </w:drawing>
      </w:r>
    </w:p>
    <w:p w:rsidR="00710A06" w:rsidRPr="00710A06" w:rsidRDefault="00710A06" w:rsidP="00C45465">
      <w:pPr>
        <w:spacing w:after="0" w:line="360" w:lineRule="auto"/>
        <w:rPr>
          <w:rFonts w:ascii="Arial" w:hAnsi="Arial" w:cs="Arial"/>
          <w:color w:val="000000" w:themeColor="text1"/>
          <w:sz w:val="24"/>
        </w:rPr>
      </w:pPr>
    </w:p>
    <w:p w:rsidR="00710A06" w:rsidRPr="00710A06" w:rsidRDefault="00710A06" w:rsidP="00C45465">
      <w:pPr>
        <w:spacing w:after="0" w:line="360" w:lineRule="auto"/>
        <w:rPr>
          <w:rFonts w:ascii="Arial" w:hAnsi="Arial" w:cs="Arial"/>
          <w:color w:val="000000" w:themeColor="text1"/>
          <w:sz w:val="24"/>
        </w:rPr>
      </w:pPr>
      <w:r w:rsidRPr="00710A06">
        <w:rPr>
          <w:rFonts w:ascii="Arial" w:hAnsi="Arial" w:cs="Arial"/>
          <w:noProof/>
          <w:color w:val="000000" w:themeColor="text1"/>
          <w:sz w:val="24"/>
          <w:lang w:eastAsia="es-MX"/>
        </w:rPr>
        <w:lastRenderedPageBreak/>
        <w:drawing>
          <wp:inline distT="0" distB="0" distL="0" distR="0" wp14:anchorId="2D5E6DCE" wp14:editId="1AA73189">
            <wp:extent cx="5143500" cy="2676525"/>
            <wp:effectExtent l="19050" t="0" r="0" b="0"/>
            <wp:docPr id="13"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l="24573" t="24333" r="22524" b="26640"/>
                    <a:stretch/>
                  </pic:blipFill>
                  <pic:spPr bwMode="auto">
                    <a:xfrm>
                      <a:off x="0" y="0"/>
                      <a:ext cx="5143500" cy="2676525"/>
                    </a:xfrm>
                    <a:prstGeom prst="rect">
                      <a:avLst/>
                    </a:prstGeom>
                    <a:ln>
                      <a:noFill/>
                    </a:ln>
                    <a:extLst>
                      <a:ext uri="{53640926-AAD7-44D8-BBD7-CCE9431645EC}">
                        <a14:shadowObscured xmlns:a14="http://schemas.microsoft.com/office/drawing/2010/main"/>
                      </a:ext>
                    </a:extLst>
                  </pic:spPr>
                </pic:pic>
              </a:graphicData>
            </a:graphic>
          </wp:inline>
        </w:drawing>
      </w:r>
    </w:p>
    <w:p w:rsidR="00710A06" w:rsidRPr="00710A06" w:rsidRDefault="00710A06" w:rsidP="00C45465">
      <w:pPr>
        <w:spacing w:after="0" w:line="360" w:lineRule="auto"/>
        <w:rPr>
          <w:rFonts w:ascii="Arial" w:hAnsi="Arial" w:cs="Arial"/>
          <w:color w:val="000000" w:themeColor="text1"/>
          <w:sz w:val="24"/>
        </w:rPr>
      </w:pPr>
    </w:p>
    <w:p w:rsidR="00710A06" w:rsidRPr="00710A06" w:rsidRDefault="00710A06" w:rsidP="00C45465">
      <w:pPr>
        <w:spacing w:after="0" w:line="360" w:lineRule="auto"/>
        <w:rPr>
          <w:rFonts w:ascii="Arial" w:hAnsi="Arial" w:cs="Arial"/>
          <w:color w:val="000000" w:themeColor="text1"/>
          <w:sz w:val="24"/>
        </w:rPr>
      </w:pPr>
      <w:r w:rsidRPr="00710A06">
        <w:rPr>
          <w:rFonts w:ascii="Arial" w:hAnsi="Arial" w:cs="Arial"/>
          <w:noProof/>
          <w:color w:val="000000" w:themeColor="text1"/>
          <w:sz w:val="24"/>
          <w:lang w:eastAsia="es-MX"/>
        </w:rPr>
        <w:drawing>
          <wp:inline distT="0" distB="0" distL="0" distR="0" wp14:anchorId="1B240301" wp14:editId="4F93F39C">
            <wp:extent cx="5143500" cy="2114550"/>
            <wp:effectExtent l="19050" t="0" r="0" b="0"/>
            <wp:docPr id="26" name="Imagen 4"/>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lum bright="-20000" contrast="40000"/>
                      <a:extLst>
                        <a:ext uri="{28A0092B-C50C-407E-A947-70E740481C1C}">
                          <a14:useLocalDpi xmlns:a14="http://schemas.microsoft.com/office/drawing/2010/main" val="0"/>
                        </a:ext>
                      </a:extLst>
                    </a:blip>
                    <a:srcRect l="4052" t="2604" r="2843"/>
                    <a:stretch>
                      <a:fillRect/>
                    </a:stretch>
                  </pic:blipFill>
                  <pic:spPr bwMode="auto">
                    <a:xfrm>
                      <a:off x="0" y="0"/>
                      <a:ext cx="5143500" cy="2114550"/>
                    </a:xfrm>
                    <a:prstGeom prst="rect">
                      <a:avLst/>
                    </a:prstGeom>
                    <a:noFill/>
                    <a:ln>
                      <a:noFill/>
                    </a:ln>
                  </pic:spPr>
                </pic:pic>
              </a:graphicData>
            </a:graphic>
          </wp:inline>
        </w:drawing>
      </w:r>
    </w:p>
    <w:p w:rsidR="00710A06" w:rsidRPr="00710A06" w:rsidRDefault="00710A06" w:rsidP="00C45465">
      <w:pPr>
        <w:spacing w:after="0" w:line="360" w:lineRule="auto"/>
        <w:rPr>
          <w:rFonts w:ascii="Arial" w:hAnsi="Arial" w:cs="Arial"/>
          <w:color w:val="000000" w:themeColor="text1"/>
          <w:sz w:val="24"/>
        </w:rPr>
      </w:pPr>
    </w:p>
    <w:p w:rsidR="00710A06" w:rsidRPr="00710A06" w:rsidRDefault="00710A06" w:rsidP="00C45465">
      <w:pPr>
        <w:spacing w:after="0" w:line="360" w:lineRule="auto"/>
        <w:rPr>
          <w:rFonts w:ascii="Arial" w:hAnsi="Arial" w:cs="Arial"/>
          <w:color w:val="000000" w:themeColor="text1"/>
          <w:sz w:val="24"/>
        </w:rPr>
      </w:pPr>
      <w:r w:rsidRPr="00710A06">
        <w:rPr>
          <w:rFonts w:ascii="Arial" w:hAnsi="Arial" w:cs="Arial"/>
          <w:noProof/>
          <w:color w:val="000000" w:themeColor="text1"/>
          <w:sz w:val="24"/>
          <w:lang w:eastAsia="es-MX"/>
        </w:rPr>
        <w:drawing>
          <wp:inline distT="0" distB="0" distL="0" distR="0" wp14:anchorId="79F594FD" wp14:editId="5D61AEA3">
            <wp:extent cx="5143500" cy="1543050"/>
            <wp:effectExtent l="19050" t="0" r="0" b="0"/>
            <wp:docPr id="27" name="Imagen 5"/>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lum bright="-20000" contrast="40000"/>
                      <a:extLst>
                        <a:ext uri="{28A0092B-C50C-407E-A947-70E740481C1C}">
                          <a14:useLocalDpi xmlns:a14="http://schemas.microsoft.com/office/drawing/2010/main" val="0"/>
                        </a:ext>
                      </a:extLst>
                    </a:blip>
                    <a:srcRect l="4229" t="2994"/>
                    <a:stretch>
                      <a:fillRect/>
                    </a:stretch>
                  </pic:blipFill>
                  <pic:spPr bwMode="auto">
                    <a:xfrm>
                      <a:off x="0" y="0"/>
                      <a:ext cx="5143500" cy="1543050"/>
                    </a:xfrm>
                    <a:prstGeom prst="rect">
                      <a:avLst/>
                    </a:prstGeom>
                    <a:noFill/>
                    <a:ln>
                      <a:noFill/>
                    </a:ln>
                  </pic:spPr>
                </pic:pic>
              </a:graphicData>
            </a:graphic>
          </wp:inline>
        </w:drawing>
      </w:r>
    </w:p>
    <w:p w:rsidR="00710A06" w:rsidRPr="00710A06" w:rsidRDefault="00710A06" w:rsidP="00C45465">
      <w:pPr>
        <w:spacing w:after="0" w:line="360" w:lineRule="auto"/>
        <w:rPr>
          <w:rFonts w:ascii="Arial" w:hAnsi="Arial" w:cs="Arial"/>
          <w:color w:val="000000" w:themeColor="text1"/>
          <w:sz w:val="24"/>
        </w:rPr>
      </w:pPr>
    </w:p>
    <w:p w:rsidR="00710A06" w:rsidRPr="00710A06" w:rsidRDefault="00710A06" w:rsidP="003F141E">
      <w:pPr>
        <w:spacing w:after="0" w:line="360" w:lineRule="auto"/>
        <w:jc w:val="both"/>
        <w:rPr>
          <w:rFonts w:ascii="Arial" w:hAnsi="Arial" w:cs="Arial"/>
          <w:color w:val="000000" w:themeColor="text1"/>
          <w:sz w:val="24"/>
        </w:rPr>
      </w:pPr>
      <w:r w:rsidRPr="00710A06">
        <w:rPr>
          <w:rFonts w:ascii="Arial" w:hAnsi="Arial" w:cs="Arial"/>
          <w:color w:val="000000" w:themeColor="text1"/>
          <w:sz w:val="24"/>
        </w:rPr>
        <w:lastRenderedPageBreak/>
        <w:t>Con la finalidad de coadyuvar en el saneamiento de las Pensiones Civiles del Estado de Tlaxcala, el Ejecutivo del Estado ha otorgado a la fecha aportaciones extraordinarias a Pensiones Civiles del Estado por un importe estimado de 533.4 millones de pesos al cierre de 2017, considerándose a su vez, dentro de la presente Iniciativa una aportación extraordinaria por hasta 50.0 millones de pesos.</w:t>
      </w:r>
    </w:p>
    <w:p w:rsidR="00710A06" w:rsidRPr="00710A06" w:rsidRDefault="00710A06" w:rsidP="003F141E">
      <w:pPr>
        <w:spacing w:after="0" w:line="360" w:lineRule="auto"/>
        <w:jc w:val="both"/>
        <w:rPr>
          <w:rFonts w:ascii="Arial" w:hAnsi="Arial" w:cs="Arial"/>
          <w:color w:val="000000" w:themeColor="text1"/>
          <w:sz w:val="24"/>
        </w:rPr>
      </w:pPr>
    </w:p>
    <w:tbl>
      <w:tblPr>
        <w:tblW w:w="3640" w:type="dxa"/>
        <w:jc w:val="center"/>
        <w:tblCellMar>
          <w:left w:w="70" w:type="dxa"/>
          <w:right w:w="70" w:type="dxa"/>
        </w:tblCellMar>
        <w:tblLook w:val="04A0" w:firstRow="1" w:lastRow="0" w:firstColumn="1" w:lastColumn="0" w:noHBand="0" w:noVBand="1"/>
      </w:tblPr>
      <w:tblGrid>
        <w:gridCol w:w="1560"/>
        <w:gridCol w:w="2080"/>
      </w:tblGrid>
      <w:tr w:rsidR="00710A06" w:rsidRPr="00710A06" w:rsidTr="00710A06">
        <w:trPr>
          <w:trHeight w:val="839"/>
          <w:jc w:val="center"/>
        </w:trPr>
        <w:tc>
          <w:tcPr>
            <w:tcW w:w="156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710A06" w:rsidRPr="00710A06" w:rsidRDefault="00710A06" w:rsidP="00C45465">
            <w:pPr>
              <w:spacing w:after="0" w:line="360" w:lineRule="auto"/>
              <w:jc w:val="center"/>
              <w:rPr>
                <w:rFonts w:ascii="Arial" w:hAnsi="Arial" w:cs="Arial"/>
                <w:b/>
                <w:bCs/>
                <w:color w:val="000000" w:themeColor="text1"/>
                <w:sz w:val="18"/>
                <w:lang w:eastAsia="es-MX"/>
              </w:rPr>
            </w:pPr>
            <w:r w:rsidRPr="00710A06">
              <w:rPr>
                <w:rFonts w:ascii="Arial" w:hAnsi="Arial" w:cs="Arial"/>
                <w:b/>
                <w:bCs/>
                <w:color w:val="000000" w:themeColor="text1"/>
                <w:sz w:val="18"/>
                <w:lang w:eastAsia="es-MX"/>
              </w:rPr>
              <w:t>AÑO</w:t>
            </w:r>
          </w:p>
        </w:tc>
        <w:tc>
          <w:tcPr>
            <w:tcW w:w="2080"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rsidR="00710A06" w:rsidRPr="00710A06" w:rsidRDefault="00710A06" w:rsidP="00C45465">
            <w:pPr>
              <w:spacing w:after="0" w:line="360" w:lineRule="auto"/>
              <w:jc w:val="center"/>
              <w:rPr>
                <w:rFonts w:ascii="Arial" w:hAnsi="Arial" w:cs="Arial"/>
                <w:b/>
                <w:bCs/>
                <w:color w:val="000000" w:themeColor="text1"/>
                <w:sz w:val="18"/>
                <w:lang w:eastAsia="es-MX"/>
              </w:rPr>
            </w:pPr>
            <w:r w:rsidRPr="00710A06">
              <w:rPr>
                <w:rFonts w:ascii="Arial" w:hAnsi="Arial" w:cs="Arial"/>
                <w:b/>
                <w:bCs/>
                <w:color w:val="000000" w:themeColor="text1"/>
                <w:sz w:val="18"/>
                <w:lang w:eastAsia="es-MX"/>
              </w:rPr>
              <w:t>APOYO ESTATAL EXTRAORDINARIO</w:t>
            </w:r>
          </w:p>
        </w:tc>
      </w:tr>
      <w:tr w:rsidR="00710A06" w:rsidRPr="00710A06" w:rsidTr="00710A06">
        <w:trPr>
          <w:trHeight w:val="47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10A06" w:rsidRPr="00710A06" w:rsidRDefault="00710A06" w:rsidP="00C45465">
            <w:pPr>
              <w:spacing w:after="0" w:line="360" w:lineRule="auto"/>
              <w:rPr>
                <w:rFonts w:ascii="Arial" w:hAnsi="Arial" w:cs="Arial"/>
                <w:b/>
                <w:bCs/>
                <w:color w:val="000000" w:themeColor="text1"/>
                <w:sz w:val="18"/>
                <w:lang w:eastAsia="es-MX"/>
              </w:rPr>
            </w:pPr>
            <w:r w:rsidRPr="00710A06">
              <w:rPr>
                <w:rFonts w:ascii="Arial" w:hAnsi="Arial" w:cs="Arial"/>
                <w:b/>
                <w:bCs/>
                <w:color w:val="000000" w:themeColor="text1"/>
                <w:sz w:val="18"/>
                <w:lang w:eastAsia="es-MX"/>
              </w:rPr>
              <w:t>Ejercicio 2011</w:t>
            </w:r>
          </w:p>
        </w:tc>
        <w:tc>
          <w:tcPr>
            <w:tcW w:w="2080" w:type="dxa"/>
            <w:tcBorders>
              <w:top w:val="nil"/>
              <w:left w:val="nil"/>
              <w:bottom w:val="single" w:sz="4" w:space="0" w:color="auto"/>
              <w:right w:val="single" w:sz="4" w:space="0" w:color="auto"/>
            </w:tcBorders>
            <w:shd w:val="clear" w:color="auto" w:fill="auto"/>
            <w:noWrap/>
            <w:vAlign w:val="center"/>
            <w:hideMark/>
          </w:tcPr>
          <w:p w:rsidR="00710A06" w:rsidRPr="00710A06" w:rsidRDefault="00710A06" w:rsidP="00C45465">
            <w:pPr>
              <w:spacing w:after="0" w:line="360" w:lineRule="auto"/>
              <w:jc w:val="right"/>
              <w:rPr>
                <w:rFonts w:ascii="Arial" w:hAnsi="Arial" w:cs="Arial"/>
                <w:color w:val="000000" w:themeColor="text1"/>
                <w:sz w:val="18"/>
                <w:lang w:eastAsia="es-MX"/>
              </w:rPr>
            </w:pPr>
            <w:r w:rsidRPr="00710A06">
              <w:rPr>
                <w:rFonts w:ascii="Arial" w:hAnsi="Arial" w:cs="Arial"/>
                <w:color w:val="000000" w:themeColor="text1"/>
                <w:sz w:val="18"/>
                <w:lang w:eastAsia="es-MX"/>
              </w:rPr>
              <w:t>139.7</w:t>
            </w:r>
          </w:p>
        </w:tc>
      </w:tr>
      <w:tr w:rsidR="00710A06" w:rsidRPr="00710A06" w:rsidTr="00710A06">
        <w:trPr>
          <w:trHeight w:val="51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10A06" w:rsidRPr="00710A06" w:rsidRDefault="00710A06" w:rsidP="00C45465">
            <w:pPr>
              <w:spacing w:after="0" w:line="360" w:lineRule="auto"/>
              <w:rPr>
                <w:rFonts w:ascii="Arial" w:hAnsi="Arial" w:cs="Arial"/>
                <w:b/>
                <w:bCs/>
                <w:color w:val="000000" w:themeColor="text1"/>
                <w:sz w:val="18"/>
                <w:lang w:eastAsia="es-MX"/>
              </w:rPr>
            </w:pPr>
            <w:r w:rsidRPr="00710A06">
              <w:rPr>
                <w:rFonts w:ascii="Arial" w:hAnsi="Arial" w:cs="Arial"/>
                <w:b/>
                <w:bCs/>
                <w:color w:val="000000" w:themeColor="text1"/>
                <w:sz w:val="18"/>
                <w:lang w:eastAsia="es-MX"/>
              </w:rPr>
              <w:t>Ejercicio 2012</w:t>
            </w:r>
          </w:p>
        </w:tc>
        <w:tc>
          <w:tcPr>
            <w:tcW w:w="2080" w:type="dxa"/>
            <w:tcBorders>
              <w:top w:val="nil"/>
              <w:left w:val="nil"/>
              <w:bottom w:val="single" w:sz="4" w:space="0" w:color="auto"/>
              <w:right w:val="single" w:sz="4" w:space="0" w:color="auto"/>
            </w:tcBorders>
            <w:shd w:val="clear" w:color="auto" w:fill="auto"/>
            <w:noWrap/>
            <w:vAlign w:val="center"/>
            <w:hideMark/>
          </w:tcPr>
          <w:p w:rsidR="00710A06" w:rsidRPr="00710A06" w:rsidRDefault="00710A06" w:rsidP="00C45465">
            <w:pPr>
              <w:spacing w:after="0" w:line="360" w:lineRule="auto"/>
              <w:jc w:val="right"/>
              <w:rPr>
                <w:rFonts w:ascii="Arial" w:hAnsi="Arial" w:cs="Arial"/>
                <w:color w:val="000000" w:themeColor="text1"/>
                <w:sz w:val="18"/>
                <w:lang w:eastAsia="es-MX"/>
              </w:rPr>
            </w:pPr>
            <w:r w:rsidRPr="00710A06">
              <w:rPr>
                <w:rFonts w:ascii="Arial" w:hAnsi="Arial" w:cs="Arial"/>
                <w:color w:val="000000" w:themeColor="text1"/>
                <w:sz w:val="18"/>
                <w:lang w:eastAsia="es-MX"/>
              </w:rPr>
              <w:t>118.3</w:t>
            </w:r>
          </w:p>
        </w:tc>
      </w:tr>
      <w:tr w:rsidR="00710A06" w:rsidRPr="00710A06" w:rsidTr="00710A06">
        <w:trPr>
          <w:trHeight w:val="51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10A06" w:rsidRPr="00710A06" w:rsidRDefault="00710A06" w:rsidP="00C45465">
            <w:pPr>
              <w:spacing w:after="0" w:line="360" w:lineRule="auto"/>
              <w:rPr>
                <w:rFonts w:ascii="Arial" w:hAnsi="Arial" w:cs="Arial"/>
                <w:b/>
                <w:bCs/>
                <w:color w:val="000000" w:themeColor="text1"/>
                <w:sz w:val="18"/>
                <w:lang w:eastAsia="es-MX"/>
              </w:rPr>
            </w:pPr>
            <w:r w:rsidRPr="00710A06">
              <w:rPr>
                <w:rFonts w:ascii="Arial" w:hAnsi="Arial" w:cs="Arial"/>
                <w:b/>
                <w:bCs/>
                <w:color w:val="000000" w:themeColor="text1"/>
                <w:sz w:val="18"/>
                <w:lang w:eastAsia="es-MX"/>
              </w:rPr>
              <w:t>Ejercicio 2013</w:t>
            </w:r>
          </w:p>
        </w:tc>
        <w:tc>
          <w:tcPr>
            <w:tcW w:w="2080" w:type="dxa"/>
            <w:tcBorders>
              <w:top w:val="nil"/>
              <w:left w:val="nil"/>
              <w:bottom w:val="single" w:sz="4" w:space="0" w:color="auto"/>
              <w:right w:val="single" w:sz="4" w:space="0" w:color="auto"/>
            </w:tcBorders>
            <w:shd w:val="clear" w:color="auto" w:fill="auto"/>
            <w:noWrap/>
            <w:vAlign w:val="center"/>
            <w:hideMark/>
          </w:tcPr>
          <w:p w:rsidR="00710A06" w:rsidRPr="00710A06" w:rsidRDefault="00710A06" w:rsidP="00C45465">
            <w:pPr>
              <w:spacing w:after="0" w:line="360" w:lineRule="auto"/>
              <w:jc w:val="right"/>
              <w:rPr>
                <w:rFonts w:ascii="Arial" w:hAnsi="Arial" w:cs="Arial"/>
                <w:color w:val="000000" w:themeColor="text1"/>
                <w:sz w:val="18"/>
                <w:lang w:eastAsia="es-MX"/>
              </w:rPr>
            </w:pPr>
            <w:r w:rsidRPr="00710A06">
              <w:rPr>
                <w:rFonts w:ascii="Arial" w:hAnsi="Arial" w:cs="Arial"/>
                <w:color w:val="000000" w:themeColor="text1"/>
                <w:sz w:val="18"/>
                <w:lang w:eastAsia="es-MX"/>
              </w:rPr>
              <w:t>16.5</w:t>
            </w:r>
          </w:p>
        </w:tc>
      </w:tr>
      <w:tr w:rsidR="00710A06" w:rsidRPr="00710A06" w:rsidTr="00710A06">
        <w:trPr>
          <w:trHeight w:val="51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10A06" w:rsidRPr="00710A06" w:rsidRDefault="00710A06" w:rsidP="00C45465">
            <w:pPr>
              <w:spacing w:after="0" w:line="360" w:lineRule="auto"/>
              <w:rPr>
                <w:rFonts w:ascii="Arial" w:hAnsi="Arial" w:cs="Arial"/>
                <w:b/>
                <w:bCs/>
                <w:color w:val="000000" w:themeColor="text1"/>
                <w:sz w:val="18"/>
                <w:lang w:eastAsia="es-MX"/>
              </w:rPr>
            </w:pPr>
            <w:r w:rsidRPr="00710A06">
              <w:rPr>
                <w:rFonts w:ascii="Arial" w:hAnsi="Arial" w:cs="Arial"/>
                <w:b/>
                <w:bCs/>
                <w:color w:val="000000" w:themeColor="text1"/>
                <w:sz w:val="18"/>
                <w:lang w:eastAsia="es-MX"/>
              </w:rPr>
              <w:t>Ejercicio 2014</w:t>
            </w:r>
          </w:p>
        </w:tc>
        <w:tc>
          <w:tcPr>
            <w:tcW w:w="2080" w:type="dxa"/>
            <w:tcBorders>
              <w:top w:val="nil"/>
              <w:left w:val="nil"/>
              <w:bottom w:val="single" w:sz="4" w:space="0" w:color="auto"/>
              <w:right w:val="single" w:sz="4" w:space="0" w:color="auto"/>
            </w:tcBorders>
            <w:shd w:val="clear" w:color="auto" w:fill="auto"/>
            <w:noWrap/>
            <w:vAlign w:val="center"/>
            <w:hideMark/>
          </w:tcPr>
          <w:p w:rsidR="00710A06" w:rsidRPr="00710A06" w:rsidRDefault="00710A06" w:rsidP="00C45465">
            <w:pPr>
              <w:spacing w:after="0" w:line="360" w:lineRule="auto"/>
              <w:jc w:val="right"/>
              <w:rPr>
                <w:rFonts w:ascii="Arial" w:hAnsi="Arial" w:cs="Arial"/>
                <w:color w:val="000000" w:themeColor="text1"/>
                <w:sz w:val="18"/>
                <w:lang w:eastAsia="es-MX"/>
              </w:rPr>
            </w:pPr>
            <w:r w:rsidRPr="00710A06">
              <w:rPr>
                <w:rFonts w:ascii="Arial" w:hAnsi="Arial" w:cs="Arial"/>
                <w:color w:val="000000" w:themeColor="text1"/>
                <w:sz w:val="18"/>
                <w:lang w:eastAsia="es-MX"/>
              </w:rPr>
              <w:t>29.0</w:t>
            </w:r>
          </w:p>
        </w:tc>
      </w:tr>
      <w:tr w:rsidR="00710A06" w:rsidRPr="00710A06" w:rsidTr="00710A06">
        <w:trPr>
          <w:trHeight w:val="51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10A06" w:rsidRPr="00710A06" w:rsidRDefault="00710A06" w:rsidP="00C45465">
            <w:pPr>
              <w:spacing w:after="0" w:line="360" w:lineRule="auto"/>
              <w:rPr>
                <w:rFonts w:ascii="Arial" w:hAnsi="Arial" w:cs="Arial"/>
                <w:b/>
                <w:bCs/>
                <w:color w:val="000000" w:themeColor="text1"/>
                <w:sz w:val="18"/>
                <w:lang w:eastAsia="es-MX"/>
              </w:rPr>
            </w:pPr>
            <w:r w:rsidRPr="00710A06">
              <w:rPr>
                <w:rFonts w:ascii="Arial" w:hAnsi="Arial" w:cs="Arial"/>
                <w:b/>
                <w:bCs/>
                <w:color w:val="000000" w:themeColor="text1"/>
                <w:sz w:val="18"/>
                <w:lang w:eastAsia="es-MX"/>
              </w:rPr>
              <w:t>Ejercicio 2015</w:t>
            </w:r>
          </w:p>
        </w:tc>
        <w:tc>
          <w:tcPr>
            <w:tcW w:w="2080" w:type="dxa"/>
            <w:tcBorders>
              <w:top w:val="nil"/>
              <w:left w:val="nil"/>
              <w:bottom w:val="single" w:sz="4" w:space="0" w:color="auto"/>
              <w:right w:val="single" w:sz="4" w:space="0" w:color="auto"/>
            </w:tcBorders>
            <w:shd w:val="clear" w:color="auto" w:fill="auto"/>
            <w:noWrap/>
            <w:vAlign w:val="center"/>
            <w:hideMark/>
          </w:tcPr>
          <w:p w:rsidR="00710A06" w:rsidRPr="00710A06" w:rsidRDefault="00710A06" w:rsidP="00C45465">
            <w:pPr>
              <w:spacing w:after="0" w:line="360" w:lineRule="auto"/>
              <w:jc w:val="right"/>
              <w:rPr>
                <w:rFonts w:ascii="Arial" w:hAnsi="Arial" w:cs="Arial"/>
                <w:color w:val="000000" w:themeColor="text1"/>
                <w:sz w:val="18"/>
                <w:lang w:eastAsia="es-MX"/>
              </w:rPr>
            </w:pPr>
            <w:r w:rsidRPr="00710A06">
              <w:rPr>
                <w:rFonts w:ascii="Arial" w:hAnsi="Arial" w:cs="Arial"/>
                <w:color w:val="000000" w:themeColor="text1"/>
                <w:sz w:val="18"/>
                <w:lang w:eastAsia="es-MX"/>
              </w:rPr>
              <w:t>34.6</w:t>
            </w:r>
          </w:p>
        </w:tc>
      </w:tr>
      <w:tr w:rsidR="00710A06" w:rsidRPr="00710A06" w:rsidTr="00710A06">
        <w:trPr>
          <w:trHeight w:val="51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10A06" w:rsidRPr="00710A06" w:rsidRDefault="00710A06" w:rsidP="00C45465">
            <w:pPr>
              <w:spacing w:after="0" w:line="360" w:lineRule="auto"/>
              <w:rPr>
                <w:rFonts w:ascii="Arial" w:hAnsi="Arial" w:cs="Arial"/>
                <w:b/>
                <w:bCs/>
                <w:color w:val="000000" w:themeColor="text1"/>
                <w:sz w:val="18"/>
                <w:lang w:eastAsia="es-MX"/>
              </w:rPr>
            </w:pPr>
            <w:r w:rsidRPr="00710A06">
              <w:rPr>
                <w:rFonts w:ascii="Arial" w:hAnsi="Arial" w:cs="Arial"/>
                <w:b/>
                <w:bCs/>
                <w:color w:val="000000" w:themeColor="text1"/>
                <w:sz w:val="18"/>
                <w:lang w:eastAsia="es-MX"/>
              </w:rPr>
              <w:t>Ejercicio 2016</w:t>
            </w:r>
          </w:p>
        </w:tc>
        <w:tc>
          <w:tcPr>
            <w:tcW w:w="2080" w:type="dxa"/>
            <w:tcBorders>
              <w:top w:val="nil"/>
              <w:left w:val="nil"/>
              <w:bottom w:val="single" w:sz="4" w:space="0" w:color="auto"/>
              <w:right w:val="single" w:sz="4" w:space="0" w:color="auto"/>
            </w:tcBorders>
            <w:shd w:val="clear" w:color="auto" w:fill="auto"/>
            <w:noWrap/>
            <w:vAlign w:val="center"/>
            <w:hideMark/>
          </w:tcPr>
          <w:p w:rsidR="00710A06" w:rsidRPr="00710A06" w:rsidRDefault="00710A06" w:rsidP="00C45465">
            <w:pPr>
              <w:spacing w:after="0" w:line="360" w:lineRule="auto"/>
              <w:jc w:val="right"/>
              <w:rPr>
                <w:rFonts w:ascii="Arial" w:hAnsi="Arial" w:cs="Arial"/>
                <w:color w:val="000000" w:themeColor="text1"/>
                <w:sz w:val="18"/>
                <w:lang w:eastAsia="es-MX"/>
              </w:rPr>
            </w:pPr>
            <w:r w:rsidRPr="00710A06">
              <w:rPr>
                <w:rFonts w:ascii="Arial" w:hAnsi="Arial" w:cs="Arial"/>
                <w:color w:val="000000" w:themeColor="text1"/>
                <w:sz w:val="18"/>
                <w:lang w:eastAsia="es-MX"/>
              </w:rPr>
              <w:t>165.3</w:t>
            </w:r>
          </w:p>
        </w:tc>
      </w:tr>
      <w:tr w:rsidR="00710A06" w:rsidRPr="00710A06" w:rsidTr="00710A06">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rsidR="00710A06" w:rsidRPr="00710A06" w:rsidRDefault="00710A06" w:rsidP="00C45465">
            <w:pPr>
              <w:spacing w:after="0" w:line="360" w:lineRule="auto"/>
              <w:jc w:val="center"/>
              <w:rPr>
                <w:rFonts w:ascii="Arial" w:hAnsi="Arial" w:cs="Arial"/>
                <w:b/>
                <w:bCs/>
                <w:color w:val="000000" w:themeColor="text1"/>
                <w:sz w:val="18"/>
                <w:lang w:eastAsia="es-MX"/>
              </w:rPr>
            </w:pPr>
            <w:r w:rsidRPr="00710A06">
              <w:rPr>
                <w:rFonts w:ascii="Arial" w:hAnsi="Arial" w:cs="Arial"/>
                <w:b/>
                <w:bCs/>
                <w:color w:val="000000" w:themeColor="text1"/>
                <w:sz w:val="18"/>
                <w:lang w:eastAsia="es-MX"/>
              </w:rPr>
              <w:t>Ejercicio 2017*</w:t>
            </w:r>
          </w:p>
        </w:tc>
        <w:tc>
          <w:tcPr>
            <w:tcW w:w="2080" w:type="dxa"/>
            <w:tcBorders>
              <w:top w:val="nil"/>
              <w:left w:val="nil"/>
              <w:bottom w:val="single" w:sz="4" w:space="0" w:color="auto"/>
              <w:right w:val="single" w:sz="4" w:space="0" w:color="auto"/>
            </w:tcBorders>
            <w:shd w:val="clear" w:color="auto" w:fill="auto"/>
            <w:noWrap/>
            <w:vAlign w:val="center"/>
          </w:tcPr>
          <w:p w:rsidR="00710A06" w:rsidRPr="00710A06" w:rsidRDefault="00710A06" w:rsidP="00C45465">
            <w:pPr>
              <w:spacing w:after="0" w:line="360" w:lineRule="auto"/>
              <w:jc w:val="right"/>
              <w:rPr>
                <w:rFonts w:ascii="Arial" w:hAnsi="Arial" w:cs="Arial"/>
                <w:bCs/>
                <w:color w:val="000000" w:themeColor="text1"/>
                <w:sz w:val="18"/>
                <w:lang w:eastAsia="es-MX"/>
              </w:rPr>
            </w:pPr>
            <w:r w:rsidRPr="00710A06">
              <w:rPr>
                <w:rFonts w:ascii="Arial" w:hAnsi="Arial" w:cs="Arial"/>
                <w:bCs/>
                <w:color w:val="000000" w:themeColor="text1"/>
                <w:sz w:val="18"/>
                <w:lang w:eastAsia="es-MX"/>
              </w:rPr>
              <w:t>30.0</w:t>
            </w:r>
          </w:p>
        </w:tc>
      </w:tr>
      <w:tr w:rsidR="00710A06" w:rsidRPr="00710A06" w:rsidTr="00710A06">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10A06" w:rsidRPr="00710A06" w:rsidRDefault="00710A06" w:rsidP="00C45465">
            <w:pPr>
              <w:spacing w:after="0" w:line="360" w:lineRule="auto"/>
              <w:jc w:val="center"/>
              <w:rPr>
                <w:rFonts w:ascii="Arial" w:hAnsi="Arial" w:cs="Arial"/>
                <w:b/>
                <w:bCs/>
                <w:color w:val="000000" w:themeColor="text1"/>
                <w:sz w:val="18"/>
                <w:lang w:eastAsia="es-MX"/>
              </w:rPr>
            </w:pPr>
            <w:r w:rsidRPr="00710A06">
              <w:rPr>
                <w:rFonts w:ascii="Arial" w:hAnsi="Arial" w:cs="Arial"/>
                <w:b/>
                <w:bCs/>
                <w:color w:val="000000" w:themeColor="text1"/>
                <w:sz w:val="18"/>
                <w:lang w:eastAsia="es-MX"/>
              </w:rPr>
              <w:t>SUMA</w:t>
            </w:r>
          </w:p>
        </w:tc>
        <w:tc>
          <w:tcPr>
            <w:tcW w:w="2080" w:type="dxa"/>
            <w:tcBorders>
              <w:top w:val="nil"/>
              <w:left w:val="nil"/>
              <w:bottom w:val="single" w:sz="4" w:space="0" w:color="auto"/>
              <w:right w:val="single" w:sz="4" w:space="0" w:color="auto"/>
            </w:tcBorders>
            <w:shd w:val="clear" w:color="auto" w:fill="auto"/>
            <w:noWrap/>
            <w:vAlign w:val="center"/>
            <w:hideMark/>
          </w:tcPr>
          <w:p w:rsidR="00710A06" w:rsidRPr="00710A06" w:rsidRDefault="00710A06" w:rsidP="00C45465">
            <w:pPr>
              <w:spacing w:after="0" w:line="360" w:lineRule="auto"/>
              <w:jc w:val="right"/>
              <w:rPr>
                <w:rFonts w:ascii="Arial" w:hAnsi="Arial" w:cs="Arial"/>
                <w:b/>
                <w:bCs/>
                <w:color w:val="000000" w:themeColor="text1"/>
                <w:sz w:val="18"/>
                <w:lang w:eastAsia="es-MX"/>
              </w:rPr>
            </w:pPr>
            <w:r w:rsidRPr="00710A06">
              <w:rPr>
                <w:rFonts w:ascii="Arial" w:hAnsi="Arial" w:cs="Arial"/>
                <w:b/>
                <w:bCs/>
                <w:color w:val="000000" w:themeColor="text1"/>
                <w:sz w:val="18"/>
                <w:lang w:eastAsia="es-MX"/>
              </w:rPr>
              <w:t>533.4</w:t>
            </w:r>
          </w:p>
        </w:tc>
      </w:tr>
    </w:tbl>
    <w:p w:rsidR="00710A06" w:rsidRPr="00607E6C" w:rsidRDefault="00710A06" w:rsidP="00C45465">
      <w:pPr>
        <w:spacing w:after="0" w:line="360" w:lineRule="auto"/>
        <w:ind w:left="2268"/>
        <w:rPr>
          <w:rFonts w:ascii="Arial" w:hAnsi="Arial" w:cs="Arial"/>
          <w:b/>
          <w:i/>
          <w:color w:val="000000" w:themeColor="text1"/>
          <w:sz w:val="16"/>
        </w:rPr>
      </w:pPr>
      <w:r w:rsidRPr="00607E6C">
        <w:rPr>
          <w:rFonts w:ascii="Arial" w:hAnsi="Arial" w:cs="Arial"/>
          <w:b/>
          <w:i/>
          <w:color w:val="000000" w:themeColor="text1"/>
          <w:sz w:val="16"/>
        </w:rPr>
        <w:t>* Cifra estimada al cierre de 2017</w:t>
      </w:r>
    </w:p>
    <w:p w:rsidR="00710A06" w:rsidRPr="00607E6C" w:rsidRDefault="00710A06" w:rsidP="003F141E">
      <w:pPr>
        <w:spacing w:after="0" w:line="360" w:lineRule="auto"/>
        <w:jc w:val="both"/>
        <w:rPr>
          <w:rFonts w:ascii="Arial" w:hAnsi="Arial" w:cs="Arial"/>
          <w:color w:val="000000" w:themeColor="text1"/>
          <w:sz w:val="24"/>
        </w:rPr>
      </w:pPr>
    </w:p>
    <w:p w:rsidR="00710A06" w:rsidRPr="00607E6C" w:rsidRDefault="00710A06" w:rsidP="003F141E">
      <w:pPr>
        <w:spacing w:after="0" w:line="360" w:lineRule="auto"/>
        <w:jc w:val="both"/>
        <w:rPr>
          <w:rFonts w:ascii="Arial" w:hAnsi="Arial" w:cs="Arial"/>
          <w:color w:val="000000" w:themeColor="text1"/>
          <w:sz w:val="24"/>
        </w:rPr>
      </w:pPr>
      <w:r w:rsidRPr="00607E6C">
        <w:rPr>
          <w:rFonts w:ascii="Arial" w:hAnsi="Arial" w:cs="Arial"/>
          <w:color w:val="000000" w:themeColor="text1"/>
          <w:sz w:val="24"/>
        </w:rPr>
        <w:t>Los ingresos propios de Pensiones Civiles del Estado de Tlaxcala, se han visto incrementados, a partir, de la reforma legal:</w:t>
      </w:r>
    </w:p>
    <w:p w:rsidR="00710A06" w:rsidRPr="00607E6C" w:rsidRDefault="00710A06" w:rsidP="003F141E">
      <w:pPr>
        <w:spacing w:after="0" w:line="360" w:lineRule="auto"/>
        <w:jc w:val="both"/>
        <w:rPr>
          <w:rFonts w:ascii="Arial" w:hAnsi="Arial" w:cs="Arial"/>
          <w:color w:val="000000" w:themeColor="text1"/>
          <w:sz w:val="24"/>
        </w:rPr>
      </w:pPr>
    </w:p>
    <w:tbl>
      <w:tblPr>
        <w:tblW w:w="3440" w:type="dxa"/>
        <w:jc w:val="center"/>
        <w:tblCellMar>
          <w:left w:w="70" w:type="dxa"/>
          <w:right w:w="70" w:type="dxa"/>
        </w:tblCellMar>
        <w:tblLook w:val="04A0" w:firstRow="1" w:lastRow="0" w:firstColumn="1" w:lastColumn="0" w:noHBand="0" w:noVBand="1"/>
      </w:tblPr>
      <w:tblGrid>
        <w:gridCol w:w="1540"/>
        <w:gridCol w:w="1900"/>
      </w:tblGrid>
      <w:tr w:rsidR="00710A06" w:rsidRPr="00607E6C" w:rsidTr="001F77EC">
        <w:trPr>
          <w:trHeight w:val="911"/>
          <w:tblHeader/>
          <w:jc w:val="center"/>
        </w:trPr>
        <w:tc>
          <w:tcPr>
            <w:tcW w:w="154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710A06" w:rsidRPr="00607E6C" w:rsidRDefault="00710A06" w:rsidP="00C45465">
            <w:pPr>
              <w:spacing w:after="0" w:line="360" w:lineRule="auto"/>
              <w:jc w:val="center"/>
              <w:rPr>
                <w:rFonts w:ascii="Arial" w:hAnsi="Arial" w:cs="Arial"/>
                <w:b/>
                <w:bCs/>
                <w:color w:val="000000" w:themeColor="text1"/>
                <w:sz w:val="18"/>
                <w:lang w:eastAsia="es-MX"/>
              </w:rPr>
            </w:pPr>
            <w:r w:rsidRPr="00607E6C">
              <w:rPr>
                <w:rFonts w:ascii="Arial" w:hAnsi="Arial" w:cs="Arial"/>
                <w:b/>
                <w:bCs/>
                <w:color w:val="000000" w:themeColor="text1"/>
                <w:sz w:val="18"/>
                <w:lang w:eastAsia="es-MX"/>
              </w:rPr>
              <w:t>AÑO</w:t>
            </w:r>
          </w:p>
        </w:tc>
        <w:tc>
          <w:tcPr>
            <w:tcW w:w="1900"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rsidR="00710A06" w:rsidRPr="00607E6C" w:rsidRDefault="00710A06" w:rsidP="00C45465">
            <w:pPr>
              <w:spacing w:after="0" w:line="360" w:lineRule="auto"/>
              <w:jc w:val="center"/>
              <w:rPr>
                <w:rFonts w:ascii="Arial" w:hAnsi="Arial" w:cs="Arial"/>
                <w:b/>
                <w:bCs/>
                <w:color w:val="000000" w:themeColor="text1"/>
                <w:sz w:val="18"/>
                <w:lang w:eastAsia="es-MX"/>
              </w:rPr>
            </w:pPr>
            <w:r w:rsidRPr="00607E6C">
              <w:rPr>
                <w:rFonts w:ascii="Arial" w:hAnsi="Arial" w:cs="Arial"/>
                <w:b/>
                <w:bCs/>
                <w:color w:val="000000" w:themeColor="text1"/>
                <w:sz w:val="18"/>
                <w:lang w:eastAsia="es-MX"/>
              </w:rPr>
              <w:t>APORTACIONES Y RETENCIONES</w:t>
            </w:r>
          </w:p>
        </w:tc>
      </w:tr>
      <w:tr w:rsidR="00710A06" w:rsidRPr="00607E6C" w:rsidTr="00710A06">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710A06" w:rsidRPr="00607E6C" w:rsidRDefault="00710A06" w:rsidP="00C45465">
            <w:pPr>
              <w:spacing w:after="0" w:line="360" w:lineRule="auto"/>
              <w:rPr>
                <w:rFonts w:ascii="Arial" w:hAnsi="Arial" w:cs="Arial"/>
                <w:b/>
                <w:bCs/>
                <w:color w:val="000000" w:themeColor="text1"/>
                <w:sz w:val="18"/>
                <w:lang w:eastAsia="es-MX"/>
              </w:rPr>
            </w:pPr>
            <w:r w:rsidRPr="00607E6C">
              <w:rPr>
                <w:rFonts w:ascii="Arial" w:hAnsi="Arial" w:cs="Arial"/>
                <w:b/>
                <w:bCs/>
                <w:color w:val="000000" w:themeColor="text1"/>
                <w:sz w:val="18"/>
                <w:lang w:eastAsia="es-MX"/>
              </w:rPr>
              <w:t>Ejercicio 2011</w:t>
            </w:r>
          </w:p>
        </w:tc>
        <w:tc>
          <w:tcPr>
            <w:tcW w:w="1900" w:type="dxa"/>
            <w:tcBorders>
              <w:top w:val="nil"/>
              <w:left w:val="nil"/>
              <w:bottom w:val="single" w:sz="4" w:space="0" w:color="auto"/>
              <w:right w:val="single" w:sz="4" w:space="0" w:color="auto"/>
            </w:tcBorders>
            <w:shd w:val="clear" w:color="auto" w:fill="auto"/>
            <w:noWrap/>
            <w:vAlign w:val="center"/>
            <w:hideMark/>
          </w:tcPr>
          <w:p w:rsidR="00710A06" w:rsidRPr="00607E6C" w:rsidRDefault="00710A06" w:rsidP="00C45465">
            <w:pPr>
              <w:spacing w:after="0" w:line="360" w:lineRule="auto"/>
              <w:jc w:val="right"/>
              <w:rPr>
                <w:rFonts w:ascii="Arial" w:hAnsi="Arial" w:cs="Arial"/>
                <w:color w:val="000000" w:themeColor="text1"/>
                <w:sz w:val="18"/>
                <w:lang w:eastAsia="es-MX"/>
              </w:rPr>
            </w:pPr>
            <w:r w:rsidRPr="00607E6C">
              <w:rPr>
                <w:rFonts w:ascii="Arial" w:hAnsi="Arial" w:cs="Arial"/>
                <w:color w:val="000000" w:themeColor="text1"/>
                <w:sz w:val="18"/>
                <w:lang w:eastAsia="es-MX"/>
              </w:rPr>
              <w:t xml:space="preserve">100.9 </w:t>
            </w:r>
          </w:p>
        </w:tc>
      </w:tr>
      <w:tr w:rsidR="00710A06" w:rsidRPr="00607E6C" w:rsidTr="00710A06">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710A06" w:rsidRPr="00607E6C" w:rsidRDefault="00710A06" w:rsidP="00C45465">
            <w:pPr>
              <w:spacing w:after="0" w:line="360" w:lineRule="auto"/>
              <w:rPr>
                <w:rFonts w:ascii="Arial" w:hAnsi="Arial" w:cs="Arial"/>
                <w:b/>
                <w:bCs/>
                <w:color w:val="000000" w:themeColor="text1"/>
                <w:sz w:val="18"/>
                <w:lang w:eastAsia="es-MX"/>
              </w:rPr>
            </w:pPr>
            <w:r w:rsidRPr="00607E6C">
              <w:rPr>
                <w:rFonts w:ascii="Arial" w:hAnsi="Arial" w:cs="Arial"/>
                <w:b/>
                <w:bCs/>
                <w:color w:val="000000" w:themeColor="text1"/>
                <w:sz w:val="18"/>
                <w:lang w:eastAsia="es-MX"/>
              </w:rPr>
              <w:t>Ejercicio 2012</w:t>
            </w:r>
          </w:p>
        </w:tc>
        <w:tc>
          <w:tcPr>
            <w:tcW w:w="1900" w:type="dxa"/>
            <w:tcBorders>
              <w:top w:val="nil"/>
              <w:left w:val="nil"/>
              <w:bottom w:val="single" w:sz="4" w:space="0" w:color="auto"/>
              <w:right w:val="single" w:sz="4" w:space="0" w:color="auto"/>
            </w:tcBorders>
            <w:shd w:val="clear" w:color="auto" w:fill="auto"/>
            <w:noWrap/>
            <w:vAlign w:val="center"/>
            <w:hideMark/>
          </w:tcPr>
          <w:p w:rsidR="00710A06" w:rsidRPr="00607E6C" w:rsidRDefault="00710A06" w:rsidP="00C45465">
            <w:pPr>
              <w:spacing w:after="0" w:line="360" w:lineRule="auto"/>
              <w:jc w:val="right"/>
              <w:rPr>
                <w:rFonts w:ascii="Arial" w:hAnsi="Arial" w:cs="Arial"/>
                <w:color w:val="000000" w:themeColor="text1"/>
                <w:sz w:val="18"/>
                <w:lang w:eastAsia="es-MX"/>
              </w:rPr>
            </w:pPr>
            <w:r w:rsidRPr="00607E6C">
              <w:rPr>
                <w:rFonts w:ascii="Arial" w:hAnsi="Arial" w:cs="Arial"/>
                <w:color w:val="000000" w:themeColor="text1"/>
                <w:sz w:val="18"/>
                <w:lang w:eastAsia="es-MX"/>
              </w:rPr>
              <w:t xml:space="preserve">103.3 </w:t>
            </w:r>
          </w:p>
        </w:tc>
      </w:tr>
      <w:tr w:rsidR="00710A06" w:rsidRPr="00607E6C" w:rsidTr="00710A06">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710A06" w:rsidRPr="00607E6C" w:rsidRDefault="00710A06" w:rsidP="00C45465">
            <w:pPr>
              <w:spacing w:after="0" w:line="360" w:lineRule="auto"/>
              <w:rPr>
                <w:rFonts w:ascii="Arial" w:hAnsi="Arial" w:cs="Arial"/>
                <w:b/>
                <w:bCs/>
                <w:color w:val="000000" w:themeColor="text1"/>
                <w:sz w:val="18"/>
                <w:lang w:eastAsia="es-MX"/>
              </w:rPr>
            </w:pPr>
            <w:r w:rsidRPr="00607E6C">
              <w:rPr>
                <w:rFonts w:ascii="Arial" w:hAnsi="Arial" w:cs="Arial"/>
                <w:b/>
                <w:bCs/>
                <w:color w:val="000000" w:themeColor="text1"/>
                <w:sz w:val="18"/>
                <w:lang w:eastAsia="es-MX"/>
              </w:rPr>
              <w:lastRenderedPageBreak/>
              <w:t>Ejercicio 2013</w:t>
            </w:r>
          </w:p>
        </w:tc>
        <w:tc>
          <w:tcPr>
            <w:tcW w:w="1900" w:type="dxa"/>
            <w:tcBorders>
              <w:top w:val="nil"/>
              <w:left w:val="nil"/>
              <w:bottom w:val="single" w:sz="4" w:space="0" w:color="auto"/>
              <w:right w:val="single" w:sz="4" w:space="0" w:color="auto"/>
            </w:tcBorders>
            <w:shd w:val="clear" w:color="auto" w:fill="auto"/>
            <w:noWrap/>
            <w:vAlign w:val="center"/>
            <w:hideMark/>
          </w:tcPr>
          <w:p w:rsidR="00710A06" w:rsidRPr="00607E6C" w:rsidRDefault="00710A06" w:rsidP="00C45465">
            <w:pPr>
              <w:spacing w:after="0" w:line="360" w:lineRule="auto"/>
              <w:jc w:val="right"/>
              <w:rPr>
                <w:rFonts w:ascii="Arial" w:hAnsi="Arial" w:cs="Arial"/>
                <w:color w:val="000000" w:themeColor="text1"/>
                <w:sz w:val="18"/>
                <w:lang w:eastAsia="es-MX"/>
              </w:rPr>
            </w:pPr>
            <w:r w:rsidRPr="00607E6C">
              <w:rPr>
                <w:rFonts w:ascii="Arial" w:hAnsi="Arial" w:cs="Arial"/>
                <w:color w:val="000000" w:themeColor="text1"/>
                <w:sz w:val="18"/>
                <w:lang w:eastAsia="es-MX"/>
              </w:rPr>
              <w:t xml:space="preserve">205.9 </w:t>
            </w:r>
          </w:p>
        </w:tc>
      </w:tr>
      <w:tr w:rsidR="00710A06" w:rsidRPr="00607E6C" w:rsidTr="00710A06">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710A06" w:rsidRPr="00607E6C" w:rsidRDefault="00710A06" w:rsidP="00C45465">
            <w:pPr>
              <w:spacing w:after="0" w:line="360" w:lineRule="auto"/>
              <w:rPr>
                <w:rFonts w:ascii="Arial" w:hAnsi="Arial" w:cs="Arial"/>
                <w:b/>
                <w:bCs/>
                <w:color w:val="000000" w:themeColor="text1"/>
                <w:sz w:val="18"/>
                <w:lang w:eastAsia="es-MX"/>
              </w:rPr>
            </w:pPr>
            <w:r w:rsidRPr="00607E6C">
              <w:rPr>
                <w:rFonts w:ascii="Arial" w:hAnsi="Arial" w:cs="Arial"/>
                <w:b/>
                <w:bCs/>
                <w:color w:val="000000" w:themeColor="text1"/>
                <w:sz w:val="18"/>
                <w:lang w:eastAsia="es-MX"/>
              </w:rPr>
              <w:t>Ejercicio 2014</w:t>
            </w:r>
          </w:p>
        </w:tc>
        <w:tc>
          <w:tcPr>
            <w:tcW w:w="1900" w:type="dxa"/>
            <w:tcBorders>
              <w:top w:val="nil"/>
              <w:left w:val="nil"/>
              <w:bottom w:val="single" w:sz="4" w:space="0" w:color="auto"/>
              <w:right w:val="single" w:sz="4" w:space="0" w:color="auto"/>
            </w:tcBorders>
            <w:shd w:val="clear" w:color="auto" w:fill="auto"/>
            <w:noWrap/>
            <w:vAlign w:val="center"/>
            <w:hideMark/>
          </w:tcPr>
          <w:p w:rsidR="00710A06" w:rsidRPr="00607E6C" w:rsidRDefault="00710A06" w:rsidP="00C45465">
            <w:pPr>
              <w:spacing w:after="0" w:line="360" w:lineRule="auto"/>
              <w:jc w:val="right"/>
              <w:rPr>
                <w:rFonts w:ascii="Arial" w:hAnsi="Arial" w:cs="Arial"/>
                <w:color w:val="000000" w:themeColor="text1"/>
                <w:sz w:val="18"/>
                <w:lang w:eastAsia="es-MX"/>
              </w:rPr>
            </w:pPr>
            <w:r w:rsidRPr="00607E6C">
              <w:rPr>
                <w:rFonts w:ascii="Arial" w:hAnsi="Arial" w:cs="Arial"/>
                <w:color w:val="000000" w:themeColor="text1"/>
                <w:sz w:val="18"/>
                <w:lang w:eastAsia="es-MX"/>
              </w:rPr>
              <w:t xml:space="preserve">221.2 </w:t>
            </w:r>
          </w:p>
        </w:tc>
      </w:tr>
      <w:tr w:rsidR="00710A06" w:rsidRPr="00607E6C" w:rsidTr="00710A06">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710A06" w:rsidRPr="00607E6C" w:rsidRDefault="00710A06" w:rsidP="00C45465">
            <w:pPr>
              <w:spacing w:after="0" w:line="360" w:lineRule="auto"/>
              <w:rPr>
                <w:rFonts w:ascii="Arial" w:hAnsi="Arial" w:cs="Arial"/>
                <w:b/>
                <w:bCs/>
                <w:color w:val="000000" w:themeColor="text1"/>
                <w:sz w:val="18"/>
                <w:lang w:eastAsia="es-MX"/>
              </w:rPr>
            </w:pPr>
            <w:r w:rsidRPr="00607E6C">
              <w:rPr>
                <w:rFonts w:ascii="Arial" w:hAnsi="Arial" w:cs="Arial"/>
                <w:b/>
                <w:bCs/>
                <w:color w:val="000000" w:themeColor="text1"/>
                <w:sz w:val="18"/>
                <w:lang w:eastAsia="es-MX"/>
              </w:rPr>
              <w:t>Ejercicio 2015</w:t>
            </w:r>
          </w:p>
        </w:tc>
        <w:tc>
          <w:tcPr>
            <w:tcW w:w="1900" w:type="dxa"/>
            <w:tcBorders>
              <w:top w:val="nil"/>
              <w:left w:val="nil"/>
              <w:bottom w:val="single" w:sz="4" w:space="0" w:color="auto"/>
              <w:right w:val="single" w:sz="4" w:space="0" w:color="auto"/>
            </w:tcBorders>
            <w:shd w:val="clear" w:color="auto" w:fill="auto"/>
            <w:noWrap/>
            <w:vAlign w:val="center"/>
            <w:hideMark/>
          </w:tcPr>
          <w:p w:rsidR="00710A06" w:rsidRPr="00607E6C" w:rsidRDefault="00710A06" w:rsidP="00C45465">
            <w:pPr>
              <w:spacing w:after="0" w:line="360" w:lineRule="auto"/>
              <w:jc w:val="right"/>
              <w:rPr>
                <w:rFonts w:ascii="Arial" w:hAnsi="Arial" w:cs="Arial"/>
                <w:color w:val="000000" w:themeColor="text1"/>
                <w:sz w:val="18"/>
                <w:lang w:eastAsia="es-MX"/>
              </w:rPr>
            </w:pPr>
            <w:r w:rsidRPr="00607E6C">
              <w:rPr>
                <w:rFonts w:ascii="Arial" w:hAnsi="Arial" w:cs="Arial"/>
                <w:color w:val="000000" w:themeColor="text1"/>
                <w:sz w:val="18"/>
                <w:lang w:eastAsia="es-MX"/>
              </w:rPr>
              <w:t xml:space="preserve">223.9 </w:t>
            </w:r>
          </w:p>
        </w:tc>
      </w:tr>
      <w:tr w:rsidR="00710A06" w:rsidRPr="00607E6C" w:rsidTr="00710A06">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710A06" w:rsidRPr="00607E6C" w:rsidRDefault="00710A06" w:rsidP="00C45465">
            <w:pPr>
              <w:spacing w:after="0" w:line="360" w:lineRule="auto"/>
              <w:rPr>
                <w:rFonts w:ascii="Arial" w:hAnsi="Arial" w:cs="Arial"/>
                <w:b/>
                <w:bCs/>
                <w:color w:val="000000" w:themeColor="text1"/>
                <w:sz w:val="18"/>
                <w:lang w:eastAsia="es-MX"/>
              </w:rPr>
            </w:pPr>
            <w:r w:rsidRPr="00607E6C">
              <w:rPr>
                <w:rFonts w:ascii="Arial" w:hAnsi="Arial" w:cs="Arial"/>
                <w:b/>
                <w:bCs/>
                <w:color w:val="000000" w:themeColor="text1"/>
                <w:sz w:val="18"/>
                <w:lang w:eastAsia="es-MX"/>
              </w:rPr>
              <w:t>Ejercicio 2016</w:t>
            </w:r>
          </w:p>
        </w:tc>
        <w:tc>
          <w:tcPr>
            <w:tcW w:w="1900" w:type="dxa"/>
            <w:tcBorders>
              <w:top w:val="nil"/>
              <w:left w:val="nil"/>
              <w:bottom w:val="single" w:sz="4" w:space="0" w:color="auto"/>
              <w:right w:val="single" w:sz="4" w:space="0" w:color="auto"/>
            </w:tcBorders>
            <w:shd w:val="clear" w:color="auto" w:fill="auto"/>
            <w:noWrap/>
            <w:vAlign w:val="center"/>
            <w:hideMark/>
          </w:tcPr>
          <w:p w:rsidR="00710A06" w:rsidRPr="00607E6C" w:rsidRDefault="00710A06" w:rsidP="00C45465">
            <w:pPr>
              <w:spacing w:after="0" w:line="360" w:lineRule="auto"/>
              <w:jc w:val="right"/>
              <w:rPr>
                <w:rFonts w:ascii="Arial" w:hAnsi="Arial" w:cs="Arial"/>
                <w:color w:val="000000" w:themeColor="text1"/>
                <w:sz w:val="18"/>
                <w:lang w:eastAsia="es-MX"/>
              </w:rPr>
            </w:pPr>
            <w:r w:rsidRPr="00607E6C">
              <w:rPr>
                <w:rFonts w:ascii="Arial" w:hAnsi="Arial" w:cs="Arial"/>
                <w:color w:val="000000" w:themeColor="text1"/>
                <w:sz w:val="18"/>
                <w:lang w:eastAsia="es-MX"/>
              </w:rPr>
              <w:t xml:space="preserve">248.9 </w:t>
            </w:r>
          </w:p>
        </w:tc>
      </w:tr>
      <w:tr w:rsidR="00710A06" w:rsidRPr="00607E6C" w:rsidTr="00710A06">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710A06" w:rsidRPr="00607E6C" w:rsidRDefault="00710A06" w:rsidP="00C45465">
            <w:pPr>
              <w:spacing w:after="0" w:line="360" w:lineRule="auto"/>
              <w:jc w:val="center"/>
              <w:rPr>
                <w:rFonts w:ascii="Arial" w:hAnsi="Arial" w:cs="Arial"/>
                <w:b/>
                <w:bCs/>
                <w:color w:val="000000" w:themeColor="text1"/>
                <w:sz w:val="18"/>
                <w:lang w:eastAsia="es-MX"/>
              </w:rPr>
            </w:pPr>
            <w:r w:rsidRPr="00607E6C">
              <w:rPr>
                <w:rFonts w:ascii="Arial" w:hAnsi="Arial" w:cs="Arial"/>
                <w:b/>
                <w:bCs/>
                <w:color w:val="000000" w:themeColor="text1"/>
                <w:sz w:val="18"/>
                <w:lang w:eastAsia="es-MX"/>
              </w:rPr>
              <w:t>Ejercicio 2017*</w:t>
            </w:r>
          </w:p>
        </w:tc>
        <w:tc>
          <w:tcPr>
            <w:tcW w:w="1900" w:type="dxa"/>
            <w:tcBorders>
              <w:top w:val="nil"/>
              <w:left w:val="nil"/>
              <w:bottom w:val="single" w:sz="4" w:space="0" w:color="auto"/>
              <w:right w:val="single" w:sz="4" w:space="0" w:color="auto"/>
            </w:tcBorders>
            <w:shd w:val="clear" w:color="auto" w:fill="auto"/>
            <w:noWrap/>
            <w:vAlign w:val="bottom"/>
          </w:tcPr>
          <w:p w:rsidR="00710A06" w:rsidRPr="00607E6C" w:rsidRDefault="00710A06" w:rsidP="00C45465">
            <w:pPr>
              <w:spacing w:after="0" w:line="360" w:lineRule="auto"/>
              <w:jc w:val="right"/>
              <w:rPr>
                <w:rFonts w:ascii="Arial" w:hAnsi="Arial" w:cs="Arial"/>
                <w:bCs/>
                <w:color w:val="000000" w:themeColor="text1"/>
                <w:sz w:val="18"/>
                <w:lang w:eastAsia="es-MX"/>
              </w:rPr>
            </w:pPr>
            <w:r w:rsidRPr="00607E6C">
              <w:rPr>
                <w:rFonts w:ascii="Arial" w:hAnsi="Arial" w:cs="Arial"/>
                <w:bCs/>
                <w:color w:val="000000" w:themeColor="text1"/>
                <w:sz w:val="18"/>
                <w:lang w:eastAsia="es-MX"/>
              </w:rPr>
              <w:t>176.1</w:t>
            </w:r>
          </w:p>
        </w:tc>
      </w:tr>
      <w:tr w:rsidR="00710A06" w:rsidRPr="00607E6C" w:rsidTr="00710A06">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710A06" w:rsidRPr="00607E6C" w:rsidRDefault="00710A06" w:rsidP="00C45465">
            <w:pPr>
              <w:spacing w:after="0" w:line="360" w:lineRule="auto"/>
              <w:jc w:val="center"/>
              <w:rPr>
                <w:rFonts w:ascii="Arial" w:hAnsi="Arial" w:cs="Arial"/>
                <w:b/>
                <w:bCs/>
                <w:color w:val="000000" w:themeColor="text1"/>
                <w:sz w:val="18"/>
                <w:lang w:eastAsia="es-MX"/>
              </w:rPr>
            </w:pPr>
            <w:r w:rsidRPr="00607E6C">
              <w:rPr>
                <w:rFonts w:ascii="Arial" w:hAnsi="Arial" w:cs="Arial"/>
                <w:b/>
                <w:bCs/>
                <w:color w:val="000000" w:themeColor="text1"/>
                <w:sz w:val="18"/>
                <w:lang w:eastAsia="es-MX"/>
              </w:rPr>
              <w:t>SUMA</w:t>
            </w:r>
          </w:p>
        </w:tc>
        <w:tc>
          <w:tcPr>
            <w:tcW w:w="1900" w:type="dxa"/>
            <w:tcBorders>
              <w:top w:val="nil"/>
              <w:left w:val="nil"/>
              <w:bottom w:val="single" w:sz="4" w:space="0" w:color="auto"/>
              <w:right w:val="single" w:sz="4" w:space="0" w:color="auto"/>
            </w:tcBorders>
            <w:shd w:val="clear" w:color="auto" w:fill="auto"/>
            <w:noWrap/>
            <w:vAlign w:val="bottom"/>
            <w:hideMark/>
          </w:tcPr>
          <w:p w:rsidR="00710A06" w:rsidRPr="00607E6C" w:rsidRDefault="00710A06" w:rsidP="00C45465">
            <w:pPr>
              <w:spacing w:after="0" w:line="360" w:lineRule="auto"/>
              <w:jc w:val="right"/>
              <w:rPr>
                <w:rFonts w:ascii="Arial" w:hAnsi="Arial" w:cs="Arial"/>
                <w:b/>
                <w:bCs/>
                <w:color w:val="000000" w:themeColor="text1"/>
                <w:sz w:val="18"/>
                <w:lang w:eastAsia="es-MX"/>
              </w:rPr>
            </w:pPr>
            <w:r w:rsidRPr="00607E6C">
              <w:rPr>
                <w:rFonts w:ascii="Arial" w:hAnsi="Arial" w:cs="Arial"/>
                <w:b/>
                <w:bCs/>
                <w:color w:val="000000" w:themeColor="text1"/>
                <w:sz w:val="18"/>
                <w:lang w:eastAsia="es-MX"/>
              </w:rPr>
              <w:t xml:space="preserve">1,280.2 </w:t>
            </w:r>
          </w:p>
        </w:tc>
      </w:tr>
    </w:tbl>
    <w:p w:rsidR="00710A06" w:rsidRPr="00607E6C" w:rsidRDefault="00710A06" w:rsidP="00C45465">
      <w:pPr>
        <w:spacing w:after="0" w:line="360" w:lineRule="auto"/>
        <w:ind w:left="2268"/>
        <w:rPr>
          <w:rFonts w:ascii="Arial" w:hAnsi="Arial" w:cs="Arial"/>
          <w:b/>
          <w:i/>
          <w:color w:val="000000" w:themeColor="text1"/>
          <w:sz w:val="16"/>
        </w:rPr>
      </w:pPr>
      <w:r w:rsidRPr="00607E6C">
        <w:rPr>
          <w:rFonts w:ascii="Arial" w:hAnsi="Arial" w:cs="Arial"/>
          <w:b/>
          <w:i/>
          <w:color w:val="000000" w:themeColor="text1"/>
          <w:sz w:val="16"/>
        </w:rPr>
        <w:t>* Cifras al cierre del mes de septiembre de 2017</w:t>
      </w:r>
    </w:p>
    <w:p w:rsidR="00710A06" w:rsidRPr="00607E6C" w:rsidRDefault="00710A06" w:rsidP="003F141E">
      <w:pPr>
        <w:spacing w:after="0" w:line="360" w:lineRule="auto"/>
        <w:jc w:val="both"/>
        <w:rPr>
          <w:rFonts w:ascii="Arial" w:hAnsi="Arial" w:cs="Arial"/>
          <w:color w:val="000000" w:themeColor="text1"/>
          <w:sz w:val="24"/>
        </w:rPr>
      </w:pPr>
    </w:p>
    <w:p w:rsidR="00710A06" w:rsidRPr="00607E6C" w:rsidRDefault="00710A06" w:rsidP="003F141E">
      <w:pPr>
        <w:spacing w:after="0" w:line="360" w:lineRule="auto"/>
        <w:jc w:val="both"/>
        <w:rPr>
          <w:rFonts w:ascii="Arial" w:hAnsi="Arial" w:cs="Arial"/>
          <w:color w:val="000000" w:themeColor="text1"/>
          <w:sz w:val="24"/>
        </w:rPr>
      </w:pPr>
      <w:r w:rsidRPr="00607E6C">
        <w:rPr>
          <w:rFonts w:ascii="Arial" w:hAnsi="Arial" w:cs="Arial"/>
          <w:color w:val="000000" w:themeColor="text1"/>
          <w:sz w:val="24"/>
        </w:rPr>
        <w:t>El Gobierno del Estado, tiene como prioridad sanear el Sistema Estatal de Pensiones garantizando la solvencia de la Institución e impulsando el otorgamiento y recuperación de créditos. En los últimos años se han realizado las aportaciones siguientes:</w:t>
      </w:r>
    </w:p>
    <w:p w:rsidR="00710A06" w:rsidRPr="00607E6C" w:rsidRDefault="00710A06" w:rsidP="003F141E">
      <w:pPr>
        <w:spacing w:after="0" w:line="360" w:lineRule="auto"/>
        <w:jc w:val="both"/>
        <w:rPr>
          <w:rFonts w:ascii="Arial" w:hAnsi="Arial" w:cs="Arial"/>
          <w:color w:val="000000" w:themeColor="text1"/>
          <w:sz w:val="24"/>
        </w:rPr>
      </w:pPr>
    </w:p>
    <w:tbl>
      <w:tblPr>
        <w:tblW w:w="4064" w:type="dxa"/>
        <w:jc w:val="center"/>
        <w:tblCellMar>
          <w:left w:w="70" w:type="dxa"/>
          <w:right w:w="70" w:type="dxa"/>
        </w:tblCellMar>
        <w:tblLook w:val="04A0" w:firstRow="1" w:lastRow="0" w:firstColumn="1" w:lastColumn="0" w:noHBand="0" w:noVBand="1"/>
      </w:tblPr>
      <w:tblGrid>
        <w:gridCol w:w="1560"/>
        <w:gridCol w:w="2504"/>
      </w:tblGrid>
      <w:tr w:rsidR="00710A06" w:rsidRPr="00710A06" w:rsidTr="00607E6C">
        <w:trPr>
          <w:trHeight w:val="839"/>
          <w:jc w:val="center"/>
        </w:trPr>
        <w:tc>
          <w:tcPr>
            <w:tcW w:w="156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710A06" w:rsidRPr="00710A06" w:rsidRDefault="00710A06" w:rsidP="00C45465">
            <w:pPr>
              <w:spacing w:after="0" w:line="360" w:lineRule="auto"/>
              <w:jc w:val="center"/>
              <w:rPr>
                <w:rFonts w:ascii="Arial" w:hAnsi="Arial" w:cs="Arial"/>
                <w:b/>
                <w:bCs/>
                <w:color w:val="000000" w:themeColor="text1"/>
                <w:sz w:val="20"/>
                <w:lang w:eastAsia="es-MX"/>
              </w:rPr>
            </w:pPr>
            <w:r w:rsidRPr="00710A06">
              <w:rPr>
                <w:rFonts w:ascii="Arial" w:hAnsi="Arial" w:cs="Arial"/>
                <w:b/>
                <w:bCs/>
                <w:color w:val="000000" w:themeColor="text1"/>
                <w:sz w:val="20"/>
                <w:lang w:eastAsia="es-MX"/>
              </w:rPr>
              <w:t>AÑO</w:t>
            </w:r>
          </w:p>
        </w:tc>
        <w:tc>
          <w:tcPr>
            <w:tcW w:w="2504"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rsidR="00710A06" w:rsidRPr="00710A06" w:rsidRDefault="00710A06" w:rsidP="00C45465">
            <w:pPr>
              <w:spacing w:after="0" w:line="360" w:lineRule="auto"/>
              <w:jc w:val="center"/>
              <w:rPr>
                <w:rFonts w:ascii="Arial" w:hAnsi="Arial" w:cs="Arial"/>
                <w:b/>
                <w:bCs/>
                <w:color w:val="000000" w:themeColor="text1"/>
                <w:sz w:val="20"/>
                <w:lang w:eastAsia="es-MX"/>
              </w:rPr>
            </w:pPr>
            <w:r w:rsidRPr="00710A06">
              <w:rPr>
                <w:rFonts w:ascii="Arial" w:hAnsi="Arial" w:cs="Arial"/>
                <w:b/>
                <w:bCs/>
                <w:color w:val="000000" w:themeColor="text1"/>
                <w:sz w:val="20"/>
                <w:lang w:eastAsia="es-MX"/>
              </w:rPr>
              <w:t>FONDO DE CRÉDITOS (MDP)</w:t>
            </w:r>
          </w:p>
        </w:tc>
      </w:tr>
      <w:tr w:rsidR="00710A06" w:rsidRPr="00710A06" w:rsidTr="00710A06">
        <w:trPr>
          <w:trHeight w:val="47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10A06" w:rsidRPr="00710A06" w:rsidRDefault="00710A06" w:rsidP="00C45465">
            <w:pPr>
              <w:spacing w:after="0" w:line="360" w:lineRule="auto"/>
              <w:rPr>
                <w:rFonts w:ascii="Arial" w:hAnsi="Arial" w:cs="Arial"/>
                <w:b/>
                <w:bCs/>
                <w:color w:val="000000" w:themeColor="text1"/>
                <w:sz w:val="20"/>
                <w:lang w:eastAsia="es-MX"/>
              </w:rPr>
            </w:pPr>
            <w:r w:rsidRPr="00710A06">
              <w:rPr>
                <w:rFonts w:ascii="Arial" w:hAnsi="Arial" w:cs="Arial"/>
                <w:b/>
                <w:bCs/>
                <w:color w:val="000000" w:themeColor="text1"/>
                <w:sz w:val="20"/>
                <w:lang w:eastAsia="es-MX"/>
              </w:rPr>
              <w:t>Ejercicio 2013</w:t>
            </w:r>
          </w:p>
        </w:tc>
        <w:tc>
          <w:tcPr>
            <w:tcW w:w="2504" w:type="dxa"/>
            <w:tcBorders>
              <w:top w:val="nil"/>
              <w:left w:val="nil"/>
              <w:bottom w:val="single" w:sz="4" w:space="0" w:color="auto"/>
              <w:right w:val="single" w:sz="4" w:space="0" w:color="auto"/>
            </w:tcBorders>
            <w:shd w:val="clear" w:color="auto" w:fill="auto"/>
            <w:noWrap/>
            <w:vAlign w:val="center"/>
            <w:hideMark/>
          </w:tcPr>
          <w:p w:rsidR="00710A06" w:rsidRPr="00710A06" w:rsidRDefault="00710A06" w:rsidP="00C45465">
            <w:pPr>
              <w:spacing w:after="0" w:line="360" w:lineRule="auto"/>
              <w:jc w:val="right"/>
              <w:rPr>
                <w:rFonts w:ascii="Arial" w:hAnsi="Arial" w:cs="Arial"/>
                <w:color w:val="000000" w:themeColor="text1"/>
                <w:sz w:val="20"/>
                <w:lang w:eastAsia="es-MX"/>
              </w:rPr>
            </w:pPr>
            <w:r w:rsidRPr="00710A06">
              <w:rPr>
                <w:rFonts w:ascii="Arial" w:hAnsi="Arial" w:cs="Arial"/>
                <w:color w:val="000000" w:themeColor="text1"/>
                <w:sz w:val="20"/>
                <w:lang w:eastAsia="es-MX"/>
              </w:rPr>
              <w:t>70.0</w:t>
            </w:r>
          </w:p>
        </w:tc>
      </w:tr>
      <w:tr w:rsidR="00710A06" w:rsidRPr="00710A06" w:rsidTr="00710A06">
        <w:trPr>
          <w:trHeight w:val="51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10A06" w:rsidRPr="00710A06" w:rsidRDefault="00710A06" w:rsidP="00C45465">
            <w:pPr>
              <w:spacing w:after="0" w:line="360" w:lineRule="auto"/>
              <w:rPr>
                <w:rFonts w:ascii="Arial" w:hAnsi="Arial" w:cs="Arial"/>
                <w:b/>
                <w:bCs/>
                <w:color w:val="000000" w:themeColor="text1"/>
                <w:sz w:val="20"/>
                <w:lang w:eastAsia="es-MX"/>
              </w:rPr>
            </w:pPr>
            <w:r w:rsidRPr="00710A06">
              <w:rPr>
                <w:rFonts w:ascii="Arial" w:hAnsi="Arial" w:cs="Arial"/>
                <w:b/>
                <w:bCs/>
                <w:color w:val="000000" w:themeColor="text1"/>
                <w:sz w:val="20"/>
                <w:lang w:eastAsia="es-MX"/>
              </w:rPr>
              <w:t>Ejercicio 2014</w:t>
            </w:r>
          </w:p>
        </w:tc>
        <w:tc>
          <w:tcPr>
            <w:tcW w:w="2504" w:type="dxa"/>
            <w:tcBorders>
              <w:top w:val="nil"/>
              <w:left w:val="nil"/>
              <w:bottom w:val="single" w:sz="4" w:space="0" w:color="auto"/>
              <w:right w:val="single" w:sz="4" w:space="0" w:color="auto"/>
            </w:tcBorders>
            <w:shd w:val="clear" w:color="auto" w:fill="auto"/>
            <w:noWrap/>
            <w:vAlign w:val="center"/>
            <w:hideMark/>
          </w:tcPr>
          <w:p w:rsidR="00710A06" w:rsidRPr="00710A06" w:rsidRDefault="00710A06" w:rsidP="00C45465">
            <w:pPr>
              <w:spacing w:after="0" w:line="360" w:lineRule="auto"/>
              <w:jc w:val="right"/>
              <w:rPr>
                <w:rFonts w:ascii="Arial" w:hAnsi="Arial" w:cs="Arial"/>
                <w:color w:val="000000" w:themeColor="text1"/>
                <w:sz w:val="20"/>
                <w:lang w:eastAsia="es-MX"/>
              </w:rPr>
            </w:pPr>
            <w:r w:rsidRPr="00710A06">
              <w:rPr>
                <w:rFonts w:ascii="Arial" w:hAnsi="Arial" w:cs="Arial"/>
                <w:color w:val="000000" w:themeColor="text1"/>
                <w:sz w:val="20"/>
                <w:lang w:eastAsia="es-MX"/>
              </w:rPr>
              <w:t>21.0</w:t>
            </w:r>
          </w:p>
        </w:tc>
      </w:tr>
      <w:tr w:rsidR="00710A06" w:rsidRPr="00710A06" w:rsidTr="00710A06">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10A06" w:rsidRPr="00710A06" w:rsidRDefault="00710A06" w:rsidP="00C45465">
            <w:pPr>
              <w:spacing w:after="0" w:line="360" w:lineRule="auto"/>
              <w:rPr>
                <w:rFonts w:ascii="Arial" w:hAnsi="Arial" w:cs="Arial"/>
                <w:b/>
                <w:bCs/>
                <w:color w:val="000000" w:themeColor="text1"/>
                <w:sz w:val="20"/>
                <w:lang w:eastAsia="es-MX"/>
              </w:rPr>
            </w:pPr>
            <w:r w:rsidRPr="00710A06">
              <w:rPr>
                <w:rFonts w:ascii="Arial" w:hAnsi="Arial" w:cs="Arial"/>
                <w:b/>
                <w:bCs/>
                <w:color w:val="000000" w:themeColor="text1"/>
                <w:sz w:val="20"/>
                <w:lang w:eastAsia="es-MX"/>
              </w:rPr>
              <w:t>Ejercicio 2016</w:t>
            </w:r>
          </w:p>
        </w:tc>
        <w:tc>
          <w:tcPr>
            <w:tcW w:w="2504" w:type="dxa"/>
            <w:tcBorders>
              <w:top w:val="nil"/>
              <w:left w:val="nil"/>
              <w:bottom w:val="single" w:sz="4" w:space="0" w:color="auto"/>
              <w:right w:val="single" w:sz="4" w:space="0" w:color="auto"/>
            </w:tcBorders>
            <w:shd w:val="clear" w:color="auto" w:fill="auto"/>
            <w:noWrap/>
            <w:vAlign w:val="center"/>
            <w:hideMark/>
          </w:tcPr>
          <w:p w:rsidR="00710A06" w:rsidRPr="00710A06" w:rsidRDefault="00710A06" w:rsidP="00C45465">
            <w:pPr>
              <w:spacing w:after="0" w:line="360" w:lineRule="auto"/>
              <w:jc w:val="right"/>
              <w:rPr>
                <w:rFonts w:ascii="Arial" w:hAnsi="Arial" w:cs="Arial"/>
                <w:b/>
                <w:bCs/>
                <w:color w:val="000000" w:themeColor="text1"/>
                <w:sz w:val="20"/>
                <w:lang w:eastAsia="es-MX"/>
              </w:rPr>
            </w:pPr>
            <w:r w:rsidRPr="00710A06">
              <w:rPr>
                <w:rFonts w:ascii="Arial" w:hAnsi="Arial" w:cs="Arial"/>
                <w:b/>
                <w:bCs/>
                <w:color w:val="000000" w:themeColor="text1"/>
                <w:sz w:val="20"/>
                <w:lang w:eastAsia="es-MX"/>
              </w:rPr>
              <w:t>59.0</w:t>
            </w:r>
          </w:p>
        </w:tc>
      </w:tr>
      <w:tr w:rsidR="00710A06" w:rsidRPr="00710A06" w:rsidTr="00710A06">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rsidR="00710A06" w:rsidRPr="00710A06" w:rsidRDefault="00710A06" w:rsidP="00C45465">
            <w:pPr>
              <w:spacing w:after="0" w:line="360" w:lineRule="auto"/>
              <w:jc w:val="center"/>
              <w:rPr>
                <w:rFonts w:ascii="Arial" w:hAnsi="Arial" w:cs="Arial"/>
                <w:b/>
                <w:bCs/>
                <w:color w:val="000000" w:themeColor="text1"/>
                <w:sz w:val="20"/>
                <w:lang w:eastAsia="es-MX"/>
              </w:rPr>
            </w:pPr>
            <w:r w:rsidRPr="00710A06">
              <w:rPr>
                <w:rFonts w:ascii="Arial" w:hAnsi="Arial" w:cs="Arial"/>
                <w:b/>
                <w:bCs/>
                <w:color w:val="000000" w:themeColor="text1"/>
                <w:sz w:val="20"/>
                <w:lang w:eastAsia="es-MX"/>
              </w:rPr>
              <w:t>Ejercicio 2017*</w:t>
            </w:r>
          </w:p>
        </w:tc>
        <w:tc>
          <w:tcPr>
            <w:tcW w:w="2504" w:type="dxa"/>
            <w:tcBorders>
              <w:top w:val="nil"/>
              <w:left w:val="nil"/>
              <w:bottom w:val="single" w:sz="4" w:space="0" w:color="auto"/>
              <w:right w:val="single" w:sz="4" w:space="0" w:color="auto"/>
            </w:tcBorders>
            <w:shd w:val="clear" w:color="auto" w:fill="auto"/>
            <w:noWrap/>
            <w:vAlign w:val="center"/>
          </w:tcPr>
          <w:p w:rsidR="00710A06" w:rsidRPr="00710A06" w:rsidRDefault="00710A06" w:rsidP="00C45465">
            <w:pPr>
              <w:spacing w:after="0" w:line="360" w:lineRule="auto"/>
              <w:jc w:val="right"/>
              <w:rPr>
                <w:rFonts w:ascii="Arial" w:hAnsi="Arial" w:cs="Arial"/>
                <w:b/>
                <w:bCs/>
                <w:color w:val="000000" w:themeColor="text1"/>
                <w:sz w:val="20"/>
                <w:lang w:eastAsia="es-MX"/>
              </w:rPr>
            </w:pPr>
            <w:r w:rsidRPr="00710A06">
              <w:rPr>
                <w:rFonts w:ascii="Arial" w:hAnsi="Arial" w:cs="Arial"/>
                <w:b/>
                <w:bCs/>
                <w:color w:val="000000" w:themeColor="text1"/>
                <w:sz w:val="20"/>
                <w:lang w:eastAsia="es-MX"/>
              </w:rPr>
              <w:t>0.0</w:t>
            </w:r>
          </w:p>
        </w:tc>
      </w:tr>
      <w:tr w:rsidR="00710A06" w:rsidRPr="00710A06" w:rsidTr="00710A06">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10A06" w:rsidRPr="00710A06" w:rsidRDefault="00710A06" w:rsidP="00C45465">
            <w:pPr>
              <w:spacing w:after="0" w:line="360" w:lineRule="auto"/>
              <w:jc w:val="center"/>
              <w:rPr>
                <w:rFonts w:ascii="Arial" w:hAnsi="Arial" w:cs="Arial"/>
                <w:b/>
                <w:bCs/>
                <w:color w:val="000000" w:themeColor="text1"/>
                <w:sz w:val="20"/>
                <w:lang w:eastAsia="es-MX"/>
              </w:rPr>
            </w:pPr>
            <w:r w:rsidRPr="00710A06">
              <w:rPr>
                <w:rFonts w:ascii="Arial" w:hAnsi="Arial" w:cs="Arial"/>
                <w:b/>
                <w:bCs/>
                <w:color w:val="000000" w:themeColor="text1"/>
                <w:sz w:val="20"/>
                <w:lang w:eastAsia="es-MX"/>
              </w:rPr>
              <w:t>SUMA</w:t>
            </w:r>
          </w:p>
        </w:tc>
        <w:tc>
          <w:tcPr>
            <w:tcW w:w="2504" w:type="dxa"/>
            <w:tcBorders>
              <w:top w:val="nil"/>
              <w:left w:val="nil"/>
              <w:bottom w:val="single" w:sz="4" w:space="0" w:color="auto"/>
              <w:right w:val="single" w:sz="4" w:space="0" w:color="auto"/>
            </w:tcBorders>
            <w:shd w:val="clear" w:color="auto" w:fill="auto"/>
            <w:noWrap/>
            <w:vAlign w:val="center"/>
            <w:hideMark/>
          </w:tcPr>
          <w:p w:rsidR="00710A06" w:rsidRPr="00710A06" w:rsidRDefault="00710A06" w:rsidP="00C45465">
            <w:pPr>
              <w:spacing w:after="0" w:line="360" w:lineRule="auto"/>
              <w:jc w:val="right"/>
              <w:rPr>
                <w:rFonts w:ascii="Arial" w:hAnsi="Arial" w:cs="Arial"/>
                <w:b/>
                <w:bCs/>
                <w:color w:val="000000" w:themeColor="text1"/>
                <w:sz w:val="20"/>
                <w:lang w:eastAsia="es-MX"/>
              </w:rPr>
            </w:pPr>
            <w:r w:rsidRPr="00710A06">
              <w:rPr>
                <w:rFonts w:ascii="Arial" w:hAnsi="Arial" w:cs="Arial"/>
                <w:b/>
                <w:bCs/>
                <w:color w:val="000000" w:themeColor="text1"/>
                <w:sz w:val="20"/>
                <w:lang w:eastAsia="es-MX"/>
              </w:rPr>
              <w:t>150.0</w:t>
            </w:r>
          </w:p>
        </w:tc>
      </w:tr>
    </w:tbl>
    <w:p w:rsidR="00710A06" w:rsidRPr="00607E6C" w:rsidRDefault="00710A06" w:rsidP="00C45465">
      <w:pPr>
        <w:spacing w:after="0" w:line="360" w:lineRule="auto"/>
        <w:ind w:left="2127"/>
        <w:rPr>
          <w:rFonts w:ascii="Arial" w:hAnsi="Arial" w:cs="Arial"/>
          <w:b/>
          <w:i/>
          <w:color w:val="000000" w:themeColor="text1"/>
          <w:sz w:val="16"/>
        </w:rPr>
      </w:pPr>
      <w:r w:rsidRPr="00607E6C">
        <w:rPr>
          <w:rFonts w:ascii="Arial" w:hAnsi="Arial" w:cs="Arial"/>
          <w:b/>
          <w:i/>
          <w:color w:val="000000" w:themeColor="text1"/>
          <w:sz w:val="16"/>
        </w:rPr>
        <w:t xml:space="preserve">* Cifras estimadas al cierre de 2017 </w:t>
      </w:r>
    </w:p>
    <w:p w:rsidR="00710A06" w:rsidRPr="00710A06" w:rsidRDefault="00710A06" w:rsidP="00C45465">
      <w:pPr>
        <w:spacing w:after="0" w:line="360" w:lineRule="auto"/>
        <w:rPr>
          <w:rFonts w:ascii="Arial" w:hAnsi="Arial" w:cs="Arial"/>
          <w:b/>
          <w:color w:val="000000" w:themeColor="text1"/>
        </w:rPr>
      </w:pPr>
      <w:r w:rsidRPr="00710A06">
        <w:rPr>
          <w:rFonts w:ascii="Arial" w:hAnsi="Arial" w:cs="Arial"/>
          <w:b/>
          <w:noProof/>
          <w:color w:val="000000" w:themeColor="text1"/>
          <w:lang w:eastAsia="es-MX"/>
        </w:rPr>
        <w:lastRenderedPageBreak/>
        <w:drawing>
          <wp:inline distT="0" distB="0" distL="0" distR="0" wp14:anchorId="76F5CE4C" wp14:editId="4EF839E3">
            <wp:extent cx="4955170" cy="268382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62606" cy="2687850"/>
                    </a:xfrm>
                    <a:prstGeom prst="rect">
                      <a:avLst/>
                    </a:prstGeom>
                    <a:noFill/>
                  </pic:spPr>
                </pic:pic>
              </a:graphicData>
            </a:graphic>
          </wp:inline>
        </w:drawing>
      </w:r>
    </w:p>
    <w:p w:rsidR="00607E6C" w:rsidRDefault="00607E6C" w:rsidP="00C45465">
      <w:pPr>
        <w:pStyle w:val="PRIMERAPLANA"/>
        <w:spacing w:line="360" w:lineRule="auto"/>
        <w:rPr>
          <w:rFonts w:cs="Arial"/>
          <w:b/>
          <w:iCs/>
          <w:color w:val="000000" w:themeColor="text1"/>
          <w:sz w:val="24"/>
          <w:szCs w:val="24"/>
          <w:lang w:val="es-ES"/>
        </w:rPr>
      </w:pPr>
    </w:p>
    <w:p w:rsidR="00710A06" w:rsidRPr="00710A06" w:rsidRDefault="00710A06" w:rsidP="00C45465">
      <w:pPr>
        <w:pStyle w:val="PRIMERAPLANA"/>
        <w:spacing w:line="360" w:lineRule="auto"/>
        <w:rPr>
          <w:rFonts w:cs="Arial"/>
          <w:b/>
          <w:iCs/>
          <w:color w:val="000000" w:themeColor="text1"/>
          <w:sz w:val="24"/>
          <w:szCs w:val="24"/>
          <w:lang w:val="es-ES"/>
        </w:rPr>
      </w:pPr>
      <w:r w:rsidRPr="00710A06">
        <w:rPr>
          <w:rFonts w:cs="Arial"/>
          <w:b/>
          <w:iCs/>
          <w:color w:val="000000" w:themeColor="text1"/>
          <w:sz w:val="24"/>
          <w:szCs w:val="24"/>
          <w:lang w:val="es-ES"/>
        </w:rPr>
        <w:t>DEUDA PÚBLICA.</w:t>
      </w:r>
    </w:p>
    <w:p w:rsidR="00710A06" w:rsidRPr="00710A06" w:rsidRDefault="00710A06" w:rsidP="00C45465">
      <w:pPr>
        <w:pStyle w:val="PRIMERAPLANA"/>
        <w:spacing w:line="360" w:lineRule="auto"/>
        <w:rPr>
          <w:rFonts w:cs="Arial"/>
          <w:b/>
          <w:iCs/>
          <w:color w:val="000000" w:themeColor="text1"/>
          <w:sz w:val="24"/>
          <w:szCs w:val="24"/>
          <w:lang w:val="es-ES"/>
        </w:rPr>
      </w:pPr>
    </w:p>
    <w:p w:rsidR="00710A06" w:rsidRPr="00710A06" w:rsidRDefault="00710A06" w:rsidP="00C45465">
      <w:pPr>
        <w:pStyle w:val="PRIMERAPLANA"/>
        <w:spacing w:line="360" w:lineRule="auto"/>
        <w:rPr>
          <w:rFonts w:cs="Arial"/>
          <w:iCs/>
          <w:color w:val="000000" w:themeColor="text1"/>
          <w:sz w:val="24"/>
          <w:szCs w:val="24"/>
          <w:lang w:val="es-ES"/>
        </w:rPr>
      </w:pPr>
      <w:r w:rsidRPr="00710A06">
        <w:rPr>
          <w:rFonts w:cs="Arial"/>
          <w:iCs/>
          <w:color w:val="000000" w:themeColor="text1"/>
          <w:sz w:val="24"/>
          <w:szCs w:val="24"/>
          <w:lang w:val="es-ES"/>
        </w:rPr>
        <w:t>La deuda pública es una herramienta que empleada estratégicamente, sirve como detonante del desarrollo; al respecto, gracias a las extraordinarias condiciones de manejo de deuda del Estado, el cual como  porcentaje del PIB estatal es el más bajo del país (0%), existen condiciones óptimas para financiar proyectos de desarrollo regional; no obstante, para el ejercicio fiscal</w:t>
      </w:r>
      <w:r w:rsidRPr="00710A06">
        <w:rPr>
          <w:rFonts w:cs="Arial"/>
          <w:b/>
          <w:iCs/>
          <w:color w:val="000000" w:themeColor="text1"/>
          <w:sz w:val="24"/>
          <w:szCs w:val="24"/>
          <w:lang w:val="es-ES"/>
        </w:rPr>
        <w:t xml:space="preserve"> </w:t>
      </w:r>
      <w:r w:rsidRPr="00710A06">
        <w:rPr>
          <w:rFonts w:cs="Arial"/>
          <w:iCs/>
          <w:color w:val="000000" w:themeColor="text1"/>
          <w:sz w:val="24"/>
          <w:szCs w:val="24"/>
          <w:lang w:val="es-ES"/>
        </w:rPr>
        <w:t>2018 está proyectado mantener el nivel de endeudamiento CERO del Estado.</w:t>
      </w:r>
    </w:p>
    <w:p w:rsidR="00710A06" w:rsidRPr="00710A06" w:rsidRDefault="00710A06" w:rsidP="00C45465">
      <w:pPr>
        <w:pStyle w:val="PRIMERAPLANA"/>
        <w:spacing w:line="360" w:lineRule="auto"/>
        <w:rPr>
          <w:rFonts w:cs="Arial"/>
          <w:iCs/>
          <w:color w:val="000000" w:themeColor="text1"/>
          <w:sz w:val="24"/>
          <w:szCs w:val="24"/>
          <w:lang w:val="es-ES"/>
        </w:rPr>
      </w:pPr>
    </w:p>
    <w:p w:rsidR="00710A06" w:rsidRPr="00710A06" w:rsidRDefault="00710A06" w:rsidP="00C45465">
      <w:pPr>
        <w:pStyle w:val="PRIMERAPLANA"/>
        <w:spacing w:line="360" w:lineRule="auto"/>
        <w:rPr>
          <w:rFonts w:cs="Arial"/>
          <w:b/>
          <w:iCs/>
          <w:color w:val="000000" w:themeColor="text1"/>
          <w:sz w:val="24"/>
          <w:szCs w:val="24"/>
          <w:lang w:val="es-ES"/>
        </w:rPr>
      </w:pPr>
      <w:r w:rsidRPr="00710A06">
        <w:rPr>
          <w:rFonts w:cs="Arial"/>
          <w:b/>
          <w:iCs/>
          <w:color w:val="000000" w:themeColor="text1"/>
          <w:sz w:val="24"/>
          <w:szCs w:val="24"/>
          <w:lang w:val="es-ES"/>
        </w:rPr>
        <w:t>FONDO DE DESASTRES NATURALES.</w:t>
      </w:r>
    </w:p>
    <w:p w:rsidR="00710A06" w:rsidRPr="00710A06" w:rsidRDefault="00710A06" w:rsidP="00C45465">
      <w:pPr>
        <w:pStyle w:val="PRIMERAPLANA"/>
        <w:spacing w:line="360" w:lineRule="auto"/>
        <w:rPr>
          <w:rFonts w:cs="Arial"/>
          <w:iCs/>
          <w:color w:val="000000" w:themeColor="text1"/>
          <w:sz w:val="24"/>
          <w:szCs w:val="24"/>
          <w:lang w:val="es-ES"/>
        </w:rPr>
      </w:pPr>
    </w:p>
    <w:p w:rsidR="00710A06" w:rsidRPr="00710A06" w:rsidRDefault="00710A06" w:rsidP="00C45465">
      <w:pPr>
        <w:pStyle w:val="PRIMERAPLANA"/>
        <w:spacing w:line="360" w:lineRule="auto"/>
        <w:rPr>
          <w:rFonts w:cs="Arial"/>
          <w:iCs/>
          <w:color w:val="000000" w:themeColor="text1"/>
          <w:sz w:val="24"/>
          <w:szCs w:val="24"/>
          <w:lang w:val="es-ES"/>
        </w:rPr>
      </w:pPr>
      <w:r w:rsidRPr="00710A06">
        <w:rPr>
          <w:rFonts w:cs="Arial"/>
          <w:iCs/>
          <w:color w:val="000000" w:themeColor="text1"/>
          <w:sz w:val="24"/>
          <w:szCs w:val="24"/>
          <w:lang w:val="es-ES"/>
        </w:rPr>
        <w:t xml:space="preserve">El Ejecutivo del Estado de Tlaxcala con la finalidad de atender a la población afectada y los daños causados a la infraestructura pública estatal ocasionados por la ocurrencia de desastres naturales, así como para llevar a cabo acciones para prevenir y mitigar su impacto a las finanzas estatales, en cumplimiento a las disposiciones en materia de Disciplina Financiera, </w:t>
      </w:r>
      <w:r w:rsidRPr="00710A06">
        <w:rPr>
          <w:rFonts w:cs="Arial"/>
          <w:iCs/>
          <w:color w:val="000000" w:themeColor="text1"/>
          <w:sz w:val="24"/>
          <w:szCs w:val="24"/>
          <w:lang w:val="es-ES"/>
        </w:rPr>
        <w:lastRenderedPageBreak/>
        <w:t>incorporadas a la legislación estatal se constituyó el Fideicomiso Fondo de Desastres Naturales; al cual se efectuó en el ejercicio de 2017 una aportación inicial de $10,000,000.00 (Diez millones de pesos 00/100 M.N.) y para el ejercicio de 2018, se prevé destinar a este Fideicomiso la cantidad de $50,000,000.00, monto superior al mínimo obligado.</w:t>
      </w:r>
    </w:p>
    <w:p w:rsidR="00710A06" w:rsidRPr="00710A06" w:rsidRDefault="00710A06" w:rsidP="00C45465">
      <w:pPr>
        <w:pStyle w:val="PRIMERAPLANA"/>
        <w:spacing w:line="360" w:lineRule="auto"/>
        <w:rPr>
          <w:rFonts w:cs="Arial"/>
          <w:iCs/>
          <w:color w:val="000000" w:themeColor="text1"/>
          <w:sz w:val="24"/>
          <w:szCs w:val="24"/>
          <w:lang w:val="es-ES"/>
        </w:rPr>
      </w:pPr>
    </w:p>
    <w:p w:rsidR="00710A06" w:rsidRPr="00710A06" w:rsidRDefault="00710A06" w:rsidP="00C45465">
      <w:pPr>
        <w:pStyle w:val="PRIMERAPLANA"/>
        <w:spacing w:line="360" w:lineRule="auto"/>
        <w:rPr>
          <w:rFonts w:cs="Arial"/>
          <w:iCs/>
          <w:color w:val="000000" w:themeColor="text1"/>
          <w:sz w:val="24"/>
          <w:szCs w:val="24"/>
          <w:lang w:val="es-ES"/>
        </w:rPr>
      </w:pPr>
      <w:r w:rsidRPr="00710A06">
        <w:rPr>
          <w:rFonts w:cs="Arial"/>
          <w:iCs/>
          <w:color w:val="000000" w:themeColor="text1"/>
          <w:sz w:val="24"/>
          <w:szCs w:val="24"/>
          <w:lang w:val="es-ES"/>
        </w:rPr>
        <w:t>De los recursos aportados, se prevé destinar una cantidad para financiar las obras y acciones de reconstrucción de la infraestructura estatal autorizadas por el Fondo de Desastres Naturales, como la contraparte del Estado, tras las afectaciones que sufrió la Entidad derivado de los sismos de los días 07 y 19 de septiembre de 2017.</w:t>
      </w:r>
    </w:p>
    <w:p w:rsidR="00710A06" w:rsidRPr="00710A06" w:rsidRDefault="00710A06" w:rsidP="00C45465">
      <w:pPr>
        <w:pStyle w:val="PRIMERAPLANA"/>
        <w:spacing w:line="360" w:lineRule="auto"/>
        <w:rPr>
          <w:rFonts w:cs="Arial"/>
          <w:iCs/>
          <w:color w:val="000000" w:themeColor="text1"/>
          <w:sz w:val="24"/>
          <w:szCs w:val="24"/>
          <w:lang w:val="es-ES"/>
        </w:rPr>
      </w:pPr>
    </w:p>
    <w:p w:rsidR="00710A06" w:rsidRPr="00710A06" w:rsidRDefault="00710A06" w:rsidP="00C45465">
      <w:pPr>
        <w:pStyle w:val="PRIMERAPLANA"/>
        <w:spacing w:line="360" w:lineRule="auto"/>
        <w:rPr>
          <w:rFonts w:cs="Arial"/>
          <w:b/>
          <w:iCs/>
          <w:color w:val="000000" w:themeColor="text1"/>
          <w:sz w:val="24"/>
          <w:szCs w:val="24"/>
          <w:lang w:val="es-ES"/>
        </w:rPr>
      </w:pPr>
      <w:r w:rsidRPr="00710A06">
        <w:rPr>
          <w:rFonts w:cs="Arial"/>
          <w:b/>
          <w:iCs/>
          <w:color w:val="000000" w:themeColor="text1"/>
          <w:sz w:val="24"/>
          <w:szCs w:val="24"/>
          <w:lang w:val="es-ES"/>
        </w:rPr>
        <w:t>SERVICIOS PERSONALES.</w:t>
      </w:r>
    </w:p>
    <w:p w:rsidR="00710A06" w:rsidRPr="00710A06" w:rsidRDefault="00710A06" w:rsidP="00C45465">
      <w:pPr>
        <w:pStyle w:val="PRIMERAPLANA"/>
        <w:spacing w:line="360" w:lineRule="auto"/>
        <w:rPr>
          <w:rFonts w:cs="Arial"/>
          <w:b/>
          <w:iCs/>
          <w:color w:val="000000" w:themeColor="text1"/>
          <w:sz w:val="24"/>
          <w:szCs w:val="24"/>
          <w:lang w:val="es-ES"/>
        </w:rPr>
      </w:pPr>
    </w:p>
    <w:p w:rsidR="00710A06" w:rsidRPr="00710A06" w:rsidRDefault="00710A06" w:rsidP="00C45465">
      <w:pPr>
        <w:pStyle w:val="PRIMERAPLANA"/>
        <w:spacing w:line="360" w:lineRule="auto"/>
        <w:rPr>
          <w:rFonts w:cs="Arial"/>
          <w:iCs/>
          <w:color w:val="000000" w:themeColor="text1"/>
          <w:sz w:val="24"/>
          <w:szCs w:val="24"/>
          <w:lang w:val="es-ES"/>
        </w:rPr>
      </w:pPr>
      <w:r w:rsidRPr="00710A06">
        <w:rPr>
          <w:rFonts w:cs="Arial"/>
          <w:iCs/>
          <w:color w:val="000000" w:themeColor="text1"/>
          <w:sz w:val="24"/>
          <w:szCs w:val="24"/>
          <w:lang w:val="es-ES"/>
        </w:rPr>
        <w:t>En materia de Servicios Personales, la asignación global prevista en el presente Proyecto de Presupuesto de Egresos, refleja un incremento real respecto del monto global autorizado para el ejercicio fiscal de 2017, equivalente al 2.12%.</w:t>
      </w:r>
    </w:p>
    <w:p w:rsidR="00710A06" w:rsidRPr="00710A06" w:rsidRDefault="00710A06" w:rsidP="00C45465">
      <w:pPr>
        <w:pStyle w:val="PRIMERAPLANA"/>
        <w:spacing w:line="360" w:lineRule="auto"/>
        <w:rPr>
          <w:rFonts w:cs="Arial"/>
          <w:iCs/>
          <w:color w:val="000000" w:themeColor="text1"/>
          <w:sz w:val="24"/>
          <w:szCs w:val="24"/>
          <w:lang w:val="es-ES"/>
        </w:rPr>
      </w:pPr>
    </w:p>
    <w:p w:rsidR="00710A06" w:rsidRPr="00710A06" w:rsidRDefault="00710A06" w:rsidP="00C45465">
      <w:pPr>
        <w:pStyle w:val="PRIMERAPLANA"/>
        <w:spacing w:line="360" w:lineRule="auto"/>
        <w:rPr>
          <w:rFonts w:cs="Arial"/>
          <w:iCs/>
          <w:color w:val="000000" w:themeColor="text1"/>
          <w:sz w:val="24"/>
          <w:szCs w:val="24"/>
          <w:lang w:val="es-ES"/>
        </w:rPr>
      </w:pPr>
      <w:r w:rsidRPr="00710A06">
        <w:rPr>
          <w:rFonts w:cs="Arial"/>
          <w:iCs/>
          <w:color w:val="000000" w:themeColor="text1"/>
          <w:sz w:val="24"/>
          <w:szCs w:val="24"/>
          <w:lang w:val="es-ES"/>
        </w:rPr>
        <w:t xml:space="preserve">Asimismo, el presente proyecto de Presupuesto de Egresos incorpora las erogaciones correspondientes al gasto en servicios personales de los Poderes Legislativo y Judicial, dependencias y entidades del Poder Ejecutivo, así como de los organismos autónomos. Lo anterior, en un marco de transparencia, comprende el desglose de las percepciones ordinarias y extraordinarias, tomando en cuenta las erogaciones por concepto de obligaciones de carácter fiscal y de seguridad social inherentes a las  mismas; y, a su vez, las previsiones salariales y económicas para cubrir los incrementos, la creación de plazas y otras medidas económicas de índole </w:t>
      </w:r>
      <w:r w:rsidRPr="00710A06">
        <w:rPr>
          <w:rFonts w:cs="Arial"/>
          <w:iCs/>
          <w:color w:val="000000" w:themeColor="text1"/>
          <w:sz w:val="24"/>
          <w:szCs w:val="24"/>
          <w:lang w:val="es-ES"/>
        </w:rPr>
        <w:lastRenderedPageBreak/>
        <w:t xml:space="preserve">laboral necesarias para el correcto desempeño del cúmulo de funciones inherentes al Gobierno del Estado. </w:t>
      </w:r>
    </w:p>
    <w:p w:rsidR="00710A06" w:rsidRPr="00F7212A" w:rsidRDefault="00710A06" w:rsidP="00F7212A">
      <w:pPr>
        <w:pStyle w:val="PRIMERAPLANA"/>
        <w:spacing w:line="360" w:lineRule="auto"/>
        <w:rPr>
          <w:rFonts w:cs="Arial"/>
          <w:iCs/>
          <w:color w:val="000000" w:themeColor="text1"/>
          <w:sz w:val="28"/>
          <w:szCs w:val="24"/>
          <w:lang w:val="es-ES"/>
        </w:rPr>
      </w:pPr>
    </w:p>
    <w:p w:rsidR="00710A06" w:rsidRPr="00F7212A" w:rsidRDefault="00710A06" w:rsidP="00F7212A">
      <w:pPr>
        <w:spacing w:after="0" w:line="360" w:lineRule="auto"/>
        <w:jc w:val="both"/>
        <w:rPr>
          <w:rFonts w:ascii="Arial" w:hAnsi="Arial" w:cs="Arial"/>
          <w:color w:val="000000" w:themeColor="text1"/>
          <w:sz w:val="24"/>
        </w:rPr>
      </w:pPr>
      <w:r w:rsidRPr="00F7212A">
        <w:rPr>
          <w:rFonts w:ascii="Arial" w:hAnsi="Arial" w:cs="Arial"/>
          <w:color w:val="000000" w:themeColor="text1"/>
          <w:sz w:val="24"/>
        </w:rPr>
        <w:t>Asimismo, se incluye un capítulo relativo a servicios personales, en el que se transparenta el destino de los recursos para cubrir percepciones laborales ordinarias y supervinientes, pagos de aportaciones del Gobierno del Estado a favor de los servidores públicos sindicalizados y de confianza, así como aportaciones a Pensiones Civiles del Estado.</w:t>
      </w:r>
    </w:p>
    <w:p w:rsidR="00710A06" w:rsidRPr="00F7212A" w:rsidRDefault="00710A06" w:rsidP="00F7212A">
      <w:pPr>
        <w:pStyle w:val="PRIMERAPLANA"/>
        <w:spacing w:line="360" w:lineRule="auto"/>
        <w:rPr>
          <w:rFonts w:cs="Arial"/>
          <w:iCs/>
          <w:color w:val="000000" w:themeColor="text1"/>
          <w:sz w:val="28"/>
          <w:szCs w:val="24"/>
          <w:lang w:val="es-MX"/>
        </w:rPr>
      </w:pPr>
    </w:p>
    <w:p w:rsidR="00710A06" w:rsidRPr="00710A06" w:rsidRDefault="00710A06" w:rsidP="00C45465">
      <w:pPr>
        <w:pStyle w:val="PRIMERAPLANA"/>
        <w:spacing w:line="360" w:lineRule="auto"/>
        <w:rPr>
          <w:rFonts w:cs="Arial"/>
          <w:b/>
          <w:iCs/>
          <w:color w:val="000000" w:themeColor="text1"/>
          <w:sz w:val="24"/>
          <w:szCs w:val="24"/>
          <w:lang w:val="es-ES"/>
        </w:rPr>
      </w:pPr>
      <w:r w:rsidRPr="00710A06">
        <w:rPr>
          <w:rFonts w:cs="Arial"/>
          <w:b/>
          <w:iCs/>
          <w:color w:val="000000" w:themeColor="text1"/>
          <w:sz w:val="24"/>
          <w:szCs w:val="24"/>
          <w:lang w:val="es-ES"/>
        </w:rPr>
        <w:t>ASOCIACIONES PÚBLICO-PRIVADAS.</w:t>
      </w:r>
    </w:p>
    <w:p w:rsidR="00710A06" w:rsidRPr="00710A06" w:rsidRDefault="00710A06" w:rsidP="00C45465">
      <w:pPr>
        <w:pStyle w:val="PRIMERAPLANA"/>
        <w:spacing w:line="360" w:lineRule="auto"/>
        <w:rPr>
          <w:rFonts w:cs="Arial"/>
          <w:b/>
          <w:iCs/>
          <w:color w:val="000000" w:themeColor="text1"/>
          <w:sz w:val="24"/>
          <w:szCs w:val="24"/>
          <w:lang w:val="es-ES"/>
        </w:rPr>
      </w:pPr>
    </w:p>
    <w:p w:rsidR="00710A06" w:rsidRPr="00710A06" w:rsidRDefault="00710A06" w:rsidP="00C45465">
      <w:pPr>
        <w:pStyle w:val="PRIMERAPLANA"/>
        <w:spacing w:line="360" w:lineRule="auto"/>
        <w:rPr>
          <w:rFonts w:cs="Arial"/>
          <w:iCs/>
          <w:color w:val="000000" w:themeColor="text1"/>
          <w:sz w:val="24"/>
          <w:szCs w:val="24"/>
          <w:lang w:val="es-ES"/>
        </w:rPr>
      </w:pPr>
      <w:r w:rsidRPr="00710A06">
        <w:rPr>
          <w:rFonts w:cs="Arial"/>
          <w:iCs/>
          <w:color w:val="000000" w:themeColor="text1"/>
          <w:sz w:val="24"/>
          <w:szCs w:val="24"/>
          <w:lang w:val="es-ES"/>
        </w:rPr>
        <w:t>La presente Iniciativa con Proyecto de Decreto de Presupuesto de Egresos del Estado de Tlaxcala para el Ejercicio Fiscal 2018, no contempla asignación presupuestal alguna para el pago de obligaciones derivadas de la contratación bajo el esquema de Asociaciones Público- Privadas.</w:t>
      </w:r>
    </w:p>
    <w:p w:rsidR="00710A06" w:rsidRPr="00710A06" w:rsidRDefault="00710A06" w:rsidP="00C45465">
      <w:pPr>
        <w:pStyle w:val="PRIMERAPLANA"/>
        <w:spacing w:line="360" w:lineRule="auto"/>
        <w:rPr>
          <w:rFonts w:cs="Arial"/>
          <w:iCs/>
          <w:color w:val="000000" w:themeColor="text1"/>
          <w:sz w:val="24"/>
          <w:szCs w:val="24"/>
          <w:lang w:val="es-ES"/>
        </w:rPr>
      </w:pPr>
    </w:p>
    <w:p w:rsidR="00710A06" w:rsidRPr="00710A06" w:rsidRDefault="00710A06" w:rsidP="00C45465">
      <w:pPr>
        <w:pStyle w:val="PRIMERAPLANA"/>
        <w:spacing w:line="360" w:lineRule="auto"/>
        <w:rPr>
          <w:rFonts w:cs="Arial"/>
          <w:iCs/>
          <w:color w:val="000000" w:themeColor="text1"/>
          <w:sz w:val="24"/>
          <w:szCs w:val="24"/>
          <w:lang w:val="es-ES"/>
        </w:rPr>
      </w:pPr>
      <w:r w:rsidRPr="00710A06">
        <w:rPr>
          <w:rFonts w:cs="Arial"/>
          <w:iCs/>
          <w:color w:val="000000" w:themeColor="text1"/>
          <w:sz w:val="24"/>
          <w:szCs w:val="24"/>
          <w:lang w:val="es-ES"/>
        </w:rPr>
        <w:t>Al respecto, es de resaltar que de conformidad con lo señalado en el Plan Estatal de Desarrollo 2017- 2021, el Ejecutivo del Estado presentará al Congreso Local la Iniciativa que regule la operación de dichas asociaciones para generar mecanismos adicionales de financiamiento de proyectos y operación de servicios públicos.</w:t>
      </w:r>
    </w:p>
    <w:p w:rsidR="00710A06" w:rsidRPr="00710A06" w:rsidRDefault="00710A06" w:rsidP="00C45465">
      <w:pPr>
        <w:pStyle w:val="PRIMERAPLANA"/>
        <w:spacing w:line="360" w:lineRule="auto"/>
        <w:rPr>
          <w:rFonts w:cs="Arial"/>
          <w:iCs/>
          <w:color w:val="000000" w:themeColor="text1"/>
          <w:sz w:val="24"/>
          <w:szCs w:val="24"/>
          <w:lang w:val="es-ES"/>
        </w:rPr>
      </w:pPr>
    </w:p>
    <w:p w:rsidR="00710A06" w:rsidRPr="00710A06" w:rsidRDefault="00710A06" w:rsidP="00C45465">
      <w:pPr>
        <w:pStyle w:val="PRIMERAPLANA"/>
        <w:spacing w:line="360" w:lineRule="auto"/>
        <w:rPr>
          <w:rFonts w:cs="Arial"/>
          <w:b/>
          <w:iCs/>
          <w:color w:val="000000" w:themeColor="text1"/>
          <w:sz w:val="24"/>
          <w:szCs w:val="24"/>
          <w:lang w:val="es-ES"/>
        </w:rPr>
      </w:pPr>
      <w:r w:rsidRPr="00710A06">
        <w:rPr>
          <w:rFonts w:cs="Arial"/>
          <w:b/>
          <w:iCs/>
          <w:color w:val="000000" w:themeColor="text1"/>
          <w:sz w:val="24"/>
          <w:szCs w:val="24"/>
          <w:lang w:val="es-ES"/>
        </w:rPr>
        <w:t>ADEUDOS DE EJERCICIOS ANTERIORES</w:t>
      </w:r>
    </w:p>
    <w:p w:rsidR="00C45465" w:rsidRDefault="00C45465" w:rsidP="00C45465">
      <w:pPr>
        <w:pStyle w:val="PRIMERAPLANA"/>
        <w:spacing w:line="360" w:lineRule="auto"/>
        <w:rPr>
          <w:rFonts w:cs="Arial"/>
          <w:color w:val="000000" w:themeColor="text1"/>
          <w:sz w:val="24"/>
          <w:szCs w:val="24"/>
        </w:rPr>
      </w:pPr>
    </w:p>
    <w:p w:rsidR="00710A06" w:rsidRPr="00710A06" w:rsidRDefault="00710A06" w:rsidP="00C45465">
      <w:pPr>
        <w:pStyle w:val="PRIMERAPLANA"/>
        <w:spacing w:line="360" w:lineRule="auto"/>
        <w:rPr>
          <w:rFonts w:cs="Arial"/>
          <w:b/>
          <w:iCs/>
          <w:color w:val="000000" w:themeColor="text1"/>
          <w:sz w:val="24"/>
          <w:szCs w:val="24"/>
          <w:lang w:val="es-ES"/>
        </w:rPr>
      </w:pPr>
      <w:r w:rsidRPr="00710A06">
        <w:rPr>
          <w:rFonts w:cs="Arial"/>
          <w:color w:val="000000" w:themeColor="text1"/>
          <w:sz w:val="24"/>
          <w:szCs w:val="24"/>
        </w:rPr>
        <w:t xml:space="preserve">En el caso de los </w:t>
      </w:r>
      <w:r w:rsidRPr="00710A06">
        <w:rPr>
          <w:rFonts w:cs="Arial"/>
          <w:b/>
          <w:color w:val="000000" w:themeColor="text1"/>
          <w:sz w:val="24"/>
          <w:szCs w:val="24"/>
        </w:rPr>
        <w:t>Adeudos de Ejercicios Fiscales Anteriores</w:t>
      </w:r>
      <w:r w:rsidRPr="00710A06">
        <w:rPr>
          <w:rFonts w:cs="Arial"/>
          <w:color w:val="000000" w:themeColor="text1"/>
          <w:sz w:val="24"/>
          <w:szCs w:val="24"/>
        </w:rPr>
        <w:t xml:space="preserve"> (ADEFAS), se establece un monto equivalente al 2% de los ingresos totales, para el pago de adeudos que al cierre del ejercicio de 2017 se encuentren pendientes de pago.</w:t>
      </w:r>
    </w:p>
    <w:p w:rsidR="00710A06" w:rsidRDefault="00710A06" w:rsidP="00C45465">
      <w:pPr>
        <w:spacing w:after="0" w:line="360" w:lineRule="auto"/>
        <w:jc w:val="both"/>
        <w:rPr>
          <w:rFonts w:ascii="Arial" w:hAnsi="Arial" w:cs="Arial"/>
          <w:b/>
          <w:color w:val="000000" w:themeColor="text1"/>
          <w:sz w:val="24"/>
          <w:szCs w:val="24"/>
        </w:rPr>
      </w:pPr>
      <w:r w:rsidRPr="00607E6C">
        <w:rPr>
          <w:rFonts w:ascii="Arial" w:hAnsi="Arial" w:cs="Arial"/>
          <w:b/>
          <w:color w:val="000000" w:themeColor="text1"/>
          <w:sz w:val="24"/>
          <w:szCs w:val="24"/>
        </w:rPr>
        <w:lastRenderedPageBreak/>
        <w:t>CRITERIOS GENERALES DE PRESUPUESTO Y GASTO ESTATAL</w:t>
      </w:r>
    </w:p>
    <w:p w:rsidR="00E40CB7" w:rsidRPr="00607E6C" w:rsidRDefault="00E40CB7" w:rsidP="00C45465">
      <w:pPr>
        <w:spacing w:after="0" w:line="360" w:lineRule="auto"/>
        <w:jc w:val="both"/>
        <w:rPr>
          <w:rFonts w:ascii="Arial" w:hAnsi="Arial" w:cs="Arial"/>
          <w:b/>
          <w:color w:val="000000" w:themeColor="text1"/>
          <w:sz w:val="24"/>
          <w:szCs w:val="24"/>
        </w:rPr>
      </w:pPr>
    </w:p>
    <w:p w:rsidR="00710A06" w:rsidRDefault="00710A06" w:rsidP="00C45465">
      <w:pPr>
        <w:spacing w:after="0" w:line="360" w:lineRule="auto"/>
        <w:jc w:val="both"/>
        <w:rPr>
          <w:rFonts w:ascii="Arial" w:hAnsi="Arial" w:cs="Arial"/>
          <w:color w:val="000000" w:themeColor="text1"/>
          <w:sz w:val="24"/>
          <w:szCs w:val="24"/>
        </w:rPr>
      </w:pPr>
      <w:r w:rsidRPr="00607E6C">
        <w:rPr>
          <w:rFonts w:ascii="Arial" w:hAnsi="Arial" w:cs="Arial"/>
          <w:color w:val="000000" w:themeColor="text1"/>
          <w:sz w:val="24"/>
          <w:szCs w:val="24"/>
        </w:rPr>
        <w:t xml:space="preserve">El funcionamiento eficiente y eficaz de las instituciones del Estado y el ejercicio ético en la gestión pública, así como el fortalecimiento de los valores que dan sustento a la democracia para alcanzar el pleno respeto de las diferencias de cualquier índole y del derecho de cada quien a decidir su forma de vida, resultan pilares fundamentales para la consolidación de un sistema democrático. </w:t>
      </w:r>
    </w:p>
    <w:p w:rsidR="00E40CB7" w:rsidRPr="00607E6C" w:rsidRDefault="00E40CB7" w:rsidP="00C45465">
      <w:pPr>
        <w:spacing w:after="0" w:line="360" w:lineRule="auto"/>
        <w:jc w:val="both"/>
        <w:rPr>
          <w:rFonts w:ascii="Arial" w:hAnsi="Arial" w:cs="Arial"/>
          <w:color w:val="000000" w:themeColor="text1"/>
          <w:sz w:val="24"/>
          <w:szCs w:val="24"/>
        </w:rPr>
      </w:pPr>
    </w:p>
    <w:p w:rsidR="00710A06" w:rsidRDefault="00710A06" w:rsidP="00C45465">
      <w:pPr>
        <w:spacing w:after="0" w:line="360" w:lineRule="auto"/>
        <w:jc w:val="both"/>
        <w:rPr>
          <w:rFonts w:ascii="Arial" w:hAnsi="Arial" w:cs="Arial"/>
          <w:color w:val="000000" w:themeColor="text1"/>
          <w:sz w:val="24"/>
          <w:szCs w:val="24"/>
        </w:rPr>
      </w:pPr>
      <w:r w:rsidRPr="00607E6C">
        <w:rPr>
          <w:rFonts w:ascii="Arial" w:hAnsi="Arial" w:cs="Arial"/>
          <w:color w:val="000000" w:themeColor="text1"/>
          <w:sz w:val="24"/>
          <w:szCs w:val="24"/>
        </w:rPr>
        <w:t xml:space="preserve">En este sentido, producto de la demanda ciudadana de información precisa, confiable y comprobable de la administración pública, se ha impulsado una cultura de transparencia y rendición de cuentas en la gestión pública. </w:t>
      </w:r>
    </w:p>
    <w:p w:rsidR="00E40CB7" w:rsidRPr="00607E6C" w:rsidRDefault="00E40CB7" w:rsidP="00C45465">
      <w:pPr>
        <w:spacing w:after="0" w:line="360" w:lineRule="auto"/>
        <w:jc w:val="both"/>
        <w:rPr>
          <w:rFonts w:ascii="Arial" w:hAnsi="Arial" w:cs="Arial"/>
          <w:color w:val="000000" w:themeColor="text1"/>
          <w:sz w:val="24"/>
          <w:szCs w:val="24"/>
        </w:rPr>
      </w:pPr>
    </w:p>
    <w:p w:rsidR="00710A06" w:rsidRDefault="00710A06" w:rsidP="00C45465">
      <w:pPr>
        <w:spacing w:after="0" w:line="360" w:lineRule="auto"/>
        <w:jc w:val="both"/>
        <w:rPr>
          <w:rFonts w:ascii="Arial" w:hAnsi="Arial" w:cs="Arial"/>
          <w:color w:val="000000" w:themeColor="text1"/>
          <w:sz w:val="24"/>
          <w:szCs w:val="24"/>
        </w:rPr>
      </w:pPr>
      <w:r w:rsidRPr="00607E6C">
        <w:rPr>
          <w:rFonts w:ascii="Arial" w:hAnsi="Arial" w:cs="Arial"/>
          <w:color w:val="000000" w:themeColor="text1"/>
          <w:sz w:val="24"/>
          <w:szCs w:val="24"/>
        </w:rPr>
        <w:t>Se han llevado a cabo acciones que permiten proveer lo necesario para que toda persona pueda tener acceso a la información mediante procedimientos sencillos y expeditos, transparentando la gestión pública mediante la difusión de la información que generan los sujetos obligados y garantizando en todo momento la protección de los datos personales en posesión de las dependencias y entidades del Estado, permitiendo rendir cuentas a los ciudadanos de manera que puedan valorar el desempeño del Gobierno del Estado.</w:t>
      </w:r>
    </w:p>
    <w:p w:rsidR="00E40CB7" w:rsidRPr="00607E6C" w:rsidRDefault="00E40CB7" w:rsidP="00C45465">
      <w:pPr>
        <w:spacing w:after="0" w:line="360" w:lineRule="auto"/>
        <w:jc w:val="both"/>
        <w:rPr>
          <w:rFonts w:ascii="Arial" w:hAnsi="Arial" w:cs="Arial"/>
          <w:color w:val="000000" w:themeColor="text1"/>
          <w:sz w:val="24"/>
          <w:szCs w:val="24"/>
        </w:rPr>
      </w:pPr>
    </w:p>
    <w:p w:rsidR="00710A06" w:rsidRDefault="00710A06" w:rsidP="00C45465">
      <w:pPr>
        <w:spacing w:after="0" w:line="360" w:lineRule="auto"/>
        <w:jc w:val="both"/>
        <w:rPr>
          <w:rFonts w:ascii="Arial" w:hAnsi="Arial" w:cs="Arial"/>
          <w:color w:val="000000" w:themeColor="text1"/>
          <w:sz w:val="24"/>
          <w:szCs w:val="24"/>
        </w:rPr>
      </w:pPr>
      <w:r w:rsidRPr="00607E6C">
        <w:rPr>
          <w:rFonts w:ascii="Arial" w:hAnsi="Arial" w:cs="Arial"/>
          <w:color w:val="000000" w:themeColor="text1"/>
          <w:sz w:val="24"/>
          <w:szCs w:val="24"/>
        </w:rPr>
        <w:t xml:space="preserve">El Estado de Tlaxcala, ha avanzado de manera determinante en materia de transparencia, muestra de ello es la calificación otorgada a través del Índice de Información Presupuestal Estatal, evaluado por el Instituto Mexicano para la Competitividad A. C. (IMCO), mismo que ha situado al Estado con una calificación de 99.14%, en cumplimiento a los reactivos evaluados a través del Índice de Información Presupuestal Estatal 2016 (IIPE2016); con </w:t>
      </w:r>
      <w:r w:rsidRPr="00607E6C">
        <w:rPr>
          <w:rFonts w:ascii="Arial" w:hAnsi="Arial" w:cs="Arial"/>
          <w:color w:val="000000" w:themeColor="text1"/>
          <w:sz w:val="24"/>
          <w:szCs w:val="24"/>
        </w:rPr>
        <w:lastRenderedPageBreak/>
        <w:t>estas acciones reafirmamos el compromiso del Gobierno del Estado con la transparencia presupuestal y la rendición de cuentas.</w:t>
      </w:r>
    </w:p>
    <w:p w:rsidR="00E40CB7" w:rsidRPr="00607E6C" w:rsidRDefault="00E40CB7" w:rsidP="00C45465">
      <w:pPr>
        <w:spacing w:after="0" w:line="360" w:lineRule="auto"/>
        <w:jc w:val="both"/>
        <w:rPr>
          <w:rFonts w:ascii="Arial" w:hAnsi="Arial" w:cs="Arial"/>
          <w:color w:val="000000" w:themeColor="text1"/>
          <w:sz w:val="24"/>
          <w:szCs w:val="24"/>
        </w:rPr>
      </w:pPr>
    </w:p>
    <w:p w:rsidR="00710A06" w:rsidRDefault="00710A06" w:rsidP="00C45465">
      <w:pPr>
        <w:spacing w:after="0" w:line="360" w:lineRule="auto"/>
        <w:jc w:val="both"/>
        <w:rPr>
          <w:rFonts w:ascii="Arial" w:hAnsi="Arial" w:cs="Arial"/>
          <w:color w:val="000000" w:themeColor="text1"/>
          <w:sz w:val="24"/>
          <w:szCs w:val="24"/>
        </w:rPr>
      </w:pPr>
      <w:r w:rsidRPr="00607E6C">
        <w:rPr>
          <w:rFonts w:ascii="Arial" w:hAnsi="Arial" w:cs="Arial"/>
          <w:color w:val="000000" w:themeColor="text1"/>
          <w:sz w:val="24"/>
          <w:szCs w:val="24"/>
        </w:rPr>
        <w:t>Tlaxcala se encuentra en la lista de los primeros diez Estados de la República que obtuvieron las mejores calificaciones, debido a que presentaron de manera oficial información sobre su Ley de Ingresos con estructura armonizada y su presupuesto de Egresos utiliza las clasificaciones reguladas por el Consejo Nacional de Armonización Contable.</w:t>
      </w:r>
    </w:p>
    <w:p w:rsidR="00E40CB7" w:rsidRPr="00607E6C" w:rsidRDefault="00E40CB7" w:rsidP="00C45465">
      <w:pPr>
        <w:spacing w:after="0" w:line="360" w:lineRule="auto"/>
        <w:jc w:val="both"/>
        <w:rPr>
          <w:rFonts w:ascii="Arial" w:hAnsi="Arial" w:cs="Arial"/>
          <w:color w:val="000000" w:themeColor="text1"/>
          <w:sz w:val="24"/>
          <w:szCs w:val="24"/>
        </w:rPr>
      </w:pPr>
    </w:p>
    <w:p w:rsidR="00710A06" w:rsidRDefault="00710A06" w:rsidP="00C45465">
      <w:pPr>
        <w:spacing w:after="0" w:line="360" w:lineRule="auto"/>
        <w:jc w:val="both"/>
        <w:rPr>
          <w:rFonts w:ascii="Arial" w:hAnsi="Arial" w:cs="Arial"/>
          <w:color w:val="000000" w:themeColor="text1"/>
          <w:sz w:val="24"/>
          <w:szCs w:val="24"/>
        </w:rPr>
      </w:pPr>
      <w:r w:rsidRPr="00607E6C">
        <w:rPr>
          <w:rFonts w:ascii="Arial" w:hAnsi="Arial" w:cs="Arial"/>
          <w:color w:val="000000" w:themeColor="text1"/>
          <w:sz w:val="24"/>
          <w:szCs w:val="24"/>
        </w:rPr>
        <w:t>La transparencia y la rendición de cuentas en la gestión pública en el Estado se perfilan hacia una nueva cultura política en la cual la participación ciudadana conlleva la existencia de una sociedad más equitativa y más justa, de este modo la gobernabilidad democrática dependerá de que los intereses sociales se vean reflejados en acciones de gobierno transparente.</w:t>
      </w:r>
    </w:p>
    <w:p w:rsidR="00E40CB7" w:rsidRPr="00607E6C" w:rsidRDefault="00E40CB7" w:rsidP="00C45465">
      <w:pPr>
        <w:spacing w:after="0" w:line="360" w:lineRule="auto"/>
        <w:jc w:val="both"/>
        <w:rPr>
          <w:rFonts w:ascii="Arial" w:hAnsi="Arial" w:cs="Arial"/>
          <w:color w:val="000000" w:themeColor="text1"/>
          <w:sz w:val="24"/>
          <w:szCs w:val="24"/>
        </w:rPr>
      </w:pPr>
    </w:p>
    <w:p w:rsidR="00710A06" w:rsidRDefault="00710A06" w:rsidP="00C45465">
      <w:pPr>
        <w:spacing w:after="0" w:line="360" w:lineRule="auto"/>
        <w:jc w:val="both"/>
        <w:rPr>
          <w:rFonts w:ascii="Arial" w:hAnsi="Arial" w:cs="Arial"/>
          <w:color w:val="000000" w:themeColor="text1"/>
          <w:sz w:val="24"/>
          <w:szCs w:val="24"/>
        </w:rPr>
      </w:pPr>
      <w:r w:rsidRPr="00607E6C">
        <w:rPr>
          <w:rFonts w:ascii="Arial" w:hAnsi="Arial" w:cs="Arial"/>
          <w:color w:val="000000" w:themeColor="text1"/>
          <w:sz w:val="24"/>
          <w:szCs w:val="24"/>
        </w:rPr>
        <w:t>Siguiendo con los principios que rigen la Racionalidad, Austeridad y Transparencia se mantendrá un presupuesto equilibrado para el 2018, dando prioridad presupuestaria a los temas de: Educación, Salud, Empleo y Seguridad.</w:t>
      </w:r>
    </w:p>
    <w:p w:rsidR="00E40CB7" w:rsidRPr="00607E6C" w:rsidRDefault="00E40CB7" w:rsidP="00C45465">
      <w:pPr>
        <w:spacing w:after="0" w:line="360" w:lineRule="auto"/>
        <w:jc w:val="both"/>
        <w:rPr>
          <w:rFonts w:ascii="Arial" w:hAnsi="Arial" w:cs="Arial"/>
          <w:color w:val="000000" w:themeColor="text1"/>
          <w:sz w:val="24"/>
          <w:szCs w:val="24"/>
        </w:rPr>
      </w:pPr>
    </w:p>
    <w:p w:rsidR="00710A06" w:rsidRDefault="00710A06" w:rsidP="00C45465">
      <w:pPr>
        <w:spacing w:after="0" w:line="360" w:lineRule="auto"/>
        <w:jc w:val="both"/>
        <w:rPr>
          <w:rFonts w:ascii="Arial" w:hAnsi="Arial" w:cs="Arial"/>
          <w:color w:val="000000" w:themeColor="text1"/>
          <w:sz w:val="24"/>
          <w:szCs w:val="24"/>
        </w:rPr>
      </w:pPr>
      <w:r w:rsidRPr="00607E6C">
        <w:rPr>
          <w:rFonts w:ascii="Arial" w:hAnsi="Arial" w:cs="Arial"/>
          <w:color w:val="000000" w:themeColor="text1"/>
          <w:sz w:val="24"/>
          <w:szCs w:val="24"/>
        </w:rPr>
        <w:t xml:space="preserve">Atendiendo las Políticas, Objetivos, Estrategias, Líneas y </w:t>
      </w:r>
      <w:proofErr w:type="spellStart"/>
      <w:r w:rsidRPr="00607E6C">
        <w:rPr>
          <w:rFonts w:ascii="Arial" w:hAnsi="Arial" w:cs="Arial"/>
          <w:color w:val="000000" w:themeColor="text1"/>
          <w:sz w:val="24"/>
          <w:szCs w:val="24"/>
        </w:rPr>
        <w:t>Sublíneas</w:t>
      </w:r>
      <w:proofErr w:type="spellEnd"/>
      <w:r w:rsidRPr="00607E6C">
        <w:rPr>
          <w:rFonts w:ascii="Arial" w:hAnsi="Arial" w:cs="Arial"/>
          <w:color w:val="000000" w:themeColor="text1"/>
          <w:sz w:val="24"/>
          <w:szCs w:val="24"/>
        </w:rPr>
        <w:t xml:space="preserve"> de Acción del Plan Estatal de Desarrollo 2017-2021, la Planeación y Programación del Presupuesto 2018 se encuentran enfocadas a administrar de manera más eficiente y eficaz el Sistema Estatal de Planeación apoyando la instrumentación de la Gestión Pública para Resultados por lo consiguiente se generaron 225 Indicadores Estratégicos que medirán a nivel estatal los avances en datos estadísticos relevantes y contribuirán a nivel </w:t>
      </w:r>
      <w:r w:rsidRPr="00607E6C">
        <w:rPr>
          <w:rFonts w:ascii="Arial" w:hAnsi="Arial" w:cs="Arial"/>
          <w:color w:val="000000" w:themeColor="text1"/>
          <w:sz w:val="24"/>
          <w:szCs w:val="24"/>
        </w:rPr>
        <w:lastRenderedPageBreak/>
        <w:t>nacional de manera macroeconómica y 830 indicadores de gestión que permiten establecer la obtención correcta de los productos o servicios para el cumplimiento del Fin o Propósito.</w:t>
      </w:r>
    </w:p>
    <w:p w:rsidR="00E40CB7" w:rsidRPr="00607E6C" w:rsidRDefault="00E40CB7" w:rsidP="00C45465">
      <w:pPr>
        <w:spacing w:after="0" w:line="360" w:lineRule="auto"/>
        <w:jc w:val="both"/>
        <w:rPr>
          <w:rFonts w:ascii="Arial" w:hAnsi="Arial" w:cs="Arial"/>
          <w:color w:val="000000" w:themeColor="text1"/>
          <w:sz w:val="24"/>
          <w:szCs w:val="24"/>
        </w:rPr>
      </w:pPr>
    </w:p>
    <w:p w:rsidR="00710A06" w:rsidRDefault="00710A06" w:rsidP="00C45465">
      <w:pPr>
        <w:spacing w:after="0" w:line="360" w:lineRule="auto"/>
        <w:jc w:val="both"/>
        <w:rPr>
          <w:rFonts w:ascii="Arial" w:hAnsi="Arial" w:cs="Arial"/>
          <w:color w:val="000000" w:themeColor="text1"/>
          <w:sz w:val="24"/>
          <w:szCs w:val="24"/>
        </w:rPr>
      </w:pPr>
      <w:r w:rsidRPr="00607E6C">
        <w:rPr>
          <w:rFonts w:ascii="Arial" w:hAnsi="Arial" w:cs="Arial"/>
          <w:color w:val="000000" w:themeColor="text1"/>
          <w:sz w:val="24"/>
          <w:szCs w:val="24"/>
        </w:rPr>
        <w:t xml:space="preserve">Cada línea y </w:t>
      </w:r>
      <w:proofErr w:type="spellStart"/>
      <w:r w:rsidRPr="00607E6C">
        <w:rPr>
          <w:rFonts w:ascii="Arial" w:hAnsi="Arial" w:cs="Arial"/>
          <w:color w:val="000000" w:themeColor="text1"/>
          <w:sz w:val="24"/>
          <w:szCs w:val="24"/>
        </w:rPr>
        <w:t>sublínea</w:t>
      </w:r>
      <w:proofErr w:type="spellEnd"/>
      <w:r w:rsidRPr="00607E6C">
        <w:rPr>
          <w:rFonts w:ascii="Arial" w:hAnsi="Arial" w:cs="Arial"/>
          <w:color w:val="000000" w:themeColor="text1"/>
          <w:sz w:val="24"/>
          <w:szCs w:val="24"/>
        </w:rPr>
        <w:t xml:space="preserve"> de acción contenida en el Plan Estatal de Desarrollo 2017-2021 está debidamente representada por un Indicador con la finalidad de Evaluar con acciones determinadas el avance de metas y/</w:t>
      </w:r>
      <w:proofErr w:type="spellStart"/>
      <w:r w:rsidRPr="00607E6C">
        <w:rPr>
          <w:rFonts w:ascii="Arial" w:hAnsi="Arial" w:cs="Arial"/>
          <w:color w:val="000000" w:themeColor="text1"/>
          <w:sz w:val="24"/>
          <w:szCs w:val="24"/>
        </w:rPr>
        <w:t>o</w:t>
      </w:r>
      <w:proofErr w:type="spellEnd"/>
      <w:r w:rsidRPr="00607E6C">
        <w:rPr>
          <w:rFonts w:ascii="Arial" w:hAnsi="Arial" w:cs="Arial"/>
          <w:color w:val="000000" w:themeColor="text1"/>
          <w:sz w:val="24"/>
          <w:szCs w:val="24"/>
        </w:rPr>
        <w:t xml:space="preserve"> objetivos encaminados al bien social de la ciudadanía Tlaxcalteca.</w:t>
      </w:r>
    </w:p>
    <w:p w:rsidR="00E40CB7" w:rsidRPr="00607E6C" w:rsidRDefault="00E40CB7" w:rsidP="00C45465">
      <w:pPr>
        <w:spacing w:after="0" w:line="360" w:lineRule="auto"/>
        <w:jc w:val="both"/>
        <w:rPr>
          <w:rFonts w:ascii="Arial" w:hAnsi="Arial" w:cs="Arial"/>
          <w:color w:val="000000" w:themeColor="text1"/>
          <w:sz w:val="24"/>
          <w:szCs w:val="24"/>
        </w:rPr>
      </w:pPr>
    </w:p>
    <w:p w:rsidR="00710A06" w:rsidRDefault="00710A06" w:rsidP="00C45465">
      <w:pPr>
        <w:spacing w:after="0" w:line="360" w:lineRule="auto"/>
        <w:jc w:val="both"/>
        <w:rPr>
          <w:rFonts w:ascii="Arial" w:hAnsi="Arial" w:cs="Arial"/>
          <w:color w:val="000000" w:themeColor="text1"/>
          <w:sz w:val="24"/>
          <w:szCs w:val="24"/>
        </w:rPr>
      </w:pPr>
      <w:r w:rsidRPr="00607E6C">
        <w:rPr>
          <w:rFonts w:ascii="Arial" w:hAnsi="Arial" w:cs="Arial"/>
          <w:color w:val="000000" w:themeColor="text1"/>
          <w:sz w:val="24"/>
          <w:szCs w:val="24"/>
        </w:rPr>
        <w:t>En relación a lo anterior, se realizarán entre otras, las siguientes obras y acciones de gran impacto:</w:t>
      </w:r>
    </w:p>
    <w:p w:rsidR="00C45465" w:rsidRPr="00607E6C" w:rsidRDefault="00C45465" w:rsidP="00C45465">
      <w:pPr>
        <w:spacing w:after="0" w:line="360" w:lineRule="auto"/>
        <w:jc w:val="both"/>
        <w:rPr>
          <w:rFonts w:ascii="Arial" w:hAnsi="Arial" w:cs="Arial"/>
          <w:color w:val="000000" w:themeColor="text1"/>
          <w:sz w:val="24"/>
          <w:szCs w:val="24"/>
        </w:rPr>
      </w:pPr>
    </w:p>
    <w:p w:rsidR="00710A06" w:rsidRDefault="00710A06" w:rsidP="00C45465">
      <w:pPr>
        <w:pStyle w:val="Prrafodelista"/>
        <w:numPr>
          <w:ilvl w:val="0"/>
          <w:numId w:val="38"/>
        </w:numPr>
        <w:spacing w:after="0" w:line="360" w:lineRule="auto"/>
        <w:jc w:val="both"/>
        <w:rPr>
          <w:rFonts w:ascii="Arial" w:hAnsi="Arial" w:cs="Arial"/>
          <w:color w:val="000000" w:themeColor="text1"/>
          <w:sz w:val="24"/>
          <w:szCs w:val="24"/>
        </w:rPr>
      </w:pPr>
      <w:r w:rsidRPr="00607E6C">
        <w:rPr>
          <w:rFonts w:ascii="Arial" w:hAnsi="Arial" w:cs="Arial"/>
          <w:color w:val="000000" w:themeColor="text1"/>
          <w:sz w:val="24"/>
          <w:szCs w:val="24"/>
        </w:rPr>
        <w:t>Se van a incrementar las acciones de Capacitación al Personal de Seguridad Pública y Equipamiento del mismo.</w:t>
      </w:r>
    </w:p>
    <w:p w:rsidR="00C45465" w:rsidRPr="00607E6C" w:rsidRDefault="00C45465" w:rsidP="00C45465">
      <w:pPr>
        <w:pStyle w:val="Prrafodelista"/>
        <w:spacing w:after="0" w:line="360" w:lineRule="auto"/>
        <w:jc w:val="both"/>
        <w:rPr>
          <w:rFonts w:ascii="Arial" w:hAnsi="Arial" w:cs="Arial"/>
          <w:color w:val="000000" w:themeColor="text1"/>
          <w:sz w:val="24"/>
          <w:szCs w:val="24"/>
        </w:rPr>
      </w:pPr>
    </w:p>
    <w:p w:rsidR="00710A06" w:rsidRDefault="00710A06" w:rsidP="00C45465">
      <w:pPr>
        <w:pStyle w:val="Prrafodelista"/>
        <w:numPr>
          <w:ilvl w:val="0"/>
          <w:numId w:val="38"/>
        </w:numPr>
        <w:spacing w:after="0" w:line="360" w:lineRule="auto"/>
        <w:jc w:val="both"/>
        <w:rPr>
          <w:rFonts w:ascii="Arial" w:hAnsi="Arial" w:cs="Arial"/>
          <w:color w:val="000000" w:themeColor="text1"/>
          <w:sz w:val="24"/>
          <w:szCs w:val="24"/>
        </w:rPr>
      </w:pPr>
      <w:r w:rsidRPr="00607E6C">
        <w:rPr>
          <w:rFonts w:ascii="Arial" w:hAnsi="Arial" w:cs="Arial"/>
          <w:color w:val="000000" w:themeColor="text1"/>
          <w:sz w:val="24"/>
          <w:szCs w:val="24"/>
        </w:rPr>
        <w:t>Se seguirá beneficiando a alumnos con libros de texto de manera gratuita a pesar del incremento de la matrícula.</w:t>
      </w:r>
    </w:p>
    <w:p w:rsidR="00C45465" w:rsidRPr="00607E6C" w:rsidRDefault="00C45465" w:rsidP="00C45465">
      <w:pPr>
        <w:pStyle w:val="Prrafodelista"/>
        <w:spacing w:after="0" w:line="360" w:lineRule="auto"/>
        <w:jc w:val="both"/>
        <w:rPr>
          <w:rFonts w:ascii="Arial" w:hAnsi="Arial" w:cs="Arial"/>
          <w:color w:val="000000" w:themeColor="text1"/>
          <w:sz w:val="24"/>
          <w:szCs w:val="24"/>
        </w:rPr>
      </w:pPr>
    </w:p>
    <w:p w:rsidR="00710A06" w:rsidRDefault="00710A06" w:rsidP="00C45465">
      <w:pPr>
        <w:pStyle w:val="Prrafodelista"/>
        <w:numPr>
          <w:ilvl w:val="0"/>
          <w:numId w:val="38"/>
        </w:numPr>
        <w:spacing w:after="0" w:line="360" w:lineRule="auto"/>
        <w:jc w:val="both"/>
        <w:rPr>
          <w:rFonts w:ascii="Arial" w:hAnsi="Arial" w:cs="Arial"/>
          <w:color w:val="000000" w:themeColor="text1"/>
          <w:sz w:val="24"/>
          <w:szCs w:val="24"/>
        </w:rPr>
      </w:pPr>
      <w:r w:rsidRPr="00607E6C">
        <w:rPr>
          <w:rFonts w:ascii="Arial" w:hAnsi="Arial" w:cs="Arial"/>
          <w:color w:val="000000" w:themeColor="text1"/>
          <w:sz w:val="24"/>
          <w:szCs w:val="24"/>
        </w:rPr>
        <w:t>Se proporcionarán los paquetes de útiles escolares además de apoyos para la educación básica.</w:t>
      </w:r>
    </w:p>
    <w:p w:rsidR="00C45465" w:rsidRPr="00607E6C" w:rsidRDefault="00C45465" w:rsidP="00C45465">
      <w:pPr>
        <w:pStyle w:val="Prrafodelista"/>
        <w:spacing w:after="0" w:line="360" w:lineRule="auto"/>
        <w:jc w:val="both"/>
        <w:rPr>
          <w:rFonts w:ascii="Arial" w:hAnsi="Arial" w:cs="Arial"/>
          <w:color w:val="000000" w:themeColor="text1"/>
          <w:sz w:val="24"/>
          <w:szCs w:val="24"/>
        </w:rPr>
      </w:pPr>
    </w:p>
    <w:p w:rsidR="00710A06" w:rsidRDefault="00710A06" w:rsidP="00C45465">
      <w:pPr>
        <w:pStyle w:val="Prrafodelista"/>
        <w:numPr>
          <w:ilvl w:val="0"/>
          <w:numId w:val="38"/>
        </w:numPr>
        <w:spacing w:after="0" w:line="360" w:lineRule="auto"/>
        <w:jc w:val="both"/>
        <w:rPr>
          <w:rFonts w:ascii="Arial" w:hAnsi="Arial" w:cs="Arial"/>
          <w:color w:val="000000" w:themeColor="text1"/>
          <w:sz w:val="24"/>
          <w:szCs w:val="24"/>
        </w:rPr>
      </w:pPr>
      <w:r w:rsidRPr="00607E6C">
        <w:rPr>
          <w:rFonts w:ascii="Arial" w:hAnsi="Arial" w:cs="Arial"/>
          <w:color w:val="000000" w:themeColor="text1"/>
          <w:sz w:val="24"/>
          <w:szCs w:val="24"/>
        </w:rPr>
        <w:t>Se implementa el Sistema Estatal de Becas para los diferentes niveles de enseñanza alineados al cumplimiento obligatorio de los Lineamientos correspondientes.</w:t>
      </w:r>
    </w:p>
    <w:p w:rsidR="00C45465" w:rsidRPr="00607E6C" w:rsidRDefault="00C45465" w:rsidP="00C45465">
      <w:pPr>
        <w:pStyle w:val="Prrafodelista"/>
        <w:spacing w:after="0" w:line="360" w:lineRule="auto"/>
        <w:jc w:val="both"/>
        <w:rPr>
          <w:rFonts w:ascii="Arial" w:hAnsi="Arial" w:cs="Arial"/>
          <w:color w:val="000000" w:themeColor="text1"/>
          <w:sz w:val="24"/>
          <w:szCs w:val="24"/>
        </w:rPr>
      </w:pPr>
    </w:p>
    <w:p w:rsidR="00710A06" w:rsidRDefault="00710A06" w:rsidP="00C45465">
      <w:pPr>
        <w:pStyle w:val="Prrafodelista"/>
        <w:numPr>
          <w:ilvl w:val="0"/>
          <w:numId w:val="38"/>
        </w:numPr>
        <w:spacing w:after="0" w:line="360" w:lineRule="auto"/>
        <w:jc w:val="both"/>
        <w:rPr>
          <w:rFonts w:ascii="Arial" w:hAnsi="Arial" w:cs="Arial"/>
          <w:color w:val="000000" w:themeColor="text1"/>
          <w:sz w:val="24"/>
          <w:szCs w:val="24"/>
        </w:rPr>
      </w:pPr>
      <w:r w:rsidRPr="00607E6C">
        <w:rPr>
          <w:rFonts w:ascii="Arial" w:hAnsi="Arial" w:cs="Arial"/>
          <w:color w:val="000000" w:themeColor="text1"/>
          <w:sz w:val="24"/>
          <w:szCs w:val="24"/>
        </w:rPr>
        <w:t>Se va a ampliar el acceso a internet de banda ancha en sitios públicos priorizando Bibliotecas, Museos y Escuelas Públicas.</w:t>
      </w:r>
    </w:p>
    <w:p w:rsidR="00C45465" w:rsidRPr="00607E6C" w:rsidRDefault="00C45465" w:rsidP="00C45465">
      <w:pPr>
        <w:pStyle w:val="Prrafodelista"/>
        <w:spacing w:after="0" w:line="360" w:lineRule="auto"/>
        <w:jc w:val="both"/>
        <w:rPr>
          <w:rFonts w:ascii="Arial" w:hAnsi="Arial" w:cs="Arial"/>
          <w:color w:val="000000" w:themeColor="text1"/>
          <w:sz w:val="24"/>
          <w:szCs w:val="24"/>
        </w:rPr>
      </w:pPr>
    </w:p>
    <w:p w:rsidR="00710A06" w:rsidRDefault="00710A06" w:rsidP="00C45465">
      <w:pPr>
        <w:pStyle w:val="Prrafodelista"/>
        <w:numPr>
          <w:ilvl w:val="0"/>
          <w:numId w:val="38"/>
        </w:numPr>
        <w:spacing w:after="0" w:line="360" w:lineRule="auto"/>
        <w:jc w:val="both"/>
        <w:rPr>
          <w:rFonts w:ascii="Arial" w:hAnsi="Arial" w:cs="Arial"/>
          <w:color w:val="000000" w:themeColor="text1"/>
          <w:sz w:val="24"/>
          <w:szCs w:val="24"/>
        </w:rPr>
      </w:pPr>
      <w:r w:rsidRPr="00607E6C">
        <w:rPr>
          <w:rFonts w:ascii="Arial" w:hAnsi="Arial" w:cs="Arial"/>
          <w:color w:val="000000" w:themeColor="text1"/>
          <w:sz w:val="24"/>
          <w:szCs w:val="24"/>
        </w:rPr>
        <w:lastRenderedPageBreak/>
        <w:t>Se aplicará la primera etapa del Programa de Movilidad Estatal con la celebración de convenios con los Municipios, así como la implementación de Medios Alternativos de Movilidad que facilitarán los traslados de la Ciudadanía Tlaxcalteca.</w:t>
      </w:r>
    </w:p>
    <w:p w:rsidR="00C45465" w:rsidRPr="00607E6C" w:rsidRDefault="00C45465" w:rsidP="00C45465">
      <w:pPr>
        <w:pStyle w:val="Prrafodelista"/>
        <w:spacing w:after="0" w:line="360" w:lineRule="auto"/>
        <w:jc w:val="both"/>
        <w:rPr>
          <w:rFonts w:ascii="Arial" w:hAnsi="Arial" w:cs="Arial"/>
          <w:color w:val="000000" w:themeColor="text1"/>
          <w:sz w:val="24"/>
          <w:szCs w:val="24"/>
        </w:rPr>
      </w:pPr>
    </w:p>
    <w:p w:rsidR="00710A06" w:rsidRDefault="00710A06" w:rsidP="00C45465">
      <w:pPr>
        <w:pStyle w:val="Prrafodelista"/>
        <w:numPr>
          <w:ilvl w:val="0"/>
          <w:numId w:val="38"/>
        </w:numPr>
        <w:spacing w:after="0" w:line="360" w:lineRule="auto"/>
        <w:jc w:val="both"/>
        <w:rPr>
          <w:rFonts w:ascii="Arial" w:hAnsi="Arial" w:cs="Arial"/>
          <w:color w:val="000000" w:themeColor="text1"/>
          <w:sz w:val="24"/>
          <w:szCs w:val="24"/>
        </w:rPr>
      </w:pPr>
      <w:r w:rsidRPr="00607E6C">
        <w:rPr>
          <w:rFonts w:ascii="Arial" w:hAnsi="Arial" w:cs="Arial"/>
          <w:color w:val="000000" w:themeColor="text1"/>
          <w:sz w:val="24"/>
          <w:szCs w:val="24"/>
        </w:rPr>
        <w:t xml:space="preserve">Arranca dentro del año 2018 la elaboración de los proyectos ejecutivos tanto de la Modernización de la Central Camionera, Mejoras al Centro de Convenciones y las Modificaciones al Estadio </w:t>
      </w:r>
      <w:proofErr w:type="spellStart"/>
      <w:r w:rsidRPr="00607E6C">
        <w:rPr>
          <w:rFonts w:ascii="Arial" w:hAnsi="Arial" w:cs="Arial"/>
          <w:color w:val="000000" w:themeColor="text1"/>
          <w:sz w:val="24"/>
          <w:szCs w:val="24"/>
        </w:rPr>
        <w:t>Tlahuicole</w:t>
      </w:r>
      <w:proofErr w:type="spellEnd"/>
      <w:r w:rsidRPr="00607E6C">
        <w:rPr>
          <w:rFonts w:ascii="Arial" w:hAnsi="Arial" w:cs="Arial"/>
          <w:color w:val="000000" w:themeColor="text1"/>
          <w:sz w:val="24"/>
          <w:szCs w:val="24"/>
        </w:rPr>
        <w:t>.</w:t>
      </w:r>
    </w:p>
    <w:p w:rsidR="00C45465" w:rsidRPr="00607E6C" w:rsidRDefault="00C45465" w:rsidP="00C45465">
      <w:pPr>
        <w:pStyle w:val="Prrafodelista"/>
        <w:spacing w:after="0" w:line="360" w:lineRule="auto"/>
        <w:jc w:val="both"/>
        <w:rPr>
          <w:rFonts w:ascii="Arial" w:hAnsi="Arial" w:cs="Arial"/>
          <w:color w:val="000000" w:themeColor="text1"/>
          <w:sz w:val="24"/>
          <w:szCs w:val="24"/>
        </w:rPr>
      </w:pPr>
    </w:p>
    <w:p w:rsidR="00710A06" w:rsidRDefault="00710A06" w:rsidP="00C45465">
      <w:pPr>
        <w:pStyle w:val="Prrafodelista"/>
        <w:numPr>
          <w:ilvl w:val="0"/>
          <w:numId w:val="38"/>
        </w:numPr>
        <w:spacing w:after="0" w:line="360" w:lineRule="auto"/>
        <w:jc w:val="both"/>
        <w:rPr>
          <w:rFonts w:ascii="Arial" w:hAnsi="Arial" w:cs="Arial"/>
          <w:color w:val="000000" w:themeColor="text1"/>
          <w:sz w:val="24"/>
          <w:szCs w:val="24"/>
        </w:rPr>
      </w:pPr>
      <w:r w:rsidRPr="00607E6C">
        <w:rPr>
          <w:rFonts w:ascii="Arial" w:hAnsi="Arial" w:cs="Arial"/>
          <w:color w:val="000000" w:themeColor="text1"/>
          <w:sz w:val="24"/>
          <w:szCs w:val="24"/>
        </w:rPr>
        <w:t>Se va a Fortalecer el Intercambio Comercial y Económico entre Tlaxcala y Puebla.</w:t>
      </w:r>
    </w:p>
    <w:p w:rsidR="00C45465" w:rsidRPr="00607E6C" w:rsidRDefault="00C45465" w:rsidP="00C45465">
      <w:pPr>
        <w:pStyle w:val="Prrafodelista"/>
        <w:spacing w:after="0" w:line="360" w:lineRule="auto"/>
        <w:jc w:val="both"/>
        <w:rPr>
          <w:rFonts w:ascii="Arial" w:hAnsi="Arial" w:cs="Arial"/>
          <w:color w:val="000000" w:themeColor="text1"/>
          <w:sz w:val="24"/>
          <w:szCs w:val="24"/>
        </w:rPr>
      </w:pPr>
    </w:p>
    <w:p w:rsidR="00710A06" w:rsidRDefault="00710A06" w:rsidP="00C45465">
      <w:pPr>
        <w:pStyle w:val="Prrafodelista"/>
        <w:numPr>
          <w:ilvl w:val="0"/>
          <w:numId w:val="38"/>
        </w:numPr>
        <w:spacing w:after="0" w:line="360" w:lineRule="auto"/>
        <w:jc w:val="both"/>
        <w:rPr>
          <w:rFonts w:ascii="Arial" w:hAnsi="Arial" w:cs="Arial"/>
          <w:color w:val="000000" w:themeColor="text1"/>
          <w:sz w:val="24"/>
          <w:szCs w:val="24"/>
        </w:rPr>
      </w:pPr>
      <w:r w:rsidRPr="00607E6C">
        <w:rPr>
          <w:rFonts w:ascii="Arial" w:hAnsi="Arial" w:cs="Arial"/>
          <w:color w:val="000000" w:themeColor="text1"/>
          <w:sz w:val="24"/>
          <w:szCs w:val="24"/>
        </w:rPr>
        <w:t>Se avanza con la Modernización Tecnológica de la Sistematización de los Trámites y Servicios para hacerlos más fáciles de operar por parte de la Ciudadanía Tlaxcalteca.</w:t>
      </w:r>
    </w:p>
    <w:p w:rsidR="00C45465" w:rsidRPr="00607E6C" w:rsidRDefault="00C45465" w:rsidP="00C45465">
      <w:pPr>
        <w:pStyle w:val="Prrafodelista"/>
        <w:spacing w:after="0" w:line="360" w:lineRule="auto"/>
        <w:jc w:val="both"/>
        <w:rPr>
          <w:rFonts w:ascii="Arial" w:hAnsi="Arial" w:cs="Arial"/>
          <w:color w:val="000000" w:themeColor="text1"/>
          <w:sz w:val="24"/>
          <w:szCs w:val="24"/>
        </w:rPr>
      </w:pPr>
    </w:p>
    <w:p w:rsidR="00710A06" w:rsidRDefault="00710A06" w:rsidP="00C45465">
      <w:pPr>
        <w:pStyle w:val="Prrafodelista"/>
        <w:numPr>
          <w:ilvl w:val="0"/>
          <w:numId w:val="38"/>
        </w:numPr>
        <w:spacing w:after="0" w:line="360" w:lineRule="auto"/>
        <w:jc w:val="both"/>
        <w:rPr>
          <w:rFonts w:ascii="Arial" w:hAnsi="Arial" w:cs="Arial"/>
          <w:color w:val="000000" w:themeColor="text1"/>
          <w:sz w:val="24"/>
          <w:szCs w:val="24"/>
        </w:rPr>
      </w:pPr>
      <w:r w:rsidRPr="00607E6C">
        <w:rPr>
          <w:rFonts w:ascii="Arial" w:hAnsi="Arial" w:cs="Arial"/>
          <w:color w:val="000000" w:themeColor="text1"/>
          <w:sz w:val="24"/>
          <w:szCs w:val="24"/>
        </w:rPr>
        <w:t>Se crea la vinculación educación empleo para la obtención de los diagnósticos de las ofertas de empleo para las instituciones educativas terminales.</w:t>
      </w:r>
    </w:p>
    <w:p w:rsidR="00C45465" w:rsidRPr="00607E6C" w:rsidRDefault="00C45465" w:rsidP="00C45465">
      <w:pPr>
        <w:pStyle w:val="Prrafodelista"/>
        <w:spacing w:after="0" w:line="360" w:lineRule="auto"/>
        <w:jc w:val="both"/>
        <w:rPr>
          <w:rFonts w:ascii="Arial" w:hAnsi="Arial" w:cs="Arial"/>
          <w:color w:val="000000" w:themeColor="text1"/>
          <w:sz w:val="24"/>
          <w:szCs w:val="24"/>
        </w:rPr>
      </w:pPr>
    </w:p>
    <w:p w:rsidR="00710A06" w:rsidRDefault="00710A06" w:rsidP="00C45465">
      <w:pPr>
        <w:pStyle w:val="Prrafodelista"/>
        <w:numPr>
          <w:ilvl w:val="0"/>
          <w:numId w:val="38"/>
        </w:numPr>
        <w:spacing w:after="0" w:line="360" w:lineRule="auto"/>
        <w:jc w:val="both"/>
        <w:rPr>
          <w:rFonts w:ascii="Arial" w:hAnsi="Arial" w:cs="Arial"/>
          <w:color w:val="000000" w:themeColor="text1"/>
          <w:sz w:val="24"/>
          <w:szCs w:val="24"/>
        </w:rPr>
      </w:pPr>
      <w:r w:rsidRPr="00607E6C">
        <w:rPr>
          <w:rFonts w:ascii="Arial" w:hAnsi="Arial" w:cs="Arial"/>
          <w:color w:val="000000" w:themeColor="text1"/>
          <w:sz w:val="24"/>
          <w:szCs w:val="24"/>
        </w:rPr>
        <w:t>Se acrecentarán las ofertas de empleo mediante la búsqueda estratégica de instalación de nuevas empresas.</w:t>
      </w:r>
    </w:p>
    <w:p w:rsidR="00C45465" w:rsidRPr="00607E6C" w:rsidRDefault="00C45465" w:rsidP="00C45465">
      <w:pPr>
        <w:pStyle w:val="Prrafodelista"/>
        <w:spacing w:after="0" w:line="360" w:lineRule="auto"/>
        <w:jc w:val="both"/>
        <w:rPr>
          <w:rFonts w:ascii="Arial" w:hAnsi="Arial" w:cs="Arial"/>
          <w:color w:val="000000" w:themeColor="text1"/>
          <w:sz w:val="24"/>
          <w:szCs w:val="24"/>
        </w:rPr>
      </w:pPr>
    </w:p>
    <w:p w:rsidR="00710A06" w:rsidRDefault="00710A06" w:rsidP="00C45465">
      <w:pPr>
        <w:pStyle w:val="Prrafodelista"/>
        <w:numPr>
          <w:ilvl w:val="0"/>
          <w:numId w:val="38"/>
        </w:numPr>
        <w:spacing w:after="0" w:line="360" w:lineRule="auto"/>
        <w:jc w:val="both"/>
        <w:rPr>
          <w:rFonts w:ascii="Arial" w:hAnsi="Arial" w:cs="Arial"/>
          <w:color w:val="000000" w:themeColor="text1"/>
          <w:sz w:val="24"/>
          <w:szCs w:val="24"/>
        </w:rPr>
      </w:pPr>
      <w:r w:rsidRPr="00607E6C">
        <w:rPr>
          <w:rFonts w:ascii="Arial" w:hAnsi="Arial" w:cs="Arial"/>
          <w:color w:val="000000" w:themeColor="text1"/>
          <w:sz w:val="24"/>
          <w:szCs w:val="24"/>
        </w:rPr>
        <w:t>Se incrementan las acciones para ayuda a víctimas y ofendidos para otorgar a la ciudadanía la certeza y protección jurídica debida.</w:t>
      </w:r>
    </w:p>
    <w:p w:rsidR="00C45465" w:rsidRPr="00607E6C" w:rsidRDefault="00C45465" w:rsidP="00C45465">
      <w:pPr>
        <w:pStyle w:val="Prrafodelista"/>
        <w:spacing w:after="0" w:line="360" w:lineRule="auto"/>
        <w:jc w:val="both"/>
        <w:rPr>
          <w:rFonts w:ascii="Arial" w:hAnsi="Arial" w:cs="Arial"/>
          <w:color w:val="000000" w:themeColor="text1"/>
          <w:sz w:val="24"/>
          <w:szCs w:val="24"/>
        </w:rPr>
      </w:pPr>
    </w:p>
    <w:p w:rsidR="00710A06" w:rsidRDefault="00710A06" w:rsidP="00C45465">
      <w:pPr>
        <w:pStyle w:val="Prrafodelista"/>
        <w:numPr>
          <w:ilvl w:val="0"/>
          <w:numId w:val="38"/>
        </w:numPr>
        <w:spacing w:after="0" w:line="360" w:lineRule="auto"/>
        <w:jc w:val="both"/>
        <w:rPr>
          <w:rFonts w:ascii="Arial" w:hAnsi="Arial" w:cs="Arial"/>
          <w:color w:val="000000" w:themeColor="text1"/>
          <w:sz w:val="24"/>
          <w:szCs w:val="24"/>
        </w:rPr>
      </w:pPr>
      <w:r w:rsidRPr="00607E6C">
        <w:rPr>
          <w:rFonts w:ascii="Arial" w:hAnsi="Arial" w:cs="Arial"/>
          <w:color w:val="000000" w:themeColor="text1"/>
          <w:sz w:val="24"/>
          <w:szCs w:val="24"/>
        </w:rPr>
        <w:lastRenderedPageBreak/>
        <w:t>Se reforzará la Recaudación Tributaria mediante el incremento en la Modernización Tecnológica para hacer más eficiente la atención al contribuyente.</w:t>
      </w:r>
    </w:p>
    <w:p w:rsidR="00C45465" w:rsidRPr="00607E6C" w:rsidRDefault="00C45465" w:rsidP="00C45465">
      <w:pPr>
        <w:pStyle w:val="Prrafodelista"/>
        <w:spacing w:after="0" w:line="360" w:lineRule="auto"/>
        <w:jc w:val="both"/>
        <w:rPr>
          <w:rFonts w:ascii="Arial" w:hAnsi="Arial" w:cs="Arial"/>
          <w:color w:val="000000" w:themeColor="text1"/>
          <w:sz w:val="24"/>
          <w:szCs w:val="24"/>
        </w:rPr>
      </w:pPr>
    </w:p>
    <w:p w:rsidR="00710A06" w:rsidRDefault="00710A06" w:rsidP="00C45465">
      <w:pPr>
        <w:pStyle w:val="Prrafodelista"/>
        <w:numPr>
          <w:ilvl w:val="0"/>
          <w:numId w:val="38"/>
        </w:numPr>
        <w:spacing w:after="0" w:line="360" w:lineRule="auto"/>
        <w:jc w:val="both"/>
        <w:rPr>
          <w:rFonts w:ascii="Arial" w:hAnsi="Arial" w:cs="Arial"/>
          <w:color w:val="000000" w:themeColor="text1"/>
          <w:sz w:val="24"/>
          <w:szCs w:val="24"/>
        </w:rPr>
      </w:pPr>
      <w:r w:rsidRPr="00607E6C">
        <w:rPr>
          <w:rFonts w:ascii="Arial" w:hAnsi="Arial" w:cs="Arial"/>
          <w:color w:val="000000" w:themeColor="text1"/>
          <w:sz w:val="24"/>
          <w:szCs w:val="24"/>
        </w:rPr>
        <w:t>Con el propósito de Transparentar la aplicación correcta de los recursos públicos estatales y federales se implementarán medidas de control interno para abatir el número de observaciones realizadas por los entes fiscalizadores.</w:t>
      </w:r>
    </w:p>
    <w:p w:rsidR="00C45465" w:rsidRPr="00607E6C" w:rsidRDefault="00C45465" w:rsidP="00C45465">
      <w:pPr>
        <w:pStyle w:val="Prrafodelista"/>
        <w:spacing w:after="0" w:line="360" w:lineRule="auto"/>
        <w:jc w:val="both"/>
        <w:rPr>
          <w:rFonts w:ascii="Arial" w:hAnsi="Arial" w:cs="Arial"/>
          <w:color w:val="000000" w:themeColor="text1"/>
          <w:sz w:val="24"/>
          <w:szCs w:val="24"/>
        </w:rPr>
      </w:pPr>
    </w:p>
    <w:p w:rsidR="00710A06" w:rsidRDefault="00710A06" w:rsidP="00C45465">
      <w:pPr>
        <w:pStyle w:val="Prrafodelista"/>
        <w:numPr>
          <w:ilvl w:val="0"/>
          <w:numId w:val="38"/>
        </w:numPr>
        <w:spacing w:after="0" w:line="360" w:lineRule="auto"/>
        <w:jc w:val="both"/>
        <w:rPr>
          <w:rFonts w:ascii="Arial" w:hAnsi="Arial" w:cs="Arial"/>
          <w:color w:val="000000" w:themeColor="text1"/>
          <w:sz w:val="24"/>
          <w:szCs w:val="24"/>
        </w:rPr>
      </w:pPr>
      <w:r w:rsidRPr="00607E6C">
        <w:rPr>
          <w:rFonts w:ascii="Arial" w:hAnsi="Arial" w:cs="Arial"/>
          <w:color w:val="000000" w:themeColor="text1"/>
          <w:sz w:val="24"/>
          <w:szCs w:val="24"/>
        </w:rPr>
        <w:t>Las Dependencias y Entidades del Gobierno del Estado deberán propiciar la alineación de los programas con enfoque de género de conformidad con las políticas establecidas por el Instituto Estatal de la Mujer; asimismo, incluir mecanismos para la atención de las necesidades de mujeres y hombres; incluir indicadores sensibles de género; fomentar la perspectiva de género en los programas que sean susceptibles de ello, entre otros.</w:t>
      </w:r>
    </w:p>
    <w:p w:rsidR="00C45465" w:rsidRPr="00607E6C" w:rsidRDefault="00C45465" w:rsidP="00C45465">
      <w:pPr>
        <w:pStyle w:val="Prrafodelista"/>
        <w:spacing w:after="0" w:line="360" w:lineRule="auto"/>
        <w:jc w:val="both"/>
        <w:rPr>
          <w:rFonts w:ascii="Arial" w:hAnsi="Arial" w:cs="Arial"/>
          <w:color w:val="000000" w:themeColor="text1"/>
          <w:sz w:val="24"/>
          <w:szCs w:val="24"/>
        </w:rPr>
      </w:pPr>
    </w:p>
    <w:p w:rsidR="00710A06" w:rsidRPr="00C45465" w:rsidRDefault="00710A06" w:rsidP="00C45465">
      <w:pPr>
        <w:pStyle w:val="Prrafodelista"/>
        <w:numPr>
          <w:ilvl w:val="0"/>
          <w:numId w:val="38"/>
        </w:numPr>
        <w:spacing w:after="0" w:line="360" w:lineRule="auto"/>
        <w:jc w:val="both"/>
        <w:rPr>
          <w:rFonts w:ascii="Arial" w:hAnsi="Arial" w:cs="Arial"/>
          <w:color w:val="000000" w:themeColor="text1"/>
          <w:sz w:val="24"/>
          <w:szCs w:val="24"/>
        </w:rPr>
      </w:pPr>
      <w:r w:rsidRPr="00607E6C">
        <w:rPr>
          <w:rFonts w:ascii="Arial" w:hAnsi="Arial" w:cs="Arial"/>
          <w:color w:val="000000" w:themeColor="text1"/>
          <w:sz w:val="24"/>
          <w:szCs w:val="24"/>
        </w:rPr>
        <w:t xml:space="preserve">Se destinan </w:t>
      </w:r>
      <w:r w:rsidRPr="00607E6C">
        <w:rPr>
          <w:rFonts w:ascii="Arial" w:hAnsi="Arial" w:cs="Arial"/>
          <w:iCs/>
          <w:color w:val="000000" w:themeColor="text1"/>
          <w:sz w:val="24"/>
          <w:szCs w:val="24"/>
          <w:lang w:val="es-ES"/>
        </w:rPr>
        <w:t>32.0 millones de pesos para el fortalecimiento del turismo en la Entidad, de los cuales 7.0 millones de pesos serán destinados para inversión.</w:t>
      </w:r>
    </w:p>
    <w:p w:rsidR="00C45465" w:rsidRPr="00C45465" w:rsidRDefault="00C45465" w:rsidP="00C45465">
      <w:pPr>
        <w:pStyle w:val="Prrafodelista"/>
        <w:rPr>
          <w:rFonts w:ascii="Arial" w:hAnsi="Arial" w:cs="Arial"/>
          <w:color w:val="000000" w:themeColor="text1"/>
          <w:sz w:val="24"/>
          <w:szCs w:val="24"/>
        </w:rPr>
      </w:pPr>
    </w:p>
    <w:p w:rsidR="00710A06" w:rsidRDefault="00710A06" w:rsidP="00C45465">
      <w:pPr>
        <w:pStyle w:val="Prrafodelista"/>
        <w:numPr>
          <w:ilvl w:val="0"/>
          <w:numId w:val="38"/>
        </w:numPr>
        <w:spacing w:after="0" w:line="360" w:lineRule="auto"/>
        <w:jc w:val="both"/>
        <w:rPr>
          <w:rFonts w:ascii="Arial" w:hAnsi="Arial" w:cs="Arial"/>
          <w:color w:val="000000" w:themeColor="text1"/>
          <w:sz w:val="24"/>
          <w:szCs w:val="24"/>
        </w:rPr>
      </w:pPr>
      <w:r w:rsidRPr="00607E6C">
        <w:rPr>
          <w:rFonts w:ascii="Arial" w:hAnsi="Arial" w:cs="Arial"/>
          <w:color w:val="000000" w:themeColor="text1"/>
          <w:sz w:val="24"/>
          <w:szCs w:val="24"/>
        </w:rPr>
        <w:t>Para efectos de la consolidación del Sistema Local Anticorrupción, se asignan $10</w:t>
      </w:r>
      <w:proofErr w:type="gramStart"/>
      <w:r w:rsidRPr="00607E6C">
        <w:rPr>
          <w:rFonts w:ascii="Arial" w:hAnsi="Arial" w:cs="Arial"/>
          <w:color w:val="000000" w:themeColor="text1"/>
          <w:sz w:val="24"/>
          <w:szCs w:val="24"/>
        </w:rPr>
        <w:t>,000,000.00</w:t>
      </w:r>
      <w:proofErr w:type="gramEnd"/>
      <w:r w:rsidRPr="00607E6C">
        <w:rPr>
          <w:rFonts w:ascii="Arial" w:hAnsi="Arial" w:cs="Arial"/>
          <w:color w:val="000000" w:themeColor="text1"/>
          <w:sz w:val="24"/>
          <w:szCs w:val="24"/>
        </w:rPr>
        <w:t xml:space="preserve">  en favor de una nueva cultura de la legalidad y combate a la corrupción, un desafío que convoca y compromete a la sociedad en general.</w:t>
      </w:r>
    </w:p>
    <w:p w:rsidR="00C45465" w:rsidRDefault="00C45465" w:rsidP="00C45465">
      <w:pPr>
        <w:pStyle w:val="Prrafodelista"/>
        <w:rPr>
          <w:rFonts w:ascii="Arial" w:hAnsi="Arial" w:cs="Arial"/>
          <w:color w:val="000000" w:themeColor="text1"/>
          <w:sz w:val="24"/>
          <w:szCs w:val="24"/>
        </w:rPr>
      </w:pPr>
    </w:p>
    <w:p w:rsidR="00700C12" w:rsidRDefault="00700C12" w:rsidP="00C45465">
      <w:pPr>
        <w:pStyle w:val="Prrafodelista"/>
        <w:rPr>
          <w:rFonts w:ascii="Arial" w:hAnsi="Arial" w:cs="Arial"/>
          <w:color w:val="000000" w:themeColor="text1"/>
          <w:sz w:val="24"/>
          <w:szCs w:val="24"/>
        </w:rPr>
      </w:pPr>
    </w:p>
    <w:p w:rsidR="00700C12" w:rsidRPr="00C45465" w:rsidRDefault="00700C12" w:rsidP="00C45465">
      <w:pPr>
        <w:pStyle w:val="Prrafodelista"/>
        <w:rPr>
          <w:rFonts w:ascii="Arial" w:hAnsi="Arial" w:cs="Arial"/>
          <w:color w:val="000000" w:themeColor="text1"/>
          <w:sz w:val="24"/>
          <w:szCs w:val="24"/>
        </w:rPr>
      </w:pPr>
    </w:p>
    <w:p w:rsidR="00710A06" w:rsidRDefault="00710A06" w:rsidP="00C45465">
      <w:pPr>
        <w:spacing w:after="0" w:line="360" w:lineRule="auto"/>
        <w:jc w:val="both"/>
        <w:rPr>
          <w:rFonts w:ascii="Arial" w:hAnsi="Arial" w:cs="Arial"/>
          <w:color w:val="000000" w:themeColor="text1"/>
          <w:sz w:val="24"/>
          <w:szCs w:val="24"/>
        </w:rPr>
      </w:pPr>
      <w:r w:rsidRPr="00607E6C">
        <w:rPr>
          <w:rFonts w:ascii="Arial" w:hAnsi="Arial" w:cs="Arial"/>
          <w:color w:val="000000" w:themeColor="text1"/>
          <w:sz w:val="24"/>
          <w:szCs w:val="24"/>
        </w:rPr>
        <w:lastRenderedPageBreak/>
        <w:t xml:space="preserve">Se propone un Presupuesto de Egresos para el Ejercicio Fiscal 2018, por un monto de </w:t>
      </w:r>
      <w:r w:rsidR="00D636A0" w:rsidRPr="00D636A0">
        <w:rPr>
          <w:rFonts w:ascii="Arial" w:hAnsi="Arial" w:cs="Arial"/>
          <w:b/>
          <w:color w:val="000000" w:themeColor="text1"/>
          <w:sz w:val="24"/>
          <w:szCs w:val="24"/>
        </w:rPr>
        <w:t>$</w:t>
      </w:r>
      <w:r w:rsidR="00D636A0">
        <w:rPr>
          <w:rFonts w:ascii="Arial" w:hAnsi="Arial" w:cs="Arial"/>
          <w:b/>
          <w:color w:val="000000" w:themeColor="text1"/>
          <w:sz w:val="24"/>
          <w:szCs w:val="24"/>
        </w:rPr>
        <w:t>18</w:t>
      </w:r>
      <w:proofErr w:type="gramStart"/>
      <w:r w:rsidR="00D636A0">
        <w:rPr>
          <w:rFonts w:ascii="Arial" w:hAnsi="Arial" w:cs="Arial"/>
          <w:b/>
          <w:color w:val="000000" w:themeColor="text1"/>
          <w:sz w:val="24"/>
          <w:szCs w:val="24"/>
        </w:rPr>
        <w:t>,135,704,254.41</w:t>
      </w:r>
      <w:proofErr w:type="gramEnd"/>
      <w:r w:rsidRPr="00607E6C">
        <w:rPr>
          <w:rFonts w:ascii="Arial" w:hAnsi="Arial" w:cs="Arial"/>
          <w:color w:val="000000" w:themeColor="text1"/>
          <w:sz w:val="24"/>
          <w:szCs w:val="24"/>
        </w:rPr>
        <w:t>, manteniendo un crecimiento del 6.4% con respecto al del año 2017. Es decir, presenta un crecimiento basado principalmente en la estabilidad presentada en ambos conceptos. Dichos recursos serán destinados para atender las funciones de los Poderes Legislativo, Judicial y Ejecutivo, así como para los Organismos Públicos Descentralizados, Órganos Autónomos y Municipios en lo que respecta al Fondo Estatal Participable y Aportaciones del Ramo General 33, con el propósito de que se cumpla con las demandas de la población y se garantice la viabilidad, equilibrio y sustentabilidad financiera de la hacienda pública. El presupuesto global estatal, está integrado por:</w:t>
      </w:r>
    </w:p>
    <w:p w:rsidR="00C45465" w:rsidRPr="00607E6C" w:rsidRDefault="00C45465" w:rsidP="00C45465">
      <w:pPr>
        <w:spacing w:after="0" w:line="360" w:lineRule="auto"/>
        <w:jc w:val="both"/>
        <w:rPr>
          <w:rFonts w:ascii="Arial" w:hAnsi="Arial" w:cs="Arial"/>
          <w:color w:val="000000" w:themeColor="text1"/>
          <w:sz w:val="24"/>
          <w:szCs w:val="24"/>
        </w:rPr>
      </w:pPr>
    </w:p>
    <w:p w:rsidR="00710A06" w:rsidRDefault="00710A06" w:rsidP="00C45465">
      <w:pPr>
        <w:pStyle w:val="Prrafodelista"/>
        <w:numPr>
          <w:ilvl w:val="0"/>
          <w:numId w:val="37"/>
        </w:numPr>
        <w:spacing w:after="0" w:line="360" w:lineRule="auto"/>
        <w:jc w:val="both"/>
        <w:rPr>
          <w:rFonts w:ascii="Arial" w:hAnsi="Arial" w:cs="Arial"/>
          <w:color w:val="000000" w:themeColor="text1"/>
          <w:sz w:val="24"/>
          <w:szCs w:val="24"/>
        </w:rPr>
      </w:pPr>
      <w:r w:rsidRPr="00607E6C">
        <w:rPr>
          <w:rFonts w:ascii="Arial" w:hAnsi="Arial" w:cs="Arial"/>
          <w:color w:val="000000" w:themeColor="text1"/>
          <w:sz w:val="24"/>
          <w:szCs w:val="24"/>
        </w:rPr>
        <w:t>Participaciones Federales e Ingresos Propios que importan la cantidad de 8,673.7  millones de pesos; y,</w:t>
      </w:r>
    </w:p>
    <w:p w:rsidR="00C45465" w:rsidRPr="00607E6C" w:rsidRDefault="00C45465" w:rsidP="00C45465">
      <w:pPr>
        <w:pStyle w:val="Prrafodelista"/>
        <w:spacing w:after="0" w:line="360" w:lineRule="auto"/>
        <w:jc w:val="both"/>
        <w:rPr>
          <w:rFonts w:ascii="Arial" w:hAnsi="Arial" w:cs="Arial"/>
          <w:color w:val="000000" w:themeColor="text1"/>
          <w:sz w:val="24"/>
          <w:szCs w:val="24"/>
        </w:rPr>
      </w:pPr>
    </w:p>
    <w:p w:rsidR="00710A06" w:rsidRPr="00607E6C" w:rsidRDefault="00710A06" w:rsidP="00C45465">
      <w:pPr>
        <w:pStyle w:val="Prrafodelista"/>
        <w:numPr>
          <w:ilvl w:val="0"/>
          <w:numId w:val="37"/>
        </w:numPr>
        <w:spacing w:after="0" w:line="360" w:lineRule="auto"/>
        <w:jc w:val="both"/>
        <w:rPr>
          <w:rFonts w:ascii="Arial" w:hAnsi="Arial" w:cs="Arial"/>
          <w:color w:val="000000" w:themeColor="text1"/>
          <w:sz w:val="24"/>
          <w:szCs w:val="24"/>
        </w:rPr>
      </w:pPr>
      <w:r w:rsidRPr="00607E6C">
        <w:rPr>
          <w:rFonts w:ascii="Arial" w:hAnsi="Arial" w:cs="Arial"/>
          <w:color w:val="000000" w:themeColor="text1"/>
          <w:sz w:val="24"/>
          <w:szCs w:val="24"/>
        </w:rPr>
        <w:t>Aportaciones Federales del Ramo 33, previstas en el Presupuesto de Egresos de la Federación, por un monto de 9,462.0 millones de pesos.</w:t>
      </w:r>
    </w:p>
    <w:p w:rsidR="00710A06" w:rsidRPr="00607E6C" w:rsidRDefault="00710A06" w:rsidP="00C45465">
      <w:pPr>
        <w:spacing w:after="0" w:line="360" w:lineRule="auto"/>
        <w:jc w:val="both"/>
        <w:rPr>
          <w:rFonts w:ascii="Arial" w:hAnsi="Arial" w:cs="Arial"/>
          <w:color w:val="000000" w:themeColor="text1"/>
          <w:sz w:val="24"/>
          <w:szCs w:val="24"/>
        </w:rPr>
      </w:pPr>
    </w:p>
    <w:p w:rsidR="00710A06" w:rsidRPr="00607E6C" w:rsidRDefault="00710A06" w:rsidP="00C45465">
      <w:pPr>
        <w:spacing w:after="0" w:line="360" w:lineRule="auto"/>
        <w:jc w:val="both"/>
        <w:rPr>
          <w:rFonts w:ascii="Arial" w:hAnsi="Arial" w:cs="Arial"/>
          <w:color w:val="000000" w:themeColor="text1"/>
          <w:sz w:val="24"/>
          <w:szCs w:val="24"/>
        </w:rPr>
      </w:pPr>
      <w:r w:rsidRPr="00607E6C">
        <w:rPr>
          <w:rFonts w:ascii="Arial" w:hAnsi="Arial" w:cs="Arial"/>
          <w:color w:val="000000" w:themeColor="text1"/>
          <w:sz w:val="24"/>
          <w:szCs w:val="24"/>
        </w:rPr>
        <w:t>Lo anterior, ajustándose a los montos estimados en el Presupuesto de Egresos de la Federación para el ejercicio fiscal 2018, mismos que son destinados fundamentalmente a programas de educación, salud, empleo, seguridad, infraestructura social y Fondos Municipales.</w:t>
      </w:r>
    </w:p>
    <w:p w:rsidR="00710A06" w:rsidRDefault="00710A06" w:rsidP="00C45465">
      <w:pPr>
        <w:spacing w:after="0" w:line="360" w:lineRule="auto"/>
        <w:jc w:val="both"/>
        <w:rPr>
          <w:rFonts w:ascii="Arial" w:hAnsi="Arial" w:cs="Arial"/>
          <w:color w:val="000000" w:themeColor="text1"/>
          <w:sz w:val="28"/>
          <w:szCs w:val="24"/>
        </w:rPr>
      </w:pPr>
    </w:p>
    <w:p w:rsidR="00700C12" w:rsidRDefault="00700C12" w:rsidP="00C45465">
      <w:pPr>
        <w:spacing w:after="0" w:line="360" w:lineRule="auto"/>
        <w:jc w:val="both"/>
        <w:rPr>
          <w:rFonts w:ascii="Arial" w:hAnsi="Arial" w:cs="Arial"/>
          <w:color w:val="000000" w:themeColor="text1"/>
          <w:sz w:val="28"/>
          <w:szCs w:val="24"/>
        </w:rPr>
      </w:pPr>
    </w:p>
    <w:p w:rsidR="00700C12" w:rsidRDefault="00700C12" w:rsidP="00C45465">
      <w:pPr>
        <w:spacing w:after="0" w:line="360" w:lineRule="auto"/>
        <w:jc w:val="both"/>
        <w:rPr>
          <w:rFonts w:ascii="Arial" w:hAnsi="Arial" w:cs="Arial"/>
          <w:color w:val="000000" w:themeColor="text1"/>
          <w:sz w:val="28"/>
          <w:szCs w:val="24"/>
        </w:rPr>
      </w:pPr>
    </w:p>
    <w:p w:rsidR="00700C12" w:rsidRDefault="00700C12" w:rsidP="00C45465">
      <w:pPr>
        <w:spacing w:after="0" w:line="360" w:lineRule="auto"/>
        <w:jc w:val="both"/>
        <w:rPr>
          <w:rFonts w:ascii="Arial" w:hAnsi="Arial" w:cs="Arial"/>
          <w:color w:val="000000" w:themeColor="text1"/>
          <w:sz w:val="28"/>
          <w:szCs w:val="24"/>
        </w:rPr>
      </w:pPr>
    </w:p>
    <w:p w:rsidR="00700C12" w:rsidRPr="00607E6C" w:rsidRDefault="00700C12" w:rsidP="00C45465">
      <w:pPr>
        <w:spacing w:after="0" w:line="360" w:lineRule="auto"/>
        <w:jc w:val="both"/>
        <w:rPr>
          <w:rFonts w:ascii="Arial" w:hAnsi="Arial" w:cs="Arial"/>
          <w:color w:val="000000" w:themeColor="text1"/>
          <w:sz w:val="28"/>
          <w:szCs w:val="24"/>
        </w:rPr>
      </w:pPr>
    </w:p>
    <w:p w:rsidR="00710A06" w:rsidRDefault="00710A06" w:rsidP="00C45465">
      <w:pPr>
        <w:spacing w:after="0" w:line="360" w:lineRule="auto"/>
        <w:rPr>
          <w:rFonts w:ascii="Arial" w:hAnsi="Arial" w:cs="Arial"/>
          <w:color w:val="000000" w:themeColor="text1"/>
          <w:sz w:val="24"/>
        </w:rPr>
      </w:pPr>
      <w:r w:rsidRPr="00607E6C">
        <w:rPr>
          <w:rFonts w:ascii="Arial" w:hAnsi="Arial" w:cs="Arial"/>
          <w:color w:val="000000" w:themeColor="text1"/>
          <w:sz w:val="24"/>
        </w:rPr>
        <w:t xml:space="preserve">El presupuesto por fuente y </w:t>
      </w:r>
      <w:proofErr w:type="spellStart"/>
      <w:r w:rsidRPr="00607E6C">
        <w:rPr>
          <w:rFonts w:ascii="Arial" w:hAnsi="Arial" w:cs="Arial"/>
          <w:color w:val="000000" w:themeColor="text1"/>
          <w:sz w:val="24"/>
        </w:rPr>
        <w:t>subfuente</w:t>
      </w:r>
      <w:proofErr w:type="spellEnd"/>
      <w:r w:rsidRPr="00607E6C">
        <w:rPr>
          <w:rFonts w:ascii="Arial" w:hAnsi="Arial" w:cs="Arial"/>
          <w:color w:val="000000" w:themeColor="text1"/>
          <w:sz w:val="24"/>
        </w:rPr>
        <w:t xml:space="preserve"> de financiamiento es el siguiente:</w:t>
      </w:r>
    </w:p>
    <w:p w:rsidR="00700C12" w:rsidRPr="00607E6C" w:rsidRDefault="00700C12" w:rsidP="00C45465">
      <w:pPr>
        <w:spacing w:after="0" w:line="360" w:lineRule="auto"/>
        <w:rPr>
          <w:rFonts w:ascii="Arial" w:hAnsi="Arial" w:cs="Arial"/>
          <w:color w:val="000000" w:themeColor="text1"/>
          <w:sz w:val="24"/>
        </w:rPr>
      </w:pPr>
    </w:p>
    <w:tbl>
      <w:tblPr>
        <w:tblW w:w="5257" w:type="dxa"/>
        <w:jc w:val="center"/>
        <w:tblCellMar>
          <w:left w:w="70" w:type="dxa"/>
          <w:right w:w="70" w:type="dxa"/>
        </w:tblCellMar>
        <w:tblLook w:val="04A0" w:firstRow="1" w:lastRow="0" w:firstColumn="1" w:lastColumn="0" w:noHBand="0" w:noVBand="1"/>
      </w:tblPr>
      <w:tblGrid>
        <w:gridCol w:w="4147"/>
        <w:gridCol w:w="1110"/>
      </w:tblGrid>
      <w:tr w:rsidR="00710A06" w:rsidRPr="00607E6C" w:rsidTr="00710A06">
        <w:trPr>
          <w:trHeight w:val="480"/>
          <w:jc w:val="center"/>
        </w:trPr>
        <w:tc>
          <w:tcPr>
            <w:tcW w:w="4147" w:type="dxa"/>
            <w:tcBorders>
              <w:top w:val="single" w:sz="4" w:space="0" w:color="A6A6A6"/>
              <w:left w:val="single" w:sz="4" w:space="0" w:color="A6A6A6"/>
              <w:bottom w:val="nil"/>
              <w:right w:val="single" w:sz="4" w:space="0" w:color="A6A6A6"/>
            </w:tcBorders>
            <w:shd w:val="clear" w:color="000000" w:fill="CCCCCC"/>
            <w:vAlign w:val="center"/>
            <w:hideMark/>
          </w:tcPr>
          <w:p w:rsidR="00710A06" w:rsidRPr="00607E6C" w:rsidRDefault="00710A06" w:rsidP="00C45465">
            <w:pPr>
              <w:spacing w:after="0" w:line="360" w:lineRule="auto"/>
              <w:jc w:val="center"/>
              <w:rPr>
                <w:rFonts w:ascii="Arial" w:eastAsia="Times New Roman" w:hAnsi="Arial" w:cs="Arial"/>
                <w:b/>
                <w:bCs/>
                <w:color w:val="000000" w:themeColor="text1"/>
                <w:sz w:val="18"/>
                <w:szCs w:val="18"/>
                <w:lang w:eastAsia="es-MX"/>
              </w:rPr>
            </w:pPr>
            <w:r w:rsidRPr="00607E6C">
              <w:rPr>
                <w:rFonts w:ascii="Arial" w:eastAsia="Times New Roman" w:hAnsi="Arial" w:cs="Arial"/>
                <w:b/>
                <w:bCs/>
                <w:color w:val="000000" w:themeColor="text1"/>
                <w:sz w:val="18"/>
                <w:szCs w:val="18"/>
                <w:lang w:eastAsia="es-MX"/>
              </w:rPr>
              <w:t>FUENTE DE FINANCIAMIENTO</w:t>
            </w:r>
          </w:p>
        </w:tc>
        <w:tc>
          <w:tcPr>
            <w:tcW w:w="1110" w:type="dxa"/>
            <w:tcBorders>
              <w:top w:val="single" w:sz="4" w:space="0" w:color="A6A6A6"/>
              <w:left w:val="nil"/>
              <w:bottom w:val="nil"/>
              <w:right w:val="single" w:sz="4" w:space="0" w:color="A6A6A6"/>
            </w:tcBorders>
            <w:shd w:val="clear" w:color="000000" w:fill="CCCCCC"/>
            <w:vAlign w:val="center"/>
            <w:hideMark/>
          </w:tcPr>
          <w:p w:rsidR="00710A06" w:rsidRPr="00607E6C" w:rsidRDefault="00710A06" w:rsidP="00C45465">
            <w:pPr>
              <w:spacing w:after="0" w:line="360" w:lineRule="auto"/>
              <w:jc w:val="center"/>
              <w:rPr>
                <w:rFonts w:ascii="Arial" w:eastAsia="Times New Roman" w:hAnsi="Arial" w:cs="Arial"/>
                <w:b/>
                <w:bCs/>
                <w:color w:val="000000" w:themeColor="text1"/>
                <w:sz w:val="18"/>
                <w:szCs w:val="18"/>
                <w:lang w:eastAsia="es-MX"/>
              </w:rPr>
            </w:pPr>
            <w:r w:rsidRPr="00607E6C">
              <w:rPr>
                <w:rFonts w:ascii="Arial" w:eastAsia="Times New Roman" w:hAnsi="Arial" w:cs="Arial"/>
                <w:b/>
                <w:bCs/>
                <w:color w:val="000000" w:themeColor="text1"/>
                <w:sz w:val="18"/>
                <w:szCs w:val="18"/>
                <w:lang w:eastAsia="es-MX"/>
              </w:rPr>
              <w:t>MONTO</w:t>
            </w:r>
          </w:p>
        </w:tc>
      </w:tr>
      <w:tr w:rsidR="00710A06" w:rsidRPr="00607E6C" w:rsidTr="00710A06">
        <w:trPr>
          <w:trHeight w:val="300"/>
          <w:jc w:val="center"/>
        </w:trPr>
        <w:tc>
          <w:tcPr>
            <w:tcW w:w="4147"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szCs w:val="18"/>
                <w:lang w:eastAsia="es-MX"/>
              </w:rPr>
            </w:pPr>
            <w:r w:rsidRPr="00607E6C">
              <w:rPr>
                <w:rFonts w:ascii="Arial" w:eastAsia="Times New Roman" w:hAnsi="Arial" w:cs="Arial"/>
                <w:color w:val="000000" w:themeColor="text1"/>
                <w:sz w:val="18"/>
                <w:szCs w:val="18"/>
                <w:lang w:eastAsia="es-MX"/>
              </w:rPr>
              <w:t>1. Recursos Fiscales</w:t>
            </w:r>
          </w:p>
        </w:tc>
        <w:tc>
          <w:tcPr>
            <w:tcW w:w="1110" w:type="dxa"/>
            <w:tcBorders>
              <w:top w:val="single" w:sz="4" w:space="0" w:color="A6A6A6"/>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szCs w:val="18"/>
                <w:lang w:eastAsia="es-MX"/>
              </w:rPr>
            </w:pPr>
            <w:r w:rsidRPr="00607E6C">
              <w:rPr>
                <w:rFonts w:ascii="Arial" w:eastAsia="Times New Roman" w:hAnsi="Arial" w:cs="Arial"/>
                <w:color w:val="000000" w:themeColor="text1"/>
                <w:sz w:val="18"/>
                <w:szCs w:val="18"/>
                <w:lang w:eastAsia="es-MX"/>
              </w:rPr>
              <w:t>802.6</w:t>
            </w:r>
          </w:p>
        </w:tc>
      </w:tr>
      <w:tr w:rsidR="00710A06" w:rsidRPr="00607E6C" w:rsidTr="00710A06">
        <w:trPr>
          <w:trHeight w:val="300"/>
          <w:jc w:val="center"/>
        </w:trPr>
        <w:tc>
          <w:tcPr>
            <w:tcW w:w="4147" w:type="dxa"/>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szCs w:val="18"/>
                <w:lang w:eastAsia="es-MX"/>
              </w:rPr>
            </w:pPr>
            <w:r w:rsidRPr="00607E6C">
              <w:rPr>
                <w:rFonts w:ascii="Arial" w:eastAsia="Times New Roman" w:hAnsi="Arial" w:cs="Arial"/>
                <w:color w:val="000000" w:themeColor="text1"/>
                <w:sz w:val="18"/>
                <w:szCs w:val="18"/>
                <w:lang w:eastAsia="es-MX"/>
              </w:rPr>
              <w:t>2. Financiamientos Internos</w:t>
            </w:r>
          </w:p>
        </w:tc>
        <w:tc>
          <w:tcPr>
            <w:tcW w:w="1110" w:type="dxa"/>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szCs w:val="18"/>
                <w:lang w:eastAsia="es-MX"/>
              </w:rPr>
            </w:pPr>
            <w:r w:rsidRPr="00607E6C">
              <w:rPr>
                <w:rFonts w:ascii="Arial" w:eastAsia="Times New Roman" w:hAnsi="Arial" w:cs="Arial"/>
                <w:color w:val="000000" w:themeColor="text1"/>
                <w:sz w:val="18"/>
                <w:szCs w:val="18"/>
                <w:lang w:eastAsia="es-MX"/>
              </w:rPr>
              <w:t>0</w:t>
            </w:r>
          </w:p>
        </w:tc>
      </w:tr>
      <w:tr w:rsidR="00710A06" w:rsidRPr="00607E6C" w:rsidTr="00710A06">
        <w:trPr>
          <w:trHeight w:val="315"/>
          <w:jc w:val="center"/>
        </w:trPr>
        <w:tc>
          <w:tcPr>
            <w:tcW w:w="4147" w:type="dxa"/>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szCs w:val="18"/>
                <w:lang w:eastAsia="es-MX"/>
              </w:rPr>
            </w:pPr>
            <w:r w:rsidRPr="00607E6C">
              <w:rPr>
                <w:rFonts w:ascii="Arial" w:eastAsia="Times New Roman" w:hAnsi="Arial" w:cs="Arial"/>
                <w:color w:val="000000" w:themeColor="text1"/>
                <w:sz w:val="18"/>
                <w:szCs w:val="18"/>
                <w:lang w:eastAsia="es-MX"/>
              </w:rPr>
              <w:t>3. Financiamientos Externos</w:t>
            </w:r>
          </w:p>
        </w:tc>
        <w:tc>
          <w:tcPr>
            <w:tcW w:w="1110" w:type="dxa"/>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szCs w:val="18"/>
                <w:lang w:eastAsia="es-MX"/>
              </w:rPr>
            </w:pPr>
            <w:r w:rsidRPr="00607E6C">
              <w:rPr>
                <w:rFonts w:ascii="Arial" w:eastAsia="Times New Roman" w:hAnsi="Arial" w:cs="Arial"/>
                <w:color w:val="000000" w:themeColor="text1"/>
                <w:sz w:val="18"/>
                <w:szCs w:val="18"/>
                <w:lang w:eastAsia="es-MX"/>
              </w:rPr>
              <w:t>0</w:t>
            </w:r>
          </w:p>
        </w:tc>
      </w:tr>
      <w:tr w:rsidR="00710A06" w:rsidRPr="00607E6C" w:rsidTr="00710A06">
        <w:trPr>
          <w:trHeight w:val="300"/>
          <w:jc w:val="center"/>
        </w:trPr>
        <w:tc>
          <w:tcPr>
            <w:tcW w:w="4147" w:type="dxa"/>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szCs w:val="18"/>
                <w:lang w:eastAsia="es-MX"/>
              </w:rPr>
            </w:pPr>
            <w:r w:rsidRPr="00607E6C">
              <w:rPr>
                <w:rFonts w:ascii="Arial" w:eastAsia="Times New Roman" w:hAnsi="Arial" w:cs="Arial"/>
                <w:color w:val="000000" w:themeColor="text1"/>
                <w:sz w:val="18"/>
                <w:szCs w:val="18"/>
                <w:lang w:eastAsia="es-MX"/>
              </w:rPr>
              <w:t>4. Ingresos Propios</w:t>
            </w:r>
          </w:p>
        </w:tc>
        <w:tc>
          <w:tcPr>
            <w:tcW w:w="1110" w:type="dxa"/>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szCs w:val="18"/>
                <w:lang w:eastAsia="es-MX"/>
              </w:rPr>
            </w:pPr>
            <w:r w:rsidRPr="00607E6C">
              <w:rPr>
                <w:rFonts w:ascii="Arial" w:eastAsia="Times New Roman" w:hAnsi="Arial" w:cs="Arial"/>
                <w:color w:val="000000" w:themeColor="text1"/>
                <w:sz w:val="18"/>
                <w:szCs w:val="18"/>
                <w:lang w:eastAsia="es-MX"/>
              </w:rPr>
              <w:t>141.0</w:t>
            </w:r>
          </w:p>
        </w:tc>
      </w:tr>
      <w:tr w:rsidR="00710A06" w:rsidRPr="00607E6C" w:rsidTr="00710A06">
        <w:trPr>
          <w:trHeight w:val="300"/>
          <w:jc w:val="center"/>
        </w:trPr>
        <w:tc>
          <w:tcPr>
            <w:tcW w:w="4147" w:type="dxa"/>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szCs w:val="18"/>
                <w:lang w:eastAsia="es-MX"/>
              </w:rPr>
            </w:pPr>
            <w:r w:rsidRPr="00607E6C">
              <w:rPr>
                <w:rFonts w:ascii="Arial" w:eastAsia="Times New Roman" w:hAnsi="Arial" w:cs="Arial"/>
                <w:color w:val="000000" w:themeColor="text1"/>
                <w:sz w:val="18"/>
                <w:szCs w:val="18"/>
                <w:lang w:eastAsia="es-MX"/>
              </w:rPr>
              <w:t>5. Recursos Federales</w:t>
            </w:r>
          </w:p>
        </w:tc>
        <w:tc>
          <w:tcPr>
            <w:tcW w:w="1110" w:type="dxa"/>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szCs w:val="18"/>
                <w:lang w:eastAsia="es-MX"/>
              </w:rPr>
            </w:pPr>
            <w:r w:rsidRPr="00607E6C">
              <w:rPr>
                <w:rFonts w:ascii="Arial" w:eastAsia="Times New Roman" w:hAnsi="Arial" w:cs="Arial"/>
                <w:color w:val="000000" w:themeColor="text1"/>
                <w:sz w:val="18"/>
                <w:szCs w:val="18"/>
                <w:lang w:eastAsia="es-MX"/>
              </w:rPr>
              <w:t>17,192.1</w:t>
            </w:r>
          </w:p>
        </w:tc>
      </w:tr>
      <w:tr w:rsidR="00710A06" w:rsidRPr="00607E6C" w:rsidTr="00710A06">
        <w:trPr>
          <w:trHeight w:val="480"/>
          <w:jc w:val="center"/>
        </w:trPr>
        <w:tc>
          <w:tcPr>
            <w:tcW w:w="4147" w:type="dxa"/>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szCs w:val="18"/>
                <w:lang w:eastAsia="es-MX"/>
              </w:rPr>
            </w:pPr>
            <w:r w:rsidRPr="00607E6C">
              <w:rPr>
                <w:rFonts w:ascii="Arial" w:eastAsia="Times New Roman" w:hAnsi="Arial" w:cs="Arial"/>
                <w:color w:val="000000" w:themeColor="text1"/>
                <w:sz w:val="18"/>
                <w:szCs w:val="18"/>
                <w:lang w:eastAsia="es-MX"/>
              </w:rPr>
              <w:t>6. Recursos Estatales (Municipios)</w:t>
            </w:r>
          </w:p>
        </w:tc>
        <w:tc>
          <w:tcPr>
            <w:tcW w:w="1110" w:type="dxa"/>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szCs w:val="18"/>
                <w:lang w:eastAsia="es-MX"/>
              </w:rPr>
            </w:pPr>
            <w:r w:rsidRPr="00607E6C">
              <w:rPr>
                <w:rFonts w:ascii="Arial" w:eastAsia="Times New Roman" w:hAnsi="Arial" w:cs="Arial"/>
                <w:color w:val="000000" w:themeColor="text1"/>
                <w:sz w:val="18"/>
                <w:szCs w:val="18"/>
                <w:lang w:eastAsia="es-MX"/>
              </w:rPr>
              <w:t>0</w:t>
            </w:r>
          </w:p>
        </w:tc>
      </w:tr>
      <w:tr w:rsidR="00710A06" w:rsidRPr="00607E6C" w:rsidTr="00710A06">
        <w:trPr>
          <w:trHeight w:val="300"/>
          <w:jc w:val="center"/>
        </w:trPr>
        <w:tc>
          <w:tcPr>
            <w:tcW w:w="4147" w:type="dxa"/>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szCs w:val="18"/>
                <w:lang w:eastAsia="es-MX"/>
              </w:rPr>
            </w:pPr>
            <w:r w:rsidRPr="00607E6C">
              <w:rPr>
                <w:rFonts w:ascii="Arial" w:eastAsia="Times New Roman" w:hAnsi="Arial" w:cs="Arial"/>
                <w:color w:val="000000" w:themeColor="text1"/>
                <w:sz w:val="18"/>
                <w:szCs w:val="18"/>
                <w:lang w:eastAsia="es-MX"/>
              </w:rPr>
              <w:t>7. Otros Recursos</w:t>
            </w:r>
          </w:p>
        </w:tc>
        <w:tc>
          <w:tcPr>
            <w:tcW w:w="1110" w:type="dxa"/>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szCs w:val="18"/>
                <w:lang w:eastAsia="es-MX"/>
              </w:rPr>
            </w:pPr>
            <w:r w:rsidRPr="00607E6C">
              <w:rPr>
                <w:rFonts w:ascii="Arial" w:eastAsia="Times New Roman" w:hAnsi="Arial" w:cs="Arial"/>
                <w:color w:val="000000" w:themeColor="text1"/>
                <w:sz w:val="18"/>
                <w:szCs w:val="18"/>
                <w:lang w:eastAsia="es-MX"/>
              </w:rPr>
              <w:t>0</w:t>
            </w:r>
          </w:p>
        </w:tc>
      </w:tr>
      <w:tr w:rsidR="00710A06" w:rsidRPr="00607E6C" w:rsidTr="00710A06">
        <w:trPr>
          <w:trHeight w:val="300"/>
          <w:jc w:val="center"/>
        </w:trPr>
        <w:tc>
          <w:tcPr>
            <w:tcW w:w="4147" w:type="dxa"/>
            <w:tcBorders>
              <w:top w:val="nil"/>
              <w:left w:val="single" w:sz="4" w:space="0" w:color="A6A6A6"/>
              <w:bottom w:val="single" w:sz="4" w:space="0" w:color="A6A6A6"/>
              <w:right w:val="single" w:sz="4" w:space="0" w:color="A6A6A6"/>
            </w:tcBorders>
            <w:shd w:val="clear" w:color="000000" w:fill="CCCCCC"/>
            <w:vAlign w:val="center"/>
            <w:hideMark/>
          </w:tcPr>
          <w:p w:rsidR="00710A06" w:rsidRPr="00607E6C" w:rsidRDefault="00710A06" w:rsidP="00C45465">
            <w:pPr>
              <w:spacing w:after="0" w:line="360" w:lineRule="auto"/>
              <w:jc w:val="center"/>
              <w:rPr>
                <w:rFonts w:ascii="Arial" w:eastAsia="Times New Roman" w:hAnsi="Arial" w:cs="Arial"/>
                <w:b/>
                <w:bCs/>
                <w:color w:val="000000" w:themeColor="text1"/>
                <w:sz w:val="18"/>
                <w:szCs w:val="18"/>
                <w:lang w:eastAsia="es-MX"/>
              </w:rPr>
            </w:pPr>
            <w:r w:rsidRPr="00607E6C">
              <w:rPr>
                <w:rFonts w:ascii="Arial" w:eastAsia="Times New Roman" w:hAnsi="Arial" w:cs="Arial"/>
                <w:b/>
                <w:bCs/>
                <w:color w:val="000000" w:themeColor="text1"/>
                <w:sz w:val="18"/>
                <w:szCs w:val="18"/>
                <w:lang w:eastAsia="es-MX"/>
              </w:rPr>
              <w:t>TOTAL</w:t>
            </w:r>
          </w:p>
        </w:tc>
        <w:tc>
          <w:tcPr>
            <w:tcW w:w="1110" w:type="dxa"/>
            <w:tcBorders>
              <w:top w:val="nil"/>
              <w:left w:val="nil"/>
              <w:bottom w:val="single" w:sz="4" w:space="0" w:color="A6A6A6"/>
              <w:right w:val="single" w:sz="4" w:space="0" w:color="A6A6A6"/>
            </w:tcBorders>
            <w:shd w:val="clear" w:color="000000" w:fill="CCCCCC"/>
            <w:vAlign w:val="center"/>
            <w:hideMark/>
          </w:tcPr>
          <w:p w:rsidR="00710A06" w:rsidRPr="00607E6C" w:rsidRDefault="00710A06" w:rsidP="00C45465">
            <w:pPr>
              <w:spacing w:after="0" w:line="360" w:lineRule="auto"/>
              <w:jc w:val="right"/>
              <w:rPr>
                <w:rFonts w:ascii="Arial" w:eastAsia="Times New Roman" w:hAnsi="Arial" w:cs="Arial"/>
                <w:b/>
                <w:bCs/>
                <w:color w:val="000000" w:themeColor="text1"/>
                <w:sz w:val="18"/>
                <w:szCs w:val="18"/>
                <w:lang w:eastAsia="es-MX"/>
              </w:rPr>
            </w:pPr>
            <w:r w:rsidRPr="00607E6C">
              <w:rPr>
                <w:rFonts w:ascii="Arial" w:eastAsia="Times New Roman" w:hAnsi="Arial" w:cs="Arial"/>
                <w:b/>
                <w:bCs/>
                <w:color w:val="000000" w:themeColor="text1"/>
                <w:sz w:val="18"/>
                <w:szCs w:val="18"/>
                <w:lang w:eastAsia="es-MX"/>
              </w:rPr>
              <w:t>18,135.7</w:t>
            </w:r>
          </w:p>
        </w:tc>
      </w:tr>
    </w:tbl>
    <w:p w:rsidR="00710A06" w:rsidRDefault="00710A06" w:rsidP="00C45465">
      <w:pPr>
        <w:spacing w:after="0" w:line="360" w:lineRule="auto"/>
        <w:rPr>
          <w:rFonts w:ascii="Arial" w:hAnsi="Arial" w:cs="Arial"/>
          <w:b/>
          <w:caps/>
          <w:color w:val="000000" w:themeColor="text1"/>
        </w:rPr>
      </w:pPr>
    </w:p>
    <w:p w:rsidR="00215873" w:rsidRDefault="00215873" w:rsidP="00C45465">
      <w:pPr>
        <w:spacing w:after="0" w:line="360" w:lineRule="auto"/>
        <w:rPr>
          <w:rFonts w:ascii="Arial" w:hAnsi="Arial" w:cs="Arial"/>
          <w:b/>
          <w:caps/>
          <w:color w:val="000000" w:themeColor="text1"/>
        </w:rPr>
      </w:pPr>
    </w:p>
    <w:p w:rsidR="00215873" w:rsidRPr="00710A06" w:rsidRDefault="00215873" w:rsidP="00C45465">
      <w:pPr>
        <w:spacing w:after="0" w:line="360" w:lineRule="auto"/>
        <w:rPr>
          <w:rFonts w:ascii="Arial" w:hAnsi="Arial" w:cs="Arial"/>
          <w:b/>
          <w:caps/>
          <w:color w:val="000000" w:themeColor="text1"/>
        </w:rPr>
      </w:pPr>
    </w:p>
    <w:tbl>
      <w:tblPr>
        <w:tblW w:w="5245" w:type="dxa"/>
        <w:jc w:val="center"/>
        <w:tblCellMar>
          <w:left w:w="70" w:type="dxa"/>
          <w:right w:w="70" w:type="dxa"/>
        </w:tblCellMar>
        <w:tblLook w:val="04A0" w:firstRow="1" w:lastRow="0" w:firstColumn="1" w:lastColumn="0" w:noHBand="0" w:noVBand="1"/>
      </w:tblPr>
      <w:tblGrid>
        <w:gridCol w:w="3760"/>
        <w:gridCol w:w="1485"/>
      </w:tblGrid>
      <w:tr w:rsidR="00710A06" w:rsidRPr="00607E6C" w:rsidTr="00710A06">
        <w:trPr>
          <w:trHeight w:val="688"/>
          <w:jc w:val="center"/>
        </w:trPr>
        <w:tc>
          <w:tcPr>
            <w:tcW w:w="3760" w:type="dxa"/>
            <w:tcBorders>
              <w:top w:val="single" w:sz="4" w:space="0" w:color="A6A6A6"/>
              <w:left w:val="single" w:sz="4" w:space="0" w:color="A6A6A6"/>
              <w:bottom w:val="nil"/>
              <w:right w:val="single" w:sz="4" w:space="0" w:color="A6A6A6"/>
            </w:tcBorders>
            <w:shd w:val="clear" w:color="000000" w:fill="CCCCCC"/>
            <w:vAlign w:val="center"/>
            <w:hideMark/>
          </w:tcPr>
          <w:p w:rsidR="00710A06" w:rsidRPr="00607E6C" w:rsidRDefault="00710A06" w:rsidP="00C45465">
            <w:pPr>
              <w:spacing w:after="0" w:line="360" w:lineRule="auto"/>
              <w:jc w:val="center"/>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SUBFUENTE DE FINANCIAMIENTO</w:t>
            </w:r>
          </w:p>
        </w:tc>
        <w:tc>
          <w:tcPr>
            <w:tcW w:w="1485" w:type="dxa"/>
            <w:tcBorders>
              <w:top w:val="single" w:sz="4" w:space="0" w:color="A6A6A6"/>
              <w:left w:val="nil"/>
              <w:bottom w:val="nil"/>
              <w:right w:val="single" w:sz="4" w:space="0" w:color="A6A6A6"/>
            </w:tcBorders>
            <w:shd w:val="clear" w:color="000000" w:fill="CCCCCC"/>
            <w:vAlign w:val="center"/>
            <w:hideMark/>
          </w:tcPr>
          <w:p w:rsidR="00710A06" w:rsidRPr="00607E6C" w:rsidRDefault="00710A06" w:rsidP="00C45465">
            <w:pPr>
              <w:spacing w:after="0" w:line="360" w:lineRule="auto"/>
              <w:jc w:val="center"/>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MONTO</w:t>
            </w:r>
          </w:p>
        </w:tc>
      </w:tr>
      <w:tr w:rsidR="00710A06" w:rsidRPr="00607E6C" w:rsidTr="00710A06">
        <w:trPr>
          <w:trHeight w:val="397"/>
          <w:jc w:val="center"/>
        </w:trPr>
        <w:tc>
          <w:tcPr>
            <w:tcW w:w="376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Fuentes locales</w:t>
            </w:r>
          </w:p>
        </w:tc>
        <w:tc>
          <w:tcPr>
            <w:tcW w:w="1485" w:type="dxa"/>
            <w:tcBorders>
              <w:top w:val="single" w:sz="4" w:space="0" w:color="A6A6A6"/>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802.6</w:t>
            </w:r>
          </w:p>
        </w:tc>
      </w:tr>
      <w:tr w:rsidR="00710A06" w:rsidRPr="00607E6C" w:rsidTr="00710A06">
        <w:trPr>
          <w:trHeight w:val="397"/>
          <w:jc w:val="center"/>
        </w:trPr>
        <w:tc>
          <w:tcPr>
            <w:tcW w:w="3760" w:type="dxa"/>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Ingresos generados por OPD´S</w:t>
            </w:r>
          </w:p>
        </w:tc>
        <w:tc>
          <w:tcPr>
            <w:tcW w:w="1485" w:type="dxa"/>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141.0</w:t>
            </w:r>
          </w:p>
        </w:tc>
      </w:tr>
      <w:tr w:rsidR="00710A06" w:rsidRPr="00607E6C" w:rsidTr="00710A06">
        <w:trPr>
          <w:trHeight w:val="397"/>
          <w:jc w:val="center"/>
        </w:trPr>
        <w:tc>
          <w:tcPr>
            <w:tcW w:w="3760" w:type="dxa"/>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Participaciones e Incentivos</w:t>
            </w:r>
          </w:p>
        </w:tc>
        <w:tc>
          <w:tcPr>
            <w:tcW w:w="1485" w:type="dxa"/>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7,730.1</w:t>
            </w:r>
          </w:p>
        </w:tc>
      </w:tr>
      <w:tr w:rsidR="00710A06" w:rsidRPr="00607E6C" w:rsidTr="00710A06">
        <w:trPr>
          <w:trHeight w:val="397"/>
          <w:jc w:val="center"/>
        </w:trPr>
        <w:tc>
          <w:tcPr>
            <w:tcW w:w="3760" w:type="dxa"/>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SUBTOTAL</w:t>
            </w:r>
          </w:p>
        </w:tc>
        <w:tc>
          <w:tcPr>
            <w:tcW w:w="1485" w:type="dxa"/>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8,673.7</w:t>
            </w:r>
          </w:p>
        </w:tc>
      </w:tr>
      <w:tr w:rsidR="00710A06" w:rsidRPr="00607E6C" w:rsidTr="00710A06">
        <w:trPr>
          <w:trHeight w:val="397"/>
          <w:jc w:val="center"/>
        </w:trPr>
        <w:tc>
          <w:tcPr>
            <w:tcW w:w="3760" w:type="dxa"/>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Aportaciones Federales</w:t>
            </w:r>
          </w:p>
        </w:tc>
        <w:tc>
          <w:tcPr>
            <w:tcW w:w="1485" w:type="dxa"/>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9,462.0</w:t>
            </w:r>
          </w:p>
        </w:tc>
      </w:tr>
      <w:tr w:rsidR="00710A06" w:rsidRPr="00607E6C" w:rsidTr="00710A06">
        <w:trPr>
          <w:trHeight w:val="300"/>
          <w:jc w:val="center"/>
        </w:trPr>
        <w:tc>
          <w:tcPr>
            <w:tcW w:w="3760" w:type="dxa"/>
            <w:tcBorders>
              <w:top w:val="nil"/>
              <w:left w:val="single" w:sz="4" w:space="0" w:color="A6A6A6"/>
              <w:bottom w:val="single" w:sz="4" w:space="0" w:color="A6A6A6"/>
              <w:right w:val="single" w:sz="4" w:space="0" w:color="A6A6A6"/>
            </w:tcBorders>
            <w:shd w:val="clear" w:color="000000" w:fill="CCCCCC"/>
            <w:vAlign w:val="center"/>
            <w:hideMark/>
          </w:tcPr>
          <w:p w:rsidR="00710A06" w:rsidRPr="00607E6C" w:rsidRDefault="00710A06" w:rsidP="00C45465">
            <w:pPr>
              <w:spacing w:after="0" w:line="360" w:lineRule="auto"/>
              <w:jc w:val="center"/>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TOTAL</w:t>
            </w:r>
          </w:p>
        </w:tc>
        <w:tc>
          <w:tcPr>
            <w:tcW w:w="1485" w:type="dxa"/>
            <w:tcBorders>
              <w:top w:val="nil"/>
              <w:left w:val="nil"/>
              <w:bottom w:val="single" w:sz="4" w:space="0" w:color="A6A6A6"/>
              <w:right w:val="single" w:sz="4" w:space="0" w:color="A6A6A6"/>
            </w:tcBorders>
            <w:shd w:val="clear" w:color="000000" w:fill="CCCCCC"/>
            <w:vAlign w:val="center"/>
            <w:hideMark/>
          </w:tcPr>
          <w:p w:rsidR="00710A06" w:rsidRPr="00607E6C" w:rsidRDefault="00710A06" w:rsidP="00C45465">
            <w:pPr>
              <w:spacing w:after="0" w:line="360" w:lineRule="auto"/>
              <w:jc w:val="right"/>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18,135.7</w:t>
            </w:r>
          </w:p>
        </w:tc>
      </w:tr>
    </w:tbl>
    <w:p w:rsidR="00710A06" w:rsidRPr="00607E6C" w:rsidRDefault="00710A06" w:rsidP="00C45465">
      <w:pPr>
        <w:spacing w:after="0" w:line="360" w:lineRule="auto"/>
        <w:rPr>
          <w:rFonts w:ascii="Arial" w:hAnsi="Arial" w:cs="Arial"/>
          <w:color w:val="000000" w:themeColor="text1"/>
          <w:sz w:val="24"/>
        </w:rPr>
      </w:pPr>
    </w:p>
    <w:p w:rsidR="00215873" w:rsidRDefault="00215873" w:rsidP="00C45465">
      <w:pPr>
        <w:spacing w:after="0" w:line="360" w:lineRule="auto"/>
        <w:rPr>
          <w:rFonts w:ascii="Arial" w:hAnsi="Arial" w:cs="Arial"/>
          <w:color w:val="000000" w:themeColor="text1"/>
          <w:sz w:val="24"/>
        </w:rPr>
      </w:pPr>
    </w:p>
    <w:p w:rsidR="00215873" w:rsidRDefault="00215873" w:rsidP="00C45465">
      <w:pPr>
        <w:spacing w:after="0" w:line="360" w:lineRule="auto"/>
        <w:rPr>
          <w:rFonts w:ascii="Arial" w:hAnsi="Arial" w:cs="Arial"/>
          <w:color w:val="000000" w:themeColor="text1"/>
          <w:sz w:val="24"/>
        </w:rPr>
      </w:pPr>
    </w:p>
    <w:p w:rsidR="00215873" w:rsidRDefault="00215873" w:rsidP="00C45465">
      <w:pPr>
        <w:spacing w:after="0" w:line="360" w:lineRule="auto"/>
        <w:rPr>
          <w:rFonts w:ascii="Arial" w:hAnsi="Arial" w:cs="Arial"/>
          <w:color w:val="000000" w:themeColor="text1"/>
          <w:sz w:val="24"/>
        </w:rPr>
      </w:pPr>
    </w:p>
    <w:p w:rsidR="00215873" w:rsidRDefault="00215873" w:rsidP="00C45465">
      <w:pPr>
        <w:spacing w:after="0" w:line="360" w:lineRule="auto"/>
        <w:rPr>
          <w:rFonts w:ascii="Arial" w:hAnsi="Arial" w:cs="Arial"/>
          <w:color w:val="000000" w:themeColor="text1"/>
          <w:sz w:val="24"/>
        </w:rPr>
      </w:pPr>
    </w:p>
    <w:p w:rsidR="00215873" w:rsidRDefault="00215873" w:rsidP="00C45465">
      <w:pPr>
        <w:spacing w:after="0" w:line="360" w:lineRule="auto"/>
        <w:rPr>
          <w:rFonts w:ascii="Arial" w:hAnsi="Arial" w:cs="Arial"/>
          <w:color w:val="000000" w:themeColor="text1"/>
          <w:sz w:val="24"/>
        </w:rPr>
      </w:pPr>
    </w:p>
    <w:p w:rsidR="00710A06" w:rsidRPr="00607E6C" w:rsidRDefault="00710A06" w:rsidP="00C45465">
      <w:pPr>
        <w:spacing w:after="0" w:line="360" w:lineRule="auto"/>
        <w:rPr>
          <w:rFonts w:ascii="Arial" w:hAnsi="Arial" w:cs="Arial"/>
          <w:color w:val="000000" w:themeColor="text1"/>
          <w:sz w:val="24"/>
        </w:rPr>
      </w:pPr>
      <w:r w:rsidRPr="00607E6C">
        <w:rPr>
          <w:rFonts w:ascii="Arial" w:hAnsi="Arial" w:cs="Arial"/>
          <w:color w:val="000000" w:themeColor="text1"/>
          <w:sz w:val="24"/>
        </w:rPr>
        <w:lastRenderedPageBreak/>
        <w:t>El proyecto de Presupuesto de Egresos 2018, por Políticas Estratégicas del Gobierno, es el siguiente:</w:t>
      </w:r>
    </w:p>
    <w:tbl>
      <w:tblPr>
        <w:tblpPr w:leftFromText="141" w:rightFromText="141" w:vertAnchor="text" w:horzAnchor="margin" w:tblpY="136"/>
        <w:tblW w:w="84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4A0" w:firstRow="1" w:lastRow="0" w:firstColumn="1" w:lastColumn="0" w:noHBand="0" w:noVBand="1"/>
      </w:tblPr>
      <w:tblGrid>
        <w:gridCol w:w="5920"/>
        <w:gridCol w:w="1200"/>
        <w:gridCol w:w="1340"/>
      </w:tblGrid>
      <w:tr w:rsidR="00710A06" w:rsidRPr="00607E6C" w:rsidTr="00710A06">
        <w:trPr>
          <w:trHeight w:val="300"/>
        </w:trPr>
        <w:tc>
          <w:tcPr>
            <w:tcW w:w="5920" w:type="dxa"/>
            <w:vMerge w:val="restart"/>
            <w:shd w:val="clear" w:color="000000" w:fill="CCCCCC"/>
            <w:vAlign w:val="center"/>
            <w:hideMark/>
          </w:tcPr>
          <w:p w:rsidR="00710A06" w:rsidRPr="00607E6C" w:rsidRDefault="00710A06" w:rsidP="00C45465">
            <w:pPr>
              <w:spacing w:after="0" w:line="360" w:lineRule="auto"/>
              <w:jc w:val="center"/>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Ejes</w:t>
            </w:r>
          </w:p>
        </w:tc>
        <w:tc>
          <w:tcPr>
            <w:tcW w:w="1200" w:type="dxa"/>
            <w:shd w:val="clear" w:color="000000" w:fill="CCCCCC"/>
            <w:vAlign w:val="center"/>
            <w:hideMark/>
          </w:tcPr>
          <w:p w:rsidR="00710A06" w:rsidRPr="00607E6C" w:rsidRDefault="00710A06" w:rsidP="00C45465">
            <w:pPr>
              <w:spacing w:after="0" w:line="360" w:lineRule="auto"/>
              <w:jc w:val="center"/>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 xml:space="preserve">Monto </w:t>
            </w:r>
          </w:p>
        </w:tc>
        <w:tc>
          <w:tcPr>
            <w:tcW w:w="1340" w:type="dxa"/>
            <w:vMerge w:val="restart"/>
            <w:shd w:val="clear" w:color="000000" w:fill="CCCCCC"/>
            <w:vAlign w:val="center"/>
            <w:hideMark/>
          </w:tcPr>
          <w:p w:rsidR="00710A06" w:rsidRPr="00607E6C" w:rsidRDefault="00710A06" w:rsidP="00C45465">
            <w:pPr>
              <w:spacing w:after="0" w:line="360" w:lineRule="auto"/>
              <w:jc w:val="center"/>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w:t>
            </w:r>
          </w:p>
        </w:tc>
      </w:tr>
      <w:tr w:rsidR="00710A06" w:rsidRPr="00607E6C" w:rsidTr="00710A06">
        <w:trPr>
          <w:trHeight w:val="300"/>
        </w:trPr>
        <w:tc>
          <w:tcPr>
            <w:tcW w:w="5920" w:type="dxa"/>
            <w:vMerge/>
            <w:vAlign w:val="center"/>
            <w:hideMark/>
          </w:tcPr>
          <w:p w:rsidR="00710A06" w:rsidRPr="00607E6C" w:rsidRDefault="00710A06" w:rsidP="00C45465">
            <w:pPr>
              <w:spacing w:after="0" w:line="360" w:lineRule="auto"/>
              <w:rPr>
                <w:rFonts w:ascii="Arial" w:eastAsia="Times New Roman" w:hAnsi="Arial" w:cs="Arial"/>
                <w:b/>
                <w:bCs/>
                <w:color w:val="000000" w:themeColor="text1"/>
                <w:sz w:val="18"/>
                <w:lang w:eastAsia="es-MX"/>
              </w:rPr>
            </w:pPr>
          </w:p>
        </w:tc>
        <w:tc>
          <w:tcPr>
            <w:tcW w:w="1200" w:type="dxa"/>
            <w:shd w:val="clear" w:color="000000" w:fill="CCCCCC"/>
            <w:vAlign w:val="center"/>
            <w:hideMark/>
          </w:tcPr>
          <w:p w:rsidR="00710A06" w:rsidRPr="00607E6C" w:rsidRDefault="00710A06" w:rsidP="00C45465">
            <w:pPr>
              <w:spacing w:after="0" w:line="360" w:lineRule="auto"/>
              <w:jc w:val="center"/>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 xml:space="preserve"> (MDP)</w:t>
            </w:r>
          </w:p>
        </w:tc>
        <w:tc>
          <w:tcPr>
            <w:tcW w:w="1340" w:type="dxa"/>
            <w:vMerge/>
            <w:vAlign w:val="center"/>
            <w:hideMark/>
          </w:tcPr>
          <w:p w:rsidR="00710A06" w:rsidRPr="00607E6C" w:rsidRDefault="00710A06" w:rsidP="00C45465">
            <w:pPr>
              <w:spacing w:after="0" w:line="360" w:lineRule="auto"/>
              <w:rPr>
                <w:rFonts w:ascii="Arial" w:eastAsia="Times New Roman" w:hAnsi="Arial" w:cs="Arial"/>
                <w:b/>
                <w:bCs/>
                <w:color w:val="000000" w:themeColor="text1"/>
                <w:sz w:val="18"/>
                <w:lang w:eastAsia="es-MX"/>
              </w:rPr>
            </w:pPr>
          </w:p>
        </w:tc>
      </w:tr>
      <w:tr w:rsidR="00710A06" w:rsidRPr="00607E6C" w:rsidTr="00700C12">
        <w:trPr>
          <w:trHeight w:val="337"/>
        </w:trPr>
        <w:tc>
          <w:tcPr>
            <w:tcW w:w="5920" w:type="dxa"/>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Empleo, Desarrollo Económico y Prosperidad para las Familias</w:t>
            </w:r>
          </w:p>
        </w:tc>
        <w:tc>
          <w:tcPr>
            <w:tcW w:w="1200" w:type="dxa"/>
            <w:shd w:val="clear" w:color="auto" w:fill="auto"/>
            <w:vAlign w:val="center"/>
            <w:hideMark/>
          </w:tcPr>
          <w:p w:rsidR="00710A06" w:rsidRPr="00607E6C" w:rsidRDefault="00710A06" w:rsidP="00D636A0">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389.9</w:t>
            </w:r>
          </w:p>
        </w:tc>
        <w:tc>
          <w:tcPr>
            <w:tcW w:w="1340" w:type="dxa"/>
            <w:shd w:val="clear" w:color="auto" w:fill="auto"/>
            <w:vAlign w:val="center"/>
            <w:hideMark/>
          </w:tcPr>
          <w:p w:rsidR="00710A06" w:rsidRPr="00607E6C" w:rsidRDefault="00710A06" w:rsidP="00D636A0">
            <w:pPr>
              <w:spacing w:after="0" w:line="360" w:lineRule="auto"/>
              <w:jc w:val="center"/>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2.75</w:t>
            </w:r>
          </w:p>
        </w:tc>
      </w:tr>
      <w:tr w:rsidR="00710A06" w:rsidRPr="00607E6C" w:rsidTr="00710A06">
        <w:trPr>
          <w:trHeight w:val="397"/>
        </w:trPr>
        <w:tc>
          <w:tcPr>
            <w:tcW w:w="5920" w:type="dxa"/>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Educación pertinente, Salud de Calidad y Sociedad Incluyente</w:t>
            </w:r>
          </w:p>
        </w:tc>
        <w:tc>
          <w:tcPr>
            <w:tcW w:w="1200" w:type="dxa"/>
            <w:shd w:val="clear" w:color="auto" w:fill="auto"/>
            <w:vAlign w:val="center"/>
            <w:hideMark/>
          </w:tcPr>
          <w:p w:rsidR="00710A06" w:rsidRPr="00607E6C" w:rsidRDefault="00710A06" w:rsidP="00D636A0">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9,720.5</w:t>
            </w:r>
          </w:p>
        </w:tc>
        <w:tc>
          <w:tcPr>
            <w:tcW w:w="1340" w:type="dxa"/>
            <w:shd w:val="clear" w:color="auto" w:fill="auto"/>
            <w:vAlign w:val="center"/>
            <w:hideMark/>
          </w:tcPr>
          <w:p w:rsidR="00710A06" w:rsidRPr="00607E6C" w:rsidRDefault="00710A06" w:rsidP="00D636A0">
            <w:pPr>
              <w:spacing w:after="0" w:line="360" w:lineRule="auto"/>
              <w:jc w:val="center"/>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68.67</w:t>
            </w:r>
          </w:p>
        </w:tc>
      </w:tr>
      <w:tr w:rsidR="00710A06" w:rsidRPr="00607E6C" w:rsidTr="00710A06">
        <w:trPr>
          <w:trHeight w:val="397"/>
        </w:trPr>
        <w:tc>
          <w:tcPr>
            <w:tcW w:w="5920" w:type="dxa"/>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Integración Regional Ordenada y Sustentable</w:t>
            </w:r>
          </w:p>
        </w:tc>
        <w:tc>
          <w:tcPr>
            <w:tcW w:w="1200" w:type="dxa"/>
            <w:shd w:val="clear" w:color="auto" w:fill="auto"/>
            <w:vAlign w:val="center"/>
            <w:hideMark/>
          </w:tcPr>
          <w:p w:rsidR="00710A06" w:rsidRPr="00607E6C" w:rsidRDefault="00710A06" w:rsidP="00D636A0">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893.8</w:t>
            </w:r>
          </w:p>
        </w:tc>
        <w:tc>
          <w:tcPr>
            <w:tcW w:w="1340" w:type="dxa"/>
            <w:shd w:val="clear" w:color="auto" w:fill="auto"/>
            <w:vAlign w:val="center"/>
            <w:hideMark/>
          </w:tcPr>
          <w:p w:rsidR="00710A06" w:rsidRPr="00607E6C" w:rsidRDefault="00710A06" w:rsidP="00D636A0">
            <w:pPr>
              <w:spacing w:after="0" w:line="360" w:lineRule="auto"/>
              <w:jc w:val="center"/>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6.31</w:t>
            </w:r>
          </w:p>
        </w:tc>
      </w:tr>
      <w:tr w:rsidR="00710A06" w:rsidRPr="00607E6C" w:rsidTr="00700C12">
        <w:trPr>
          <w:trHeight w:val="255"/>
        </w:trPr>
        <w:tc>
          <w:tcPr>
            <w:tcW w:w="5920" w:type="dxa"/>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Gobernanza, Seguridad y Protección para Vivir en Paz</w:t>
            </w:r>
          </w:p>
        </w:tc>
        <w:tc>
          <w:tcPr>
            <w:tcW w:w="1200" w:type="dxa"/>
            <w:shd w:val="clear" w:color="auto" w:fill="auto"/>
            <w:vAlign w:val="center"/>
            <w:hideMark/>
          </w:tcPr>
          <w:p w:rsidR="00710A06" w:rsidRPr="00607E6C" w:rsidRDefault="00710A06" w:rsidP="00D636A0">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971.3</w:t>
            </w:r>
          </w:p>
        </w:tc>
        <w:tc>
          <w:tcPr>
            <w:tcW w:w="1340" w:type="dxa"/>
            <w:shd w:val="clear" w:color="auto" w:fill="auto"/>
            <w:vAlign w:val="center"/>
            <w:hideMark/>
          </w:tcPr>
          <w:p w:rsidR="00710A06" w:rsidRPr="00607E6C" w:rsidRDefault="00710A06" w:rsidP="00D636A0">
            <w:pPr>
              <w:spacing w:after="0" w:line="360" w:lineRule="auto"/>
              <w:jc w:val="center"/>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6.86</w:t>
            </w:r>
          </w:p>
        </w:tc>
      </w:tr>
      <w:tr w:rsidR="00710A06" w:rsidRPr="00607E6C" w:rsidTr="00710A06">
        <w:trPr>
          <w:trHeight w:val="397"/>
        </w:trPr>
        <w:tc>
          <w:tcPr>
            <w:tcW w:w="5920" w:type="dxa"/>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Gobierno Honesto, Eficiente y Transparente</w:t>
            </w:r>
          </w:p>
        </w:tc>
        <w:tc>
          <w:tcPr>
            <w:tcW w:w="1200" w:type="dxa"/>
            <w:shd w:val="clear" w:color="auto" w:fill="auto"/>
            <w:vAlign w:val="center"/>
            <w:hideMark/>
          </w:tcPr>
          <w:p w:rsidR="00710A06" w:rsidRPr="00607E6C" w:rsidRDefault="00710A06" w:rsidP="00D636A0">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2,180.5</w:t>
            </w:r>
          </w:p>
        </w:tc>
        <w:tc>
          <w:tcPr>
            <w:tcW w:w="1340" w:type="dxa"/>
            <w:shd w:val="clear" w:color="auto" w:fill="auto"/>
            <w:vAlign w:val="center"/>
            <w:hideMark/>
          </w:tcPr>
          <w:p w:rsidR="00710A06" w:rsidRPr="00607E6C" w:rsidRDefault="00710A06" w:rsidP="00D636A0">
            <w:pPr>
              <w:spacing w:after="0" w:line="360" w:lineRule="auto"/>
              <w:jc w:val="center"/>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15.4</w:t>
            </w:r>
          </w:p>
        </w:tc>
      </w:tr>
      <w:tr w:rsidR="00710A06" w:rsidRPr="00607E6C" w:rsidTr="00710A06">
        <w:trPr>
          <w:trHeight w:val="300"/>
        </w:trPr>
        <w:tc>
          <w:tcPr>
            <w:tcW w:w="5920" w:type="dxa"/>
            <w:shd w:val="clear" w:color="000000" w:fill="CCCCCC"/>
            <w:vAlign w:val="center"/>
            <w:hideMark/>
          </w:tcPr>
          <w:p w:rsidR="00710A06" w:rsidRPr="00607E6C" w:rsidRDefault="00710A06" w:rsidP="00C45465">
            <w:pPr>
              <w:spacing w:after="0" w:line="360" w:lineRule="auto"/>
              <w:jc w:val="center"/>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TOTAL</w:t>
            </w:r>
          </w:p>
        </w:tc>
        <w:tc>
          <w:tcPr>
            <w:tcW w:w="1200" w:type="dxa"/>
            <w:shd w:val="clear" w:color="000000" w:fill="CCCCCC"/>
            <w:vAlign w:val="center"/>
            <w:hideMark/>
          </w:tcPr>
          <w:p w:rsidR="00710A06" w:rsidRPr="00607E6C" w:rsidRDefault="00710A06" w:rsidP="00C45465">
            <w:pPr>
              <w:spacing w:after="0" w:line="360" w:lineRule="auto"/>
              <w:jc w:val="right"/>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 14,156.0</w:t>
            </w:r>
          </w:p>
        </w:tc>
        <w:tc>
          <w:tcPr>
            <w:tcW w:w="1340" w:type="dxa"/>
            <w:shd w:val="clear" w:color="000000" w:fill="CCCCCC"/>
            <w:vAlign w:val="center"/>
            <w:hideMark/>
          </w:tcPr>
          <w:p w:rsidR="00710A06" w:rsidRPr="00607E6C" w:rsidRDefault="00710A06" w:rsidP="00C45465">
            <w:pPr>
              <w:spacing w:after="0" w:line="360" w:lineRule="auto"/>
              <w:jc w:val="center"/>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100 </w:t>
            </w:r>
          </w:p>
        </w:tc>
      </w:tr>
    </w:tbl>
    <w:p w:rsidR="00710A06" w:rsidRPr="00607E6C" w:rsidRDefault="00710A06" w:rsidP="00C45465">
      <w:pPr>
        <w:spacing w:after="0" w:line="360" w:lineRule="auto"/>
        <w:rPr>
          <w:rFonts w:ascii="Arial" w:hAnsi="Arial" w:cs="Arial"/>
          <w:color w:val="000000" w:themeColor="text1"/>
          <w:sz w:val="24"/>
        </w:rPr>
      </w:pPr>
      <w:r w:rsidRPr="00607E6C">
        <w:rPr>
          <w:rFonts w:ascii="Arial" w:hAnsi="Arial" w:cs="Arial"/>
          <w:color w:val="000000" w:themeColor="text1"/>
          <w:sz w:val="24"/>
        </w:rPr>
        <w:t>El proyecto de Presupuesto de Egresos 2018, distribuido por Ramo, se integra como sigue:</w:t>
      </w:r>
    </w:p>
    <w:p w:rsidR="00710A06" w:rsidRPr="00607E6C" w:rsidRDefault="00710A06" w:rsidP="00C45465">
      <w:pPr>
        <w:spacing w:after="0" w:line="360" w:lineRule="auto"/>
        <w:jc w:val="center"/>
        <w:rPr>
          <w:rFonts w:ascii="Arial" w:hAnsi="Arial" w:cs="Arial"/>
          <w:color w:val="000000" w:themeColor="text1"/>
          <w:sz w:val="24"/>
        </w:rPr>
      </w:pPr>
      <w:r w:rsidRPr="00607E6C">
        <w:rPr>
          <w:rFonts w:ascii="Arial" w:hAnsi="Arial" w:cs="Arial"/>
          <w:color w:val="000000" w:themeColor="text1"/>
          <w:sz w:val="24"/>
        </w:rPr>
        <w:t>(Millones de pesos)</w:t>
      </w:r>
    </w:p>
    <w:tbl>
      <w:tblPr>
        <w:tblW w:w="8520" w:type="dxa"/>
        <w:jc w:val="center"/>
        <w:tblCellMar>
          <w:left w:w="70" w:type="dxa"/>
          <w:right w:w="70" w:type="dxa"/>
        </w:tblCellMar>
        <w:tblLook w:val="04A0" w:firstRow="1" w:lastRow="0" w:firstColumn="1" w:lastColumn="0" w:noHBand="0" w:noVBand="1"/>
      </w:tblPr>
      <w:tblGrid>
        <w:gridCol w:w="2130"/>
        <w:gridCol w:w="567"/>
        <w:gridCol w:w="1551"/>
        <w:gridCol w:w="567"/>
        <w:gridCol w:w="1607"/>
        <w:gridCol w:w="567"/>
        <w:gridCol w:w="1531"/>
      </w:tblGrid>
      <w:tr w:rsidR="00710A06" w:rsidRPr="00607E6C" w:rsidTr="00F2718C">
        <w:trPr>
          <w:trHeight w:val="447"/>
          <w:jc w:val="center"/>
        </w:trPr>
        <w:tc>
          <w:tcPr>
            <w:tcW w:w="2130" w:type="dxa"/>
            <w:tcBorders>
              <w:top w:val="single" w:sz="4" w:space="0" w:color="A6A6A6"/>
              <w:left w:val="single" w:sz="4" w:space="0" w:color="A6A6A6"/>
              <w:bottom w:val="nil"/>
              <w:right w:val="single" w:sz="4" w:space="0" w:color="A6A6A6"/>
            </w:tcBorders>
            <w:shd w:val="clear" w:color="000000" w:fill="CCCCCC"/>
            <w:vAlign w:val="center"/>
            <w:hideMark/>
          </w:tcPr>
          <w:p w:rsidR="00710A06" w:rsidRPr="00607E6C" w:rsidRDefault="00710A06" w:rsidP="00C45465">
            <w:pPr>
              <w:spacing w:after="0" w:line="360" w:lineRule="auto"/>
              <w:jc w:val="center"/>
              <w:rPr>
                <w:rFonts w:ascii="Arial" w:eastAsia="Times New Roman" w:hAnsi="Arial" w:cs="Arial"/>
                <w:b/>
                <w:bCs/>
                <w:color w:val="000000" w:themeColor="text1"/>
                <w:sz w:val="18"/>
                <w:szCs w:val="18"/>
                <w:lang w:eastAsia="es-MX"/>
              </w:rPr>
            </w:pPr>
            <w:r w:rsidRPr="00607E6C">
              <w:rPr>
                <w:rFonts w:ascii="Arial" w:eastAsia="Times New Roman" w:hAnsi="Arial" w:cs="Arial"/>
                <w:b/>
                <w:bCs/>
                <w:color w:val="000000" w:themeColor="text1"/>
                <w:sz w:val="18"/>
                <w:szCs w:val="18"/>
                <w:lang w:eastAsia="es-MX"/>
              </w:rPr>
              <w:t>Ramo</w:t>
            </w:r>
          </w:p>
        </w:tc>
        <w:tc>
          <w:tcPr>
            <w:tcW w:w="567" w:type="dxa"/>
            <w:tcBorders>
              <w:top w:val="nil"/>
              <w:left w:val="nil"/>
              <w:bottom w:val="nil"/>
              <w:right w:val="nil"/>
            </w:tcBorders>
            <w:shd w:val="clear" w:color="auto" w:fill="auto"/>
            <w:noWrap/>
            <w:vAlign w:val="bottom"/>
            <w:hideMark/>
          </w:tcPr>
          <w:p w:rsidR="00710A06" w:rsidRPr="00607E6C" w:rsidRDefault="00710A06" w:rsidP="00C45465">
            <w:pPr>
              <w:spacing w:after="0" w:line="360" w:lineRule="auto"/>
              <w:rPr>
                <w:rFonts w:ascii="Arial" w:eastAsia="Times New Roman" w:hAnsi="Arial" w:cs="Arial"/>
                <w:color w:val="000000" w:themeColor="text1"/>
                <w:sz w:val="18"/>
                <w:szCs w:val="18"/>
                <w:lang w:eastAsia="es-MX"/>
              </w:rPr>
            </w:pPr>
          </w:p>
        </w:tc>
        <w:tc>
          <w:tcPr>
            <w:tcW w:w="1551" w:type="dxa"/>
            <w:tcBorders>
              <w:top w:val="single" w:sz="4" w:space="0" w:color="A6A6A6"/>
              <w:left w:val="single" w:sz="4" w:space="0" w:color="A6A6A6"/>
              <w:bottom w:val="nil"/>
              <w:right w:val="single" w:sz="4" w:space="0" w:color="A6A6A6"/>
            </w:tcBorders>
            <w:shd w:val="clear" w:color="000000" w:fill="CCCCCC"/>
            <w:vAlign w:val="center"/>
            <w:hideMark/>
          </w:tcPr>
          <w:p w:rsidR="00710A06" w:rsidRPr="00607E6C" w:rsidRDefault="00710A06" w:rsidP="00C45465">
            <w:pPr>
              <w:spacing w:after="0" w:line="360" w:lineRule="auto"/>
              <w:jc w:val="center"/>
              <w:rPr>
                <w:rFonts w:ascii="Arial" w:eastAsia="Times New Roman" w:hAnsi="Arial" w:cs="Arial"/>
                <w:b/>
                <w:bCs/>
                <w:color w:val="000000" w:themeColor="text1"/>
                <w:sz w:val="18"/>
                <w:szCs w:val="18"/>
                <w:lang w:eastAsia="es-MX"/>
              </w:rPr>
            </w:pPr>
            <w:r w:rsidRPr="00607E6C">
              <w:rPr>
                <w:rFonts w:ascii="Arial" w:eastAsia="Times New Roman" w:hAnsi="Arial" w:cs="Arial"/>
                <w:b/>
                <w:bCs/>
                <w:color w:val="000000" w:themeColor="text1"/>
                <w:sz w:val="18"/>
                <w:szCs w:val="18"/>
                <w:lang w:eastAsia="es-MX"/>
              </w:rPr>
              <w:t>Estatal</w:t>
            </w:r>
          </w:p>
        </w:tc>
        <w:tc>
          <w:tcPr>
            <w:tcW w:w="567" w:type="dxa"/>
            <w:tcBorders>
              <w:top w:val="nil"/>
              <w:left w:val="nil"/>
              <w:bottom w:val="nil"/>
              <w:right w:val="nil"/>
            </w:tcBorders>
            <w:shd w:val="clear" w:color="auto" w:fill="auto"/>
            <w:noWrap/>
            <w:vAlign w:val="bottom"/>
            <w:hideMark/>
          </w:tcPr>
          <w:p w:rsidR="00710A06" w:rsidRPr="00607E6C" w:rsidRDefault="00710A06" w:rsidP="00C45465">
            <w:pPr>
              <w:spacing w:after="0" w:line="360" w:lineRule="auto"/>
              <w:rPr>
                <w:rFonts w:ascii="Arial" w:eastAsia="Times New Roman" w:hAnsi="Arial" w:cs="Arial"/>
                <w:color w:val="000000" w:themeColor="text1"/>
                <w:sz w:val="18"/>
                <w:szCs w:val="18"/>
                <w:lang w:eastAsia="es-MX"/>
              </w:rPr>
            </w:pPr>
          </w:p>
        </w:tc>
        <w:tc>
          <w:tcPr>
            <w:tcW w:w="1607" w:type="dxa"/>
            <w:tcBorders>
              <w:top w:val="single" w:sz="4" w:space="0" w:color="A6A6A6"/>
              <w:left w:val="single" w:sz="4" w:space="0" w:color="A6A6A6"/>
              <w:bottom w:val="nil"/>
              <w:right w:val="single" w:sz="4" w:space="0" w:color="A6A6A6"/>
            </w:tcBorders>
            <w:shd w:val="clear" w:color="000000" w:fill="CCCCCC"/>
            <w:vAlign w:val="center"/>
            <w:hideMark/>
          </w:tcPr>
          <w:p w:rsidR="00710A06" w:rsidRPr="00607E6C" w:rsidRDefault="00710A06" w:rsidP="00C45465">
            <w:pPr>
              <w:spacing w:after="0" w:line="360" w:lineRule="auto"/>
              <w:jc w:val="center"/>
              <w:rPr>
                <w:rFonts w:ascii="Arial" w:eastAsia="Times New Roman" w:hAnsi="Arial" w:cs="Arial"/>
                <w:b/>
                <w:bCs/>
                <w:color w:val="000000" w:themeColor="text1"/>
                <w:sz w:val="18"/>
                <w:szCs w:val="18"/>
                <w:lang w:eastAsia="es-MX"/>
              </w:rPr>
            </w:pPr>
            <w:r w:rsidRPr="00607E6C">
              <w:rPr>
                <w:rFonts w:ascii="Arial" w:eastAsia="Times New Roman" w:hAnsi="Arial" w:cs="Arial"/>
                <w:b/>
                <w:bCs/>
                <w:color w:val="000000" w:themeColor="text1"/>
                <w:sz w:val="18"/>
                <w:szCs w:val="18"/>
                <w:lang w:eastAsia="es-MX"/>
              </w:rPr>
              <w:t>Aportaciones Federales</w:t>
            </w:r>
          </w:p>
        </w:tc>
        <w:tc>
          <w:tcPr>
            <w:tcW w:w="567" w:type="dxa"/>
            <w:tcBorders>
              <w:top w:val="nil"/>
              <w:left w:val="nil"/>
              <w:bottom w:val="nil"/>
              <w:right w:val="nil"/>
            </w:tcBorders>
            <w:shd w:val="clear" w:color="auto" w:fill="auto"/>
            <w:noWrap/>
            <w:vAlign w:val="bottom"/>
            <w:hideMark/>
          </w:tcPr>
          <w:p w:rsidR="00710A06" w:rsidRPr="00607E6C" w:rsidRDefault="00710A06" w:rsidP="00C45465">
            <w:pPr>
              <w:spacing w:after="0" w:line="360" w:lineRule="auto"/>
              <w:rPr>
                <w:rFonts w:ascii="Arial" w:eastAsia="Times New Roman" w:hAnsi="Arial" w:cs="Arial"/>
                <w:color w:val="000000" w:themeColor="text1"/>
                <w:sz w:val="18"/>
                <w:szCs w:val="18"/>
                <w:lang w:eastAsia="es-MX"/>
              </w:rPr>
            </w:pPr>
          </w:p>
        </w:tc>
        <w:tc>
          <w:tcPr>
            <w:tcW w:w="1531" w:type="dxa"/>
            <w:tcBorders>
              <w:top w:val="single" w:sz="4" w:space="0" w:color="A6A6A6"/>
              <w:left w:val="single" w:sz="4" w:space="0" w:color="A6A6A6"/>
              <w:bottom w:val="nil"/>
              <w:right w:val="single" w:sz="4" w:space="0" w:color="A6A6A6"/>
            </w:tcBorders>
            <w:shd w:val="clear" w:color="000000" w:fill="CCCCCC"/>
            <w:vAlign w:val="center"/>
            <w:hideMark/>
          </w:tcPr>
          <w:p w:rsidR="00710A06" w:rsidRPr="00607E6C" w:rsidRDefault="00710A06" w:rsidP="00C45465">
            <w:pPr>
              <w:spacing w:after="0" w:line="360" w:lineRule="auto"/>
              <w:jc w:val="center"/>
              <w:rPr>
                <w:rFonts w:ascii="Arial" w:eastAsia="Times New Roman" w:hAnsi="Arial" w:cs="Arial"/>
                <w:b/>
                <w:bCs/>
                <w:color w:val="000000" w:themeColor="text1"/>
                <w:sz w:val="18"/>
                <w:szCs w:val="18"/>
                <w:lang w:eastAsia="es-MX"/>
              </w:rPr>
            </w:pPr>
            <w:r w:rsidRPr="00607E6C">
              <w:rPr>
                <w:rFonts w:ascii="Arial" w:eastAsia="Times New Roman" w:hAnsi="Arial" w:cs="Arial"/>
                <w:b/>
                <w:bCs/>
                <w:color w:val="000000" w:themeColor="text1"/>
                <w:sz w:val="18"/>
                <w:szCs w:val="18"/>
                <w:lang w:eastAsia="es-MX"/>
              </w:rPr>
              <w:t>Total</w:t>
            </w:r>
          </w:p>
        </w:tc>
      </w:tr>
      <w:tr w:rsidR="00710A06" w:rsidRPr="00607E6C" w:rsidTr="00710A06">
        <w:trPr>
          <w:trHeight w:val="315"/>
          <w:jc w:val="center"/>
        </w:trPr>
        <w:tc>
          <w:tcPr>
            <w:tcW w:w="213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szCs w:val="18"/>
                <w:lang w:eastAsia="es-MX"/>
              </w:rPr>
            </w:pPr>
            <w:r w:rsidRPr="00607E6C">
              <w:rPr>
                <w:rFonts w:ascii="Arial" w:eastAsia="Times New Roman" w:hAnsi="Arial" w:cs="Arial"/>
                <w:color w:val="000000" w:themeColor="text1"/>
                <w:sz w:val="18"/>
                <w:szCs w:val="18"/>
                <w:lang w:eastAsia="es-MX"/>
              </w:rPr>
              <w:t>Poder Legislativo</w:t>
            </w:r>
          </w:p>
        </w:tc>
        <w:tc>
          <w:tcPr>
            <w:tcW w:w="567" w:type="dxa"/>
            <w:tcBorders>
              <w:top w:val="nil"/>
              <w:left w:val="nil"/>
              <w:bottom w:val="nil"/>
              <w:right w:val="nil"/>
            </w:tcBorders>
            <w:shd w:val="clear" w:color="auto" w:fill="auto"/>
            <w:noWrap/>
            <w:vAlign w:val="bottom"/>
            <w:hideMark/>
          </w:tcPr>
          <w:p w:rsidR="00710A06" w:rsidRPr="00607E6C" w:rsidRDefault="00710A06" w:rsidP="00C45465">
            <w:pPr>
              <w:spacing w:after="0" w:line="360" w:lineRule="auto"/>
              <w:rPr>
                <w:rFonts w:ascii="Arial" w:eastAsia="Times New Roman" w:hAnsi="Arial" w:cs="Arial"/>
                <w:color w:val="000000" w:themeColor="text1"/>
                <w:sz w:val="18"/>
                <w:szCs w:val="18"/>
                <w:lang w:eastAsia="es-MX"/>
              </w:rPr>
            </w:pPr>
          </w:p>
        </w:tc>
        <w:tc>
          <w:tcPr>
            <w:tcW w:w="1551"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szCs w:val="18"/>
                <w:lang w:eastAsia="es-MX"/>
              </w:rPr>
            </w:pPr>
            <w:r w:rsidRPr="00607E6C">
              <w:rPr>
                <w:rFonts w:ascii="Arial" w:eastAsia="Times New Roman" w:hAnsi="Arial" w:cs="Arial"/>
                <w:color w:val="000000" w:themeColor="text1"/>
                <w:sz w:val="18"/>
                <w:szCs w:val="18"/>
                <w:lang w:eastAsia="es-MX"/>
              </w:rPr>
              <w:t>241.7</w:t>
            </w:r>
          </w:p>
        </w:tc>
        <w:tc>
          <w:tcPr>
            <w:tcW w:w="567" w:type="dxa"/>
            <w:tcBorders>
              <w:top w:val="nil"/>
              <w:left w:val="nil"/>
              <w:bottom w:val="nil"/>
              <w:right w:val="nil"/>
            </w:tcBorders>
            <w:shd w:val="clear" w:color="auto" w:fill="auto"/>
            <w:noWrap/>
            <w:vAlign w:val="bottom"/>
            <w:hideMark/>
          </w:tcPr>
          <w:p w:rsidR="00710A06" w:rsidRPr="00607E6C" w:rsidRDefault="00710A06" w:rsidP="00C45465">
            <w:pPr>
              <w:spacing w:after="0" w:line="360" w:lineRule="auto"/>
              <w:rPr>
                <w:rFonts w:ascii="Arial" w:eastAsia="Times New Roman" w:hAnsi="Arial" w:cs="Arial"/>
                <w:color w:val="000000" w:themeColor="text1"/>
                <w:sz w:val="18"/>
                <w:szCs w:val="18"/>
                <w:lang w:eastAsia="es-MX"/>
              </w:rPr>
            </w:pPr>
          </w:p>
        </w:tc>
        <w:tc>
          <w:tcPr>
            <w:tcW w:w="1607"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szCs w:val="18"/>
                <w:lang w:eastAsia="es-MX"/>
              </w:rPr>
            </w:pPr>
            <w:r w:rsidRPr="00607E6C">
              <w:rPr>
                <w:rFonts w:ascii="Arial" w:eastAsia="Times New Roman" w:hAnsi="Arial" w:cs="Arial"/>
                <w:color w:val="000000" w:themeColor="text1"/>
                <w:sz w:val="18"/>
                <w:szCs w:val="18"/>
                <w:lang w:eastAsia="es-MX"/>
              </w:rPr>
              <w:t>0</w:t>
            </w:r>
          </w:p>
        </w:tc>
        <w:tc>
          <w:tcPr>
            <w:tcW w:w="567" w:type="dxa"/>
            <w:tcBorders>
              <w:top w:val="nil"/>
              <w:left w:val="nil"/>
              <w:bottom w:val="nil"/>
              <w:right w:val="nil"/>
            </w:tcBorders>
            <w:shd w:val="clear" w:color="auto" w:fill="auto"/>
            <w:noWrap/>
            <w:vAlign w:val="bottom"/>
            <w:hideMark/>
          </w:tcPr>
          <w:p w:rsidR="00710A06" w:rsidRPr="00607E6C" w:rsidRDefault="00710A06" w:rsidP="00C45465">
            <w:pPr>
              <w:spacing w:after="0" w:line="360" w:lineRule="auto"/>
              <w:rPr>
                <w:rFonts w:ascii="Arial" w:eastAsia="Times New Roman" w:hAnsi="Arial" w:cs="Arial"/>
                <w:color w:val="000000" w:themeColor="text1"/>
                <w:sz w:val="18"/>
                <w:szCs w:val="18"/>
                <w:lang w:eastAsia="es-MX"/>
              </w:rPr>
            </w:pPr>
          </w:p>
        </w:tc>
        <w:tc>
          <w:tcPr>
            <w:tcW w:w="1531"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szCs w:val="18"/>
                <w:lang w:eastAsia="es-MX"/>
              </w:rPr>
            </w:pPr>
            <w:r w:rsidRPr="00607E6C">
              <w:rPr>
                <w:rFonts w:ascii="Arial" w:eastAsia="Times New Roman" w:hAnsi="Arial" w:cs="Arial"/>
                <w:color w:val="000000" w:themeColor="text1"/>
                <w:sz w:val="18"/>
                <w:szCs w:val="18"/>
                <w:lang w:eastAsia="es-MX"/>
              </w:rPr>
              <w:t>241.7</w:t>
            </w:r>
          </w:p>
        </w:tc>
      </w:tr>
      <w:tr w:rsidR="00710A06" w:rsidRPr="00607E6C" w:rsidTr="00710A06">
        <w:trPr>
          <w:trHeight w:val="315"/>
          <w:jc w:val="center"/>
        </w:trPr>
        <w:tc>
          <w:tcPr>
            <w:tcW w:w="2130" w:type="dxa"/>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szCs w:val="18"/>
                <w:lang w:eastAsia="es-MX"/>
              </w:rPr>
            </w:pPr>
            <w:r w:rsidRPr="00607E6C">
              <w:rPr>
                <w:rFonts w:ascii="Arial" w:eastAsia="Times New Roman" w:hAnsi="Arial" w:cs="Arial"/>
                <w:color w:val="000000" w:themeColor="text1"/>
                <w:sz w:val="18"/>
                <w:szCs w:val="18"/>
                <w:lang w:eastAsia="es-MX"/>
              </w:rPr>
              <w:t>Poder Judicial</w:t>
            </w:r>
          </w:p>
        </w:tc>
        <w:tc>
          <w:tcPr>
            <w:tcW w:w="567" w:type="dxa"/>
            <w:tcBorders>
              <w:top w:val="nil"/>
              <w:left w:val="nil"/>
              <w:bottom w:val="nil"/>
              <w:right w:val="nil"/>
            </w:tcBorders>
            <w:shd w:val="clear" w:color="auto" w:fill="auto"/>
            <w:noWrap/>
            <w:vAlign w:val="bottom"/>
            <w:hideMark/>
          </w:tcPr>
          <w:p w:rsidR="00710A06" w:rsidRPr="00607E6C" w:rsidRDefault="00710A06" w:rsidP="00C45465">
            <w:pPr>
              <w:spacing w:after="0" w:line="360" w:lineRule="auto"/>
              <w:rPr>
                <w:rFonts w:ascii="Arial" w:eastAsia="Times New Roman" w:hAnsi="Arial" w:cs="Arial"/>
                <w:color w:val="000000" w:themeColor="text1"/>
                <w:sz w:val="18"/>
                <w:szCs w:val="18"/>
                <w:lang w:eastAsia="es-MX"/>
              </w:rPr>
            </w:pPr>
          </w:p>
        </w:tc>
        <w:tc>
          <w:tcPr>
            <w:tcW w:w="1551" w:type="dxa"/>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szCs w:val="18"/>
                <w:lang w:eastAsia="es-MX"/>
              </w:rPr>
            </w:pPr>
            <w:r w:rsidRPr="00607E6C">
              <w:rPr>
                <w:rFonts w:ascii="Arial" w:eastAsia="Times New Roman" w:hAnsi="Arial" w:cs="Arial"/>
                <w:color w:val="000000" w:themeColor="text1"/>
                <w:sz w:val="18"/>
                <w:szCs w:val="18"/>
                <w:lang w:eastAsia="es-MX"/>
              </w:rPr>
              <w:t>220.0</w:t>
            </w:r>
          </w:p>
        </w:tc>
        <w:tc>
          <w:tcPr>
            <w:tcW w:w="567" w:type="dxa"/>
            <w:tcBorders>
              <w:top w:val="nil"/>
              <w:left w:val="nil"/>
              <w:bottom w:val="nil"/>
              <w:right w:val="nil"/>
            </w:tcBorders>
            <w:shd w:val="clear" w:color="auto" w:fill="auto"/>
            <w:noWrap/>
            <w:vAlign w:val="bottom"/>
            <w:hideMark/>
          </w:tcPr>
          <w:p w:rsidR="00710A06" w:rsidRPr="00607E6C" w:rsidRDefault="00710A06" w:rsidP="00C45465">
            <w:pPr>
              <w:spacing w:after="0" w:line="360" w:lineRule="auto"/>
              <w:rPr>
                <w:rFonts w:ascii="Arial" w:eastAsia="Times New Roman" w:hAnsi="Arial" w:cs="Arial"/>
                <w:color w:val="000000" w:themeColor="text1"/>
                <w:sz w:val="18"/>
                <w:szCs w:val="18"/>
                <w:lang w:eastAsia="es-MX"/>
              </w:rPr>
            </w:pPr>
          </w:p>
        </w:tc>
        <w:tc>
          <w:tcPr>
            <w:tcW w:w="1607" w:type="dxa"/>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szCs w:val="18"/>
                <w:lang w:eastAsia="es-MX"/>
              </w:rPr>
            </w:pPr>
            <w:r w:rsidRPr="00607E6C">
              <w:rPr>
                <w:rFonts w:ascii="Arial" w:eastAsia="Times New Roman" w:hAnsi="Arial" w:cs="Arial"/>
                <w:color w:val="000000" w:themeColor="text1"/>
                <w:sz w:val="18"/>
                <w:szCs w:val="18"/>
                <w:lang w:eastAsia="es-MX"/>
              </w:rPr>
              <w:t>0</w:t>
            </w:r>
          </w:p>
        </w:tc>
        <w:tc>
          <w:tcPr>
            <w:tcW w:w="567" w:type="dxa"/>
            <w:tcBorders>
              <w:top w:val="nil"/>
              <w:left w:val="nil"/>
              <w:bottom w:val="nil"/>
              <w:right w:val="nil"/>
            </w:tcBorders>
            <w:shd w:val="clear" w:color="auto" w:fill="auto"/>
            <w:noWrap/>
            <w:vAlign w:val="bottom"/>
            <w:hideMark/>
          </w:tcPr>
          <w:p w:rsidR="00710A06" w:rsidRPr="00607E6C" w:rsidRDefault="00710A06" w:rsidP="00C45465">
            <w:pPr>
              <w:spacing w:after="0" w:line="360" w:lineRule="auto"/>
              <w:rPr>
                <w:rFonts w:ascii="Arial" w:eastAsia="Times New Roman" w:hAnsi="Arial" w:cs="Arial"/>
                <w:color w:val="000000" w:themeColor="text1"/>
                <w:sz w:val="18"/>
                <w:szCs w:val="18"/>
                <w:lang w:eastAsia="es-MX"/>
              </w:rPr>
            </w:pPr>
          </w:p>
        </w:tc>
        <w:tc>
          <w:tcPr>
            <w:tcW w:w="1531" w:type="dxa"/>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szCs w:val="18"/>
                <w:lang w:eastAsia="es-MX"/>
              </w:rPr>
            </w:pPr>
            <w:r w:rsidRPr="00607E6C">
              <w:rPr>
                <w:rFonts w:ascii="Arial" w:eastAsia="Times New Roman" w:hAnsi="Arial" w:cs="Arial"/>
                <w:color w:val="000000" w:themeColor="text1"/>
                <w:sz w:val="18"/>
                <w:szCs w:val="18"/>
                <w:lang w:eastAsia="es-MX"/>
              </w:rPr>
              <w:t>220.0</w:t>
            </w:r>
          </w:p>
        </w:tc>
      </w:tr>
      <w:tr w:rsidR="00710A06" w:rsidRPr="00607E6C" w:rsidTr="00710A06">
        <w:trPr>
          <w:trHeight w:val="331"/>
          <w:jc w:val="center"/>
        </w:trPr>
        <w:tc>
          <w:tcPr>
            <w:tcW w:w="2130" w:type="dxa"/>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szCs w:val="18"/>
                <w:lang w:eastAsia="es-MX"/>
              </w:rPr>
            </w:pPr>
            <w:r w:rsidRPr="00607E6C">
              <w:rPr>
                <w:rFonts w:ascii="Arial" w:eastAsia="Times New Roman" w:hAnsi="Arial" w:cs="Arial"/>
                <w:color w:val="000000" w:themeColor="text1"/>
                <w:sz w:val="18"/>
                <w:szCs w:val="18"/>
                <w:lang w:eastAsia="es-MX"/>
              </w:rPr>
              <w:t>Órganos Autónomos</w:t>
            </w:r>
          </w:p>
        </w:tc>
        <w:tc>
          <w:tcPr>
            <w:tcW w:w="567" w:type="dxa"/>
            <w:tcBorders>
              <w:top w:val="nil"/>
              <w:left w:val="nil"/>
              <w:bottom w:val="nil"/>
              <w:right w:val="nil"/>
            </w:tcBorders>
            <w:shd w:val="clear" w:color="auto" w:fill="auto"/>
            <w:noWrap/>
            <w:vAlign w:val="bottom"/>
            <w:hideMark/>
          </w:tcPr>
          <w:p w:rsidR="00710A06" w:rsidRPr="00607E6C" w:rsidRDefault="00710A06" w:rsidP="00C45465">
            <w:pPr>
              <w:spacing w:after="0" w:line="360" w:lineRule="auto"/>
              <w:rPr>
                <w:rFonts w:ascii="Arial" w:eastAsia="Times New Roman" w:hAnsi="Arial" w:cs="Arial"/>
                <w:color w:val="000000" w:themeColor="text1"/>
                <w:sz w:val="18"/>
                <w:szCs w:val="18"/>
                <w:lang w:eastAsia="es-MX"/>
              </w:rPr>
            </w:pPr>
          </w:p>
        </w:tc>
        <w:tc>
          <w:tcPr>
            <w:tcW w:w="1551" w:type="dxa"/>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szCs w:val="18"/>
                <w:lang w:eastAsia="es-MX"/>
              </w:rPr>
            </w:pPr>
            <w:r w:rsidRPr="00607E6C">
              <w:rPr>
                <w:rFonts w:ascii="Arial" w:eastAsia="Times New Roman" w:hAnsi="Arial" w:cs="Arial"/>
                <w:color w:val="000000" w:themeColor="text1"/>
                <w:sz w:val="18"/>
                <w:szCs w:val="18"/>
                <w:lang w:eastAsia="es-MX"/>
              </w:rPr>
              <w:t>260.3</w:t>
            </w:r>
          </w:p>
        </w:tc>
        <w:tc>
          <w:tcPr>
            <w:tcW w:w="567" w:type="dxa"/>
            <w:tcBorders>
              <w:top w:val="nil"/>
              <w:left w:val="nil"/>
              <w:bottom w:val="nil"/>
              <w:right w:val="nil"/>
            </w:tcBorders>
            <w:shd w:val="clear" w:color="auto" w:fill="auto"/>
            <w:noWrap/>
            <w:vAlign w:val="bottom"/>
            <w:hideMark/>
          </w:tcPr>
          <w:p w:rsidR="00710A06" w:rsidRPr="00607E6C" w:rsidRDefault="00710A06" w:rsidP="00C45465">
            <w:pPr>
              <w:spacing w:after="0" w:line="360" w:lineRule="auto"/>
              <w:rPr>
                <w:rFonts w:ascii="Arial" w:eastAsia="Times New Roman" w:hAnsi="Arial" w:cs="Arial"/>
                <w:color w:val="000000" w:themeColor="text1"/>
                <w:sz w:val="18"/>
                <w:szCs w:val="18"/>
                <w:lang w:eastAsia="es-MX"/>
              </w:rPr>
            </w:pPr>
          </w:p>
        </w:tc>
        <w:tc>
          <w:tcPr>
            <w:tcW w:w="1607" w:type="dxa"/>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szCs w:val="18"/>
                <w:lang w:eastAsia="es-MX"/>
              </w:rPr>
            </w:pPr>
            <w:r w:rsidRPr="00607E6C">
              <w:rPr>
                <w:rFonts w:ascii="Arial" w:eastAsia="Times New Roman" w:hAnsi="Arial" w:cs="Arial"/>
                <w:color w:val="000000" w:themeColor="text1"/>
                <w:sz w:val="18"/>
                <w:szCs w:val="18"/>
                <w:lang w:eastAsia="es-MX"/>
              </w:rPr>
              <w:t>0</w:t>
            </w:r>
          </w:p>
        </w:tc>
        <w:tc>
          <w:tcPr>
            <w:tcW w:w="567" w:type="dxa"/>
            <w:tcBorders>
              <w:top w:val="nil"/>
              <w:left w:val="nil"/>
              <w:bottom w:val="nil"/>
              <w:right w:val="nil"/>
            </w:tcBorders>
            <w:shd w:val="clear" w:color="auto" w:fill="auto"/>
            <w:noWrap/>
            <w:vAlign w:val="bottom"/>
            <w:hideMark/>
          </w:tcPr>
          <w:p w:rsidR="00710A06" w:rsidRPr="00607E6C" w:rsidRDefault="00710A06" w:rsidP="00C45465">
            <w:pPr>
              <w:spacing w:after="0" w:line="360" w:lineRule="auto"/>
              <w:rPr>
                <w:rFonts w:ascii="Arial" w:eastAsia="Times New Roman" w:hAnsi="Arial" w:cs="Arial"/>
                <w:color w:val="000000" w:themeColor="text1"/>
                <w:sz w:val="18"/>
                <w:szCs w:val="18"/>
                <w:lang w:eastAsia="es-MX"/>
              </w:rPr>
            </w:pPr>
          </w:p>
        </w:tc>
        <w:tc>
          <w:tcPr>
            <w:tcW w:w="1531" w:type="dxa"/>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szCs w:val="18"/>
                <w:lang w:eastAsia="es-MX"/>
              </w:rPr>
            </w:pPr>
            <w:r w:rsidRPr="00607E6C">
              <w:rPr>
                <w:rFonts w:ascii="Arial" w:eastAsia="Times New Roman" w:hAnsi="Arial" w:cs="Arial"/>
                <w:color w:val="000000" w:themeColor="text1"/>
                <w:sz w:val="18"/>
                <w:szCs w:val="18"/>
                <w:lang w:eastAsia="es-MX"/>
              </w:rPr>
              <w:t>260.3</w:t>
            </w:r>
          </w:p>
        </w:tc>
      </w:tr>
      <w:tr w:rsidR="00710A06" w:rsidRPr="00607E6C" w:rsidTr="00710A06">
        <w:trPr>
          <w:trHeight w:val="299"/>
          <w:jc w:val="center"/>
        </w:trPr>
        <w:tc>
          <w:tcPr>
            <w:tcW w:w="2130" w:type="dxa"/>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szCs w:val="18"/>
                <w:lang w:eastAsia="es-MX"/>
              </w:rPr>
            </w:pPr>
            <w:r w:rsidRPr="00607E6C">
              <w:rPr>
                <w:rFonts w:ascii="Arial" w:eastAsia="Times New Roman" w:hAnsi="Arial" w:cs="Arial"/>
                <w:color w:val="000000" w:themeColor="text1"/>
                <w:sz w:val="18"/>
                <w:szCs w:val="18"/>
                <w:lang w:eastAsia="es-MX"/>
              </w:rPr>
              <w:t>Poder Ejecutivo</w:t>
            </w:r>
          </w:p>
        </w:tc>
        <w:tc>
          <w:tcPr>
            <w:tcW w:w="567" w:type="dxa"/>
            <w:tcBorders>
              <w:top w:val="nil"/>
              <w:left w:val="nil"/>
              <w:bottom w:val="nil"/>
              <w:right w:val="nil"/>
            </w:tcBorders>
            <w:shd w:val="clear" w:color="auto" w:fill="auto"/>
            <w:noWrap/>
            <w:vAlign w:val="bottom"/>
            <w:hideMark/>
          </w:tcPr>
          <w:p w:rsidR="00710A06" w:rsidRPr="00607E6C" w:rsidRDefault="00710A06" w:rsidP="00C45465">
            <w:pPr>
              <w:spacing w:after="0" w:line="360" w:lineRule="auto"/>
              <w:rPr>
                <w:rFonts w:ascii="Arial" w:eastAsia="Times New Roman" w:hAnsi="Arial" w:cs="Arial"/>
                <w:color w:val="000000" w:themeColor="text1"/>
                <w:sz w:val="18"/>
                <w:szCs w:val="18"/>
                <w:lang w:eastAsia="es-MX"/>
              </w:rPr>
            </w:pPr>
          </w:p>
        </w:tc>
        <w:tc>
          <w:tcPr>
            <w:tcW w:w="1551" w:type="dxa"/>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szCs w:val="18"/>
                <w:lang w:eastAsia="es-MX"/>
              </w:rPr>
            </w:pPr>
            <w:r w:rsidRPr="00607E6C">
              <w:rPr>
                <w:rFonts w:ascii="Arial" w:eastAsia="Times New Roman" w:hAnsi="Arial" w:cs="Arial"/>
                <w:color w:val="000000" w:themeColor="text1"/>
                <w:sz w:val="18"/>
                <w:szCs w:val="18"/>
                <w:lang w:eastAsia="es-MX"/>
              </w:rPr>
              <w:t>6,105.0</w:t>
            </w:r>
          </w:p>
        </w:tc>
        <w:tc>
          <w:tcPr>
            <w:tcW w:w="567" w:type="dxa"/>
            <w:tcBorders>
              <w:top w:val="nil"/>
              <w:left w:val="nil"/>
              <w:bottom w:val="nil"/>
              <w:right w:val="nil"/>
            </w:tcBorders>
            <w:shd w:val="clear" w:color="auto" w:fill="auto"/>
            <w:noWrap/>
            <w:vAlign w:val="bottom"/>
            <w:hideMark/>
          </w:tcPr>
          <w:p w:rsidR="00710A06" w:rsidRPr="00607E6C" w:rsidRDefault="00710A06" w:rsidP="00C45465">
            <w:pPr>
              <w:spacing w:after="0" w:line="360" w:lineRule="auto"/>
              <w:rPr>
                <w:rFonts w:ascii="Arial" w:eastAsia="Times New Roman" w:hAnsi="Arial" w:cs="Arial"/>
                <w:color w:val="000000" w:themeColor="text1"/>
                <w:sz w:val="18"/>
                <w:szCs w:val="18"/>
                <w:lang w:eastAsia="es-MX"/>
              </w:rPr>
            </w:pPr>
          </w:p>
        </w:tc>
        <w:tc>
          <w:tcPr>
            <w:tcW w:w="1607" w:type="dxa"/>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szCs w:val="18"/>
                <w:lang w:eastAsia="es-MX"/>
              </w:rPr>
            </w:pPr>
            <w:r w:rsidRPr="00607E6C">
              <w:rPr>
                <w:rFonts w:ascii="Arial" w:eastAsia="Times New Roman" w:hAnsi="Arial" w:cs="Arial"/>
                <w:color w:val="000000" w:themeColor="text1"/>
                <w:sz w:val="18"/>
                <w:szCs w:val="18"/>
                <w:lang w:eastAsia="es-MX"/>
              </w:rPr>
              <w:t>8,051.1</w:t>
            </w:r>
          </w:p>
        </w:tc>
        <w:tc>
          <w:tcPr>
            <w:tcW w:w="567" w:type="dxa"/>
            <w:tcBorders>
              <w:top w:val="nil"/>
              <w:left w:val="nil"/>
              <w:bottom w:val="nil"/>
              <w:right w:val="nil"/>
            </w:tcBorders>
            <w:shd w:val="clear" w:color="auto" w:fill="auto"/>
            <w:noWrap/>
            <w:vAlign w:val="bottom"/>
            <w:hideMark/>
          </w:tcPr>
          <w:p w:rsidR="00710A06" w:rsidRPr="00607E6C" w:rsidRDefault="00710A06" w:rsidP="00C45465">
            <w:pPr>
              <w:spacing w:after="0" w:line="360" w:lineRule="auto"/>
              <w:rPr>
                <w:rFonts w:ascii="Arial" w:eastAsia="Times New Roman" w:hAnsi="Arial" w:cs="Arial"/>
                <w:color w:val="000000" w:themeColor="text1"/>
                <w:sz w:val="18"/>
                <w:szCs w:val="18"/>
                <w:lang w:eastAsia="es-MX"/>
              </w:rPr>
            </w:pPr>
          </w:p>
        </w:tc>
        <w:tc>
          <w:tcPr>
            <w:tcW w:w="1531" w:type="dxa"/>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szCs w:val="18"/>
                <w:lang w:eastAsia="es-MX"/>
              </w:rPr>
            </w:pPr>
            <w:r w:rsidRPr="00607E6C">
              <w:rPr>
                <w:rFonts w:ascii="Arial" w:eastAsia="Times New Roman" w:hAnsi="Arial" w:cs="Arial"/>
                <w:color w:val="000000" w:themeColor="text1"/>
                <w:sz w:val="18"/>
                <w:szCs w:val="18"/>
                <w:lang w:eastAsia="es-MX"/>
              </w:rPr>
              <w:t>14,156.1</w:t>
            </w:r>
          </w:p>
        </w:tc>
      </w:tr>
      <w:tr w:rsidR="00710A06" w:rsidRPr="00607E6C" w:rsidTr="00710A06">
        <w:trPr>
          <w:trHeight w:val="299"/>
          <w:jc w:val="center"/>
        </w:trPr>
        <w:tc>
          <w:tcPr>
            <w:tcW w:w="2130" w:type="dxa"/>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szCs w:val="18"/>
                <w:lang w:eastAsia="es-MX"/>
              </w:rPr>
            </w:pPr>
            <w:r w:rsidRPr="00607E6C">
              <w:rPr>
                <w:rFonts w:ascii="Arial" w:eastAsia="Times New Roman" w:hAnsi="Arial" w:cs="Arial"/>
                <w:color w:val="000000" w:themeColor="text1"/>
                <w:sz w:val="18"/>
                <w:szCs w:val="18"/>
                <w:lang w:eastAsia="es-MX"/>
              </w:rPr>
              <w:t>Municipios</w:t>
            </w:r>
          </w:p>
        </w:tc>
        <w:tc>
          <w:tcPr>
            <w:tcW w:w="567" w:type="dxa"/>
            <w:tcBorders>
              <w:top w:val="nil"/>
              <w:left w:val="nil"/>
              <w:bottom w:val="nil"/>
              <w:right w:val="nil"/>
            </w:tcBorders>
            <w:shd w:val="clear" w:color="auto" w:fill="auto"/>
            <w:noWrap/>
            <w:vAlign w:val="bottom"/>
            <w:hideMark/>
          </w:tcPr>
          <w:p w:rsidR="00710A06" w:rsidRPr="00607E6C" w:rsidRDefault="00710A06" w:rsidP="00C45465">
            <w:pPr>
              <w:spacing w:after="0" w:line="360" w:lineRule="auto"/>
              <w:rPr>
                <w:rFonts w:ascii="Arial" w:eastAsia="Times New Roman" w:hAnsi="Arial" w:cs="Arial"/>
                <w:color w:val="000000" w:themeColor="text1"/>
                <w:sz w:val="18"/>
                <w:szCs w:val="18"/>
                <w:lang w:eastAsia="es-MX"/>
              </w:rPr>
            </w:pPr>
          </w:p>
        </w:tc>
        <w:tc>
          <w:tcPr>
            <w:tcW w:w="1551" w:type="dxa"/>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szCs w:val="18"/>
                <w:lang w:eastAsia="es-MX"/>
              </w:rPr>
            </w:pPr>
            <w:r w:rsidRPr="00607E6C">
              <w:rPr>
                <w:rFonts w:ascii="Arial" w:eastAsia="Times New Roman" w:hAnsi="Arial" w:cs="Arial"/>
                <w:color w:val="000000" w:themeColor="text1"/>
                <w:sz w:val="18"/>
                <w:szCs w:val="18"/>
                <w:lang w:eastAsia="es-MX"/>
              </w:rPr>
              <w:t>1,846.7</w:t>
            </w:r>
          </w:p>
        </w:tc>
        <w:tc>
          <w:tcPr>
            <w:tcW w:w="567" w:type="dxa"/>
            <w:tcBorders>
              <w:top w:val="nil"/>
              <w:left w:val="nil"/>
              <w:bottom w:val="nil"/>
              <w:right w:val="nil"/>
            </w:tcBorders>
            <w:shd w:val="clear" w:color="auto" w:fill="auto"/>
            <w:noWrap/>
            <w:vAlign w:val="bottom"/>
            <w:hideMark/>
          </w:tcPr>
          <w:p w:rsidR="00710A06" w:rsidRPr="00607E6C" w:rsidRDefault="00710A06" w:rsidP="00C45465">
            <w:pPr>
              <w:spacing w:after="0" w:line="360" w:lineRule="auto"/>
              <w:rPr>
                <w:rFonts w:ascii="Arial" w:eastAsia="Times New Roman" w:hAnsi="Arial" w:cs="Arial"/>
                <w:color w:val="000000" w:themeColor="text1"/>
                <w:sz w:val="18"/>
                <w:szCs w:val="18"/>
                <w:lang w:eastAsia="es-MX"/>
              </w:rPr>
            </w:pPr>
          </w:p>
        </w:tc>
        <w:tc>
          <w:tcPr>
            <w:tcW w:w="1607" w:type="dxa"/>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szCs w:val="18"/>
                <w:lang w:eastAsia="es-MX"/>
              </w:rPr>
            </w:pPr>
            <w:r w:rsidRPr="00607E6C">
              <w:rPr>
                <w:rFonts w:ascii="Arial" w:eastAsia="Times New Roman" w:hAnsi="Arial" w:cs="Arial"/>
                <w:color w:val="000000" w:themeColor="text1"/>
                <w:sz w:val="18"/>
                <w:szCs w:val="18"/>
                <w:lang w:eastAsia="es-MX"/>
              </w:rPr>
              <w:t>1,410.9</w:t>
            </w:r>
          </w:p>
        </w:tc>
        <w:tc>
          <w:tcPr>
            <w:tcW w:w="567" w:type="dxa"/>
            <w:tcBorders>
              <w:top w:val="nil"/>
              <w:left w:val="nil"/>
              <w:bottom w:val="nil"/>
              <w:right w:val="nil"/>
            </w:tcBorders>
            <w:shd w:val="clear" w:color="auto" w:fill="auto"/>
            <w:noWrap/>
            <w:vAlign w:val="bottom"/>
            <w:hideMark/>
          </w:tcPr>
          <w:p w:rsidR="00710A06" w:rsidRPr="00607E6C" w:rsidRDefault="00710A06" w:rsidP="00C45465">
            <w:pPr>
              <w:spacing w:after="0" w:line="360" w:lineRule="auto"/>
              <w:rPr>
                <w:rFonts w:ascii="Arial" w:eastAsia="Times New Roman" w:hAnsi="Arial" w:cs="Arial"/>
                <w:color w:val="000000" w:themeColor="text1"/>
                <w:sz w:val="18"/>
                <w:szCs w:val="18"/>
                <w:lang w:eastAsia="es-MX"/>
              </w:rPr>
            </w:pPr>
          </w:p>
        </w:tc>
        <w:tc>
          <w:tcPr>
            <w:tcW w:w="1531" w:type="dxa"/>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szCs w:val="18"/>
                <w:lang w:eastAsia="es-MX"/>
              </w:rPr>
            </w:pPr>
            <w:r w:rsidRPr="00607E6C">
              <w:rPr>
                <w:rFonts w:ascii="Arial" w:eastAsia="Times New Roman" w:hAnsi="Arial" w:cs="Arial"/>
                <w:color w:val="000000" w:themeColor="text1"/>
                <w:sz w:val="18"/>
                <w:szCs w:val="18"/>
                <w:lang w:eastAsia="es-MX"/>
              </w:rPr>
              <w:t>3,257.6</w:t>
            </w:r>
          </w:p>
        </w:tc>
      </w:tr>
      <w:tr w:rsidR="00710A06" w:rsidRPr="00607E6C" w:rsidTr="00F2718C">
        <w:trPr>
          <w:trHeight w:val="309"/>
          <w:jc w:val="center"/>
        </w:trPr>
        <w:tc>
          <w:tcPr>
            <w:tcW w:w="2130" w:type="dxa"/>
            <w:tcBorders>
              <w:top w:val="nil"/>
              <w:left w:val="single" w:sz="4" w:space="0" w:color="A6A6A6"/>
              <w:bottom w:val="single" w:sz="4" w:space="0" w:color="A6A6A6"/>
              <w:right w:val="single" w:sz="4" w:space="0" w:color="A6A6A6"/>
            </w:tcBorders>
            <w:shd w:val="clear" w:color="000000" w:fill="CCCCCC"/>
            <w:vAlign w:val="center"/>
            <w:hideMark/>
          </w:tcPr>
          <w:p w:rsidR="00710A06" w:rsidRPr="00607E6C" w:rsidRDefault="00710A06" w:rsidP="00C45465">
            <w:pPr>
              <w:spacing w:after="0" w:line="360" w:lineRule="auto"/>
              <w:jc w:val="center"/>
              <w:rPr>
                <w:rFonts w:ascii="Arial" w:eastAsia="Times New Roman" w:hAnsi="Arial" w:cs="Arial"/>
                <w:b/>
                <w:bCs/>
                <w:color w:val="000000" w:themeColor="text1"/>
                <w:sz w:val="18"/>
                <w:szCs w:val="18"/>
                <w:lang w:eastAsia="es-MX"/>
              </w:rPr>
            </w:pPr>
            <w:r w:rsidRPr="00607E6C">
              <w:rPr>
                <w:rFonts w:ascii="Arial" w:eastAsia="Times New Roman" w:hAnsi="Arial" w:cs="Arial"/>
                <w:b/>
                <w:bCs/>
                <w:color w:val="000000" w:themeColor="text1"/>
                <w:sz w:val="18"/>
                <w:szCs w:val="18"/>
                <w:lang w:eastAsia="es-MX"/>
              </w:rPr>
              <w:t>TOTAL</w:t>
            </w:r>
          </w:p>
        </w:tc>
        <w:tc>
          <w:tcPr>
            <w:tcW w:w="567" w:type="dxa"/>
            <w:tcBorders>
              <w:top w:val="nil"/>
              <w:left w:val="nil"/>
              <w:bottom w:val="nil"/>
              <w:right w:val="nil"/>
            </w:tcBorders>
            <w:shd w:val="clear" w:color="auto" w:fill="auto"/>
            <w:noWrap/>
            <w:vAlign w:val="bottom"/>
            <w:hideMark/>
          </w:tcPr>
          <w:p w:rsidR="00710A06" w:rsidRPr="00607E6C" w:rsidRDefault="00710A06" w:rsidP="00C45465">
            <w:pPr>
              <w:spacing w:after="0" w:line="360" w:lineRule="auto"/>
              <w:rPr>
                <w:rFonts w:ascii="Arial" w:eastAsia="Times New Roman" w:hAnsi="Arial" w:cs="Arial"/>
                <w:color w:val="000000" w:themeColor="text1"/>
                <w:sz w:val="18"/>
                <w:szCs w:val="18"/>
                <w:lang w:eastAsia="es-MX"/>
              </w:rPr>
            </w:pPr>
          </w:p>
        </w:tc>
        <w:tc>
          <w:tcPr>
            <w:tcW w:w="1551" w:type="dxa"/>
            <w:tcBorders>
              <w:top w:val="nil"/>
              <w:left w:val="single" w:sz="4" w:space="0" w:color="A6A6A6"/>
              <w:bottom w:val="single" w:sz="4" w:space="0" w:color="A6A6A6"/>
              <w:right w:val="single" w:sz="4" w:space="0" w:color="A6A6A6"/>
            </w:tcBorders>
            <w:shd w:val="clear" w:color="000000" w:fill="CCCCCC"/>
            <w:vAlign w:val="center"/>
            <w:hideMark/>
          </w:tcPr>
          <w:p w:rsidR="00710A06" w:rsidRPr="00607E6C" w:rsidRDefault="00710A06" w:rsidP="00C45465">
            <w:pPr>
              <w:spacing w:after="0" w:line="360" w:lineRule="auto"/>
              <w:jc w:val="right"/>
              <w:rPr>
                <w:rFonts w:ascii="Arial" w:eastAsia="Times New Roman" w:hAnsi="Arial" w:cs="Arial"/>
                <w:b/>
                <w:bCs/>
                <w:color w:val="000000" w:themeColor="text1"/>
                <w:sz w:val="18"/>
                <w:szCs w:val="18"/>
                <w:lang w:eastAsia="es-MX"/>
              </w:rPr>
            </w:pPr>
            <w:r w:rsidRPr="00607E6C">
              <w:rPr>
                <w:rFonts w:ascii="Arial" w:eastAsia="Times New Roman" w:hAnsi="Arial" w:cs="Arial"/>
                <w:b/>
                <w:bCs/>
                <w:color w:val="000000" w:themeColor="text1"/>
                <w:sz w:val="18"/>
                <w:szCs w:val="18"/>
                <w:lang w:eastAsia="es-MX"/>
              </w:rPr>
              <w:t>8,673.7</w:t>
            </w:r>
          </w:p>
        </w:tc>
        <w:tc>
          <w:tcPr>
            <w:tcW w:w="567" w:type="dxa"/>
            <w:tcBorders>
              <w:top w:val="nil"/>
              <w:left w:val="nil"/>
              <w:bottom w:val="nil"/>
              <w:right w:val="nil"/>
            </w:tcBorders>
            <w:shd w:val="clear" w:color="auto" w:fill="auto"/>
            <w:noWrap/>
            <w:vAlign w:val="bottom"/>
            <w:hideMark/>
          </w:tcPr>
          <w:p w:rsidR="00710A06" w:rsidRPr="00607E6C" w:rsidRDefault="00710A06" w:rsidP="00C45465">
            <w:pPr>
              <w:spacing w:after="0" w:line="360" w:lineRule="auto"/>
              <w:rPr>
                <w:rFonts w:ascii="Arial" w:eastAsia="Times New Roman" w:hAnsi="Arial" w:cs="Arial"/>
                <w:color w:val="000000" w:themeColor="text1"/>
                <w:sz w:val="18"/>
                <w:szCs w:val="18"/>
                <w:lang w:eastAsia="es-MX"/>
              </w:rPr>
            </w:pPr>
          </w:p>
        </w:tc>
        <w:tc>
          <w:tcPr>
            <w:tcW w:w="1607" w:type="dxa"/>
            <w:tcBorders>
              <w:top w:val="nil"/>
              <w:left w:val="single" w:sz="4" w:space="0" w:color="A6A6A6"/>
              <w:bottom w:val="single" w:sz="4" w:space="0" w:color="A6A6A6"/>
              <w:right w:val="single" w:sz="4" w:space="0" w:color="A6A6A6"/>
            </w:tcBorders>
            <w:shd w:val="clear" w:color="000000" w:fill="CCCCCC"/>
            <w:vAlign w:val="center"/>
            <w:hideMark/>
          </w:tcPr>
          <w:p w:rsidR="00710A06" w:rsidRPr="00607E6C" w:rsidRDefault="00710A06" w:rsidP="00C45465">
            <w:pPr>
              <w:spacing w:after="0" w:line="360" w:lineRule="auto"/>
              <w:jc w:val="right"/>
              <w:rPr>
                <w:rFonts w:ascii="Arial" w:eastAsia="Times New Roman" w:hAnsi="Arial" w:cs="Arial"/>
                <w:b/>
                <w:bCs/>
                <w:color w:val="000000" w:themeColor="text1"/>
                <w:sz w:val="18"/>
                <w:szCs w:val="18"/>
                <w:lang w:eastAsia="es-MX"/>
              </w:rPr>
            </w:pPr>
            <w:r w:rsidRPr="00607E6C">
              <w:rPr>
                <w:rFonts w:ascii="Arial" w:eastAsia="Times New Roman" w:hAnsi="Arial" w:cs="Arial"/>
                <w:b/>
                <w:bCs/>
                <w:color w:val="000000" w:themeColor="text1"/>
                <w:sz w:val="18"/>
                <w:szCs w:val="18"/>
                <w:lang w:eastAsia="es-MX"/>
              </w:rPr>
              <w:t>9,462.0</w:t>
            </w:r>
          </w:p>
        </w:tc>
        <w:tc>
          <w:tcPr>
            <w:tcW w:w="567" w:type="dxa"/>
            <w:tcBorders>
              <w:top w:val="nil"/>
              <w:left w:val="nil"/>
              <w:bottom w:val="nil"/>
              <w:right w:val="nil"/>
            </w:tcBorders>
            <w:shd w:val="clear" w:color="auto" w:fill="auto"/>
            <w:noWrap/>
            <w:vAlign w:val="bottom"/>
            <w:hideMark/>
          </w:tcPr>
          <w:p w:rsidR="00710A06" w:rsidRPr="00607E6C" w:rsidRDefault="00710A06" w:rsidP="00C45465">
            <w:pPr>
              <w:spacing w:after="0" w:line="360" w:lineRule="auto"/>
              <w:rPr>
                <w:rFonts w:ascii="Arial" w:eastAsia="Times New Roman" w:hAnsi="Arial" w:cs="Arial"/>
                <w:color w:val="000000" w:themeColor="text1"/>
                <w:sz w:val="18"/>
                <w:szCs w:val="18"/>
                <w:lang w:eastAsia="es-MX"/>
              </w:rPr>
            </w:pPr>
          </w:p>
        </w:tc>
        <w:tc>
          <w:tcPr>
            <w:tcW w:w="1531" w:type="dxa"/>
            <w:tcBorders>
              <w:top w:val="nil"/>
              <w:left w:val="single" w:sz="4" w:space="0" w:color="A6A6A6"/>
              <w:bottom w:val="single" w:sz="4" w:space="0" w:color="A6A6A6"/>
              <w:right w:val="single" w:sz="4" w:space="0" w:color="A6A6A6"/>
            </w:tcBorders>
            <w:shd w:val="clear" w:color="000000" w:fill="CCCCCC"/>
            <w:vAlign w:val="center"/>
            <w:hideMark/>
          </w:tcPr>
          <w:p w:rsidR="00710A06" w:rsidRPr="00607E6C" w:rsidRDefault="00710A06" w:rsidP="00C45465">
            <w:pPr>
              <w:spacing w:after="0" w:line="360" w:lineRule="auto"/>
              <w:jc w:val="right"/>
              <w:rPr>
                <w:rFonts w:ascii="Arial" w:eastAsia="Times New Roman" w:hAnsi="Arial" w:cs="Arial"/>
                <w:b/>
                <w:bCs/>
                <w:color w:val="000000" w:themeColor="text1"/>
                <w:sz w:val="18"/>
                <w:szCs w:val="18"/>
                <w:lang w:eastAsia="es-MX"/>
              </w:rPr>
            </w:pPr>
            <w:r w:rsidRPr="00607E6C">
              <w:rPr>
                <w:rFonts w:ascii="Arial" w:eastAsia="Times New Roman" w:hAnsi="Arial" w:cs="Arial"/>
                <w:b/>
                <w:bCs/>
                <w:color w:val="000000" w:themeColor="text1"/>
                <w:sz w:val="18"/>
                <w:szCs w:val="18"/>
                <w:lang w:eastAsia="es-MX"/>
              </w:rPr>
              <w:t>18,135.7</w:t>
            </w:r>
          </w:p>
        </w:tc>
      </w:tr>
    </w:tbl>
    <w:p w:rsidR="00710A06" w:rsidRPr="00607E6C" w:rsidRDefault="00710A06" w:rsidP="00C45465">
      <w:pPr>
        <w:spacing w:after="0" w:line="360" w:lineRule="auto"/>
        <w:rPr>
          <w:rFonts w:ascii="Arial" w:hAnsi="Arial" w:cs="Arial"/>
          <w:color w:val="000000" w:themeColor="text1"/>
          <w:sz w:val="24"/>
        </w:rPr>
      </w:pPr>
    </w:p>
    <w:p w:rsidR="00710A06" w:rsidRPr="00607E6C" w:rsidRDefault="00710A06" w:rsidP="00C45465">
      <w:pPr>
        <w:spacing w:after="0" w:line="360" w:lineRule="auto"/>
        <w:rPr>
          <w:rFonts w:ascii="Arial" w:hAnsi="Arial" w:cs="Arial"/>
          <w:color w:val="000000" w:themeColor="text1"/>
          <w:sz w:val="24"/>
        </w:rPr>
      </w:pPr>
      <w:r w:rsidRPr="00607E6C">
        <w:rPr>
          <w:rFonts w:ascii="Arial" w:hAnsi="Arial" w:cs="Arial"/>
          <w:color w:val="000000" w:themeColor="text1"/>
          <w:sz w:val="24"/>
        </w:rPr>
        <w:t>El Poder Legislativo contará con un presupuesto total de 241.7 millones de pesos, que representa un incremento nominal del 9.9% respecto de 2017, integrado como sigue:</w:t>
      </w:r>
    </w:p>
    <w:tbl>
      <w:tblPr>
        <w:tblW w:w="5240" w:type="dxa"/>
        <w:jc w:val="center"/>
        <w:tblCellMar>
          <w:left w:w="70" w:type="dxa"/>
          <w:right w:w="70" w:type="dxa"/>
        </w:tblCellMar>
        <w:tblLook w:val="04A0" w:firstRow="1" w:lastRow="0" w:firstColumn="1" w:lastColumn="0" w:noHBand="0" w:noVBand="1"/>
      </w:tblPr>
      <w:tblGrid>
        <w:gridCol w:w="3681"/>
        <w:gridCol w:w="1559"/>
      </w:tblGrid>
      <w:tr w:rsidR="00710A06" w:rsidRPr="00607E6C" w:rsidTr="00F2718C">
        <w:trPr>
          <w:trHeight w:val="309"/>
          <w:jc w:val="center"/>
        </w:trPr>
        <w:tc>
          <w:tcPr>
            <w:tcW w:w="3681" w:type="dxa"/>
            <w:tcBorders>
              <w:top w:val="single" w:sz="4" w:space="0" w:color="A6A6A6"/>
              <w:left w:val="single" w:sz="4" w:space="0" w:color="A6A6A6"/>
              <w:bottom w:val="nil"/>
              <w:right w:val="single" w:sz="4" w:space="0" w:color="A6A6A6"/>
            </w:tcBorders>
            <w:shd w:val="clear" w:color="000000" w:fill="CCCCCC"/>
            <w:vAlign w:val="center"/>
            <w:hideMark/>
          </w:tcPr>
          <w:p w:rsidR="00710A06" w:rsidRPr="00607E6C" w:rsidRDefault="00710A06" w:rsidP="00C45465">
            <w:pPr>
              <w:spacing w:after="0" w:line="360" w:lineRule="auto"/>
              <w:jc w:val="center"/>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Poder Legislativo</w:t>
            </w:r>
          </w:p>
        </w:tc>
        <w:tc>
          <w:tcPr>
            <w:tcW w:w="1559" w:type="dxa"/>
            <w:tcBorders>
              <w:top w:val="single" w:sz="4" w:space="0" w:color="A6A6A6"/>
              <w:left w:val="nil"/>
              <w:bottom w:val="nil"/>
              <w:right w:val="single" w:sz="4" w:space="0" w:color="A6A6A6"/>
            </w:tcBorders>
            <w:shd w:val="clear" w:color="000000" w:fill="CCCCCC"/>
            <w:vAlign w:val="center"/>
            <w:hideMark/>
          </w:tcPr>
          <w:p w:rsidR="00710A06" w:rsidRPr="00607E6C" w:rsidRDefault="00710A06" w:rsidP="00C45465">
            <w:pPr>
              <w:spacing w:after="0" w:line="360" w:lineRule="auto"/>
              <w:jc w:val="center"/>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Monto (MDP)</w:t>
            </w:r>
          </w:p>
        </w:tc>
      </w:tr>
      <w:tr w:rsidR="00710A06" w:rsidRPr="00607E6C" w:rsidTr="00F2718C">
        <w:trPr>
          <w:trHeight w:val="414"/>
          <w:jc w:val="center"/>
        </w:trPr>
        <w:tc>
          <w:tcPr>
            <w:tcW w:w="3681"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Cámara de Diputados</w:t>
            </w:r>
          </w:p>
        </w:tc>
        <w:tc>
          <w:tcPr>
            <w:tcW w:w="1559" w:type="dxa"/>
            <w:tcBorders>
              <w:top w:val="single" w:sz="4" w:space="0" w:color="A6A6A6"/>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178.5</w:t>
            </w:r>
          </w:p>
        </w:tc>
      </w:tr>
      <w:tr w:rsidR="00710A06" w:rsidRPr="00607E6C" w:rsidTr="00F2718C">
        <w:trPr>
          <w:trHeight w:val="408"/>
          <w:jc w:val="center"/>
        </w:trPr>
        <w:tc>
          <w:tcPr>
            <w:tcW w:w="3681" w:type="dxa"/>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 xml:space="preserve">Órgano de Fiscalización Superior </w:t>
            </w:r>
          </w:p>
        </w:tc>
        <w:tc>
          <w:tcPr>
            <w:tcW w:w="1559" w:type="dxa"/>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63.2</w:t>
            </w:r>
          </w:p>
        </w:tc>
      </w:tr>
      <w:tr w:rsidR="00710A06" w:rsidRPr="00607E6C" w:rsidTr="00F2718C">
        <w:trPr>
          <w:trHeight w:val="104"/>
          <w:jc w:val="center"/>
        </w:trPr>
        <w:tc>
          <w:tcPr>
            <w:tcW w:w="3681" w:type="dxa"/>
            <w:tcBorders>
              <w:top w:val="nil"/>
              <w:left w:val="single" w:sz="4" w:space="0" w:color="A6A6A6"/>
              <w:bottom w:val="single" w:sz="4" w:space="0" w:color="A6A6A6"/>
              <w:right w:val="single" w:sz="4" w:space="0" w:color="A6A6A6"/>
            </w:tcBorders>
            <w:shd w:val="clear" w:color="000000" w:fill="CCCCCC"/>
            <w:vAlign w:val="center"/>
            <w:hideMark/>
          </w:tcPr>
          <w:p w:rsidR="00710A06" w:rsidRPr="00607E6C" w:rsidRDefault="00710A06" w:rsidP="00C45465">
            <w:pPr>
              <w:spacing w:after="0" w:line="360" w:lineRule="auto"/>
              <w:jc w:val="center"/>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TOTAL</w:t>
            </w:r>
          </w:p>
        </w:tc>
        <w:tc>
          <w:tcPr>
            <w:tcW w:w="1559" w:type="dxa"/>
            <w:tcBorders>
              <w:top w:val="nil"/>
              <w:left w:val="nil"/>
              <w:bottom w:val="single" w:sz="4" w:space="0" w:color="A6A6A6"/>
              <w:right w:val="single" w:sz="4" w:space="0" w:color="A6A6A6"/>
            </w:tcBorders>
            <w:shd w:val="clear" w:color="000000" w:fill="CCCCCC"/>
            <w:vAlign w:val="center"/>
            <w:hideMark/>
          </w:tcPr>
          <w:p w:rsidR="00710A06" w:rsidRPr="00607E6C" w:rsidRDefault="00710A06" w:rsidP="00C45465">
            <w:pPr>
              <w:spacing w:after="0" w:line="360" w:lineRule="auto"/>
              <w:jc w:val="right"/>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241.7</w:t>
            </w:r>
          </w:p>
        </w:tc>
      </w:tr>
    </w:tbl>
    <w:p w:rsidR="00710A06" w:rsidRDefault="00710A06" w:rsidP="00C45465">
      <w:pPr>
        <w:spacing w:after="0" w:line="360" w:lineRule="auto"/>
        <w:jc w:val="both"/>
        <w:rPr>
          <w:rFonts w:ascii="Arial" w:hAnsi="Arial" w:cs="Arial"/>
          <w:color w:val="000000" w:themeColor="text1"/>
          <w:sz w:val="24"/>
          <w:szCs w:val="24"/>
        </w:rPr>
      </w:pPr>
    </w:p>
    <w:p w:rsidR="00F2718C" w:rsidRPr="00607E6C" w:rsidRDefault="00F2718C" w:rsidP="00C45465">
      <w:pPr>
        <w:spacing w:after="0" w:line="360" w:lineRule="auto"/>
        <w:jc w:val="both"/>
        <w:rPr>
          <w:rFonts w:ascii="Arial" w:hAnsi="Arial" w:cs="Arial"/>
          <w:color w:val="000000" w:themeColor="text1"/>
          <w:sz w:val="24"/>
          <w:szCs w:val="24"/>
        </w:rPr>
      </w:pPr>
    </w:p>
    <w:p w:rsidR="00710A06" w:rsidRPr="00607E6C" w:rsidRDefault="00710A06" w:rsidP="00C45465">
      <w:pPr>
        <w:spacing w:after="0" w:line="360" w:lineRule="auto"/>
        <w:jc w:val="both"/>
        <w:rPr>
          <w:rFonts w:ascii="Arial" w:hAnsi="Arial" w:cs="Arial"/>
          <w:b/>
          <w:color w:val="000000" w:themeColor="text1"/>
          <w:sz w:val="24"/>
          <w:szCs w:val="24"/>
        </w:rPr>
      </w:pPr>
      <w:r w:rsidRPr="00607E6C">
        <w:rPr>
          <w:rFonts w:ascii="Arial" w:hAnsi="Arial" w:cs="Arial"/>
          <w:b/>
          <w:color w:val="000000" w:themeColor="text1"/>
          <w:sz w:val="24"/>
          <w:szCs w:val="24"/>
        </w:rPr>
        <w:lastRenderedPageBreak/>
        <w:t>ÓRGANOS AUTÓNOMOS</w:t>
      </w:r>
    </w:p>
    <w:p w:rsidR="003E7F8E" w:rsidRDefault="003E7F8E" w:rsidP="00C45465">
      <w:pPr>
        <w:spacing w:after="0" w:line="360" w:lineRule="auto"/>
        <w:jc w:val="both"/>
        <w:rPr>
          <w:rFonts w:ascii="Arial" w:hAnsi="Arial" w:cs="Arial"/>
          <w:color w:val="000000" w:themeColor="text1"/>
          <w:sz w:val="24"/>
          <w:szCs w:val="24"/>
        </w:rPr>
      </w:pPr>
    </w:p>
    <w:p w:rsidR="00710A06" w:rsidRPr="00607E6C" w:rsidRDefault="00710A06" w:rsidP="00C45465">
      <w:pPr>
        <w:spacing w:after="0" w:line="360" w:lineRule="auto"/>
        <w:jc w:val="both"/>
        <w:rPr>
          <w:rFonts w:ascii="Arial" w:hAnsi="Arial" w:cs="Arial"/>
          <w:color w:val="000000" w:themeColor="text1"/>
          <w:sz w:val="24"/>
          <w:szCs w:val="24"/>
        </w:rPr>
      </w:pPr>
      <w:r w:rsidRPr="00607E6C">
        <w:rPr>
          <w:rFonts w:ascii="Arial" w:hAnsi="Arial" w:cs="Arial"/>
          <w:color w:val="000000" w:themeColor="text1"/>
          <w:sz w:val="24"/>
          <w:szCs w:val="24"/>
        </w:rPr>
        <w:t xml:space="preserve">La asignación de presupuesto de los Órganos Autónomos presenta un crecimiento nominal de 55.4 millones de pesos, destacando el Instituto Tlaxcalteca de Elecciones, en virtud de los comicios electorales de 2018.  </w:t>
      </w:r>
    </w:p>
    <w:p w:rsidR="00710A06" w:rsidRPr="00607E6C" w:rsidRDefault="00710A06" w:rsidP="00C45465">
      <w:pPr>
        <w:spacing w:after="0" w:line="360" w:lineRule="auto"/>
        <w:jc w:val="both"/>
        <w:rPr>
          <w:rFonts w:ascii="Arial" w:hAnsi="Arial" w:cs="Arial"/>
          <w:color w:val="000000" w:themeColor="text1"/>
          <w:sz w:val="24"/>
          <w:szCs w:val="24"/>
        </w:rPr>
      </w:pPr>
      <w:r w:rsidRPr="00607E6C">
        <w:rPr>
          <w:rFonts w:ascii="Arial" w:hAnsi="Arial" w:cs="Arial"/>
          <w:color w:val="000000" w:themeColor="text1"/>
          <w:sz w:val="24"/>
          <w:szCs w:val="24"/>
        </w:rPr>
        <w:t>El monto presupuestario para el Instituto Tlaxcalteca de Elecciones, es de 100.3 millones de pesos, que incluye una asignación extraordinaria, por única vez por 49.3 millones de pesos, destinados a complementar el monto de las subvenciones para los Partidos Políticos y enfrentar el costo del proceso electoral local. Lo anterior implica un aumento del 97 por ciento nominal, con referencia al ejercicio 2017.</w:t>
      </w:r>
    </w:p>
    <w:p w:rsidR="00607E6C" w:rsidRDefault="00607E6C" w:rsidP="00C45465">
      <w:pPr>
        <w:spacing w:after="0" w:line="360" w:lineRule="auto"/>
        <w:jc w:val="both"/>
        <w:rPr>
          <w:rFonts w:ascii="Arial" w:hAnsi="Arial" w:cs="Arial"/>
          <w:color w:val="000000" w:themeColor="text1"/>
          <w:sz w:val="24"/>
          <w:szCs w:val="24"/>
          <w:lang w:val="es-ES"/>
        </w:rPr>
      </w:pPr>
    </w:p>
    <w:p w:rsidR="00710A06" w:rsidRDefault="00710A06" w:rsidP="00C45465">
      <w:pPr>
        <w:spacing w:after="0" w:line="360" w:lineRule="auto"/>
        <w:jc w:val="both"/>
        <w:rPr>
          <w:rFonts w:ascii="Arial" w:hAnsi="Arial" w:cs="Arial"/>
          <w:color w:val="000000" w:themeColor="text1"/>
          <w:sz w:val="24"/>
          <w:szCs w:val="24"/>
          <w:lang w:val="es-ES"/>
        </w:rPr>
      </w:pPr>
      <w:r w:rsidRPr="00607E6C">
        <w:rPr>
          <w:rFonts w:ascii="Arial" w:hAnsi="Arial" w:cs="Arial"/>
          <w:color w:val="000000" w:themeColor="text1"/>
          <w:sz w:val="24"/>
          <w:szCs w:val="24"/>
          <w:lang w:val="es-ES"/>
        </w:rPr>
        <w:t>Los órganos autónomos tendrán de presupuesto global 260.3 millones de pesos.</w:t>
      </w:r>
    </w:p>
    <w:p w:rsidR="003E7F8E" w:rsidRPr="00607E6C" w:rsidRDefault="003E7F8E" w:rsidP="00C45465">
      <w:pPr>
        <w:spacing w:after="0" w:line="360" w:lineRule="auto"/>
        <w:jc w:val="both"/>
        <w:rPr>
          <w:rFonts w:ascii="Arial" w:hAnsi="Arial" w:cs="Arial"/>
          <w:color w:val="000000" w:themeColor="text1"/>
          <w:sz w:val="24"/>
          <w:szCs w:val="24"/>
        </w:rPr>
      </w:pPr>
    </w:p>
    <w:tbl>
      <w:tblPr>
        <w:tblW w:w="7644" w:type="dxa"/>
        <w:jc w:val="center"/>
        <w:tblCellMar>
          <w:left w:w="70" w:type="dxa"/>
          <w:right w:w="70" w:type="dxa"/>
        </w:tblCellMar>
        <w:tblLook w:val="04A0" w:firstRow="1" w:lastRow="0" w:firstColumn="1" w:lastColumn="0" w:noHBand="0" w:noVBand="1"/>
      </w:tblPr>
      <w:tblGrid>
        <w:gridCol w:w="4839"/>
        <w:gridCol w:w="2805"/>
      </w:tblGrid>
      <w:tr w:rsidR="00710A06" w:rsidRPr="00607E6C" w:rsidTr="00710A06">
        <w:trPr>
          <w:trHeight w:val="600"/>
          <w:jc w:val="center"/>
        </w:trPr>
        <w:tc>
          <w:tcPr>
            <w:tcW w:w="4839" w:type="dxa"/>
            <w:tcBorders>
              <w:top w:val="single" w:sz="4" w:space="0" w:color="A6A6A6"/>
              <w:left w:val="single" w:sz="4" w:space="0" w:color="A6A6A6"/>
              <w:bottom w:val="nil"/>
              <w:right w:val="single" w:sz="4" w:space="0" w:color="A6A6A6"/>
            </w:tcBorders>
            <w:shd w:val="clear" w:color="000000" w:fill="CCCCCC"/>
            <w:vAlign w:val="center"/>
            <w:hideMark/>
          </w:tcPr>
          <w:p w:rsidR="00710A06" w:rsidRPr="00607E6C" w:rsidRDefault="00710A06" w:rsidP="00C45465">
            <w:pPr>
              <w:spacing w:after="0" w:line="360" w:lineRule="auto"/>
              <w:jc w:val="center"/>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Autónomos</w:t>
            </w:r>
          </w:p>
        </w:tc>
        <w:tc>
          <w:tcPr>
            <w:tcW w:w="2805" w:type="dxa"/>
            <w:tcBorders>
              <w:top w:val="single" w:sz="4" w:space="0" w:color="A6A6A6"/>
              <w:left w:val="nil"/>
              <w:bottom w:val="nil"/>
              <w:right w:val="single" w:sz="4" w:space="0" w:color="A6A6A6"/>
            </w:tcBorders>
            <w:shd w:val="clear" w:color="000000" w:fill="CCCCCC"/>
            <w:vAlign w:val="center"/>
            <w:hideMark/>
          </w:tcPr>
          <w:p w:rsidR="00710A06" w:rsidRPr="00607E6C" w:rsidRDefault="00710A06" w:rsidP="00C45465">
            <w:pPr>
              <w:spacing w:after="0" w:line="360" w:lineRule="auto"/>
              <w:jc w:val="center"/>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Monto (MDP)</w:t>
            </w:r>
          </w:p>
        </w:tc>
      </w:tr>
      <w:tr w:rsidR="00710A06" w:rsidRPr="00607E6C" w:rsidTr="00710A06">
        <w:trPr>
          <w:trHeight w:val="454"/>
          <w:jc w:val="center"/>
        </w:trPr>
        <w:tc>
          <w:tcPr>
            <w:tcW w:w="4839"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Universidad Autónoma de Tlaxcala</w:t>
            </w:r>
          </w:p>
        </w:tc>
        <w:tc>
          <w:tcPr>
            <w:tcW w:w="2805" w:type="dxa"/>
            <w:tcBorders>
              <w:top w:val="single" w:sz="4" w:space="0" w:color="A6A6A6"/>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94.4</w:t>
            </w:r>
          </w:p>
        </w:tc>
      </w:tr>
      <w:tr w:rsidR="00710A06" w:rsidRPr="00607E6C" w:rsidTr="00710A06">
        <w:trPr>
          <w:trHeight w:val="454"/>
          <w:jc w:val="center"/>
        </w:trPr>
        <w:tc>
          <w:tcPr>
            <w:tcW w:w="4839" w:type="dxa"/>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Comisión Estatal de Derechos Humanos</w:t>
            </w:r>
          </w:p>
        </w:tc>
        <w:tc>
          <w:tcPr>
            <w:tcW w:w="2805" w:type="dxa"/>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21.9</w:t>
            </w:r>
          </w:p>
        </w:tc>
      </w:tr>
      <w:tr w:rsidR="00710A06" w:rsidRPr="00607E6C" w:rsidTr="00710A06">
        <w:trPr>
          <w:trHeight w:val="454"/>
          <w:jc w:val="center"/>
        </w:trPr>
        <w:tc>
          <w:tcPr>
            <w:tcW w:w="4839" w:type="dxa"/>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Instituto Tlaxcalteca de Elecciones</w:t>
            </w:r>
          </w:p>
        </w:tc>
        <w:tc>
          <w:tcPr>
            <w:tcW w:w="2805" w:type="dxa"/>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100.3</w:t>
            </w:r>
          </w:p>
        </w:tc>
      </w:tr>
      <w:tr w:rsidR="00710A06" w:rsidRPr="00607E6C" w:rsidTr="00710A06">
        <w:trPr>
          <w:trHeight w:val="454"/>
          <w:jc w:val="center"/>
        </w:trPr>
        <w:tc>
          <w:tcPr>
            <w:tcW w:w="4839" w:type="dxa"/>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Instituto de Acceso a la Información Pública y Protección de Datos Personales para el Estado de Tlaxcala</w:t>
            </w:r>
          </w:p>
        </w:tc>
        <w:tc>
          <w:tcPr>
            <w:tcW w:w="2805" w:type="dxa"/>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12.9</w:t>
            </w:r>
          </w:p>
        </w:tc>
      </w:tr>
      <w:tr w:rsidR="00710A06" w:rsidRPr="00607E6C" w:rsidTr="00710A06">
        <w:trPr>
          <w:trHeight w:val="454"/>
          <w:jc w:val="center"/>
        </w:trPr>
        <w:tc>
          <w:tcPr>
            <w:tcW w:w="4839" w:type="dxa"/>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Tribunal de Conciliación y Arbitraje</w:t>
            </w:r>
          </w:p>
        </w:tc>
        <w:tc>
          <w:tcPr>
            <w:tcW w:w="2805" w:type="dxa"/>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10.0</w:t>
            </w:r>
          </w:p>
        </w:tc>
      </w:tr>
      <w:tr w:rsidR="00710A06" w:rsidRPr="00607E6C" w:rsidTr="00710A06">
        <w:trPr>
          <w:trHeight w:val="454"/>
          <w:jc w:val="center"/>
        </w:trPr>
        <w:tc>
          <w:tcPr>
            <w:tcW w:w="4839" w:type="dxa"/>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Tribunal Electoral de Tlaxcala</w:t>
            </w:r>
          </w:p>
        </w:tc>
        <w:tc>
          <w:tcPr>
            <w:tcW w:w="2805" w:type="dxa"/>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20.8</w:t>
            </w:r>
          </w:p>
        </w:tc>
      </w:tr>
      <w:tr w:rsidR="00710A06" w:rsidRPr="00607E6C" w:rsidTr="00710A06">
        <w:trPr>
          <w:trHeight w:val="300"/>
          <w:jc w:val="center"/>
        </w:trPr>
        <w:tc>
          <w:tcPr>
            <w:tcW w:w="4839" w:type="dxa"/>
            <w:tcBorders>
              <w:top w:val="nil"/>
              <w:left w:val="single" w:sz="4" w:space="0" w:color="A6A6A6"/>
              <w:bottom w:val="single" w:sz="4" w:space="0" w:color="A6A6A6"/>
              <w:right w:val="single" w:sz="4" w:space="0" w:color="A6A6A6"/>
            </w:tcBorders>
            <w:shd w:val="clear" w:color="000000" w:fill="CCCCCC"/>
            <w:vAlign w:val="center"/>
            <w:hideMark/>
          </w:tcPr>
          <w:p w:rsidR="00710A06" w:rsidRPr="00607E6C" w:rsidRDefault="00710A06" w:rsidP="00C45465">
            <w:pPr>
              <w:spacing w:after="0" w:line="360" w:lineRule="auto"/>
              <w:jc w:val="center"/>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TOTAL</w:t>
            </w:r>
          </w:p>
        </w:tc>
        <w:tc>
          <w:tcPr>
            <w:tcW w:w="2805" w:type="dxa"/>
            <w:tcBorders>
              <w:top w:val="nil"/>
              <w:left w:val="nil"/>
              <w:bottom w:val="single" w:sz="4" w:space="0" w:color="A6A6A6"/>
              <w:right w:val="single" w:sz="4" w:space="0" w:color="A6A6A6"/>
            </w:tcBorders>
            <w:shd w:val="clear" w:color="000000" w:fill="CCCCCC"/>
            <w:vAlign w:val="center"/>
            <w:hideMark/>
          </w:tcPr>
          <w:p w:rsidR="00710A06" w:rsidRPr="00607E6C" w:rsidRDefault="00710A06" w:rsidP="00C45465">
            <w:pPr>
              <w:spacing w:after="0" w:line="360" w:lineRule="auto"/>
              <w:jc w:val="right"/>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260.3</w:t>
            </w:r>
          </w:p>
        </w:tc>
      </w:tr>
    </w:tbl>
    <w:p w:rsidR="00710A06" w:rsidRPr="00607E6C" w:rsidRDefault="00710A06" w:rsidP="00C45465">
      <w:pPr>
        <w:spacing w:after="0" w:line="360" w:lineRule="auto"/>
        <w:jc w:val="center"/>
        <w:rPr>
          <w:rFonts w:ascii="Arial" w:hAnsi="Arial" w:cs="Arial"/>
          <w:color w:val="000000" w:themeColor="text1"/>
          <w:sz w:val="24"/>
        </w:rPr>
      </w:pPr>
    </w:p>
    <w:p w:rsidR="00F2718C" w:rsidRDefault="00F2718C" w:rsidP="00C45465">
      <w:pPr>
        <w:spacing w:after="0" w:line="360" w:lineRule="auto"/>
        <w:contextualSpacing/>
        <w:jc w:val="center"/>
        <w:rPr>
          <w:rFonts w:ascii="Arial" w:hAnsi="Arial" w:cs="Arial"/>
          <w:b/>
          <w:color w:val="000000" w:themeColor="text1"/>
          <w:sz w:val="24"/>
        </w:rPr>
      </w:pPr>
    </w:p>
    <w:p w:rsidR="00F2718C" w:rsidRDefault="00F2718C" w:rsidP="00C45465">
      <w:pPr>
        <w:spacing w:after="0" w:line="360" w:lineRule="auto"/>
        <w:contextualSpacing/>
        <w:jc w:val="center"/>
        <w:rPr>
          <w:rFonts w:ascii="Arial" w:hAnsi="Arial" w:cs="Arial"/>
          <w:b/>
          <w:color w:val="000000" w:themeColor="text1"/>
          <w:sz w:val="24"/>
        </w:rPr>
      </w:pPr>
    </w:p>
    <w:p w:rsidR="00F2718C" w:rsidRDefault="00F2718C" w:rsidP="00C45465">
      <w:pPr>
        <w:spacing w:after="0" w:line="360" w:lineRule="auto"/>
        <w:contextualSpacing/>
        <w:jc w:val="center"/>
        <w:rPr>
          <w:rFonts w:ascii="Arial" w:hAnsi="Arial" w:cs="Arial"/>
          <w:b/>
          <w:color w:val="000000" w:themeColor="text1"/>
          <w:sz w:val="24"/>
        </w:rPr>
      </w:pPr>
    </w:p>
    <w:p w:rsidR="00710A06" w:rsidRPr="00607E6C" w:rsidRDefault="00710A06" w:rsidP="00C45465">
      <w:pPr>
        <w:spacing w:after="0" w:line="360" w:lineRule="auto"/>
        <w:contextualSpacing/>
        <w:jc w:val="center"/>
        <w:rPr>
          <w:rFonts w:ascii="Arial" w:hAnsi="Arial" w:cs="Arial"/>
          <w:b/>
          <w:color w:val="000000" w:themeColor="text1"/>
          <w:sz w:val="24"/>
        </w:rPr>
      </w:pPr>
      <w:r w:rsidRPr="00607E6C">
        <w:rPr>
          <w:rFonts w:ascii="Arial" w:hAnsi="Arial" w:cs="Arial"/>
          <w:b/>
          <w:color w:val="000000" w:themeColor="text1"/>
          <w:sz w:val="24"/>
        </w:rPr>
        <w:lastRenderedPageBreak/>
        <w:t>RECURSOS FEDERALES A MUNICIPIOS</w:t>
      </w:r>
    </w:p>
    <w:p w:rsidR="00710A06" w:rsidRPr="00607E6C" w:rsidRDefault="00710A06" w:rsidP="00C45465">
      <w:pPr>
        <w:spacing w:after="0" w:line="360" w:lineRule="auto"/>
        <w:jc w:val="center"/>
        <w:rPr>
          <w:rFonts w:ascii="Arial" w:hAnsi="Arial" w:cs="Arial"/>
          <w:color w:val="000000" w:themeColor="text1"/>
          <w:sz w:val="24"/>
        </w:rPr>
      </w:pPr>
      <w:r w:rsidRPr="00607E6C">
        <w:rPr>
          <w:rFonts w:ascii="Arial" w:hAnsi="Arial" w:cs="Arial"/>
          <w:color w:val="000000" w:themeColor="text1"/>
          <w:sz w:val="24"/>
        </w:rPr>
        <w:t>(Millones de pesos)</w:t>
      </w:r>
    </w:p>
    <w:tbl>
      <w:tblPr>
        <w:tblW w:w="7607" w:type="dxa"/>
        <w:jc w:val="center"/>
        <w:tblCellMar>
          <w:left w:w="70" w:type="dxa"/>
          <w:right w:w="70" w:type="dxa"/>
        </w:tblCellMar>
        <w:tblLook w:val="04A0" w:firstRow="1" w:lastRow="0" w:firstColumn="1" w:lastColumn="0" w:noHBand="0" w:noVBand="1"/>
      </w:tblPr>
      <w:tblGrid>
        <w:gridCol w:w="3978"/>
        <w:gridCol w:w="1202"/>
        <w:gridCol w:w="1238"/>
        <w:gridCol w:w="1189"/>
      </w:tblGrid>
      <w:tr w:rsidR="00710A06" w:rsidRPr="00607E6C" w:rsidTr="00710A06">
        <w:trPr>
          <w:trHeight w:val="600"/>
          <w:jc w:val="center"/>
        </w:trPr>
        <w:tc>
          <w:tcPr>
            <w:tcW w:w="3978" w:type="dxa"/>
            <w:tcBorders>
              <w:top w:val="single" w:sz="4" w:space="0" w:color="A6A6A6"/>
              <w:left w:val="single" w:sz="4" w:space="0" w:color="A6A6A6"/>
              <w:bottom w:val="nil"/>
              <w:right w:val="single" w:sz="4" w:space="0" w:color="A6A6A6"/>
            </w:tcBorders>
            <w:shd w:val="clear" w:color="000000" w:fill="CCCCCC"/>
            <w:vAlign w:val="center"/>
            <w:hideMark/>
          </w:tcPr>
          <w:p w:rsidR="00710A06" w:rsidRPr="00607E6C" w:rsidRDefault="00710A06" w:rsidP="00C45465">
            <w:pPr>
              <w:spacing w:after="0" w:line="360" w:lineRule="auto"/>
              <w:jc w:val="center"/>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Municipios</w:t>
            </w:r>
          </w:p>
        </w:tc>
        <w:tc>
          <w:tcPr>
            <w:tcW w:w="1202" w:type="dxa"/>
            <w:tcBorders>
              <w:top w:val="single" w:sz="4" w:space="0" w:color="A6A6A6"/>
              <w:left w:val="nil"/>
              <w:bottom w:val="nil"/>
              <w:right w:val="single" w:sz="4" w:space="0" w:color="A6A6A6"/>
            </w:tcBorders>
            <w:shd w:val="clear" w:color="000000" w:fill="CCCCCC"/>
            <w:vAlign w:val="center"/>
            <w:hideMark/>
          </w:tcPr>
          <w:p w:rsidR="00710A06" w:rsidRPr="00607E6C" w:rsidRDefault="00710A06" w:rsidP="00C45465">
            <w:pPr>
              <w:spacing w:after="0" w:line="360" w:lineRule="auto"/>
              <w:jc w:val="center"/>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2016</w:t>
            </w:r>
          </w:p>
        </w:tc>
        <w:tc>
          <w:tcPr>
            <w:tcW w:w="1238" w:type="dxa"/>
            <w:tcBorders>
              <w:top w:val="single" w:sz="4" w:space="0" w:color="A6A6A6"/>
              <w:left w:val="nil"/>
              <w:bottom w:val="nil"/>
              <w:right w:val="single" w:sz="4" w:space="0" w:color="A6A6A6"/>
            </w:tcBorders>
            <w:shd w:val="clear" w:color="000000" w:fill="CCCCCC"/>
            <w:vAlign w:val="center"/>
            <w:hideMark/>
          </w:tcPr>
          <w:p w:rsidR="00710A06" w:rsidRPr="00607E6C" w:rsidRDefault="00710A06" w:rsidP="00C45465">
            <w:pPr>
              <w:spacing w:after="0" w:line="360" w:lineRule="auto"/>
              <w:jc w:val="center"/>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2017</w:t>
            </w:r>
          </w:p>
        </w:tc>
        <w:tc>
          <w:tcPr>
            <w:tcW w:w="1189" w:type="dxa"/>
            <w:tcBorders>
              <w:top w:val="single" w:sz="4" w:space="0" w:color="A6A6A6"/>
              <w:left w:val="nil"/>
              <w:bottom w:val="nil"/>
              <w:right w:val="single" w:sz="4" w:space="0" w:color="A6A6A6"/>
            </w:tcBorders>
            <w:shd w:val="clear" w:color="000000" w:fill="CCCCCC"/>
            <w:vAlign w:val="center"/>
            <w:hideMark/>
          </w:tcPr>
          <w:p w:rsidR="00710A06" w:rsidRPr="00607E6C" w:rsidRDefault="00710A06" w:rsidP="00C45465">
            <w:pPr>
              <w:spacing w:after="0" w:line="360" w:lineRule="auto"/>
              <w:jc w:val="center"/>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2018</w:t>
            </w:r>
          </w:p>
        </w:tc>
      </w:tr>
      <w:tr w:rsidR="00710A06" w:rsidRPr="00607E6C" w:rsidTr="00710A06">
        <w:trPr>
          <w:trHeight w:val="570"/>
          <w:jc w:val="center"/>
        </w:trPr>
        <w:tc>
          <w:tcPr>
            <w:tcW w:w="3978"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Ingresos</w:t>
            </w:r>
          </w:p>
        </w:tc>
        <w:tc>
          <w:tcPr>
            <w:tcW w:w="1202" w:type="dxa"/>
            <w:tcBorders>
              <w:top w:val="single" w:sz="4" w:space="0" w:color="A6A6A6"/>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18.1</w:t>
            </w:r>
          </w:p>
        </w:tc>
        <w:tc>
          <w:tcPr>
            <w:tcW w:w="1238" w:type="dxa"/>
            <w:tcBorders>
              <w:top w:val="single" w:sz="4" w:space="0" w:color="A6A6A6"/>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32.2</w:t>
            </w:r>
          </w:p>
        </w:tc>
        <w:tc>
          <w:tcPr>
            <w:tcW w:w="1189" w:type="dxa"/>
            <w:tcBorders>
              <w:top w:val="single" w:sz="4" w:space="0" w:color="A6A6A6"/>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35.6</w:t>
            </w:r>
          </w:p>
        </w:tc>
      </w:tr>
      <w:tr w:rsidR="00710A06" w:rsidRPr="00607E6C" w:rsidTr="00710A06">
        <w:trPr>
          <w:trHeight w:val="583"/>
          <w:jc w:val="center"/>
        </w:trPr>
        <w:tc>
          <w:tcPr>
            <w:tcW w:w="3978" w:type="dxa"/>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 xml:space="preserve">Participaciones e Incentivos </w:t>
            </w:r>
          </w:p>
        </w:tc>
        <w:tc>
          <w:tcPr>
            <w:tcW w:w="1202" w:type="dxa"/>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1,369.7</w:t>
            </w:r>
          </w:p>
        </w:tc>
        <w:tc>
          <w:tcPr>
            <w:tcW w:w="1238" w:type="dxa"/>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1,672.1</w:t>
            </w:r>
          </w:p>
        </w:tc>
        <w:tc>
          <w:tcPr>
            <w:tcW w:w="1189" w:type="dxa"/>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1,811.1</w:t>
            </w:r>
          </w:p>
        </w:tc>
      </w:tr>
      <w:tr w:rsidR="00710A06" w:rsidRPr="00607E6C" w:rsidTr="00710A06">
        <w:trPr>
          <w:trHeight w:val="549"/>
          <w:jc w:val="center"/>
        </w:trPr>
        <w:tc>
          <w:tcPr>
            <w:tcW w:w="3978" w:type="dxa"/>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Aportaciones Federales (Ramo 33)</w:t>
            </w:r>
          </w:p>
        </w:tc>
        <w:tc>
          <w:tcPr>
            <w:tcW w:w="1202" w:type="dxa"/>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1,159.1</w:t>
            </w:r>
          </w:p>
        </w:tc>
        <w:tc>
          <w:tcPr>
            <w:tcW w:w="1238" w:type="dxa"/>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1,281.5</w:t>
            </w:r>
          </w:p>
        </w:tc>
        <w:tc>
          <w:tcPr>
            <w:tcW w:w="1189" w:type="dxa"/>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1,410.9</w:t>
            </w:r>
          </w:p>
        </w:tc>
      </w:tr>
      <w:tr w:rsidR="00710A06" w:rsidRPr="00607E6C" w:rsidTr="00710A06">
        <w:trPr>
          <w:trHeight w:val="300"/>
          <w:jc w:val="center"/>
        </w:trPr>
        <w:tc>
          <w:tcPr>
            <w:tcW w:w="3978" w:type="dxa"/>
            <w:tcBorders>
              <w:top w:val="nil"/>
              <w:left w:val="single" w:sz="4" w:space="0" w:color="A6A6A6"/>
              <w:bottom w:val="single" w:sz="4" w:space="0" w:color="A6A6A6"/>
              <w:right w:val="single" w:sz="4" w:space="0" w:color="A6A6A6"/>
            </w:tcBorders>
            <w:shd w:val="clear" w:color="000000" w:fill="CCCCCC"/>
            <w:vAlign w:val="center"/>
            <w:hideMark/>
          </w:tcPr>
          <w:p w:rsidR="00710A06" w:rsidRPr="00607E6C" w:rsidRDefault="00710A06" w:rsidP="00C45465">
            <w:pPr>
              <w:spacing w:after="0" w:line="360" w:lineRule="auto"/>
              <w:jc w:val="center"/>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TOTAL</w:t>
            </w:r>
          </w:p>
        </w:tc>
        <w:tc>
          <w:tcPr>
            <w:tcW w:w="1202" w:type="dxa"/>
            <w:tcBorders>
              <w:top w:val="nil"/>
              <w:left w:val="nil"/>
              <w:bottom w:val="single" w:sz="4" w:space="0" w:color="A6A6A6"/>
              <w:right w:val="single" w:sz="4" w:space="0" w:color="A6A6A6"/>
            </w:tcBorders>
            <w:shd w:val="clear" w:color="000000" w:fill="CCCCCC"/>
            <w:vAlign w:val="center"/>
            <w:hideMark/>
          </w:tcPr>
          <w:p w:rsidR="00710A06" w:rsidRPr="00607E6C" w:rsidRDefault="00710A06" w:rsidP="00C45465">
            <w:pPr>
              <w:spacing w:after="0" w:line="360" w:lineRule="auto"/>
              <w:jc w:val="right"/>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2,546.9</w:t>
            </w:r>
          </w:p>
        </w:tc>
        <w:tc>
          <w:tcPr>
            <w:tcW w:w="1238" w:type="dxa"/>
            <w:tcBorders>
              <w:top w:val="nil"/>
              <w:left w:val="nil"/>
              <w:bottom w:val="single" w:sz="4" w:space="0" w:color="A6A6A6"/>
              <w:right w:val="single" w:sz="4" w:space="0" w:color="A6A6A6"/>
            </w:tcBorders>
            <w:shd w:val="clear" w:color="000000" w:fill="CCCCCC"/>
            <w:vAlign w:val="center"/>
            <w:hideMark/>
          </w:tcPr>
          <w:p w:rsidR="00710A06" w:rsidRPr="00607E6C" w:rsidRDefault="00710A06" w:rsidP="00C45465">
            <w:pPr>
              <w:spacing w:after="0" w:line="360" w:lineRule="auto"/>
              <w:jc w:val="right"/>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2,985.8</w:t>
            </w:r>
          </w:p>
        </w:tc>
        <w:tc>
          <w:tcPr>
            <w:tcW w:w="1189" w:type="dxa"/>
            <w:tcBorders>
              <w:top w:val="nil"/>
              <w:left w:val="nil"/>
              <w:bottom w:val="single" w:sz="4" w:space="0" w:color="A6A6A6"/>
              <w:right w:val="single" w:sz="4" w:space="0" w:color="A6A6A6"/>
            </w:tcBorders>
            <w:shd w:val="clear" w:color="000000" w:fill="CCCCCC"/>
            <w:vAlign w:val="center"/>
            <w:hideMark/>
          </w:tcPr>
          <w:p w:rsidR="00710A06" w:rsidRPr="00607E6C" w:rsidRDefault="00710A06" w:rsidP="00C45465">
            <w:pPr>
              <w:spacing w:after="0" w:line="360" w:lineRule="auto"/>
              <w:jc w:val="right"/>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3,257.6</w:t>
            </w:r>
          </w:p>
        </w:tc>
      </w:tr>
    </w:tbl>
    <w:p w:rsidR="00710A06" w:rsidRPr="00607E6C" w:rsidRDefault="00710A06" w:rsidP="00C45465">
      <w:pPr>
        <w:spacing w:after="0" w:line="360" w:lineRule="auto"/>
        <w:jc w:val="both"/>
        <w:rPr>
          <w:rFonts w:ascii="Arial" w:hAnsi="Arial" w:cs="Arial"/>
          <w:color w:val="000000" w:themeColor="text1"/>
          <w:sz w:val="24"/>
          <w:szCs w:val="24"/>
        </w:rPr>
      </w:pPr>
    </w:p>
    <w:p w:rsidR="00710A06" w:rsidRPr="00607E6C" w:rsidRDefault="00710A06" w:rsidP="00C45465">
      <w:pPr>
        <w:spacing w:after="0" w:line="360" w:lineRule="auto"/>
        <w:jc w:val="both"/>
        <w:rPr>
          <w:rFonts w:ascii="Arial" w:hAnsi="Arial" w:cs="Arial"/>
          <w:color w:val="000000" w:themeColor="text1"/>
          <w:sz w:val="24"/>
          <w:szCs w:val="24"/>
        </w:rPr>
      </w:pPr>
      <w:r w:rsidRPr="00607E6C">
        <w:rPr>
          <w:rFonts w:ascii="Arial" w:hAnsi="Arial" w:cs="Arial"/>
          <w:color w:val="000000" w:themeColor="text1"/>
          <w:sz w:val="24"/>
          <w:szCs w:val="24"/>
        </w:rPr>
        <w:t xml:space="preserve">Por lo que se refiere a recursos derivados de </w:t>
      </w:r>
      <w:r w:rsidRPr="00607E6C">
        <w:rPr>
          <w:rFonts w:ascii="Arial" w:hAnsi="Arial" w:cs="Arial"/>
          <w:b/>
          <w:color w:val="000000" w:themeColor="text1"/>
          <w:sz w:val="24"/>
          <w:szCs w:val="24"/>
        </w:rPr>
        <w:t>Aportaciones Federales</w:t>
      </w:r>
      <w:r w:rsidRPr="00607E6C">
        <w:rPr>
          <w:rFonts w:ascii="Arial" w:hAnsi="Arial" w:cs="Arial"/>
          <w:color w:val="000000" w:themeColor="text1"/>
          <w:sz w:val="24"/>
          <w:szCs w:val="24"/>
        </w:rPr>
        <w:t xml:space="preserve"> previstas en el Ramo 33 del Presupuesto de Egresos de la Federación, los Municipios tuvieron un incremento equivalente al 10.1%, correspondiente a los recursos de los Fondos de Aportaciones para el Fortalecimiento de los Municipios y de las Demarcaciones Territoriales del Distrito Federal (FORTAMUN) y del Fondo para Infraestructura Social Municipal y de las Demarcaciones Territoriales del Distrito Federal (FISM).</w:t>
      </w:r>
    </w:p>
    <w:p w:rsidR="00710A06" w:rsidRPr="00607E6C" w:rsidRDefault="00710A06" w:rsidP="00C45465">
      <w:pPr>
        <w:spacing w:after="0" w:line="360" w:lineRule="auto"/>
        <w:jc w:val="both"/>
        <w:rPr>
          <w:rFonts w:ascii="Arial" w:hAnsi="Arial" w:cs="Arial"/>
          <w:color w:val="000000" w:themeColor="text1"/>
          <w:sz w:val="24"/>
          <w:szCs w:val="24"/>
        </w:rPr>
      </w:pPr>
    </w:p>
    <w:p w:rsidR="00710A06" w:rsidRDefault="00710A06" w:rsidP="00C45465">
      <w:pPr>
        <w:spacing w:after="0" w:line="360" w:lineRule="auto"/>
        <w:jc w:val="both"/>
        <w:rPr>
          <w:rFonts w:ascii="Arial" w:hAnsi="Arial" w:cs="Arial"/>
          <w:b/>
          <w:color w:val="000000" w:themeColor="text1"/>
          <w:sz w:val="24"/>
          <w:szCs w:val="24"/>
        </w:rPr>
      </w:pPr>
      <w:r w:rsidRPr="00607E6C">
        <w:rPr>
          <w:rFonts w:ascii="Arial" w:hAnsi="Arial" w:cs="Arial"/>
          <w:b/>
          <w:color w:val="000000" w:themeColor="text1"/>
          <w:sz w:val="24"/>
          <w:szCs w:val="24"/>
        </w:rPr>
        <w:t xml:space="preserve">CLASIFICACIÓN ADMINISTRATIVA </w:t>
      </w:r>
    </w:p>
    <w:p w:rsidR="003E7F8E" w:rsidRPr="00607E6C" w:rsidRDefault="003E7F8E" w:rsidP="00C45465">
      <w:pPr>
        <w:spacing w:after="0" w:line="360" w:lineRule="auto"/>
        <w:jc w:val="both"/>
        <w:rPr>
          <w:rFonts w:ascii="Arial" w:hAnsi="Arial" w:cs="Arial"/>
          <w:b/>
          <w:color w:val="000000" w:themeColor="text1"/>
          <w:sz w:val="24"/>
          <w:szCs w:val="24"/>
        </w:rPr>
      </w:pPr>
    </w:p>
    <w:p w:rsidR="00710A06" w:rsidRPr="00607E6C" w:rsidRDefault="00710A06" w:rsidP="00C45465">
      <w:pPr>
        <w:spacing w:after="0" w:line="360" w:lineRule="auto"/>
        <w:jc w:val="both"/>
        <w:rPr>
          <w:rFonts w:ascii="Arial" w:hAnsi="Arial" w:cs="Arial"/>
          <w:color w:val="000000" w:themeColor="text1"/>
          <w:sz w:val="24"/>
          <w:szCs w:val="24"/>
        </w:rPr>
      </w:pPr>
      <w:r w:rsidRPr="00607E6C">
        <w:rPr>
          <w:rFonts w:ascii="Arial" w:hAnsi="Arial" w:cs="Arial"/>
          <w:color w:val="000000" w:themeColor="text1"/>
          <w:sz w:val="24"/>
          <w:szCs w:val="24"/>
        </w:rPr>
        <w:t xml:space="preserve">En la clasificación administrativa del presupuesto, presenta una proporción bajo el siguiente detalle; con el 29.1% del presupuesto para la Administración Pública Centralizada, el 1.5% para la Administración Desconcentrada, el 47.5% para la Administración Pública Descentralizada, el 18.0% para Municipios, y 3.9% para Poderes y Órganos Autónomos, como sigue: </w:t>
      </w:r>
    </w:p>
    <w:p w:rsidR="00710A06" w:rsidRDefault="00710A06" w:rsidP="00C45465">
      <w:pPr>
        <w:spacing w:after="0" w:line="360" w:lineRule="auto"/>
        <w:contextualSpacing/>
        <w:jc w:val="both"/>
        <w:rPr>
          <w:rFonts w:ascii="Arial" w:hAnsi="Arial" w:cs="Arial"/>
          <w:b/>
          <w:color w:val="000000" w:themeColor="text1"/>
          <w:sz w:val="24"/>
          <w:szCs w:val="24"/>
        </w:rPr>
      </w:pPr>
    </w:p>
    <w:p w:rsidR="00F2718C" w:rsidRDefault="00F2718C" w:rsidP="00C45465">
      <w:pPr>
        <w:spacing w:after="0" w:line="360" w:lineRule="auto"/>
        <w:contextualSpacing/>
        <w:jc w:val="both"/>
        <w:rPr>
          <w:rFonts w:ascii="Arial" w:hAnsi="Arial" w:cs="Arial"/>
          <w:b/>
          <w:color w:val="000000" w:themeColor="text1"/>
          <w:sz w:val="24"/>
          <w:szCs w:val="24"/>
        </w:rPr>
      </w:pPr>
    </w:p>
    <w:p w:rsidR="00F2718C" w:rsidRPr="00607E6C" w:rsidRDefault="00F2718C" w:rsidP="00C45465">
      <w:pPr>
        <w:spacing w:after="0" w:line="360" w:lineRule="auto"/>
        <w:contextualSpacing/>
        <w:jc w:val="both"/>
        <w:rPr>
          <w:rFonts w:ascii="Arial" w:hAnsi="Arial" w:cs="Arial"/>
          <w:b/>
          <w:color w:val="000000" w:themeColor="text1"/>
          <w:sz w:val="24"/>
          <w:szCs w:val="24"/>
        </w:rPr>
      </w:pPr>
      <w:bookmarkStart w:id="2" w:name="_GoBack"/>
      <w:bookmarkEnd w:id="2"/>
    </w:p>
    <w:p w:rsidR="00710A06" w:rsidRPr="00607E6C" w:rsidRDefault="00710A06" w:rsidP="00C45465">
      <w:pPr>
        <w:spacing w:after="0" w:line="360" w:lineRule="auto"/>
        <w:contextualSpacing/>
        <w:jc w:val="center"/>
        <w:rPr>
          <w:rFonts w:ascii="Arial" w:hAnsi="Arial" w:cs="Arial"/>
          <w:b/>
          <w:color w:val="000000" w:themeColor="text1"/>
          <w:sz w:val="24"/>
          <w:szCs w:val="24"/>
        </w:rPr>
      </w:pPr>
      <w:r w:rsidRPr="00607E6C">
        <w:rPr>
          <w:rFonts w:ascii="Arial" w:hAnsi="Arial" w:cs="Arial"/>
          <w:b/>
          <w:color w:val="000000" w:themeColor="text1"/>
          <w:sz w:val="24"/>
          <w:szCs w:val="24"/>
        </w:rPr>
        <w:lastRenderedPageBreak/>
        <w:t>Clasificación Administrativa</w:t>
      </w:r>
    </w:p>
    <w:p w:rsidR="00710A06" w:rsidRPr="00607E6C" w:rsidRDefault="00710A06" w:rsidP="00C45465">
      <w:pPr>
        <w:spacing w:after="0" w:line="360" w:lineRule="auto"/>
        <w:jc w:val="center"/>
        <w:rPr>
          <w:rFonts w:ascii="Arial" w:hAnsi="Arial" w:cs="Arial"/>
          <w:color w:val="000000" w:themeColor="text1"/>
          <w:sz w:val="24"/>
          <w:szCs w:val="24"/>
        </w:rPr>
      </w:pPr>
      <w:r w:rsidRPr="00607E6C">
        <w:rPr>
          <w:rFonts w:ascii="Arial" w:hAnsi="Arial" w:cs="Arial"/>
          <w:color w:val="000000" w:themeColor="text1"/>
          <w:sz w:val="24"/>
          <w:szCs w:val="24"/>
        </w:rPr>
        <w:t>(Millones de pesos)</w:t>
      </w:r>
    </w:p>
    <w:tbl>
      <w:tblPr>
        <w:tblW w:w="5220" w:type="dxa"/>
        <w:jc w:val="center"/>
        <w:tblCellMar>
          <w:left w:w="70" w:type="dxa"/>
          <w:right w:w="70" w:type="dxa"/>
        </w:tblCellMar>
        <w:tblLook w:val="04A0" w:firstRow="1" w:lastRow="0" w:firstColumn="1" w:lastColumn="0" w:noHBand="0" w:noVBand="1"/>
      </w:tblPr>
      <w:tblGrid>
        <w:gridCol w:w="2700"/>
        <w:gridCol w:w="1280"/>
        <w:gridCol w:w="1240"/>
      </w:tblGrid>
      <w:tr w:rsidR="00710A06" w:rsidRPr="00607E6C" w:rsidTr="00710A06">
        <w:trPr>
          <w:trHeight w:val="600"/>
          <w:jc w:val="center"/>
        </w:trPr>
        <w:tc>
          <w:tcPr>
            <w:tcW w:w="2700" w:type="dxa"/>
            <w:tcBorders>
              <w:top w:val="single" w:sz="4" w:space="0" w:color="A6A6A6"/>
              <w:left w:val="single" w:sz="4" w:space="0" w:color="A6A6A6"/>
              <w:bottom w:val="nil"/>
              <w:right w:val="single" w:sz="4" w:space="0" w:color="A6A6A6"/>
            </w:tcBorders>
            <w:shd w:val="clear" w:color="000000" w:fill="CCCCCC"/>
            <w:vAlign w:val="center"/>
            <w:hideMark/>
          </w:tcPr>
          <w:p w:rsidR="00710A06" w:rsidRPr="00607E6C" w:rsidRDefault="00710A06" w:rsidP="00C45465">
            <w:pPr>
              <w:spacing w:after="0" w:line="360" w:lineRule="auto"/>
              <w:jc w:val="center"/>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Ramos presupuestarios</w:t>
            </w:r>
          </w:p>
        </w:tc>
        <w:tc>
          <w:tcPr>
            <w:tcW w:w="1280" w:type="dxa"/>
            <w:tcBorders>
              <w:top w:val="single" w:sz="4" w:space="0" w:color="A6A6A6"/>
              <w:left w:val="nil"/>
              <w:bottom w:val="nil"/>
              <w:right w:val="single" w:sz="4" w:space="0" w:color="A6A6A6"/>
            </w:tcBorders>
            <w:shd w:val="clear" w:color="000000" w:fill="CCCCCC"/>
            <w:vAlign w:val="center"/>
            <w:hideMark/>
          </w:tcPr>
          <w:p w:rsidR="00710A06" w:rsidRPr="00607E6C" w:rsidRDefault="00710A06" w:rsidP="00C45465">
            <w:pPr>
              <w:spacing w:after="0" w:line="360" w:lineRule="auto"/>
              <w:jc w:val="center"/>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 xml:space="preserve">Monto </w:t>
            </w:r>
          </w:p>
        </w:tc>
        <w:tc>
          <w:tcPr>
            <w:tcW w:w="1240" w:type="dxa"/>
            <w:tcBorders>
              <w:top w:val="single" w:sz="4" w:space="0" w:color="A6A6A6"/>
              <w:left w:val="nil"/>
              <w:bottom w:val="nil"/>
              <w:right w:val="single" w:sz="4" w:space="0" w:color="A6A6A6"/>
            </w:tcBorders>
            <w:shd w:val="clear" w:color="000000" w:fill="CCCCCC"/>
            <w:vAlign w:val="center"/>
            <w:hideMark/>
          </w:tcPr>
          <w:p w:rsidR="00710A06" w:rsidRPr="00607E6C" w:rsidRDefault="00710A06" w:rsidP="00C45465">
            <w:pPr>
              <w:spacing w:after="0" w:line="360" w:lineRule="auto"/>
              <w:jc w:val="center"/>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w:t>
            </w:r>
          </w:p>
        </w:tc>
      </w:tr>
      <w:tr w:rsidR="00710A06" w:rsidRPr="00607E6C" w:rsidTr="003E7F8E">
        <w:trPr>
          <w:trHeight w:val="433"/>
          <w:jc w:val="center"/>
        </w:trPr>
        <w:tc>
          <w:tcPr>
            <w:tcW w:w="270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 xml:space="preserve">Centralizadas </w:t>
            </w:r>
          </w:p>
        </w:tc>
        <w:tc>
          <w:tcPr>
            <w:tcW w:w="1280" w:type="dxa"/>
            <w:tcBorders>
              <w:top w:val="single" w:sz="4" w:space="0" w:color="A6A6A6"/>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5,272.4</w:t>
            </w:r>
          </w:p>
        </w:tc>
        <w:tc>
          <w:tcPr>
            <w:tcW w:w="1240" w:type="dxa"/>
            <w:tcBorders>
              <w:top w:val="single" w:sz="4" w:space="0" w:color="A6A6A6"/>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center"/>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29.1</w:t>
            </w:r>
          </w:p>
        </w:tc>
      </w:tr>
      <w:tr w:rsidR="00710A06" w:rsidRPr="00607E6C" w:rsidTr="003E7F8E">
        <w:trPr>
          <w:trHeight w:val="425"/>
          <w:jc w:val="center"/>
        </w:trPr>
        <w:tc>
          <w:tcPr>
            <w:tcW w:w="2700" w:type="dxa"/>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 xml:space="preserve">Desconcentradas </w:t>
            </w:r>
          </w:p>
        </w:tc>
        <w:tc>
          <w:tcPr>
            <w:tcW w:w="1280" w:type="dxa"/>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268.0</w:t>
            </w:r>
          </w:p>
        </w:tc>
        <w:tc>
          <w:tcPr>
            <w:tcW w:w="1240" w:type="dxa"/>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center"/>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1.5</w:t>
            </w:r>
          </w:p>
        </w:tc>
      </w:tr>
      <w:tr w:rsidR="00710A06" w:rsidRPr="00607E6C" w:rsidTr="003E7F8E">
        <w:trPr>
          <w:trHeight w:val="545"/>
          <w:jc w:val="center"/>
        </w:trPr>
        <w:tc>
          <w:tcPr>
            <w:tcW w:w="2700" w:type="dxa"/>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 xml:space="preserve">Descentralizadas </w:t>
            </w:r>
          </w:p>
        </w:tc>
        <w:tc>
          <w:tcPr>
            <w:tcW w:w="1280" w:type="dxa"/>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8,615.7</w:t>
            </w:r>
          </w:p>
        </w:tc>
        <w:tc>
          <w:tcPr>
            <w:tcW w:w="1240" w:type="dxa"/>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center"/>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47.5</w:t>
            </w:r>
          </w:p>
        </w:tc>
      </w:tr>
      <w:tr w:rsidR="00710A06" w:rsidRPr="00607E6C" w:rsidTr="003E7F8E">
        <w:trPr>
          <w:trHeight w:val="567"/>
          <w:jc w:val="center"/>
        </w:trPr>
        <w:tc>
          <w:tcPr>
            <w:tcW w:w="2700" w:type="dxa"/>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Poder Legislativo y Judicial</w:t>
            </w:r>
          </w:p>
        </w:tc>
        <w:tc>
          <w:tcPr>
            <w:tcW w:w="1280" w:type="dxa"/>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461.7</w:t>
            </w:r>
          </w:p>
        </w:tc>
        <w:tc>
          <w:tcPr>
            <w:tcW w:w="1240" w:type="dxa"/>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center"/>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2.5</w:t>
            </w:r>
          </w:p>
        </w:tc>
      </w:tr>
      <w:tr w:rsidR="00710A06" w:rsidRPr="00607E6C" w:rsidTr="003E7F8E">
        <w:trPr>
          <w:trHeight w:val="405"/>
          <w:jc w:val="center"/>
        </w:trPr>
        <w:tc>
          <w:tcPr>
            <w:tcW w:w="2700" w:type="dxa"/>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Órganos Autónomos</w:t>
            </w:r>
          </w:p>
        </w:tc>
        <w:tc>
          <w:tcPr>
            <w:tcW w:w="1280" w:type="dxa"/>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260.3</w:t>
            </w:r>
          </w:p>
        </w:tc>
        <w:tc>
          <w:tcPr>
            <w:tcW w:w="1240" w:type="dxa"/>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center"/>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1.4</w:t>
            </w:r>
          </w:p>
        </w:tc>
      </w:tr>
      <w:tr w:rsidR="00710A06" w:rsidRPr="00607E6C" w:rsidTr="003E7F8E">
        <w:trPr>
          <w:trHeight w:val="425"/>
          <w:jc w:val="center"/>
        </w:trPr>
        <w:tc>
          <w:tcPr>
            <w:tcW w:w="2700" w:type="dxa"/>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 xml:space="preserve">Municipios </w:t>
            </w:r>
          </w:p>
        </w:tc>
        <w:tc>
          <w:tcPr>
            <w:tcW w:w="1280" w:type="dxa"/>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3,257.6</w:t>
            </w:r>
          </w:p>
        </w:tc>
        <w:tc>
          <w:tcPr>
            <w:tcW w:w="1240" w:type="dxa"/>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center"/>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18.0</w:t>
            </w:r>
          </w:p>
        </w:tc>
      </w:tr>
      <w:tr w:rsidR="00710A06" w:rsidRPr="00607E6C" w:rsidTr="00710A06">
        <w:trPr>
          <w:trHeight w:val="300"/>
          <w:jc w:val="center"/>
        </w:trPr>
        <w:tc>
          <w:tcPr>
            <w:tcW w:w="2700" w:type="dxa"/>
            <w:tcBorders>
              <w:top w:val="nil"/>
              <w:left w:val="single" w:sz="4" w:space="0" w:color="A6A6A6"/>
              <w:bottom w:val="single" w:sz="4" w:space="0" w:color="A6A6A6"/>
              <w:right w:val="single" w:sz="4" w:space="0" w:color="A6A6A6"/>
            </w:tcBorders>
            <w:shd w:val="clear" w:color="000000" w:fill="CCCCCC"/>
            <w:vAlign w:val="center"/>
            <w:hideMark/>
          </w:tcPr>
          <w:p w:rsidR="00710A06" w:rsidRPr="00607E6C" w:rsidRDefault="00710A06" w:rsidP="00C45465">
            <w:pPr>
              <w:spacing w:after="0" w:line="360" w:lineRule="auto"/>
              <w:jc w:val="center"/>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TOTAL</w:t>
            </w:r>
          </w:p>
        </w:tc>
        <w:tc>
          <w:tcPr>
            <w:tcW w:w="1280" w:type="dxa"/>
            <w:tcBorders>
              <w:top w:val="nil"/>
              <w:left w:val="nil"/>
              <w:bottom w:val="single" w:sz="4" w:space="0" w:color="A6A6A6"/>
              <w:right w:val="single" w:sz="4" w:space="0" w:color="A6A6A6"/>
            </w:tcBorders>
            <w:shd w:val="clear" w:color="000000" w:fill="CCCCCC"/>
            <w:vAlign w:val="center"/>
            <w:hideMark/>
          </w:tcPr>
          <w:p w:rsidR="00710A06" w:rsidRPr="00607E6C" w:rsidRDefault="00710A06" w:rsidP="00C45465">
            <w:pPr>
              <w:spacing w:after="0" w:line="360" w:lineRule="auto"/>
              <w:jc w:val="right"/>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18,135.7</w:t>
            </w:r>
          </w:p>
        </w:tc>
        <w:tc>
          <w:tcPr>
            <w:tcW w:w="1240" w:type="dxa"/>
            <w:tcBorders>
              <w:top w:val="nil"/>
              <w:left w:val="nil"/>
              <w:bottom w:val="single" w:sz="4" w:space="0" w:color="A6A6A6"/>
              <w:right w:val="single" w:sz="4" w:space="0" w:color="A6A6A6"/>
            </w:tcBorders>
            <w:shd w:val="clear" w:color="000000" w:fill="CCCCCC"/>
            <w:vAlign w:val="center"/>
            <w:hideMark/>
          </w:tcPr>
          <w:p w:rsidR="00710A06" w:rsidRPr="00607E6C" w:rsidRDefault="00710A06" w:rsidP="00C45465">
            <w:pPr>
              <w:spacing w:after="0" w:line="360" w:lineRule="auto"/>
              <w:jc w:val="center"/>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100.0</w:t>
            </w:r>
          </w:p>
        </w:tc>
      </w:tr>
    </w:tbl>
    <w:p w:rsidR="00710A06" w:rsidRPr="00607E6C" w:rsidRDefault="00710A06" w:rsidP="00C45465">
      <w:pPr>
        <w:spacing w:after="0" w:line="360" w:lineRule="auto"/>
        <w:jc w:val="center"/>
        <w:rPr>
          <w:rFonts w:ascii="Arial" w:hAnsi="Arial" w:cs="Arial"/>
          <w:color w:val="000000" w:themeColor="text1"/>
          <w:sz w:val="24"/>
        </w:rPr>
      </w:pPr>
    </w:p>
    <w:p w:rsidR="00710A06" w:rsidRDefault="00710A06" w:rsidP="00C45465">
      <w:pPr>
        <w:spacing w:after="0" w:line="360" w:lineRule="auto"/>
        <w:rPr>
          <w:rFonts w:ascii="Arial" w:hAnsi="Arial" w:cs="Arial"/>
          <w:b/>
          <w:color w:val="000000" w:themeColor="text1"/>
          <w:sz w:val="24"/>
        </w:rPr>
      </w:pPr>
      <w:r w:rsidRPr="00607E6C">
        <w:rPr>
          <w:rFonts w:ascii="Arial" w:hAnsi="Arial" w:cs="Arial"/>
          <w:b/>
          <w:color w:val="000000" w:themeColor="text1"/>
          <w:sz w:val="24"/>
        </w:rPr>
        <w:t>PODER EJECUTIVO</w:t>
      </w:r>
    </w:p>
    <w:p w:rsidR="003E7F8E" w:rsidRPr="003E7F8E" w:rsidRDefault="003E7F8E" w:rsidP="00C45465">
      <w:pPr>
        <w:spacing w:after="0" w:line="360" w:lineRule="auto"/>
        <w:rPr>
          <w:rFonts w:ascii="Arial" w:hAnsi="Arial" w:cs="Arial"/>
          <w:b/>
          <w:color w:val="000000" w:themeColor="text1"/>
          <w:sz w:val="20"/>
        </w:rPr>
      </w:pPr>
    </w:p>
    <w:p w:rsidR="00710A06" w:rsidRDefault="00710A06" w:rsidP="003E7F8E">
      <w:pPr>
        <w:spacing w:after="0" w:line="360" w:lineRule="auto"/>
        <w:jc w:val="both"/>
        <w:rPr>
          <w:rFonts w:ascii="Arial" w:hAnsi="Arial" w:cs="Arial"/>
          <w:color w:val="000000" w:themeColor="text1"/>
          <w:sz w:val="24"/>
        </w:rPr>
      </w:pPr>
      <w:r w:rsidRPr="00607E6C">
        <w:rPr>
          <w:rFonts w:ascii="Arial" w:hAnsi="Arial" w:cs="Arial"/>
          <w:color w:val="000000" w:themeColor="text1"/>
          <w:sz w:val="24"/>
        </w:rPr>
        <w:t>El presupuesto de recursos estatales del Poder Ejecutivo asciende a un monto total de 5,633.8 millones de pesos, el cual representa un incremento nominal de 6.9%.</w:t>
      </w:r>
    </w:p>
    <w:p w:rsidR="003E7F8E" w:rsidRPr="00607E6C" w:rsidRDefault="003E7F8E" w:rsidP="003E7F8E">
      <w:pPr>
        <w:spacing w:after="0" w:line="360" w:lineRule="auto"/>
        <w:jc w:val="both"/>
        <w:rPr>
          <w:rFonts w:ascii="Arial" w:hAnsi="Arial" w:cs="Arial"/>
          <w:color w:val="000000" w:themeColor="text1"/>
          <w:sz w:val="24"/>
        </w:rPr>
      </w:pPr>
    </w:p>
    <w:p w:rsidR="00710A06" w:rsidRPr="00607E6C" w:rsidRDefault="00710A06" w:rsidP="003E7F8E">
      <w:pPr>
        <w:spacing w:after="0" w:line="360" w:lineRule="auto"/>
        <w:jc w:val="both"/>
        <w:rPr>
          <w:rFonts w:ascii="Arial" w:hAnsi="Arial" w:cs="Arial"/>
          <w:color w:val="000000" w:themeColor="text1"/>
          <w:sz w:val="24"/>
        </w:rPr>
      </w:pPr>
      <w:r w:rsidRPr="00607E6C">
        <w:rPr>
          <w:rFonts w:ascii="Arial" w:hAnsi="Arial" w:cs="Arial"/>
          <w:color w:val="000000" w:themeColor="text1"/>
          <w:sz w:val="24"/>
        </w:rPr>
        <w:t>Por lo que se refiere a las Aportaciones Federales, del Ramo 33, etiquetadas en el Presupuesto de Egresos de la Federación, presentan un incremento del 4.2%.</w:t>
      </w:r>
    </w:p>
    <w:p w:rsidR="00710A06" w:rsidRPr="00607E6C" w:rsidRDefault="00710A06" w:rsidP="00C45465">
      <w:pPr>
        <w:spacing w:after="0" w:line="360" w:lineRule="auto"/>
        <w:jc w:val="center"/>
        <w:rPr>
          <w:rFonts w:ascii="Arial" w:hAnsi="Arial" w:cs="Arial"/>
          <w:b/>
          <w:color w:val="000000" w:themeColor="text1"/>
          <w:sz w:val="24"/>
        </w:rPr>
      </w:pPr>
      <w:r w:rsidRPr="00607E6C">
        <w:rPr>
          <w:rFonts w:ascii="Arial" w:hAnsi="Arial" w:cs="Arial"/>
          <w:b/>
          <w:color w:val="000000" w:themeColor="text1"/>
          <w:sz w:val="24"/>
        </w:rPr>
        <w:t xml:space="preserve">Poder Ejecutivo por </w:t>
      </w:r>
      <w:proofErr w:type="spellStart"/>
      <w:r w:rsidRPr="00607E6C">
        <w:rPr>
          <w:rFonts w:ascii="Arial" w:hAnsi="Arial" w:cs="Arial"/>
          <w:b/>
          <w:color w:val="000000" w:themeColor="text1"/>
          <w:sz w:val="24"/>
        </w:rPr>
        <w:t>Subfuente</w:t>
      </w:r>
      <w:proofErr w:type="spellEnd"/>
      <w:r w:rsidRPr="00607E6C">
        <w:rPr>
          <w:rFonts w:ascii="Arial" w:hAnsi="Arial" w:cs="Arial"/>
          <w:b/>
          <w:color w:val="000000" w:themeColor="text1"/>
          <w:sz w:val="24"/>
        </w:rPr>
        <w:t xml:space="preserve"> de Financiamiento </w:t>
      </w:r>
    </w:p>
    <w:p w:rsidR="00710A06" w:rsidRPr="00607E6C" w:rsidRDefault="00710A06" w:rsidP="00C45465">
      <w:pPr>
        <w:spacing w:after="0" w:line="360" w:lineRule="auto"/>
        <w:jc w:val="center"/>
        <w:rPr>
          <w:rFonts w:ascii="Arial" w:hAnsi="Arial" w:cs="Arial"/>
          <w:color w:val="000000" w:themeColor="text1"/>
          <w:sz w:val="24"/>
        </w:rPr>
      </w:pPr>
      <w:r w:rsidRPr="00607E6C">
        <w:rPr>
          <w:rFonts w:ascii="Arial" w:hAnsi="Arial" w:cs="Arial"/>
          <w:color w:val="000000" w:themeColor="text1"/>
          <w:sz w:val="24"/>
        </w:rPr>
        <w:t>(</w:t>
      </w:r>
      <w:proofErr w:type="gramStart"/>
      <w:r w:rsidRPr="00607E6C">
        <w:rPr>
          <w:rFonts w:ascii="Arial" w:hAnsi="Arial" w:cs="Arial"/>
          <w:color w:val="000000" w:themeColor="text1"/>
          <w:sz w:val="24"/>
        </w:rPr>
        <w:t>millones</w:t>
      </w:r>
      <w:proofErr w:type="gramEnd"/>
      <w:r w:rsidRPr="00607E6C">
        <w:rPr>
          <w:rFonts w:ascii="Arial" w:hAnsi="Arial" w:cs="Arial"/>
          <w:color w:val="000000" w:themeColor="text1"/>
          <w:sz w:val="24"/>
        </w:rPr>
        <w:t xml:space="preserve"> de pesos)</w:t>
      </w:r>
    </w:p>
    <w:tbl>
      <w:tblPr>
        <w:tblW w:w="5114" w:type="dxa"/>
        <w:jc w:val="center"/>
        <w:tblCellMar>
          <w:left w:w="70" w:type="dxa"/>
          <w:right w:w="70" w:type="dxa"/>
        </w:tblCellMar>
        <w:tblLook w:val="04A0" w:firstRow="1" w:lastRow="0" w:firstColumn="1" w:lastColumn="0" w:noHBand="0" w:noVBand="1"/>
      </w:tblPr>
      <w:tblGrid>
        <w:gridCol w:w="3894"/>
        <w:gridCol w:w="1220"/>
      </w:tblGrid>
      <w:tr w:rsidR="00710A06" w:rsidRPr="00607E6C" w:rsidTr="003E7F8E">
        <w:trPr>
          <w:trHeight w:val="417"/>
          <w:jc w:val="center"/>
        </w:trPr>
        <w:tc>
          <w:tcPr>
            <w:tcW w:w="3894" w:type="dxa"/>
            <w:tcBorders>
              <w:top w:val="single" w:sz="4" w:space="0" w:color="A6A6A6"/>
              <w:left w:val="single" w:sz="4" w:space="0" w:color="A6A6A6"/>
              <w:bottom w:val="nil"/>
              <w:right w:val="single" w:sz="4" w:space="0" w:color="A6A6A6"/>
            </w:tcBorders>
            <w:shd w:val="clear" w:color="000000" w:fill="CCCCCC"/>
            <w:vAlign w:val="center"/>
            <w:hideMark/>
          </w:tcPr>
          <w:p w:rsidR="00710A06" w:rsidRPr="00607E6C" w:rsidRDefault="00710A06" w:rsidP="00C45465">
            <w:pPr>
              <w:spacing w:after="0" w:line="360" w:lineRule="auto"/>
              <w:jc w:val="center"/>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Fuente de Financiamiento</w:t>
            </w:r>
          </w:p>
        </w:tc>
        <w:tc>
          <w:tcPr>
            <w:tcW w:w="1220" w:type="dxa"/>
            <w:tcBorders>
              <w:top w:val="single" w:sz="4" w:space="0" w:color="A6A6A6"/>
              <w:left w:val="nil"/>
              <w:bottom w:val="nil"/>
              <w:right w:val="single" w:sz="4" w:space="0" w:color="A6A6A6"/>
            </w:tcBorders>
            <w:shd w:val="clear" w:color="000000" w:fill="CCCCCC"/>
            <w:vAlign w:val="center"/>
            <w:hideMark/>
          </w:tcPr>
          <w:p w:rsidR="00710A06" w:rsidRPr="00607E6C" w:rsidRDefault="00710A06" w:rsidP="00C45465">
            <w:pPr>
              <w:spacing w:after="0" w:line="360" w:lineRule="auto"/>
              <w:jc w:val="center"/>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Monto</w:t>
            </w:r>
          </w:p>
        </w:tc>
      </w:tr>
      <w:tr w:rsidR="00710A06" w:rsidRPr="00607E6C" w:rsidTr="003E7F8E">
        <w:trPr>
          <w:trHeight w:val="227"/>
          <w:jc w:val="center"/>
        </w:trPr>
        <w:tc>
          <w:tcPr>
            <w:tcW w:w="3894"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Fuentes locales</w:t>
            </w:r>
          </w:p>
        </w:tc>
        <w:tc>
          <w:tcPr>
            <w:tcW w:w="1220" w:type="dxa"/>
            <w:tcBorders>
              <w:top w:val="single" w:sz="4" w:space="0" w:color="A6A6A6"/>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908.0</w:t>
            </w:r>
          </w:p>
        </w:tc>
      </w:tr>
      <w:tr w:rsidR="00710A06" w:rsidRPr="00607E6C" w:rsidTr="003E7F8E">
        <w:trPr>
          <w:trHeight w:val="190"/>
          <w:jc w:val="center"/>
        </w:trPr>
        <w:tc>
          <w:tcPr>
            <w:tcW w:w="3894" w:type="dxa"/>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Participaciones e Incentivos</w:t>
            </w:r>
          </w:p>
        </w:tc>
        <w:tc>
          <w:tcPr>
            <w:tcW w:w="1220" w:type="dxa"/>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5,197.0</w:t>
            </w:r>
          </w:p>
        </w:tc>
      </w:tr>
      <w:tr w:rsidR="00710A06" w:rsidRPr="00607E6C" w:rsidTr="003E7F8E">
        <w:trPr>
          <w:trHeight w:val="293"/>
          <w:jc w:val="center"/>
        </w:trPr>
        <w:tc>
          <w:tcPr>
            <w:tcW w:w="3894" w:type="dxa"/>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b/>
                <w:color w:val="000000" w:themeColor="text1"/>
                <w:sz w:val="18"/>
                <w:lang w:eastAsia="es-MX"/>
              </w:rPr>
            </w:pPr>
            <w:r w:rsidRPr="00607E6C">
              <w:rPr>
                <w:rFonts w:ascii="Arial" w:eastAsia="Times New Roman" w:hAnsi="Arial" w:cs="Arial"/>
                <w:b/>
                <w:color w:val="000000" w:themeColor="text1"/>
                <w:sz w:val="18"/>
                <w:lang w:eastAsia="es-MX"/>
              </w:rPr>
              <w:t>Subtotal Estatales</w:t>
            </w:r>
          </w:p>
        </w:tc>
        <w:tc>
          <w:tcPr>
            <w:tcW w:w="1220" w:type="dxa"/>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6,105.0</w:t>
            </w:r>
          </w:p>
        </w:tc>
      </w:tr>
      <w:tr w:rsidR="00710A06" w:rsidRPr="00607E6C" w:rsidTr="003E7F8E">
        <w:trPr>
          <w:trHeight w:val="256"/>
          <w:jc w:val="center"/>
        </w:trPr>
        <w:tc>
          <w:tcPr>
            <w:tcW w:w="3894" w:type="dxa"/>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Aportaciones Federales</w:t>
            </w:r>
          </w:p>
        </w:tc>
        <w:tc>
          <w:tcPr>
            <w:tcW w:w="1220" w:type="dxa"/>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8,051.1</w:t>
            </w:r>
          </w:p>
        </w:tc>
      </w:tr>
      <w:tr w:rsidR="00710A06" w:rsidRPr="00607E6C" w:rsidTr="00F2718C">
        <w:trPr>
          <w:trHeight w:val="237"/>
          <w:jc w:val="center"/>
        </w:trPr>
        <w:tc>
          <w:tcPr>
            <w:tcW w:w="3894" w:type="dxa"/>
            <w:tcBorders>
              <w:top w:val="nil"/>
              <w:left w:val="single" w:sz="4" w:space="0" w:color="A6A6A6"/>
              <w:bottom w:val="single" w:sz="4" w:space="0" w:color="A6A6A6"/>
              <w:right w:val="single" w:sz="4" w:space="0" w:color="A6A6A6"/>
            </w:tcBorders>
            <w:shd w:val="clear" w:color="000000" w:fill="CCCCCC"/>
            <w:vAlign w:val="center"/>
            <w:hideMark/>
          </w:tcPr>
          <w:p w:rsidR="00710A06" w:rsidRPr="00607E6C" w:rsidRDefault="00710A06" w:rsidP="00C45465">
            <w:pPr>
              <w:spacing w:after="0" w:line="360" w:lineRule="auto"/>
              <w:jc w:val="center"/>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TOTAL</w:t>
            </w:r>
          </w:p>
        </w:tc>
        <w:tc>
          <w:tcPr>
            <w:tcW w:w="1220" w:type="dxa"/>
            <w:tcBorders>
              <w:top w:val="nil"/>
              <w:left w:val="nil"/>
              <w:bottom w:val="single" w:sz="4" w:space="0" w:color="A6A6A6"/>
              <w:right w:val="single" w:sz="4" w:space="0" w:color="A6A6A6"/>
            </w:tcBorders>
            <w:shd w:val="clear" w:color="000000" w:fill="CCCCCC"/>
            <w:vAlign w:val="center"/>
            <w:hideMark/>
          </w:tcPr>
          <w:p w:rsidR="00710A06" w:rsidRPr="00607E6C" w:rsidRDefault="00710A06" w:rsidP="00C45465">
            <w:pPr>
              <w:spacing w:after="0" w:line="360" w:lineRule="auto"/>
              <w:jc w:val="right"/>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14,156.1</w:t>
            </w:r>
          </w:p>
        </w:tc>
      </w:tr>
    </w:tbl>
    <w:p w:rsidR="00710A06" w:rsidRPr="00710A06" w:rsidRDefault="00710A06" w:rsidP="00C45465">
      <w:pPr>
        <w:spacing w:after="0" w:line="360" w:lineRule="auto"/>
        <w:rPr>
          <w:rFonts w:ascii="Arial" w:hAnsi="Arial" w:cs="Arial"/>
          <w:color w:val="000000" w:themeColor="text1"/>
        </w:rPr>
      </w:pPr>
    </w:p>
    <w:p w:rsidR="00710A06" w:rsidRPr="00607E6C" w:rsidRDefault="00710A06" w:rsidP="00C45465">
      <w:pPr>
        <w:spacing w:after="0" w:line="360" w:lineRule="auto"/>
        <w:jc w:val="center"/>
        <w:rPr>
          <w:rFonts w:ascii="Arial" w:hAnsi="Arial" w:cs="Arial"/>
          <w:b/>
          <w:color w:val="000000" w:themeColor="text1"/>
          <w:sz w:val="24"/>
        </w:rPr>
      </w:pPr>
      <w:r w:rsidRPr="00607E6C">
        <w:rPr>
          <w:rFonts w:ascii="Arial" w:hAnsi="Arial" w:cs="Arial"/>
          <w:b/>
          <w:color w:val="000000" w:themeColor="text1"/>
          <w:sz w:val="24"/>
        </w:rPr>
        <w:t>PODERES Y ÓRGANOS AUTÓNOMOS</w:t>
      </w:r>
    </w:p>
    <w:tbl>
      <w:tblPr>
        <w:tblW w:w="5300" w:type="pct"/>
        <w:tblInd w:w="-497" w:type="dxa"/>
        <w:tblCellMar>
          <w:left w:w="70" w:type="dxa"/>
          <w:right w:w="70" w:type="dxa"/>
        </w:tblCellMar>
        <w:tblLook w:val="04A0" w:firstRow="1" w:lastRow="0" w:firstColumn="1" w:lastColumn="0" w:noHBand="0" w:noVBand="1"/>
      </w:tblPr>
      <w:tblGrid>
        <w:gridCol w:w="3627"/>
        <w:gridCol w:w="1428"/>
        <w:gridCol w:w="1689"/>
        <w:gridCol w:w="2051"/>
      </w:tblGrid>
      <w:tr w:rsidR="00710A06" w:rsidRPr="00607E6C" w:rsidTr="00710A06">
        <w:trPr>
          <w:trHeight w:val="600"/>
        </w:trPr>
        <w:tc>
          <w:tcPr>
            <w:tcW w:w="2062" w:type="pct"/>
            <w:tcBorders>
              <w:top w:val="single" w:sz="4" w:space="0" w:color="A6A6A6"/>
              <w:left w:val="single" w:sz="4" w:space="0" w:color="A6A6A6"/>
              <w:bottom w:val="nil"/>
              <w:right w:val="single" w:sz="4" w:space="0" w:color="A6A6A6"/>
            </w:tcBorders>
            <w:shd w:val="clear" w:color="000000" w:fill="CCCCCC"/>
            <w:vAlign w:val="center"/>
            <w:hideMark/>
          </w:tcPr>
          <w:p w:rsidR="00710A06" w:rsidRPr="00607E6C" w:rsidRDefault="00710A06" w:rsidP="00C45465">
            <w:pPr>
              <w:spacing w:after="0" w:line="360" w:lineRule="auto"/>
              <w:jc w:val="center"/>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Poderes y Órganos Autónomos</w:t>
            </w:r>
          </w:p>
        </w:tc>
        <w:tc>
          <w:tcPr>
            <w:tcW w:w="812" w:type="pct"/>
            <w:tcBorders>
              <w:top w:val="single" w:sz="4" w:space="0" w:color="A6A6A6"/>
              <w:left w:val="nil"/>
              <w:bottom w:val="nil"/>
              <w:right w:val="single" w:sz="4" w:space="0" w:color="A6A6A6"/>
            </w:tcBorders>
            <w:shd w:val="clear" w:color="000000" w:fill="CCCCCC"/>
            <w:vAlign w:val="center"/>
            <w:hideMark/>
          </w:tcPr>
          <w:p w:rsidR="00710A06" w:rsidRPr="00607E6C" w:rsidRDefault="00710A06" w:rsidP="00C45465">
            <w:pPr>
              <w:spacing w:after="0" w:line="360" w:lineRule="auto"/>
              <w:jc w:val="center"/>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Autorizado  2017</w:t>
            </w:r>
          </w:p>
        </w:tc>
        <w:tc>
          <w:tcPr>
            <w:tcW w:w="960" w:type="pct"/>
            <w:tcBorders>
              <w:top w:val="single" w:sz="4" w:space="0" w:color="A6A6A6"/>
              <w:left w:val="nil"/>
              <w:bottom w:val="nil"/>
              <w:right w:val="single" w:sz="4" w:space="0" w:color="A6A6A6"/>
            </w:tcBorders>
            <w:shd w:val="clear" w:color="000000" w:fill="CCCCCC"/>
            <w:vAlign w:val="center"/>
            <w:hideMark/>
          </w:tcPr>
          <w:p w:rsidR="00710A06" w:rsidRPr="00607E6C" w:rsidRDefault="00710A06" w:rsidP="00C45465">
            <w:pPr>
              <w:spacing w:after="0" w:line="360" w:lineRule="auto"/>
              <w:jc w:val="center"/>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Anteproyecto 2018</w:t>
            </w:r>
          </w:p>
        </w:tc>
        <w:tc>
          <w:tcPr>
            <w:tcW w:w="1166" w:type="pct"/>
            <w:tcBorders>
              <w:top w:val="single" w:sz="4" w:space="0" w:color="A6A6A6"/>
              <w:left w:val="single" w:sz="4" w:space="0" w:color="A6A6A6"/>
              <w:bottom w:val="nil"/>
              <w:right w:val="single" w:sz="4" w:space="0" w:color="A6A6A6"/>
            </w:tcBorders>
            <w:shd w:val="clear" w:color="000000" w:fill="CCCCCC"/>
            <w:vAlign w:val="center"/>
            <w:hideMark/>
          </w:tcPr>
          <w:p w:rsidR="00710A06" w:rsidRPr="00607E6C" w:rsidRDefault="00710A06" w:rsidP="00C45465">
            <w:pPr>
              <w:spacing w:after="0" w:line="360" w:lineRule="auto"/>
              <w:jc w:val="center"/>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Iniciativa final propuesta 2018</w:t>
            </w:r>
          </w:p>
        </w:tc>
      </w:tr>
      <w:tr w:rsidR="00710A06" w:rsidRPr="00607E6C" w:rsidTr="00710A06">
        <w:trPr>
          <w:trHeight w:val="300"/>
        </w:trPr>
        <w:tc>
          <w:tcPr>
            <w:tcW w:w="2062" w:type="pct"/>
            <w:tcBorders>
              <w:top w:val="single" w:sz="4" w:space="0" w:color="A6A6A6"/>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Poder Legislativo</w:t>
            </w:r>
          </w:p>
        </w:tc>
        <w:tc>
          <w:tcPr>
            <w:tcW w:w="812" w:type="pct"/>
            <w:tcBorders>
              <w:top w:val="single" w:sz="4" w:space="0" w:color="A6A6A6"/>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220.0</w:t>
            </w:r>
          </w:p>
        </w:tc>
        <w:tc>
          <w:tcPr>
            <w:tcW w:w="960" w:type="pct"/>
            <w:tcBorders>
              <w:top w:val="single" w:sz="4" w:space="0" w:color="A6A6A6"/>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241.7</w:t>
            </w:r>
          </w:p>
        </w:tc>
        <w:tc>
          <w:tcPr>
            <w:tcW w:w="1166" w:type="pct"/>
            <w:tcBorders>
              <w:top w:val="single" w:sz="4" w:space="0" w:color="A6A6A6"/>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241.7</w:t>
            </w:r>
          </w:p>
        </w:tc>
      </w:tr>
      <w:tr w:rsidR="00710A06" w:rsidRPr="00607E6C" w:rsidTr="00710A06">
        <w:trPr>
          <w:trHeight w:val="300"/>
        </w:trPr>
        <w:tc>
          <w:tcPr>
            <w:tcW w:w="2062" w:type="pct"/>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Poder Judicial</w:t>
            </w:r>
          </w:p>
        </w:tc>
        <w:tc>
          <w:tcPr>
            <w:tcW w:w="812" w:type="pct"/>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201.0</w:t>
            </w:r>
          </w:p>
        </w:tc>
        <w:tc>
          <w:tcPr>
            <w:tcW w:w="960" w:type="pct"/>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290.2</w:t>
            </w:r>
          </w:p>
        </w:tc>
        <w:tc>
          <w:tcPr>
            <w:tcW w:w="1166" w:type="pct"/>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220.0</w:t>
            </w:r>
          </w:p>
        </w:tc>
      </w:tr>
      <w:tr w:rsidR="00710A06" w:rsidRPr="00607E6C" w:rsidTr="003E7F8E">
        <w:trPr>
          <w:trHeight w:val="295"/>
        </w:trPr>
        <w:tc>
          <w:tcPr>
            <w:tcW w:w="2062" w:type="pct"/>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Universidad Autónoma de Tlaxcala</w:t>
            </w:r>
          </w:p>
        </w:tc>
        <w:tc>
          <w:tcPr>
            <w:tcW w:w="812" w:type="pct"/>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94.4</w:t>
            </w:r>
          </w:p>
        </w:tc>
        <w:tc>
          <w:tcPr>
            <w:tcW w:w="960" w:type="pct"/>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173.5</w:t>
            </w:r>
          </w:p>
        </w:tc>
        <w:tc>
          <w:tcPr>
            <w:tcW w:w="1166" w:type="pct"/>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94.4</w:t>
            </w:r>
          </w:p>
        </w:tc>
      </w:tr>
      <w:tr w:rsidR="00710A06" w:rsidRPr="00607E6C" w:rsidTr="003E7F8E">
        <w:trPr>
          <w:trHeight w:val="400"/>
        </w:trPr>
        <w:tc>
          <w:tcPr>
            <w:tcW w:w="2062" w:type="pct"/>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Comisión Estatal de Derechos Humanos</w:t>
            </w:r>
          </w:p>
        </w:tc>
        <w:tc>
          <w:tcPr>
            <w:tcW w:w="812" w:type="pct"/>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20.1</w:t>
            </w:r>
          </w:p>
        </w:tc>
        <w:tc>
          <w:tcPr>
            <w:tcW w:w="960" w:type="pct"/>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35.7</w:t>
            </w:r>
          </w:p>
        </w:tc>
        <w:tc>
          <w:tcPr>
            <w:tcW w:w="1166" w:type="pct"/>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21.9</w:t>
            </w:r>
          </w:p>
        </w:tc>
      </w:tr>
      <w:tr w:rsidR="00710A06" w:rsidRPr="00607E6C" w:rsidTr="00710A06">
        <w:trPr>
          <w:trHeight w:val="300"/>
        </w:trPr>
        <w:tc>
          <w:tcPr>
            <w:tcW w:w="2062" w:type="pct"/>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Instituto Tlaxcalteca de Elecciones</w:t>
            </w:r>
          </w:p>
        </w:tc>
        <w:tc>
          <w:tcPr>
            <w:tcW w:w="812" w:type="pct"/>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51.0</w:t>
            </w:r>
          </w:p>
        </w:tc>
        <w:tc>
          <w:tcPr>
            <w:tcW w:w="960" w:type="pct"/>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137.8</w:t>
            </w:r>
          </w:p>
        </w:tc>
        <w:tc>
          <w:tcPr>
            <w:tcW w:w="1166" w:type="pct"/>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100.3</w:t>
            </w:r>
          </w:p>
        </w:tc>
      </w:tr>
      <w:tr w:rsidR="00710A06" w:rsidRPr="00607E6C" w:rsidTr="00710A06">
        <w:trPr>
          <w:trHeight w:val="855"/>
        </w:trPr>
        <w:tc>
          <w:tcPr>
            <w:tcW w:w="2062" w:type="pct"/>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Instituto de Acceso a la Información Pública y Protección de Datos Personales</w:t>
            </w:r>
          </w:p>
        </w:tc>
        <w:tc>
          <w:tcPr>
            <w:tcW w:w="812" w:type="pct"/>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11.4</w:t>
            </w:r>
          </w:p>
        </w:tc>
        <w:tc>
          <w:tcPr>
            <w:tcW w:w="960" w:type="pct"/>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24.3</w:t>
            </w:r>
          </w:p>
        </w:tc>
        <w:tc>
          <w:tcPr>
            <w:tcW w:w="1166" w:type="pct"/>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12.8</w:t>
            </w:r>
          </w:p>
        </w:tc>
      </w:tr>
      <w:tr w:rsidR="00710A06" w:rsidRPr="00607E6C" w:rsidTr="00710A06">
        <w:trPr>
          <w:trHeight w:val="300"/>
        </w:trPr>
        <w:tc>
          <w:tcPr>
            <w:tcW w:w="2062" w:type="pct"/>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Tribunal de Conciliación y Arbitraje</w:t>
            </w:r>
          </w:p>
        </w:tc>
        <w:tc>
          <w:tcPr>
            <w:tcW w:w="812" w:type="pct"/>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8.3</w:t>
            </w:r>
          </w:p>
        </w:tc>
        <w:tc>
          <w:tcPr>
            <w:tcW w:w="960" w:type="pct"/>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11.6</w:t>
            </w:r>
          </w:p>
        </w:tc>
        <w:tc>
          <w:tcPr>
            <w:tcW w:w="1166" w:type="pct"/>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10.0</w:t>
            </w:r>
          </w:p>
        </w:tc>
      </w:tr>
      <w:tr w:rsidR="00710A06" w:rsidRPr="00607E6C" w:rsidTr="00710A06">
        <w:trPr>
          <w:trHeight w:val="300"/>
        </w:trPr>
        <w:tc>
          <w:tcPr>
            <w:tcW w:w="2062" w:type="pct"/>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Tribunal Electoral de Tlaxcala</w:t>
            </w:r>
          </w:p>
        </w:tc>
        <w:tc>
          <w:tcPr>
            <w:tcW w:w="812" w:type="pct"/>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19.7</w:t>
            </w:r>
          </w:p>
        </w:tc>
        <w:tc>
          <w:tcPr>
            <w:tcW w:w="960" w:type="pct"/>
            <w:tcBorders>
              <w:top w:val="nil"/>
              <w:left w:val="nil"/>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25.2</w:t>
            </w:r>
          </w:p>
        </w:tc>
        <w:tc>
          <w:tcPr>
            <w:tcW w:w="1166" w:type="pct"/>
            <w:tcBorders>
              <w:top w:val="nil"/>
              <w:left w:val="single" w:sz="4" w:space="0" w:color="A6A6A6"/>
              <w:bottom w:val="single" w:sz="4" w:space="0" w:color="A6A6A6"/>
              <w:right w:val="single" w:sz="4" w:space="0" w:color="A6A6A6"/>
            </w:tcBorders>
            <w:shd w:val="clear" w:color="auto" w:fill="auto"/>
            <w:vAlign w:val="center"/>
            <w:hideMark/>
          </w:tcPr>
          <w:p w:rsidR="00710A06" w:rsidRPr="00607E6C" w:rsidRDefault="00710A06" w:rsidP="00C45465">
            <w:pPr>
              <w:spacing w:after="0" w:line="360" w:lineRule="auto"/>
              <w:jc w:val="right"/>
              <w:rPr>
                <w:rFonts w:ascii="Arial" w:eastAsia="Times New Roman" w:hAnsi="Arial" w:cs="Arial"/>
                <w:color w:val="000000" w:themeColor="text1"/>
                <w:sz w:val="18"/>
                <w:lang w:eastAsia="es-MX"/>
              </w:rPr>
            </w:pPr>
            <w:r w:rsidRPr="00607E6C">
              <w:rPr>
                <w:rFonts w:ascii="Arial" w:eastAsia="Times New Roman" w:hAnsi="Arial" w:cs="Arial"/>
                <w:color w:val="000000" w:themeColor="text1"/>
                <w:sz w:val="18"/>
                <w:lang w:eastAsia="es-MX"/>
              </w:rPr>
              <w:t>20.7</w:t>
            </w:r>
          </w:p>
        </w:tc>
      </w:tr>
      <w:tr w:rsidR="00710A06" w:rsidRPr="00607E6C" w:rsidTr="00710A06">
        <w:trPr>
          <w:trHeight w:val="300"/>
        </w:trPr>
        <w:tc>
          <w:tcPr>
            <w:tcW w:w="2062" w:type="pct"/>
            <w:tcBorders>
              <w:top w:val="nil"/>
              <w:left w:val="single" w:sz="4" w:space="0" w:color="A6A6A6"/>
              <w:bottom w:val="single" w:sz="4" w:space="0" w:color="A6A6A6"/>
              <w:right w:val="single" w:sz="4" w:space="0" w:color="A6A6A6"/>
            </w:tcBorders>
            <w:shd w:val="clear" w:color="000000" w:fill="CCCCCC"/>
            <w:vAlign w:val="center"/>
            <w:hideMark/>
          </w:tcPr>
          <w:p w:rsidR="00710A06" w:rsidRPr="00607E6C" w:rsidRDefault="00710A06" w:rsidP="00C45465">
            <w:pPr>
              <w:spacing w:after="0" w:line="360" w:lineRule="auto"/>
              <w:jc w:val="center"/>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TOTAL</w:t>
            </w:r>
          </w:p>
        </w:tc>
        <w:tc>
          <w:tcPr>
            <w:tcW w:w="812" w:type="pct"/>
            <w:tcBorders>
              <w:top w:val="nil"/>
              <w:left w:val="nil"/>
              <w:bottom w:val="single" w:sz="4" w:space="0" w:color="A6A6A6"/>
              <w:right w:val="single" w:sz="4" w:space="0" w:color="A6A6A6"/>
            </w:tcBorders>
            <w:shd w:val="clear" w:color="000000" w:fill="CCCCCC"/>
            <w:vAlign w:val="center"/>
            <w:hideMark/>
          </w:tcPr>
          <w:p w:rsidR="00710A06" w:rsidRPr="00607E6C" w:rsidRDefault="00710A06" w:rsidP="00C45465">
            <w:pPr>
              <w:spacing w:after="0" w:line="360" w:lineRule="auto"/>
              <w:jc w:val="right"/>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625.9</w:t>
            </w:r>
          </w:p>
        </w:tc>
        <w:tc>
          <w:tcPr>
            <w:tcW w:w="960" w:type="pct"/>
            <w:tcBorders>
              <w:top w:val="nil"/>
              <w:left w:val="nil"/>
              <w:bottom w:val="single" w:sz="4" w:space="0" w:color="A6A6A6"/>
              <w:right w:val="single" w:sz="4" w:space="0" w:color="A6A6A6"/>
            </w:tcBorders>
            <w:shd w:val="clear" w:color="000000" w:fill="CCCCCC"/>
            <w:vAlign w:val="center"/>
            <w:hideMark/>
          </w:tcPr>
          <w:p w:rsidR="00710A06" w:rsidRPr="00607E6C" w:rsidRDefault="00710A06" w:rsidP="00C45465">
            <w:pPr>
              <w:spacing w:after="0" w:line="360" w:lineRule="auto"/>
              <w:jc w:val="right"/>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940.0</w:t>
            </w:r>
          </w:p>
        </w:tc>
        <w:tc>
          <w:tcPr>
            <w:tcW w:w="1166" w:type="pct"/>
            <w:tcBorders>
              <w:top w:val="nil"/>
              <w:left w:val="single" w:sz="4" w:space="0" w:color="A6A6A6"/>
              <w:bottom w:val="single" w:sz="4" w:space="0" w:color="A6A6A6"/>
              <w:right w:val="single" w:sz="4" w:space="0" w:color="A6A6A6"/>
            </w:tcBorders>
            <w:shd w:val="clear" w:color="000000" w:fill="CCCCCC"/>
            <w:vAlign w:val="center"/>
            <w:hideMark/>
          </w:tcPr>
          <w:p w:rsidR="00710A06" w:rsidRPr="00607E6C" w:rsidRDefault="00710A06" w:rsidP="00C45465">
            <w:pPr>
              <w:spacing w:after="0" w:line="360" w:lineRule="auto"/>
              <w:jc w:val="right"/>
              <w:rPr>
                <w:rFonts w:ascii="Arial" w:eastAsia="Times New Roman" w:hAnsi="Arial" w:cs="Arial"/>
                <w:b/>
                <w:bCs/>
                <w:color w:val="000000" w:themeColor="text1"/>
                <w:sz w:val="18"/>
                <w:lang w:eastAsia="es-MX"/>
              </w:rPr>
            </w:pPr>
            <w:r w:rsidRPr="00607E6C">
              <w:rPr>
                <w:rFonts w:ascii="Arial" w:eastAsia="Times New Roman" w:hAnsi="Arial" w:cs="Arial"/>
                <w:b/>
                <w:bCs/>
                <w:color w:val="000000" w:themeColor="text1"/>
                <w:sz w:val="18"/>
                <w:lang w:eastAsia="es-MX"/>
              </w:rPr>
              <w:t>721.8</w:t>
            </w:r>
          </w:p>
        </w:tc>
      </w:tr>
    </w:tbl>
    <w:p w:rsidR="00710A06" w:rsidRPr="003E7F8E" w:rsidRDefault="00710A06" w:rsidP="00C45465">
      <w:pPr>
        <w:spacing w:after="0" w:line="360" w:lineRule="auto"/>
        <w:ind w:left="-426"/>
        <w:rPr>
          <w:rFonts w:ascii="Arial" w:hAnsi="Arial" w:cs="Arial"/>
          <w:b/>
          <w:i/>
          <w:color w:val="000000" w:themeColor="text1"/>
          <w:sz w:val="16"/>
        </w:rPr>
      </w:pPr>
      <w:r w:rsidRPr="003E7F8E">
        <w:rPr>
          <w:rFonts w:ascii="Arial" w:hAnsi="Arial" w:cs="Arial"/>
          <w:b/>
          <w:i/>
          <w:color w:val="000000" w:themeColor="text1"/>
          <w:sz w:val="16"/>
        </w:rPr>
        <w:t>*Cifras en millones de pesos.</w:t>
      </w:r>
    </w:p>
    <w:sectPr w:rsidR="00710A06" w:rsidRPr="003E7F8E" w:rsidSect="00D57C5F">
      <w:footerReference w:type="default" r:id="rId39"/>
      <w:pgSz w:w="12240" w:h="15840" w:code="1"/>
      <w:pgMar w:top="2835" w:right="851" w:bottom="1242" w:left="323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3146" w:rsidRDefault="00A23146" w:rsidP="001F3890">
      <w:pPr>
        <w:spacing w:after="0" w:line="240" w:lineRule="auto"/>
      </w:pPr>
      <w:r>
        <w:separator/>
      </w:r>
    </w:p>
  </w:endnote>
  <w:endnote w:type="continuationSeparator" w:id="0">
    <w:p w:rsidR="00A23146" w:rsidRDefault="00A23146" w:rsidP="001F38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3604864"/>
      <w:docPartObj>
        <w:docPartGallery w:val="Page Numbers (Bottom of Page)"/>
        <w:docPartUnique/>
      </w:docPartObj>
    </w:sdtPr>
    <w:sdtContent>
      <w:p w:rsidR="00042205" w:rsidRDefault="00042205">
        <w:pPr>
          <w:pStyle w:val="Piedepgina"/>
          <w:jc w:val="right"/>
        </w:pPr>
        <w:r>
          <w:fldChar w:fldCharType="begin"/>
        </w:r>
        <w:r>
          <w:instrText>PAGE   \* MERGEFORMAT</w:instrText>
        </w:r>
        <w:r>
          <w:fldChar w:fldCharType="separate"/>
        </w:r>
        <w:r w:rsidR="00F2718C" w:rsidRPr="00F2718C">
          <w:rPr>
            <w:noProof/>
            <w:lang w:val="es-ES"/>
          </w:rPr>
          <w:t>106</w:t>
        </w:r>
        <w:r>
          <w:fldChar w:fldCharType="end"/>
        </w:r>
      </w:p>
    </w:sdtContent>
  </w:sdt>
  <w:p w:rsidR="00042205" w:rsidRDefault="0004220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3146" w:rsidRDefault="00A23146" w:rsidP="001F3890">
      <w:pPr>
        <w:spacing w:after="0" w:line="240" w:lineRule="auto"/>
      </w:pPr>
      <w:r>
        <w:separator/>
      </w:r>
    </w:p>
  </w:footnote>
  <w:footnote w:type="continuationSeparator" w:id="0">
    <w:p w:rsidR="00A23146" w:rsidRDefault="00A23146" w:rsidP="001F3890">
      <w:pPr>
        <w:spacing w:after="0" w:line="240" w:lineRule="auto"/>
      </w:pPr>
      <w:r>
        <w:continuationSeparator/>
      </w:r>
    </w:p>
  </w:footnote>
  <w:footnote w:id="1">
    <w:p w:rsidR="00042205" w:rsidRDefault="00042205" w:rsidP="001F3890">
      <w:pPr>
        <w:pStyle w:val="Textonotapie"/>
        <w:rPr>
          <w:sz w:val="16"/>
        </w:rPr>
      </w:pPr>
      <w:r>
        <w:rPr>
          <w:rStyle w:val="Refdenotaalpie"/>
          <w:b/>
          <w:sz w:val="16"/>
        </w:rPr>
        <w:footnoteRef/>
      </w:r>
      <w:r>
        <w:rPr>
          <w:sz w:val="16"/>
        </w:rPr>
        <w:t xml:space="preserve"> Valuaciones Actuariales del Norte, S.C. Consultoría Actuarial.</w:t>
      </w:r>
    </w:p>
  </w:footnote>
  <w:footnote w:id="2">
    <w:p w:rsidR="00042205" w:rsidRDefault="00042205" w:rsidP="00710A06">
      <w:pPr>
        <w:pStyle w:val="Textonotapie"/>
        <w:rPr>
          <w:sz w:val="16"/>
        </w:rPr>
      </w:pPr>
      <w:r>
        <w:rPr>
          <w:rStyle w:val="Refdenotaalpie"/>
          <w:b/>
          <w:sz w:val="16"/>
        </w:rPr>
        <w:footnoteRef/>
      </w:r>
      <w:r>
        <w:rPr>
          <w:sz w:val="16"/>
        </w:rPr>
        <w:t xml:space="preserve"> Valuaciones Actuariales del Norte, S.C. Consultoría Actuarial.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A3BA7"/>
    <w:multiLevelType w:val="hybridMultilevel"/>
    <w:tmpl w:val="24D8E102"/>
    <w:lvl w:ilvl="0" w:tplc="D0DE75BC">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DC6051E"/>
    <w:multiLevelType w:val="hybridMultilevel"/>
    <w:tmpl w:val="28D495C0"/>
    <w:lvl w:ilvl="0" w:tplc="07303E1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0182A69"/>
    <w:multiLevelType w:val="hybridMultilevel"/>
    <w:tmpl w:val="43323D2A"/>
    <w:lvl w:ilvl="0" w:tplc="FA70276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6F691D"/>
    <w:multiLevelType w:val="hybridMultilevel"/>
    <w:tmpl w:val="A59C005E"/>
    <w:lvl w:ilvl="0" w:tplc="080A0013">
      <w:start w:val="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5A34325"/>
    <w:multiLevelType w:val="hybridMultilevel"/>
    <w:tmpl w:val="28D495C0"/>
    <w:lvl w:ilvl="0" w:tplc="07303E1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7E56CF7"/>
    <w:multiLevelType w:val="hybridMultilevel"/>
    <w:tmpl w:val="0FDCD2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DC676F1"/>
    <w:multiLevelType w:val="hybridMultilevel"/>
    <w:tmpl w:val="9642F218"/>
    <w:lvl w:ilvl="0" w:tplc="199E1698">
      <w:start w:val="1"/>
      <w:numFmt w:val="lowerLetter"/>
      <w:lvlText w:val="%1)"/>
      <w:lvlJc w:val="left"/>
      <w:pPr>
        <w:ind w:left="720" w:hanging="360"/>
      </w:pPr>
      <w:rPr>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05E7417"/>
    <w:multiLevelType w:val="hybridMultilevel"/>
    <w:tmpl w:val="731C6336"/>
    <w:lvl w:ilvl="0" w:tplc="975E6920">
      <w:start w:val="1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7395D88"/>
    <w:multiLevelType w:val="hybridMultilevel"/>
    <w:tmpl w:val="AC84C2E8"/>
    <w:lvl w:ilvl="0" w:tplc="E228A10A">
      <w:start w:val="27"/>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8836CAF"/>
    <w:multiLevelType w:val="hybridMultilevel"/>
    <w:tmpl w:val="E70C3F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9B71590"/>
    <w:multiLevelType w:val="hybridMultilevel"/>
    <w:tmpl w:val="C52820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02A71D1"/>
    <w:multiLevelType w:val="hybridMultilevel"/>
    <w:tmpl w:val="6812F71A"/>
    <w:lvl w:ilvl="0" w:tplc="0A3030C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2E358DC"/>
    <w:multiLevelType w:val="hybridMultilevel"/>
    <w:tmpl w:val="0010BD70"/>
    <w:lvl w:ilvl="0" w:tplc="A446847C">
      <w:start w:val="27"/>
      <w:numFmt w:val="bullet"/>
      <w:lvlText w:val="-"/>
      <w:lvlJc w:val="left"/>
      <w:pPr>
        <w:ind w:left="1080" w:hanging="360"/>
      </w:pPr>
      <w:rPr>
        <w:rFonts w:ascii="Arial" w:eastAsiaTheme="minorHAnsi"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nsid w:val="378A71A4"/>
    <w:multiLevelType w:val="hybridMultilevel"/>
    <w:tmpl w:val="3170246C"/>
    <w:lvl w:ilvl="0" w:tplc="080A0013">
      <w:start w:val="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A45361C"/>
    <w:multiLevelType w:val="hybridMultilevel"/>
    <w:tmpl w:val="9D8444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CE560ED"/>
    <w:multiLevelType w:val="hybridMultilevel"/>
    <w:tmpl w:val="6F28EDDE"/>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16">
    <w:nsid w:val="3DD54A6B"/>
    <w:multiLevelType w:val="hybridMultilevel"/>
    <w:tmpl w:val="37C6366C"/>
    <w:lvl w:ilvl="0" w:tplc="080A0017">
      <w:start w:val="1"/>
      <w:numFmt w:val="lowerLetter"/>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nsid w:val="40AD76D6"/>
    <w:multiLevelType w:val="hybridMultilevel"/>
    <w:tmpl w:val="B45EF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390306A"/>
    <w:multiLevelType w:val="hybridMultilevel"/>
    <w:tmpl w:val="7556FD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4220534"/>
    <w:multiLevelType w:val="hybridMultilevel"/>
    <w:tmpl w:val="FDBE0C7E"/>
    <w:lvl w:ilvl="0" w:tplc="95C404F4">
      <w:start w:val="1"/>
      <w:numFmt w:val="lowerLetter"/>
      <w:lvlText w:val="%1)"/>
      <w:lvlJc w:val="left"/>
      <w:pPr>
        <w:ind w:left="720" w:hanging="360"/>
      </w:pPr>
      <w:rPr>
        <w:rFonts w:hint="default"/>
        <w:b/>
      </w:rPr>
    </w:lvl>
    <w:lvl w:ilvl="1" w:tplc="08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85F2FB4"/>
    <w:multiLevelType w:val="hybridMultilevel"/>
    <w:tmpl w:val="1F5C66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B1E08DC"/>
    <w:multiLevelType w:val="hybridMultilevel"/>
    <w:tmpl w:val="9564831E"/>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11424BD"/>
    <w:multiLevelType w:val="hybridMultilevel"/>
    <w:tmpl w:val="272408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173677E"/>
    <w:multiLevelType w:val="hybridMultilevel"/>
    <w:tmpl w:val="AC5E2C66"/>
    <w:lvl w:ilvl="0" w:tplc="F006C53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AD73DED"/>
    <w:multiLevelType w:val="hybridMultilevel"/>
    <w:tmpl w:val="D0944C3A"/>
    <w:lvl w:ilvl="0" w:tplc="9866243A">
      <w:start w:val="9"/>
      <w:numFmt w:val="upperRoman"/>
      <w:lvlText w:val="%1."/>
      <w:lvlJc w:val="left"/>
      <w:pPr>
        <w:ind w:left="1211"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AD8543F"/>
    <w:multiLevelType w:val="hybridMultilevel"/>
    <w:tmpl w:val="713EB8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2C30C39"/>
    <w:multiLevelType w:val="hybridMultilevel"/>
    <w:tmpl w:val="DF209128"/>
    <w:lvl w:ilvl="0" w:tplc="2D96443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92C08B2"/>
    <w:multiLevelType w:val="hybridMultilevel"/>
    <w:tmpl w:val="77D0F054"/>
    <w:lvl w:ilvl="0" w:tplc="080A000F">
      <w:start w:val="1"/>
      <w:numFmt w:val="decimal"/>
      <w:lvlText w:val="%1."/>
      <w:lvlJc w:val="left"/>
      <w:pPr>
        <w:ind w:left="720" w:hanging="360"/>
      </w:pPr>
      <w:rPr>
        <w:rFonts w:hint="default"/>
      </w:rPr>
    </w:lvl>
    <w:lvl w:ilvl="1" w:tplc="080A0017">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A771271"/>
    <w:multiLevelType w:val="hybridMultilevel"/>
    <w:tmpl w:val="4606A306"/>
    <w:lvl w:ilvl="0" w:tplc="73AC091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C776911"/>
    <w:multiLevelType w:val="hybridMultilevel"/>
    <w:tmpl w:val="5C1AE7DE"/>
    <w:lvl w:ilvl="0" w:tplc="080A0013">
      <w:start w:val="1"/>
      <w:numFmt w:val="upperRoman"/>
      <w:lvlText w:val="%1."/>
      <w:lvlJc w:val="righ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6D7C0E34"/>
    <w:multiLevelType w:val="hybridMultilevel"/>
    <w:tmpl w:val="9DFEA3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04C5B88"/>
    <w:multiLevelType w:val="hybridMultilevel"/>
    <w:tmpl w:val="37D8D654"/>
    <w:lvl w:ilvl="0" w:tplc="B4E063E2">
      <w:start w:val="27"/>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16E69E9"/>
    <w:multiLevelType w:val="hybridMultilevel"/>
    <w:tmpl w:val="5CDA7654"/>
    <w:lvl w:ilvl="0" w:tplc="1F08F61E">
      <w:start w:val="1"/>
      <w:numFmt w:val="decimal"/>
      <w:lvlText w:val="%1."/>
      <w:lvlJc w:val="left"/>
      <w:pPr>
        <w:ind w:left="349" w:hanging="360"/>
      </w:pPr>
      <w:rPr>
        <w:rFonts w:hint="default"/>
      </w:rPr>
    </w:lvl>
    <w:lvl w:ilvl="1" w:tplc="080A0019" w:tentative="1">
      <w:start w:val="1"/>
      <w:numFmt w:val="lowerLetter"/>
      <w:lvlText w:val="%2."/>
      <w:lvlJc w:val="left"/>
      <w:pPr>
        <w:ind w:left="1069" w:hanging="360"/>
      </w:pPr>
    </w:lvl>
    <w:lvl w:ilvl="2" w:tplc="080A001B" w:tentative="1">
      <w:start w:val="1"/>
      <w:numFmt w:val="lowerRoman"/>
      <w:lvlText w:val="%3."/>
      <w:lvlJc w:val="right"/>
      <w:pPr>
        <w:ind w:left="1789" w:hanging="180"/>
      </w:pPr>
    </w:lvl>
    <w:lvl w:ilvl="3" w:tplc="080A000F" w:tentative="1">
      <w:start w:val="1"/>
      <w:numFmt w:val="decimal"/>
      <w:lvlText w:val="%4."/>
      <w:lvlJc w:val="left"/>
      <w:pPr>
        <w:ind w:left="2509" w:hanging="360"/>
      </w:pPr>
    </w:lvl>
    <w:lvl w:ilvl="4" w:tplc="080A0019" w:tentative="1">
      <w:start w:val="1"/>
      <w:numFmt w:val="lowerLetter"/>
      <w:lvlText w:val="%5."/>
      <w:lvlJc w:val="left"/>
      <w:pPr>
        <w:ind w:left="3229" w:hanging="360"/>
      </w:pPr>
    </w:lvl>
    <w:lvl w:ilvl="5" w:tplc="080A001B" w:tentative="1">
      <w:start w:val="1"/>
      <w:numFmt w:val="lowerRoman"/>
      <w:lvlText w:val="%6."/>
      <w:lvlJc w:val="right"/>
      <w:pPr>
        <w:ind w:left="3949" w:hanging="180"/>
      </w:pPr>
    </w:lvl>
    <w:lvl w:ilvl="6" w:tplc="080A000F" w:tentative="1">
      <w:start w:val="1"/>
      <w:numFmt w:val="decimal"/>
      <w:lvlText w:val="%7."/>
      <w:lvlJc w:val="left"/>
      <w:pPr>
        <w:ind w:left="4669" w:hanging="360"/>
      </w:pPr>
    </w:lvl>
    <w:lvl w:ilvl="7" w:tplc="080A0019" w:tentative="1">
      <w:start w:val="1"/>
      <w:numFmt w:val="lowerLetter"/>
      <w:lvlText w:val="%8."/>
      <w:lvlJc w:val="left"/>
      <w:pPr>
        <w:ind w:left="5389" w:hanging="360"/>
      </w:pPr>
    </w:lvl>
    <w:lvl w:ilvl="8" w:tplc="080A001B" w:tentative="1">
      <w:start w:val="1"/>
      <w:numFmt w:val="lowerRoman"/>
      <w:lvlText w:val="%9."/>
      <w:lvlJc w:val="right"/>
      <w:pPr>
        <w:ind w:left="6109" w:hanging="180"/>
      </w:pPr>
    </w:lvl>
  </w:abstractNum>
  <w:abstractNum w:abstractNumId="33">
    <w:nsid w:val="78B0577D"/>
    <w:multiLevelType w:val="hybridMultilevel"/>
    <w:tmpl w:val="BE7E7AB4"/>
    <w:lvl w:ilvl="0" w:tplc="8578D9FA">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AEF778B"/>
    <w:multiLevelType w:val="hybridMultilevel"/>
    <w:tmpl w:val="9FD6792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C366EF8"/>
    <w:multiLevelType w:val="hybridMultilevel"/>
    <w:tmpl w:val="C9F6801A"/>
    <w:lvl w:ilvl="0" w:tplc="E0388550">
      <w:start w:val="27"/>
      <w:numFmt w:val="bullet"/>
      <w:lvlText w:val="-"/>
      <w:lvlJc w:val="left"/>
      <w:pPr>
        <w:ind w:left="1080" w:hanging="360"/>
      </w:pPr>
      <w:rPr>
        <w:rFonts w:ascii="Arial" w:eastAsiaTheme="minorHAnsi"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6">
    <w:nsid w:val="7CEE7D59"/>
    <w:multiLevelType w:val="hybridMultilevel"/>
    <w:tmpl w:val="D3FC03B4"/>
    <w:lvl w:ilvl="0" w:tplc="C0762384">
      <w:start w:val="7"/>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E376642"/>
    <w:multiLevelType w:val="hybridMultilevel"/>
    <w:tmpl w:val="E70C3F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25"/>
  </w:num>
  <w:num w:numId="3">
    <w:abstractNumId w:val="1"/>
  </w:num>
  <w:num w:numId="4">
    <w:abstractNumId w:val="23"/>
  </w:num>
  <w:num w:numId="5">
    <w:abstractNumId w:val="30"/>
  </w:num>
  <w:num w:numId="6">
    <w:abstractNumId w:val="9"/>
  </w:num>
  <w:num w:numId="7">
    <w:abstractNumId w:val="32"/>
  </w:num>
  <w:num w:numId="8">
    <w:abstractNumId w:val="20"/>
  </w:num>
  <w:num w:numId="9">
    <w:abstractNumId w:val="13"/>
  </w:num>
  <w:num w:numId="10">
    <w:abstractNumId w:val="0"/>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15"/>
  </w:num>
  <w:num w:numId="14">
    <w:abstractNumId w:val="34"/>
  </w:num>
  <w:num w:numId="15">
    <w:abstractNumId w:val="22"/>
  </w:num>
  <w:num w:numId="16">
    <w:abstractNumId w:val="17"/>
  </w:num>
  <w:num w:numId="17">
    <w:abstractNumId w:val="5"/>
  </w:num>
  <w:num w:numId="18">
    <w:abstractNumId w:val="7"/>
  </w:num>
  <w:num w:numId="19">
    <w:abstractNumId w:val="8"/>
  </w:num>
  <w:num w:numId="20">
    <w:abstractNumId w:val="12"/>
  </w:num>
  <w:num w:numId="21">
    <w:abstractNumId w:val="31"/>
  </w:num>
  <w:num w:numId="22">
    <w:abstractNumId w:val="35"/>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4"/>
  </w:num>
  <w:num w:numId="26">
    <w:abstractNumId w:val="11"/>
  </w:num>
  <w:num w:numId="27">
    <w:abstractNumId w:val="3"/>
  </w:num>
  <w:num w:numId="28">
    <w:abstractNumId w:val="4"/>
  </w:num>
  <w:num w:numId="29">
    <w:abstractNumId w:val="19"/>
  </w:num>
  <w:num w:numId="30">
    <w:abstractNumId w:val="10"/>
  </w:num>
  <w:num w:numId="31">
    <w:abstractNumId w:val="27"/>
  </w:num>
  <w:num w:numId="32">
    <w:abstractNumId w:val="33"/>
  </w:num>
  <w:num w:numId="33">
    <w:abstractNumId w:val="36"/>
  </w:num>
  <w:num w:numId="34">
    <w:abstractNumId w:val="24"/>
  </w:num>
  <w:num w:numId="35">
    <w:abstractNumId w:val="26"/>
  </w:num>
  <w:num w:numId="36">
    <w:abstractNumId w:val="2"/>
  </w:num>
  <w:num w:numId="37">
    <w:abstractNumId w:val="21"/>
  </w:num>
  <w:num w:numId="38">
    <w:abstractNumId w:val="6"/>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4D5"/>
    <w:rsid w:val="00042205"/>
    <w:rsid w:val="00182815"/>
    <w:rsid w:val="00192026"/>
    <w:rsid w:val="001F3890"/>
    <w:rsid w:val="001F77EC"/>
    <w:rsid w:val="00215873"/>
    <w:rsid w:val="00221F6D"/>
    <w:rsid w:val="00360753"/>
    <w:rsid w:val="00367F07"/>
    <w:rsid w:val="003E7F8E"/>
    <w:rsid w:val="003F141E"/>
    <w:rsid w:val="003F1689"/>
    <w:rsid w:val="00527D85"/>
    <w:rsid w:val="00607E6C"/>
    <w:rsid w:val="006B2309"/>
    <w:rsid w:val="00700C12"/>
    <w:rsid w:val="00710A06"/>
    <w:rsid w:val="00793EFB"/>
    <w:rsid w:val="008C7313"/>
    <w:rsid w:val="009302E3"/>
    <w:rsid w:val="009B3D50"/>
    <w:rsid w:val="00A23146"/>
    <w:rsid w:val="00A914D5"/>
    <w:rsid w:val="00BC7575"/>
    <w:rsid w:val="00C23104"/>
    <w:rsid w:val="00C45465"/>
    <w:rsid w:val="00CB7109"/>
    <w:rsid w:val="00D57C5F"/>
    <w:rsid w:val="00D636A0"/>
    <w:rsid w:val="00E40CB7"/>
    <w:rsid w:val="00EE767E"/>
    <w:rsid w:val="00F2718C"/>
    <w:rsid w:val="00F43477"/>
    <w:rsid w:val="00F721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4D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914D5"/>
    <w:pPr>
      <w:ind w:left="720"/>
      <w:contextualSpacing/>
    </w:pPr>
  </w:style>
  <w:style w:type="paragraph" w:customStyle="1" w:styleId="PRIMERAPLANA">
    <w:name w:val="PRIMERA PLANA"/>
    <w:basedOn w:val="Normal"/>
    <w:rsid w:val="00A914D5"/>
    <w:pPr>
      <w:spacing w:after="0" w:line="240" w:lineRule="auto"/>
      <w:jc w:val="both"/>
    </w:pPr>
    <w:rPr>
      <w:rFonts w:ascii="Arial" w:eastAsia="Times New Roman" w:hAnsi="Arial" w:cs="Times New Roman"/>
      <w:sz w:val="20"/>
      <w:szCs w:val="20"/>
      <w:lang w:val="es-ES_tradnl" w:eastAsia="es-ES"/>
    </w:rPr>
  </w:style>
  <w:style w:type="character" w:styleId="Hipervnculo">
    <w:name w:val="Hyperlink"/>
    <w:uiPriority w:val="99"/>
    <w:unhideWhenUsed/>
    <w:rsid w:val="001F3890"/>
    <w:rPr>
      <w:color w:val="0000FF"/>
      <w:u w:val="single"/>
    </w:rPr>
  </w:style>
  <w:style w:type="paragraph" w:styleId="Textonotapie">
    <w:name w:val="footnote text"/>
    <w:basedOn w:val="Normal"/>
    <w:link w:val="TextonotapieCar"/>
    <w:uiPriority w:val="99"/>
    <w:semiHidden/>
    <w:unhideWhenUsed/>
    <w:rsid w:val="001F3890"/>
    <w:pPr>
      <w:spacing w:after="0" w:line="240" w:lineRule="auto"/>
    </w:pPr>
    <w:rPr>
      <w:rFonts w:ascii="Calibri" w:eastAsia="Calibri" w:hAnsi="Calibri" w:cs="Times New Roman"/>
      <w:sz w:val="20"/>
      <w:szCs w:val="20"/>
      <w:lang w:val="es-ES"/>
    </w:rPr>
  </w:style>
  <w:style w:type="character" w:customStyle="1" w:styleId="TextonotapieCar">
    <w:name w:val="Texto nota pie Car"/>
    <w:basedOn w:val="Fuentedeprrafopredeter"/>
    <w:link w:val="Textonotapie"/>
    <w:uiPriority w:val="99"/>
    <w:semiHidden/>
    <w:rsid w:val="001F3890"/>
    <w:rPr>
      <w:rFonts w:ascii="Calibri" w:eastAsia="Calibri" w:hAnsi="Calibri" w:cs="Times New Roman"/>
      <w:sz w:val="20"/>
      <w:szCs w:val="20"/>
      <w:lang w:val="es-ES"/>
    </w:rPr>
  </w:style>
  <w:style w:type="character" w:styleId="Refdenotaalpie">
    <w:name w:val="footnote reference"/>
    <w:uiPriority w:val="99"/>
    <w:semiHidden/>
    <w:unhideWhenUsed/>
    <w:rsid w:val="001F3890"/>
    <w:rPr>
      <w:vertAlign w:val="superscript"/>
    </w:rPr>
  </w:style>
  <w:style w:type="table" w:styleId="Tablaconcuadrcula">
    <w:name w:val="Table Grid"/>
    <w:basedOn w:val="Tablanormal"/>
    <w:uiPriority w:val="59"/>
    <w:rsid w:val="00710A06"/>
    <w:pPr>
      <w:spacing w:after="0" w:line="240" w:lineRule="auto"/>
      <w:jc w:val="both"/>
    </w:pPr>
    <w:rPr>
      <w:rFonts w:ascii="Arial"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710A0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10A06"/>
  </w:style>
  <w:style w:type="paragraph" w:styleId="Textodeglobo">
    <w:name w:val="Balloon Text"/>
    <w:basedOn w:val="Normal"/>
    <w:link w:val="TextodegloboCar"/>
    <w:uiPriority w:val="99"/>
    <w:semiHidden/>
    <w:unhideWhenUsed/>
    <w:rsid w:val="00710A06"/>
    <w:pPr>
      <w:spacing w:after="0" w:line="240" w:lineRule="auto"/>
      <w:jc w:val="both"/>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0A06"/>
    <w:rPr>
      <w:rFonts w:ascii="Tahoma" w:hAnsi="Tahoma" w:cs="Tahoma"/>
      <w:sz w:val="16"/>
      <w:szCs w:val="16"/>
    </w:rPr>
  </w:style>
  <w:style w:type="paragraph" w:styleId="Encabezado">
    <w:name w:val="header"/>
    <w:basedOn w:val="Normal"/>
    <w:link w:val="EncabezadoCar"/>
    <w:uiPriority w:val="99"/>
    <w:unhideWhenUsed/>
    <w:rsid w:val="00710A06"/>
    <w:pPr>
      <w:tabs>
        <w:tab w:val="center" w:pos="4419"/>
        <w:tab w:val="right" w:pos="8838"/>
      </w:tabs>
      <w:spacing w:after="0" w:line="240" w:lineRule="auto"/>
      <w:jc w:val="both"/>
    </w:pPr>
    <w:rPr>
      <w:rFonts w:ascii="Arial" w:hAnsi="Arial" w:cs="Arial"/>
      <w:sz w:val="24"/>
      <w:szCs w:val="24"/>
    </w:rPr>
  </w:style>
  <w:style w:type="character" w:customStyle="1" w:styleId="EncabezadoCar">
    <w:name w:val="Encabezado Car"/>
    <w:basedOn w:val="Fuentedeprrafopredeter"/>
    <w:link w:val="Encabezado"/>
    <w:uiPriority w:val="99"/>
    <w:rsid w:val="00710A06"/>
    <w:rPr>
      <w:rFonts w:ascii="Arial" w:hAnsi="Arial" w:cs="Arial"/>
      <w:sz w:val="24"/>
      <w:szCs w:val="24"/>
    </w:rPr>
  </w:style>
  <w:style w:type="paragraph" w:styleId="Textoindependiente">
    <w:name w:val="Body Text"/>
    <w:basedOn w:val="Normal"/>
    <w:link w:val="TextoindependienteCar"/>
    <w:rsid w:val="00710A06"/>
    <w:pPr>
      <w:spacing w:after="0" w:line="360" w:lineRule="auto"/>
      <w:jc w:val="both"/>
    </w:pPr>
    <w:rPr>
      <w:rFonts w:ascii="Arial" w:eastAsia="Times New Roman" w:hAnsi="Arial" w:cs="Arial"/>
      <w:b/>
      <w:bCs/>
      <w:sz w:val="20"/>
      <w:szCs w:val="24"/>
      <w:lang w:val="es-ES" w:eastAsia="es-ES"/>
    </w:rPr>
  </w:style>
  <w:style w:type="character" w:customStyle="1" w:styleId="TextoindependienteCar">
    <w:name w:val="Texto independiente Car"/>
    <w:basedOn w:val="Fuentedeprrafopredeter"/>
    <w:link w:val="Textoindependiente"/>
    <w:rsid w:val="00710A06"/>
    <w:rPr>
      <w:rFonts w:ascii="Arial" w:eastAsia="Times New Roman" w:hAnsi="Arial" w:cs="Arial"/>
      <w:b/>
      <w:bCs/>
      <w:sz w:val="20"/>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4D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914D5"/>
    <w:pPr>
      <w:ind w:left="720"/>
      <w:contextualSpacing/>
    </w:pPr>
  </w:style>
  <w:style w:type="paragraph" w:customStyle="1" w:styleId="PRIMERAPLANA">
    <w:name w:val="PRIMERA PLANA"/>
    <w:basedOn w:val="Normal"/>
    <w:rsid w:val="00A914D5"/>
    <w:pPr>
      <w:spacing w:after="0" w:line="240" w:lineRule="auto"/>
      <w:jc w:val="both"/>
    </w:pPr>
    <w:rPr>
      <w:rFonts w:ascii="Arial" w:eastAsia="Times New Roman" w:hAnsi="Arial" w:cs="Times New Roman"/>
      <w:sz w:val="20"/>
      <w:szCs w:val="20"/>
      <w:lang w:val="es-ES_tradnl" w:eastAsia="es-ES"/>
    </w:rPr>
  </w:style>
  <w:style w:type="character" w:styleId="Hipervnculo">
    <w:name w:val="Hyperlink"/>
    <w:uiPriority w:val="99"/>
    <w:unhideWhenUsed/>
    <w:rsid w:val="001F3890"/>
    <w:rPr>
      <w:color w:val="0000FF"/>
      <w:u w:val="single"/>
    </w:rPr>
  </w:style>
  <w:style w:type="paragraph" w:styleId="Textonotapie">
    <w:name w:val="footnote text"/>
    <w:basedOn w:val="Normal"/>
    <w:link w:val="TextonotapieCar"/>
    <w:uiPriority w:val="99"/>
    <w:semiHidden/>
    <w:unhideWhenUsed/>
    <w:rsid w:val="001F3890"/>
    <w:pPr>
      <w:spacing w:after="0" w:line="240" w:lineRule="auto"/>
    </w:pPr>
    <w:rPr>
      <w:rFonts w:ascii="Calibri" w:eastAsia="Calibri" w:hAnsi="Calibri" w:cs="Times New Roman"/>
      <w:sz w:val="20"/>
      <w:szCs w:val="20"/>
      <w:lang w:val="es-ES"/>
    </w:rPr>
  </w:style>
  <w:style w:type="character" w:customStyle="1" w:styleId="TextonotapieCar">
    <w:name w:val="Texto nota pie Car"/>
    <w:basedOn w:val="Fuentedeprrafopredeter"/>
    <w:link w:val="Textonotapie"/>
    <w:uiPriority w:val="99"/>
    <w:semiHidden/>
    <w:rsid w:val="001F3890"/>
    <w:rPr>
      <w:rFonts w:ascii="Calibri" w:eastAsia="Calibri" w:hAnsi="Calibri" w:cs="Times New Roman"/>
      <w:sz w:val="20"/>
      <w:szCs w:val="20"/>
      <w:lang w:val="es-ES"/>
    </w:rPr>
  </w:style>
  <w:style w:type="character" w:styleId="Refdenotaalpie">
    <w:name w:val="footnote reference"/>
    <w:uiPriority w:val="99"/>
    <w:semiHidden/>
    <w:unhideWhenUsed/>
    <w:rsid w:val="001F3890"/>
    <w:rPr>
      <w:vertAlign w:val="superscript"/>
    </w:rPr>
  </w:style>
  <w:style w:type="table" w:styleId="Tablaconcuadrcula">
    <w:name w:val="Table Grid"/>
    <w:basedOn w:val="Tablanormal"/>
    <w:uiPriority w:val="59"/>
    <w:rsid w:val="00710A06"/>
    <w:pPr>
      <w:spacing w:after="0" w:line="240" w:lineRule="auto"/>
      <w:jc w:val="both"/>
    </w:pPr>
    <w:rPr>
      <w:rFonts w:ascii="Arial"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710A0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10A06"/>
  </w:style>
  <w:style w:type="paragraph" w:styleId="Textodeglobo">
    <w:name w:val="Balloon Text"/>
    <w:basedOn w:val="Normal"/>
    <w:link w:val="TextodegloboCar"/>
    <w:uiPriority w:val="99"/>
    <w:semiHidden/>
    <w:unhideWhenUsed/>
    <w:rsid w:val="00710A06"/>
    <w:pPr>
      <w:spacing w:after="0" w:line="240" w:lineRule="auto"/>
      <w:jc w:val="both"/>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0A06"/>
    <w:rPr>
      <w:rFonts w:ascii="Tahoma" w:hAnsi="Tahoma" w:cs="Tahoma"/>
      <w:sz w:val="16"/>
      <w:szCs w:val="16"/>
    </w:rPr>
  </w:style>
  <w:style w:type="paragraph" w:styleId="Encabezado">
    <w:name w:val="header"/>
    <w:basedOn w:val="Normal"/>
    <w:link w:val="EncabezadoCar"/>
    <w:uiPriority w:val="99"/>
    <w:unhideWhenUsed/>
    <w:rsid w:val="00710A06"/>
    <w:pPr>
      <w:tabs>
        <w:tab w:val="center" w:pos="4419"/>
        <w:tab w:val="right" w:pos="8838"/>
      </w:tabs>
      <w:spacing w:after="0" w:line="240" w:lineRule="auto"/>
      <w:jc w:val="both"/>
    </w:pPr>
    <w:rPr>
      <w:rFonts w:ascii="Arial" w:hAnsi="Arial" w:cs="Arial"/>
      <w:sz w:val="24"/>
      <w:szCs w:val="24"/>
    </w:rPr>
  </w:style>
  <w:style w:type="character" w:customStyle="1" w:styleId="EncabezadoCar">
    <w:name w:val="Encabezado Car"/>
    <w:basedOn w:val="Fuentedeprrafopredeter"/>
    <w:link w:val="Encabezado"/>
    <w:uiPriority w:val="99"/>
    <w:rsid w:val="00710A06"/>
    <w:rPr>
      <w:rFonts w:ascii="Arial" w:hAnsi="Arial" w:cs="Arial"/>
      <w:sz w:val="24"/>
      <w:szCs w:val="24"/>
    </w:rPr>
  </w:style>
  <w:style w:type="paragraph" w:styleId="Textoindependiente">
    <w:name w:val="Body Text"/>
    <w:basedOn w:val="Normal"/>
    <w:link w:val="TextoindependienteCar"/>
    <w:rsid w:val="00710A06"/>
    <w:pPr>
      <w:spacing w:after="0" w:line="360" w:lineRule="auto"/>
      <w:jc w:val="both"/>
    </w:pPr>
    <w:rPr>
      <w:rFonts w:ascii="Arial" w:eastAsia="Times New Roman" w:hAnsi="Arial" w:cs="Arial"/>
      <w:b/>
      <w:bCs/>
      <w:sz w:val="20"/>
      <w:szCs w:val="24"/>
      <w:lang w:val="es-ES" w:eastAsia="es-ES"/>
    </w:rPr>
  </w:style>
  <w:style w:type="character" w:customStyle="1" w:styleId="TextoindependienteCar">
    <w:name w:val="Texto independiente Car"/>
    <w:basedOn w:val="Fuentedeprrafopredeter"/>
    <w:link w:val="Textoindependiente"/>
    <w:rsid w:val="00710A06"/>
    <w:rPr>
      <w:rFonts w:ascii="Arial" w:eastAsia="Times New Roman" w:hAnsi="Arial" w:cs="Arial"/>
      <w:b/>
      <w:bCs/>
      <w:sz w:val="20"/>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9.png"/><Relationship Id="rId20" Type="http://schemas.microsoft.com/office/2007/relationships/hdphoto" Target="media/hdphoto1.wdp"/><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microsoft.com/office/2007/relationships/hdphoto" Target="media/hdphoto2.wdp"/><Relationship Id="rId27" Type="http://schemas.openxmlformats.org/officeDocument/2006/relationships/image" Target="media/image18.jpeg"/><Relationship Id="rId30" Type="http://schemas.openxmlformats.org/officeDocument/2006/relationships/hyperlink" Target="http://www.DOF.gob.mx" TargetMode="External"/><Relationship Id="rId35" Type="http://schemas.openxmlformats.org/officeDocument/2006/relationships/image" Target="media/image2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106</Pages>
  <Words>19170</Words>
  <Characters>105439</Characters>
  <Application>Microsoft Office Word</Application>
  <DocSecurity>0</DocSecurity>
  <Lines>878</Lines>
  <Paragraphs>248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Aguilar</dc:creator>
  <cp:keywords/>
  <dc:description/>
  <cp:lastModifiedBy>usuario</cp:lastModifiedBy>
  <cp:revision>2</cp:revision>
  <cp:lastPrinted>2017-11-15T09:01:00Z</cp:lastPrinted>
  <dcterms:created xsi:type="dcterms:W3CDTF">2017-11-15T09:35:00Z</dcterms:created>
  <dcterms:modified xsi:type="dcterms:W3CDTF">2017-11-15T09:35:00Z</dcterms:modified>
</cp:coreProperties>
</file>