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3A6A6E" w:rsidP="003D5DBF">
      <w:pPr>
        <w:jc w:val="center"/>
      </w:pPr>
      <w:r>
        <w:object w:dxaOrig="16940" w:dyaOrig="133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85.1pt;height:459.25pt" o:ole="">
            <v:imagedata r:id="rId8" o:title=""/>
          </v:shape>
          <o:OLEObject Type="Embed" ProgID="Excel.Sheet.8" ShapeID="_x0000_i1028" DrawAspect="Content" ObjectID="_1511699255" r:id="rId9"/>
        </w:object>
      </w:r>
    </w:p>
    <w:p w:rsidR="00B7629E" w:rsidRDefault="00B7629E" w:rsidP="003D5DBF">
      <w:pPr>
        <w:jc w:val="center"/>
      </w:pPr>
    </w:p>
    <w:p w:rsidR="00B7629E" w:rsidRDefault="00B7629E" w:rsidP="003D5DBF">
      <w:pPr>
        <w:jc w:val="center"/>
      </w:pPr>
    </w:p>
    <w:p w:rsidR="00B7629E" w:rsidRDefault="00B7629E" w:rsidP="003D5DBF">
      <w:pPr>
        <w:jc w:val="center"/>
      </w:pP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8201BE" w:rsidP="003D5DBF">
      <w:pPr>
        <w:jc w:val="center"/>
      </w:pPr>
      <w:r>
        <w:object w:dxaOrig="15360" w:dyaOrig="5301">
          <v:shape id="_x0000_i1029" type="#_x0000_t75" style="width:646.05pt;height:221.85pt" o:ole="">
            <v:imagedata r:id="rId10" o:title=""/>
          </v:shape>
          <o:OLEObject Type="Embed" ProgID="Excel.Sheet.8" ShapeID="_x0000_i1029" DrawAspect="Content" ObjectID="_1511699256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3A6A6E" w:rsidP="0044253C">
      <w:pPr>
        <w:jc w:val="center"/>
      </w:pPr>
      <w:r>
        <w:object w:dxaOrig="15744" w:dyaOrig="11040">
          <v:shape id="_x0000_i1026" type="#_x0000_t75" style="width:659.7pt;height:462.5pt" o:ole="">
            <v:imagedata r:id="rId12" o:title=""/>
          </v:shape>
          <o:OLEObject Type="Embed" ProgID="Excel.Sheet.8" ShapeID="_x0000_i1026" DrawAspect="Content" ObjectID="_1511699257" r:id="rId13"/>
        </w:object>
      </w:r>
    </w:p>
    <w:bookmarkStart w:id="2" w:name="_MON_1480768142"/>
    <w:bookmarkEnd w:id="2"/>
    <w:p w:rsidR="00A5528B" w:rsidRDefault="003A6A6E" w:rsidP="0044253C">
      <w:pPr>
        <w:jc w:val="center"/>
      </w:pPr>
      <w:r>
        <w:object w:dxaOrig="15744" w:dyaOrig="8515">
          <v:shape id="_x0000_i1027" type="#_x0000_t75" style="width:659.7pt;height:385.95pt" o:ole="">
            <v:imagedata r:id="rId14" o:title=""/>
          </v:shape>
          <o:OLEObject Type="Embed" ProgID="Excel.Sheet.8" ShapeID="_x0000_i1027" DrawAspect="Content" ObjectID="_1511699258" r:id="rId15"/>
        </w:object>
      </w:r>
    </w:p>
    <w:p w:rsidR="00A5528B" w:rsidRDefault="00A5528B" w:rsidP="0044253C">
      <w:pPr>
        <w:jc w:val="center"/>
      </w:pPr>
    </w:p>
    <w:p w:rsidR="00A5528B" w:rsidRDefault="00A5528B" w:rsidP="0044253C">
      <w:pPr>
        <w:jc w:val="center"/>
      </w:pPr>
    </w:p>
    <w:p w:rsidR="00A5528B" w:rsidRDefault="00A5528B" w:rsidP="0044253C">
      <w:pPr>
        <w:jc w:val="center"/>
      </w:pPr>
    </w:p>
    <w:bookmarkStart w:id="3" w:name="_MON_1480768353"/>
    <w:bookmarkStart w:id="4" w:name="_MON_1480783285"/>
    <w:bookmarkEnd w:id="3"/>
    <w:bookmarkEnd w:id="4"/>
    <w:p w:rsidR="00A5528B" w:rsidRDefault="002806A5" w:rsidP="0044253C">
      <w:pPr>
        <w:jc w:val="center"/>
      </w:pPr>
      <w:r>
        <w:pict>
          <v:group id="_x0000_s1038" editas="canvas" style="width:683.05pt;height:219.95pt;mso-position-horizontal-relative:char;mso-position-vertical-relative:line" coordsize="13661,4399">
            <o:lock v:ext="edit" aspectratio="t"/>
            <v:shape id="_x0000_s1037" type="#_x0000_t75" style="position:absolute;width:13661;height:4399" o:preferrelative="f">
              <v:fill o:detectmouseclick="t"/>
              <v:path o:extrusionok="t" o:connecttype="none"/>
              <o:lock v:ext="edit" text="t"/>
            </v:shape>
            <v:rect id="_x0000_s1039" style="position:absolute;width:243;height:1057" stroked="f"/>
            <v:rect id="_x0000_s1040" style="position:absolute;left:230;width:13080;height:1057" fillcolor="#00b050" stroked="f"/>
            <v:rect id="_x0000_s1041" style="position:absolute;left:13297;width:364;height:1057" stroked="f"/>
            <v:rect id="_x0000_s1042" style="position:absolute;top:1044;width:13661;height:222" stroked="f"/>
            <v:rect id="_x0000_s1043" style="position:absolute;top:1253;width:243;height:849" stroked="f"/>
            <v:rect id="_x0000_s1044" style="position:absolute;left:230;top:1253;width:13080;height:849" fillcolor="#00b050" stroked="f"/>
            <v:rect id="_x0000_s1045" style="position:absolute;left:13297;top:1253;width:364;height:849" stroked="f"/>
            <v:rect id="_x0000_s1046" style="position:absolute;top:2088;width:13661;height:222" stroked="f"/>
            <v:line id="_x0000_s1047" style="position:absolute" from="7297,2102" to="7364,2103" strokecolor="green" strokeweight="0"/>
            <v:rect id="_x0000_s1048" style="position:absolute;left:7297;top:2102;width:67;height:13" fillcolor="green" stroked="f"/>
            <v:line id="_x0000_s1049" style="position:absolute" from="7297,2115" to="7351,2116" strokecolor="green" strokeweight="0"/>
            <v:rect id="_x0000_s1050" style="position:absolute;left:7297;top:2115;width:54;height:13" fillcolor="green" stroked="f"/>
            <v:line id="_x0000_s1051" style="position:absolute" from="7297,2128" to="7337,2129" strokecolor="green" strokeweight="0"/>
            <v:rect id="_x0000_s1052" style="position:absolute;left:7297;top:2128;width:40;height:13" fillcolor="green" stroked="f"/>
            <v:line id="_x0000_s1053" style="position:absolute" from="7297,2141" to="7324,2142" strokecolor="green" strokeweight="0"/>
            <v:rect id="_x0000_s1054" style="position:absolute;left:7297;top:2141;width:27;height:13" fillcolor="green" stroked="f"/>
            <v:line id="_x0000_s1055" style="position:absolute" from="7297,2154" to="7310,2155" strokecolor="green" strokeweight="0"/>
            <v:rect id="_x0000_s1056" style="position:absolute;left:7297;top:2154;width:13;height:13" fillcolor="green" stroked="f"/>
            <v:line id="_x0000_s1057" style="position:absolute" from="8500,2102" to="8567,2103" strokecolor="green" strokeweight="0"/>
            <v:rect id="_x0000_s1058" style="position:absolute;left:8500;top:2102;width:67;height:13" fillcolor="green" stroked="f"/>
            <v:line id="_x0000_s1059" style="position:absolute" from="8500,2115" to="8554,2116" strokecolor="green" strokeweight="0"/>
            <v:rect id="_x0000_s1060" style="position:absolute;left:8500;top:2115;width:54;height:13" fillcolor="green" stroked="f"/>
            <v:line id="_x0000_s1061" style="position:absolute" from="8500,2128" to="8540,2129" strokecolor="green" strokeweight="0"/>
            <v:rect id="_x0000_s1062" style="position:absolute;left:8500;top:2128;width:40;height:13" fillcolor="green" stroked="f"/>
            <v:line id="_x0000_s1063" style="position:absolute" from="8500,2141" to="8527,2142" strokecolor="green" strokeweight="0"/>
            <v:rect id="_x0000_s1064" style="position:absolute;left:8500;top:2141;width:27;height:13" fillcolor="green" stroked="f"/>
            <v:line id="_x0000_s1065" style="position:absolute" from="8500,2154" to="8513,2155" strokecolor="green" strokeweight="0"/>
            <v:rect id="_x0000_s1066" style="position:absolute;left:8500;top:2154;width:13;height:13" fillcolor="green" stroked="f"/>
            <v:line id="_x0000_s1067" style="position:absolute" from="9702,2102" to="9770,2103" strokecolor="green" strokeweight="0"/>
            <v:rect id="_x0000_s1068" style="position:absolute;left:9702;top:2102;width:68;height:13" fillcolor="green" stroked="f"/>
            <v:line id="_x0000_s1069" style="position:absolute" from="9702,2115" to="9756,2116" strokecolor="green" strokeweight="0"/>
            <v:rect id="_x0000_s1070" style="position:absolute;left:9702;top:2115;width:54;height:13" fillcolor="green" stroked="f"/>
            <v:line id="_x0000_s1071" style="position:absolute" from="9702,2128" to="9743,2129" strokecolor="green" strokeweight="0"/>
            <v:rect id="_x0000_s1072" style="position:absolute;left:9702;top:2128;width:41;height:13" fillcolor="green" stroked="f"/>
            <v:line id="_x0000_s1073" style="position:absolute" from="9702,2141" to="9729,2142" strokecolor="green" strokeweight="0"/>
            <v:rect id="_x0000_s1074" style="position:absolute;left:9702;top:2141;width:27;height:13" fillcolor="green" stroked="f"/>
            <v:line id="_x0000_s1075" style="position:absolute" from="9702,2154" to="9716,2155" strokecolor="green" strokeweight="0"/>
            <v:rect id="_x0000_s1076" style="position:absolute;left:9702;top:2154;width:14;height:13" fillcolor="green" stroked="f"/>
            <v:line id="_x0000_s1077" style="position:absolute" from="10905,2102" to="10972,2103" strokecolor="green" strokeweight="0"/>
            <v:rect id="_x0000_s1078" style="position:absolute;left:10905;top:2102;width:67;height:13" fillcolor="green" stroked="f"/>
            <v:line id="_x0000_s1079" style="position:absolute" from="10905,2115" to="10959,2116" strokecolor="green" strokeweight="0"/>
            <v:rect id="_x0000_s1080" style="position:absolute;left:10905;top:2115;width:54;height:13" fillcolor="green" stroked="f"/>
            <v:line id="_x0000_s1081" style="position:absolute" from="10905,2128" to="10945,2129" strokecolor="green" strokeweight="0"/>
            <v:rect id="_x0000_s1082" style="position:absolute;left:10905;top:2128;width:40;height:13" fillcolor="green" stroked="f"/>
            <v:line id="_x0000_s1083" style="position:absolute" from="10905,2141" to="10932,2142" strokecolor="green" strokeweight="0"/>
            <v:rect id="_x0000_s1084" style="position:absolute;left:10905;top:2141;width:27;height:13" fillcolor="green" stroked="f"/>
            <v:line id="_x0000_s1085" style="position:absolute" from="10905,2154" to="10918,2155" strokecolor="green" strokeweight="0"/>
            <v:rect id="_x0000_s1086" style="position:absolute;left:10905;top:2154;width:13;height:13" fillcolor="green" stroked="f"/>
            <v:rect id="_x0000_s1087" style="position:absolute;top:2297;width:13661;height:2102" stroked="f"/>
            <v:rect id="_x0000_s1088" style="position:absolute;left:6310;top:1579;width:756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Aprobado</w:t>
                    </w:r>
                  </w:p>
                </w:txbxContent>
              </v:textbox>
            </v:rect>
            <v:rect id="_x0000_s1089" style="position:absolute;left:7351;top:1475;width:1085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 xml:space="preserve">Ampliaciones/ </w:t>
                    </w:r>
                  </w:p>
                </w:txbxContent>
              </v:textbox>
            </v:rect>
            <v:rect id="_x0000_s1090" style="position:absolute;left:7337;top:1684;width:1103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(Reducciones)</w:t>
                    </w:r>
                  </w:p>
                </w:txbxContent>
              </v:textbox>
            </v:rect>
            <v:rect id="_x0000_s1091" style="position:absolute;left:8675;top:1579;width:845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Modificado</w:t>
                    </w:r>
                  </w:p>
                </w:txbxContent>
              </v:textbox>
            </v:rect>
            <v:rect id="_x0000_s1092" style="position:absolute;left:9864;top:1579;width:863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Devengado</w:t>
                    </w:r>
                  </w:p>
                </w:txbxContent>
              </v:textbox>
            </v:rect>
            <v:rect id="_x0000_s1093" style="position:absolute;left:11202;top:1579;width:578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Pagado</w:t>
                    </w:r>
                  </w:p>
                </w:txbxContent>
              </v:textbox>
            </v:rect>
            <v:rect id="_x0000_s1094" style="position:absolute;left:6635;top:1893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95" style="position:absolute;left:7837;top:1893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096" style="position:absolute;left:8702;top:1893;width:783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3 = (1 + 2 )</w:t>
                    </w:r>
                  </w:p>
                </w:txbxContent>
              </v:textbox>
            </v:rect>
            <v:rect id="_x0000_s1097" style="position:absolute;left:10243;top:1893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1098" style="position:absolute;left:11445;top:1893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1099" style="position:absolute;left:12310;top:1893;width:787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6 = ( 3 - 4 )</w:t>
                    </w:r>
                  </w:p>
                </w:txbxContent>
              </v:textbox>
            </v:rect>
            <v:rect id="_x0000_s1100" style="position:absolute;left:7162;top:2102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01" style="position:absolute;left:8364;top:2102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02" style="position:absolute;left:9567;top:2102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03" style="position:absolute;left:10770;top:2102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04" style="position:absolute;left:11972;top:2102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05" style="position:absolute;left:13175;top:2102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06" style="position:absolute;left:703;top:2310;width:2402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Amortización de la Deuda Pública</w:t>
                    </w:r>
                  </w:p>
                </w:txbxContent>
              </v:textbox>
            </v:rect>
            <v:rect id="_x0000_s1107" style="position:absolute;left:7162;top:2310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08" style="position:absolute;left:8364;top:2310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09" style="position:absolute;left:9567;top:2310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10" style="position:absolute;left:10770;top:2310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11" style="position:absolute;left:11972;top:2310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12" style="position:absolute;left:13175;top:2310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13" style="position:absolute;left:703;top:2519;width:2135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Intereses de la Deuda Pública</w:t>
                    </w:r>
                  </w:p>
                </w:txbxContent>
              </v:textbox>
            </v:rect>
            <v:rect id="_x0000_s1114" style="position:absolute;left:7162;top:2519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15" style="position:absolute;left:8364;top:2519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16" style="position:absolute;left:9567;top:2519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17" style="position:absolute;left:10770;top:2519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18" style="position:absolute;left:11972;top:2519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19" style="position:absolute;left:13175;top:2519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20" style="position:absolute;left:703;top:2728;width:2313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Comisiones de la Deuda Pública</w:t>
                    </w:r>
                  </w:p>
                </w:txbxContent>
              </v:textbox>
            </v:rect>
            <v:rect id="_x0000_s1121" style="position:absolute;left:7162;top:2728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22" style="position:absolute;left:8364;top:2728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23" style="position:absolute;left:9567;top:2728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24" style="position:absolute;left:10770;top:2728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25" style="position:absolute;left:11972;top:2728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26" style="position:absolute;left:13175;top:2728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27" style="position:absolute;left:703;top:2937;width:1984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Gastos de la Deuda Pública</w:t>
                    </w:r>
                  </w:p>
                </w:txbxContent>
              </v:textbox>
            </v:rect>
            <v:rect id="_x0000_s1128" style="position:absolute;left:7162;top:2937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29" style="position:absolute;left:8364;top:2937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30" style="position:absolute;left:9567;top:2937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31" style="position:absolute;left:10770;top:2937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32" style="position:absolute;left:11972;top:2937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33" style="position:absolute;left:13175;top:2937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34" style="position:absolute;left:703;top:3146;width:1530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Costo por Coberturas</w:t>
                    </w:r>
                  </w:p>
                </w:txbxContent>
              </v:textbox>
            </v:rect>
            <v:rect id="_x0000_s1135" style="position:absolute;left:7162;top:3146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36" style="position:absolute;left:8364;top:3146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37" style="position:absolute;left:9567;top:3146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38" style="position:absolute;left:10770;top:3146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39" style="position:absolute;left:11972;top:3146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40" style="position:absolute;left:13175;top:3146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41" style="position:absolute;left:703;top:3355;width:1406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Apoyos Financieros</w:t>
                    </w:r>
                  </w:p>
                </w:txbxContent>
              </v:textbox>
            </v:rect>
            <v:rect id="_x0000_s1142" style="position:absolute;left:7162;top:3355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43" style="position:absolute;left:8364;top:3355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44" style="position:absolute;left:9567;top:3355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45" style="position:absolute;left:10770;top:3355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46" style="position:absolute;left:11972;top:3355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47" style="position:absolute;left:13175;top:3355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48" style="position:absolute;left:703;top:3563;width:3638;height:412;mso-wrap-style:none" filled="f" stroked="f">
              <v:textbox style="mso-fit-shape-to-text:t" inset="0,0,0,0">
                <w:txbxContent>
                  <w:p w:rsidR="00190B4F" w:rsidRDefault="00190B4F">
                    <w:r w:rsidRPr="00190B4F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Adeudos de Ejercicios Fiscales Anteriores (Adefas)</w:t>
                    </w:r>
                  </w:p>
                </w:txbxContent>
              </v:textbox>
            </v:rect>
            <v:rect id="_x0000_s1149" style="position:absolute;left:7162;top:3563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50" style="position:absolute;left:8364;top:3563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51" style="position:absolute;left:9567;top:3563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52" style="position:absolute;left:10770;top:3563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53" style="position:absolute;left:11972;top:3563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54" style="position:absolute;left:13175;top:3563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55" style="position:absolute;left:703;top:3772;width:1156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Total del Gasto</w:t>
                    </w:r>
                  </w:p>
                </w:txbxContent>
              </v:textbox>
            </v:rect>
            <v:rect id="_x0000_s1156" style="position:absolute;left:6419;top:3772;width:801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15,894,818</w:t>
                    </w:r>
                  </w:p>
                </w:txbxContent>
              </v:textbox>
            </v:rect>
            <v:rect id="_x0000_s1157" style="position:absolute;left:7716;top:3772;width:712;height:412;mso-wrap-style:none" filled="f" stroked="f">
              <v:textbox style="mso-fit-shape-to-text:t" inset="0,0,0,0">
                <w:txbxContent>
                  <w:p w:rsidR="00190B4F" w:rsidRDefault="003A6A6E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8,383,65</w:t>
                    </w:r>
                    <w:r w:rsidR="008201BE"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158" style="position:absolute;left:8824;top:3772;width:801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  <w:r w:rsidR="003A6A6E"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4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,</w:t>
                    </w:r>
                    <w:r w:rsidR="003A6A6E"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278,471</w:t>
                    </w:r>
                  </w:p>
                </w:txbxContent>
              </v:textbox>
            </v:rect>
            <v:rect id="_x0000_s1159" style="position:absolute;left:10026;top:3772;width:801;height:412;mso-wrap-style:none" filled="f" stroked="f">
              <v:textbox style="mso-fit-shape-to-text:t" inset="0,0,0,0">
                <w:txbxContent>
                  <w:p w:rsidR="00190B4F" w:rsidRDefault="003A6A6E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24,136,595</w:t>
                    </w:r>
                  </w:p>
                </w:txbxContent>
              </v:textbox>
            </v:rect>
            <v:rect id="_x0000_s1160" style="position:absolute;left:11229;top:3772;width:801;height:412;mso-wrap-style:none" filled="f" stroked="f">
              <v:textbox style="mso-fit-shape-to-text:t" inset="0,0,0,0">
                <w:txbxContent>
                  <w:p w:rsidR="00190B4F" w:rsidRDefault="003A6A6E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24,136,595</w:t>
                    </w:r>
                  </w:p>
                </w:txbxContent>
              </v:textbox>
            </v:rect>
            <v:rect id="_x0000_s1161" style="position:absolute;left:12731;top:3759;width:579;height:412;mso-wrap-style:none" filled="f" stroked="f">
              <v:textbox style="mso-fit-shape-to-text:t" inset="0,0,0,0">
                <w:txbxContent>
                  <w:p w:rsidR="00190B4F" w:rsidRPr="003A6A6E" w:rsidRDefault="003A6A6E" w:rsidP="003A6A6E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3A6A6E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141,875</w:t>
                    </w:r>
                  </w:p>
                </w:txbxContent>
              </v:textbox>
            </v:rect>
            <v:rect id="_x0000_s1162" style="position:absolute;left:5986;top:13;width:1557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Cuenta Pública 2015</w:t>
                    </w:r>
                  </w:p>
                </w:txbxContent>
              </v:textbox>
            </v:rect>
            <v:rect id="_x0000_s1163" style="position:absolute;left:4567;top:431;width:4437;height:412;mso-wrap-style:none" filled="f" stroked="f">
              <v:textbox style="mso-fit-shape-to-text:t" inset="0,0,0,0">
                <w:txbxContent>
                  <w:p w:rsidR="00190B4F" w:rsidRDefault="00190B4F">
                    <w:r w:rsidRPr="00190B4F"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  <w:t>Estado Analítico del Ejercicio del Presupuesto de Egresos</w:t>
                    </w:r>
                  </w:p>
                </w:txbxContent>
              </v:textbox>
            </v:rect>
            <v:rect id="_x0000_s1164" style="position:absolute;left:4648;top:640;width:4321;height:412;mso-wrap-style:none" filled="f" stroked="f">
              <v:textbox style="mso-fit-shape-to-text:t" inset="0,0,0,0">
                <w:txbxContent>
                  <w:p w:rsidR="00190B4F" w:rsidRDefault="00190B4F">
                    <w:r w:rsidRPr="00190B4F"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  <w:t>Clasificación por Objeto del Gasto (Capítulo y Concepto)</w:t>
                    </w:r>
                  </w:p>
                </w:txbxContent>
              </v:textbox>
            </v:rect>
            <v:rect id="_x0000_s1165" style="position:absolute;left:5378;top:848;width:3158;height:412;mso-wrap-style:none" filled="f" stroked="f">
              <v:textbox style="mso-fit-shape-to-text:t" inset="0,0,0,0">
                <w:txbxContent>
                  <w:p w:rsidR="00190B4F" w:rsidRDefault="00190B4F">
                    <w:r w:rsidRPr="00190B4F"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  <w:t>Del 1 de enero al 3</w:t>
                    </w:r>
                    <w:r w:rsidR="00E53704"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  <w:t>1</w:t>
                    </w:r>
                    <w:r w:rsidRPr="00190B4F"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 de </w:t>
                    </w:r>
                    <w:r w:rsidR="003A6A6E"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  <w:t>diciemb</w:t>
                    </w:r>
                    <w:r w:rsidR="00842CF7"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  <w:t>re</w:t>
                    </w:r>
                    <w:r w:rsidRPr="00190B4F"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 de 2015</w:t>
                    </w:r>
                  </w:p>
                </w:txbxContent>
              </v:textbox>
            </v:rect>
            <v:rect id="_x0000_s1166" style="position:absolute;left:2797;top:1566;width:738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Concepto</w:t>
                    </w:r>
                  </w:p>
                </w:txbxContent>
              </v:textbox>
            </v:rect>
            <v:rect id="_x0000_s1167" style="position:absolute;left:8770;top:1266;width:632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Egresos</w:t>
                    </w:r>
                  </w:p>
                </w:txbxContent>
              </v:textbox>
            </v:rect>
            <v:rect id="_x0000_s1168" style="position:absolute;left:12216;top:1462;width:952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Subejercicio</w:t>
                    </w:r>
                  </w:p>
                </w:txbxContent>
              </v:textbox>
            </v:rect>
            <v:rect id="_x0000_s1169" style="position:absolute;left:6054;top:222;width:1397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Sector Paraestatal</w:t>
                    </w:r>
                  </w:p>
                </w:txbxContent>
              </v:textbox>
            </v:rect>
            <v:rect id="_x0000_s1170" style="position:absolute;left:270;top:2102;width:1041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Deuda Pública</w:t>
                    </w:r>
                  </w:p>
                </w:txbxContent>
              </v:textbox>
            </v:rect>
            <v:rect id="_x0000_s1171" style="position:absolute;width:14;height:1" fillcolor="#d0d7e5" stroked="f"/>
            <v:rect id="_x0000_s1172" style="position:absolute;left:230;width:13;height:1" fillcolor="#d0d7e5" stroked="f"/>
            <v:line id="_x0000_s1173" style="position:absolute" from="243,0" to="13310,1" strokeweight="0"/>
            <v:rect id="_x0000_s1174" style="position:absolute;left:243;width:13067;height:13" fillcolor="black" stroked="f"/>
            <v:rect id="_x0000_s1175" style="position:absolute;left:13297;width:13;height:1" fillcolor="#d0d7e5" stroked="f"/>
            <v:line id="_x0000_s1176" style="position:absolute" from="230,0" to="231,1057" strokeweight="0"/>
            <v:rect id="_x0000_s1177" style="position:absolute;left:230;width:13;height:1057" fillcolor="black" stroked="f"/>
            <v:rect id="_x0000_s1178" style="position:absolute;left:662;width:14;height:1" fillcolor="#d0d7e5" stroked="f"/>
            <v:rect id="_x0000_s1179" style="position:absolute;left:6081;width:13;height:1" fillcolor="#d0d7e5" stroked="f"/>
            <v:rect id="_x0000_s1180" style="position:absolute;left:7283;width:14;height:1" fillcolor="#d0d7e5" stroked="f"/>
            <v:rect id="_x0000_s1181" style="position:absolute;left:8486;width:14;height:1" fillcolor="#d0d7e5" stroked="f"/>
            <v:rect id="_x0000_s1182" style="position:absolute;left:9689;width:13;height:1" fillcolor="#d0d7e5" stroked="f"/>
            <v:rect id="_x0000_s1183" style="position:absolute;left:10891;width:14;height:1" fillcolor="#d0d7e5" stroked="f"/>
            <v:rect id="_x0000_s1184" style="position:absolute;left:12094;width:13;height:1" fillcolor="#d0d7e5" stroked="f"/>
            <v:line id="_x0000_s1185" style="position:absolute" from="243,1044" to="13310,1045" strokeweight="0"/>
            <v:rect id="_x0000_s1186" style="position:absolute;left:243;top:1044;width:13067;height:13" fillcolor="black" stroked="f"/>
            <v:line id="_x0000_s1187" style="position:absolute" from="13297,13" to="13298,1057" strokeweight="0"/>
            <v:rect id="_x0000_s1188" style="position:absolute;left:13297;top:13;width:13;height:1044" fillcolor="black" stroked="f"/>
            <v:line id="_x0000_s1189" style="position:absolute" from="243,1253" to="13310,1254" strokeweight="0"/>
            <v:rect id="_x0000_s1190" style="position:absolute;left:243;top:1253;width:13067;height:13" fillcolor="black" stroked="f"/>
            <v:line id="_x0000_s1191" style="position:absolute" from="6094,1462" to="12107,1463" strokeweight="0"/>
            <v:rect id="_x0000_s1192" style="position:absolute;left:6094;top:1462;width:6013;height:13" fillcolor="black" stroked="f"/>
            <v:line id="_x0000_s1193" style="position:absolute" from="6094,1880" to="13310,1881" strokeweight="0"/>
            <v:rect id="_x0000_s1194" style="position:absolute;left:6094;top:1880;width:7216;height:13" fillcolor="black" stroked="f"/>
            <v:line id="_x0000_s1195" style="position:absolute" from="243,2088" to="13310,2089" strokeweight="0"/>
            <v:rect id="_x0000_s1196" style="position:absolute;left:243;top:2088;width:13067;height:14" fillcolor="black" stroked="f"/>
            <v:line id="_x0000_s1197" style="position:absolute" from="243,3759" to="13310,3760" strokeweight="0"/>
            <v:rect id="_x0000_s1198" style="position:absolute;left:243;top:3759;width:13067;height:13" fillcolor="black" stroked="f"/>
            <v:line id="_x0000_s1199" style="position:absolute" from="230,1253" to="231,3981" strokeweight="0"/>
            <v:rect id="_x0000_s1200" style="position:absolute;left:230;top:1253;width:13;height:2728" fillcolor="black" stroked="f"/>
            <v:line id="_x0000_s1201" style="position:absolute" from="6081,1266" to="6082,3981" strokeweight="0"/>
            <v:rect id="_x0000_s1202" style="position:absolute;left:6081;top:1266;width:13;height:2715" fillcolor="black" stroked="f"/>
            <v:line id="_x0000_s1203" style="position:absolute" from="7283,1475" to="7284,3981" strokeweight="0"/>
            <v:rect id="_x0000_s1204" style="position:absolute;left:7283;top:1475;width:14;height:2506" fillcolor="black" stroked="f"/>
            <v:line id="_x0000_s1205" style="position:absolute" from="8486,1475" to="8487,3981" strokeweight="0"/>
            <v:rect id="_x0000_s1206" style="position:absolute;left:8486;top:1475;width:14;height:2506" fillcolor="black" stroked="f"/>
            <v:line id="_x0000_s1207" style="position:absolute" from="9689,1475" to="9690,3981" strokeweight="0"/>
            <v:rect id="_x0000_s1208" style="position:absolute;left:9689;top:1475;width:13;height:2506" fillcolor="black" stroked="f"/>
            <v:line id="_x0000_s1209" style="position:absolute" from="10891,1475" to="10892,3981" strokeweight="0"/>
            <v:rect id="_x0000_s1210" style="position:absolute;left:10891;top:1475;width:14;height:2506" fillcolor="black" stroked="f"/>
            <v:line id="_x0000_s1211" style="position:absolute" from="12094,1266" to="12095,3981" strokeweight="0"/>
            <v:rect id="_x0000_s1212" style="position:absolute;left:12094;top:1266;width:13;height:2715" fillcolor="black" stroked="f"/>
            <v:line id="_x0000_s1213" style="position:absolute" from="243,3968" to="13310,3969" strokeweight="0"/>
            <v:rect id="_x0000_s1214" style="position:absolute;left:243;top:3968;width:13067;height:13" fillcolor="black" stroked="f"/>
            <v:line id="_x0000_s1215" style="position:absolute" from="13297,1266" to="13298,3981" strokeweight="0"/>
            <v:rect id="_x0000_s1216" style="position:absolute;left:13297;top:1266;width:13;height:2715" fillcolor="black" stroked="f"/>
            <w10:wrap type="none"/>
            <w10:anchorlock/>
          </v:group>
        </w:pict>
      </w:r>
    </w:p>
    <w:p w:rsidR="00AB13B7" w:rsidRDefault="00AB13B7"/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8201BE" w:rsidP="0044253C">
      <w:pPr>
        <w:jc w:val="center"/>
      </w:pPr>
      <w:r>
        <w:object w:dxaOrig="14640" w:dyaOrig="4382">
          <v:shape id="_x0000_i1030" type="#_x0000_t75" style="width:677.85pt;height:202.4pt" o:ole="">
            <v:imagedata r:id="rId16" o:title=""/>
          </v:shape>
          <o:OLEObject Type="Embed" ProgID="Excel.Sheet.8" ShapeID="_x0000_i1030" DrawAspect="Content" ObjectID="_1511699259" r:id="rId17"/>
        </w:object>
      </w:r>
    </w:p>
    <w:p w:rsidR="00F96944" w:rsidRDefault="00F96944">
      <w:r>
        <w:br w:type="page"/>
      </w:r>
    </w:p>
    <w:bookmarkStart w:id="6" w:name="_MON_1470821438"/>
    <w:bookmarkEnd w:id="6"/>
    <w:p w:rsidR="00F96944" w:rsidRDefault="008201BE" w:rsidP="0044253C">
      <w:pPr>
        <w:jc w:val="center"/>
      </w:pPr>
      <w:r>
        <w:object w:dxaOrig="16351" w:dyaOrig="10994">
          <v:shape id="_x0000_i1031" type="#_x0000_t75" style="width:633.1pt;height:424.85pt" o:ole="">
            <v:imagedata r:id="rId18" o:title=""/>
          </v:shape>
          <o:OLEObject Type="Embed" ProgID="Excel.Sheet.8" ShapeID="_x0000_i1031" DrawAspect="Content" ObjectID="_1511699260" r:id="rId19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8201BE" w:rsidP="00522632">
      <w:pPr>
        <w:jc w:val="center"/>
      </w:pPr>
      <w:r>
        <w:object w:dxaOrig="12630" w:dyaOrig="7596">
          <v:shape id="_x0000_i1032" type="#_x0000_t75" style="width:561.75pt;height:336pt" o:ole="">
            <v:imagedata r:id="rId20" o:title=""/>
          </v:shape>
          <o:OLEObject Type="Embed" ProgID="Excel.Sheet.8" ShapeID="_x0000_i1032" DrawAspect="Content" ObjectID="_1511699261" r:id="rId21"/>
        </w:object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8201BE" w:rsidP="00E32708">
      <w:pPr>
        <w:tabs>
          <w:tab w:val="left" w:pos="2430"/>
        </w:tabs>
        <w:jc w:val="center"/>
      </w:pPr>
      <w:r>
        <w:object w:dxaOrig="9497" w:dyaOrig="7367">
          <v:shape id="_x0000_i1033" type="#_x0000_t75" style="width:435.25pt;height:337.3pt" o:ole="">
            <v:imagedata r:id="rId22" o:title=""/>
          </v:shape>
          <o:OLEObject Type="Embed" ProgID="Excel.Sheet.8" ShapeID="_x0000_i1033" DrawAspect="Content" ObjectID="_1511699262" r:id="rId23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MON_1473775963"/>
    <w:bookmarkEnd w:id="9"/>
    <w:p w:rsidR="00C74A07" w:rsidRDefault="008201BE" w:rsidP="00E32708">
      <w:pPr>
        <w:tabs>
          <w:tab w:val="left" w:pos="2430"/>
        </w:tabs>
        <w:jc w:val="center"/>
      </w:pPr>
      <w:r>
        <w:object w:dxaOrig="10360" w:dyaOrig="8457">
          <v:shape id="_x0000_i1034" type="#_x0000_t75" style="width:461.85pt;height:377.5pt" o:ole="">
            <v:imagedata r:id="rId24" o:title=""/>
          </v:shape>
          <o:OLEObject Type="Embed" ProgID="Excel.Sheet.8" ShapeID="_x0000_i1034" DrawAspect="Content" ObjectID="_1511699263" r:id="rId25"/>
        </w:object>
      </w:r>
    </w:p>
    <w:sectPr w:rsidR="00C74A07" w:rsidSect="008E3652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163" w:rsidRDefault="00FE1163" w:rsidP="00EA5418">
      <w:pPr>
        <w:spacing w:after="0" w:line="240" w:lineRule="auto"/>
      </w:pPr>
      <w:r>
        <w:separator/>
      </w:r>
    </w:p>
  </w:endnote>
  <w:endnote w:type="continuationSeparator" w:id="1">
    <w:p w:rsidR="00FE1163" w:rsidRDefault="00FE116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2806A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8201BE" w:rsidRPr="008201BE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2806A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8201BE" w:rsidRPr="008201BE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163" w:rsidRDefault="00FE1163" w:rsidP="00EA5418">
      <w:pPr>
        <w:spacing w:after="0" w:line="240" w:lineRule="auto"/>
      </w:pPr>
      <w:r>
        <w:separator/>
      </w:r>
    </w:p>
  </w:footnote>
  <w:footnote w:type="continuationSeparator" w:id="1">
    <w:p w:rsidR="00FE1163" w:rsidRDefault="00FE116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2806A5">
    <w:pPr>
      <w:pStyle w:val="Encabezado"/>
    </w:pPr>
    <w:r>
      <w:rPr>
        <w:noProof/>
        <w:lang w:eastAsia="es-MX"/>
      </w:rPr>
      <w:pict>
        <v:group id="6 Grupo" o:spid="_x0000_s4101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E55617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2806A5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2806A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evenAndOddHeaders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A5418"/>
    <w:rsid w:val="00024E0F"/>
    <w:rsid w:val="00035A9A"/>
    <w:rsid w:val="00040466"/>
    <w:rsid w:val="000576B2"/>
    <w:rsid w:val="00062890"/>
    <w:rsid w:val="00066510"/>
    <w:rsid w:val="000903D5"/>
    <w:rsid w:val="00091BDA"/>
    <w:rsid w:val="00114189"/>
    <w:rsid w:val="00124FC4"/>
    <w:rsid w:val="0013011C"/>
    <w:rsid w:val="001433FF"/>
    <w:rsid w:val="00144452"/>
    <w:rsid w:val="00151AA9"/>
    <w:rsid w:val="0018625F"/>
    <w:rsid w:val="00190B4F"/>
    <w:rsid w:val="001924B5"/>
    <w:rsid w:val="001B1B72"/>
    <w:rsid w:val="00206C03"/>
    <w:rsid w:val="00210487"/>
    <w:rsid w:val="00245A4A"/>
    <w:rsid w:val="002806A5"/>
    <w:rsid w:val="00283C39"/>
    <w:rsid w:val="002A70B3"/>
    <w:rsid w:val="002C3D85"/>
    <w:rsid w:val="002D14E5"/>
    <w:rsid w:val="002F33FB"/>
    <w:rsid w:val="00327900"/>
    <w:rsid w:val="00372F40"/>
    <w:rsid w:val="00374284"/>
    <w:rsid w:val="00393627"/>
    <w:rsid w:val="003A6A6E"/>
    <w:rsid w:val="003D5DBF"/>
    <w:rsid w:val="003E7FD0"/>
    <w:rsid w:val="00406C7D"/>
    <w:rsid w:val="0044253C"/>
    <w:rsid w:val="00467ABB"/>
    <w:rsid w:val="00475492"/>
    <w:rsid w:val="00486AE1"/>
    <w:rsid w:val="00497D8B"/>
    <w:rsid w:val="004B032D"/>
    <w:rsid w:val="004B6A9C"/>
    <w:rsid w:val="004D281F"/>
    <w:rsid w:val="004D41B8"/>
    <w:rsid w:val="004E7E4C"/>
    <w:rsid w:val="00502D8E"/>
    <w:rsid w:val="00507B48"/>
    <w:rsid w:val="00522632"/>
    <w:rsid w:val="00534982"/>
    <w:rsid w:val="00536C46"/>
    <w:rsid w:val="00540418"/>
    <w:rsid w:val="005731B5"/>
    <w:rsid w:val="00587571"/>
    <w:rsid w:val="005953C1"/>
    <w:rsid w:val="005B2775"/>
    <w:rsid w:val="006048D2"/>
    <w:rsid w:val="00611E39"/>
    <w:rsid w:val="0065367E"/>
    <w:rsid w:val="0065407E"/>
    <w:rsid w:val="006617F5"/>
    <w:rsid w:val="00674F8F"/>
    <w:rsid w:val="006D26F3"/>
    <w:rsid w:val="006D5B02"/>
    <w:rsid w:val="006E77DD"/>
    <w:rsid w:val="00730160"/>
    <w:rsid w:val="00743883"/>
    <w:rsid w:val="0079582C"/>
    <w:rsid w:val="007D6E9A"/>
    <w:rsid w:val="007E1C0B"/>
    <w:rsid w:val="008201BE"/>
    <w:rsid w:val="00820C89"/>
    <w:rsid w:val="00842CF7"/>
    <w:rsid w:val="008A6E4D"/>
    <w:rsid w:val="008B0017"/>
    <w:rsid w:val="008B75AA"/>
    <w:rsid w:val="008D126D"/>
    <w:rsid w:val="008D340E"/>
    <w:rsid w:val="008E3652"/>
    <w:rsid w:val="008E5F53"/>
    <w:rsid w:val="00906E88"/>
    <w:rsid w:val="00951C32"/>
    <w:rsid w:val="00974508"/>
    <w:rsid w:val="009E1D2F"/>
    <w:rsid w:val="009E20AE"/>
    <w:rsid w:val="009E6098"/>
    <w:rsid w:val="00A17916"/>
    <w:rsid w:val="00A5528B"/>
    <w:rsid w:val="00A81C20"/>
    <w:rsid w:val="00AB13B7"/>
    <w:rsid w:val="00B337F7"/>
    <w:rsid w:val="00B33C31"/>
    <w:rsid w:val="00B7629E"/>
    <w:rsid w:val="00B83869"/>
    <w:rsid w:val="00B849EE"/>
    <w:rsid w:val="00B92707"/>
    <w:rsid w:val="00BA074D"/>
    <w:rsid w:val="00BD79C6"/>
    <w:rsid w:val="00C35EB3"/>
    <w:rsid w:val="00C47D2D"/>
    <w:rsid w:val="00C74A07"/>
    <w:rsid w:val="00C94776"/>
    <w:rsid w:val="00CE3629"/>
    <w:rsid w:val="00D055EC"/>
    <w:rsid w:val="00D268E3"/>
    <w:rsid w:val="00D51261"/>
    <w:rsid w:val="00D605B5"/>
    <w:rsid w:val="00E02350"/>
    <w:rsid w:val="00E02437"/>
    <w:rsid w:val="00E32708"/>
    <w:rsid w:val="00E53704"/>
    <w:rsid w:val="00E55617"/>
    <w:rsid w:val="00E94444"/>
    <w:rsid w:val="00E94BA8"/>
    <w:rsid w:val="00EA3B76"/>
    <w:rsid w:val="00EA5418"/>
    <w:rsid w:val="00EE02C5"/>
    <w:rsid w:val="00EE11B9"/>
    <w:rsid w:val="00F36ADD"/>
    <w:rsid w:val="00F435BA"/>
    <w:rsid w:val="00F46D0D"/>
    <w:rsid w:val="00F81773"/>
    <w:rsid w:val="00F8633A"/>
    <w:rsid w:val="00F90C91"/>
    <w:rsid w:val="00F96944"/>
    <w:rsid w:val="00FE1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9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Office_Excel_97-2003_Worksheet3.xls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Microsoft_Office_Excel_97-2003_Worksheet7.xls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Microsoft_Office_Excel_97-2003_Worksheet5.xls"/><Relationship Id="rId25" Type="http://schemas.openxmlformats.org/officeDocument/2006/relationships/oleObject" Target="embeddings/Microsoft_Office_Excel_97-2003_Worksheet9.xls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Office_Excel_97-2003_Worksheet2.xls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oleObject" Target="embeddings/Microsoft_Office_Excel_97-2003_Worksheet4.xls"/><Relationship Id="rId23" Type="http://schemas.openxmlformats.org/officeDocument/2006/relationships/oleObject" Target="embeddings/Microsoft_Office_Excel_97-2003_Worksheet8.xls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oleObject" Target="embeddings/Microsoft_Office_Excel_97-2003_Worksheet6.xls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Microsoft_Office_Excel_97-2003_Worksheet1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7A4E8-B9EE-47EA-8331-76BD09961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10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HpSlimLine</cp:lastModifiedBy>
  <cp:revision>55</cp:revision>
  <cp:lastPrinted>2015-12-15T21:38:00Z</cp:lastPrinted>
  <dcterms:created xsi:type="dcterms:W3CDTF">2014-08-29T17:21:00Z</dcterms:created>
  <dcterms:modified xsi:type="dcterms:W3CDTF">2015-12-15T21:39:00Z</dcterms:modified>
</cp:coreProperties>
</file>