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6605"/>
    <w:bookmarkEnd w:id="0"/>
    <w:p w:rsidR="007D6E9A" w:rsidRDefault="00EC1643" w:rsidP="003D5DBF">
      <w:pPr>
        <w:jc w:val="center"/>
      </w:pPr>
      <w:r>
        <w:object w:dxaOrig="23636" w:dyaOrig="16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pt;height:440.5pt" o:ole="">
            <v:imagedata r:id="rId9" o:title=""/>
          </v:shape>
          <o:OLEObject Type="Embed" ProgID="Excel.Sheet.12" ShapeID="_x0000_i1025" DrawAspect="Content" ObjectID="_1511362329" r:id="rId10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EC1643" w:rsidP="0044253C">
      <w:pPr>
        <w:jc w:val="center"/>
      </w:pPr>
      <w:r>
        <w:object w:dxaOrig="25267" w:dyaOrig="20167">
          <v:shape id="_x0000_i1026" type="#_x0000_t75" style="width:587.5pt;height:468pt" o:ole="">
            <v:imagedata r:id="rId11" o:title=""/>
          </v:shape>
          <o:OLEObject Type="Embed" ProgID="Excel.Sheet.12" ShapeID="_x0000_i1026" DrawAspect="Content" ObjectID="_1511362330" r:id="rId12"/>
        </w:object>
      </w:r>
    </w:p>
    <w:bookmarkStart w:id="2" w:name="_MON_1470806992"/>
    <w:bookmarkEnd w:id="2"/>
    <w:p w:rsidR="00372F40" w:rsidRDefault="00EC1643" w:rsidP="003E7FD0">
      <w:pPr>
        <w:jc w:val="center"/>
      </w:pPr>
      <w:r>
        <w:object w:dxaOrig="22094" w:dyaOrig="16423">
          <v:shape id="_x0000_i1027" type="#_x0000_t75" style="width:652pt;height:484.5pt" o:ole="">
            <v:imagedata r:id="rId13" o:title=""/>
          </v:shape>
          <o:OLEObject Type="Embed" ProgID="Excel.Sheet.12" ShapeID="_x0000_i1027" DrawAspect="Content" ObjectID="_1511362331" r:id="rId14"/>
        </w:object>
      </w:r>
    </w:p>
    <w:bookmarkStart w:id="3" w:name="_MON_1470807348"/>
    <w:bookmarkEnd w:id="3"/>
    <w:p w:rsidR="00372F40" w:rsidRDefault="00A41B20" w:rsidP="008E3652">
      <w:pPr>
        <w:jc w:val="center"/>
      </w:pPr>
      <w:r>
        <w:object w:dxaOrig="17792" w:dyaOrig="12841">
          <v:shape id="_x0000_i1040" type="#_x0000_t75" style="width:647.5pt;height:467.5pt" o:ole="">
            <v:imagedata r:id="rId15" o:title=""/>
          </v:shape>
          <o:OLEObject Type="Embed" ProgID="Excel.Sheet.12" ShapeID="_x0000_i1040" DrawAspect="Content" ObjectID="_1511362332" r:id="rId16"/>
        </w:object>
      </w:r>
    </w:p>
    <w:bookmarkStart w:id="4" w:name="_MON_1470809138"/>
    <w:bookmarkEnd w:id="4"/>
    <w:p w:rsidR="00372F40" w:rsidRDefault="00B064A2" w:rsidP="00522632">
      <w:pPr>
        <w:jc w:val="center"/>
      </w:pPr>
      <w:r>
        <w:object w:dxaOrig="17886" w:dyaOrig="12914">
          <v:shape id="_x0000_i1029" type="#_x0000_t75" style="width:635pt;height:456.5pt" o:ole="">
            <v:imagedata r:id="rId17" o:title=""/>
          </v:shape>
          <o:OLEObject Type="Embed" ProgID="Excel.Sheet.12" ShapeID="_x0000_i1029" DrawAspect="Content" ObjectID="_1511362333" r:id="rId18"/>
        </w:object>
      </w:r>
    </w:p>
    <w:bookmarkStart w:id="5" w:name="_MON_1470814596"/>
    <w:bookmarkEnd w:id="5"/>
    <w:p w:rsidR="00E32708" w:rsidRDefault="00B064A2" w:rsidP="00A80E26">
      <w:pPr>
        <w:tabs>
          <w:tab w:val="left" w:pos="2430"/>
          <w:tab w:val="left" w:pos="5670"/>
        </w:tabs>
        <w:jc w:val="center"/>
      </w:pPr>
      <w:r>
        <w:object w:dxaOrig="18475" w:dyaOrig="12656">
          <v:shape id="_x0000_i1030" type="#_x0000_t75" style="width:644pt;height:441pt" o:ole="">
            <v:imagedata r:id="rId19" o:title=""/>
          </v:shape>
          <o:OLEObject Type="Embed" ProgID="Excel.Sheet.12" ShapeID="_x0000_i1030" DrawAspect="Content" ObjectID="_1511362334" r:id="rId20"/>
        </w:object>
      </w:r>
    </w:p>
    <w:bookmarkStart w:id="6" w:name="_MON_1470810366"/>
    <w:bookmarkEnd w:id="6"/>
    <w:p w:rsidR="00372F40" w:rsidRDefault="00A41B20" w:rsidP="002133F6">
      <w:pPr>
        <w:tabs>
          <w:tab w:val="left" w:pos="2430"/>
        </w:tabs>
        <w:jc w:val="center"/>
      </w:pPr>
      <w:r>
        <w:object w:dxaOrig="26040" w:dyaOrig="17406">
          <v:shape id="_x0000_i1043" type="#_x0000_t75" style="width:694pt;height:464.5pt" o:ole="">
            <v:imagedata r:id="rId21" o:title=""/>
          </v:shape>
          <o:OLEObject Type="Embed" ProgID="Excel.Sheet.12" ShapeID="_x0000_i1043" DrawAspect="Content" ObjectID="_1511362335" r:id="rId22"/>
        </w:object>
      </w: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Pr="00540418" w:rsidRDefault="00540418" w:rsidP="0079582C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XXXX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p w:rsidR="00A80E26" w:rsidRP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W w:w="13486" w:type="dxa"/>
        <w:jc w:val="center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5"/>
        <w:gridCol w:w="3828"/>
        <w:gridCol w:w="4607"/>
      </w:tblGrid>
      <w:tr w:rsidR="000F2198" w:rsidRPr="00A80E26" w:rsidTr="000F2198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0F2198" w:rsidRPr="00A80E26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Omar García Galeana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F2198" w:rsidRPr="00A80E26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C.P. Lucía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Tehozol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Muñoz</w:t>
            </w:r>
          </w:p>
        </w:tc>
        <w:tc>
          <w:tcPr>
            <w:tcW w:w="4607" w:type="dxa"/>
            <w:vAlign w:val="bottom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  <w:r w:rsidRPr="003643E1">
              <w:rPr>
                <w:rFonts w:ascii="Arial" w:hAnsi="Arial" w:cs="Arial"/>
                <w:b/>
                <w:color w:val="000000"/>
                <w:sz w:val="14"/>
                <w:szCs w:val="18"/>
              </w:rPr>
              <w:t>FIDEICOMISO EN PROCESO DE EXTINCIÓN TOTAL:</w:t>
            </w:r>
          </w:p>
        </w:tc>
      </w:tr>
      <w:tr w:rsidR="000F2198" w:rsidRPr="00A80E26" w:rsidTr="000F2198">
        <w:trPr>
          <w:jc w:val="center"/>
        </w:trPr>
        <w:tc>
          <w:tcPr>
            <w:tcW w:w="4606" w:type="dxa"/>
          </w:tcPr>
          <w:p w:rsidR="000F2198" w:rsidRPr="00A80E26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Comisionado Ejecutivo</w:t>
            </w:r>
            <w:r w:rsidRPr="00A80E26">
              <w:rPr>
                <w:rFonts w:ascii="Arial" w:hAnsi="Arial" w:cs="Arial"/>
                <w:sz w:val="18"/>
                <w:szCs w:val="18"/>
              </w:rPr>
              <w:t xml:space="preserve"> del Sistema Estatal de Seguridad Pública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0F2198" w:rsidRPr="00A80E26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 de la Dirección Administrativa</w:t>
            </w:r>
          </w:p>
        </w:tc>
        <w:tc>
          <w:tcPr>
            <w:tcW w:w="4607" w:type="dxa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643E1">
              <w:rPr>
                <w:rFonts w:ascii="Arial" w:hAnsi="Arial" w:cs="Arial"/>
                <w:b/>
                <w:sz w:val="14"/>
                <w:szCs w:val="18"/>
              </w:rPr>
              <w:t>GESTIÓN REALIZADA. CESESP/DESP/2.d.5/380/2015; CESESP/DESP/2.f.5/381/2015; CE/042015/DJ-1805; CESESP/DESP/2.e.2/424/2015; MEM/DESP/2.d.1/126/2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 xml:space="preserve">015; CESESP/DA/2.d.1/793/2015, </w:t>
            </w:r>
            <w:r w:rsidRPr="003643E1">
              <w:rPr>
                <w:rFonts w:ascii="Arial" w:hAnsi="Arial" w:cs="Arial"/>
                <w:b/>
                <w:sz w:val="14"/>
                <w:szCs w:val="18"/>
              </w:rPr>
              <w:t>CESESP/DA/2.d.6/1460/2015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 xml:space="preserve"> y CESESP/DESP/2.d.4/</w:t>
            </w:r>
            <w:r w:rsidR="00B077C3">
              <w:rPr>
                <w:rFonts w:ascii="Arial" w:hAnsi="Arial" w:cs="Arial"/>
                <w:b/>
                <w:sz w:val="14"/>
                <w:szCs w:val="18"/>
              </w:rPr>
              <w:t>1778</w:t>
            </w:r>
            <w:bookmarkStart w:id="7" w:name="_GoBack"/>
            <w:bookmarkEnd w:id="7"/>
            <w:r w:rsidR="00B077C3">
              <w:rPr>
                <w:rFonts w:ascii="Arial" w:hAnsi="Arial" w:cs="Arial"/>
                <w:b/>
                <w:sz w:val="14"/>
                <w:szCs w:val="18"/>
              </w:rPr>
              <w:t>/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2015.</w:t>
            </w:r>
          </w:p>
        </w:tc>
      </w:tr>
    </w:tbl>
    <w:p w:rsidR="003643E1" w:rsidRDefault="003643E1" w:rsidP="00A80E26">
      <w:pPr>
        <w:rPr>
          <w:rFonts w:ascii="Arial" w:hAnsi="Arial" w:cs="Arial"/>
          <w:sz w:val="12"/>
        </w:rPr>
      </w:pPr>
    </w:p>
    <w:p w:rsidR="00A80E26" w:rsidRPr="003643E1" w:rsidRDefault="003643E1" w:rsidP="00A80E26">
      <w:pPr>
        <w:rPr>
          <w:rFonts w:ascii="Arial" w:hAnsi="Arial" w:cs="Arial"/>
          <w:sz w:val="12"/>
        </w:rPr>
      </w:pPr>
      <w:r w:rsidRPr="003643E1">
        <w:rPr>
          <w:rFonts w:ascii="Arial" w:hAnsi="Arial" w:cs="Arial"/>
          <w:sz w:val="12"/>
        </w:rPr>
        <w:t>OBSERVACIÓN: LOS MONTOS PLASMADOS SON TOMADOS DE LOS REGISTROS ANTECESORES, SIN QUE SE CUENTE CON DOCUMENTAL QUE SUSTENTE EL ACTIVO FIJO DE LOS BIENES MUEBLES E INMUEBLES</w:t>
      </w: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(Formato libre, en caso de no aplicar se debe asentar. Debe venir firmado)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990663" w:rsidRDefault="00990663" w:rsidP="00990663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134"/>
        <w:gridCol w:w="5812"/>
      </w:tblGrid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3.</w:t>
      </w:r>
      <w:r>
        <w:rPr>
          <w:lang w:val="es-MX"/>
        </w:rPr>
        <w:tab/>
        <w:t>No aplica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lastRenderedPageBreak/>
        <w:tab/>
        <w:t>Bienes Muebles, Inmuebles e Intangibles</w:t>
      </w:r>
    </w:p>
    <w:p w:rsidR="00391C27" w:rsidRPr="00391C27" w:rsidRDefault="00391C27" w:rsidP="00391C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6.</w:t>
      </w:r>
      <w:r>
        <w:rPr>
          <w:lang w:val="es-MX"/>
        </w:rPr>
        <w:tab/>
        <w:t>No aplica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7.</w:t>
      </w:r>
      <w:r>
        <w:rPr>
          <w:lang w:val="es-MX"/>
        </w:rPr>
        <w:tab/>
        <w:t>No aplica.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No aplica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990663" w:rsidRDefault="00990663" w:rsidP="00990663">
      <w:pPr>
        <w:pStyle w:val="ROMANOS"/>
        <w:numPr>
          <w:ilvl w:val="0"/>
          <w:numId w:val="6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990663" w:rsidRDefault="00990663" w:rsidP="00990663">
      <w:pPr>
        <w:pStyle w:val="ROMANOS"/>
        <w:numPr>
          <w:ilvl w:val="0"/>
          <w:numId w:val="7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990663" w:rsidRPr="00163D6C" w:rsidRDefault="00990663" w:rsidP="00990663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990663" w:rsidRPr="00163D6C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990663" w:rsidRPr="00163D6C" w:rsidRDefault="00B077C3" w:rsidP="005B454F">
      <w:pPr>
        <w:pStyle w:val="Texto"/>
        <w:spacing w:after="0" w:line="240" w:lineRule="exact"/>
        <w:ind w:firstLine="0"/>
        <w:rPr>
          <w:szCs w:val="18"/>
        </w:rPr>
      </w:pPr>
      <w:r>
        <w:rPr>
          <w:noProof/>
          <w:szCs w:val="18"/>
          <w:lang w:val="es-MX" w:eastAsia="es-MX"/>
        </w:rPr>
        <w:pict>
          <v:shape id="_x0000_s1046" type="#_x0000_t75" style="position:absolute;left:0;text-align:left;margin-left:9.65pt;margin-top:17.5pt;width:392.3pt;height:269.65pt;z-index:251664384">
            <v:imagedata r:id="rId23" o:title=""/>
            <w10:wrap type="topAndBottom"/>
          </v:shape>
          <o:OLEObject Type="Embed" ProgID="Excel.Sheet.12" ShapeID="_x0000_s1046" DrawAspect="Content" ObjectID="_1511362336" r:id="rId24"/>
        </w:pict>
      </w:r>
      <w:r>
        <w:rPr>
          <w:noProof/>
          <w:szCs w:val="18"/>
        </w:rPr>
        <w:pict>
          <v:shape id="_x0000_s1047" type="#_x0000_t75" style="position:absolute;left:0;text-align:left;margin-left:359.45pt;margin-top:17pt;width:359.4pt;height:259.35pt;z-index:251665408">
            <v:imagedata r:id="rId25" o:title=""/>
            <w10:wrap type="topAndBottom"/>
          </v:shape>
          <o:OLEObject Type="Embed" ProgID="Excel.Sheet.12" ShapeID="_x0000_s1047" DrawAspect="Content" ObjectID="_1511362337" r:id="rId26"/>
        </w:pict>
      </w: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A53E96">
      <w:pPr>
        <w:pStyle w:val="INCISO"/>
        <w:spacing w:after="0" w:line="240" w:lineRule="exact"/>
      </w:pPr>
      <w:r w:rsidRPr="00163D6C">
        <w:lastRenderedPageBreak/>
        <w:t>c)</w:t>
      </w:r>
      <w:r w:rsidRPr="00163D6C">
        <w:tab/>
        <w:t>Ejercicio fiscal</w:t>
      </w:r>
      <w:r>
        <w:t>: del 01 de Enero al 3</w:t>
      </w:r>
      <w:r w:rsidR="00D542E5">
        <w:t>1</w:t>
      </w:r>
      <w:r>
        <w:t xml:space="preserve"> de </w:t>
      </w:r>
      <w:r w:rsidR="00FB2397">
        <w:t>diciembre</w:t>
      </w:r>
      <w:r>
        <w:t xml:space="preserve"> de </w:t>
      </w:r>
      <w:r w:rsidR="00A53E96">
        <w:t>2015</w:t>
      </w:r>
      <w:r>
        <w:t>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6237"/>
      </w:tblGrid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proofErr w:type="gramStart"/>
      <w:r>
        <w:rPr>
          <w:lang w:val="es-MX"/>
        </w:rPr>
        <w:t>procederá</w:t>
      </w:r>
      <w:proofErr w:type="gramEnd"/>
      <w:r>
        <w:rPr>
          <w:lang w:val="es-MX"/>
        </w:rPr>
        <w:t xml:space="preserve">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B2397" w:rsidRPr="00163D6C" w:rsidRDefault="00FB2397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163D6C" w:rsidRDefault="003B6704" w:rsidP="003B6704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4311BE" w:rsidRPr="00540418" w:rsidRDefault="00B077C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 id="_x0000_s1038" type="#_x0000_t75" style="position:absolute;left:0;text-align:left;margin-left:-54pt;margin-top:17.85pt;width:803.4pt;height:111.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511362338" r:id="rId28"/>
        </w:pict>
      </w:r>
    </w:p>
    <w:sectPr w:rsidR="004311BE" w:rsidRPr="00540418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D8" w:rsidRDefault="00EB7AD8" w:rsidP="00EA5418">
      <w:pPr>
        <w:spacing w:after="0" w:line="240" w:lineRule="auto"/>
      </w:pPr>
      <w:r>
        <w:separator/>
      </w:r>
    </w:p>
  </w:endnote>
  <w:endnote w:type="continuationSeparator" w:id="0">
    <w:p w:rsidR="00EB7AD8" w:rsidRDefault="00EB7AD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077C3" w:rsidRPr="00B077C3">
          <w:rPr>
            <w:rFonts w:ascii="Soberana Sans Light" w:hAnsi="Soberana Sans Light"/>
            <w:noProof/>
            <w:lang w:val="es-ES"/>
          </w:rPr>
          <w:t>14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077C3" w:rsidRPr="00B077C3">
          <w:rPr>
            <w:rFonts w:ascii="Soberana Sans Light" w:hAnsi="Soberana Sans Light"/>
            <w:noProof/>
            <w:lang w:val="es-ES"/>
          </w:rPr>
          <w:t>13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D8" w:rsidRDefault="00EB7AD8" w:rsidP="00EA5418">
      <w:pPr>
        <w:spacing w:after="0" w:line="240" w:lineRule="auto"/>
      </w:pPr>
      <w:r>
        <w:separator/>
      </w:r>
    </w:p>
  </w:footnote>
  <w:footnote w:type="continuationSeparator" w:id="0">
    <w:p w:rsidR="00EB7AD8" w:rsidRDefault="00EB7AD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53E9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53E9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960A3" wp14:editId="3FAD1AB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40466"/>
    <w:rsid w:val="00045A10"/>
    <w:rsid w:val="000660D8"/>
    <w:rsid w:val="000D6103"/>
    <w:rsid w:val="000F2198"/>
    <w:rsid w:val="0013011C"/>
    <w:rsid w:val="00165BB4"/>
    <w:rsid w:val="001B1B72"/>
    <w:rsid w:val="001C6FD8"/>
    <w:rsid w:val="001E7072"/>
    <w:rsid w:val="00204C86"/>
    <w:rsid w:val="002133F6"/>
    <w:rsid w:val="0024718E"/>
    <w:rsid w:val="00264426"/>
    <w:rsid w:val="002A70B3"/>
    <w:rsid w:val="002E2F29"/>
    <w:rsid w:val="003643E1"/>
    <w:rsid w:val="00372F40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4311BE"/>
    <w:rsid w:val="0044253C"/>
    <w:rsid w:val="004714CF"/>
    <w:rsid w:val="00484C0D"/>
    <w:rsid w:val="00497D8B"/>
    <w:rsid w:val="004D41B8"/>
    <w:rsid w:val="004F5641"/>
    <w:rsid w:val="00522632"/>
    <w:rsid w:val="00522EF3"/>
    <w:rsid w:val="00540418"/>
    <w:rsid w:val="00543A25"/>
    <w:rsid w:val="00574266"/>
    <w:rsid w:val="00581FBA"/>
    <w:rsid w:val="005905C6"/>
    <w:rsid w:val="005B454F"/>
    <w:rsid w:val="005D3D25"/>
    <w:rsid w:val="006440ED"/>
    <w:rsid w:val="0069231E"/>
    <w:rsid w:val="006B1FE7"/>
    <w:rsid w:val="006C21B9"/>
    <w:rsid w:val="006E77DD"/>
    <w:rsid w:val="00746462"/>
    <w:rsid w:val="0079582C"/>
    <w:rsid w:val="007C68D5"/>
    <w:rsid w:val="007D6E9A"/>
    <w:rsid w:val="00811DAC"/>
    <w:rsid w:val="00855E81"/>
    <w:rsid w:val="0089054E"/>
    <w:rsid w:val="008A6E4D"/>
    <w:rsid w:val="008A793D"/>
    <w:rsid w:val="008B0017"/>
    <w:rsid w:val="008E3652"/>
    <w:rsid w:val="008F6D58"/>
    <w:rsid w:val="00905E62"/>
    <w:rsid w:val="0093492C"/>
    <w:rsid w:val="009549D0"/>
    <w:rsid w:val="00957043"/>
    <w:rsid w:val="00990663"/>
    <w:rsid w:val="009D5D4C"/>
    <w:rsid w:val="009F23C4"/>
    <w:rsid w:val="00A16C65"/>
    <w:rsid w:val="00A20954"/>
    <w:rsid w:val="00A33FE5"/>
    <w:rsid w:val="00A363B6"/>
    <w:rsid w:val="00A41B20"/>
    <w:rsid w:val="00A46BF5"/>
    <w:rsid w:val="00A5214D"/>
    <w:rsid w:val="00A53E96"/>
    <w:rsid w:val="00A80E26"/>
    <w:rsid w:val="00B064A2"/>
    <w:rsid w:val="00B077C3"/>
    <w:rsid w:val="00B146E2"/>
    <w:rsid w:val="00B62C2D"/>
    <w:rsid w:val="00B65D69"/>
    <w:rsid w:val="00B73E50"/>
    <w:rsid w:val="00B849EE"/>
    <w:rsid w:val="00B84D02"/>
    <w:rsid w:val="00B93CC3"/>
    <w:rsid w:val="00BA2071"/>
    <w:rsid w:val="00BA2940"/>
    <w:rsid w:val="00C16E53"/>
    <w:rsid w:val="00C431B4"/>
    <w:rsid w:val="00C44584"/>
    <w:rsid w:val="00C73CFC"/>
    <w:rsid w:val="00C86C59"/>
    <w:rsid w:val="00C91C5A"/>
    <w:rsid w:val="00CD6D9A"/>
    <w:rsid w:val="00D00E92"/>
    <w:rsid w:val="00D055EC"/>
    <w:rsid w:val="00D25224"/>
    <w:rsid w:val="00D44728"/>
    <w:rsid w:val="00D542E5"/>
    <w:rsid w:val="00D54EB1"/>
    <w:rsid w:val="00D562FF"/>
    <w:rsid w:val="00D911A3"/>
    <w:rsid w:val="00DA251F"/>
    <w:rsid w:val="00DF56C9"/>
    <w:rsid w:val="00E30318"/>
    <w:rsid w:val="00E32708"/>
    <w:rsid w:val="00EA5418"/>
    <w:rsid w:val="00EA6DBC"/>
    <w:rsid w:val="00EB7AD8"/>
    <w:rsid w:val="00EC1643"/>
    <w:rsid w:val="00EE46FB"/>
    <w:rsid w:val="00F17C0D"/>
    <w:rsid w:val="00F755D0"/>
    <w:rsid w:val="00FB1010"/>
    <w:rsid w:val="00FB2397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2C51-F8F2-4321-AB5B-B026D36A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14</Pages>
  <Words>1535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Pluma Sandoval</cp:lastModifiedBy>
  <cp:revision>59</cp:revision>
  <cp:lastPrinted>2015-12-11T23:59:00Z</cp:lastPrinted>
  <dcterms:created xsi:type="dcterms:W3CDTF">2014-08-29T13:13:00Z</dcterms:created>
  <dcterms:modified xsi:type="dcterms:W3CDTF">2015-12-12T00:04:00Z</dcterms:modified>
</cp:coreProperties>
</file>