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40" w:rsidRDefault="00372F40" w:rsidP="006B46C7">
      <w:pPr>
        <w:jc w:val="center"/>
        <w:rPr>
          <w:rFonts w:ascii="Arial" w:hAnsi="Arial" w:cs="Arial"/>
          <w:sz w:val="18"/>
          <w:szCs w:val="18"/>
        </w:rPr>
      </w:pPr>
    </w:p>
    <w:p w:rsidR="006B46C7" w:rsidRDefault="006B46C7" w:rsidP="006B46C7">
      <w:pPr>
        <w:jc w:val="center"/>
        <w:rPr>
          <w:rFonts w:ascii="Arial" w:hAnsi="Arial" w:cs="Arial"/>
          <w:sz w:val="18"/>
          <w:szCs w:val="18"/>
        </w:rPr>
      </w:pPr>
      <w:r>
        <w:rPr>
          <w:rFonts w:ascii="Arial" w:hAnsi="Arial" w:cs="Arial"/>
          <w:sz w:val="18"/>
          <w:szCs w:val="18"/>
        </w:rPr>
        <w:t>Notas a los Estados Financieros</w:t>
      </w:r>
    </w:p>
    <w:p w:rsidR="006B46C7" w:rsidRPr="006B46C7" w:rsidRDefault="006B46C7" w:rsidP="006B46C7">
      <w:pPr>
        <w:jc w:val="center"/>
        <w:rPr>
          <w:rFonts w:ascii="Arial" w:hAnsi="Arial"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1128"/>
        <w:gridCol w:w="3054"/>
        <w:gridCol w:w="304"/>
        <w:gridCol w:w="2283"/>
        <w:gridCol w:w="144"/>
        <w:gridCol w:w="102"/>
        <w:gridCol w:w="1418"/>
        <w:gridCol w:w="1313"/>
        <w:gridCol w:w="1493"/>
        <w:gridCol w:w="1459"/>
        <w:gridCol w:w="1122"/>
      </w:tblGrid>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 NOTAS DE DESGLOSE</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w:t>
            </w: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Notas al Estado de Situación Financiera</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Activo</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Efectivo y Equivalentes, Bancos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6B46C7" w:rsidRPr="006B46C7" w:rsidTr="003011F7">
        <w:trPr>
          <w:trHeight w:val="915"/>
        </w:trPr>
        <w:tc>
          <w:tcPr>
            <w:tcW w:w="5000" w:type="pct"/>
            <w:gridSpan w:val="11"/>
            <w:shd w:val="clear" w:color="auto" w:fill="auto"/>
            <w:noWrap/>
            <w:hideMark/>
          </w:tcPr>
          <w:p w:rsidR="006B46C7" w:rsidRPr="006B46C7" w:rsidRDefault="006B46C7"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rubro de bancos se encuentra integrada por 5 cuentas  bancarias, una empleada para gastos de operación, otra para pag</w:t>
            </w:r>
            <w:r w:rsidR="002C71B6">
              <w:rPr>
                <w:rFonts w:ascii="Arial" w:eastAsia="Times New Roman" w:hAnsi="Arial" w:cs="Arial"/>
                <w:color w:val="000000"/>
                <w:sz w:val="18"/>
                <w:szCs w:val="18"/>
                <w:lang w:eastAsia="es-MX"/>
              </w:rPr>
              <w:t>os</w:t>
            </w:r>
            <w:r w:rsidRPr="006B46C7">
              <w:rPr>
                <w:rFonts w:ascii="Arial" w:eastAsia="Times New Roman" w:hAnsi="Arial" w:cs="Arial"/>
                <w:color w:val="000000"/>
                <w:sz w:val="18"/>
                <w:szCs w:val="18"/>
                <w:lang w:eastAsia="es-MX"/>
              </w:rPr>
              <w:t xml:space="preserve"> de nómina y becas, una más para ingresos y gastos del centro de alto rendimiento, y dos cuentas de recurso federal ante la Comisión Nacional del Deporte para operar los programas que se acuerdan mediante convenio con tal instancia.</w:t>
            </w:r>
          </w:p>
        </w:tc>
      </w:tr>
      <w:tr w:rsidR="005459B1" w:rsidRPr="006B46C7" w:rsidTr="003011F7">
        <w:trPr>
          <w:trHeight w:val="300"/>
        </w:trPr>
        <w:tc>
          <w:tcPr>
            <w:tcW w:w="3051" w:type="pct"/>
            <w:gridSpan w:val="7"/>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Derechos a Recibir Efectivo y Equivalentes y Bienes o Servicios a Recibir</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Deudores Diversos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Calibri" w:eastAsia="Times New Roman" w:hAnsi="Calibri" w:cs="Times New Roman"/>
                <w:color w:val="000000"/>
                <w:lang w:eastAsia="es-MX"/>
              </w:rPr>
            </w:pPr>
          </w:p>
        </w:tc>
      </w:tr>
      <w:tr w:rsidR="006B46C7" w:rsidRPr="006B46C7" w:rsidTr="003011F7">
        <w:trPr>
          <w:trHeight w:val="900"/>
        </w:trPr>
        <w:tc>
          <w:tcPr>
            <w:tcW w:w="5000" w:type="pct"/>
            <w:gridSpan w:val="11"/>
            <w:shd w:val="clear" w:color="auto" w:fill="auto"/>
            <w:noWrap/>
            <w:hideMark/>
          </w:tcPr>
          <w:p w:rsidR="006B46C7" w:rsidRPr="006B46C7" w:rsidRDefault="006B46C7" w:rsidP="001077E4">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monte de $</w:t>
            </w:r>
            <w:r w:rsidR="00BF6EDC">
              <w:rPr>
                <w:rFonts w:ascii="Arial" w:eastAsia="Times New Roman" w:hAnsi="Arial" w:cs="Arial"/>
                <w:color w:val="000000"/>
                <w:sz w:val="18"/>
                <w:szCs w:val="18"/>
                <w:lang w:eastAsia="es-MX"/>
              </w:rPr>
              <w:t>339,140</w:t>
            </w:r>
            <w:r w:rsidRPr="006B46C7">
              <w:rPr>
                <w:rFonts w:ascii="Arial" w:eastAsia="Times New Roman" w:hAnsi="Arial" w:cs="Arial"/>
                <w:color w:val="000000"/>
                <w:sz w:val="18"/>
                <w:szCs w:val="18"/>
                <w:lang w:eastAsia="es-MX"/>
              </w:rPr>
              <w:t xml:space="preserve"> </w:t>
            </w:r>
            <w:r w:rsidR="00BF6EDC">
              <w:rPr>
                <w:rFonts w:ascii="Arial" w:eastAsia="Times New Roman" w:hAnsi="Arial" w:cs="Arial"/>
                <w:color w:val="000000"/>
                <w:sz w:val="18"/>
                <w:szCs w:val="18"/>
                <w:lang w:eastAsia="es-MX"/>
              </w:rPr>
              <w:t xml:space="preserve">se </w:t>
            </w:r>
            <w:r w:rsidRPr="006B46C7">
              <w:rPr>
                <w:rFonts w:ascii="Arial" w:eastAsia="Times New Roman" w:hAnsi="Arial" w:cs="Arial"/>
                <w:color w:val="000000"/>
                <w:sz w:val="18"/>
                <w:szCs w:val="18"/>
                <w:lang w:eastAsia="es-MX"/>
              </w:rPr>
              <w:t xml:space="preserve">compone por deudores </w:t>
            </w:r>
            <w:r w:rsidR="002C71B6">
              <w:rPr>
                <w:rFonts w:ascii="Arial" w:eastAsia="Times New Roman" w:hAnsi="Arial" w:cs="Arial"/>
                <w:color w:val="000000"/>
                <w:sz w:val="18"/>
                <w:szCs w:val="18"/>
                <w:lang w:eastAsia="es-MX"/>
              </w:rPr>
              <w:t>b</w:t>
            </w:r>
            <w:r w:rsidRPr="006B46C7">
              <w:rPr>
                <w:rFonts w:ascii="Arial" w:eastAsia="Times New Roman" w:hAnsi="Arial" w:cs="Arial"/>
                <w:color w:val="000000"/>
                <w:sz w:val="18"/>
                <w:szCs w:val="18"/>
                <w:lang w:eastAsia="es-MX"/>
              </w:rPr>
              <w:t>ajo el con</w:t>
            </w:r>
            <w:r w:rsidR="002C71B6">
              <w:rPr>
                <w:rFonts w:ascii="Arial" w:eastAsia="Times New Roman" w:hAnsi="Arial" w:cs="Arial"/>
                <w:color w:val="000000"/>
                <w:sz w:val="18"/>
                <w:szCs w:val="18"/>
                <w:lang w:eastAsia="es-MX"/>
              </w:rPr>
              <w:t>c</w:t>
            </w:r>
            <w:r w:rsidRPr="006B46C7">
              <w:rPr>
                <w:rFonts w:ascii="Arial" w:eastAsia="Times New Roman" w:hAnsi="Arial" w:cs="Arial"/>
                <w:color w:val="000000"/>
                <w:sz w:val="18"/>
                <w:szCs w:val="18"/>
                <w:lang w:eastAsia="es-MX"/>
              </w:rPr>
              <w:t>epto de gastos de operación</w:t>
            </w:r>
            <w:r w:rsidR="00BF6EDC">
              <w:rPr>
                <w:rFonts w:ascii="Arial" w:eastAsia="Times New Roman" w:hAnsi="Arial" w:cs="Arial"/>
                <w:color w:val="000000"/>
                <w:sz w:val="18"/>
                <w:szCs w:val="18"/>
                <w:lang w:eastAsia="es-MX"/>
              </w:rPr>
              <w:t xml:space="preserve"> y apoyos</w:t>
            </w:r>
            <w:r w:rsidR="001077E4">
              <w:rPr>
                <w:rFonts w:ascii="Arial" w:eastAsia="Times New Roman" w:hAnsi="Arial" w:cs="Arial"/>
                <w:color w:val="000000"/>
                <w:sz w:val="18"/>
                <w:szCs w:val="18"/>
                <w:lang w:eastAsia="es-MX"/>
              </w:rPr>
              <w:t xml:space="preserve"> otorgados a deportistas</w:t>
            </w:r>
            <w:r w:rsidR="005459B1">
              <w:rPr>
                <w:rFonts w:ascii="Arial" w:eastAsia="Times New Roman" w:hAnsi="Arial" w:cs="Arial"/>
                <w:color w:val="000000"/>
                <w:sz w:val="18"/>
                <w:szCs w:val="18"/>
                <w:lang w:eastAsia="es-MX"/>
              </w:rPr>
              <w:t>, los cuales serán recuperados en l</w:t>
            </w:r>
            <w:r w:rsidR="00BF6EDC">
              <w:rPr>
                <w:rFonts w:ascii="Arial" w:eastAsia="Times New Roman" w:hAnsi="Arial" w:cs="Arial"/>
                <w:color w:val="000000"/>
                <w:sz w:val="18"/>
                <w:szCs w:val="18"/>
                <w:lang w:eastAsia="es-MX"/>
              </w:rPr>
              <w:t xml:space="preserve">os </w:t>
            </w:r>
            <w:r w:rsidR="001077E4">
              <w:rPr>
                <w:rFonts w:ascii="Arial" w:eastAsia="Times New Roman" w:hAnsi="Arial" w:cs="Arial"/>
                <w:color w:val="000000"/>
                <w:sz w:val="18"/>
                <w:szCs w:val="18"/>
                <w:lang w:eastAsia="es-MX"/>
              </w:rPr>
              <w:t xml:space="preserve">próximos tres </w:t>
            </w:r>
            <w:r w:rsidR="005459B1">
              <w:rPr>
                <w:rFonts w:ascii="Arial" w:eastAsia="Times New Roman" w:hAnsi="Arial" w:cs="Arial"/>
                <w:color w:val="000000"/>
                <w:sz w:val="18"/>
                <w:szCs w:val="18"/>
                <w:lang w:eastAsia="es-MX"/>
              </w:rPr>
              <w:t>mes</w:t>
            </w:r>
            <w:r w:rsidR="00BF6EDC">
              <w:rPr>
                <w:rFonts w:ascii="Arial" w:eastAsia="Times New Roman" w:hAnsi="Arial" w:cs="Arial"/>
                <w:color w:val="000000"/>
                <w:sz w:val="18"/>
                <w:szCs w:val="18"/>
                <w:lang w:eastAsia="es-MX"/>
              </w:rPr>
              <w:t>es</w:t>
            </w:r>
            <w:r w:rsidR="001077E4">
              <w:rPr>
                <w:rFonts w:ascii="Arial" w:eastAsia="Times New Roman" w:hAnsi="Arial" w:cs="Arial"/>
                <w:color w:val="000000"/>
                <w:sz w:val="18"/>
                <w:szCs w:val="18"/>
                <w:lang w:eastAsia="es-MX"/>
              </w:rPr>
              <w:t>.</w:t>
            </w: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Bienes Inmuebles: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6B46C7" w:rsidRPr="006B46C7" w:rsidTr="003011F7">
        <w:trPr>
          <w:trHeight w:val="690"/>
        </w:trPr>
        <w:tc>
          <w:tcPr>
            <w:tcW w:w="5000" w:type="pct"/>
            <w:gridSpan w:val="11"/>
            <w:shd w:val="clear" w:color="auto" w:fill="auto"/>
            <w:noWrap/>
            <w:hideMark/>
          </w:tcPr>
          <w:p w:rsidR="006B46C7" w:rsidRPr="006B46C7" w:rsidRDefault="006B46C7"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valor del inmueble propiedad del Instituto del Deporte tiene un valor de $4'560,940, y corresponde al inmueble que ocupan las oficinas de la dependencia</w:t>
            </w:r>
          </w:p>
        </w:tc>
      </w:tr>
      <w:tr w:rsidR="005B78DC" w:rsidRPr="006B46C7" w:rsidTr="003011F7">
        <w:trPr>
          <w:trHeight w:val="300"/>
        </w:trPr>
        <w:tc>
          <w:tcPr>
            <w:tcW w:w="1623" w:type="pct"/>
            <w:gridSpan w:val="3"/>
            <w:shd w:val="clear" w:color="auto" w:fill="auto"/>
            <w:noWrap/>
            <w:vAlign w:val="bottom"/>
            <w:hideMark/>
          </w:tcPr>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bookmarkStart w:id="0" w:name="_GoBack"/>
            <w:bookmarkEnd w:id="0"/>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Default="006B46C7" w:rsidP="006B46C7">
            <w:pPr>
              <w:spacing w:after="0" w:line="240" w:lineRule="auto"/>
              <w:rPr>
                <w:rFonts w:ascii="Arial" w:eastAsia="Times New Roman" w:hAnsi="Arial" w:cs="Arial"/>
                <w:b/>
                <w:bCs/>
                <w:color w:val="000000"/>
                <w:sz w:val="18"/>
                <w:szCs w:val="18"/>
                <w:lang w:eastAsia="es-MX"/>
              </w:rPr>
            </w:pPr>
          </w:p>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Bienes Muebles: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2C71B6" w:rsidP="006B46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Este rubro está</w:t>
            </w:r>
            <w:r w:rsidR="006B46C7" w:rsidRPr="006B46C7">
              <w:rPr>
                <w:rFonts w:ascii="Arial" w:eastAsia="Times New Roman" w:hAnsi="Arial" w:cs="Arial"/>
                <w:color w:val="000000"/>
                <w:sz w:val="18"/>
                <w:szCs w:val="18"/>
                <w:lang w:eastAsia="es-MX"/>
              </w:rPr>
              <w:t xml:space="preserve"> compuesto de la siguiente forma:</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0000FF" w:fill="006C31"/>
            <w:noWrap/>
            <w:vAlign w:val="center"/>
            <w:hideMark/>
          </w:tcPr>
          <w:p w:rsidR="006B46C7" w:rsidRPr="006B46C7" w:rsidRDefault="006B46C7" w:rsidP="006B46C7">
            <w:pPr>
              <w:spacing w:after="0" w:line="240" w:lineRule="auto"/>
              <w:jc w:val="center"/>
              <w:rPr>
                <w:rFonts w:ascii="Arial" w:eastAsia="Times New Roman" w:hAnsi="Arial" w:cs="Arial"/>
                <w:b/>
                <w:bCs/>
                <w:color w:val="FFFFFF"/>
                <w:sz w:val="18"/>
                <w:szCs w:val="18"/>
                <w:lang w:eastAsia="es-MX"/>
              </w:rPr>
            </w:pPr>
            <w:r w:rsidRPr="006B46C7">
              <w:rPr>
                <w:rFonts w:ascii="Arial" w:eastAsia="Times New Roman" w:hAnsi="Arial" w:cs="Arial"/>
                <w:b/>
                <w:bCs/>
                <w:color w:val="FFFFFF"/>
                <w:sz w:val="18"/>
                <w:szCs w:val="18"/>
                <w:lang w:eastAsia="es-MX"/>
              </w:rPr>
              <w:t>Descripción</w:t>
            </w:r>
          </w:p>
        </w:tc>
        <w:tc>
          <w:tcPr>
            <w:tcW w:w="602" w:type="pct"/>
            <w:gridSpan w:val="3"/>
            <w:shd w:val="clear" w:color="0000FF" w:fill="006C31"/>
            <w:noWrap/>
            <w:vAlign w:val="center"/>
            <w:hideMark/>
          </w:tcPr>
          <w:p w:rsidR="006B46C7" w:rsidRPr="006B46C7" w:rsidRDefault="006B46C7" w:rsidP="006B46C7">
            <w:pPr>
              <w:spacing w:after="0" w:line="240" w:lineRule="auto"/>
              <w:jc w:val="center"/>
              <w:rPr>
                <w:rFonts w:ascii="Arial" w:eastAsia="Times New Roman" w:hAnsi="Arial" w:cs="Arial"/>
                <w:b/>
                <w:bCs/>
                <w:color w:val="FFFFFF"/>
                <w:sz w:val="18"/>
                <w:szCs w:val="18"/>
                <w:lang w:eastAsia="es-MX"/>
              </w:rPr>
            </w:pPr>
            <w:r w:rsidRPr="006B46C7">
              <w:rPr>
                <w:rFonts w:ascii="Arial" w:eastAsia="Times New Roman" w:hAnsi="Arial" w:cs="Arial"/>
                <w:b/>
                <w:bCs/>
                <w:color w:val="FFFFFF"/>
                <w:sz w:val="18"/>
                <w:szCs w:val="18"/>
                <w:lang w:eastAsia="es-MX"/>
              </w:rPr>
              <w:t>Importe</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de Computo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913,428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Deportivo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4,983,738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Médico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414,270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de Audio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158,975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312,140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 de Villas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556,807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de Transporte</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1,397,233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 de Logistica</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40,430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Maquinaria Industrial</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126,672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Equipo de Trabajo</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40,387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Pasivo</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Proveedores: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6B46C7" w:rsidRPr="006B46C7" w:rsidTr="003011F7">
        <w:trPr>
          <w:trHeight w:val="600"/>
        </w:trPr>
        <w:tc>
          <w:tcPr>
            <w:tcW w:w="5000" w:type="pct"/>
            <w:gridSpan w:val="11"/>
            <w:shd w:val="clear" w:color="auto" w:fill="auto"/>
            <w:noWrap/>
            <w:hideMark/>
          </w:tcPr>
          <w:p w:rsidR="006B46C7" w:rsidRPr="006B46C7" w:rsidRDefault="006B46C7" w:rsidP="00BF6EDC">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El rubro de proveedores </w:t>
            </w:r>
            <w:r w:rsidR="002C71B6" w:rsidRPr="006B46C7">
              <w:rPr>
                <w:rFonts w:ascii="Arial" w:eastAsia="Times New Roman" w:hAnsi="Arial" w:cs="Arial"/>
                <w:color w:val="000000"/>
                <w:sz w:val="18"/>
                <w:szCs w:val="18"/>
                <w:lang w:eastAsia="es-MX"/>
              </w:rPr>
              <w:t>está</w:t>
            </w:r>
            <w:r w:rsidRPr="006B46C7">
              <w:rPr>
                <w:rFonts w:ascii="Arial" w:eastAsia="Times New Roman" w:hAnsi="Arial" w:cs="Arial"/>
                <w:color w:val="000000"/>
                <w:sz w:val="18"/>
                <w:szCs w:val="18"/>
                <w:lang w:eastAsia="es-MX"/>
              </w:rPr>
              <w:t xml:space="preserve"> compuesto por los conceptos de </w:t>
            </w:r>
            <w:r w:rsidR="005459B1">
              <w:rPr>
                <w:rFonts w:ascii="Arial" w:eastAsia="Times New Roman" w:hAnsi="Arial" w:cs="Arial"/>
                <w:color w:val="000000"/>
                <w:sz w:val="18"/>
                <w:szCs w:val="18"/>
                <w:lang w:eastAsia="es-MX"/>
              </w:rPr>
              <w:t xml:space="preserve">compra de </w:t>
            </w:r>
            <w:r w:rsidR="002C71B6">
              <w:rPr>
                <w:rFonts w:ascii="Arial" w:eastAsia="Times New Roman" w:hAnsi="Arial" w:cs="Arial"/>
                <w:color w:val="000000"/>
                <w:sz w:val="18"/>
                <w:szCs w:val="18"/>
                <w:lang w:eastAsia="es-MX"/>
              </w:rPr>
              <w:t>uniformes</w:t>
            </w:r>
            <w:r w:rsidR="005459B1">
              <w:rPr>
                <w:rFonts w:ascii="Arial" w:eastAsia="Times New Roman" w:hAnsi="Arial" w:cs="Arial"/>
                <w:color w:val="000000"/>
                <w:sz w:val="18"/>
                <w:szCs w:val="18"/>
                <w:lang w:eastAsia="es-MX"/>
              </w:rPr>
              <w:t xml:space="preserve"> oficiales</w:t>
            </w:r>
            <w:r w:rsidR="002C71B6">
              <w:rPr>
                <w:rFonts w:ascii="Arial" w:eastAsia="Times New Roman" w:hAnsi="Arial" w:cs="Arial"/>
                <w:color w:val="000000"/>
                <w:sz w:val="18"/>
                <w:szCs w:val="18"/>
                <w:lang w:eastAsia="es-MX"/>
              </w:rPr>
              <w:t xml:space="preserve">, </w:t>
            </w:r>
            <w:r w:rsidR="005459B1">
              <w:rPr>
                <w:rFonts w:ascii="Arial" w:eastAsia="Times New Roman" w:hAnsi="Arial" w:cs="Arial"/>
                <w:color w:val="000000"/>
                <w:sz w:val="18"/>
                <w:szCs w:val="18"/>
                <w:lang w:eastAsia="es-MX"/>
              </w:rPr>
              <w:t xml:space="preserve">, los </w:t>
            </w:r>
            <w:r w:rsidRPr="006B46C7">
              <w:rPr>
                <w:rFonts w:ascii="Arial" w:eastAsia="Times New Roman" w:hAnsi="Arial" w:cs="Arial"/>
                <w:color w:val="000000"/>
                <w:sz w:val="18"/>
                <w:szCs w:val="18"/>
                <w:lang w:eastAsia="es-MX"/>
              </w:rPr>
              <w:t>cual</w:t>
            </w:r>
            <w:r w:rsidR="009714C0">
              <w:rPr>
                <w:rFonts w:ascii="Arial" w:eastAsia="Times New Roman" w:hAnsi="Arial" w:cs="Arial"/>
                <w:color w:val="000000"/>
                <w:sz w:val="18"/>
                <w:szCs w:val="18"/>
                <w:lang w:eastAsia="es-MX"/>
              </w:rPr>
              <w:t>es ascienden a la cantidad de  $10,</w:t>
            </w:r>
            <w:r w:rsidR="00BF6EDC">
              <w:rPr>
                <w:rFonts w:ascii="Arial" w:eastAsia="Times New Roman" w:hAnsi="Arial" w:cs="Arial"/>
                <w:color w:val="000000"/>
                <w:sz w:val="18"/>
                <w:szCs w:val="18"/>
                <w:lang w:eastAsia="es-MX"/>
              </w:rPr>
              <w:t>056</w:t>
            </w:r>
            <w:r w:rsidRPr="006B46C7">
              <w:rPr>
                <w:rFonts w:ascii="Arial" w:eastAsia="Times New Roman" w:hAnsi="Arial" w:cs="Arial"/>
                <w:color w:val="000000"/>
                <w:sz w:val="18"/>
                <w:szCs w:val="18"/>
                <w:lang w:eastAsia="es-MX"/>
              </w:rPr>
              <w:t xml:space="preserve"> y </w:t>
            </w:r>
            <w:r w:rsidR="002C71B6" w:rsidRPr="006B46C7">
              <w:rPr>
                <w:rFonts w:ascii="Arial" w:eastAsia="Times New Roman" w:hAnsi="Arial" w:cs="Arial"/>
                <w:color w:val="000000"/>
                <w:sz w:val="18"/>
                <w:szCs w:val="18"/>
                <w:lang w:eastAsia="es-MX"/>
              </w:rPr>
              <w:t>serán</w:t>
            </w:r>
            <w:r w:rsidRPr="006B46C7">
              <w:rPr>
                <w:rFonts w:ascii="Arial" w:eastAsia="Times New Roman" w:hAnsi="Arial" w:cs="Arial"/>
                <w:color w:val="000000"/>
                <w:sz w:val="18"/>
                <w:szCs w:val="18"/>
                <w:lang w:eastAsia="es-MX"/>
              </w:rPr>
              <w:t xml:space="preserve"> pagados </w:t>
            </w:r>
            <w:r w:rsidR="002C71B6">
              <w:rPr>
                <w:rFonts w:ascii="Arial" w:eastAsia="Times New Roman" w:hAnsi="Arial" w:cs="Arial"/>
                <w:color w:val="000000"/>
                <w:sz w:val="18"/>
                <w:szCs w:val="18"/>
                <w:lang w:eastAsia="es-MX"/>
              </w:rPr>
              <w:t>a</w:t>
            </w:r>
            <w:r w:rsidR="005459B1">
              <w:rPr>
                <w:rFonts w:ascii="Arial" w:eastAsia="Times New Roman" w:hAnsi="Arial" w:cs="Arial"/>
                <w:color w:val="000000"/>
                <w:sz w:val="18"/>
                <w:szCs w:val="18"/>
                <w:lang w:eastAsia="es-MX"/>
              </w:rPr>
              <w:t xml:space="preserve"> </w:t>
            </w:r>
            <w:r w:rsidR="00BF6EDC">
              <w:rPr>
                <w:rFonts w:ascii="Arial" w:eastAsia="Times New Roman" w:hAnsi="Arial" w:cs="Arial"/>
                <w:color w:val="000000"/>
                <w:sz w:val="18"/>
                <w:szCs w:val="18"/>
                <w:lang w:eastAsia="es-MX"/>
              </w:rPr>
              <w:t>más</w:t>
            </w:r>
            <w:r w:rsidR="002C71B6">
              <w:rPr>
                <w:rFonts w:ascii="Arial" w:eastAsia="Times New Roman" w:hAnsi="Arial" w:cs="Arial"/>
                <w:color w:val="000000"/>
                <w:sz w:val="18"/>
                <w:szCs w:val="18"/>
                <w:lang w:eastAsia="es-MX"/>
              </w:rPr>
              <w:t xml:space="preserve"> tardar </w:t>
            </w:r>
            <w:r w:rsidR="005459B1">
              <w:rPr>
                <w:rFonts w:ascii="Arial" w:eastAsia="Times New Roman" w:hAnsi="Arial" w:cs="Arial"/>
                <w:color w:val="000000"/>
                <w:sz w:val="18"/>
                <w:szCs w:val="18"/>
                <w:lang w:eastAsia="es-MX"/>
              </w:rPr>
              <w:t>en el mes de</w:t>
            </w:r>
            <w:r w:rsidR="003011F7">
              <w:rPr>
                <w:rFonts w:ascii="Arial" w:eastAsia="Times New Roman" w:hAnsi="Arial" w:cs="Arial"/>
                <w:color w:val="000000"/>
                <w:sz w:val="18"/>
                <w:szCs w:val="18"/>
                <w:lang w:eastAsia="es-MX"/>
              </w:rPr>
              <w:t xml:space="preserve"> marz</w:t>
            </w:r>
            <w:r w:rsidR="00BF6EDC">
              <w:rPr>
                <w:rFonts w:ascii="Arial" w:eastAsia="Times New Roman" w:hAnsi="Arial" w:cs="Arial"/>
                <w:color w:val="000000"/>
                <w:sz w:val="18"/>
                <w:szCs w:val="18"/>
                <w:lang w:eastAsia="es-MX"/>
              </w:rPr>
              <w:t>o</w:t>
            </w:r>
            <w:r w:rsidR="002C71B6">
              <w:rPr>
                <w:rFonts w:ascii="Arial" w:eastAsia="Times New Roman" w:hAnsi="Arial" w:cs="Arial"/>
                <w:color w:val="000000"/>
                <w:sz w:val="18"/>
                <w:szCs w:val="18"/>
                <w:lang w:eastAsia="es-MX"/>
              </w:rPr>
              <w:t xml:space="preserve"> de</w:t>
            </w:r>
            <w:r w:rsidR="005459B1">
              <w:rPr>
                <w:rFonts w:ascii="Arial" w:eastAsia="Times New Roman" w:hAnsi="Arial" w:cs="Arial"/>
                <w:color w:val="000000"/>
                <w:sz w:val="18"/>
                <w:szCs w:val="18"/>
                <w:lang w:eastAsia="es-MX"/>
              </w:rPr>
              <w:t xml:space="preserve"> 201</w:t>
            </w:r>
            <w:r w:rsidR="00BF6EDC">
              <w:rPr>
                <w:rFonts w:ascii="Arial" w:eastAsia="Times New Roman" w:hAnsi="Arial" w:cs="Arial"/>
                <w:color w:val="000000"/>
                <w:sz w:val="18"/>
                <w:szCs w:val="18"/>
                <w:lang w:eastAsia="es-MX"/>
              </w:rPr>
              <w:t>6</w:t>
            </w:r>
            <w:r w:rsidR="002C71B6">
              <w:rPr>
                <w:rFonts w:ascii="Arial" w:eastAsia="Times New Roman" w:hAnsi="Arial" w:cs="Arial"/>
                <w:color w:val="000000"/>
                <w:sz w:val="18"/>
                <w:szCs w:val="18"/>
                <w:lang w:eastAsia="es-MX"/>
              </w:rPr>
              <w:t>.</w:t>
            </w: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Acreedores Diversos: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6B46C7" w:rsidRPr="006B46C7" w:rsidTr="003011F7">
        <w:trPr>
          <w:trHeight w:val="570"/>
        </w:trPr>
        <w:tc>
          <w:tcPr>
            <w:tcW w:w="5000" w:type="pct"/>
            <w:gridSpan w:val="11"/>
            <w:shd w:val="clear" w:color="auto" w:fill="auto"/>
            <w:noWrap/>
            <w:hideMark/>
          </w:tcPr>
          <w:p w:rsidR="006B46C7" w:rsidRPr="006B46C7" w:rsidRDefault="006B46C7" w:rsidP="003011F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El rubro de acreedores </w:t>
            </w:r>
            <w:r w:rsidR="002C71B6" w:rsidRPr="006B46C7">
              <w:rPr>
                <w:rFonts w:ascii="Arial" w:eastAsia="Times New Roman" w:hAnsi="Arial" w:cs="Arial"/>
                <w:color w:val="000000"/>
                <w:sz w:val="18"/>
                <w:szCs w:val="18"/>
                <w:lang w:eastAsia="es-MX"/>
              </w:rPr>
              <w:t>está</w:t>
            </w:r>
            <w:r w:rsidRPr="006B46C7">
              <w:rPr>
                <w:rFonts w:ascii="Arial" w:eastAsia="Times New Roman" w:hAnsi="Arial" w:cs="Arial"/>
                <w:color w:val="000000"/>
                <w:sz w:val="18"/>
                <w:szCs w:val="18"/>
                <w:lang w:eastAsia="es-MX"/>
              </w:rPr>
              <w:t xml:space="preserve"> compuesto por los conceptos de deducción del 5% al Millar, lo corresp</w:t>
            </w:r>
            <w:r w:rsidR="00572892">
              <w:rPr>
                <w:rFonts w:ascii="Arial" w:eastAsia="Times New Roman" w:hAnsi="Arial" w:cs="Arial"/>
                <w:color w:val="000000"/>
                <w:sz w:val="18"/>
                <w:szCs w:val="18"/>
                <w:lang w:eastAsia="es-MX"/>
              </w:rPr>
              <w:t xml:space="preserve">ondiente al sindicato 7 de mayo, </w:t>
            </w:r>
            <w:r w:rsidRPr="006B46C7">
              <w:rPr>
                <w:rFonts w:ascii="Arial" w:eastAsia="Times New Roman" w:hAnsi="Arial" w:cs="Arial"/>
                <w:color w:val="000000"/>
                <w:sz w:val="18"/>
                <w:szCs w:val="18"/>
                <w:lang w:eastAsia="es-MX"/>
              </w:rPr>
              <w:t>esto</w:t>
            </w:r>
            <w:r w:rsidR="002864DA">
              <w:rPr>
                <w:rFonts w:ascii="Arial" w:eastAsia="Times New Roman" w:hAnsi="Arial" w:cs="Arial"/>
                <w:color w:val="000000"/>
                <w:sz w:val="18"/>
                <w:szCs w:val="18"/>
                <w:lang w:eastAsia="es-MX"/>
              </w:rPr>
              <w:t>s</w:t>
            </w:r>
            <w:r w:rsidRPr="006B46C7">
              <w:rPr>
                <w:rFonts w:ascii="Arial" w:eastAsia="Times New Roman" w:hAnsi="Arial" w:cs="Arial"/>
                <w:color w:val="000000"/>
                <w:sz w:val="18"/>
                <w:szCs w:val="18"/>
                <w:lang w:eastAsia="es-MX"/>
              </w:rPr>
              <w:t xml:space="preserve"> serán liquidados el mes de </w:t>
            </w:r>
            <w:r w:rsidR="003011F7">
              <w:rPr>
                <w:rFonts w:ascii="Arial" w:eastAsia="Times New Roman" w:hAnsi="Arial" w:cs="Arial"/>
                <w:color w:val="000000"/>
                <w:sz w:val="18"/>
                <w:szCs w:val="18"/>
                <w:lang w:eastAsia="es-MX"/>
              </w:rPr>
              <w:t>marz</w:t>
            </w:r>
            <w:r w:rsidR="00BF6EDC">
              <w:rPr>
                <w:rFonts w:ascii="Arial" w:eastAsia="Times New Roman" w:hAnsi="Arial" w:cs="Arial"/>
                <w:color w:val="000000"/>
                <w:sz w:val="18"/>
                <w:szCs w:val="18"/>
                <w:lang w:eastAsia="es-MX"/>
              </w:rPr>
              <w:t>o</w:t>
            </w:r>
            <w:r w:rsidRPr="006B46C7">
              <w:rPr>
                <w:rFonts w:ascii="Arial" w:eastAsia="Times New Roman" w:hAnsi="Arial" w:cs="Arial"/>
                <w:color w:val="000000"/>
                <w:sz w:val="18"/>
                <w:szCs w:val="18"/>
                <w:lang w:eastAsia="es-MX"/>
              </w:rPr>
              <w:t xml:space="preserve"> de 201</w:t>
            </w:r>
            <w:r w:rsidR="00BF6EDC">
              <w:rPr>
                <w:rFonts w:ascii="Arial" w:eastAsia="Times New Roman" w:hAnsi="Arial" w:cs="Arial"/>
                <w:color w:val="000000"/>
                <w:sz w:val="18"/>
                <w:szCs w:val="18"/>
                <w:lang w:eastAsia="es-MX"/>
              </w:rPr>
              <w:t>6</w:t>
            </w:r>
            <w:r w:rsidRPr="006B46C7">
              <w:rPr>
                <w:rFonts w:ascii="Arial" w:eastAsia="Times New Roman" w:hAnsi="Arial" w:cs="Arial"/>
                <w:color w:val="000000"/>
                <w:sz w:val="18"/>
                <w:szCs w:val="18"/>
                <w:lang w:eastAsia="es-MX"/>
              </w:rPr>
              <w:t xml:space="preserve"> y ascienden a un monto de $</w:t>
            </w:r>
            <w:r w:rsidR="009714C0">
              <w:rPr>
                <w:rFonts w:ascii="Arial" w:eastAsia="Times New Roman" w:hAnsi="Arial" w:cs="Arial"/>
                <w:color w:val="000000"/>
                <w:sz w:val="18"/>
                <w:szCs w:val="18"/>
                <w:lang w:eastAsia="es-MX"/>
              </w:rPr>
              <w:t>1</w:t>
            </w:r>
            <w:r w:rsidR="00BF6EDC">
              <w:rPr>
                <w:rFonts w:ascii="Arial" w:eastAsia="Times New Roman" w:hAnsi="Arial" w:cs="Arial"/>
                <w:color w:val="000000"/>
                <w:sz w:val="18"/>
                <w:szCs w:val="18"/>
                <w:lang w:eastAsia="es-MX"/>
              </w:rPr>
              <w:t>9</w:t>
            </w:r>
            <w:r w:rsidR="00572892">
              <w:rPr>
                <w:rFonts w:ascii="Arial" w:eastAsia="Times New Roman" w:hAnsi="Arial" w:cs="Arial"/>
                <w:color w:val="000000"/>
                <w:sz w:val="18"/>
                <w:szCs w:val="18"/>
                <w:lang w:eastAsia="es-MX"/>
              </w:rPr>
              <w:t>,</w:t>
            </w:r>
            <w:r w:rsidR="00BF6EDC">
              <w:rPr>
                <w:rFonts w:ascii="Arial" w:eastAsia="Times New Roman" w:hAnsi="Arial" w:cs="Arial"/>
                <w:color w:val="000000"/>
                <w:sz w:val="18"/>
                <w:szCs w:val="18"/>
                <w:lang w:eastAsia="es-MX"/>
              </w:rPr>
              <w:t>5</w:t>
            </w:r>
            <w:r w:rsidR="009714C0">
              <w:rPr>
                <w:rFonts w:ascii="Arial" w:eastAsia="Times New Roman" w:hAnsi="Arial" w:cs="Arial"/>
                <w:color w:val="000000"/>
                <w:sz w:val="18"/>
                <w:szCs w:val="18"/>
                <w:lang w:eastAsia="es-MX"/>
              </w:rPr>
              <w:t>0</w:t>
            </w:r>
            <w:r w:rsidR="00BF6EDC">
              <w:rPr>
                <w:rFonts w:ascii="Arial" w:eastAsia="Times New Roman" w:hAnsi="Arial" w:cs="Arial"/>
                <w:color w:val="000000"/>
                <w:sz w:val="18"/>
                <w:szCs w:val="18"/>
                <w:lang w:eastAsia="es-MX"/>
              </w:rPr>
              <w:t>9</w:t>
            </w:r>
            <w:r w:rsidR="00572892">
              <w:rPr>
                <w:rFonts w:ascii="Arial" w:eastAsia="Times New Roman" w:hAnsi="Arial" w:cs="Arial"/>
                <w:color w:val="000000"/>
                <w:sz w:val="18"/>
                <w:szCs w:val="18"/>
                <w:lang w:eastAsia="es-MX"/>
              </w:rPr>
              <w:t>.</w:t>
            </w: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72892" w:rsidRPr="006B46C7" w:rsidRDefault="00572892"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Impuestos por pagar:</w:t>
            </w:r>
          </w:p>
        </w:tc>
        <w:tc>
          <w:tcPr>
            <w:tcW w:w="602" w:type="pct"/>
            <w:gridSpan w:val="3"/>
            <w:shd w:val="clear" w:color="auto" w:fill="auto"/>
            <w:noWrap/>
            <w:vAlign w:val="bottom"/>
            <w:hideMark/>
          </w:tcPr>
          <w:p w:rsidR="006B46C7" w:rsidRPr="006B46C7" w:rsidRDefault="006B46C7" w:rsidP="00BF6EDC">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w:t>
            </w:r>
            <w:r w:rsidR="009714C0">
              <w:rPr>
                <w:rFonts w:ascii="Arial" w:eastAsia="Times New Roman" w:hAnsi="Arial" w:cs="Arial"/>
                <w:sz w:val="18"/>
                <w:szCs w:val="18"/>
                <w:lang w:eastAsia="es-MX"/>
              </w:rPr>
              <w:t>-</w:t>
            </w:r>
            <w:r w:rsidR="00BF6EDC">
              <w:rPr>
                <w:rFonts w:ascii="Arial" w:eastAsia="Times New Roman" w:hAnsi="Arial" w:cs="Arial"/>
                <w:sz w:val="18"/>
                <w:szCs w:val="18"/>
                <w:lang w:eastAsia="es-MX"/>
              </w:rPr>
              <w:t>4</w:t>
            </w:r>
            <w:r w:rsidR="009714C0">
              <w:rPr>
                <w:rFonts w:ascii="Arial" w:eastAsia="Times New Roman" w:hAnsi="Arial" w:cs="Arial"/>
                <w:sz w:val="18"/>
                <w:szCs w:val="18"/>
                <w:lang w:eastAsia="es-MX"/>
              </w:rPr>
              <w:t>,</w:t>
            </w:r>
            <w:r w:rsidR="00BF6EDC">
              <w:rPr>
                <w:rFonts w:ascii="Arial" w:eastAsia="Times New Roman" w:hAnsi="Arial" w:cs="Arial"/>
                <w:sz w:val="18"/>
                <w:szCs w:val="18"/>
                <w:lang w:eastAsia="es-MX"/>
              </w:rPr>
              <w:t>558</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lastRenderedPageBreak/>
              <w:t>II)</w:t>
            </w: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Notas al Estado de Actividades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Ingresos de Gestión</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Participaciones Estatales</w:t>
            </w:r>
          </w:p>
        </w:tc>
        <w:tc>
          <w:tcPr>
            <w:tcW w:w="602" w:type="pct"/>
            <w:gridSpan w:val="3"/>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w:t>
            </w:r>
            <w:r w:rsidR="00572892">
              <w:rPr>
                <w:rFonts w:ascii="Arial" w:eastAsia="Times New Roman" w:hAnsi="Arial" w:cs="Arial"/>
                <w:sz w:val="18"/>
                <w:szCs w:val="18"/>
                <w:lang w:eastAsia="es-MX"/>
              </w:rPr>
              <w:t>,</w:t>
            </w:r>
            <w:r>
              <w:rPr>
                <w:rFonts w:ascii="Arial" w:eastAsia="Times New Roman" w:hAnsi="Arial" w:cs="Arial"/>
                <w:sz w:val="18"/>
                <w:szCs w:val="18"/>
                <w:lang w:eastAsia="es-MX"/>
              </w:rPr>
              <w:t>987</w:t>
            </w:r>
            <w:r w:rsidR="00572892">
              <w:rPr>
                <w:rFonts w:ascii="Arial" w:eastAsia="Times New Roman" w:hAnsi="Arial" w:cs="Arial"/>
                <w:sz w:val="18"/>
                <w:szCs w:val="18"/>
                <w:lang w:eastAsia="es-MX"/>
              </w:rPr>
              <w:t>,</w:t>
            </w:r>
            <w:r>
              <w:rPr>
                <w:rFonts w:ascii="Arial" w:eastAsia="Times New Roman" w:hAnsi="Arial" w:cs="Arial"/>
                <w:sz w:val="18"/>
                <w:szCs w:val="18"/>
                <w:lang w:eastAsia="es-MX"/>
              </w:rPr>
              <w:t>952</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459B1"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3658" w:type="pct"/>
            <w:gridSpan w:val="8"/>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Corresponde al monto recibido por parte de la Secretaría de Finanzas al mes de Diciembre del presente año.</w:t>
            </w: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Convenios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w:t>
            </w:r>
            <w:r w:rsidR="006B46C7" w:rsidRPr="006B46C7">
              <w:rPr>
                <w:rFonts w:ascii="Arial" w:eastAsia="Times New Roman" w:hAnsi="Arial" w:cs="Arial"/>
                <w:sz w:val="18"/>
                <w:szCs w:val="18"/>
                <w:lang w:eastAsia="es-MX"/>
              </w:rPr>
              <w:t>,</w:t>
            </w:r>
            <w:r>
              <w:rPr>
                <w:rFonts w:ascii="Arial" w:eastAsia="Times New Roman" w:hAnsi="Arial" w:cs="Arial"/>
                <w:sz w:val="18"/>
                <w:szCs w:val="18"/>
                <w:lang w:eastAsia="es-MX"/>
              </w:rPr>
              <w:t>601</w:t>
            </w:r>
            <w:r w:rsidR="00572892">
              <w:rPr>
                <w:rFonts w:ascii="Arial" w:eastAsia="Times New Roman" w:hAnsi="Arial" w:cs="Arial"/>
                <w:sz w:val="18"/>
                <w:szCs w:val="18"/>
                <w:lang w:eastAsia="es-MX"/>
              </w:rPr>
              <w:t>,7</w:t>
            </w:r>
            <w:r>
              <w:rPr>
                <w:rFonts w:ascii="Arial" w:eastAsia="Times New Roman" w:hAnsi="Arial" w:cs="Arial"/>
                <w:sz w:val="18"/>
                <w:szCs w:val="18"/>
                <w:lang w:eastAsia="es-MX"/>
              </w:rPr>
              <w:t>8</w:t>
            </w:r>
            <w:r w:rsidR="00572892">
              <w:rPr>
                <w:rFonts w:ascii="Arial" w:eastAsia="Times New Roman" w:hAnsi="Arial" w:cs="Arial"/>
                <w:sz w:val="18"/>
                <w:szCs w:val="18"/>
                <w:lang w:eastAsia="es-MX"/>
              </w:rPr>
              <w:t>5</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2864DA" w:rsidP="002864D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Calidad para el Deporte</w:t>
            </w:r>
          </w:p>
        </w:tc>
        <w:tc>
          <w:tcPr>
            <w:tcW w:w="602" w:type="pct"/>
            <w:gridSpan w:val="3"/>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w:t>
            </w:r>
            <w:r w:rsidR="00572892">
              <w:rPr>
                <w:rFonts w:ascii="Arial" w:eastAsia="Times New Roman" w:hAnsi="Arial" w:cs="Arial"/>
                <w:sz w:val="18"/>
                <w:szCs w:val="18"/>
                <w:lang w:eastAsia="es-MX"/>
              </w:rPr>
              <w:t>,0</w:t>
            </w:r>
            <w:r>
              <w:rPr>
                <w:rFonts w:ascii="Arial" w:eastAsia="Times New Roman" w:hAnsi="Arial" w:cs="Arial"/>
                <w:sz w:val="18"/>
                <w:szCs w:val="18"/>
                <w:lang w:eastAsia="es-MX"/>
              </w:rPr>
              <w:t>86</w:t>
            </w:r>
            <w:r w:rsidR="00572892">
              <w:rPr>
                <w:rFonts w:ascii="Arial" w:eastAsia="Times New Roman" w:hAnsi="Arial" w:cs="Arial"/>
                <w:sz w:val="18"/>
                <w:szCs w:val="18"/>
                <w:lang w:eastAsia="es-MX"/>
              </w:rPr>
              <w:t>,</w:t>
            </w:r>
            <w:r>
              <w:rPr>
                <w:rFonts w:ascii="Arial" w:eastAsia="Times New Roman" w:hAnsi="Arial" w:cs="Arial"/>
                <w:sz w:val="18"/>
                <w:szCs w:val="18"/>
                <w:lang w:eastAsia="es-MX"/>
              </w:rPr>
              <w:t>160</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Centros Estatales de Información y Documentación</w:t>
            </w:r>
          </w:p>
        </w:tc>
        <w:tc>
          <w:tcPr>
            <w:tcW w:w="602" w:type="pct"/>
            <w:gridSpan w:val="3"/>
            <w:shd w:val="clear" w:color="auto" w:fill="auto"/>
            <w:noWrap/>
            <w:vAlign w:val="bottom"/>
            <w:hideMark/>
          </w:tcPr>
          <w:p w:rsidR="006B46C7" w:rsidRPr="006B46C7" w:rsidRDefault="006B46C7" w:rsidP="006B46C7">
            <w:pPr>
              <w:spacing w:after="0" w:line="240" w:lineRule="auto"/>
              <w:jc w:val="right"/>
              <w:rPr>
                <w:rFonts w:ascii="Arial" w:eastAsia="Times New Roman" w:hAnsi="Arial" w:cs="Arial"/>
                <w:sz w:val="18"/>
                <w:szCs w:val="18"/>
                <w:lang w:eastAsia="es-MX"/>
              </w:rPr>
            </w:pPr>
            <w:r w:rsidRPr="006B46C7">
              <w:rPr>
                <w:rFonts w:ascii="Arial" w:eastAsia="Times New Roman" w:hAnsi="Arial" w:cs="Arial"/>
                <w:sz w:val="18"/>
                <w:szCs w:val="18"/>
                <w:lang w:eastAsia="es-MX"/>
              </w:rPr>
              <w:t>515,625</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Derechos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511</w:t>
            </w:r>
            <w:r w:rsidR="00572892">
              <w:rPr>
                <w:rFonts w:ascii="Arial" w:eastAsia="Times New Roman" w:hAnsi="Arial" w:cs="Arial"/>
                <w:sz w:val="18"/>
                <w:szCs w:val="18"/>
                <w:lang w:eastAsia="es-MX"/>
              </w:rPr>
              <w:t>,</w:t>
            </w:r>
            <w:r>
              <w:rPr>
                <w:rFonts w:ascii="Arial" w:eastAsia="Times New Roman" w:hAnsi="Arial" w:cs="Arial"/>
                <w:sz w:val="18"/>
                <w:szCs w:val="18"/>
                <w:lang w:eastAsia="es-MX"/>
              </w:rPr>
              <w:t>080</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459B1"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3658" w:type="pct"/>
            <w:gridSpan w:val="8"/>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Corresponde a los ingresos por el uso de instalaciones del Centro Regional de Alto Rendimiento.</w:t>
            </w: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Gastos y Otras Pérdidas: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Servicios Personales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w:t>
            </w:r>
            <w:r w:rsidR="00572892">
              <w:rPr>
                <w:rFonts w:ascii="Arial" w:eastAsia="Times New Roman" w:hAnsi="Arial" w:cs="Arial"/>
                <w:sz w:val="18"/>
                <w:szCs w:val="18"/>
                <w:lang w:eastAsia="es-MX"/>
              </w:rPr>
              <w:t>,</w:t>
            </w:r>
            <w:r>
              <w:rPr>
                <w:rFonts w:ascii="Arial" w:eastAsia="Times New Roman" w:hAnsi="Arial" w:cs="Arial"/>
                <w:sz w:val="18"/>
                <w:szCs w:val="18"/>
                <w:lang w:eastAsia="es-MX"/>
              </w:rPr>
              <w:t>82</w:t>
            </w:r>
            <w:r w:rsidR="009714C0">
              <w:rPr>
                <w:rFonts w:ascii="Arial" w:eastAsia="Times New Roman" w:hAnsi="Arial" w:cs="Arial"/>
                <w:sz w:val="18"/>
                <w:szCs w:val="18"/>
                <w:lang w:eastAsia="es-MX"/>
              </w:rPr>
              <w:t>2</w:t>
            </w:r>
            <w:r w:rsidR="00572892">
              <w:rPr>
                <w:rFonts w:ascii="Arial" w:eastAsia="Times New Roman" w:hAnsi="Arial" w:cs="Arial"/>
                <w:sz w:val="18"/>
                <w:szCs w:val="18"/>
                <w:lang w:eastAsia="es-MX"/>
              </w:rPr>
              <w:t>,</w:t>
            </w:r>
            <w:r>
              <w:rPr>
                <w:rFonts w:ascii="Arial" w:eastAsia="Times New Roman" w:hAnsi="Arial" w:cs="Arial"/>
                <w:sz w:val="18"/>
                <w:szCs w:val="18"/>
                <w:lang w:eastAsia="es-MX"/>
              </w:rPr>
              <w:t>695</w:t>
            </w:r>
            <w:r w:rsidR="006B46C7" w:rsidRPr="006B46C7">
              <w:rPr>
                <w:rFonts w:ascii="Arial" w:eastAsia="Times New Roman" w:hAnsi="Arial" w:cs="Arial"/>
                <w:sz w:val="18"/>
                <w:szCs w:val="18"/>
                <w:lang w:eastAsia="es-MX"/>
              </w:rPr>
              <w:t xml:space="preserve"> </w:t>
            </w: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Materiales y Suministros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572892">
              <w:rPr>
                <w:rFonts w:ascii="Arial" w:eastAsia="Times New Roman" w:hAnsi="Arial" w:cs="Arial"/>
                <w:sz w:val="18"/>
                <w:szCs w:val="18"/>
                <w:lang w:eastAsia="es-MX"/>
              </w:rPr>
              <w:t>,</w:t>
            </w:r>
            <w:r>
              <w:rPr>
                <w:rFonts w:ascii="Arial" w:eastAsia="Times New Roman" w:hAnsi="Arial" w:cs="Arial"/>
                <w:sz w:val="18"/>
                <w:szCs w:val="18"/>
                <w:lang w:eastAsia="es-MX"/>
              </w:rPr>
              <w:t>103</w:t>
            </w:r>
            <w:r w:rsidR="00572892">
              <w:rPr>
                <w:rFonts w:ascii="Arial" w:eastAsia="Times New Roman" w:hAnsi="Arial" w:cs="Arial"/>
                <w:sz w:val="18"/>
                <w:szCs w:val="18"/>
                <w:lang w:eastAsia="es-MX"/>
              </w:rPr>
              <w:t>,</w:t>
            </w:r>
            <w:r>
              <w:rPr>
                <w:rFonts w:ascii="Arial" w:eastAsia="Times New Roman" w:hAnsi="Arial" w:cs="Arial"/>
                <w:sz w:val="18"/>
                <w:szCs w:val="18"/>
                <w:lang w:eastAsia="es-MX"/>
              </w:rPr>
              <w:t>226</w:t>
            </w: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2449" w:type="pct"/>
            <w:gridSpan w:val="4"/>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Servicios Generales</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w:t>
            </w:r>
            <w:r w:rsidR="00572892">
              <w:rPr>
                <w:rFonts w:ascii="Arial" w:eastAsia="Times New Roman" w:hAnsi="Arial" w:cs="Arial"/>
                <w:sz w:val="18"/>
                <w:szCs w:val="18"/>
                <w:lang w:eastAsia="es-MX"/>
              </w:rPr>
              <w:t>,</w:t>
            </w:r>
            <w:r>
              <w:rPr>
                <w:rFonts w:ascii="Arial" w:eastAsia="Times New Roman" w:hAnsi="Arial" w:cs="Arial"/>
                <w:sz w:val="18"/>
                <w:szCs w:val="18"/>
                <w:lang w:eastAsia="es-MX"/>
              </w:rPr>
              <w:t>021</w:t>
            </w:r>
            <w:r w:rsidR="00572892">
              <w:rPr>
                <w:rFonts w:ascii="Arial" w:eastAsia="Times New Roman" w:hAnsi="Arial" w:cs="Arial"/>
                <w:sz w:val="18"/>
                <w:szCs w:val="18"/>
                <w:lang w:eastAsia="es-MX"/>
              </w:rPr>
              <w:t>,</w:t>
            </w:r>
            <w:r>
              <w:rPr>
                <w:rFonts w:ascii="Arial" w:eastAsia="Times New Roman" w:hAnsi="Arial" w:cs="Arial"/>
                <w:sz w:val="18"/>
                <w:szCs w:val="18"/>
                <w:lang w:eastAsia="es-MX"/>
              </w:rPr>
              <w:t>323</w:t>
            </w:r>
            <w:r w:rsidR="006B46C7" w:rsidRPr="006B46C7">
              <w:rPr>
                <w:rFonts w:ascii="Arial" w:eastAsia="Times New Roman" w:hAnsi="Arial" w:cs="Arial"/>
                <w:sz w:val="18"/>
                <w:szCs w:val="18"/>
                <w:lang w:eastAsia="es-MX"/>
              </w:rPr>
              <w:t xml:space="preserve"> </w:t>
            </w: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Transferencias</w:t>
            </w: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p>
        </w:tc>
        <w:tc>
          <w:tcPr>
            <w:tcW w:w="475" w:type="pct"/>
            <w:shd w:val="clear" w:color="auto" w:fill="auto"/>
            <w:noWrap/>
            <w:vAlign w:val="bottom"/>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w:t>
            </w:r>
            <w:r w:rsidR="00572892">
              <w:rPr>
                <w:rFonts w:ascii="Arial" w:eastAsia="Times New Roman" w:hAnsi="Arial" w:cs="Arial"/>
                <w:sz w:val="18"/>
                <w:szCs w:val="18"/>
                <w:lang w:eastAsia="es-MX"/>
              </w:rPr>
              <w:t>,</w:t>
            </w:r>
            <w:r>
              <w:rPr>
                <w:rFonts w:ascii="Arial" w:eastAsia="Times New Roman" w:hAnsi="Arial" w:cs="Arial"/>
                <w:sz w:val="18"/>
                <w:szCs w:val="18"/>
                <w:lang w:eastAsia="es-MX"/>
              </w:rPr>
              <w:t>904</w:t>
            </w:r>
            <w:r w:rsidR="00572892">
              <w:rPr>
                <w:rFonts w:ascii="Arial" w:eastAsia="Times New Roman" w:hAnsi="Arial" w:cs="Arial"/>
                <w:sz w:val="18"/>
                <w:szCs w:val="18"/>
                <w:lang w:eastAsia="es-MX"/>
              </w:rPr>
              <w:t>,</w:t>
            </w:r>
            <w:r>
              <w:rPr>
                <w:rFonts w:ascii="Arial" w:eastAsia="Times New Roman" w:hAnsi="Arial" w:cs="Arial"/>
                <w:sz w:val="18"/>
                <w:szCs w:val="18"/>
                <w:lang w:eastAsia="es-MX"/>
              </w:rPr>
              <w:t>350</w:t>
            </w:r>
            <w:r w:rsidR="006B46C7" w:rsidRPr="006B46C7">
              <w:rPr>
                <w:rFonts w:ascii="Arial" w:eastAsia="Times New Roman" w:hAnsi="Arial" w:cs="Arial"/>
                <w:sz w:val="18"/>
                <w:szCs w:val="18"/>
                <w:lang w:eastAsia="es-MX"/>
              </w:rPr>
              <w:t xml:space="preserve"> </w:t>
            </w: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Ayudas Sociales a Personas</w:t>
            </w:r>
          </w:p>
        </w:tc>
        <w:tc>
          <w:tcPr>
            <w:tcW w:w="602" w:type="pct"/>
            <w:gridSpan w:val="3"/>
            <w:shd w:val="clear" w:color="auto" w:fill="auto"/>
            <w:noWrap/>
            <w:vAlign w:val="center"/>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776</w:t>
            </w:r>
            <w:r w:rsidR="00A70869">
              <w:rPr>
                <w:rFonts w:ascii="Arial" w:eastAsia="Times New Roman" w:hAnsi="Arial" w:cs="Arial"/>
                <w:sz w:val="18"/>
                <w:szCs w:val="18"/>
                <w:lang w:eastAsia="es-MX"/>
              </w:rPr>
              <w:t>,</w:t>
            </w:r>
            <w:r>
              <w:rPr>
                <w:rFonts w:ascii="Arial" w:eastAsia="Times New Roman" w:hAnsi="Arial" w:cs="Arial"/>
                <w:sz w:val="18"/>
                <w:szCs w:val="18"/>
                <w:lang w:eastAsia="es-MX"/>
              </w:rPr>
              <w:t>727</w:t>
            </w:r>
            <w:r w:rsidR="006B46C7" w:rsidRPr="006B46C7">
              <w:rPr>
                <w:rFonts w:ascii="Arial" w:eastAsia="Times New Roman" w:hAnsi="Arial" w:cs="Arial"/>
                <w:sz w:val="18"/>
                <w:szCs w:val="18"/>
                <w:lang w:eastAsia="es-MX"/>
              </w:rPr>
              <w:t xml:space="preserve">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Becas y Otras Ayudas para Capacitación</w:t>
            </w:r>
          </w:p>
        </w:tc>
        <w:tc>
          <w:tcPr>
            <w:tcW w:w="602" w:type="pct"/>
            <w:gridSpan w:val="3"/>
            <w:shd w:val="clear" w:color="auto" w:fill="auto"/>
            <w:noWrap/>
            <w:vAlign w:val="center"/>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1,290</w:t>
            </w:r>
            <w:r w:rsidR="00A70869">
              <w:rPr>
                <w:rFonts w:ascii="Arial" w:eastAsia="Times New Roman" w:hAnsi="Arial" w:cs="Arial"/>
                <w:sz w:val="18"/>
                <w:szCs w:val="18"/>
                <w:lang w:eastAsia="es-MX"/>
              </w:rPr>
              <w:t>,</w:t>
            </w:r>
            <w:r>
              <w:rPr>
                <w:rFonts w:ascii="Arial" w:eastAsia="Times New Roman" w:hAnsi="Arial" w:cs="Arial"/>
                <w:sz w:val="18"/>
                <w:szCs w:val="18"/>
                <w:lang w:eastAsia="es-MX"/>
              </w:rPr>
              <w:t>6</w:t>
            </w:r>
            <w:r w:rsidR="00A70869">
              <w:rPr>
                <w:rFonts w:ascii="Arial" w:eastAsia="Times New Roman" w:hAnsi="Arial" w:cs="Arial"/>
                <w:sz w:val="18"/>
                <w:szCs w:val="18"/>
                <w:lang w:eastAsia="es-MX"/>
              </w:rPr>
              <w:t>0</w:t>
            </w:r>
            <w:r w:rsidR="009714C0">
              <w:rPr>
                <w:rFonts w:ascii="Arial" w:eastAsia="Times New Roman" w:hAnsi="Arial" w:cs="Arial"/>
                <w:sz w:val="18"/>
                <w:szCs w:val="18"/>
                <w:lang w:eastAsia="es-MX"/>
              </w:rPr>
              <w:t>0</w:t>
            </w:r>
            <w:r w:rsidR="006B46C7" w:rsidRPr="006B46C7">
              <w:rPr>
                <w:rFonts w:ascii="Arial" w:eastAsia="Times New Roman" w:hAnsi="Arial" w:cs="Arial"/>
                <w:sz w:val="18"/>
                <w:szCs w:val="18"/>
                <w:lang w:eastAsia="es-MX"/>
              </w:rPr>
              <w:t xml:space="preserve">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sz w:val="18"/>
                <w:szCs w:val="18"/>
                <w:lang w:eastAsia="es-MX"/>
              </w:rPr>
            </w:pPr>
            <w:r w:rsidRPr="006B46C7">
              <w:rPr>
                <w:rFonts w:ascii="Arial" w:eastAsia="Times New Roman" w:hAnsi="Arial" w:cs="Arial"/>
                <w:sz w:val="18"/>
                <w:szCs w:val="18"/>
                <w:lang w:eastAsia="es-MX"/>
              </w:rPr>
              <w:t>Ayudas Sociales a Instituciones sin Fines de Lucro</w:t>
            </w:r>
          </w:p>
        </w:tc>
        <w:tc>
          <w:tcPr>
            <w:tcW w:w="602" w:type="pct"/>
            <w:gridSpan w:val="3"/>
            <w:shd w:val="clear" w:color="auto" w:fill="auto"/>
            <w:noWrap/>
            <w:vAlign w:val="center"/>
            <w:hideMark/>
          </w:tcPr>
          <w:p w:rsidR="006B46C7" w:rsidRPr="006B46C7" w:rsidRDefault="00BF6EDC" w:rsidP="00BF6E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A70869">
              <w:rPr>
                <w:rFonts w:ascii="Arial" w:eastAsia="Times New Roman" w:hAnsi="Arial" w:cs="Arial"/>
                <w:sz w:val="18"/>
                <w:szCs w:val="18"/>
                <w:lang w:eastAsia="es-MX"/>
              </w:rPr>
              <w:t>,</w:t>
            </w:r>
            <w:r>
              <w:rPr>
                <w:rFonts w:ascii="Arial" w:eastAsia="Times New Roman" w:hAnsi="Arial" w:cs="Arial"/>
                <w:sz w:val="18"/>
                <w:szCs w:val="18"/>
                <w:lang w:eastAsia="es-MX"/>
              </w:rPr>
              <w:t>837</w:t>
            </w:r>
            <w:r w:rsidR="009714C0">
              <w:rPr>
                <w:rFonts w:ascii="Arial" w:eastAsia="Times New Roman" w:hAnsi="Arial" w:cs="Arial"/>
                <w:sz w:val="18"/>
                <w:szCs w:val="18"/>
                <w:lang w:eastAsia="es-MX"/>
              </w:rPr>
              <w:t>,</w:t>
            </w:r>
            <w:r>
              <w:rPr>
                <w:rFonts w:ascii="Arial" w:eastAsia="Times New Roman" w:hAnsi="Arial" w:cs="Arial"/>
                <w:sz w:val="18"/>
                <w:szCs w:val="18"/>
                <w:lang w:eastAsia="es-MX"/>
              </w:rPr>
              <w:t>023</w:t>
            </w:r>
            <w:r w:rsidR="006B46C7" w:rsidRPr="006B46C7">
              <w:rPr>
                <w:rFonts w:ascii="Arial" w:eastAsia="Times New Roman" w:hAnsi="Arial" w:cs="Arial"/>
                <w:sz w:val="18"/>
                <w:szCs w:val="18"/>
                <w:lang w:eastAsia="es-MX"/>
              </w:rPr>
              <w:t xml:space="preserve"> </w:t>
            </w: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6B46C7" w:rsidRPr="006B46C7" w:rsidTr="003011F7">
        <w:trPr>
          <w:trHeight w:val="630"/>
        </w:trPr>
        <w:tc>
          <w:tcPr>
            <w:tcW w:w="5000" w:type="pct"/>
            <w:gridSpan w:val="11"/>
            <w:shd w:val="clear" w:color="auto" w:fill="auto"/>
            <w:hideMark/>
          </w:tcPr>
          <w:p w:rsidR="006B46C7" w:rsidRPr="006B46C7" w:rsidRDefault="006B46C7"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otorgan apoyo económico a deportistas destacados y asociaciones deportivas, asi como becas a deportistas cuyos resultados en Olimpiada Nacional son satisfactorios y puedan continuar con su desarrollo deportivo.</w:t>
            </w: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III)</w:t>
            </w:r>
          </w:p>
        </w:tc>
        <w:tc>
          <w:tcPr>
            <w:tcW w:w="2041"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Notas al Estado de Variación en la Hacienda Pública</w:t>
            </w: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6B46C7" w:rsidRPr="006B46C7" w:rsidRDefault="006B46C7" w:rsidP="006B46C7">
            <w:pPr>
              <w:spacing w:after="0" w:line="240" w:lineRule="auto"/>
              <w:rPr>
                <w:rFonts w:ascii="Arial" w:eastAsia="Times New Roman" w:hAnsi="Arial" w:cs="Arial"/>
                <w:b/>
                <w:bCs/>
                <w:color w:val="000000"/>
                <w:sz w:val="18"/>
                <w:szCs w:val="18"/>
                <w:lang w:eastAsia="es-MX"/>
              </w:rPr>
            </w:pPr>
          </w:p>
        </w:tc>
        <w:tc>
          <w:tcPr>
            <w:tcW w:w="82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2864DA" w:rsidRPr="006B46C7" w:rsidTr="003011F7">
        <w:trPr>
          <w:trHeight w:val="300"/>
        </w:trPr>
        <w:tc>
          <w:tcPr>
            <w:tcW w:w="4066" w:type="pct"/>
            <w:gridSpan w:val="9"/>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Las variaciones en la Hacienda Pública se deben al resultado del ejercicio, </w:t>
            </w:r>
            <w:r w:rsidR="002864DA" w:rsidRPr="006B46C7">
              <w:rPr>
                <w:rFonts w:ascii="Arial" w:eastAsia="Times New Roman" w:hAnsi="Arial" w:cs="Arial"/>
                <w:color w:val="000000"/>
                <w:sz w:val="18"/>
                <w:szCs w:val="18"/>
                <w:lang w:eastAsia="es-MX"/>
              </w:rPr>
              <w:t>así</w:t>
            </w:r>
            <w:r w:rsidRPr="006B46C7">
              <w:rPr>
                <w:rFonts w:ascii="Arial" w:eastAsia="Times New Roman" w:hAnsi="Arial" w:cs="Arial"/>
                <w:color w:val="000000"/>
                <w:sz w:val="18"/>
                <w:szCs w:val="18"/>
                <w:lang w:eastAsia="es-MX"/>
              </w:rPr>
              <w:t xml:space="preserve"> como de ejercicios anteriores</w:t>
            </w:r>
          </w:p>
        </w:tc>
        <w:tc>
          <w:tcPr>
            <w:tcW w:w="528"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6B46C7" w:rsidRPr="006B46C7" w:rsidRDefault="006B46C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594" w:type="pct"/>
            <w:gridSpan w:val="10"/>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lastRenderedPageBreak/>
              <w:t>Las variaciones en la Hacienda Pública se deben al resultado del ejercicio, así como de ejercicios anteriores</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Default="005B78DC" w:rsidP="006B46C7">
            <w:pPr>
              <w:spacing w:after="0" w:line="240" w:lineRule="auto"/>
              <w:rPr>
                <w:rFonts w:ascii="Arial" w:eastAsia="Times New Roman" w:hAnsi="Arial" w:cs="Arial"/>
                <w:b/>
                <w:bCs/>
                <w:color w:val="000000"/>
                <w:sz w:val="18"/>
                <w:szCs w:val="18"/>
                <w:lang w:eastAsia="es-MX"/>
              </w:rPr>
            </w:pPr>
          </w:p>
          <w:p w:rsidR="005B78DC" w:rsidRDefault="005B78DC" w:rsidP="006B46C7">
            <w:pPr>
              <w:spacing w:after="0" w:line="240" w:lineRule="auto"/>
              <w:rPr>
                <w:rFonts w:ascii="Arial" w:eastAsia="Times New Roman" w:hAnsi="Arial" w:cs="Arial"/>
                <w:b/>
                <w:bCs/>
                <w:color w:val="000000"/>
                <w:sz w:val="18"/>
                <w:szCs w:val="18"/>
                <w:lang w:eastAsia="es-MX"/>
              </w:rPr>
            </w:pPr>
          </w:p>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IV)</w:t>
            </w:r>
          </w:p>
        </w:tc>
        <w:tc>
          <w:tcPr>
            <w:tcW w:w="2041"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 xml:space="preserve">Notas al Estado de Flujos de Efectivo </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Efectivo y equivalentes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60"/>
        </w:trPr>
        <w:tc>
          <w:tcPr>
            <w:tcW w:w="408" w:type="pct"/>
            <w:shd w:val="clear" w:color="auto" w:fill="auto"/>
            <w:noWrap/>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186" w:type="pct"/>
            <w:gridSpan w:val="9"/>
            <w:shd w:val="clear" w:color="auto" w:fill="auto"/>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análisis de los saldos inicial y final que figuran en la última parte del Estado de Flujo de Efectivo en la cuenta de efectivo y equivalentes es como sigue:</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2864DA">
            <w:pPr>
              <w:spacing w:after="0" w:line="240" w:lineRule="auto"/>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Pr>
                <w:rFonts w:ascii="Arial" w:eastAsia="Times New Roman" w:hAnsi="Arial" w:cs="Arial"/>
                <w:color w:val="000000"/>
                <w:sz w:val="18"/>
                <w:szCs w:val="18"/>
                <w:lang w:eastAsia="es-MX"/>
              </w:rPr>
              <w:t>5</w:t>
            </w:r>
          </w:p>
        </w:tc>
        <w:tc>
          <w:tcPr>
            <w:tcW w:w="475" w:type="pct"/>
            <w:shd w:val="clear" w:color="auto" w:fill="auto"/>
            <w:noWrap/>
            <w:vAlign w:val="bottom"/>
            <w:hideMark/>
          </w:tcPr>
          <w:p w:rsidR="005B78DC" w:rsidRPr="006B46C7" w:rsidRDefault="005B78DC" w:rsidP="002864DA">
            <w:pPr>
              <w:spacing w:after="0" w:line="240" w:lineRule="auto"/>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Pr>
                <w:rFonts w:ascii="Arial" w:eastAsia="Times New Roman" w:hAnsi="Arial" w:cs="Arial"/>
                <w:color w:val="000000"/>
                <w:sz w:val="18"/>
                <w:szCs w:val="18"/>
                <w:lang w:eastAsia="es-MX"/>
              </w:rPr>
              <w:t>4</w:t>
            </w: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Efectivo en Bancos/Tesorería</w:t>
            </w:r>
          </w:p>
        </w:tc>
        <w:tc>
          <w:tcPr>
            <w:tcW w:w="602" w:type="pct"/>
            <w:gridSpan w:val="3"/>
            <w:shd w:val="clear" w:color="auto" w:fill="auto"/>
            <w:noWrap/>
            <w:vAlign w:val="bottom"/>
            <w:hideMark/>
          </w:tcPr>
          <w:p w:rsidR="005B78DC" w:rsidRPr="006B46C7" w:rsidRDefault="00DA15A0" w:rsidP="00BF6E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2</w:t>
            </w:r>
            <w:r w:rsidR="00BF6EDC">
              <w:rPr>
                <w:rFonts w:ascii="Arial" w:eastAsia="Times New Roman" w:hAnsi="Arial" w:cs="Arial"/>
                <w:color w:val="000000"/>
                <w:sz w:val="18"/>
                <w:szCs w:val="18"/>
                <w:lang w:eastAsia="es-MX"/>
              </w:rPr>
              <w:t>63</w:t>
            </w:r>
            <w:r>
              <w:rPr>
                <w:rFonts w:ascii="Arial" w:eastAsia="Times New Roman" w:hAnsi="Arial" w:cs="Arial"/>
                <w:color w:val="000000"/>
                <w:sz w:val="18"/>
                <w:szCs w:val="18"/>
                <w:lang w:eastAsia="es-MX"/>
              </w:rPr>
              <w:t>,</w:t>
            </w:r>
            <w:r w:rsidR="00BF6EDC">
              <w:rPr>
                <w:rFonts w:ascii="Arial" w:eastAsia="Times New Roman" w:hAnsi="Arial" w:cs="Arial"/>
                <w:color w:val="000000"/>
                <w:sz w:val="18"/>
                <w:szCs w:val="18"/>
                <w:lang w:eastAsia="es-MX"/>
              </w:rPr>
              <w:t>987</w:t>
            </w:r>
          </w:p>
        </w:tc>
        <w:tc>
          <w:tcPr>
            <w:tcW w:w="475" w:type="pct"/>
            <w:shd w:val="clear" w:color="auto" w:fill="auto"/>
            <w:noWrap/>
            <w:vAlign w:val="bottom"/>
            <w:hideMark/>
          </w:tcPr>
          <w:p w:rsidR="005B78DC" w:rsidRPr="006B46C7" w:rsidRDefault="005B78DC" w:rsidP="002864DA">
            <w:pPr>
              <w:spacing w:after="0" w:line="240" w:lineRule="auto"/>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11</w:t>
            </w:r>
            <w:r w:rsidRPr="006B46C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349</w:t>
            </w: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3</w:t>
            </w:r>
          </w:p>
        </w:tc>
        <w:tc>
          <w:tcPr>
            <w:tcW w:w="2643" w:type="pct"/>
            <w:gridSpan w:val="6"/>
            <w:shd w:val="clear" w:color="auto" w:fill="auto"/>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Conciliación de los Flujos de Efectivo Netos de las Actividades de Operación y la cuenta de Ahorro/Desahorro antes de Rubros Extraordinarios.</w:t>
            </w: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jc w:val="center"/>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5B78DC">
            <w:pPr>
              <w:spacing w:after="0" w:line="240" w:lineRule="auto"/>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Pr>
                <w:rFonts w:ascii="Arial" w:eastAsia="Times New Roman" w:hAnsi="Arial" w:cs="Arial"/>
                <w:color w:val="000000"/>
                <w:sz w:val="18"/>
                <w:szCs w:val="18"/>
                <w:lang w:eastAsia="es-MX"/>
              </w:rPr>
              <w:t>5</w:t>
            </w:r>
          </w:p>
        </w:tc>
        <w:tc>
          <w:tcPr>
            <w:tcW w:w="475" w:type="pct"/>
            <w:shd w:val="clear" w:color="auto" w:fill="auto"/>
            <w:noWrap/>
            <w:vAlign w:val="bottom"/>
            <w:hideMark/>
          </w:tcPr>
          <w:p w:rsidR="005B78DC" w:rsidRPr="006B46C7" w:rsidRDefault="005B78DC" w:rsidP="002864DA">
            <w:pPr>
              <w:spacing w:after="0" w:line="240" w:lineRule="auto"/>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Pr>
                <w:rFonts w:ascii="Arial" w:eastAsia="Times New Roman" w:hAnsi="Arial" w:cs="Arial"/>
                <w:color w:val="000000"/>
                <w:sz w:val="18"/>
                <w:szCs w:val="18"/>
                <w:lang w:eastAsia="es-MX"/>
              </w:rPr>
              <w:t>4</w:t>
            </w: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Ahorro/Desahorro antes de rubros Extraordinarios</w:t>
            </w:r>
          </w:p>
        </w:tc>
        <w:tc>
          <w:tcPr>
            <w:tcW w:w="602" w:type="pct"/>
            <w:gridSpan w:val="3"/>
            <w:shd w:val="clear" w:color="auto" w:fill="auto"/>
            <w:noWrap/>
            <w:vAlign w:val="bottom"/>
            <w:hideMark/>
          </w:tcPr>
          <w:p w:rsidR="005B78DC" w:rsidRPr="006B46C7" w:rsidRDefault="009714C0" w:rsidP="00FA4FA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FA4FA6">
              <w:rPr>
                <w:rFonts w:ascii="Arial" w:eastAsia="Times New Roman" w:hAnsi="Arial" w:cs="Arial"/>
                <w:color w:val="000000"/>
                <w:sz w:val="18"/>
                <w:szCs w:val="18"/>
                <w:lang w:eastAsia="es-MX"/>
              </w:rPr>
              <w:t>249,223</w:t>
            </w:r>
          </w:p>
        </w:tc>
        <w:tc>
          <w:tcPr>
            <w:tcW w:w="475" w:type="pct"/>
            <w:shd w:val="clear" w:color="auto" w:fill="auto"/>
            <w:noWrap/>
            <w:vAlign w:val="bottom"/>
            <w:hideMark/>
          </w:tcPr>
          <w:p w:rsidR="005B78DC" w:rsidRPr="006B46C7" w:rsidRDefault="005B78DC" w:rsidP="005957A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-372,466</w:t>
            </w: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i/>
                <w:iCs/>
                <w:color w:val="000000"/>
                <w:sz w:val="18"/>
                <w:szCs w:val="18"/>
                <w:lang w:eastAsia="es-MX"/>
              </w:rPr>
            </w:pPr>
            <w:r w:rsidRPr="006B46C7">
              <w:rPr>
                <w:rFonts w:ascii="Arial" w:eastAsia="Times New Roman" w:hAnsi="Arial" w:cs="Arial"/>
                <w:i/>
                <w:iCs/>
                <w:color w:val="000000"/>
                <w:sz w:val="18"/>
                <w:szCs w:val="18"/>
                <w:lang w:eastAsia="es-MX"/>
              </w:rPr>
              <w:t>Movimientos de partidas (o rubros) que no afectan al efectivo.</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Depreciación</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Amortización</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Incrementos en las provisiones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 en inversiones producido por revaluación</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Ganancia/pérdida en venta de propiedad, planta y equipo</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 en cuentas por cobrar</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2041" w:type="pct"/>
            <w:gridSpan w:val="3"/>
            <w:shd w:val="clear" w:color="auto" w:fill="auto"/>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Partidas extraordinarias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85"/>
        </w:trPr>
        <w:tc>
          <w:tcPr>
            <w:tcW w:w="408" w:type="pct"/>
            <w:shd w:val="clear" w:color="auto" w:fill="auto"/>
            <w:noWrap/>
            <w:vAlign w:val="center"/>
            <w:hideMark/>
          </w:tcPr>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Default="005B78DC" w:rsidP="006B46C7">
            <w:pPr>
              <w:spacing w:after="0" w:line="240" w:lineRule="auto"/>
              <w:jc w:val="center"/>
              <w:rPr>
                <w:rFonts w:ascii="Arial" w:eastAsia="Times New Roman" w:hAnsi="Arial" w:cs="Arial"/>
                <w:b/>
                <w:bCs/>
                <w:color w:val="000000"/>
                <w:sz w:val="18"/>
                <w:szCs w:val="18"/>
                <w:lang w:eastAsia="es-MX"/>
              </w:rPr>
            </w:pPr>
          </w:p>
          <w:p w:rsidR="005B78DC" w:rsidRPr="006B46C7" w:rsidRDefault="005B78DC" w:rsidP="006B46C7">
            <w:pPr>
              <w:spacing w:after="0" w:line="240" w:lineRule="auto"/>
              <w:jc w:val="cente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V)</w:t>
            </w:r>
          </w:p>
        </w:tc>
        <w:tc>
          <w:tcPr>
            <w:tcW w:w="4186" w:type="pct"/>
            <w:gridSpan w:val="9"/>
            <w:shd w:val="clear" w:color="auto" w:fill="auto"/>
            <w:hideMark/>
          </w:tcPr>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Default="005B78DC" w:rsidP="006B46C7">
            <w:pPr>
              <w:spacing w:after="0" w:line="240" w:lineRule="auto"/>
              <w:jc w:val="both"/>
              <w:rPr>
                <w:rFonts w:ascii="Arial" w:eastAsia="Times New Roman" w:hAnsi="Arial" w:cs="Arial"/>
                <w:b/>
                <w:bCs/>
                <w:color w:val="000000"/>
                <w:sz w:val="18"/>
                <w:szCs w:val="18"/>
                <w:lang w:eastAsia="es-MX"/>
              </w:rPr>
            </w:pPr>
          </w:p>
          <w:p w:rsidR="005B78DC" w:rsidRPr="006B46C7" w:rsidRDefault="005B78DC" w:rsidP="006B46C7">
            <w:pPr>
              <w:spacing w:after="0" w:line="240" w:lineRule="auto"/>
              <w:jc w:val="both"/>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Conciliación entre los ingresos presupuestarios y contables, así como entre los egresos presupuestarios y los gastos contables</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3011F7" w:rsidRPr="006B46C7" w:rsidTr="003011F7">
        <w:trPr>
          <w:trHeight w:val="585"/>
        </w:trPr>
        <w:tc>
          <w:tcPr>
            <w:tcW w:w="408" w:type="pct"/>
            <w:shd w:val="clear" w:color="auto" w:fill="auto"/>
            <w:noWrap/>
            <w:vAlign w:val="center"/>
          </w:tcPr>
          <w:p w:rsidR="003011F7" w:rsidRDefault="003011F7" w:rsidP="006B46C7">
            <w:pPr>
              <w:spacing w:after="0" w:line="240" w:lineRule="auto"/>
              <w:jc w:val="center"/>
              <w:rPr>
                <w:rFonts w:ascii="Arial" w:eastAsia="Times New Roman" w:hAnsi="Arial" w:cs="Arial"/>
                <w:b/>
                <w:bCs/>
                <w:color w:val="000000"/>
                <w:sz w:val="18"/>
                <w:szCs w:val="18"/>
                <w:lang w:eastAsia="es-MX"/>
              </w:rPr>
            </w:pPr>
          </w:p>
        </w:tc>
        <w:tc>
          <w:tcPr>
            <w:tcW w:w="2093" w:type="pct"/>
            <w:gridSpan w:val="4"/>
            <w:shd w:val="clear" w:color="auto" w:fill="auto"/>
          </w:tcPr>
          <w:tbl>
            <w:tblPr>
              <w:tblW w:w="5000" w:type="dxa"/>
              <w:tblLayout w:type="fixed"/>
              <w:tblCellMar>
                <w:left w:w="70" w:type="dxa"/>
                <w:right w:w="70" w:type="dxa"/>
              </w:tblCellMar>
              <w:tblLook w:val="04A0" w:firstRow="1" w:lastRow="0" w:firstColumn="1" w:lastColumn="0" w:noHBand="0" w:noVBand="1"/>
            </w:tblPr>
            <w:tblGrid>
              <w:gridCol w:w="320"/>
              <w:gridCol w:w="2639"/>
              <w:gridCol w:w="1048"/>
              <w:gridCol w:w="993"/>
            </w:tblGrid>
            <w:tr w:rsidR="003011F7" w:rsidRPr="00F85EE0" w:rsidTr="0053794B">
              <w:trPr>
                <w:trHeight w:val="289"/>
              </w:trPr>
              <w:tc>
                <w:tcPr>
                  <w:tcW w:w="5000" w:type="dxa"/>
                  <w:gridSpan w:val="4"/>
                  <w:tcBorders>
                    <w:top w:val="single" w:sz="8" w:space="0" w:color="auto"/>
                    <w:left w:val="single" w:sz="8" w:space="0" w:color="auto"/>
                    <w:bottom w:val="nil"/>
                    <w:right w:val="single" w:sz="8" w:space="0" w:color="000000"/>
                  </w:tcBorders>
                  <w:shd w:val="clear" w:color="000000" w:fill="BFBFBF"/>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INSTITUTO DEL DEPORTE DE TLAXCALA</w:t>
                  </w:r>
                </w:p>
              </w:tc>
            </w:tr>
            <w:tr w:rsidR="003011F7" w:rsidRPr="00F85EE0" w:rsidTr="0053794B">
              <w:trPr>
                <w:trHeight w:val="289"/>
              </w:trPr>
              <w:tc>
                <w:tcPr>
                  <w:tcW w:w="5000" w:type="dxa"/>
                  <w:gridSpan w:val="4"/>
                  <w:tcBorders>
                    <w:top w:val="nil"/>
                    <w:left w:val="single" w:sz="8" w:space="0" w:color="auto"/>
                    <w:bottom w:val="nil"/>
                    <w:right w:val="single" w:sz="8" w:space="0" w:color="000000"/>
                  </w:tcBorders>
                  <w:shd w:val="clear" w:color="000000" w:fill="BFBFBF"/>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Conciliación entre los Ingresos Presupuestarios y Contables</w:t>
                  </w:r>
                </w:p>
              </w:tc>
            </w:tr>
            <w:tr w:rsidR="003011F7" w:rsidRPr="00F85EE0" w:rsidTr="0053794B">
              <w:trPr>
                <w:trHeight w:val="289"/>
              </w:trPr>
              <w:tc>
                <w:tcPr>
                  <w:tcW w:w="5000" w:type="dxa"/>
                  <w:gridSpan w:val="4"/>
                  <w:tcBorders>
                    <w:top w:val="nil"/>
                    <w:left w:val="single" w:sz="8" w:space="0" w:color="auto"/>
                    <w:bottom w:val="nil"/>
                    <w:right w:val="single" w:sz="8" w:space="0" w:color="000000"/>
                  </w:tcBorders>
                  <w:shd w:val="clear" w:color="000000" w:fill="BFBFBF"/>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lastRenderedPageBreak/>
                    <w:t>Correspondiente del 1 de enero al 31 de diciembre de 2015</w:t>
                  </w:r>
                </w:p>
              </w:tc>
            </w:tr>
            <w:tr w:rsidR="003011F7" w:rsidRPr="00F85EE0" w:rsidTr="0053794B">
              <w:trPr>
                <w:trHeight w:val="303"/>
              </w:trPr>
              <w:tc>
                <w:tcPr>
                  <w:tcW w:w="5000" w:type="dxa"/>
                  <w:gridSpan w:val="4"/>
                  <w:tcBorders>
                    <w:top w:val="nil"/>
                    <w:left w:val="single" w:sz="8" w:space="0" w:color="auto"/>
                    <w:bottom w:val="single" w:sz="8" w:space="0" w:color="auto"/>
                    <w:right w:val="single" w:sz="8" w:space="0" w:color="000000"/>
                  </w:tcBorders>
                  <w:shd w:val="clear" w:color="000000" w:fill="BFBFBF"/>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(Cifras en pesos)</w:t>
                  </w:r>
                </w:p>
              </w:tc>
            </w:tr>
            <w:tr w:rsidR="003011F7" w:rsidRPr="00F85EE0" w:rsidTr="0053794B">
              <w:trPr>
                <w:trHeight w:val="303"/>
              </w:trPr>
              <w:tc>
                <w:tcPr>
                  <w:tcW w:w="295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011F7" w:rsidRPr="00F85EE0" w:rsidRDefault="003011F7" w:rsidP="003011F7">
                  <w:pPr>
                    <w:spacing w:after="0" w:line="240" w:lineRule="auto"/>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1. Ingresos Presupuestarios</w:t>
                  </w:r>
                </w:p>
              </w:tc>
              <w:tc>
                <w:tcPr>
                  <w:tcW w:w="1048"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nil"/>
                    <w:left w:val="single" w:sz="8" w:space="0" w:color="auto"/>
                    <w:bottom w:val="single" w:sz="8" w:space="0" w:color="auto"/>
                    <w:right w:val="single" w:sz="8" w:space="0" w:color="auto"/>
                  </w:tcBorders>
                  <w:shd w:val="clear" w:color="000000" w:fill="BFBFBF"/>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25,987,952</w:t>
                  </w:r>
                </w:p>
              </w:tc>
            </w:tr>
            <w:tr w:rsidR="003011F7" w:rsidRPr="00F85EE0" w:rsidTr="0053794B">
              <w:trPr>
                <w:trHeight w:val="303"/>
              </w:trPr>
              <w:tc>
                <w:tcPr>
                  <w:tcW w:w="2959" w:type="dxa"/>
                  <w:gridSpan w:val="2"/>
                  <w:tcBorders>
                    <w:top w:val="single" w:sz="8" w:space="0" w:color="auto"/>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048" w:type="dxa"/>
                  <w:tcBorders>
                    <w:top w:val="nil"/>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593"/>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11F7" w:rsidRPr="00F85EE0" w:rsidRDefault="003011F7" w:rsidP="003011F7">
                  <w:pPr>
                    <w:spacing w:after="0" w:line="240" w:lineRule="auto"/>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2. Más ingresos contables no presupuestarios</w:t>
                  </w:r>
                </w:p>
              </w:tc>
              <w:tc>
                <w:tcPr>
                  <w:tcW w:w="1048" w:type="dxa"/>
                  <w:tcBorders>
                    <w:top w:val="nil"/>
                    <w:left w:val="nil"/>
                    <w:bottom w:val="single" w:sz="8" w:space="0" w:color="auto"/>
                    <w:right w:val="nil"/>
                  </w:tcBorders>
                  <w:shd w:val="clear" w:color="auto" w:fill="auto"/>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3,112,865</w:t>
                  </w:r>
                </w:p>
              </w:tc>
            </w:tr>
            <w:tr w:rsidR="003011F7" w:rsidRPr="00F85EE0" w:rsidTr="0053794B">
              <w:trPr>
                <w:trHeight w:val="448"/>
              </w:trPr>
              <w:tc>
                <w:tcPr>
                  <w:tcW w:w="320" w:type="dxa"/>
                  <w:tcBorders>
                    <w:top w:val="nil"/>
                    <w:left w:val="single" w:sz="8" w:space="0" w:color="auto"/>
                    <w:bottom w:val="single" w:sz="8" w:space="0" w:color="auto"/>
                    <w:right w:val="nil"/>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Incremento por variación de inventarios</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665"/>
              </w:trPr>
              <w:tc>
                <w:tcPr>
                  <w:tcW w:w="320" w:type="dxa"/>
                  <w:tcBorders>
                    <w:top w:val="nil"/>
                    <w:left w:val="single" w:sz="8" w:space="0" w:color="auto"/>
                    <w:bottom w:val="single" w:sz="8" w:space="0" w:color="auto"/>
                    <w:right w:val="nil"/>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Disminución del exceso de estimaciones por pérdida o deterioro u obsolescencia</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48"/>
              </w:trPr>
              <w:tc>
                <w:tcPr>
                  <w:tcW w:w="320" w:type="dxa"/>
                  <w:tcBorders>
                    <w:top w:val="nil"/>
                    <w:left w:val="single" w:sz="8" w:space="0" w:color="auto"/>
                    <w:bottom w:val="single" w:sz="8" w:space="0" w:color="auto"/>
                    <w:right w:val="nil"/>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Disminución del exceso de provisiones</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48"/>
              </w:trPr>
              <w:tc>
                <w:tcPr>
                  <w:tcW w:w="320" w:type="dxa"/>
                  <w:tcBorders>
                    <w:top w:val="nil"/>
                    <w:left w:val="single" w:sz="8" w:space="0" w:color="auto"/>
                    <w:bottom w:val="single" w:sz="8" w:space="0" w:color="auto"/>
                    <w:right w:val="nil"/>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Otros ingresos y beneficios varios</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19"/>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Otros ingresos contables no presupuestarios</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3,112,865</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303"/>
              </w:trPr>
              <w:tc>
                <w:tcPr>
                  <w:tcW w:w="2959" w:type="dxa"/>
                  <w:gridSpan w:val="2"/>
                  <w:tcBorders>
                    <w:top w:val="single" w:sz="8" w:space="0" w:color="auto"/>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048" w:type="dxa"/>
                  <w:tcBorders>
                    <w:top w:val="nil"/>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77"/>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011F7" w:rsidRPr="00F85EE0" w:rsidRDefault="003011F7" w:rsidP="003011F7">
                  <w:pPr>
                    <w:spacing w:after="0" w:line="240" w:lineRule="auto"/>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3. Menos ingresos presupuestarios no contables</w:t>
                  </w:r>
                </w:p>
              </w:tc>
              <w:tc>
                <w:tcPr>
                  <w:tcW w:w="1048" w:type="dxa"/>
                  <w:tcBorders>
                    <w:top w:val="nil"/>
                    <w:left w:val="nil"/>
                    <w:bottom w:val="single" w:sz="8" w:space="0" w:color="auto"/>
                    <w:right w:val="nil"/>
                  </w:tcBorders>
                  <w:shd w:val="clear" w:color="auto" w:fill="auto"/>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r>
            <w:tr w:rsidR="003011F7" w:rsidRPr="00F85EE0" w:rsidTr="0053794B">
              <w:trPr>
                <w:trHeight w:val="303"/>
              </w:trPr>
              <w:tc>
                <w:tcPr>
                  <w:tcW w:w="320" w:type="dxa"/>
                  <w:tcBorders>
                    <w:top w:val="nil"/>
                    <w:left w:val="single" w:sz="8" w:space="0" w:color="auto"/>
                    <w:bottom w:val="single" w:sz="8" w:space="0" w:color="auto"/>
                    <w:right w:val="nil"/>
                  </w:tcBorders>
                  <w:shd w:val="clear" w:color="auto" w:fill="auto"/>
                  <w:noWrap/>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Productos de capital</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303"/>
              </w:trPr>
              <w:tc>
                <w:tcPr>
                  <w:tcW w:w="320" w:type="dxa"/>
                  <w:tcBorders>
                    <w:top w:val="nil"/>
                    <w:left w:val="single" w:sz="8" w:space="0" w:color="auto"/>
                    <w:bottom w:val="single" w:sz="8" w:space="0" w:color="auto"/>
                    <w:right w:val="nil"/>
                  </w:tcBorders>
                  <w:shd w:val="clear" w:color="auto" w:fill="auto"/>
                  <w:noWrap/>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Aprovechamientos capital</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48"/>
              </w:trPr>
              <w:tc>
                <w:tcPr>
                  <w:tcW w:w="320" w:type="dxa"/>
                  <w:tcBorders>
                    <w:top w:val="nil"/>
                    <w:left w:val="single" w:sz="8" w:space="0" w:color="auto"/>
                    <w:bottom w:val="single" w:sz="4" w:space="0" w:color="auto"/>
                    <w:right w:val="nil"/>
                  </w:tcBorders>
                  <w:shd w:val="clear" w:color="auto" w:fill="auto"/>
                  <w:noWrap/>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4" w:space="0" w:color="auto"/>
                    <w:right w:val="single" w:sz="8" w:space="0" w:color="auto"/>
                  </w:tcBorders>
                  <w:shd w:val="clear" w:color="auto" w:fill="auto"/>
                  <w:vAlign w:val="center"/>
                  <w:hideMark/>
                </w:tcPr>
                <w:p w:rsidR="003011F7" w:rsidRPr="00F85EE0" w:rsidRDefault="003011F7" w:rsidP="003011F7">
                  <w:pPr>
                    <w:spacing w:after="0" w:line="240" w:lineRule="auto"/>
                    <w:ind w:firstLineChars="100" w:firstLine="160"/>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Ingresos derivados de financiamientos</w:t>
                  </w:r>
                </w:p>
              </w:tc>
              <w:tc>
                <w:tcPr>
                  <w:tcW w:w="1048" w:type="dxa"/>
                  <w:tcBorders>
                    <w:top w:val="nil"/>
                    <w:left w:val="nil"/>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77"/>
              </w:trPr>
              <w:tc>
                <w:tcPr>
                  <w:tcW w:w="2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Otros Ingresos presupuestarios no contables</w:t>
                  </w:r>
                </w:p>
              </w:tc>
              <w:tc>
                <w:tcPr>
                  <w:tcW w:w="1048" w:type="dxa"/>
                  <w:tcBorders>
                    <w:top w:val="nil"/>
                    <w:left w:val="single" w:sz="4" w:space="0" w:color="auto"/>
                    <w:bottom w:val="single" w:sz="8" w:space="0" w:color="auto"/>
                    <w:right w:val="single" w:sz="8"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c>
                <w:tcPr>
                  <w:tcW w:w="993" w:type="dxa"/>
                  <w:tcBorders>
                    <w:top w:val="nil"/>
                    <w:left w:val="nil"/>
                    <w:bottom w:val="nil"/>
                    <w:right w:val="nil"/>
                  </w:tcBorders>
                  <w:shd w:val="clear" w:color="000000" w:fill="FFFFFF"/>
                  <w:noWrap/>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303"/>
              </w:trPr>
              <w:tc>
                <w:tcPr>
                  <w:tcW w:w="2959" w:type="dxa"/>
                  <w:gridSpan w:val="2"/>
                  <w:tcBorders>
                    <w:top w:val="single" w:sz="4" w:space="0" w:color="auto"/>
                    <w:left w:val="nil"/>
                    <w:bottom w:val="single" w:sz="4"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048"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3011F7" w:rsidRPr="00F85EE0" w:rsidTr="0053794B">
              <w:trPr>
                <w:trHeight w:val="462"/>
              </w:trPr>
              <w:tc>
                <w:tcPr>
                  <w:tcW w:w="29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011F7" w:rsidRPr="00F85EE0" w:rsidRDefault="003011F7" w:rsidP="003011F7">
                  <w:pPr>
                    <w:spacing w:after="0" w:line="240" w:lineRule="auto"/>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4. Ingresos Contables (4 = 1 + 2 - 3)</w:t>
                  </w:r>
                </w:p>
              </w:tc>
              <w:tc>
                <w:tcPr>
                  <w:tcW w:w="1048" w:type="dxa"/>
                  <w:tcBorders>
                    <w:top w:val="nil"/>
                    <w:left w:val="single" w:sz="4" w:space="0" w:color="auto"/>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99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29,100,817</w:t>
                  </w:r>
                </w:p>
              </w:tc>
            </w:tr>
          </w:tbl>
          <w:p w:rsidR="003011F7" w:rsidRDefault="003011F7" w:rsidP="006B46C7">
            <w:pPr>
              <w:spacing w:after="0" w:line="240" w:lineRule="auto"/>
              <w:jc w:val="both"/>
              <w:rPr>
                <w:rFonts w:ascii="Arial" w:eastAsia="Times New Roman" w:hAnsi="Arial" w:cs="Arial"/>
                <w:b/>
                <w:bCs/>
                <w:color w:val="000000"/>
                <w:sz w:val="18"/>
                <w:szCs w:val="18"/>
                <w:lang w:eastAsia="es-MX"/>
              </w:rPr>
            </w:pPr>
          </w:p>
        </w:tc>
        <w:tc>
          <w:tcPr>
            <w:tcW w:w="2093" w:type="pct"/>
            <w:gridSpan w:val="5"/>
            <w:shd w:val="clear" w:color="auto" w:fill="auto"/>
          </w:tcPr>
          <w:tbl>
            <w:tblPr>
              <w:tblpPr w:leftFromText="141" w:rightFromText="141" w:horzAnchor="margin" w:tblpX="-294" w:tblpY="-1457"/>
              <w:tblOverlap w:val="never"/>
              <w:tblW w:w="9112" w:type="dxa"/>
              <w:tblLayout w:type="fixed"/>
              <w:tblCellMar>
                <w:left w:w="70" w:type="dxa"/>
                <w:right w:w="70" w:type="dxa"/>
              </w:tblCellMar>
              <w:tblLook w:val="04A0" w:firstRow="1" w:lastRow="0" w:firstColumn="1" w:lastColumn="0" w:noHBand="0" w:noVBand="1"/>
            </w:tblPr>
            <w:tblGrid>
              <w:gridCol w:w="2086"/>
              <w:gridCol w:w="1306"/>
              <w:gridCol w:w="1418"/>
              <w:gridCol w:w="2151"/>
              <w:gridCol w:w="2151"/>
            </w:tblGrid>
            <w:tr w:rsidR="003011F7" w:rsidRPr="00F85EE0" w:rsidTr="0053794B">
              <w:trPr>
                <w:trHeight w:val="300"/>
              </w:trPr>
              <w:tc>
                <w:tcPr>
                  <w:tcW w:w="9112" w:type="dxa"/>
                  <w:gridSpan w:val="5"/>
                  <w:tcBorders>
                    <w:top w:val="single" w:sz="8" w:space="0" w:color="auto"/>
                    <w:left w:val="single" w:sz="8" w:space="0" w:color="auto"/>
                    <w:bottom w:val="nil"/>
                    <w:right w:val="single" w:sz="8" w:space="0" w:color="000000"/>
                  </w:tcBorders>
                  <w:shd w:val="clear" w:color="000000" w:fill="BFBFBF"/>
                  <w:noWrap/>
                  <w:vAlign w:val="center"/>
                  <w:hideMark/>
                </w:tcPr>
                <w:p w:rsidR="003011F7" w:rsidRPr="00F85EE0" w:rsidRDefault="003011F7" w:rsidP="003011F7">
                  <w:pPr>
                    <w:spacing w:after="0" w:line="240" w:lineRule="auto"/>
                    <w:jc w:val="both"/>
                    <w:rPr>
                      <w:rFonts w:ascii="Arial" w:eastAsia="Times New Roman" w:hAnsi="Arial" w:cs="Arial"/>
                      <w:b/>
                      <w:bCs/>
                      <w:color w:val="000000"/>
                      <w:sz w:val="14"/>
                      <w:szCs w:val="14"/>
                      <w:lang w:eastAsia="es-MX"/>
                    </w:rPr>
                  </w:pPr>
                  <w:r w:rsidRPr="005956FE">
                    <w:rPr>
                      <w:rFonts w:ascii="Arial" w:eastAsia="Times New Roman" w:hAnsi="Arial" w:cs="Arial"/>
                      <w:b/>
                      <w:bCs/>
                      <w:color w:val="000000"/>
                      <w:sz w:val="14"/>
                      <w:szCs w:val="14"/>
                      <w:lang w:eastAsia="es-MX"/>
                    </w:rPr>
                    <w:lastRenderedPageBreak/>
                    <w:t xml:space="preserve">                     </w:t>
                  </w: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INSTITUTO DEL DEPORTE DE TLAXCALA</w:t>
                  </w:r>
                </w:p>
              </w:tc>
            </w:tr>
            <w:tr w:rsidR="003011F7" w:rsidRPr="00F85EE0" w:rsidTr="0053794B">
              <w:trPr>
                <w:trHeight w:val="300"/>
              </w:trPr>
              <w:tc>
                <w:tcPr>
                  <w:tcW w:w="9112" w:type="dxa"/>
                  <w:gridSpan w:val="5"/>
                  <w:tcBorders>
                    <w:top w:val="nil"/>
                    <w:left w:val="single" w:sz="8" w:space="0" w:color="auto"/>
                    <w:bottom w:val="nil"/>
                    <w:right w:val="single" w:sz="8" w:space="0" w:color="000000"/>
                  </w:tcBorders>
                  <w:shd w:val="clear" w:color="000000" w:fill="BFBFBF"/>
                  <w:vAlign w:val="center"/>
                  <w:hideMark/>
                </w:tcPr>
                <w:p w:rsidR="003011F7" w:rsidRPr="00F85EE0" w:rsidRDefault="003011F7" w:rsidP="003011F7">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Conciliación entre los Egresos Presupuestarios y los Gastos Contables</w:t>
                  </w:r>
                </w:p>
              </w:tc>
            </w:tr>
            <w:tr w:rsidR="003011F7" w:rsidRPr="00F85EE0" w:rsidTr="0053794B">
              <w:trPr>
                <w:trHeight w:val="300"/>
              </w:trPr>
              <w:tc>
                <w:tcPr>
                  <w:tcW w:w="9112" w:type="dxa"/>
                  <w:gridSpan w:val="5"/>
                  <w:tcBorders>
                    <w:top w:val="nil"/>
                    <w:left w:val="single" w:sz="8" w:space="0" w:color="auto"/>
                    <w:bottom w:val="nil"/>
                    <w:right w:val="single" w:sz="8" w:space="0" w:color="000000"/>
                  </w:tcBorders>
                  <w:shd w:val="clear" w:color="000000" w:fill="BFBFBF"/>
                  <w:noWrap/>
                  <w:vAlign w:val="center"/>
                  <w:hideMark/>
                </w:tcPr>
                <w:p w:rsidR="003011F7" w:rsidRPr="00F85EE0" w:rsidRDefault="003011F7" w:rsidP="003011F7">
                  <w:pPr>
                    <w:spacing w:after="0" w:line="240" w:lineRule="auto"/>
                    <w:rPr>
                      <w:rFonts w:ascii="Arial" w:eastAsia="Times New Roman" w:hAnsi="Arial" w:cs="Arial"/>
                      <w:b/>
                      <w:bCs/>
                      <w:color w:val="000000"/>
                      <w:sz w:val="14"/>
                      <w:szCs w:val="14"/>
                      <w:lang w:eastAsia="es-MX"/>
                    </w:rPr>
                  </w:pPr>
                  <w:r w:rsidRPr="005956FE">
                    <w:rPr>
                      <w:rFonts w:ascii="Arial" w:eastAsia="Times New Roman" w:hAnsi="Arial" w:cs="Arial"/>
                      <w:b/>
                      <w:bCs/>
                      <w:color w:val="000000"/>
                      <w:sz w:val="14"/>
                      <w:szCs w:val="14"/>
                      <w:lang w:eastAsia="es-MX"/>
                    </w:rPr>
                    <w:lastRenderedPageBreak/>
                    <w:t xml:space="preserve">      </w:t>
                  </w: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Correspondiente del 1 de enero al 31 de diciembre de 2015</w:t>
                  </w:r>
                </w:p>
              </w:tc>
            </w:tr>
            <w:tr w:rsidR="003011F7" w:rsidRPr="00F85EE0" w:rsidTr="0053794B">
              <w:trPr>
                <w:trHeight w:val="315"/>
              </w:trPr>
              <w:tc>
                <w:tcPr>
                  <w:tcW w:w="9112"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3011F7" w:rsidRPr="00F85EE0" w:rsidRDefault="003011F7" w:rsidP="003011F7">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(Cifras en pesos)</w:t>
                  </w:r>
                </w:p>
              </w:tc>
            </w:tr>
            <w:tr w:rsidR="003011F7" w:rsidRPr="00F85EE0" w:rsidTr="0053794B">
              <w:trPr>
                <w:trHeight w:val="315"/>
              </w:trPr>
              <w:tc>
                <w:tcPr>
                  <w:tcW w:w="3392"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011F7" w:rsidRPr="00F85EE0" w:rsidRDefault="003011F7" w:rsidP="003011F7">
                  <w:pPr>
                    <w:spacing w:after="0" w:line="240" w:lineRule="auto"/>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1. Total de egresos (presupuestarios)</w:t>
                  </w:r>
                </w:p>
              </w:tc>
              <w:tc>
                <w:tcPr>
                  <w:tcW w:w="1418" w:type="dxa"/>
                  <w:tcBorders>
                    <w:top w:val="nil"/>
                    <w:left w:val="single" w:sz="4" w:space="0" w:color="auto"/>
                    <w:right w:val="single" w:sz="4" w:space="0" w:color="auto"/>
                  </w:tcBorders>
                  <w:shd w:val="clear" w:color="auto" w:fill="auto"/>
                  <w:noWrap/>
                  <w:vAlign w:val="center"/>
                </w:tcPr>
                <w:p w:rsidR="003011F7" w:rsidRPr="005956FE" w:rsidRDefault="003011F7" w:rsidP="003011F7">
                  <w:pPr>
                    <w:spacing w:after="0" w:line="240" w:lineRule="auto"/>
                    <w:jc w:val="center"/>
                    <w:rPr>
                      <w:rFonts w:ascii="Arial" w:eastAsia="Times New Roman" w:hAnsi="Arial" w:cs="Arial"/>
                      <w:b/>
                      <w:bCs/>
                      <w:color w:val="000000"/>
                      <w:sz w:val="14"/>
                      <w:szCs w:val="14"/>
                      <w:lang w:eastAsia="es-MX"/>
                    </w:rPr>
                  </w:pPr>
                </w:p>
              </w:tc>
              <w:tc>
                <w:tcPr>
                  <w:tcW w:w="4302" w:type="dxa"/>
                  <w:gridSpan w:val="2"/>
                  <w:tcBorders>
                    <w:top w:val="nil"/>
                    <w:left w:val="single" w:sz="4" w:space="0" w:color="auto"/>
                    <w:bottom w:val="single" w:sz="8" w:space="0" w:color="auto"/>
                    <w:right w:val="single" w:sz="8" w:space="0" w:color="auto"/>
                  </w:tcBorders>
                  <w:shd w:val="clear" w:color="000000" w:fill="BFBFBF"/>
                  <w:vAlign w:val="center"/>
                </w:tcPr>
                <w:p w:rsidR="003011F7" w:rsidRPr="005956FE" w:rsidRDefault="003011F7" w:rsidP="003011F7">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28,851,594</w:t>
                  </w:r>
                </w:p>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p>
              </w:tc>
            </w:tr>
            <w:tr w:rsidR="003011F7" w:rsidRPr="00F85EE0" w:rsidTr="0053794B">
              <w:trPr>
                <w:trHeight w:val="254"/>
              </w:trPr>
              <w:tc>
                <w:tcPr>
                  <w:tcW w:w="2086" w:type="dxa"/>
                  <w:tcBorders>
                    <w:top w:val="nil"/>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1306" w:type="dxa"/>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5720" w:type="dxa"/>
                  <w:gridSpan w:val="3"/>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r>
            <w:tr w:rsidR="003011F7" w:rsidRPr="00F85EE0" w:rsidTr="0053794B">
              <w:trPr>
                <w:trHeight w:val="315"/>
              </w:trPr>
              <w:tc>
                <w:tcPr>
                  <w:tcW w:w="3392"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2. Menos egresos presupuestarios no contables</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3011F7" w:rsidRPr="005956FE" w:rsidRDefault="003011F7" w:rsidP="003011F7">
                  <w:pPr>
                    <w:spacing w:after="0" w:line="240" w:lineRule="auto"/>
                    <w:jc w:val="center"/>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 </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p>
              </w:tc>
            </w:tr>
            <w:tr w:rsidR="003011F7" w:rsidRPr="00F85EE0" w:rsidTr="0053794B">
              <w:trPr>
                <w:trHeight w:val="150"/>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Mobiliario y Equipo de Administración</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40"/>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Mobiliario y</w:t>
                  </w:r>
                  <w:r w:rsidRPr="005956FE">
                    <w:rPr>
                      <w:rFonts w:ascii="Arial" w:eastAsia="Times New Roman" w:hAnsi="Arial" w:cs="Arial"/>
                      <w:color w:val="000000"/>
                      <w:sz w:val="14"/>
                      <w:szCs w:val="14"/>
                      <w:lang w:eastAsia="es-MX"/>
                    </w:rPr>
                    <w:t xml:space="preserve"> Equipo Educacional y Recreativo</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99"/>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Equipo e Instrumental Médico y de laboratorio</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16"/>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Vehículos y Equipo de Transporte</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76"/>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Equipo de Defensa y Seguridad</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22"/>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Maquinaria, Otros Equipos y Herramientas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12"/>
              </w:trPr>
              <w:tc>
                <w:tcPr>
                  <w:tcW w:w="33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Activos biológicos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28"/>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Bienes inmuebles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18"/>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Activos Intangibles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22"/>
              </w:trPr>
              <w:tc>
                <w:tcPr>
                  <w:tcW w:w="33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Obra pública en Bienes Propios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26"/>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Acciones y Participaciones de Capital</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14"/>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Compra de títulos y valores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315"/>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Inversiones en fideicomisos, mandatos y otros análogos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315"/>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Provisiones para contingencias y otras erogaciones especiales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42"/>
              </w:trPr>
              <w:tc>
                <w:tcPr>
                  <w:tcW w:w="3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Amortización de la Deuda Pública</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414"/>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Adeudos de Ejercicios Fiscales Anteriores (ADEFAS)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50"/>
              </w:trPr>
              <w:tc>
                <w:tcPr>
                  <w:tcW w:w="3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3011F7" w:rsidRPr="00F85EE0" w:rsidRDefault="003011F7" w:rsidP="003011F7">
                  <w:pPr>
                    <w:spacing w:after="0" w:line="240" w:lineRule="auto"/>
                    <w:jc w:val="both"/>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Otros Egresos Presupuestales No Contables</w:t>
                  </w:r>
                </w:p>
              </w:tc>
              <w:tc>
                <w:tcPr>
                  <w:tcW w:w="1418" w:type="dxa"/>
                  <w:tcBorders>
                    <w:top w:val="single" w:sz="8" w:space="0" w:color="auto"/>
                    <w:left w:val="single" w:sz="4" w:space="0" w:color="auto"/>
                    <w:bottom w:val="single" w:sz="8" w:space="0" w:color="auto"/>
                    <w:right w:val="single" w:sz="4" w:space="0" w:color="auto"/>
                  </w:tcBorders>
                  <w:shd w:val="clear" w:color="000000" w:fill="FFFFFF"/>
                  <w:vAlign w:val="center"/>
                  <w:hideMark/>
                </w:tcPr>
                <w:p w:rsidR="003011F7" w:rsidRPr="005956FE"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92"/>
              </w:trPr>
              <w:tc>
                <w:tcPr>
                  <w:tcW w:w="2086" w:type="dxa"/>
                  <w:tcBorders>
                    <w:top w:val="single" w:sz="4" w:space="0" w:color="auto"/>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1306" w:type="dxa"/>
                  <w:tcBorders>
                    <w:top w:val="single" w:sz="4" w:space="0" w:color="auto"/>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5720" w:type="dxa"/>
                  <w:gridSpan w:val="3"/>
                  <w:tcBorders>
                    <w:top w:val="nil"/>
                    <w:left w:val="nil"/>
                    <w:bottom w:val="single" w:sz="4"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r>
            <w:tr w:rsidR="003011F7" w:rsidRPr="00F85EE0" w:rsidTr="0053794B">
              <w:trPr>
                <w:trHeight w:val="216"/>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3011F7" w:rsidRPr="00F85EE0" w:rsidRDefault="003011F7" w:rsidP="003011F7">
                  <w:pPr>
                    <w:spacing w:after="0" w:line="240" w:lineRule="auto"/>
                    <w:jc w:val="both"/>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3. Más Gasto Contables No Presupuestales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 </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0</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p>
              </w:tc>
            </w:tr>
            <w:tr w:rsidR="003011F7" w:rsidRPr="00F85EE0" w:rsidTr="0053794B">
              <w:trPr>
                <w:trHeight w:val="286"/>
              </w:trPr>
              <w:tc>
                <w:tcPr>
                  <w:tcW w:w="339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Estimaciones, depreciaciones, deterioros, obsolescencia y amortizaciones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single" w:sz="4" w:space="0" w:color="auto"/>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21"/>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Provisiones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24"/>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Disminución de inventarios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368"/>
              </w:trPr>
              <w:tc>
                <w:tcPr>
                  <w:tcW w:w="339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Aumento por insuficiencia de estimciones por pérdida o deterioro u obsolescencia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60"/>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Aumento por insuficiencia de provisiones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122"/>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Otros gastos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224"/>
              </w:trPr>
              <w:tc>
                <w:tcPr>
                  <w:tcW w:w="33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Otros Gastos Contables No Presupuestales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4302" w:type="dxa"/>
                  <w:gridSpan w:val="2"/>
                  <w:tcBorders>
                    <w:top w:val="nil"/>
                    <w:left w:val="single" w:sz="4" w:space="0" w:color="auto"/>
                  </w:tcBorders>
                  <w:shd w:val="clear" w:color="000000" w:fill="FFFFFF"/>
                  <w:vAlign w:val="center"/>
                </w:tcPr>
                <w:p w:rsidR="003011F7" w:rsidRPr="00F85EE0" w:rsidRDefault="003011F7" w:rsidP="003011F7">
                  <w:pPr>
                    <w:spacing w:after="0" w:line="240" w:lineRule="auto"/>
                    <w:rPr>
                      <w:rFonts w:ascii="Arial" w:eastAsia="Times New Roman" w:hAnsi="Arial" w:cs="Arial"/>
                      <w:color w:val="000000"/>
                      <w:sz w:val="14"/>
                      <w:szCs w:val="14"/>
                      <w:lang w:eastAsia="es-MX"/>
                    </w:rPr>
                  </w:pPr>
                </w:p>
              </w:tc>
            </w:tr>
            <w:tr w:rsidR="003011F7" w:rsidRPr="00F85EE0" w:rsidTr="0053794B">
              <w:trPr>
                <w:trHeight w:val="315"/>
              </w:trPr>
              <w:tc>
                <w:tcPr>
                  <w:tcW w:w="2086" w:type="dxa"/>
                  <w:tcBorders>
                    <w:top w:val="nil"/>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1306" w:type="dxa"/>
                  <w:tcBorders>
                    <w:top w:val="nil"/>
                    <w:left w:val="nil"/>
                    <w:bottom w:val="single" w:sz="8" w:space="0" w:color="auto"/>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5720" w:type="dxa"/>
                  <w:gridSpan w:val="3"/>
                  <w:tcBorders>
                    <w:top w:val="nil"/>
                    <w:left w:val="nil"/>
                    <w:bottom w:val="nil"/>
                    <w:right w:val="nil"/>
                  </w:tcBorders>
                  <w:shd w:val="clear" w:color="000000" w:fill="FFFFFF"/>
                  <w:noWrap/>
                  <w:vAlign w:val="bottom"/>
                  <w:hideMark/>
                </w:tcPr>
                <w:p w:rsidR="003011F7" w:rsidRPr="00F85EE0" w:rsidRDefault="003011F7" w:rsidP="003011F7">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r>
            <w:tr w:rsidR="003011F7" w:rsidRPr="00F85EE0" w:rsidTr="0053794B">
              <w:trPr>
                <w:trHeight w:val="315"/>
              </w:trPr>
              <w:tc>
                <w:tcPr>
                  <w:tcW w:w="3392"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011F7" w:rsidRPr="00F85EE0" w:rsidRDefault="003011F7" w:rsidP="003011F7">
                  <w:pPr>
                    <w:spacing w:after="0" w:line="240" w:lineRule="auto"/>
                    <w:jc w:val="center"/>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4. Total de Gasto Contable (4 = 1 - 2 + 3)</w:t>
                  </w:r>
                </w:p>
              </w:tc>
              <w:tc>
                <w:tcPr>
                  <w:tcW w:w="1418" w:type="dxa"/>
                  <w:tcBorders>
                    <w:left w:val="single" w:sz="4" w:space="0" w:color="auto"/>
                    <w:right w:val="single" w:sz="4" w:space="0" w:color="auto"/>
                  </w:tcBorders>
                  <w:shd w:val="clear" w:color="auto" w:fill="auto"/>
                  <w:noWrap/>
                  <w:vAlign w:val="bottom"/>
                </w:tcPr>
                <w:p w:rsidR="003011F7" w:rsidRPr="00F85EE0" w:rsidRDefault="003011F7" w:rsidP="003011F7">
                  <w:pPr>
                    <w:spacing w:after="0" w:line="240" w:lineRule="auto"/>
                    <w:jc w:val="center"/>
                    <w:rPr>
                      <w:rFonts w:ascii="Arial" w:eastAsia="Times New Roman" w:hAnsi="Arial" w:cs="Arial"/>
                      <w:color w:val="000000"/>
                      <w:sz w:val="14"/>
                      <w:szCs w:val="14"/>
                      <w:lang w:eastAsia="es-MX"/>
                    </w:rPr>
                  </w:pPr>
                </w:p>
              </w:tc>
              <w:tc>
                <w:tcPr>
                  <w:tcW w:w="2151"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bottom"/>
                </w:tcPr>
                <w:p w:rsidR="003011F7" w:rsidRPr="00F41DA2" w:rsidRDefault="003011F7" w:rsidP="003011F7">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F41DA2">
                    <w:rPr>
                      <w:rFonts w:ascii="Arial" w:eastAsia="Times New Roman" w:hAnsi="Arial" w:cs="Arial"/>
                      <w:b/>
                      <w:bCs/>
                      <w:color w:val="000000"/>
                      <w:sz w:val="14"/>
                      <w:szCs w:val="14"/>
                      <w:lang w:eastAsia="es-MX"/>
                    </w:rPr>
                    <w:t>28,851,594</w:t>
                  </w:r>
                </w:p>
              </w:tc>
              <w:tc>
                <w:tcPr>
                  <w:tcW w:w="2151" w:type="dxa"/>
                  <w:tcBorders>
                    <w:top w:val="single" w:sz="8" w:space="0" w:color="auto"/>
                    <w:left w:val="single" w:sz="4" w:space="0" w:color="auto"/>
                    <w:bottom w:val="single" w:sz="8" w:space="0" w:color="auto"/>
                    <w:right w:val="single" w:sz="8" w:space="0" w:color="auto"/>
                  </w:tcBorders>
                  <w:shd w:val="clear" w:color="auto" w:fill="auto"/>
                  <w:vAlign w:val="bottom"/>
                </w:tcPr>
                <w:p w:rsidR="003011F7" w:rsidRPr="00F85EE0" w:rsidRDefault="003011F7" w:rsidP="003011F7">
                  <w:pPr>
                    <w:spacing w:after="0" w:line="240" w:lineRule="auto"/>
                    <w:jc w:val="center"/>
                    <w:rPr>
                      <w:rFonts w:ascii="Arial" w:eastAsia="Times New Roman" w:hAnsi="Arial" w:cs="Arial"/>
                      <w:color w:val="000000"/>
                      <w:sz w:val="14"/>
                      <w:szCs w:val="14"/>
                      <w:lang w:eastAsia="es-MX"/>
                    </w:rPr>
                  </w:pPr>
                </w:p>
              </w:tc>
            </w:tr>
          </w:tbl>
          <w:p w:rsidR="003011F7" w:rsidRDefault="003011F7" w:rsidP="006B46C7">
            <w:pPr>
              <w:spacing w:after="0" w:line="240" w:lineRule="auto"/>
              <w:jc w:val="both"/>
              <w:rPr>
                <w:rFonts w:ascii="Arial" w:eastAsia="Times New Roman" w:hAnsi="Arial" w:cs="Arial"/>
                <w:b/>
                <w:bCs/>
                <w:color w:val="000000"/>
                <w:sz w:val="18"/>
                <w:szCs w:val="18"/>
                <w:lang w:eastAsia="es-MX"/>
              </w:rPr>
            </w:pPr>
          </w:p>
        </w:tc>
        <w:tc>
          <w:tcPr>
            <w:tcW w:w="406" w:type="pct"/>
            <w:shd w:val="clear" w:color="auto" w:fill="auto"/>
            <w:noWrap/>
            <w:vAlign w:val="bottom"/>
          </w:tcPr>
          <w:p w:rsidR="003011F7" w:rsidRPr="006B46C7" w:rsidRDefault="003011F7"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lastRenderedPageBreak/>
              <w:t xml:space="preserve"> </w:t>
            </w:r>
            <w:r w:rsidRPr="006B46C7">
              <w:rPr>
                <w:rFonts w:ascii="Arial" w:eastAsia="Times New Roman" w:hAnsi="Arial" w:cs="Arial"/>
                <w:b/>
                <w:bCs/>
                <w:color w:val="000000"/>
                <w:sz w:val="18"/>
                <w:szCs w:val="18"/>
                <w:lang w:eastAsia="es-MX"/>
              </w:rPr>
              <w:t>b)</w:t>
            </w:r>
            <w:r w:rsidRPr="006B46C7">
              <w:rPr>
                <w:rFonts w:ascii="Arial" w:eastAsia="Times New Roman" w:hAnsi="Arial" w:cs="Arial"/>
                <w:color w:val="000000"/>
                <w:sz w:val="18"/>
                <w:szCs w:val="18"/>
                <w:lang w:eastAsia="es-MX"/>
              </w:rPr>
              <w:t xml:space="preserve"> </w:t>
            </w:r>
            <w:r w:rsidRPr="006B46C7">
              <w:rPr>
                <w:rFonts w:ascii="Arial" w:eastAsia="Times New Roman" w:hAnsi="Arial" w:cs="Arial"/>
                <w:b/>
                <w:bCs/>
                <w:color w:val="000000"/>
                <w:sz w:val="18"/>
                <w:szCs w:val="18"/>
                <w:lang w:eastAsia="es-MX"/>
              </w:rPr>
              <w:t>NOTAS DE MEMORIA (CUENTAS DE ORDEN)</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85"/>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lastRenderedPageBreak/>
              <w:t>No aplica</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 NOTAS DE GESTIÓN ADMINISTRATIVA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Introducción</w:t>
            </w: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7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186" w:type="pct"/>
            <w:gridSpan w:val="9"/>
            <w:shd w:val="clear" w:color="auto" w:fill="auto"/>
            <w:noWrap/>
            <w:hideMark/>
          </w:tcPr>
          <w:p w:rsidR="005B78DC" w:rsidRPr="006B46C7" w:rsidRDefault="005B78DC" w:rsidP="005957A4">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 continuación se explicará de forma breve las características del Instituto del Deporte en este ejercicio 201</w:t>
            </w:r>
            <w:r>
              <w:rPr>
                <w:rFonts w:ascii="Arial" w:eastAsia="Times New Roman" w:hAnsi="Arial" w:cs="Arial"/>
                <w:color w:val="000000"/>
                <w:sz w:val="18"/>
                <w:szCs w:val="18"/>
                <w:lang w:eastAsia="es-MX"/>
              </w:rPr>
              <w:t>5</w:t>
            </w:r>
            <w:r w:rsidRPr="006B46C7">
              <w:rPr>
                <w:rFonts w:ascii="Arial" w:eastAsia="Times New Roman" w:hAnsi="Arial" w:cs="Arial"/>
                <w:color w:val="000000"/>
                <w:sz w:val="18"/>
                <w:szCs w:val="18"/>
                <w:lang w:eastAsia="es-MX"/>
              </w:rPr>
              <w:t>, bajo las cuales ha operado.</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Panorama Económico y Financiero</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7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186" w:type="pct"/>
            <w:gridSpan w:val="9"/>
            <w:shd w:val="clear" w:color="auto" w:fill="auto"/>
            <w:hideMark/>
          </w:tcPr>
          <w:p w:rsidR="005B78DC" w:rsidRPr="006B46C7" w:rsidRDefault="005B78DC" w:rsidP="005957A4">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techo presupuestal 201</w:t>
            </w:r>
            <w:r>
              <w:rPr>
                <w:rFonts w:ascii="Arial" w:eastAsia="Times New Roman" w:hAnsi="Arial" w:cs="Arial"/>
                <w:color w:val="000000"/>
                <w:sz w:val="18"/>
                <w:szCs w:val="18"/>
                <w:lang w:eastAsia="es-MX"/>
              </w:rPr>
              <w:t>5</w:t>
            </w:r>
            <w:r w:rsidRPr="006B46C7">
              <w:rPr>
                <w:rFonts w:ascii="Arial" w:eastAsia="Times New Roman" w:hAnsi="Arial" w:cs="Arial"/>
                <w:color w:val="000000"/>
                <w:sz w:val="18"/>
                <w:szCs w:val="18"/>
                <w:lang w:eastAsia="es-MX"/>
              </w:rPr>
              <w:t>, ha sido el mismo desde que la actual Administración inició, se ha realizado una administración austera para el mejor aprovechamiento del mismo y cumplir con las metas establecidas.</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7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186" w:type="pct"/>
            <w:gridSpan w:val="9"/>
            <w:shd w:val="clear" w:color="auto" w:fill="auto"/>
            <w:hideMark/>
          </w:tcPr>
          <w:p w:rsidR="005B78DC" w:rsidRPr="006B46C7" w:rsidRDefault="005B78DC" w:rsidP="005957A4">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recibieron ampliaciones presupuestales para hacer frente a las obligaciones contraídas por la celebración de la Olimpiada Nacional 201</w:t>
            </w:r>
            <w:r>
              <w:rPr>
                <w:rFonts w:ascii="Arial" w:eastAsia="Times New Roman" w:hAnsi="Arial" w:cs="Arial"/>
                <w:color w:val="000000"/>
                <w:sz w:val="18"/>
                <w:szCs w:val="18"/>
                <w:lang w:eastAsia="es-MX"/>
              </w:rPr>
              <w:t>5</w:t>
            </w:r>
            <w:r w:rsidRPr="006B46C7">
              <w:rPr>
                <w:rFonts w:ascii="Arial" w:eastAsia="Times New Roman" w:hAnsi="Arial" w:cs="Arial"/>
                <w:color w:val="000000"/>
                <w:sz w:val="18"/>
                <w:szCs w:val="18"/>
                <w:lang w:eastAsia="es-MX"/>
              </w:rPr>
              <w:t>.</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Autorización e Historia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w:t>
            </w: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Fecha de creación del ente: </w:t>
            </w: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14 de Diciembre de 2005</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960"/>
        </w:trPr>
        <w:tc>
          <w:tcPr>
            <w:tcW w:w="408" w:type="pct"/>
            <w:shd w:val="clear" w:color="auto" w:fill="auto"/>
            <w:noWrap/>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b)</w:t>
            </w:r>
          </w:p>
        </w:tc>
        <w:tc>
          <w:tcPr>
            <w:tcW w:w="4186" w:type="pct"/>
            <w:gridSpan w:val="9"/>
            <w:shd w:val="clear" w:color="auto" w:fill="auto"/>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Principales cambios en su estructura: Al inicio de esta Administración se anulan las subdirecciones en la dependencia como se venían manejando, siendo ahora Jefaturas de Departamento, se ha reducido la plantilla de personal al necesario.</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Organización y Objeto Social</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w:t>
            </w:r>
          </w:p>
        </w:tc>
        <w:tc>
          <w:tcPr>
            <w:tcW w:w="2041"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Objeto social: Educ</w:t>
            </w:r>
            <w:r>
              <w:rPr>
                <w:rFonts w:ascii="Arial" w:eastAsia="Times New Roman" w:hAnsi="Arial" w:cs="Arial"/>
                <w:color w:val="000000"/>
                <w:sz w:val="18"/>
                <w:szCs w:val="18"/>
                <w:lang w:eastAsia="es-MX"/>
              </w:rPr>
              <w:t>ac</w:t>
            </w:r>
            <w:r w:rsidRPr="006B46C7">
              <w:rPr>
                <w:rFonts w:ascii="Arial" w:eastAsia="Times New Roman" w:hAnsi="Arial" w:cs="Arial"/>
                <w:color w:val="000000"/>
                <w:sz w:val="18"/>
                <w:szCs w:val="18"/>
                <w:lang w:eastAsia="es-MX"/>
              </w:rPr>
              <w:t>ión y Deporte</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b)</w:t>
            </w:r>
          </w:p>
        </w:tc>
        <w:tc>
          <w:tcPr>
            <w:tcW w:w="2041"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Principal actividad: Promoción y práctica deportiva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c)</w:t>
            </w:r>
          </w:p>
        </w:tc>
        <w:tc>
          <w:tcPr>
            <w:tcW w:w="2041" w:type="pct"/>
            <w:gridSpan w:val="3"/>
            <w:shd w:val="clear" w:color="auto" w:fill="auto"/>
            <w:noWrap/>
            <w:vAlign w:val="bottom"/>
            <w:hideMark/>
          </w:tcPr>
          <w:p w:rsidR="005B78DC" w:rsidRPr="006B46C7" w:rsidRDefault="005B78DC" w:rsidP="005957A4">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Ejercicio fiscal: 201</w:t>
            </w:r>
            <w:r>
              <w:rPr>
                <w:rFonts w:ascii="Arial" w:eastAsia="Times New Roman" w:hAnsi="Arial" w:cs="Arial"/>
                <w:color w:val="000000"/>
                <w:sz w:val="18"/>
                <w:szCs w:val="18"/>
                <w:lang w:eastAsia="es-MX"/>
              </w:rPr>
              <w:t>5</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w:t>
            </w:r>
          </w:p>
        </w:tc>
        <w:tc>
          <w:tcPr>
            <w:tcW w:w="3658" w:type="pct"/>
            <w:gridSpan w:val="8"/>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Régimen jurídico: Organismo Público Descentralizado con personalidad jurídica y Patrimonio Propio.</w:t>
            </w: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w:t>
            </w:r>
          </w:p>
        </w:tc>
        <w:tc>
          <w:tcPr>
            <w:tcW w:w="2643" w:type="pct"/>
            <w:gridSpan w:val="6"/>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Consideraciones fiscales del ente: </w:t>
            </w:r>
            <w:r w:rsidR="00FA4FA6" w:rsidRPr="006B46C7">
              <w:rPr>
                <w:rFonts w:ascii="Arial" w:eastAsia="Times New Roman" w:hAnsi="Arial" w:cs="Arial"/>
                <w:color w:val="000000"/>
                <w:sz w:val="18"/>
                <w:szCs w:val="18"/>
                <w:lang w:eastAsia="es-MX"/>
              </w:rPr>
              <w:t>Está</w:t>
            </w:r>
            <w:r w:rsidRPr="006B46C7">
              <w:rPr>
                <w:rFonts w:ascii="Arial" w:eastAsia="Times New Roman" w:hAnsi="Arial" w:cs="Arial"/>
                <w:color w:val="000000"/>
                <w:sz w:val="18"/>
                <w:szCs w:val="18"/>
                <w:lang w:eastAsia="es-MX"/>
              </w:rPr>
              <w:t xml:space="preserve"> obligado a retener I.S.R.</w:t>
            </w: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00"/>
        </w:trPr>
        <w:tc>
          <w:tcPr>
            <w:tcW w:w="408" w:type="pct"/>
            <w:shd w:val="clear" w:color="auto" w:fill="auto"/>
            <w:noWrap/>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f)</w:t>
            </w:r>
          </w:p>
        </w:tc>
        <w:tc>
          <w:tcPr>
            <w:tcW w:w="4186" w:type="pct"/>
            <w:gridSpan w:val="9"/>
            <w:shd w:val="clear" w:color="auto" w:fill="auto"/>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Estructura organizacional básica:  Dirección General, Jefatura de Administración y Finanzas y Jefatura de Cultura Física y Deporte</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Bases de preparación de los Estados Financieros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66" w:type="pct"/>
            <w:gridSpan w:val="9"/>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ha observado la normatividad emitida por la CONAC para la elaboración de la Cuenta Pública Armonizada</w:t>
            </w: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Políticas de Contabilidad Significativa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00"/>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cancelan deudores diversos, quienes entregaron al 31 de diciembre la comprobación respectiva o realizaron el reintegro correspondiente</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3051" w:type="pct"/>
            <w:gridSpan w:val="7"/>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Posición en Moneda Extranjera y Protección por Riesgo Cambiario</w:t>
            </w: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No aplica</w:t>
            </w: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Reporte Analítico del Activo</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15"/>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Las adquisiciones realizadas son necesarias para la operatividad de la entidad, eficientando las funciones del personal que lo emplea.</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3051" w:type="pct"/>
            <w:gridSpan w:val="7"/>
            <w:shd w:val="clear" w:color="auto" w:fill="auto"/>
            <w:noWrap/>
            <w:vAlign w:val="bottom"/>
            <w:hideMark/>
          </w:tcPr>
          <w:p w:rsidR="005B78DC" w:rsidRPr="006B46C7" w:rsidRDefault="005B78DC" w:rsidP="00FA4FA6">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Actualmente el patrimonio de la entidad asciende a la cantidad de $ 1</w:t>
            </w:r>
            <w:r>
              <w:rPr>
                <w:rFonts w:ascii="Arial" w:eastAsia="Times New Roman" w:hAnsi="Arial" w:cs="Arial"/>
                <w:color w:val="000000"/>
                <w:sz w:val="18"/>
                <w:szCs w:val="18"/>
                <w:lang w:eastAsia="es-MX"/>
              </w:rPr>
              <w:t>3</w:t>
            </w:r>
            <w:r w:rsidRPr="006B46C7">
              <w:rPr>
                <w:rFonts w:ascii="Arial" w:eastAsia="Times New Roman" w:hAnsi="Arial" w:cs="Arial"/>
                <w:color w:val="000000"/>
                <w:sz w:val="18"/>
                <w:szCs w:val="18"/>
                <w:lang w:eastAsia="es-MX"/>
              </w:rPr>
              <w:t>'</w:t>
            </w:r>
            <w:r w:rsidR="00FA4FA6">
              <w:rPr>
                <w:rFonts w:ascii="Arial" w:eastAsia="Times New Roman" w:hAnsi="Arial" w:cs="Arial"/>
                <w:color w:val="000000"/>
                <w:sz w:val="18"/>
                <w:szCs w:val="18"/>
                <w:lang w:eastAsia="es-MX"/>
              </w:rPr>
              <w:t>898</w:t>
            </w:r>
            <w:r w:rsidRPr="006B46C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w:t>
            </w:r>
            <w:r w:rsidR="00FA4FA6">
              <w:rPr>
                <w:rFonts w:ascii="Arial" w:eastAsia="Times New Roman" w:hAnsi="Arial" w:cs="Arial"/>
                <w:color w:val="000000"/>
                <w:sz w:val="18"/>
                <w:szCs w:val="18"/>
                <w:lang w:eastAsia="es-MX"/>
              </w:rPr>
              <w:t>88</w:t>
            </w: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Fideicomisos, mandatos y Análogos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No aplica</w:t>
            </w: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Reporte de la recaudación</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30"/>
        </w:trPr>
        <w:tc>
          <w:tcPr>
            <w:tcW w:w="4594" w:type="pct"/>
            <w:gridSpan w:val="10"/>
            <w:shd w:val="clear" w:color="auto" w:fill="auto"/>
            <w:noWrap/>
            <w:hideMark/>
          </w:tcPr>
          <w:p w:rsidR="005B78DC" w:rsidRPr="006B46C7" w:rsidRDefault="00222DEF" w:rsidP="00FA4FA6">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w:t>
            </w:r>
            <w:r w:rsidR="005B78DC" w:rsidRPr="006B46C7">
              <w:rPr>
                <w:rFonts w:ascii="Arial" w:eastAsia="Times New Roman" w:hAnsi="Arial" w:cs="Arial"/>
                <w:color w:val="000000"/>
                <w:sz w:val="18"/>
                <w:szCs w:val="18"/>
                <w:lang w:eastAsia="es-MX"/>
              </w:rPr>
              <w:t xml:space="preserve">os ingresos </w:t>
            </w:r>
            <w:r w:rsidR="00FA4FA6">
              <w:rPr>
                <w:rFonts w:ascii="Arial" w:eastAsia="Times New Roman" w:hAnsi="Arial" w:cs="Arial"/>
                <w:color w:val="000000"/>
                <w:sz w:val="18"/>
                <w:szCs w:val="18"/>
                <w:lang w:eastAsia="es-MX"/>
              </w:rPr>
              <w:t xml:space="preserve">estatales </w:t>
            </w:r>
            <w:r w:rsidR="005B78DC" w:rsidRPr="006B46C7">
              <w:rPr>
                <w:rFonts w:ascii="Arial" w:eastAsia="Times New Roman" w:hAnsi="Arial" w:cs="Arial"/>
                <w:color w:val="000000"/>
                <w:sz w:val="18"/>
                <w:szCs w:val="18"/>
                <w:lang w:eastAsia="es-MX"/>
              </w:rPr>
              <w:t>de 201</w:t>
            </w:r>
            <w:r>
              <w:rPr>
                <w:rFonts w:ascii="Arial" w:eastAsia="Times New Roman" w:hAnsi="Arial" w:cs="Arial"/>
                <w:color w:val="000000"/>
                <w:sz w:val="18"/>
                <w:szCs w:val="18"/>
                <w:lang w:eastAsia="es-MX"/>
              </w:rPr>
              <w:t>5</w:t>
            </w:r>
            <w:r w:rsidR="005B78DC" w:rsidRPr="006B46C7">
              <w:rPr>
                <w:rFonts w:ascii="Arial" w:eastAsia="Times New Roman" w:hAnsi="Arial" w:cs="Arial"/>
                <w:color w:val="000000"/>
                <w:sz w:val="18"/>
                <w:szCs w:val="18"/>
                <w:lang w:eastAsia="es-MX"/>
              </w:rPr>
              <w:t xml:space="preserve"> fueron superiores a los de 201</w:t>
            </w:r>
            <w:r>
              <w:rPr>
                <w:rFonts w:ascii="Arial" w:eastAsia="Times New Roman" w:hAnsi="Arial" w:cs="Arial"/>
                <w:color w:val="000000"/>
                <w:sz w:val="18"/>
                <w:szCs w:val="18"/>
                <w:lang w:eastAsia="es-MX"/>
              </w:rPr>
              <w:t>4</w:t>
            </w:r>
            <w:r w:rsidR="005B78DC" w:rsidRPr="006B46C7">
              <w:rPr>
                <w:rFonts w:ascii="Arial" w:eastAsia="Times New Roman" w:hAnsi="Arial" w:cs="Arial"/>
                <w:color w:val="000000"/>
                <w:sz w:val="18"/>
                <w:szCs w:val="18"/>
                <w:lang w:eastAsia="es-MX"/>
              </w:rPr>
              <w:t>, debido a</w:t>
            </w:r>
            <w:r w:rsidR="00FA4FA6">
              <w:rPr>
                <w:rFonts w:ascii="Arial" w:eastAsia="Times New Roman" w:hAnsi="Arial" w:cs="Arial"/>
                <w:color w:val="000000"/>
                <w:sz w:val="18"/>
                <w:szCs w:val="18"/>
                <w:lang w:eastAsia="es-MX"/>
              </w:rPr>
              <w:t xml:space="preserve"> </w:t>
            </w:r>
            <w:r w:rsidR="005B78DC" w:rsidRPr="006B46C7">
              <w:rPr>
                <w:rFonts w:ascii="Arial" w:eastAsia="Times New Roman" w:hAnsi="Arial" w:cs="Arial"/>
                <w:color w:val="000000"/>
                <w:sz w:val="18"/>
                <w:szCs w:val="18"/>
                <w:lang w:eastAsia="es-MX"/>
              </w:rPr>
              <w:t>l</w:t>
            </w:r>
            <w:r w:rsidR="00FA4FA6">
              <w:rPr>
                <w:rFonts w:ascii="Arial" w:eastAsia="Times New Roman" w:hAnsi="Arial" w:cs="Arial"/>
                <w:color w:val="000000"/>
                <w:sz w:val="18"/>
                <w:szCs w:val="18"/>
                <w:lang w:eastAsia="es-MX"/>
              </w:rPr>
              <w:t>a realización del evento denominado Olimpiada 2015, la cual se celebró en estados del norte del país por lo que fue necesario la solicitud de una ampliación presupuestal para poder solventar tal gasto.</w:t>
            </w:r>
          </w:p>
        </w:tc>
        <w:tc>
          <w:tcPr>
            <w:tcW w:w="406" w:type="pct"/>
            <w:shd w:val="clear" w:color="auto" w:fill="auto"/>
            <w:noWrap/>
            <w:vAlign w:val="bottom"/>
            <w:hideMark/>
          </w:tcPr>
          <w:p w:rsidR="005B78DC" w:rsidRPr="006B46C7" w:rsidRDefault="00FA4FA6" w:rsidP="006B46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p>
        </w:tc>
      </w:tr>
      <w:tr w:rsidR="005B78DC" w:rsidRPr="006B46C7" w:rsidTr="003011F7">
        <w:trPr>
          <w:trHeight w:val="300"/>
        </w:trPr>
        <w:tc>
          <w:tcPr>
            <w:tcW w:w="4594" w:type="pct"/>
            <w:gridSpan w:val="10"/>
            <w:shd w:val="clear" w:color="auto" w:fill="auto"/>
            <w:noWrap/>
            <w:vAlign w:val="bottom"/>
            <w:hideMark/>
          </w:tcPr>
          <w:p w:rsidR="005B78DC" w:rsidRPr="006B46C7" w:rsidRDefault="005B78DC" w:rsidP="00FA4FA6">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Los recursos federales recibidos en 201</w:t>
            </w:r>
            <w:r>
              <w:rPr>
                <w:rFonts w:ascii="Arial" w:eastAsia="Times New Roman" w:hAnsi="Arial" w:cs="Arial"/>
                <w:color w:val="000000"/>
                <w:sz w:val="18"/>
                <w:szCs w:val="18"/>
                <w:lang w:eastAsia="es-MX"/>
              </w:rPr>
              <w:t>5</w:t>
            </w:r>
            <w:r w:rsidRPr="006B46C7">
              <w:rPr>
                <w:rFonts w:ascii="Arial" w:eastAsia="Times New Roman" w:hAnsi="Arial" w:cs="Arial"/>
                <w:color w:val="000000"/>
                <w:sz w:val="18"/>
                <w:szCs w:val="18"/>
                <w:lang w:eastAsia="es-MX"/>
              </w:rPr>
              <w:t xml:space="preserve"> fueron </w:t>
            </w:r>
            <w:r w:rsidR="00FA4FA6">
              <w:rPr>
                <w:rFonts w:ascii="Arial" w:eastAsia="Times New Roman" w:hAnsi="Arial" w:cs="Arial"/>
                <w:color w:val="000000"/>
                <w:sz w:val="18"/>
                <w:szCs w:val="18"/>
                <w:lang w:eastAsia="es-MX"/>
              </w:rPr>
              <w:t>menor</w:t>
            </w:r>
            <w:r w:rsidRPr="006B46C7">
              <w:rPr>
                <w:rFonts w:ascii="Arial" w:eastAsia="Times New Roman" w:hAnsi="Arial" w:cs="Arial"/>
                <w:color w:val="000000"/>
                <w:sz w:val="18"/>
                <w:szCs w:val="18"/>
                <w:lang w:eastAsia="es-MX"/>
              </w:rPr>
              <w:t>es debido a la reestructuración de programas</w:t>
            </w:r>
            <w:r w:rsidR="00FA4FA6">
              <w:rPr>
                <w:rFonts w:ascii="Arial" w:eastAsia="Times New Roman" w:hAnsi="Arial" w:cs="Arial"/>
                <w:color w:val="000000"/>
                <w:sz w:val="18"/>
                <w:szCs w:val="18"/>
                <w:lang w:eastAsia="es-MX"/>
              </w:rPr>
              <w:t xml:space="preserve"> por parte de la CONADE</w:t>
            </w:r>
            <w:r w:rsidRPr="006B46C7">
              <w:rPr>
                <w:rFonts w:ascii="Arial" w:eastAsia="Times New Roman" w:hAnsi="Arial" w:cs="Arial"/>
                <w:color w:val="000000"/>
                <w:sz w:val="18"/>
                <w:szCs w:val="18"/>
                <w:lang w:eastAsia="es-MX"/>
              </w:rPr>
              <w:t>.</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Información sobre la Deuda y el Reporte Analítico de  la Deuda.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La entidad no cuenta con deuda pública.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Calificaciones otorgadas.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1623"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lastRenderedPageBreak/>
              <w:t>No aplica</w:t>
            </w: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Proceso de Mejora</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85"/>
        </w:trPr>
        <w:tc>
          <w:tcPr>
            <w:tcW w:w="4594" w:type="pct"/>
            <w:gridSpan w:val="10"/>
            <w:shd w:val="clear" w:color="auto" w:fill="auto"/>
            <w:noWrap/>
            <w:hideMark/>
          </w:tcPr>
          <w:p w:rsidR="005B78DC" w:rsidRPr="006B46C7" w:rsidRDefault="005B78DC" w:rsidP="00344F5E">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continuará con la política de austeridad administrativa, para ofrecer</w:t>
            </w:r>
            <w:r>
              <w:rPr>
                <w:rFonts w:ascii="Arial" w:eastAsia="Times New Roman" w:hAnsi="Arial" w:cs="Arial"/>
                <w:color w:val="000000"/>
                <w:sz w:val="18"/>
                <w:szCs w:val="18"/>
                <w:lang w:eastAsia="es-MX"/>
              </w:rPr>
              <w:t xml:space="preserve"> </w:t>
            </w:r>
            <w:r w:rsidRPr="006B46C7">
              <w:rPr>
                <w:rFonts w:ascii="Arial" w:eastAsia="Times New Roman" w:hAnsi="Arial" w:cs="Arial"/>
                <w:color w:val="000000"/>
                <w:sz w:val="18"/>
                <w:szCs w:val="18"/>
                <w:lang w:eastAsia="es-MX"/>
              </w:rPr>
              <w:t>mejor atención a los deportistas y figuras relacionadas con el mismo.</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585"/>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buscarán nuevas alternativas para la captación de recursos económicos o en especie que apoyen la realización de eventos masivos.</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2449" w:type="pct"/>
            <w:gridSpan w:val="4"/>
            <w:shd w:val="clear" w:color="auto" w:fill="auto"/>
            <w:noWrap/>
            <w:vAlign w:val="bottom"/>
            <w:hideMark/>
          </w:tcPr>
          <w:p w:rsidR="005B78DC" w:rsidRPr="006B46C7" w:rsidRDefault="005B78DC" w:rsidP="006B46C7">
            <w:pPr>
              <w:spacing w:after="0" w:line="240" w:lineRule="auto"/>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Partes relacionadas.</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00"/>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No aplica</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615"/>
        </w:trPr>
        <w:tc>
          <w:tcPr>
            <w:tcW w:w="4594" w:type="pct"/>
            <w:gridSpan w:val="10"/>
            <w:shd w:val="clear" w:color="auto" w:fill="auto"/>
            <w:noWrap/>
            <w:hideMark/>
          </w:tcPr>
          <w:p w:rsidR="005B78DC" w:rsidRPr="006B46C7" w:rsidRDefault="005B78DC" w:rsidP="006B46C7">
            <w:pPr>
              <w:spacing w:after="0" w:line="240" w:lineRule="auto"/>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Bajo protesta de decir verdad declaramos que los Estados Financieros y sus Notas son razonablemente correctos y responsabilidad  del emisor</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82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475"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w:t>
            </w:r>
          </w:p>
        </w:tc>
        <w:tc>
          <w:tcPr>
            <w:tcW w:w="540"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w:t>
            </w:r>
          </w:p>
        </w:tc>
        <w:tc>
          <w:tcPr>
            <w:tcW w:w="52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105" w:type="pct"/>
            <w:shd w:val="clear" w:color="auto" w:fill="auto"/>
            <w:noWrap/>
            <w:vAlign w:val="bottom"/>
            <w:hideMark/>
          </w:tcPr>
          <w:p w:rsidR="005B78DC" w:rsidRPr="006B46C7" w:rsidRDefault="005B78DC" w:rsidP="006B46C7">
            <w:pPr>
              <w:spacing w:after="0" w:line="240" w:lineRule="auto"/>
              <w:rPr>
                <w:rFonts w:ascii="Calibri" w:eastAsia="Times New Roman" w:hAnsi="Calibri" w:cs="Times New Roman"/>
                <w:color w:val="000000"/>
                <w:lang w:eastAsia="es-MX"/>
              </w:rPr>
            </w:pPr>
          </w:p>
        </w:tc>
        <w:tc>
          <w:tcPr>
            <w:tcW w:w="1025" w:type="pct"/>
            <w:gridSpan w:val="4"/>
            <w:shd w:val="clear" w:color="auto" w:fill="auto"/>
            <w:noWrap/>
            <w:vAlign w:val="bottom"/>
            <w:hideMark/>
          </w:tcPr>
          <w:p w:rsidR="005B78DC" w:rsidRPr="00DA15A0" w:rsidRDefault="005B78DC" w:rsidP="00DA15A0">
            <w:pPr>
              <w:spacing w:after="0" w:line="240" w:lineRule="auto"/>
              <w:rPr>
                <w:rFonts w:ascii="Arial" w:eastAsia="Times New Roman" w:hAnsi="Arial" w:cs="Arial"/>
                <w:color w:val="000000"/>
                <w:sz w:val="18"/>
                <w:szCs w:val="18"/>
                <w:lang w:eastAsia="es-MX"/>
              </w:rPr>
            </w:pPr>
            <w:r w:rsidRPr="00DA15A0">
              <w:rPr>
                <w:rFonts w:ascii="Arial" w:eastAsia="Times New Roman" w:hAnsi="Arial" w:cs="Arial"/>
                <w:color w:val="000000"/>
                <w:sz w:val="18"/>
                <w:szCs w:val="18"/>
                <w:lang w:eastAsia="es-MX"/>
              </w:rPr>
              <w:t xml:space="preserve">L.E.F. MINERVA REYES </w:t>
            </w:r>
            <w:r w:rsidR="00DA15A0">
              <w:rPr>
                <w:rFonts w:ascii="Arial" w:eastAsia="Times New Roman" w:hAnsi="Arial" w:cs="Arial"/>
                <w:color w:val="000000"/>
                <w:sz w:val="18"/>
                <w:szCs w:val="18"/>
                <w:lang w:eastAsia="es-MX"/>
              </w:rPr>
              <w:t>B</w:t>
            </w:r>
            <w:r w:rsidRPr="00DA15A0">
              <w:rPr>
                <w:rFonts w:ascii="Arial" w:eastAsia="Times New Roman" w:hAnsi="Arial" w:cs="Arial"/>
                <w:color w:val="000000"/>
                <w:sz w:val="18"/>
                <w:szCs w:val="18"/>
                <w:lang w:eastAsia="es-MX"/>
              </w:rPr>
              <w:t>ELLO</w:t>
            </w:r>
          </w:p>
        </w:tc>
        <w:tc>
          <w:tcPr>
            <w:tcW w:w="513"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543" w:type="pct"/>
            <w:gridSpan w:val="3"/>
            <w:shd w:val="clear" w:color="auto" w:fill="auto"/>
            <w:noWrap/>
            <w:vAlign w:val="bottom"/>
            <w:hideMark/>
          </w:tcPr>
          <w:p w:rsidR="005B78DC" w:rsidRPr="006B46C7" w:rsidRDefault="005B78DC" w:rsidP="005957A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C.P. VERONICA ARAGON LIMA</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r w:rsidR="005B78DC" w:rsidRPr="006B46C7" w:rsidTr="003011F7">
        <w:trPr>
          <w:trHeight w:val="300"/>
        </w:trPr>
        <w:tc>
          <w:tcPr>
            <w:tcW w:w="408"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215" w:type="pct"/>
            <w:gridSpan w:val="2"/>
            <w:shd w:val="clear" w:color="auto" w:fill="auto"/>
            <w:noWrap/>
            <w:vAlign w:val="bottom"/>
            <w:hideMark/>
          </w:tcPr>
          <w:p w:rsidR="005B78DC" w:rsidRPr="006B46C7" w:rsidRDefault="005B78DC" w:rsidP="006B46C7">
            <w:pPr>
              <w:spacing w:after="0" w:line="240" w:lineRule="auto"/>
              <w:rPr>
                <w:rFonts w:ascii="Calibri" w:eastAsia="Times New Roman" w:hAnsi="Calibri" w:cs="Times New Roman"/>
                <w:color w:val="000000"/>
                <w:lang w:eastAsia="es-MX"/>
              </w:rPr>
            </w:pPr>
          </w:p>
        </w:tc>
        <w:tc>
          <w:tcPr>
            <w:tcW w:w="826" w:type="pct"/>
            <w:shd w:val="clear" w:color="auto" w:fill="auto"/>
            <w:noWrap/>
            <w:vAlign w:val="bottom"/>
            <w:hideMark/>
          </w:tcPr>
          <w:p w:rsidR="005B78DC" w:rsidRPr="006B46C7" w:rsidRDefault="005B78DC" w:rsidP="006B46C7">
            <w:pPr>
              <w:spacing w:after="0" w:line="240" w:lineRule="auto"/>
              <w:jc w:val="center"/>
              <w:rPr>
                <w:rFonts w:ascii="Calibri" w:eastAsia="Times New Roman" w:hAnsi="Calibri" w:cs="Times New Roman"/>
                <w:color w:val="000000"/>
                <w:lang w:eastAsia="es-MX"/>
              </w:rPr>
            </w:pPr>
            <w:r w:rsidRPr="006B46C7">
              <w:rPr>
                <w:rFonts w:ascii="Calibri" w:eastAsia="Times New Roman" w:hAnsi="Calibri" w:cs="Times New Roman"/>
                <w:color w:val="000000"/>
                <w:lang w:eastAsia="es-MX"/>
              </w:rPr>
              <w:t>DIRECCION GENERAL</w:t>
            </w:r>
          </w:p>
        </w:tc>
        <w:tc>
          <w:tcPr>
            <w:tcW w:w="602" w:type="pct"/>
            <w:gridSpan w:val="3"/>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c>
          <w:tcPr>
            <w:tcW w:w="1543" w:type="pct"/>
            <w:gridSpan w:val="3"/>
            <w:shd w:val="clear" w:color="auto" w:fill="auto"/>
            <w:noWrap/>
            <w:vAlign w:val="bottom"/>
            <w:hideMark/>
          </w:tcPr>
          <w:p w:rsidR="005B78DC" w:rsidRPr="005957A4" w:rsidRDefault="005B78DC" w:rsidP="006B46C7">
            <w:pPr>
              <w:spacing w:after="0" w:line="240" w:lineRule="auto"/>
              <w:jc w:val="center"/>
              <w:rPr>
                <w:rFonts w:ascii="Arial" w:eastAsia="Times New Roman" w:hAnsi="Arial" w:cs="Arial"/>
                <w:color w:val="000000"/>
                <w:sz w:val="14"/>
                <w:szCs w:val="14"/>
                <w:lang w:eastAsia="es-MX"/>
              </w:rPr>
            </w:pPr>
            <w:r w:rsidRPr="005957A4">
              <w:rPr>
                <w:rFonts w:ascii="Arial" w:eastAsia="Times New Roman" w:hAnsi="Arial" w:cs="Arial"/>
                <w:color w:val="000000"/>
                <w:sz w:val="14"/>
                <w:szCs w:val="14"/>
                <w:lang w:eastAsia="es-MX"/>
              </w:rPr>
              <w:t>ENCARGADA DE LA JEFATURA DE AMINISTRACION Y FINANZAS</w:t>
            </w:r>
          </w:p>
        </w:tc>
        <w:tc>
          <w:tcPr>
            <w:tcW w:w="406" w:type="pct"/>
            <w:shd w:val="clear" w:color="auto" w:fill="auto"/>
            <w:noWrap/>
            <w:vAlign w:val="bottom"/>
            <w:hideMark/>
          </w:tcPr>
          <w:p w:rsidR="005B78DC" w:rsidRPr="006B46C7" w:rsidRDefault="005B78DC" w:rsidP="006B46C7">
            <w:pPr>
              <w:spacing w:after="0" w:line="240" w:lineRule="auto"/>
              <w:rPr>
                <w:rFonts w:ascii="Arial" w:eastAsia="Times New Roman" w:hAnsi="Arial" w:cs="Arial"/>
                <w:color w:val="000000"/>
                <w:sz w:val="18"/>
                <w:szCs w:val="18"/>
                <w:lang w:eastAsia="es-MX"/>
              </w:rPr>
            </w:pPr>
          </w:p>
        </w:tc>
      </w:tr>
    </w:tbl>
    <w:p w:rsidR="006B46C7" w:rsidRDefault="006B46C7"/>
    <w:sectPr w:rsidR="006B46C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D9" w:rsidRDefault="00A24ED9" w:rsidP="00EA5418">
      <w:pPr>
        <w:spacing w:after="0" w:line="240" w:lineRule="auto"/>
      </w:pPr>
      <w:r>
        <w:separator/>
      </w:r>
    </w:p>
  </w:endnote>
  <w:endnote w:type="continuationSeparator" w:id="0">
    <w:p w:rsidR="00A24ED9" w:rsidRDefault="00A24ED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73" w:rsidRPr="0013011C" w:rsidRDefault="00F2167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D852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011F7" w:rsidRPr="003011F7">
          <w:rPr>
            <w:rFonts w:ascii="Soberana Sans Light" w:hAnsi="Soberana Sans Light"/>
            <w:noProof/>
            <w:lang w:val="es-ES"/>
          </w:rPr>
          <w:t>2</w:t>
        </w:r>
        <w:r w:rsidRPr="0013011C">
          <w:rPr>
            <w:rFonts w:ascii="Soberana Sans Light" w:hAnsi="Soberana Sans Light"/>
          </w:rPr>
          <w:fldChar w:fldCharType="end"/>
        </w:r>
      </w:sdtContent>
    </w:sdt>
  </w:p>
  <w:p w:rsidR="00F21673" w:rsidRDefault="00F216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73" w:rsidRPr="008E3652" w:rsidRDefault="00F2167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5FC1B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011F7" w:rsidRPr="003011F7">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D9" w:rsidRDefault="00A24ED9" w:rsidP="00EA5418">
      <w:pPr>
        <w:spacing w:after="0" w:line="240" w:lineRule="auto"/>
      </w:pPr>
      <w:r>
        <w:separator/>
      </w:r>
    </w:p>
  </w:footnote>
  <w:footnote w:type="continuationSeparator" w:id="0">
    <w:p w:rsidR="00A24ED9" w:rsidRDefault="00A24ED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73" w:rsidRDefault="00F2167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673" w:rsidRDefault="00F2167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21673" w:rsidRDefault="00F2167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21673" w:rsidRPr="00275FC6" w:rsidRDefault="00F2167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1673" w:rsidRDefault="00F216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21673" w:rsidRDefault="00F216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21673" w:rsidRPr="00275FC6" w:rsidRDefault="00F2167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21673" w:rsidRDefault="00F2167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21673" w:rsidRDefault="00F2167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21673" w:rsidRPr="00275FC6" w:rsidRDefault="00F2167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21673" w:rsidRDefault="00F216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21673" w:rsidRDefault="00F2167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21673" w:rsidRPr="00275FC6" w:rsidRDefault="00F2167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C8BA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73" w:rsidRPr="0013011C" w:rsidRDefault="00F2167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128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C1A00" id="1 Conector recto" o:spid="_x0000_s1026" style="position:absolute;flip: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7C70C9"/>
    <w:multiLevelType w:val="hybridMultilevel"/>
    <w:tmpl w:val="3CAC03B4"/>
    <w:lvl w:ilvl="0" w:tplc="D2209A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24409"/>
    <w:rsid w:val="00026573"/>
    <w:rsid w:val="00040466"/>
    <w:rsid w:val="00045A10"/>
    <w:rsid w:val="000652F2"/>
    <w:rsid w:val="000B15CF"/>
    <w:rsid w:val="001077E4"/>
    <w:rsid w:val="0013011C"/>
    <w:rsid w:val="00165BB4"/>
    <w:rsid w:val="001B1B72"/>
    <w:rsid w:val="001C5B8B"/>
    <w:rsid w:val="001C6FD8"/>
    <w:rsid w:val="001D443E"/>
    <w:rsid w:val="001E7072"/>
    <w:rsid w:val="00204C86"/>
    <w:rsid w:val="002059BC"/>
    <w:rsid w:val="00222DEF"/>
    <w:rsid w:val="00264426"/>
    <w:rsid w:val="002864DA"/>
    <w:rsid w:val="002A70B3"/>
    <w:rsid w:val="002C71B6"/>
    <w:rsid w:val="003011F7"/>
    <w:rsid w:val="003233F0"/>
    <w:rsid w:val="00344F5E"/>
    <w:rsid w:val="00372F40"/>
    <w:rsid w:val="003800AD"/>
    <w:rsid w:val="00396C2B"/>
    <w:rsid w:val="003A0303"/>
    <w:rsid w:val="003A1F21"/>
    <w:rsid w:val="003D5DBF"/>
    <w:rsid w:val="003E7FD0"/>
    <w:rsid w:val="003F0EA4"/>
    <w:rsid w:val="004311BE"/>
    <w:rsid w:val="0044253C"/>
    <w:rsid w:val="004714CF"/>
    <w:rsid w:val="004773BF"/>
    <w:rsid w:val="00484C0D"/>
    <w:rsid w:val="00497D8B"/>
    <w:rsid w:val="004D41B8"/>
    <w:rsid w:val="004F5641"/>
    <w:rsid w:val="00522632"/>
    <w:rsid w:val="00522EF3"/>
    <w:rsid w:val="00540418"/>
    <w:rsid w:val="005459B1"/>
    <w:rsid w:val="00572892"/>
    <w:rsid w:val="00574266"/>
    <w:rsid w:val="005957A4"/>
    <w:rsid w:val="005B78DC"/>
    <w:rsid w:val="005D3D25"/>
    <w:rsid w:val="00605CED"/>
    <w:rsid w:val="006618F7"/>
    <w:rsid w:val="00665F13"/>
    <w:rsid w:val="0068145D"/>
    <w:rsid w:val="006905BA"/>
    <w:rsid w:val="006B1FE7"/>
    <w:rsid w:val="006B46C7"/>
    <w:rsid w:val="006B6FFC"/>
    <w:rsid w:val="006E77DD"/>
    <w:rsid w:val="0079582C"/>
    <w:rsid w:val="007D6E9A"/>
    <w:rsid w:val="00811DAC"/>
    <w:rsid w:val="008329A0"/>
    <w:rsid w:val="008445A2"/>
    <w:rsid w:val="00873A88"/>
    <w:rsid w:val="0089054E"/>
    <w:rsid w:val="008A6E4D"/>
    <w:rsid w:val="008A793D"/>
    <w:rsid w:val="008B0017"/>
    <w:rsid w:val="008E3652"/>
    <w:rsid w:val="008F6D58"/>
    <w:rsid w:val="00903721"/>
    <w:rsid w:val="0093492C"/>
    <w:rsid w:val="00957043"/>
    <w:rsid w:val="009714C0"/>
    <w:rsid w:val="009A06BC"/>
    <w:rsid w:val="009D5D4C"/>
    <w:rsid w:val="009F23C4"/>
    <w:rsid w:val="00A24ED9"/>
    <w:rsid w:val="00A363B6"/>
    <w:rsid w:val="00A46BF5"/>
    <w:rsid w:val="00A70869"/>
    <w:rsid w:val="00B146E2"/>
    <w:rsid w:val="00B47A5C"/>
    <w:rsid w:val="00B849EE"/>
    <w:rsid w:val="00B84D02"/>
    <w:rsid w:val="00BA2940"/>
    <w:rsid w:val="00BF6EDC"/>
    <w:rsid w:val="00C16E53"/>
    <w:rsid w:val="00C431B4"/>
    <w:rsid w:val="00C74A11"/>
    <w:rsid w:val="00C86C59"/>
    <w:rsid w:val="00C91C5A"/>
    <w:rsid w:val="00CA49A6"/>
    <w:rsid w:val="00CB3516"/>
    <w:rsid w:val="00CD6D9A"/>
    <w:rsid w:val="00CE429F"/>
    <w:rsid w:val="00D00E92"/>
    <w:rsid w:val="00D055EC"/>
    <w:rsid w:val="00D44728"/>
    <w:rsid w:val="00D562FF"/>
    <w:rsid w:val="00DA15A0"/>
    <w:rsid w:val="00DF56C9"/>
    <w:rsid w:val="00E30318"/>
    <w:rsid w:val="00E32708"/>
    <w:rsid w:val="00EA5418"/>
    <w:rsid w:val="00EE46FB"/>
    <w:rsid w:val="00F1642B"/>
    <w:rsid w:val="00F17C0D"/>
    <w:rsid w:val="00F21673"/>
    <w:rsid w:val="00F755D0"/>
    <w:rsid w:val="00FA4FA6"/>
    <w:rsid w:val="00FB1010"/>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F577B"/>
  <w15:docId w15:val="{D91E0E61-8E8A-4C8F-9D0D-CBB02B9B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6B46C7"/>
    <w:rPr>
      <w:color w:val="0000FF"/>
      <w:u w:val="single"/>
    </w:rPr>
  </w:style>
  <w:style w:type="character" w:styleId="Hipervnculovisitado">
    <w:name w:val="FollowedHyperlink"/>
    <w:basedOn w:val="Fuentedeprrafopredeter"/>
    <w:uiPriority w:val="99"/>
    <w:semiHidden/>
    <w:unhideWhenUsed/>
    <w:rsid w:val="006B46C7"/>
    <w:rPr>
      <w:color w:val="800080"/>
      <w:u w:val="single"/>
    </w:rPr>
  </w:style>
  <w:style w:type="paragraph" w:customStyle="1" w:styleId="font5">
    <w:name w:val="font5"/>
    <w:basedOn w:val="Normal"/>
    <w:rsid w:val="006B46C7"/>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6">
    <w:name w:val="font6"/>
    <w:basedOn w:val="Normal"/>
    <w:rsid w:val="006B46C7"/>
    <w:pPr>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xl67">
    <w:name w:val="xl6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68">
    <w:name w:val="xl68"/>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9">
    <w:name w:val="xl69"/>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1">
    <w:name w:val="xl71"/>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4">
    <w:name w:val="xl74"/>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5">
    <w:name w:val="xl7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9">
    <w:name w:val="xl79"/>
    <w:basedOn w:val="Normal"/>
    <w:rsid w:val="006B46C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6B46C7"/>
    <w:pPr>
      <w:shd w:val="clear" w:color="0000FF" w:fill="006C31"/>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6B46C7"/>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2">
    <w:name w:val="xl82"/>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3">
    <w:name w:val="xl83"/>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4">
    <w:name w:val="xl84"/>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85">
    <w:name w:val="xl8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86">
    <w:name w:val="xl86"/>
    <w:basedOn w:val="Normal"/>
    <w:rsid w:val="006B46C7"/>
    <w:pP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88">
    <w:name w:val="xl88"/>
    <w:basedOn w:val="Normal"/>
    <w:rsid w:val="006B46C7"/>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9">
    <w:name w:val="xl89"/>
    <w:basedOn w:val="Normal"/>
    <w:rsid w:val="006B46C7"/>
    <w:pP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90">
    <w:name w:val="xl90"/>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91">
    <w:name w:val="xl91"/>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2">
    <w:name w:val="xl92"/>
    <w:basedOn w:val="Normal"/>
    <w:rsid w:val="006B46C7"/>
    <w:pPr>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93">
    <w:name w:val="xl93"/>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7231">
      <w:bodyDiv w:val="1"/>
      <w:marLeft w:val="0"/>
      <w:marRight w:val="0"/>
      <w:marTop w:val="0"/>
      <w:marBottom w:val="0"/>
      <w:divBdr>
        <w:top w:val="none" w:sz="0" w:space="0" w:color="auto"/>
        <w:left w:val="none" w:sz="0" w:space="0" w:color="auto"/>
        <w:bottom w:val="none" w:sz="0" w:space="0" w:color="auto"/>
        <w:right w:val="none" w:sz="0" w:space="0" w:color="auto"/>
      </w:divBdr>
    </w:div>
    <w:div w:id="815952997">
      <w:bodyDiv w:val="1"/>
      <w:marLeft w:val="0"/>
      <w:marRight w:val="0"/>
      <w:marTop w:val="0"/>
      <w:marBottom w:val="0"/>
      <w:divBdr>
        <w:top w:val="none" w:sz="0" w:space="0" w:color="auto"/>
        <w:left w:val="none" w:sz="0" w:space="0" w:color="auto"/>
        <w:bottom w:val="none" w:sz="0" w:space="0" w:color="auto"/>
        <w:right w:val="none" w:sz="0" w:space="0" w:color="auto"/>
      </w:divBdr>
    </w:div>
    <w:div w:id="907616826">
      <w:bodyDiv w:val="1"/>
      <w:marLeft w:val="0"/>
      <w:marRight w:val="0"/>
      <w:marTop w:val="0"/>
      <w:marBottom w:val="0"/>
      <w:divBdr>
        <w:top w:val="none" w:sz="0" w:space="0" w:color="auto"/>
        <w:left w:val="none" w:sz="0" w:space="0" w:color="auto"/>
        <w:bottom w:val="none" w:sz="0" w:space="0" w:color="auto"/>
        <w:right w:val="none" w:sz="0" w:space="0" w:color="auto"/>
      </w:divBdr>
    </w:div>
    <w:div w:id="11804351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22105481">
      <w:bodyDiv w:val="1"/>
      <w:marLeft w:val="0"/>
      <w:marRight w:val="0"/>
      <w:marTop w:val="0"/>
      <w:marBottom w:val="0"/>
      <w:divBdr>
        <w:top w:val="none" w:sz="0" w:space="0" w:color="auto"/>
        <w:left w:val="none" w:sz="0" w:space="0" w:color="auto"/>
        <w:bottom w:val="none" w:sz="0" w:space="0" w:color="auto"/>
        <w:right w:val="none" w:sz="0" w:space="0" w:color="auto"/>
      </w:divBdr>
    </w:div>
    <w:div w:id="19414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1EE1-708E-4B21-9D92-983CD2F2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1682</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VERO</cp:lastModifiedBy>
  <cp:revision>6</cp:revision>
  <cp:lastPrinted>2015-10-29T20:49:00Z</cp:lastPrinted>
  <dcterms:created xsi:type="dcterms:W3CDTF">2015-12-17T20:25:00Z</dcterms:created>
  <dcterms:modified xsi:type="dcterms:W3CDTF">2015-12-21T03:35:00Z</dcterms:modified>
</cp:coreProperties>
</file>