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07632374"/>
    <w:bookmarkEnd w:id="0"/>
    <w:p w:rsidR="007D6E9A" w:rsidRDefault="0053044C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1pt;height:417.5pt" o:ole="">
            <v:imagedata r:id="rId8" o:title=""/>
          </v:shape>
          <o:OLEObject Type="Embed" ProgID="Excel.Sheet.12" ShapeID="_x0000_i1025" DrawAspect="Content" ObjectID="_1511869549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53044C" w:rsidP="0044253C">
      <w:pPr>
        <w:jc w:val="center"/>
      </w:pPr>
      <w:r>
        <w:object w:dxaOrig="25153" w:dyaOrig="18931">
          <v:shape id="_x0000_i1026" type="#_x0000_t75" style="width:584.6pt;height:439pt" o:ole="">
            <v:imagedata r:id="rId10" o:title=""/>
          </v:shape>
          <o:OLEObject Type="Embed" ProgID="Excel.Sheet.12" ShapeID="_x0000_i1026" DrawAspect="Content" ObjectID="_1511869550" r:id="rId11"/>
        </w:object>
      </w:r>
    </w:p>
    <w:bookmarkStart w:id="2" w:name="_MON_1470806992"/>
    <w:bookmarkEnd w:id="2"/>
    <w:p w:rsidR="00372F40" w:rsidRDefault="0053044C" w:rsidP="003E7FD0">
      <w:pPr>
        <w:jc w:val="center"/>
      </w:pPr>
      <w:r>
        <w:object w:dxaOrig="21993" w:dyaOrig="15482">
          <v:shape id="_x0000_i1027" type="#_x0000_t75" style="width:648.55pt;height:457.25pt" o:ole="">
            <v:imagedata r:id="rId12" o:title=""/>
          </v:shape>
          <o:OLEObject Type="Embed" ProgID="Excel.Sheet.12" ShapeID="_x0000_i1027" DrawAspect="Content" ObjectID="_1511869551" r:id="rId13"/>
        </w:object>
      </w:r>
    </w:p>
    <w:bookmarkStart w:id="3" w:name="_MON_1470807348"/>
    <w:bookmarkEnd w:id="3"/>
    <w:p w:rsidR="00372F40" w:rsidRDefault="0053044C" w:rsidP="008E3652">
      <w:pPr>
        <w:jc w:val="center"/>
      </w:pPr>
      <w:r>
        <w:object w:dxaOrig="17711" w:dyaOrig="12476">
          <v:shape id="_x0000_i1028" type="#_x0000_t75" style="width:644.8pt;height:453.5pt" o:ole="">
            <v:imagedata r:id="rId14" o:title=""/>
          </v:shape>
          <o:OLEObject Type="Embed" ProgID="Excel.Sheet.12" ShapeID="_x0000_i1028" DrawAspect="Content" ObjectID="_1511869552" r:id="rId15"/>
        </w:object>
      </w:r>
    </w:p>
    <w:bookmarkStart w:id="4" w:name="_MON_1470809138"/>
    <w:bookmarkEnd w:id="4"/>
    <w:p w:rsidR="00372F40" w:rsidRDefault="0053044C" w:rsidP="00522632">
      <w:pPr>
        <w:jc w:val="center"/>
      </w:pPr>
      <w:r>
        <w:object w:dxaOrig="17805" w:dyaOrig="12251">
          <v:shape id="_x0000_i1029" type="#_x0000_t75" style="width:631.9pt;height:433.6pt" o:ole="">
            <v:imagedata r:id="rId16" o:title=""/>
          </v:shape>
          <o:OLEObject Type="Embed" ProgID="Excel.Sheet.12" ShapeID="_x0000_i1029" DrawAspect="Content" ObjectID="_1511869553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53044C" w:rsidP="00E32708">
      <w:pPr>
        <w:tabs>
          <w:tab w:val="left" w:pos="2430"/>
        </w:tabs>
        <w:jc w:val="center"/>
      </w:pPr>
      <w:r>
        <w:object w:dxaOrig="18229" w:dyaOrig="11202">
          <v:shape id="_x0000_i1030" type="#_x0000_t75" style="width:634.55pt;height:390.1pt" o:ole="">
            <v:imagedata r:id="rId18" o:title=""/>
          </v:shape>
          <o:OLEObject Type="Embed" ProgID="Excel.Sheet.12" ShapeID="_x0000_i1030" DrawAspect="Content" ObjectID="_1511869554" r:id="rId19"/>
        </w:object>
      </w:r>
    </w:p>
    <w:bookmarkStart w:id="6" w:name="_MON_1470810366"/>
    <w:bookmarkEnd w:id="6"/>
    <w:p w:rsidR="00E32708" w:rsidRDefault="0053044C" w:rsidP="00E32708">
      <w:pPr>
        <w:tabs>
          <w:tab w:val="left" w:pos="2430"/>
        </w:tabs>
        <w:jc w:val="center"/>
      </w:pPr>
      <w:r>
        <w:object w:dxaOrig="25922" w:dyaOrig="16771">
          <v:shape id="_x0000_i1031" type="#_x0000_t75" style="width:691pt;height:447.6pt" o:ole="">
            <v:imagedata r:id="rId20" o:title=""/>
          </v:shape>
          <o:OLEObject Type="Embed" ProgID="Excel.Sheet.12" ShapeID="_x0000_i1031" DrawAspect="Content" ObjectID="_1511869555" r:id="rId21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DA3A77" w:rsidP="0079582C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NO APLICA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 correctos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Mtro. Willebaldo Herrera Téllez                                                                                    C.P. Rogelio López Rodríguez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                            Jefe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Fondo </w:t>
      </w:r>
      <w:r w:rsidR="001813BC" w:rsidRPr="008B4E3B">
        <w:rPr>
          <w:lang w:val="es-MX"/>
        </w:rPr>
        <w:t xml:space="preserve">fijo               </w:t>
      </w:r>
      <w:r w:rsidRPr="008B4E3B">
        <w:rPr>
          <w:lang w:val="es-MX"/>
        </w:rPr>
        <w:t xml:space="preserve">               </w:t>
      </w:r>
      <w:r w:rsidR="008B4E3B">
        <w:rPr>
          <w:lang w:val="es-MX"/>
        </w:rPr>
        <w:t xml:space="preserve">                                   </w:t>
      </w:r>
      <w:r w:rsidR="0087031E">
        <w:rPr>
          <w:lang w:val="es-MX"/>
        </w:rPr>
        <w:t xml:space="preserve">$  </w:t>
      </w:r>
      <w:r w:rsidR="007E3402">
        <w:rPr>
          <w:lang w:val="es-MX"/>
        </w:rPr>
        <w:t xml:space="preserve">  </w:t>
      </w:r>
      <w:r w:rsidR="0087031E">
        <w:rPr>
          <w:lang w:val="es-MX"/>
        </w:rPr>
        <w:t xml:space="preserve">   </w:t>
      </w:r>
      <w:r w:rsidR="0053044C">
        <w:rPr>
          <w:lang w:val="es-MX"/>
        </w:rPr>
        <w:t>12</w:t>
      </w:r>
      <w:r w:rsidR="0087031E">
        <w:rPr>
          <w:lang w:val="es-MX"/>
        </w:rPr>
        <w:t>,</w:t>
      </w:r>
      <w:r w:rsidR="0053044C">
        <w:rPr>
          <w:lang w:val="es-MX"/>
        </w:rPr>
        <w:t>963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950</w:t>
      </w:r>
      <w:r w:rsidRPr="008B4E3B">
        <w:rPr>
          <w:lang w:val="es-MX"/>
        </w:rPr>
        <w:t>,</w:t>
      </w:r>
      <w:r w:rsidR="0053044C">
        <w:rPr>
          <w:lang w:val="es-MX"/>
        </w:rPr>
        <w:t>9</w:t>
      </w:r>
      <w:r w:rsidR="001C58D3">
        <w:rPr>
          <w:lang w:val="es-MX"/>
        </w:rPr>
        <w:t>3</w:t>
      </w:r>
      <w:r w:rsidR="0053044C">
        <w:rPr>
          <w:lang w:val="es-MX"/>
        </w:rPr>
        <w:t>9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$ 21</w:t>
      </w:r>
      <w:proofErr w:type="gramStart"/>
      <w:r w:rsidR="0087031E">
        <w:rPr>
          <w:lang w:val="es-MX"/>
        </w:rPr>
        <w:t>,</w:t>
      </w:r>
      <w:r w:rsidRPr="008B4E3B">
        <w:rPr>
          <w:lang w:val="es-MX"/>
        </w:rPr>
        <w:t>5</w:t>
      </w:r>
      <w:r w:rsidR="001801CC">
        <w:rPr>
          <w:lang w:val="es-MX"/>
        </w:rPr>
        <w:t>62</w:t>
      </w:r>
      <w:r w:rsidRPr="008B4E3B">
        <w:rPr>
          <w:lang w:val="es-MX"/>
        </w:rPr>
        <w:t>,</w:t>
      </w:r>
      <w:r w:rsidR="001801CC">
        <w:rPr>
          <w:lang w:val="es-MX"/>
        </w:rPr>
        <w:t>668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 3</w:t>
      </w:r>
      <w:proofErr w:type="gramStart"/>
      <w:r w:rsidRPr="008B4E3B">
        <w:rPr>
          <w:lang w:val="es-MX"/>
        </w:rPr>
        <w:t>,423</w:t>
      </w:r>
      <w:r w:rsidR="008B4E3B">
        <w:rPr>
          <w:lang w:val="es-MX"/>
        </w:rPr>
        <w:t>,</w:t>
      </w:r>
      <w:r w:rsidRPr="008B4E3B">
        <w:rPr>
          <w:lang w:val="es-MX"/>
        </w:rPr>
        <w:t>917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arte y Objetos Valiosos         4</w:t>
      </w:r>
      <w:proofErr w:type="gramStart"/>
      <w:r w:rsidRPr="008B4E3B">
        <w:rPr>
          <w:lang w:val="es-MX"/>
        </w:rPr>
        <w:t>,305,509</w:t>
      </w:r>
      <w:proofErr w:type="gramEnd"/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                                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274,127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depreciaciones y se aclara que no se tiene aún un sistema de contabilidad establecido de manera </w:t>
      </w:r>
      <w:r w:rsidR="00981A5A" w:rsidRPr="008B4E3B">
        <w:rPr>
          <w:lang w:val="es-MX"/>
        </w:rPr>
        <w:t>armonizada</w:t>
      </w:r>
      <w:r w:rsidRPr="008B4E3B">
        <w:rPr>
          <w:lang w:val="es-MX"/>
        </w:rPr>
        <w:t xml:space="preserve"> solo se presentan los formatos requeridos en la Ley General de Contabilidad Gubernamental.</w:t>
      </w:r>
    </w:p>
    <w:p w:rsidR="00981A5A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En la rectificación de resultado de ejercicios anteriores se incluye la compra </w:t>
      </w:r>
      <w:r w:rsidR="0087031E">
        <w:rPr>
          <w:lang w:val="es-MX"/>
        </w:rPr>
        <w:t>de mobiliario en el orden de $ 1</w:t>
      </w:r>
      <w:r>
        <w:rPr>
          <w:lang w:val="es-MX"/>
        </w:rPr>
        <w:t>7,</w:t>
      </w:r>
      <w:r w:rsidR="0087031E">
        <w:rPr>
          <w:lang w:val="es-MX"/>
        </w:rPr>
        <w:t>632</w:t>
      </w:r>
      <w:r>
        <w:rPr>
          <w:lang w:val="es-MX"/>
        </w:rPr>
        <w:t xml:space="preserve"> correspondiente al ejercicio 2014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B55A31">
        <w:rPr>
          <w:lang w:val="es-MX"/>
        </w:rPr>
        <w:t>29</w:t>
      </w:r>
      <w:proofErr w:type="gramStart"/>
      <w:r w:rsidR="00B55A31">
        <w:rPr>
          <w:lang w:val="es-MX"/>
        </w:rPr>
        <w:t>,026,597</w:t>
      </w:r>
      <w:proofErr w:type="gramEnd"/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al excedente del ejercicio 201</w:t>
      </w:r>
      <w:r>
        <w:rPr>
          <w:lang w:val="es-MX"/>
        </w:rPr>
        <w:t>5</w:t>
      </w:r>
      <w:r w:rsidR="00BB110D" w:rsidRPr="008B4E3B">
        <w:rPr>
          <w:lang w:val="es-MX"/>
        </w:rPr>
        <w:t xml:space="preserve"> de recursos de procedencia federal, se refieren a subsidios por convenio y tienen vigencia hasta la terminación de los proyectos autorizados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lastRenderedPageBreak/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1801CC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1801CC">
              <w:rPr>
                <w:szCs w:val="18"/>
                <w:lang w:val="es-MX"/>
              </w:rPr>
              <w:t>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1801CC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1801CC">
              <w:rPr>
                <w:szCs w:val="18"/>
                <w:lang w:val="es-MX"/>
              </w:rPr>
              <w:t>4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C8601D" w:rsidP="00C8601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17</w:t>
            </w:r>
            <w:r w:rsidR="001C58D3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024</w:t>
            </w:r>
            <w:r w:rsidR="00B55A31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871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7E3402" w:rsidP="007E3402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157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059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C8601D" w:rsidP="00C8601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17</w:t>
            </w:r>
            <w:r w:rsidR="00B55A31">
              <w:rPr>
                <w:szCs w:val="18"/>
                <w:lang w:val="es-MX"/>
              </w:rPr>
              <w:t>,</w:t>
            </w:r>
            <w:r w:rsidR="001C58D3">
              <w:rPr>
                <w:szCs w:val="18"/>
                <w:lang w:val="es-MX"/>
              </w:rPr>
              <w:t>0</w:t>
            </w:r>
            <w:r>
              <w:rPr>
                <w:szCs w:val="18"/>
                <w:lang w:val="es-MX"/>
              </w:rPr>
              <w:t>24</w:t>
            </w:r>
            <w:r w:rsidR="00B55A31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871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7E3402" w:rsidP="007E3402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157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059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D878CF" w:rsidRPr="008B4E3B">
        <w:rPr>
          <w:lang w:val="es-MX"/>
        </w:rPr>
        <w:t>Se adquirieron en el ejercicio 2014 bienes muebles por concepto</w:t>
      </w:r>
      <w:r w:rsidR="00B36C3A">
        <w:rPr>
          <w:lang w:val="es-MX"/>
        </w:rPr>
        <w:t xml:space="preserve"> de sillas por un importe de $ 17</w:t>
      </w:r>
      <w:r w:rsidR="00D878CF" w:rsidRPr="008B4E3B">
        <w:rPr>
          <w:lang w:val="es-MX"/>
        </w:rPr>
        <w:t>,</w:t>
      </w:r>
      <w:r w:rsidR="00B36C3A">
        <w:rPr>
          <w:lang w:val="es-MX"/>
        </w:rPr>
        <w:t>632</w:t>
      </w:r>
      <w:r w:rsidR="00D878CF" w:rsidRPr="008B4E3B">
        <w:rPr>
          <w:lang w:val="es-MX"/>
        </w:rPr>
        <w:t>, mismo importe que fue pagado en su totalidad, no fueron adquiridas con subsidios de capital del sector central.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B36C3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B36C3A">
              <w:rPr>
                <w:szCs w:val="18"/>
                <w:lang w:val="es-MX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B36C3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B36C3A">
              <w:rPr>
                <w:szCs w:val="18"/>
                <w:lang w:val="es-MX"/>
              </w:rPr>
              <w:t>4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C8601D" w:rsidP="00C8601D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</w:t>
            </w:r>
            <w:r w:rsidR="001C58D3">
              <w:rPr>
                <w:b/>
                <w:szCs w:val="18"/>
                <w:lang w:val="es-MX"/>
              </w:rPr>
              <w:t>6</w:t>
            </w:r>
            <w:r w:rsidR="00B55A31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410</w:t>
            </w:r>
            <w:r w:rsidR="00B55A31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948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D0D7F" w:rsidP="009D0D7F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15</w:t>
            </w:r>
            <w:r w:rsidR="00D878CF" w:rsidRPr="008B4E3B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551</w:t>
            </w:r>
            <w:r w:rsidR="00D878CF" w:rsidRPr="008B4E3B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539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Pr="008B4E3B" w:rsidRDefault="00EC05FC" w:rsidP="008B4E3B">
      <w:pPr>
        <w:pStyle w:val="Texto"/>
        <w:spacing w:after="0" w:line="276" w:lineRule="auto"/>
        <w:ind w:firstLine="0"/>
        <w:rPr>
          <w:szCs w:val="18"/>
          <w:lang w:val="es-MX"/>
        </w:rPr>
      </w:pPr>
      <w:r w:rsidRPr="00EC05FC">
        <w:rPr>
          <w:noProof/>
          <w:szCs w:val="18"/>
        </w:rPr>
        <w:lastRenderedPageBreak/>
        <w:pict>
          <v:shape id="_x0000_s1030" type="#_x0000_t75" style="position:absolute;left:0;text-align:left;margin-left:325.35pt;margin-top:-1.15pt;width:407.8pt;height:223.2pt;z-index:251660288">
            <v:imagedata r:id="rId22" o:title=""/>
            <w10:wrap type="topAndBottom"/>
          </v:shape>
          <o:OLEObject Type="Embed" ProgID="Excel.Sheet.12" ShapeID="_x0000_s1030" DrawAspect="Content" ObjectID="_1511869556" r:id="rId23"/>
        </w:pict>
      </w:r>
      <w:r>
        <w:rPr>
          <w:noProof/>
          <w:szCs w:val="18"/>
          <w:lang w:val="es-MX" w:eastAsia="es-MX"/>
        </w:rPr>
        <w:pict>
          <v:shape id="_x0000_s1028" type="#_x0000_t75" style="position:absolute;left:0;text-align:left;margin-left:-37pt;margin-top:5.75pt;width:401.55pt;height:181.75pt;z-index:251658240">
            <v:imagedata r:id="rId24" o:title=""/>
            <w10:wrap type="topAndBottom"/>
          </v:shape>
          <o:OLEObject Type="Embed" ProgID="Excel.Sheet.12" ShapeID="_x0000_s1028" DrawAspect="Content" ObjectID="_1511869557" r:id="rId25"/>
        </w:pict>
      </w:r>
    </w:p>
    <w:p w:rsidR="0044253C" w:rsidRPr="008B4E3B" w:rsidRDefault="0044253C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B849EE" w:rsidRPr="008B4E3B" w:rsidRDefault="00B849EE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B849EE" w:rsidRPr="008B4E3B" w:rsidRDefault="00B849EE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lastRenderedPageBreak/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2014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Pr="008B4E3B">
        <w:t>Depuraci</w:t>
      </w:r>
      <w:r w:rsidR="001F4D86" w:rsidRPr="008B4E3B">
        <w:t>o</w:t>
      </w:r>
      <w:r w:rsidRPr="008B4E3B">
        <w:t>n</w:t>
      </w:r>
      <w:r w:rsidR="001F4D86" w:rsidRPr="008B4E3B">
        <w:t xml:space="preserve">es </w:t>
      </w:r>
      <w:r w:rsidRPr="008B4E3B">
        <w:t xml:space="preserve"> </w:t>
      </w:r>
      <w:r w:rsidR="001F4D86" w:rsidRPr="008B4E3B">
        <w:t>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lastRenderedPageBreak/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estimación  de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</w:t>
      </w:r>
      <w:r w:rsidR="00E53FD9" w:rsidRPr="008B4E3B">
        <w:t xml:space="preserve"> $ </w:t>
      </w:r>
      <w:r w:rsidR="003D102E">
        <w:t>0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Se realizó la recaudación de ingresos exclusivamente en el orden de $ </w:t>
      </w:r>
      <w:r w:rsidR="00B55A31">
        <w:t>3</w:t>
      </w:r>
      <w:proofErr w:type="gramStart"/>
      <w:r w:rsidR="00E53FD9" w:rsidRPr="008B4E3B">
        <w:t>,</w:t>
      </w:r>
      <w:r w:rsidR="00B55A31">
        <w:t>242</w:t>
      </w:r>
      <w:r w:rsidR="00E53FD9" w:rsidRPr="008B4E3B">
        <w:t>,</w:t>
      </w:r>
      <w:r w:rsidR="00B55A31">
        <w:t>206</w:t>
      </w:r>
      <w:proofErr w:type="gramEnd"/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Se pretende que los ingresos vayan en forma ascendente en los próximos años hasta alcanzar los $ 4</w:t>
      </w:r>
      <w:proofErr w:type="gramStart"/>
      <w:r w:rsidR="00E53FD9" w:rsidRPr="008B4E3B">
        <w:t>,000,000</w:t>
      </w:r>
      <w:proofErr w:type="gramEnd"/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lastRenderedPageBreak/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        Mtro. Willebaldo Herrera Téllez                                                                                       C.P. Rogelio López Rodríguez</w:t>
      </w:r>
    </w:p>
    <w:p w:rsidR="00F13251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                 Director General                                                                                      Jefe del Depto. de Administración y Finanzas     </w:t>
      </w:r>
    </w:p>
    <w:p w:rsidR="004311BE" w:rsidRDefault="00EC05F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EC05FC">
        <w:rPr>
          <w:rFonts w:ascii="Soberana Sans Light" w:hAnsi="Soberana Sans Light"/>
          <w:noProof/>
        </w:rPr>
        <w:lastRenderedPageBreak/>
        <w:pict>
          <v:shape id="_x0000_s1038" type="#_x0000_t75" style="position:absolute;left:0;text-align:left;margin-left:3.75pt;margin-top:5.85pt;width:838.1pt;height:69.55pt;z-index:251662336">
            <v:imagedata r:id="rId26" o:title=""/>
            <w10:wrap type="topAndBottom"/>
          </v:shape>
          <o:OLEObject Type="Embed" ProgID="Excel.Sheet.12" ShapeID="_x0000_s1038" DrawAspect="Content" ObjectID="_1511869558" r:id="rId27"/>
        </w:pict>
      </w:r>
    </w:p>
    <w:sectPr w:rsidR="004311BE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72" w:rsidRDefault="00D56172" w:rsidP="00EA5418">
      <w:pPr>
        <w:spacing w:after="0" w:line="240" w:lineRule="auto"/>
      </w:pPr>
      <w:r>
        <w:separator/>
      </w:r>
    </w:p>
  </w:endnote>
  <w:endnote w:type="continuationSeparator" w:id="0">
    <w:p w:rsidR="00D56172" w:rsidRDefault="00D561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3B" w:rsidRPr="0013011C" w:rsidRDefault="00EC05F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8B4E3B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8B4E3B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8410D" w:rsidRPr="00E8410D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B4E3B" w:rsidRDefault="008B4E3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3B" w:rsidRPr="008E3652" w:rsidRDefault="00EC05F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B4E3B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8B4E3B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8410D" w:rsidRPr="00E8410D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72" w:rsidRDefault="00D56172" w:rsidP="00EA5418">
      <w:pPr>
        <w:spacing w:after="0" w:line="240" w:lineRule="auto"/>
      </w:pPr>
      <w:r>
        <w:separator/>
      </w:r>
    </w:p>
  </w:footnote>
  <w:footnote w:type="continuationSeparator" w:id="0">
    <w:p w:rsidR="00D56172" w:rsidRDefault="00D561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3B" w:rsidRDefault="00EC05FC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B4E3B" w:rsidRDefault="008B4E3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B4E3B" w:rsidRDefault="008B4E3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B4E3B" w:rsidRPr="00275FC6" w:rsidRDefault="008B4E3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B4E3B" w:rsidRDefault="008B4E3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9676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8B4E3B" w:rsidRDefault="008B4E3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B4E3B" w:rsidRPr="00275FC6" w:rsidRDefault="008B4E3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C05F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3B" w:rsidRPr="0013011C" w:rsidRDefault="00EC05F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8B4E3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217BC"/>
    <w:rsid w:val="00040466"/>
    <w:rsid w:val="00045A10"/>
    <w:rsid w:val="00075A35"/>
    <w:rsid w:val="000B6442"/>
    <w:rsid w:val="000C5641"/>
    <w:rsid w:val="000D3762"/>
    <w:rsid w:val="000D5BCC"/>
    <w:rsid w:val="00112684"/>
    <w:rsid w:val="0013011C"/>
    <w:rsid w:val="00140507"/>
    <w:rsid w:val="0015601E"/>
    <w:rsid w:val="00161C07"/>
    <w:rsid w:val="00165BB4"/>
    <w:rsid w:val="001801CC"/>
    <w:rsid w:val="001813BC"/>
    <w:rsid w:val="001B0332"/>
    <w:rsid w:val="001B1B72"/>
    <w:rsid w:val="001C58D3"/>
    <w:rsid w:val="001C6FD8"/>
    <w:rsid w:val="001E7072"/>
    <w:rsid w:val="001F4D86"/>
    <w:rsid w:val="00204C86"/>
    <w:rsid w:val="00221E1D"/>
    <w:rsid w:val="00232F1D"/>
    <w:rsid w:val="00244175"/>
    <w:rsid w:val="00256AD5"/>
    <w:rsid w:val="0026117E"/>
    <w:rsid w:val="00264426"/>
    <w:rsid w:val="00293C4E"/>
    <w:rsid w:val="002A70B3"/>
    <w:rsid w:val="002C5160"/>
    <w:rsid w:val="00357B5C"/>
    <w:rsid w:val="003650E2"/>
    <w:rsid w:val="00372F40"/>
    <w:rsid w:val="00393D0D"/>
    <w:rsid w:val="00396C2B"/>
    <w:rsid w:val="003A0303"/>
    <w:rsid w:val="003D102E"/>
    <w:rsid w:val="003D5DBF"/>
    <w:rsid w:val="003E7FD0"/>
    <w:rsid w:val="003F0EA4"/>
    <w:rsid w:val="00400764"/>
    <w:rsid w:val="004311BE"/>
    <w:rsid w:val="00434945"/>
    <w:rsid w:val="0044253C"/>
    <w:rsid w:val="00447CD4"/>
    <w:rsid w:val="00454453"/>
    <w:rsid w:val="00466999"/>
    <w:rsid w:val="004714CF"/>
    <w:rsid w:val="00484C0D"/>
    <w:rsid w:val="00485E74"/>
    <w:rsid w:val="00490E4D"/>
    <w:rsid w:val="00495784"/>
    <w:rsid w:val="00497D8B"/>
    <w:rsid w:val="004B5C95"/>
    <w:rsid w:val="004D41B8"/>
    <w:rsid w:val="004F5641"/>
    <w:rsid w:val="00522632"/>
    <w:rsid w:val="00522EF3"/>
    <w:rsid w:val="0053044C"/>
    <w:rsid w:val="00540418"/>
    <w:rsid w:val="0056752E"/>
    <w:rsid w:val="00574266"/>
    <w:rsid w:val="005823AB"/>
    <w:rsid w:val="0058682B"/>
    <w:rsid w:val="0059676E"/>
    <w:rsid w:val="005A0B42"/>
    <w:rsid w:val="005D3D25"/>
    <w:rsid w:val="00625526"/>
    <w:rsid w:val="0067461F"/>
    <w:rsid w:val="006A43FF"/>
    <w:rsid w:val="006A6136"/>
    <w:rsid w:val="006B0F0B"/>
    <w:rsid w:val="006B1FE7"/>
    <w:rsid w:val="006E77DD"/>
    <w:rsid w:val="007618A7"/>
    <w:rsid w:val="00763750"/>
    <w:rsid w:val="0079582C"/>
    <w:rsid w:val="007A0713"/>
    <w:rsid w:val="007A2897"/>
    <w:rsid w:val="007B40C6"/>
    <w:rsid w:val="007D6E9A"/>
    <w:rsid w:val="007E3402"/>
    <w:rsid w:val="00811DAC"/>
    <w:rsid w:val="0083169E"/>
    <w:rsid w:val="008554F2"/>
    <w:rsid w:val="0087031E"/>
    <w:rsid w:val="00875B25"/>
    <w:rsid w:val="0089054E"/>
    <w:rsid w:val="008A6796"/>
    <w:rsid w:val="008A6E4D"/>
    <w:rsid w:val="008A793D"/>
    <w:rsid w:val="008B0017"/>
    <w:rsid w:val="008B4E3B"/>
    <w:rsid w:val="008D5856"/>
    <w:rsid w:val="008E3652"/>
    <w:rsid w:val="008F6D58"/>
    <w:rsid w:val="0093492C"/>
    <w:rsid w:val="00937976"/>
    <w:rsid w:val="00942B54"/>
    <w:rsid w:val="009514AA"/>
    <w:rsid w:val="00957043"/>
    <w:rsid w:val="00961992"/>
    <w:rsid w:val="00981A5A"/>
    <w:rsid w:val="009954CF"/>
    <w:rsid w:val="009C0CB9"/>
    <w:rsid w:val="009D0D7F"/>
    <w:rsid w:val="009D5D4C"/>
    <w:rsid w:val="009F23C4"/>
    <w:rsid w:val="009F656D"/>
    <w:rsid w:val="00A03681"/>
    <w:rsid w:val="00A17654"/>
    <w:rsid w:val="00A363B6"/>
    <w:rsid w:val="00A374A2"/>
    <w:rsid w:val="00A46BF5"/>
    <w:rsid w:val="00A612C0"/>
    <w:rsid w:val="00A6212D"/>
    <w:rsid w:val="00A72FF2"/>
    <w:rsid w:val="00A95487"/>
    <w:rsid w:val="00AF541B"/>
    <w:rsid w:val="00B13906"/>
    <w:rsid w:val="00B146E2"/>
    <w:rsid w:val="00B15A2E"/>
    <w:rsid w:val="00B36C3A"/>
    <w:rsid w:val="00B55A31"/>
    <w:rsid w:val="00B77635"/>
    <w:rsid w:val="00B849EE"/>
    <w:rsid w:val="00B84D02"/>
    <w:rsid w:val="00B87C01"/>
    <w:rsid w:val="00BA2940"/>
    <w:rsid w:val="00BB110D"/>
    <w:rsid w:val="00BB33C0"/>
    <w:rsid w:val="00BC66D4"/>
    <w:rsid w:val="00BF18B3"/>
    <w:rsid w:val="00BF2EF5"/>
    <w:rsid w:val="00C16E53"/>
    <w:rsid w:val="00C2595A"/>
    <w:rsid w:val="00C431B4"/>
    <w:rsid w:val="00C56F3A"/>
    <w:rsid w:val="00C75F84"/>
    <w:rsid w:val="00C8601D"/>
    <w:rsid w:val="00C86C59"/>
    <w:rsid w:val="00C9078B"/>
    <w:rsid w:val="00C91C5A"/>
    <w:rsid w:val="00C9764D"/>
    <w:rsid w:val="00CD6D9A"/>
    <w:rsid w:val="00D00E92"/>
    <w:rsid w:val="00D055EC"/>
    <w:rsid w:val="00D31095"/>
    <w:rsid w:val="00D3455B"/>
    <w:rsid w:val="00D44098"/>
    <w:rsid w:val="00D44728"/>
    <w:rsid w:val="00D4646A"/>
    <w:rsid w:val="00D479F5"/>
    <w:rsid w:val="00D56172"/>
    <w:rsid w:val="00D562FF"/>
    <w:rsid w:val="00D8177E"/>
    <w:rsid w:val="00D878CF"/>
    <w:rsid w:val="00DA2030"/>
    <w:rsid w:val="00DA3A77"/>
    <w:rsid w:val="00DB6358"/>
    <w:rsid w:val="00DF56C9"/>
    <w:rsid w:val="00E071C6"/>
    <w:rsid w:val="00E30318"/>
    <w:rsid w:val="00E32708"/>
    <w:rsid w:val="00E47C32"/>
    <w:rsid w:val="00E53FD9"/>
    <w:rsid w:val="00E61F3D"/>
    <w:rsid w:val="00E8410D"/>
    <w:rsid w:val="00EA5418"/>
    <w:rsid w:val="00EC05FC"/>
    <w:rsid w:val="00EC29CD"/>
    <w:rsid w:val="00ED74A5"/>
    <w:rsid w:val="00EE46FB"/>
    <w:rsid w:val="00F00098"/>
    <w:rsid w:val="00F11C40"/>
    <w:rsid w:val="00F13251"/>
    <w:rsid w:val="00F17C0D"/>
    <w:rsid w:val="00F467E1"/>
    <w:rsid w:val="00F666A6"/>
    <w:rsid w:val="00F755D0"/>
    <w:rsid w:val="00F90C7C"/>
    <w:rsid w:val="00FB1010"/>
    <w:rsid w:val="00FB3916"/>
    <w:rsid w:val="00FB3C6E"/>
    <w:rsid w:val="00FD194E"/>
    <w:rsid w:val="00FD5A63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02C4-1B77-4B01-92EE-0C7018C9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2202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</cp:lastModifiedBy>
  <cp:revision>4</cp:revision>
  <cp:lastPrinted>2015-10-09T14:24:00Z</cp:lastPrinted>
  <dcterms:created xsi:type="dcterms:W3CDTF">2015-12-17T15:08:00Z</dcterms:created>
  <dcterms:modified xsi:type="dcterms:W3CDTF">2015-12-17T20:59:00Z</dcterms:modified>
</cp:coreProperties>
</file>