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Default="00056042" w:rsidP="00372F40">
      <w:pPr>
        <w:jc w:val="center"/>
        <w:rPr>
          <w:rFonts w:ascii="Soberana Sans Light" w:hAnsi="Soberana Sans Light"/>
        </w:rPr>
      </w:pPr>
      <w:bookmarkStart w:id="0" w:name="_GoBack"/>
      <w:bookmarkEnd w:id="0"/>
      <w:r>
        <w:rPr>
          <w:rFonts w:ascii="Soberana Sans Light" w:hAnsi="Soberana Sans Light"/>
        </w:rPr>
        <w:t>Introducción</w:t>
      </w:r>
    </w:p>
    <w:p w:rsidR="00E74436" w:rsidRDefault="003077D2" w:rsidP="003077D2">
      <w:pPr>
        <w:spacing w:after="0" w:line="480" w:lineRule="auto"/>
        <w:jc w:val="both"/>
        <w:rPr>
          <w:rFonts w:ascii="Arial" w:eastAsia="Times New Roman" w:hAnsi="Arial" w:cs="Arial"/>
          <w:color w:val="2F2F2F"/>
          <w:sz w:val="18"/>
          <w:szCs w:val="18"/>
          <w:lang w:eastAsia="es-MX"/>
        </w:rPr>
      </w:pPr>
      <w:r w:rsidRPr="003077D2">
        <w:rPr>
          <w:rFonts w:ascii="Arial" w:eastAsia="Times New Roman" w:hAnsi="Arial" w:cs="Arial"/>
          <w:color w:val="2F2F2F"/>
          <w:sz w:val="18"/>
          <w:szCs w:val="18"/>
          <w:lang w:eastAsia="es-MX"/>
        </w:rPr>
        <w:t>El Fideicomiso Colegio de Historia de Tlaxcala es un organismo público descentralizado, creado por Decreto número 207 del 5 de octubre de 1998, con el principal objetivo de llevar a cabo la difusión, conservación, mantenimiento, investigación y docencia del patrimonio histórico-cultural del Estado. Para ello, de manera conjunta trabaja con el Archivo Histórico del Estado, principal custodio de la memoria documental de los tlaxcaltecas, encargado de prestar el servicio de consulta a los investigadores, estudiantes y público en general. Para presentar los resultados de las investigaciones que se realizan tanto en el Archivo Histórico como en el Colegio de Historia, se tiene el Museo de la Memoria, que funge como escaparate de los trabajos realizados</w:t>
      </w:r>
      <w:r>
        <w:rPr>
          <w:rFonts w:ascii="Arial" w:eastAsia="Times New Roman" w:hAnsi="Arial" w:cs="Arial"/>
          <w:color w:val="2F2F2F"/>
          <w:sz w:val="18"/>
          <w:szCs w:val="18"/>
          <w:lang w:eastAsia="es-MX"/>
        </w:rPr>
        <w:t>.</w:t>
      </w:r>
    </w:p>
    <w:p w:rsidR="003077D2" w:rsidRDefault="003077D2" w:rsidP="003077D2">
      <w:pPr>
        <w:spacing w:after="0" w:line="480" w:lineRule="auto"/>
        <w:jc w:val="both"/>
        <w:rPr>
          <w:rFonts w:ascii="Arial" w:eastAsia="Times New Roman" w:hAnsi="Arial" w:cs="Arial"/>
          <w:color w:val="2F2F2F"/>
          <w:sz w:val="18"/>
          <w:szCs w:val="18"/>
          <w:lang w:eastAsia="es-MX"/>
        </w:rPr>
      </w:pPr>
    </w:p>
    <w:p w:rsidR="00756709" w:rsidRDefault="00756709" w:rsidP="003077D2">
      <w:p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Su objetivo principal es f</w:t>
      </w:r>
      <w:r w:rsidRPr="00756709">
        <w:rPr>
          <w:rFonts w:ascii="Arial" w:eastAsia="Times New Roman" w:hAnsi="Arial" w:cs="Arial"/>
          <w:color w:val="2F2F2F"/>
          <w:sz w:val="18"/>
          <w:szCs w:val="18"/>
          <w:lang w:eastAsia="es-MX"/>
        </w:rPr>
        <w:t>ortalecer entre la ciudadanía, el interés por la historia de Tlaxcala, a través de la preservación y organización de la documentación histórica, realización de un programa de publicaciones y exposiciones, además de otras ofertas cultuales generada por el Fideicomiso, en aras de contr</w:t>
      </w:r>
      <w:r>
        <w:rPr>
          <w:rFonts w:ascii="Arial" w:eastAsia="Times New Roman" w:hAnsi="Arial" w:cs="Arial"/>
          <w:color w:val="2F2F2F"/>
          <w:sz w:val="18"/>
          <w:szCs w:val="18"/>
          <w:lang w:eastAsia="es-MX"/>
        </w:rPr>
        <w:t>ibuir a la formación de ciudada</w:t>
      </w:r>
      <w:r w:rsidRPr="00756709">
        <w:rPr>
          <w:rFonts w:ascii="Arial" w:eastAsia="Times New Roman" w:hAnsi="Arial" w:cs="Arial"/>
          <w:color w:val="2F2F2F"/>
          <w:sz w:val="18"/>
          <w:szCs w:val="18"/>
          <w:lang w:eastAsia="es-MX"/>
        </w:rPr>
        <w:t>nos responsables de su patrimonio.</w:t>
      </w:r>
    </w:p>
    <w:p w:rsidR="00756709" w:rsidRDefault="00756709" w:rsidP="003077D2">
      <w:pPr>
        <w:spacing w:after="0" w:line="480" w:lineRule="auto"/>
        <w:jc w:val="both"/>
        <w:rPr>
          <w:rFonts w:ascii="Arial" w:eastAsia="Times New Roman" w:hAnsi="Arial" w:cs="Arial"/>
          <w:color w:val="2F2F2F"/>
          <w:sz w:val="18"/>
          <w:szCs w:val="18"/>
          <w:lang w:eastAsia="es-MX"/>
        </w:rPr>
      </w:pPr>
    </w:p>
    <w:p w:rsidR="001551B7" w:rsidRDefault="001551B7" w:rsidP="003077D2">
      <w:pPr>
        <w:autoSpaceDE w:val="0"/>
        <w:autoSpaceDN w:val="0"/>
        <w:adjustRightInd w:val="0"/>
        <w:spacing w:after="0" w:line="480" w:lineRule="auto"/>
        <w:jc w:val="both"/>
        <w:rPr>
          <w:rFonts w:ascii="Arial" w:eastAsia="Times New Roman" w:hAnsi="Arial" w:cs="Arial"/>
          <w:color w:val="2F2F2F"/>
          <w:sz w:val="18"/>
          <w:szCs w:val="18"/>
          <w:lang w:eastAsia="es-MX"/>
        </w:rPr>
      </w:pPr>
      <w:r w:rsidRPr="00B405B1">
        <w:rPr>
          <w:rFonts w:ascii="Arial" w:eastAsia="Times New Roman" w:hAnsi="Arial" w:cs="Arial"/>
          <w:color w:val="2F2F2F"/>
          <w:sz w:val="18"/>
          <w:szCs w:val="18"/>
          <w:lang w:eastAsia="es-MX"/>
        </w:rPr>
        <w:t xml:space="preserve">La rendición de cuentas </w:t>
      </w:r>
      <w:r w:rsidR="00B405B1">
        <w:rPr>
          <w:rFonts w:ascii="Arial" w:eastAsia="Times New Roman" w:hAnsi="Arial" w:cs="Arial"/>
          <w:color w:val="2F2F2F"/>
          <w:sz w:val="18"/>
          <w:szCs w:val="18"/>
          <w:lang w:eastAsia="es-MX"/>
        </w:rPr>
        <w:t xml:space="preserve">debe ser </w:t>
      </w:r>
      <w:r w:rsidRPr="00B405B1">
        <w:rPr>
          <w:rFonts w:ascii="Arial" w:eastAsia="Times New Roman" w:hAnsi="Arial" w:cs="Arial"/>
          <w:color w:val="2F2F2F"/>
          <w:sz w:val="18"/>
          <w:szCs w:val="18"/>
          <w:lang w:eastAsia="es-MX"/>
        </w:rPr>
        <w:t>en forma clara y oportuna, confirma el compromiso de la presente</w:t>
      </w:r>
      <w:r w:rsidR="00B405B1" w:rsidRPr="00B405B1">
        <w:rPr>
          <w:rFonts w:ascii="Arial" w:eastAsia="Times New Roman" w:hAnsi="Arial" w:cs="Arial"/>
          <w:color w:val="2F2F2F"/>
          <w:sz w:val="18"/>
          <w:szCs w:val="18"/>
          <w:lang w:eastAsia="es-MX"/>
        </w:rPr>
        <w:t xml:space="preserve"> </w:t>
      </w:r>
      <w:r w:rsidRPr="00B405B1">
        <w:rPr>
          <w:rFonts w:ascii="Arial" w:eastAsia="Times New Roman" w:hAnsi="Arial" w:cs="Arial"/>
          <w:color w:val="2F2F2F"/>
          <w:sz w:val="18"/>
          <w:szCs w:val="18"/>
          <w:lang w:eastAsia="es-MX"/>
        </w:rPr>
        <w:t xml:space="preserve">administración </w:t>
      </w:r>
      <w:r w:rsidR="00B405B1">
        <w:rPr>
          <w:rFonts w:ascii="Arial" w:eastAsia="Times New Roman" w:hAnsi="Arial" w:cs="Arial"/>
          <w:color w:val="2F2F2F"/>
          <w:sz w:val="18"/>
          <w:szCs w:val="18"/>
          <w:lang w:eastAsia="es-MX"/>
        </w:rPr>
        <w:t xml:space="preserve">del Fideicomiso Colegio de Historia de Tlaxcala, </w:t>
      </w:r>
      <w:r w:rsidRPr="00B405B1">
        <w:rPr>
          <w:rFonts w:ascii="Arial" w:eastAsia="Times New Roman" w:hAnsi="Arial" w:cs="Arial"/>
          <w:color w:val="2F2F2F"/>
          <w:sz w:val="18"/>
          <w:szCs w:val="18"/>
          <w:lang w:eastAsia="es-MX"/>
        </w:rPr>
        <w:t>para transparentar el uso de los recursos públicos y fomentar la confianza de</w:t>
      </w:r>
      <w:r w:rsidR="00B405B1" w:rsidRPr="00B405B1">
        <w:rPr>
          <w:rFonts w:ascii="Arial" w:eastAsia="Times New Roman" w:hAnsi="Arial" w:cs="Arial"/>
          <w:color w:val="2F2F2F"/>
          <w:sz w:val="18"/>
          <w:szCs w:val="18"/>
          <w:lang w:eastAsia="es-MX"/>
        </w:rPr>
        <w:t xml:space="preserve"> </w:t>
      </w:r>
      <w:r w:rsidRPr="00B405B1">
        <w:rPr>
          <w:rFonts w:ascii="Arial" w:eastAsia="Times New Roman" w:hAnsi="Arial" w:cs="Arial"/>
          <w:color w:val="2F2F2F"/>
          <w:sz w:val="18"/>
          <w:szCs w:val="18"/>
          <w:lang w:eastAsia="es-MX"/>
        </w:rPr>
        <w:t>la sociedad en sus instituciones</w:t>
      </w:r>
      <w:r w:rsidR="00B405B1">
        <w:rPr>
          <w:rFonts w:ascii="Arial" w:eastAsia="Times New Roman" w:hAnsi="Arial" w:cs="Arial"/>
          <w:color w:val="2F2F2F"/>
          <w:sz w:val="18"/>
          <w:szCs w:val="18"/>
          <w:lang w:eastAsia="es-MX"/>
        </w:rPr>
        <w:t xml:space="preserve"> públicas</w:t>
      </w:r>
      <w:r w:rsidRPr="00B405B1">
        <w:rPr>
          <w:rFonts w:ascii="Arial" w:eastAsia="Times New Roman" w:hAnsi="Arial" w:cs="Arial"/>
          <w:color w:val="2F2F2F"/>
          <w:sz w:val="18"/>
          <w:szCs w:val="18"/>
          <w:lang w:eastAsia="es-MX"/>
        </w:rPr>
        <w:t xml:space="preserve">. El Gobierno del Estado de </w:t>
      </w:r>
      <w:r w:rsidR="00B405B1" w:rsidRPr="00B405B1">
        <w:rPr>
          <w:rFonts w:ascii="Arial" w:eastAsia="Times New Roman" w:hAnsi="Arial" w:cs="Arial"/>
          <w:color w:val="2F2F2F"/>
          <w:sz w:val="18"/>
          <w:szCs w:val="18"/>
          <w:lang w:eastAsia="es-MX"/>
        </w:rPr>
        <w:t xml:space="preserve">Tlaxcala debe ser </w:t>
      </w:r>
      <w:r w:rsidRPr="00B405B1">
        <w:rPr>
          <w:rFonts w:ascii="Arial" w:eastAsia="Times New Roman" w:hAnsi="Arial" w:cs="Arial"/>
          <w:color w:val="2F2F2F"/>
          <w:sz w:val="18"/>
          <w:szCs w:val="18"/>
          <w:lang w:eastAsia="es-MX"/>
        </w:rPr>
        <w:t>reconocido</w:t>
      </w:r>
      <w:r w:rsidR="00B405B1" w:rsidRPr="00B405B1">
        <w:rPr>
          <w:rFonts w:ascii="Arial" w:eastAsia="Times New Roman" w:hAnsi="Arial" w:cs="Arial"/>
          <w:color w:val="2F2F2F"/>
          <w:sz w:val="18"/>
          <w:szCs w:val="18"/>
          <w:lang w:eastAsia="es-MX"/>
        </w:rPr>
        <w:t xml:space="preserve"> </w:t>
      </w:r>
      <w:r w:rsidRPr="00B405B1">
        <w:rPr>
          <w:rFonts w:ascii="Arial" w:eastAsia="Times New Roman" w:hAnsi="Arial" w:cs="Arial"/>
          <w:color w:val="2F2F2F"/>
          <w:sz w:val="18"/>
          <w:szCs w:val="18"/>
          <w:lang w:eastAsia="es-MX"/>
        </w:rPr>
        <w:t>a nivel nacional por los avances en el proceso de la Armonización Contable reiterando</w:t>
      </w:r>
      <w:r w:rsidR="00B405B1" w:rsidRPr="00B405B1">
        <w:rPr>
          <w:rFonts w:ascii="Arial" w:eastAsia="Times New Roman" w:hAnsi="Arial" w:cs="Arial"/>
          <w:color w:val="2F2F2F"/>
          <w:sz w:val="18"/>
          <w:szCs w:val="18"/>
          <w:lang w:eastAsia="es-MX"/>
        </w:rPr>
        <w:t xml:space="preserve"> </w:t>
      </w:r>
      <w:r w:rsidRPr="00B405B1">
        <w:rPr>
          <w:rFonts w:ascii="Arial" w:eastAsia="Times New Roman" w:hAnsi="Arial" w:cs="Arial"/>
          <w:color w:val="2F2F2F"/>
          <w:sz w:val="18"/>
          <w:szCs w:val="18"/>
          <w:lang w:eastAsia="es-MX"/>
        </w:rPr>
        <w:t xml:space="preserve">los principios éticos que rigen su administración </w:t>
      </w:r>
      <w:r w:rsidR="00B405B1" w:rsidRPr="00B405B1">
        <w:rPr>
          <w:rFonts w:ascii="Arial" w:eastAsia="Times New Roman" w:hAnsi="Arial" w:cs="Arial"/>
          <w:color w:val="2F2F2F"/>
          <w:sz w:val="18"/>
          <w:szCs w:val="18"/>
          <w:lang w:eastAsia="es-MX"/>
        </w:rPr>
        <w:t>pública estatal tlaxcalteca.</w:t>
      </w:r>
    </w:p>
    <w:p w:rsidR="003077D2" w:rsidRDefault="003077D2" w:rsidP="003077D2">
      <w:pPr>
        <w:autoSpaceDE w:val="0"/>
        <w:autoSpaceDN w:val="0"/>
        <w:adjustRightInd w:val="0"/>
        <w:spacing w:after="0" w:line="480" w:lineRule="auto"/>
        <w:jc w:val="both"/>
        <w:rPr>
          <w:rFonts w:ascii="Arial" w:eastAsia="Times New Roman" w:hAnsi="Arial" w:cs="Arial"/>
          <w:color w:val="2F2F2F"/>
          <w:sz w:val="18"/>
          <w:szCs w:val="18"/>
          <w:lang w:eastAsia="es-MX"/>
        </w:rPr>
      </w:pPr>
    </w:p>
    <w:p w:rsidR="001551B7" w:rsidRDefault="00B405B1" w:rsidP="003077D2">
      <w:pPr>
        <w:autoSpaceDE w:val="0"/>
        <w:autoSpaceDN w:val="0"/>
        <w:adjustRightInd w:val="0"/>
        <w:spacing w:after="0" w:line="480" w:lineRule="auto"/>
        <w:jc w:val="both"/>
        <w:rPr>
          <w:rFonts w:ascii="Arial" w:eastAsia="Times New Roman" w:hAnsi="Arial" w:cs="Arial"/>
          <w:color w:val="2F2F2F"/>
          <w:sz w:val="18"/>
          <w:szCs w:val="18"/>
          <w:lang w:eastAsia="es-MX"/>
        </w:rPr>
      </w:pPr>
      <w:r w:rsidRPr="00B405B1">
        <w:rPr>
          <w:rFonts w:ascii="Arial" w:eastAsia="Times New Roman" w:hAnsi="Arial" w:cs="Arial"/>
          <w:color w:val="2F2F2F"/>
          <w:sz w:val="18"/>
          <w:szCs w:val="18"/>
          <w:lang w:eastAsia="es-MX"/>
        </w:rPr>
        <w:t xml:space="preserve">El Gobierno del Estado a través de la Secretaría de </w:t>
      </w:r>
      <w:r w:rsidR="006D73A5">
        <w:rPr>
          <w:rFonts w:ascii="Arial" w:eastAsia="Times New Roman" w:hAnsi="Arial" w:cs="Arial"/>
          <w:color w:val="2F2F2F"/>
          <w:sz w:val="18"/>
          <w:szCs w:val="18"/>
          <w:lang w:eastAsia="es-MX"/>
        </w:rPr>
        <w:t xml:space="preserve">Planeación y </w:t>
      </w:r>
      <w:r w:rsidRPr="00B405B1">
        <w:rPr>
          <w:rFonts w:ascii="Arial" w:eastAsia="Times New Roman" w:hAnsi="Arial" w:cs="Arial"/>
          <w:color w:val="2F2F2F"/>
          <w:sz w:val="18"/>
          <w:szCs w:val="18"/>
          <w:lang w:eastAsia="es-MX"/>
        </w:rPr>
        <w:t>Finanzas procedió a establecer los mecanismos de seguimiento para garant</w:t>
      </w:r>
      <w:r w:rsidR="003077D2">
        <w:rPr>
          <w:rFonts w:ascii="Arial" w:eastAsia="Times New Roman" w:hAnsi="Arial" w:cs="Arial"/>
          <w:color w:val="2F2F2F"/>
          <w:sz w:val="18"/>
          <w:szCs w:val="18"/>
          <w:lang w:eastAsia="es-MX"/>
        </w:rPr>
        <w:t>izar el proceso de armonización contable.</w:t>
      </w:r>
    </w:p>
    <w:p w:rsidR="003077D2" w:rsidRPr="00B405B1" w:rsidRDefault="003077D2" w:rsidP="003077D2">
      <w:pPr>
        <w:autoSpaceDE w:val="0"/>
        <w:autoSpaceDN w:val="0"/>
        <w:adjustRightInd w:val="0"/>
        <w:spacing w:after="0" w:line="480" w:lineRule="auto"/>
        <w:jc w:val="both"/>
        <w:rPr>
          <w:rFonts w:ascii="Arial" w:eastAsia="Times New Roman" w:hAnsi="Arial" w:cs="Arial"/>
          <w:color w:val="2F2F2F"/>
          <w:sz w:val="18"/>
          <w:szCs w:val="18"/>
          <w:lang w:eastAsia="es-MX"/>
        </w:rPr>
      </w:pPr>
    </w:p>
    <w:p w:rsidR="00056042" w:rsidRDefault="003077D2" w:rsidP="00756709">
      <w:p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Es por ello que debe ser de</w:t>
      </w:r>
      <w:r w:rsidRPr="001551B7">
        <w:rPr>
          <w:rFonts w:ascii="Arial" w:eastAsia="Times New Roman" w:hAnsi="Arial" w:cs="Arial"/>
          <w:color w:val="2F2F2F"/>
          <w:sz w:val="18"/>
          <w:szCs w:val="18"/>
          <w:lang w:eastAsia="es-MX"/>
        </w:rPr>
        <w:t xml:space="preserve"> observancia obligatoria para l</w:t>
      </w:r>
      <w:r>
        <w:rPr>
          <w:rFonts w:ascii="Arial" w:eastAsia="Times New Roman" w:hAnsi="Arial" w:cs="Arial"/>
          <w:color w:val="2F2F2F"/>
          <w:sz w:val="18"/>
          <w:szCs w:val="18"/>
          <w:lang w:eastAsia="es-MX"/>
        </w:rPr>
        <w:t>as entidades paraestatales, l</w:t>
      </w:r>
      <w:r w:rsidRPr="001551B7">
        <w:rPr>
          <w:rFonts w:ascii="Arial" w:eastAsia="Times New Roman" w:hAnsi="Arial" w:cs="Arial"/>
          <w:color w:val="2F2F2F"/>
          <w:sz w:val="18"/>
          <w:szCs w:val="18"/>
          <w:lang w:eastAsia="es-MX"/>
        </w:rPr>
        <w:t>a Ley de Contabilidad</w:t>
      </w:r>
      <w:r>
        <w:rPr>
          <w:rFonts w:ascii="Arial" w:eastAsia="Times New Roman" w:hAnsi="Arial" w:cs="Arial"/>
          <w:color w:val="2F2F2F"/>
          <w:sz w:val="18"/>
          <w:szCs w:val="18"/>
          <w:lang w:eastAsia="es-MX"/>
        </w:rPr>
        <w:t>,</w:t>
      </w:r>
      <w:r w:rsidRPr="001551B7">
        <w:rPr>
          <w:rFonts w:ascii="Arial" w:eastAsia="Times New Roman" w:hAnsi="Arial" w:cs="Arial"/>
          <w:color w:val="2F2F2F"/>
          <w:sz w:val="18"/>
          <w:szCs w:val="18"/>
          <w:lang w:eastAsia="es-MX"/>
        </w:rPr>
        <w:t xml:space="preserve"> </w:t>
      </w:r>
      <w:r>
        <w:rPr>
          <w:rFonts w:ascii="Arial" w:eastAsia="Times New Roman" w:hAnsi="Arial" w:cs="Arial"/>
          <w:color w:val="2F2F2F"/>
          <w:sz w:val="18"/>
          <w:szCs w:val="18"/>
          <w:lang w:eastAsia="es-MX"/>
        </w:rPr>
        <w:t xml:space="preserve">en base </w:t>
      </w:r>
      <w:r w:rsidRPr="001551B7">
        <w:rPr>
          <w:rFonts w:ascii="Arial" w:eastAsia="Times New Roman" w:hAnsi="Arial" w:cs="Arial"/>
          <w:color w:val="2F2F2F"/>
          <w:sz w:val="18"/>
          <w:szCs w:val="18"/>
          <w:lang w:eastAsia="es-MX"/>
        </w:rPr>
        <w:t>en el Diario Oficial de la Federación la Ley General de Contabilidad Gubernamental (Ley de Contabilidad)</w:t>
      </w:r>
      <w:r>
        <w:rPr>
          <w:rFonts w:ascii="Arial" w:eastAsia="Times New Roman" w:hAnsi="Arial" w:cs="Arial"/>
          <w:color w:val="2F2F2F"/>
          <w:sz w:val="18"/>
          <w:szCs w:val="18"/>
          <w:lang w:eastAsia="es-MX"/>
        </w:rPr>
        <w:t xml:space="preserve"> publicado el 31 de Diciembre de 2008, que ti</w:t>
      </w:r>
      <w:r w:rsidRPr="001551B7">
        <w:rPr>
          <w:rFonts w:ascii="Arial" w:eastAsia="Times New Roman" w:hAnsi="Arial" w:cs="Arial"/>
          <w:color w:val="2F2F2F"/>
          <w:sz w:val="18"/>
          <w:szCs w:val="18"/>
          <w:lang w:eastAsia="es-MX"/>
        </w:rPr>
        <w:t>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w:t>
      </w:r>
      <w:r w:rsidR="0030379F">
        <w:rPr>
          <w:rFonts w:ascii="Arial" w:eastAsia="Times New Roman" w:hAnsi="Arial" w:cs="Arial"/>
          <w:color w:val="2F2F2F"/>
          <w:sz w:val="18"/>
          <w:szCs w:val="18"/>
          <w:lang w:eastAsia="es-MX"/>
        </w:rPr>
        <w:t>s</w:t>
      </w:r>
      <w:r w:rsidRPr="001551B7">
        <w:rPr>
          <w:rFonts w:ascii="Arial" w:eastAsia="Times New Roman" w:hAnsi="Arial" w:cs="Arial"/>
          <w:color w:val="2F2F2F"/>
          <w:sz w:val="18"/>
          <w:szCs w:val="18"/>
          <w:lang w:eastAsia="es-MX"/>
        </w:rPr>
        <w:t xml:space="preserve"> públicos.</w:t>
      </w:r>
    </w:p>
    <w:p w:rsidR="009D3397" w:rsidRDefault="009D3397" w:rsidP="00756709">
      <w:p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lastRenderedPageBreak/>
        <w:t>Que en cumplimiento a lo establecido en los artículos 1 y 46 de la Ley General de Contabilidad Gubernamental, la Cuenta Pública del Fideicomiso Colegio de Historia de Tlaxcala, que se formula, contempla lo siguiente:</w:t>
      </w:r>
    </w:p>
    <w:p w:rsidR="009D3397" w:rsidRDefault="009D3397" w:rsidP="009D3397">
      <w:pPr>
        <w:pStyle w:val="Prrafodelista"/>
        <w:numPr>
          <w:ilvl w:val="0"/>
          <w:numId w:val="5"/>
        </w:num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Introducción.</w:t>
      </w:r>
    </w:p>
    <w:p w:rsidR="009D3397" w:rsidRDefault="009D3397" w:rsidP="009D3397">
      <w:pPr>
        <w:pStyle w:val="Prrafodelista"/>
        <w:numPr>
          <w:ilvl w:val="0"/>
          <w:numId w:val="5"/>
        </w:num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Información Contable</w:t>
      </w:r>
    </w:p>
    <w:p w:rsidR="009D3397" w:rsidRDefault="009D3397" w:rsidP="009D3397">
      <w:pPr>
        <w:pStyle w:val="Prrafodelista"/>
        <w:numPr>
          <w:ilvl w:val="0"/>
          <w:numId w:val="5"/>
        </w:num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Información Presupuestaria.</w:t>
      </w:r>
    </w:p>
    <w:p w:rsidR="009D3397" w:rsidRDefault="009D3397" w:rsidP="009D3397">
      <w:pPr>
        <w:pStyle w:val="Prrafodelista"/>
        <w:numPr>
          <w:ilvl w:val="0"/>
          <w:numId w:val="5"/>
        </w:num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Información Programática y</w:t>
      </w:r>
    </w:p>
    <w:p w:rsidR="009D3397" w:rsidRPr="009D3397" w:rsidRDefault="009D3397" w:rsidP="009D3397">
      <w:pPr>
        <w:pStyle w:val="Prrafodelista"/>
        <w:numPr>
          <w:ilvl w:val="0"/>
          <w:numId w:val="5"/>
        </w:numPr>
        <w:spacing w:after="0" w:line="480" w:lineRule="auto"/>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Anexos</w:t>
      </w:r>
    </w:p>
    <w:p w:rsidR="009D3397" w:rsidRPr="00756709" w:rsidRDefault="009D3397" w:rsidP="00756709">
      <w:pPr>
        <w:spacing w:after="0" w:line="480" w:lineRule="auto"/>
        <w:jc w:val="both"/>
        <w:rPr>
          <w:rFonts w:ascii="Arial" w:eastAsia="Times New Roman" w:hAnsi="Arial" w:cs="Arial"/>
          <w:color w:val="2F2F2F"/>
          <w:sz w:val="18"/>
          <w:szCs w:val="18"/>
          <w:lang w:eastAsia="es-MX"/>
        </w:rPr>
      </w:pPr>
    </w:p>
    <w:sectPr w:rsidR="009D3397" w:rsidRPr="00756709"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78" w:rsidRDefault="00075378" w:rsidP="00EA5418">
      <w:pPr>
        <w:spacing w:after="0" w:line="240" w:lineRule="auto"/>
      </w:pPr>
      <w:r>
        <w:separator/>
      </w:r>
    </w:p>
  </w:endnote>
  <w:endnote w:type="continuationSeparator" w:id="0">
    <w:p w:rsidR="00075378" w:rsidRDefault="0007537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C07B4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F92CDF" w:rsidRPr="00F92CDF">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C07B4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F92CDF" w:rsidRPr="00F92CDF">
          <w:rPr>
            <w:rFonts w:ascii="Soberana Sans Light" w:hAnsi="Soberana Sans Light"/>
            <w:noProof/>
            <w:lang w:val="es-ES"/>
          </w:rPr>
          <w:t>1</w:t>
        </w:r>
        <w:r w:rsidRPr="008E3652">
          <w:rPr>
            <w:rFonts w:ascii="Soberana Sans Light" w:hAnsi="Soberana Sans Light"/>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DF" w:rsidRDefault="00F92C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78" w:rsidRDefault="00075378" w:rsidP="00EA5418">
      <w:pPr>
        <w:spacing w:after="0" w:line="240" w:lineRule="auto"/>
      </w:pPr>
      <w:r>
        <w:separator/>
      </w:r>
    </w:p>
  </w:footnote>
  <w:footnote w:type="continuationSeparator" w:id="0">
    <w:p w:rsidR="00075378" w:rsidRDefault="0007537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C07B47">
    <w:pPr>
      <w:pStyle w:val="Encabezado"/>
    </w:pPr>
    <w:r>
      <w:rPr>
        <w:noProof/>
        <w:lang w:eastAsia="es-MX"/>
      </w:rPr>
      <w:pict>
        <v:group id="6 Grupo" o:spid="_x0000_s8197"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8201"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92CDF">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C07B47">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C07B4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2B6FBF">
      <w:rPr>
        <w:rFonts w:ascii="Soberana Sans Light" w:hAnsi="Soberana Sans Light"/>
      </w:rPr>
      <w:t>FIDEICOMISO COLEGIO DE HISTORIA DE TLAXCALA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CDF" w:rsidRDefault="00F92CD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D91CC8"/>
    <w:multiLevelType w:val="hybridMultilevel"/>
    <w:tmpl w:val="A18E76B6"/>
    <w:lvl w:ilvl="0" w:tplc="9EFA7E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A5418"/>
    <w:rsid w:val="00040466"/>
    <w:rsid w:val="00056042"/>
    <w:rsid w:val="00075378"/>
    <w:rsid w:val="0013011C"/>
    <w:rsid w:val="001551B7"/>
    <w:rsid w:val="001646D9"/>
    <w:rsid w:val="001B1B72"/>
    <w:rsid w:val="002865A7"/>
    <w:rsid w:val="002A70B3"/>
    <w:rsid w:val="002B6FBF"/>
    <w:rsid w:val="002E5897"/>
    <w:rsid w:val="002F233A"/>
    <w:rsid w:val="0030379F"/>
    <w:rsid w:val="00307635"/>
    <w:rsid w:val="003077D2"/>
    <w:rsid w:val="00355821"/>
    <w:rsid w:val="003575A4"/>
    <w:rsid w:val="003610E0"/>
    <w:rsid w:val="00372F40"/>
    <w:rsid w:val="003D5DBF"/>
    <w:rsid w:val="003E7FD0"/>
    <w:rsid w:val="0044253C"/>
    <w:rsid w:val="00486AE1"/>
    <w:rsid w:val="00497D8B"/>
    <w:rsid w:val="004D41B8"/>
    <w:rsid w:val="00502D8E"/>
    <w:rsid w:val="005117F4"/>
    <w:rsid w:val="005154CF"/>
    <w:rsid w:val="00522632"/>
    <w:rsid w:val="00531310"/>
    <w:rsid w:val="00534982"/>
    <w:rsid w:val="00540418"/>
    <w:rsid w:val="00582405"/>
    <w:rsid w:val="005859FA"/>
    <w:rsid w:val="006048D2"/>
    <w:rsid w:val="00611E39"/>
    <w:rsid w:val="006130AA"/>
    <w:rsid w:val="006B729B"/>
    <w:rsid w:val="006D73A5"/>
    <w:rsid w:val="006E6B8E"/>
    <w:rsid w:val="006E77DD"/>
    <w:rsid w:val="00756709"/>
    <w:rsid w:val="00760C26"/>
    <w:rsid w:val="0079582C"/>
    <w:rsid w:val="007D6E9A"/>
    <w:rsid w:val="00850E90"/>
    <w:rsid w:val="008A6E4D"/>
    <w:rsid w:val="008B0017"/>
    <w:rsid w:val="008D4272"/>
    <w:rsid w:val="008E3652"/>
    <w:rsid w:val="009D3397"/>
    <w:rsid w:val="00A14B74"/>
    <w:rsid w:val="00A7566A"/>
    <w:rsid w:val="00AB13B7"/>
    <w:rsid w:val="00B17423"/>
    <w:rsid w:val="00B405B1"/>
    <w:rsid w:val="00B42A02"/>
    <w:rsid w:val="00B849EE"/>
    <w:rsid w:val="00C07B47"/>
    <w:rsid w:val="00C44F01"/>
    <w:rsid w:val="00C74A79"/>
    <w:rsid w:val="00CA2D37"/>
    <w:rsid w:val="00CC5CB6"/>
    <w:rsid w:val="00D055EC"/>
    <w:rsid w:val="00D202BA"/>
    <w:rsid w:val="00D404ED"/>
    <w:rsid w:val="00D51261"/>
    <w:rsid w:val="00D748D3"/>
    <w:rsid w:val="00DD230F"/>
    <w:rsid w:val="00E32708"/>
    <w:rsid w:val="00E74436"/>
    <w:rsid w:val="00E961C1"/>
    <w:rsid w:val="00EA5418"/>
    <w:rsid w:val="00F92CDF"/>
    <w:rsid w:val="00F969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18779913">
      <w:bodyDiv w:val="1"/>
      <w:marLeft w:val="0"/>
      <w:marRight w:val="0"/>
      <w:marTop w:val="0"/>
      <w:marBottom w:val="0"/>
      <w:divBdr>
        <w:top w:val="none" w:sz="0" w:space="0" w:color="auto"/>
        <w:left w:val="none" w:sz="0" w:space="0" w:color="auto"/>
        <w:bottom w:val="none" w:sz="0" w:space="0" w:color="auto"/>
        <w:right w:val="none" w:sz="0" w:space="0" w:color="auto"/>
      </w:divBdr>
      <w:divsChild>
        <w:div w:id="1304238869">
          <w:marLeft w:val="0"/>
          <w:marRight w:val="0"/>
          <w:marTop w:val="240"/>
          <w:marBottom w:val="0"/>
          <w:divBdr>
            <w:top w:val="none" w:sz="0" w:space="0" w:color="auto"/>
            <w:left w:val="none" w:sz="0" w:space="0" w:color="auto"/>
            <w:bottom w:val="none" w:sz="0" w:space="0" w:color="auto"/>
            <w:right w:val="none" w:sz="0" w:space="0" w:color="auto"/>
          </w:divBdr>
          <w:divsChild>
            <w:div w:id="1733697246">
              <w:marLeft w:val="0"/>
              <w:marRight w:val="0"/>
              <w:marTop w:val="0"/>
              <w:marBottom w:val="0"/>
              <w:divBdr>
                <w:top w:val="none" w:sz="0" w:space="0" w:color="auto"/>
                <w:left w:val="none" w:sz="0" w:space="0" w:color="auto"/>
                <w:bottom w:val="none" w:sz="0" w:space="0" w:color="auto"/>
                <w:right w:val="none" w:sz="0" w:space="0" w:color="auto"/>
              </w:divBdr>
              <w:divsChild>
                <w:div w:id="1701276849">
                  <w:marLeft w:val="0"/>
                  <w:marRight w:val="0"/>
                  <w:marTop w:val="0"/>
                  <w:marBottom w:val="0"/>
                  <w:divBdr>
                    <w:top w:val="none" w:sz="0" w:space="0" w:color="auto"/>
                    <w:left w:val="none" w:sz="0" w:space="0" w:color="auto"/>
                    <w:bottom w:val="none" w:sz="0" w:space="0" w:color="auto"/>
                    <w:right w:val="none" w:sz="0" w:space="0" w:color="auto"/>
                  </w:divBdr>
                  <w:divsChild>
                    <w:div w:id="1273709951">
                      <w:marLeft w:val="0"/>
                      <w:marRight w:val="0"/>
                      <w:marTop w:val="0"/>
                      <w:marBottom w:val="101"/>
                      <w:divBdr>
                        <w:top w:val="none" w:sz="0" w:space="0" w:color="auto"/>
                        <w:left w:val="none" w:sz="0" w:space="0" w:color="auto"/>
                        <w:bottom w:val="none" w:sz="0" w:space="0" w:color="auto"/>
                        <w:right w:val="none" w:sz="0" w:space="0" w:color="auto"/>
                      </w:divBdr>
                    </w:div>
                    <w:div w:id="1171945184">
                      <w:marLeft w:val="0"/>
                      <w:marRight w:val="0"/>
                      <w:marTop w:val="0"/>
                      <w:marBottom w:val="101"/>
                      <w:divBdr>
                        <w:top w:val="none" w:sz="0" w:space="0" w:color="auto"/>
                        <w:left w:val="none" w:sz="0" w:space="0" w:color="auto"/>
                        <w:bottom w:val="none" w:sz="0" w:space="0" w:color="auto"/>
                        <w:right w:val="none" w:sz="0" w:space="0" w:color="auto"/>
                      </w:divBdr>
                    </w:div>
                    <w:div w:id="24827769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B833-DFEF-414B-8E99-BA49610D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Laura</cp:lastModifiedBy>
  <cp:revision>4</cp:revision>
  <cp:lastPrinted>2014-10-24T01:42:00Z</cp:lastPrinted>
  <dcterms:created xsi:type="dcterms:W3CDTF">2014-12-29T17:00:00Z</dcterms:created>
  <dcterms:modified xsi:type="dcterms:W3CDTF">2015-06-29T20:47:00Z</dcterms:modified>
</cp:coreProperties>
</file>