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80832807"/>
    <w:bookmarkEnd w:id="1"/>
    <w:p w:rsidR="007D6E9A" w:rsidRDefault="0021019E" w:rsidP="003D5DBF">
      <w:pPr>
        <w:jc w:val="center"/>
      </w:pPr>
      <w:r>
        <w:object w:dxaOrig="23636" w:dyaOrig="15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7.15pt;height:442.15pt" o:ole="">
            <v:imagedata r:id="rId8" o:title=""/>
          </v:shape>
          <o:OLEObject Type="Embed" ProgID="Excel.Sheet.12" ShapeID="_x0000_i1025" DrawAspect="Content" ObjectID="_1499003154" r:id="rId9"/>
        </w:object>
      </w:r>
      <w:bookmarkEnd w:id="0"/>
    </w:p>
    <w:bookmarkStart w:id="2" w:name="_MON_1470805999"/>
    <w:bookmarkEnd w:id="2"/>
    <w:p w:rsidR="00EA5418" w:rsidRDefault="0021019E" w:rsidP="0044253C">
      <w:pPr>
        <w:jc w:val="center"/>
      </w:pPr>
      <w:r>
        <w:object w:dxaOrig="25267" w:dyaOrig="18897">
          <v:shape id="_x0000_i1026" type="#_x0000_t75" style="width:629.15pt;height:438.4pt" o:ole="">
            <v:imagedata r:id="rId10" o:title=""/>
          </v:shape>
          <o:OLEObject Type="Embed" ProgID="Excel.Sheet.12" ShapeID="_x0000_i1026" DrawAspect="Content" ObjectID="_1499003155" r:id="rId11"/>
        </w:object>
      </w:r>
    </w:p>
    <w:bookmarkStart w:id="3" w:name="_MON_1470806992"/>
    <w:bookmarkEnd w:id="3"/>
    <w:p w:rsidR="00372F40" w:rsidRDefault="001D41D8" w:rsidP="003E7FD0">
      <w:pPr>
        <w:jc w:val="center"/>
      </w:pPr>
      <w:r>
        <w:object w:dxaOrig="22094" w:dyaOrig="15453">
          <v:shape id="_x0000_i1027" type="#_x0000_t75" style="width:651.75pt;height:455.85pt" o:ole="">
            <v:imagedata r:id="rId12" o:title=""/>
          </v:shape>
          <o:OLEObject Type="Embed" ProgID="Excel.Sheet.12" ShapeID="_x0000_i1027" DrawAspect="Content" ObjectID="_1499003156" r:id="rId13"/>
        </w:object>
      </w:r>
    </w:p>
    <w:bookmarkStart w:id="4" w:name="_MON_1470807348"/>
    <w:bookmarkEnd w:id="4"/>
    <w:p w:rsidR="00372F40" w:rsidRDefault="001D41D8" w:rsidP="008E3652">
      <w:pPr>
        <w:jc w:val="center"/>
      </w:pPr>
      <w:r>
        <w:object w:dxaOrig="17792" w:dyaOrig="12382">
          <v:shape id="_x0000_i1028" type="#_x0000_t75" style="width:590.7pt;height:450.7pt" o:ole="">
            <v:imagedata r:id="rId14" o:title=""/>
          </v:shape>
          <o:OLEObject Type="Embed" ProgID="Excel.Sheet.12" ShapeID="_x0000_i1028" DrawAspect="Content" ObjectID="_1499003157" r:id="rId15"/>
        </w:object>
      </w:r>
    </w:p>
    <w:bookmarkStart w:id="5" w:name="_MON_1470809138"/>
    <w:bookmarkEnd w:id="5"/>
    <w:p w:rsidR="00372F40" w:rsidRDefault="002C48FC" w:rsidP="00522632">
      <w:pPr>
        <w:jc w:val="center"/>
      </w:pPr>
      <w:r>
        <w:object w:dxaOrig="17886" w:dyaOrig="12228">
          <v:shape id="_x0000_i1029" type="#_x0000_t75" style="width:634.95pt;height:432.85pt" o:ole="">
            <v:imagedata r:id="rId16" o:title=""/>
          </v:shape>
          <o:OLEObject Type="Embed" ProgID="Excel.Sheet.12" ShapeID="_x0000_i1029" DrawAspect="Content" ObjectID="_1499003158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14596"/>
    <w:bookmarkEnd w:id="6"/>
    <w:p w:rsidR="00E32708" w:rsidRDefault="00471AFA" w:rsidP="00E32708">
      <w:pPr>
        <w:tabs>
          <w:tab w:val="left" w:pos="2430"/>
        </w:tabs>
        <w:jc w:val="center"/>
      </w:pPr>
      <w:r>
        <w:object w:dxaOrig="17956" w:dyaOrig="11181">
          <v:shape id="_x0000_i1031" type="#_x0000_t75" style="width:625.75pt;height:389.1pt" o:ole="">
            <v:imagedata r:id="rId18" o:title=""/>
          </v:shape>
          <o:OLEObject Type="Embed" ProgID="Excel.Sheet.12" ShapeID="_x0000_i1031" DrawAspect="Content" ObjectID="_1499003159" r:id="rId19"/>
        </w:object>
      </w:r>
    </w:p>
    <w:p w:rsidR="00DB63A2" w:rsidRDefault="00DB63A2" w:rsidP="00E32708">
      <w:pPr>
        <w:tabs>
          <w:tab w:val="left" w:pos="2430"/>
        </w:tabs>
        <w:jc w:val="center"/>
      </w:pPr>
    </w:p>
    <w:bookmarkStart w:id="7" w:name="_MON_1470810366"/>
    <w:bookmarkEnd w:id="7"/>
    <w:p w:rsidR="00E32708" w:rsidRDefault="00BA3751" w:rsidP="00E32708">
      <w:pPr>
        <w:tabs>
          <w:tab w:val="left" w:pos="2430"/>
        </w:tabs>
        <w:jc w:val="center"/>
      </w:pPr>
      <w:r>
        <w:object w:dxaOrig="25140" w:dyaOrig="17310">
          <v:shape id="_x0000_i1030" type="#_x0000_t75" style="width:670pt;height:462.2pt" o:ole="">
            <v:imagedata r:id="rId20" o:title=""/>
          </v:shape>
          <o:OLEObject Type="Embed" ProgID="Excel.Sheet.12" ShapeID="_x0000_i1030" DrawAspect="Content" ObjectID="_1499003160" r:id="rId21"/>
        </w:object>
      </w:r>
    </w:p>
    <w:p w:rsidR="00372F40" w:rsidRDefault="00372F40"/>
    <w:p w:rsidR="00796995" w:rsidRDefault="00540418" w:rsidP="00540418">
      <w:pPr>
        <w:jc w:val="center"/>
        <w:rPr>
          <w:rFonts w:ascii="Arial" w:hAnsi="Arial" w:cs="Arial"/>
          <w:b/>
          <w:sz w:val="18"/>
          <w:szCs w:val="18"/>
        </w:rPr>
      </w:pPr>
      <w:r w:rsidRPr="00423FF2">
        <w:rPr>
          <w:rFonts w:ascii="Arial" w:hAnsi="Arial" w:cs="Arial"/>
          <w:b/>
          <w:sz w:val="18"/>
          <w:szCs w:val="18"/>
        </w:rPr>
        <w:t>Informe de Pasivos Contingentes</w:t>
      </w:r>
    </w:p>
    <w:p w:rsidR="00372F40" w:rsidRPr="00423FF2" w:rsidRDefault="002C0781" w:rsidP="0054041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2015</w:t>
      </w:r>
    </w:p>
    <w:p w:rsidR="00372F40" w:rsidRPr="00423FF2" w:rsidRDefault="00372F40">
      <w:pPr>
        <w:rPr>
          <w:rFonts w:ascii="Arial" w:hAnsi="Arial" w:cs="Arial"/>
          <w:sz w:val="18"/>
          <w:szCs w:val="18"/>
        </w:rPr>
      </w:pPr>
    </w:p>
    <w:p w:rsidR="00E930D2" w:rsidRDefault="00A96E75" w:rsidP="00423FF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No Aplica</w:t>
      </w:r>
    </w:p>
    <w:p w:rsidR="00A96E75" w:rsidRDefault="00A96E75" w:rsidP="00423FF2">
      <w:pPr>
        <w:rPr>
          <w:rFonts w:ascii="Arial" w:hAnsi="Arial" w:cs="Arial"/>
          <w:sz w:val="18"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CC35F7" w:rsidRPr="005B2CEB" w:rsidRDefault="00CC35F7" w:rsidP="00CC35F7">
      <w:pPr>
        <w:pStyle w:val="Texto"/>
        <w:spacing w:after="0" w:line="240" w:lineRule="exact"/>
        <w:rPr>
          <w:szCs w:val="18"/>
        </w:rPr>
      </w:pPr>
    </w:p>
    <w:p w:rsidR="00CC35F7" w:rsidRPr="005B2CEB" w:rsidRDefault="00CC35F7" w:rsidP="00CC35F7">
      <w:pPr>
        <w:pStyle w:val="Texto"/>
        <w:tabs>
          <w:tab w:val="left" w:pos="1200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CC35F7" w:rsidRPr="005B2CEB" w:rsidRDefault="00CC35F7" w:rsidP="00CC35F7">
      <w:pPr>
        <w:pStyle w:val="Texto"/>
        <w:spacing w:after="0" w:line="240" w:lineRule="exact"/>
        <w:rPr>
          <w:szCs w:val="18"/>
        </w:rPr>
      </w:pPr>
    </w:p>
    <w:p w:rsidR="00CC35F7" w:rsidRDefault="00CC35F7" w:rsidP="00CC35F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CC35F7" w:rsidRDefault="00CC35F7" w:rsidP="00CC35F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23FF2">
        <w:rPr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647ECC" wp14:editId="18614090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3143250" cy="45783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1379" w:rsidRPr="00423FF2" w:rsidRDefault="00851379" w:rsidP="00CC35F7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Lic. José Luis Sánchez Mastranzo</w:t>
                            </w:r>
                          </w:p>
                          <w:p w:rsidR="00851379" w:rsidRPr="00423FF2" w:rsidRDefault="00851379" w:rsidP="00CC35F7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Director </w:t>
                            </w:r>
                            <w:r w:rsidRPr="00423FF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47E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0pt;margin-top:.75pt;width:247.5pt;height:3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" filled="f" stroked="f">
                <v:path arrowok="t"/>
                <v:textbox style="mso-fit-shape-to-text:t">
                  <w:txbxContent>
                    <w:p w:rsidR="00851379" w:rsidRPr="00423FF2" w:rsidRDefault="00851379" w:rsidP="00CC35F7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Lic. José Luis Sánchez Mastranzo</w:t>
                      </w:r>
                    </w:p>
                    <w:p w:rsidR="00851379" w:rsidRPr="00423FF2" w:rsidRDefault="00851379" w:rsidP="00CC35F7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Director </w:t>
                      </w:r>
                      <w:r w:rsidRPr="00423FF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General </w:t>
                      </w:r>
                    </w:p>
                  </w:txbxContent>
                </v:textbox>
              </v:shape>
            </w:pict>
          </mc:Fallback>
        </mc:AlternateContent>
      </w:r>
      <w:r w:rsidRPr="00423FF2">
        <w:rPr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F68FBB" wp14:editId="3EF4D459">
                <wp:simplePos x="0" y="0"/>
                <wp:positionH relativeFrom="column">
                  <wp:posOffset>4495800</wp:posOffset>
                </wp:positionH>
                <wp:positionV relativeFrom="paragraph">
                  <wp:posOffset>9525</wp:posOffset>
                </wp:positionV>
                <wp:extent cx="3143250" cy="45783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1379" w:rsidRPr="00423FF2" w:rsidRDefault="00851379" w:rsidP="00CC35F7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C.P. Juan Miguel García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Loranca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51379" w:rsidRPr="00423FF2" w:rsidRDefault="00851379" w:rsidP="00CC35F7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Jefe del Departamento Administrativo </w:t>
                            </w:r>
                            <w:r w:rsidRPr="00423FF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68FBB" id="Cuadro de texto 5" o:spid="_x0000_s1027" type="#_x0000_t202" style="position:absolute;left:0;text-align:left;margin-left:354pt;margin-top:.75pt;width:247.5pt;height:3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" filled="f" stroked="f">
                <v:path arrowok="t"/>
                <v:textbox style="mso-fit-shape-to-text:t">
                  <w:txbxContent>
                    <w:p w:rsidR="00851379" w:rsidRPr="00423FF2" w:rsidRDefault="00851379" w:rsidP="00CC35F7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C.P. Juan Miguel García Loranca </w:t>
                      </w:r>
                    </w:p>
                    <w:p w:rsidR="00851379" w:rsidRPr="00423FF2" w:rsidRDefault="00851379" w:rsidP="00CC35F7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Jefe del Departamento Administrativo </w:t>
                      </w:r>
                      <w:r w:rsidRPr="00423FF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96995" w:rsidRDefault="00796995" w:rsidP="00CC35F7">
      <w:pPr>
        <w:pStyle w:val="Texto"/>
        <w:spacing w:after="0" w:line="240" w:lineRule="exact"/>
        <w:ind w:firstLine="0"/>
        <w:jc w:val="left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6995" w:rsidRDefault="00796995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157F97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157F97">
        <w:rPr>
          <w:b/>
          <w:szCs w:val="18"/>
        </w:rPr>
        <w:t>NOTAS A LOS ESTADOS FINANCIEROS</w:t>
      </w:r>
    </w:p>
    <w:p w:rsidR="00540418" w:rsidRPr="00157F97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0785C" w:rsidRPr="0070785C" w:rsidRDefault="0070785C" w:rsidP="0070785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785C">
        <w:rPr>
          <w:rFonts w:ascii="Arial" w:hAnsi="Arial" w:cs="Arial"/>
          <w:sz w:val="18"/>
          <w:szCs w:val="18"/>
        </w:rPr>
        <w:t>De conformidad al artículo 46, fracción I, inciso e) y 49 de la Ley General de Contabilidad Gubernamental, así como a la normatividad emitida por el Consejo Nacional de Armonización Contable, a continuación se presentan las notas a los estados financieros correspondie</w:t>
      </w:r>
      <w:r>
        <w:rPr>
          <w:rFonts w:ascii="Arial" w:hAnsi="Arial" w:cs="Arial"/>
          <w:sz w:val="18"/>
          <w:szCs w:val="18"/>
        </w:rPr>
        <w:t xml:space="preserve">ntes al </w:t>
      </w:r>
      <w:r w:rsidR="001A2D21">
        <w:rPr>
          <w:rFonts w:ascii="Arial" w:hAnsi="Arial" w:cs="Arial"/>
          <w:sz w:val="18"/>
          <w:szCs w:val="18"/>
        </w:rPr>
        <w:t>periodo junio de 2015</w:t>
      </w:r>
      <w:r w:rsidRPr="0070785C">
        <w:rPr>
          <w:rFonts w:ascii="Arial" w:hAnsi="Arial" w:cs="Arial"/>
          <w:sz w:val="18"/>
          <w:szCs w:val="18"/>
        </w:rPr>
        <w:t>, con los siguientes apartados:</w:t>
      </w:r>
    </w:p>
    <w:p w:rsidR="0070785C" w:rsidRPr="0070785C" w:rsidRDefault="0070785C" w:rsidP="0070785C">
      <w:pPr>
        <w:pStyle w:val="Prrafodelista"/>
        <w:numPr>
          <w:ilvl w:val="0"/>
          <w:numId w:val="8"/>
        </w:numPr>
        <w:spacing w:before="80" w:after="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70785C">
        <w:rPr>
          <w:rFonts w:ascii="Arial" w:hAnsi="Arial" w:cs="Arial"/>
          <w:sz w:val="18"/>
          <w:szCs w:val="18"/>
        </w:rPr>
        <w:t>Notas de Desglose</w:t>
      </w:r>
    </w:p>
    <w:p w:rsidR="0070785C" w:rsidRPr="0070785C" w:rsidRDefault="0070785C" w:rsidP="0070785C">
      <w:pPr>
        <w:pStyle w:val="Prrafodelista"/>
        <w:numPr>
          <w:ilvl w:val="0"/>
          <w:numId w:val="8"/>
        </w:numPr>
        <w:spacing w:before="80" w:after="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70785C">
        <w:rPr>
          <w:rFonts w:ascii="Arial" w:hAnsi="Arial" w:cs="Arial"/>
          <w:sz w:val="18"/>
          <w:szCs w:val="18"/>
        </w:rPr>
        <w:t>Notas de Memoria</w:t>
      </w:r>
    </w:p>
    <w:p w:rsidR="0070785C" w:rsidRPr="0070785C" w:rsidRDefault="0070785C" w:rsidP="0070785C">
      <w:pPr>
        <w:pStyle w:val="Prrafodelista"/>
        <w:numPr>
          <w:ilvl w:val="0"/>
          <w:numId w:val="8"/>
        </w:numPr>
        <w:spacing w:before="80" w:after="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70785C">
        <w:rPr>
          <w:rFonts w:ascii="Arial" w:hAnsi="Arial" w:cs="Arial"/>
          <w:sz w:val="18"/>
          <w:szCs w:val="18"/>
        </w:rPr>
        <w:t>Notas de Gestión Administrativa</w:t>
      </w:r>
    </w:p>
    <w:p w:rsidR="0070785C" w:rsidRPr="00157F97" w:rsidRDefault="0070785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157F97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157F97">
        <w:rPr>
          <w:b/>
          <w:szCs w:val="18"/>
        </w:rPr>
        <w:t>a) NOTAS DE DESGLOSE</w:t>
      </w:r>
    </w:p>
    <w:p w:rsidR="00540418" w:rsidRPr="00157F97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157F97" w:rsidRDefault="00796995" w:rsidP="00796995">
      <w:pPr>
        <w:pStyle w:val="INCISO"/>
        <w:spacing w:after="0" w:line="240" w:lineRule="exact"/>
        <w:ind w:left="0" w:firstLine="0"/>
        <w:rPr>
          <w:b/>
          <w:smallCaps/>
        </w:rPr>
      </w:pPr>
      <w:r>
        <w:rPr>
          <w:b/>
          <w:smallCaps/>
        </w:rPr>
        <w:t xml:space="preserve">I) </w:t>
      </w:r>
      <w:r w:rsidR="00540418" w:rsidRPr="00157F97">
        <w:rPr>
          <w:b/>
          <w:smallCaps/>
        </w:rPr>
        <w:t>Notas al Estado de Situación Financiera</w:t>
      </w:r>
    </w:p>
    <w:p w:rsidR="00540418" w:rsidRPr="00157F97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157F97" w:rsidRDefault="00540418" w:rsidP="00796995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  <w:r w:rsidRPr="00157F97">
        <w:rPr>
          <w:b/>
          <w:szCs w:val="18"/>
          <w:lang w:val="es-MX"/>
        </w:rPr>
        <w:t>Activo</w:t>
      </w:r>
    </w:p>
    <w:p w:rsidR="00540418" w:rsidRPr="00157F97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157F97" w:rsidRDefault="00540418" w:rsidP="00796995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  <w:r w:rsidRPr="00157F97">
        <w:rPr>
          <w:b/>
          <w:szCs w:val="18"/>
          <w:lang w:val="es-MX"/>
        </w:rPr>
        <w:t>Efectivo y Equivalentes</w:t>
      </w:r>
    </w:p>
    <w:p w:rsidR="00157F97" w:rsidRPr="00540418" w:rsidRDefault="00157F97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</w:p>
    <w:p w:rsidR="00157F97" w:rsidRPr="00DE614B" w:rsidRDefault="00157F97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E614B">
        <w:rPr>
          <w:rFonts w:ascii="Arial" w:hAnsi="Arial" w:cs="Arial"/>
          <w:sz w:val="18"/>
          <w:szCs w:val="18"/>
        </w:rPr>
        <w:t xml:space="preserve">El saldo de la cuenta de Bancos, Tesorería e Inversiones temporales (hasta tres meses) está conformado por </w:t>
      </w:r>
      <w:r w:rsidR="000773C3" w:rsidRPr="00DE614B">
        <w:rPr>
          <w:rFonts w:ascii="Arial" w:hAnsi="Arial" w:cs="Arial"/>
          <w:sz w:val="18"/>
          <w:szCs w:val="18"/>
        </w:rPr>
        <w:t>tres</w:t>
      </w:r>
      <w:r w:rsidRPr="00DE614B">
        <w:rPr>
          <w:rFonts w:ascii="Arial" w:hAnsi="Arial" w:cs="Arial"/>
          <w:sz w:val="18"/>
          <w:szCs w:val="18"/>
        </w:rPr>
        <w:t xml:space="preserve"> cuentas bancarias productivas y dos contratos para inversión, dichas inversiones se efectúan en papel gubernamental y pagarés bancarios, </w:t>
      </w:r>
      <w:r w:rsidRPr="00DE614B">
        <w:rPr>
          <w:rFonts w:ascii="Arial" w:hAnsi="Arial" w:cs="Arial"/>
          <w:bCs/>
          <w:color w:val="000000"/>
          <w:sz w:val="18"/>
          <w:szCs w:val="18"/>
        </w:rPr>
        <w:t>con plazos no mayores a 28 días, las tasas de interés contratadas son variables y no inferiores a las tasas promedio del mercado.</w:t>
      </w:r>
    </w:p>
    <w:p w:rsidR="00157F97" w:rsidRPr="00157F97" w:rsidRDefault="00157F97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57F97">
        <w:rPr>
          <w:rFonts w:ascii="Arial" w:hAnsi="Arial" w:cs="Arial"/>
          <w:bCs/>
          <w:color w:val="000000"/>
          <w:sz w:val="18"/>
          <w:szCs w:val="18"/>
        </w:rPr>
        <w:t>El saldo en el rubro de efectivo e inversiones temporales es de $</w:t>
      </w:r>
      <w:r w:rsidR="00600234">
        <w:rPr>
          <w:rFonts w:ascii="Arial" w:hAnsi="Arial" w:cs="Arial"/>
          <w:bCs/>
          <w:color w:val="000000"/>
          <w:sz w:val="18"/>
          <w:szCs w:val="18"/>
        </w:rPr>
        <w:t>3</w:t>
      </w:r>
      <w:proofErr w:type="gramStart"/>
      <w:r w:rsidR="00600234">
        <w:rPr>
          <w:rFonts w:ascii="Arial" w:hAnsi="Arial" w:cs="Arial"/>
          <w:bCs/>
          <w:color w:val="000000"/>
          <w:sz w:val="18"/>
          <w:szCs w:val="18"/>
        </w:rPr>
        <w:t>,</w:t>
      </w:r>
      <w:r w:rsidR="00DB63A2">
        <w:rPr>
          <w:rFonts w:ascii="Arial" w:hAnsi="Arial" w:cs="Arial"/>
          <w:bCs/>
          <w:color w:val="000000"/>
          <w:sz w:val="18"/>
          <w:szCs w:val="18"/>
        </w:rPr>
        <w:t>627,789</w:t>
      </w:r>
      <w:proofErr w:type="gramEnd"/>
      <w:r w:rsidR="00DB63A2">
        <w:rPr>
          <w:rFonts w:ascii="Arial" w:hAnsi="Arial" w:cs="Arial"/>
          <w:bCs/>
          <w:color w:val="000000"/>
          <w:sz w:val="18"/>
          <w:szCs w:val="18"/>
        </w:rPr>
        <w:t xml:space="preserve"> al 31 de marzo</w:t>
      </w:r>
      <w:r w:rsidRPr="00157F97">
        <w:rPr>
          <w:rFonts w:ascii="Arial" w:hAnsi="Arial" w:cs="Arial"/>
          <w:bCs/>
          <w:color w:val="000000"/>
          <w:sz w:val="18"/>
          <w:szCs w:val="18"/>
        </w:rPr>
        <w:t xml:space="preserve"> de 201</w:t>
      </w:r>
      <w:r w:rsidR="002C0781">
        <w:rPr>
          <w:rFonts w:ascii="Arial" w:hAnsi="Arial" w:cs="Arial"/>
          <w:bCs/>
          <w:color w:val="000000"/>
          <w:sz w:val="18"/>
          <w:szCs w:val="18"/>
        </w:rPr>
        <w:t>5</w:t>
      </w:r>
      <w:r w:rsidRPr="00157F97">
        <w:rPr>
          <w:rFonts w:ascii="Arial" w:hAnsi="Arial" w:cs="Arial"/>
          <w:bCs/>
          <w:color w:val="000000"/>
          <w:sz w:val="18"/>
          <w:szCs w:val="18"/>
        </w:rPr>
        <w:t>, el cual con relación a diciembre de 201</w:t>
      </w:r>
      <w:r w:rsidR="002C0781">
        <w:rPr>
          <w:rFonts w:ascii="Arial" w:hAnsi="Arial" w:cs="Arial"/>
          <w:bCs/>
          <w:color w:val="000000"/>
          <w:sz w:val="18"/>
          <w:szCs w:val="18"/>
        </w:rPr>
        <w:t>4</w:t>
      </w:r>
      <w:r w:rsidRPr="00157F97">
        <w:rPr>
          <w:rFonts w:ascii="Arial" w:hAnsi="Arial" w:cs="Arial"/>
          <w:bCs/>
          <w:color w:val="000000"/>
          <w:sz w:val="18"/>
          <w:szCs w:val="18"/>
        </w:rPr>
        <w:t xml:space="preserve">  que fue de $</w:t>
      </w:r>
      <w:r w:rsidR="002C0781">
        <w:rPr>
          <w:rFonts w:ascii="Arial" w:hAnsi="Arial" w:cs="Arial"/>
          <w:bCs/>
          <w:color w:val="000000"/>
          <w:sz w:val="18"/>
          <w:szCs w:val="18"/>
        </w:rPr>
        <w:t>3,564,277</w:t>
      </w:r>
      <w:r w:rsidRPr="00157F97">
        <w:rPr>
          <w:rFonts w:ascii="Arial" w:hAnsi="Arial" w:cs="Arial"/>
          <w:bCs/>
          <w:color w:val="000000"/>
          <w:sz w:val="18"/>
          <w:szCs w:val="18"/>
        </w:rPr>
        <w:t xml:space="preserve"> presentó un </w:t>
      </w:r>
      <w:r w:rsidR="000773C3">
        <w:rPr>
          <w:rFonts w:ascii="Arial" w:hAnsi="Arial" w:cs="Arial"/>
          <w:bCs/>
          <w:color w:val="000000"/>
          <w:sz w:val="18"/>
          <w:szCs w:val="18"/>
        </w:rPr>
        <w:t>aumento</w:t>
      </w:r>
      <w:r w:rsidRPr="00157F97">
        <w:rPr>
          <w:rFonts w:ascii="Arial" w:hAnsi="Arial" w:cs="Arial"/>
          <w:bCs/>
          <w:color w:val="000000"/>
          <w:sz w:val="18"/>
          <w:szCs w:val="18"/>
        </w:rPr>
        <w:t xml:space="preserve"> de $</w:t>
      </w:r>
      <w:r w:rsidR="00DB63A2">
        <w:rPr>
          <w:rFonts w:ascii="Arial" w:hAnsi="Arial" w:cs="Arial"/>
          <w:bCs/>
          <w:color w:val="000000"/>
          <w:sz w:val="18"/>
          <w:szCs w:val="18"/>
        </w:rPr>
        <w:t>63,512.00</w:t>
      </w:r>
    </w:p>
    <w:p w:rsidR="00157F97" w:rsidRDefault="00157F97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57F97">
        <w:rPr>
          <w:rFonts w:ascii="Arial" w:hAnsi="Arial" w:cs="Arial"/>
          <w:bCs/>
          <w:color w:val="000000"/>
          <w:sz w:val="18"/>
          <w:szCs w:val="18"/>
        </w:rPr>
        <w:t>Los bancos en los que se tienen registrados los depósitos y los saldos al fin de este periodo se presentan a continuación:</w:t>
      </w:r>
    </w:p>
    <w:p w:rsidR="00F34DFA" w:rsidRDefault="00F34DFA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04092" w:rsidRDefault="00304092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04092" w:rsidRDefault="00304092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04092" w:rsidRDefault="00304092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04092" w:rsidRDefault="00304092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04092" w:rsidRDefault="00304092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tbl>
      <w:tblPr>
        <w:tblW w:w="46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2750"/>
        <w:gridCol w:w="70"/>
        <w:gridCol w:w="1710"/>
        <w:gridCol w:w="70"/>
      </w:tblGrid>
      <w:tr w:rsidR="003D19A8" w:rsidRPr="00DE614B" w:rsidTr="003D19A8">
        <w:trPr>
          <w:gridAfter w:val="1"/>
          <w:wAfter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DE614B" w:rsidRDefault="003D19A8" w:rsidP="00E517C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E614B">
              <w:rPr>
                <w:rFonts w:ascii="Arial" w:hAnsi="Arial" w:cs="Arial"/>
                <w:b/>
                <w:color w:val="000000"/>
                <w:sz w:val="18"/>
                <w:szCs w:val="18"/>
              </w:rPr>
              <w:t>BANCO-TESORERÍA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9A8" w:rsidRPr="00DE614B" w:rsidRDefault="00600234" w:rsidP="00E517C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2015</w:t>
            </w:r>
          </w:p>
        </w:tc>
      </w:tr>
      <w:tr w:rsidR="003D19A8" w:rsidRPr="003D19A8" w:rsidTr="003D19A8">
        <w:trPr>
          <w:gridAfter w:val="1"/>
          <w:wAfter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600234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BANORTE</w:t>
            </w:r>
            <w:r w:rsidR="003D19A8" w:rsidRPr="003D19A8">
              <w:rPr>
                <w:rFonts w:ascii="Arial" w:hAnsi="Arial" w:cs="Arial"/>
                <w:color w:val="000000"/>
                <w:sz w:val="18"/>
                <w:szCs w:val="18"/>
              </w:rPr>
              <w:t xml:space="preserve"> 5924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9A8" w:rsidRPr="003D19A8" w:rsidRDefault="00DB63A2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29,289</w:t>
            </w:r>
          </w:p>
        </w:tc>
      </w:tr>
      <w:tr w:rsidR="003D19A8" w:rsidRPr="003D19A8" w:rsidTr="003D19A8">
        <w:trPr>
          <w:gridAfter w:val="1"/>
          <w:wAfter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BANORTE 5933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D19A8" w:rsidRPr="003D19A8" w:rsidRDefault="00DB63A2" w:rsidP="00D352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5,154</w:t>
            </w:r>
          </w:p>
        </w:tc>
      </w:tr>
      <w:tr w:rsidR="003D19A8" w:rsidRPr="003D19A8" w:rsidTr="003D19A8">
        <w:trPr>
          <w:gridAfter w:val="1"/>
          <w:wAfter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19A8" w:rsidRPr="003D19A8" w:rsidRDefault="003D19A8" w:rsidP="00D352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BANORTE 6143</w:t>
            </w: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D19A8" w:rsidRPr="003D19A8" w:rsidRDefault="00766C82" w:rsidP="00D3528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51,787</w:t>
            </w:r>
          </w:p>
        </w:tc>
      </w:tr>
      <w:tr w:rsidR="003D19A8" w:rsidRPr="003D19A8" w:rsidTr="003D19A8">
        <w:trPr>
          <w:gridAfter w:val="1"/>
          <w:wAfter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D352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BANORTE 5942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19A8" w:rsidRPr="003D19A8" w:rsidRDefault="00766C82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8,008</w:t>
            </w:r>
          </w:p>
        </w:tc>
      </w:tr>
      <w:tr w:rsidR="003D19A8" w:rsidRPr="003D19A8" w:rsidTr="003D19A8">
        <w:trPr>
          <w:gridAfter w:val="1"/>
          <w:wAfter w:w="70" w:type="dxa"/>
          <w:trHeight w:val="315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D19A8" w:rsidRPr="003D19A8" w:rsidRDefault="00766C82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94,239</w:t>
            </w:r>
          </w:p>
        </w:tc>
      </w:tr>
      <w:tr w:rsidR="003D19A8" w:rsidRPr="003D19A8" w:rsidTr="003D19A8">
        <w:trPr>
          <w:gridAfter w:val="1"/>
          <w:wAfter w:w="70" w:type="dxa"/>
          <w:trHeight w:val="315"/>
          <w:jc w:val="center"/>
        </w:trPr>
        <w:tc>
          <w:tcPr>
            <w:tcW w:w="28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19A8" w:rsidRPr="003D19A8" w:rsidRDefault="003D19A8" w:rsidP="00E51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D19A8" w:rsidRPr="003D19A8" w:rsidRDefault="003D19A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D19A8" w:rsidRPr="00DE614B" w:rsidTr="003D19A8">
        <w:trPr>
          <w:gridBefore w:val="1"/>
          <w:wBefore w:w="70" w:type="dxa"/>
          <w:trHeight w:val="315"/>
          <w:jc w:val="center"/>
        </w:trPr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b/>
                <w:color w:val="000000"/>
                <w:sz w:val="18"/>
                <w:szCs w:val="18"/>
              </w:rPr>
              <w:t>BANCO-INVERSIÓN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600234" w:rsidP="000773C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2015</w:t>
            </w:r>
          </w:p>
        </w:tc>
      </w:tr>
      <w:tr w:rsidR="003D19A8" w:rsidRPr="00584AFE" w:rsidTr="003D19A8">
        <w:trPr>
          <w:gridBefore w:val="1"/>
          <w:wBefore w:w="70" w:type="dxa"/>
          <w:trHeight w:val="315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BANCOMER, 9331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3,420,823</w:t>
            </w:r>
          </w:p>
        </w:tc>
      </w:tr>
      <w:tr w:rsidR="003D19A8" w:rsidRPr="00584AFE" w:rsidTr="003D19A8">
        <w:trPr>
          <w:gridBefore w:val="1"/>
          <w:wBefore w:w="70" w:type="dxa"/>
          <w:trHeight w:val="300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BANCOMER 9332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112,727</w:t>
            </w:r>
          </w:p>
        </w:tc>
      </w:tr>
      <w:tr w:rsidR="003D19A8" w:rsidRPr="00584AFE" w:rsidTr="003D19A8">
        <w:trPr>
          <w:gridBefore w:val="1"/>
          <w:wBefore w:w="70" w:type="dxa"/>
          <w:trHeight w:val="315"/>
          <w:jc w:val="center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19A8" w:rsidRPr="003D19A8" w:rsidRDefault="003D19A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19A8">
              <w:rPr>
                <w:rFonts w:ascii="Arial" w:hAnsi="Arial" w:cs="Arial"/>
                <w:color w:val="000000"/>
                <w:sz w:val="18"/>
                <w:szCs w:val="18"/>
              </w:rPr>
              <w:t>3,533,550</w:t>
            </w:r>
          </w:p>
        </w:tc>
      </w:tr>
    </w:tbl>
    <w:p w:rsidR="000773C3" w:rsidRDefault="000773C3" w:rsidP="00157F97">
      <w:pPr>
        <w:autoSpaceDE w:val="0"/>
        <w:autoSpaceDN w:val="0"/>
        <w:adjustRightInd w:val="0"/>
        <w:spacing w:before="80" w:line="250" w:lineRule="exact"/>
        <w:jc w:val="both"/>
        <w:rPr>
          <w:rFonts w:ascii="Soberana Sans Light" w:hAnsi="Soberana Sans Light"/>
          <w:b/>
          <w:sz w:val="18"/>
          <w:szCs w:val="18"/>
        </w:rPr>
      </w:pPr>
    </w:p>
    <w:p w:rsidR="00540418" w:rsidRPr="00DE614B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DE614B">
        <w:rPr>
          <w:b/>
          <w:lang w:val="es-MX"/>
        </w:rPr>
        <w:t>Derechos a recibir Efectivo y Equivalentes y Bienes o Servicios a Recibir</w:t>
      </w:r>
    </w:p>
    <w:p w:rsidR="00DE614B" w:rsidRPr="00DE614B" w:rsidRDefault="00DE614B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DE614B" w:rsidRPr="00DE614B" w:rsidRDefault="00DE614B" w:rsidP="00DE614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E614B">
        <w:rPr>
          <w:rFonts w:ascii="Arial" w:hAnsi="Arial" w:cs="Arial"/>
          <w:bCs/>
          <w:color w:val="000000"/>
          <w:sz w:val="18"/>
          <w:szCs w:val="18"/>
        </w:rPr>
        <w:t>Deudores Diversos.</w:t>
      </w:r>
    </w:p>
    <w:p w:rsidR="00584AFE" w:rsidRPr="00E63213" w:rsidRDefault="00584AFE" w:rsidP="00584AFE">
      <w:pPr>
        <w:pStyle w:val="ROMANOS"/>
        <w:spacing w:after="0" w:line="240" w:lineRule="exact"/>
        <w:rPr>
          <w:lang w:val="es-MX"/>
        </w:rPr>
      </w:pPr>
      <w:r w:rsidRPr="00E63213">
        <w:rPr>
          <w:lang w:val="es-MX"/>
        </w:rPr>
        <w:t>No aplica</w:t>
      </w:r>
    </w:p>
    <w:p w:rsidR="00584AFE" w:rsidRDefault="00584A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DE614B" w:rsidRPr="00540418" w:rsidRDefault="00DE614B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3213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E63213">
        <w:rPr>
          <w:b/>
          <w:lang w:val="es-MX"/>
        </w:rPr>
        <w:t>Bienes Disponibles para su Transformación o Consumo (inventarios)</w:t>
      </w:r>
    </w:p>
    <w:p w:rsidR="00E63213" w:rsidRPr="00E63213" w:rsidRDefault="00E63213" w:rsidP="00540418">
      <w:pPr>
        <w:pStyle w:val="ROMANOS"/>
        <w:spacing w:after="0" w:line="240" w:lineRule="exact"/>
        <w:rPr>
          <w:b/>
          <w:lang w:val="es-MX"/>
        </w:rPr>
      </w:pPr>
    </w:p>
    <w:p w:rsidR="00E63213" w:rsidRPr="00E63213" w:rsidRDefault="00E63213" w:rsidP="00540418">
      <w:pPr>
        <w:pStyle w:val="ROMANOS"/>
        <w:spacing w:after="0" w:line="240" w:lineRule="exact"/>
        <w:rPr>
          <w:lang w:val="es-MX"/>
        </w:rPr>
      </w:pPr>
      <w:r w:rsidRPr="00E63213">
        <w:rPr>
          <w:lang w:val="es-MX"/>
        </w:rPr>
        <w:t>No aplica</w:t>
      </w:r>
    </w:p>
    <w:p w:rsidR="00540418" w:rsidRPr="00540418" w:rsidRDefault="00540418" w:rsidP="00E63213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2E6D00" w:rsidRDefault="002E6D00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E63213">
        <w:rPr>
          <w:b/>
          <w:lang w:val="es-MX"/>
        </w:rPr>
        <w:t>Inversiones Financieras</w:t>
      </w:r>
    </w:p>
    <w:p w:rsidR="00E63213" w:rsidRPr="00E63213" w:rsidRDefault="00E63213" w:rsidP="00540418">
      <w:pPr>
        <w:pStyle w:val="ROMANOS"/>
        <w:spacing w:after="0" w:line="240" w:lineRule="exact"/>
        <w:rPr>
          <w:b/>
          <w:lang w:val="es-MX"/>
        </w:rPr>
      </w:pPr>
    </w:p>
    <w:p w:rsidR="00E63213" w:rsidRPr="00E63213" w:rsidRDefault="00E63213" w:rsidP="00E63213">
      <w:pPr>
        <w:pStyle w:val="ROMANOS"/>
        <w:spacing w:after="0" w:line="240" w:lineRule="exact"/>
        <w:rPr>
          <w:lang w:val="es-MX"/>
        </w:rPr>
      </w:pPr>
      <w:r w:rsidRPr="00E63213">
        <w:rPr>
          <w:lang w:val="es-MX"/>
        </w:rPr>
        <w:t>No aplica</w:t>
      </w:r>
    </w:p>
    <w:p w:rsidR="00F34DFA" w:rsidRDefault="00F34DFA" w:rsidP="00F34DFA">
      <w:pPr>
        <w:pStyle w:val="ROMANOS"/>
        <w:spacing w:after="0" w:line="276" w:lineRule="auto"/>
        <w:ind w:left="0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3213" w:rsidRDefault="00540418" w:rsidP="00F34DFA">
      <w:pPr>
        <w:pStyle w:val="ROMANOS"/>
        <w:spacing w:after="0" w:line="276" w:lineRule="auto"/>
        <w:ind w:left="0" w:firstLine="0"/>
        <w:rPr>
          <w:b/>
          <w:lang w:val="es-MX"/>
        </w:rPr>
      </w:pPr>
      <w:r w:rsidRPr="00E63213">
        <w:rPr>
          <w:b/>
          <w:lang w:val="es-MX"/>
        </w:rPr>
        <w:t>Bienes Muebles, Inmuebles e Intangibles</w:t>
      </w:r>
    </w:p>
    <w:p w:rsidR="00E63213" w:rsidRPr="00E63213" w:rsidRDefault="00E63213" w:rsidP="00E63213">
      <w:pPr>
        <w:pStyle w:val="ROMANOS"/>
        <w:spacing w:after="0" w:line="276" w:lineRule="auto"/>
        <w:rPr>
          <w:b/>
          <w:lang w:val="es-MX"/>
        </w:rPr>
      </w:pPr>
    </w:p>
    <w:p w:rsidR="00E63213" w:rsidRDefault="00E63213" w:rsidP="00E63213">
      <w:pPr>
        <w:jc w:val="both"/>
        <w:rPr>
          <w:rFonts w:ascii="Arial" w:hAnsi="Arial" w:cs="Arial"/>
          <w:sz w:val="18"/>
          <w:szCs w:val="18"/>
        </w:rPr>
      </w:pPr>
      <w:r w:rsidRPr="00E63213">
        <w:rPr>
          <w:rFonts w:ascii="Arial" w:hAnsi="Arial" w:cs="Arial"/>
          <w:sz w:val="18"/>
          <w:szCs w:val="18"/>
        </w:rPr>
        <w:t xml:space="preserve">Estos bienes se registran a su costo original de adquisición o construcción, formando parte del patrimonio del </w:t>
      </w:r>
      <w:r w:rsidR="00584AFE">
        <w:rPr>
          <w:rFonts w:ascii="Arial" w:hAnsi="Arial" w:cs="Arial"/>
          <w:sz w:val="18"/>
          <w:szCs w:val="18"/>
        </w:rPr>
        <w:t>Fideicomiso Fondo de la Casa de las Artesanías de Tlaxcala</w:t>
      </w:r>
      <w:r w:rsidRPr="00E63213">
        <w:rPr>
          <w:rFonts w:ascii="Arial" w:hAnsi="Arial" w:cs="Arial"/>
          <w:sz w:val="18"/>
          <w:szCs w:val="18"/>
        </w:rPr>
        <w:t xml:space="preserve">. Dichos bienes a la fecha de los estados financieros no fueron sujetos a depreciación. </w:t>
      </w:r>
    </w:p>
    <w:p w:rsidR="00F34DFA" w:rsidRDefault="00F34DFA" w:rsidP="00E63213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u w:val="single"/>
        </w:rPr>
      </w:pPr>
    </w:p>
    <w:p w:rsidR="00E63213" w:rsidRPr="00E63213" w:rsidRDefault="00E63213" w:rsidP="00E63213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E63213">
        <w:rPr>
          <w:rFonts w:ascii="Arial" w:hAnsi="Arial" w:cs="Arial"/>
          <w:sz w:val="18"/>
          <w:szCs w:val="18"/>
          <w:u w:val="single"/>
        </w:rPr>
        <w:t>Bienes Inmuebles</w:t>
      </w:r>
    </w:p>
    <w:p w:rsidR="00E63213" w:rsidRPr="00584AFE" w:rsidRDefault="00584AFE" w:rsidP="00E6321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Pr="00584AFE">
        <w:rPr>
          <w:rFonts w:ascii="Arial" w:hAnsi="Arial" w:cs="Arial"/>
          <w:sz w:val="18"/>
          <w:szCs w:val="18"/>
        </w:rPr>
        <w:t>No aplica</w:t>
      </w:r>
    </w:p>
    <w:p w:rsidR="002E6D00" w:rsidRPr="002E6D00" w:rsidRDefault="002E6D00" w:rsidP="002E6D00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2E6D00">
        <w:rPr>
          <w:rFonts w:ascii="Arial" w:hAnsi="Arial" w:cs="Arial"/>
          <w:sz w:val="18"/>
          <w:szCs w:val="18"/>
          <w:u w:val="single"/>
        </w:rPr>
        <w:t>Bienes muebles</w:t>
      </w:r>
    </w:p>
    <w:p w:rsidR="002E6D00" w:rsidRDefault="005D349A" w:rsidP="002E6D0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desagregación del capítulo 5000 se envía</w:t>
      </w:r>
      <w:r w:rsidR="00B064B4">
        <w:rPr>
          <w:rFonts w:ascii="Arial" w:hAnsi="Arial" w:cs="Arial"/>
          <w:sz w:val="18"/>
          <w:szCs w:val="18"/>
        </w:rPr>
        <w:t xml:space="preserve"> a la </w:t>
      </w:r>
      <w:r>
        <w:rPr>
          <w:rFonts w:ascii="Arial" w:hAnsi="Arial" w:cs="Arial"/>
          <w:sz w:val="18"/>
          <w:szCs w:val="18"/>
        </w:rPr>
        <w:t xml:space="preserve">cuenta de Rectificaciones de Resultado de Ejercicios Anteriores debido a que se está presentando cuenta pública armonizada. </w:t>
      </w:r>
      <w:r w:rsidR="002E6D00" w:rsidRPr="002E6D00">
        <w:rPr>
          <w:rFonts w:ascii="Arial" w:hAnsi="Arial" w:cs="Arial"/>
          <w:sz w:val="18"/>
          <w:szCs w:val="18"/>
        </w:rPr>
        <w:t xml:space="preserve">El saldo de esta cuenta al </w:t>
      </w:r>
      <w:r w:rsidR="00B5661F">
        <w:rPr>
          <w:rFonts w:ascii="Arial" w:hAnsi="Arial" w:cs="Arial"/>
          <w:sz w:val="18"/>
          <w:szCs w:val="18"/>
        </w:rPr>
        <w:t>periodo del 31 de marzo</w:t>
      </w:r>
      <w:r w:rsidR="00600234">
        <w:rPr>
          <w:rFonts w:ascii="Arial" w:hAnsi="Arial" w:cs="Arial"/>
          <w:sz w:val="18"/>
          <w:szCs w:val="18"/>
        </w:rPr>
        <w:t xml:space="preserve"> de </w:t>
      </w:r>
      <w:r w:rsidR="002E6D00" w:rsidRPr="002E6D00">
        <w:rPr>
          <w:rFonts w:ascii="Arial" w:hAnsi="Arial" w:cs="Arial"/>
          <w:sz w:val="18"/>
          <w:szCs w:val="18"/>
        </w:rPr>
        <w:t>201</w:t>
      </w:r>
      <w:r w:rsidR="00600234">
        <w:rPr>
          <w:rFonts w:ascii="Arial" w:hAnsi="Arial" w:cs="Arial"/>
          <w:sz w:val="18"/>
          <w:szCs w:val="18"/>
        </w:rPr>
        <w:t>5</w:t>
      </w:r>
      <w:r w:rsidR="002E6D00" w:rsidRPr="002E6D00">
        <w:rPr>
          <w:rFonts w:ascii="Arial" w:hAnsi="Arial" w:cs="Arial"/>
          <w:sz w:val="18"/>
          <w:szCs w:val="18"/>
        </w:rPr>
        <w:t xml:space="preserve"> por $</w:t>
      </w:r>
      <w:r w:rsidR="00584AFE">
        <w:rPr>
          <w:rFonts w:ascii="Arial" w:hAnsi="Arial" w:cs="Arial"/>
          <w:sz w:val="18"/>
          <w:szCs w:val="18"/>
        </w:rPr>
        <w:t>2</w:t>
      </w:r>
      <w:proofErr w:type="gramStart"/>
      <w:r w:rsidR="00584AFE" w:rsidRPr="002E6D00">
        <w:rPr>
          <w:rFonts w:ascii="Arial" w:hAnsi="Arial" w:cs="Arial"/>
          <w:sz w:val="18"/>
          <w:szCs w:val="18"/>
        </w:rPr>
        <w:t>,</w:t>
      </w:r>
      <w:r w:rsidR="00B5661F">
        <w:rPr>
          <w:rFonts w:ascii="Arial" w:hAnsi="Arial" w:cs="Arial"/>
          <w:sz w:val="18"/>
          <w:szCs w:val="18"/>
        </w:rPr>
        <w:t>066,429</w:t>
      </w:r>
      <w:proofErr w:type="gramEnd"/>
      <w:r w:rsidR="002E6D00" w:rsidRPr="002E6D00">
        <w:rPr>
          <w:rFonts w:ascii="Arial" w:hAnsi="Arial" w:cs="Arial"/>
          <w:sz w:val="18"/>
          <w:szCs w:val="18"/>
        </w:rPr>
        <w:t xml:space="preserve"> reflejó un </w:t>
      </w:r>
      <w:r w:rsidR="005364DB">
        <w:rPr>
          <w:rFonts w:ascii="Arial" w:hAnsi="Arial" w:cs="Arial"/>
          <w:sz w:val="18"/>
          <w:szCs w:val="18"/>
        </w:rPr>
        <w:t>aumento</w:t>
      </w:r>
      <w:r w:rsidR="002E6D00" w:rsidRPr="002E6D00">
        <w:rPr>
          <w:rFonts w:ascii="Arial" w:hAnsi="Arial" w:cs="Arial"/>
          <w:sz w:val="18"/>
          <w:szCs w:val="18"/>
        </w:rPr>
        <w:t xml:space="preserve"> por $</w:t>
      </w:r>
      <w:r w:rsidR="00B5661F">
        <w:rPr>
          <w:rFonts w:ascii="Arial" w:hAnsi="Arial" w:cs="Arial"/>
          <w:color w:val="000000"/>
          <w:sz w:val="18"/>
          <w:szCs w:val="18"/>
        </w:rPr>
        <w:t>19,300</w:t>
      </w:r>
      <w:r w:rsidR="002E6D00" w:rsidRPr="002E6D00">
        <w:rPr>
          <w:rFonts w:ascii="Arial" w:hAnsi="Arial" w:cs="Arial"/>
          <w:color w:val="000000"/>
          <w:sz w:val="18"/>
          <w:szCs w:val="18"/>
        </w:rPr>
        <w:t xml:space="preserve"> </w:t>
      </w:r>
      <w:r w:rsidR="002E6D00" w:rsidRPr="002E6D00">
        <w:rPr>
          <w:rFonts w:ascii="Arial" w:hAnsi="Arial" w:cs="Arial"/>
          <w:sz w:val="18"/>
          <w:szCs w:val="18"/>
        </w:rPr>
        <w:t>con relación al saldo al 31 de diciembre de 201</w:t>
      </w:r>
      <w:r w:rsidR="00600234">
        <w:rPr>
          <w:rFonts w:ascii="Arial" w:hAnsi="Arial" w:cs="Arial"/>
          <w:sz w:val="18"/>
          <w:szCs w:val="18"/>
        </w:rPr>
        <w:t>4</w:t>
      </w:r>
      <w:r w:rsidR="002E6D00" w:rsidRPr="002E6D00">
        <w:rPr>
          <w:rFonts w:ascii="Arial" w:hAnsi="Arial" w:cs="Arial"/>
          <w:sz w:val="18"/>
          <w:szCs w:val="18"/>
        </w:rPr>
        <w:t xml:space="preserve"> de $</w:t>
      </w:r>
      <w:r w:rsidR="00600234">
        <w:rPr>
          <w:rFonts w:ascii="Arial" w:hAnsi="Arial" w:cs="Arial"/>
          <w:sz w:val="18"/>
          <w:szCs w:val="18"/>
        </w:rPr>
        <w:t xml:space="preserve"> 2,047,129</w:t>
      </w:r>
      <w:r w:rsidR="002E6D00" w:rsidRPr="002E6D00">
        <w:rPr>
          <w:rFonts w:ascii="Arial" w:hAnsi="Arial" w:cs="Arial"/>
          <w:sz w:val="18"/>
          <w:szCs w:val="18"/>
        </w:rPr>
        <w:t xml:space="preserve"> debido a las diversas</w:t>
      </w:r>
      <w:r w:rsidR="005364DB">
        <w:rPr>
          <w:rFonts w:ascii="Arial" w:hAnsi="Arial" w:cs="Arial"/>
          <w:sz w:val="18"/>
          <w:szCs w:val="18"/>
        </w:rPr>
        <w:t xml:space="preserve"> adquisiciones realizadas </w:t>
      </w:r>
      <w:r w:rsidR="002E6D00" w:rsidRPr="002E6D00">
        <w:rPr>
          <w:rFonts w:ascii="Arial" w:hAnsi="Arial" w:cs="Arial"/>
          <w:sz w:val="18"/>
          <w:szCs w:val="18"/>
        </w:rPr>
        <w:t xml:space="preserve">de bienes muebles </w:t>
      </w:r>
      <w:r w:rsidR="005364DB">
        <w:rPr>
          <w:rFonts w:ascii="Arial" w:hAnsi="Arial" w:cs="Arial"/>
          <w:sz w:val="18"/>
          <w:szCs w:val="18"/>
        </w:rPr>
        <w:t>necesarios para las actividades del fideicomiso</w:t>
      </w:r>
      <w:r w:rsidR="00600234">
        <w:rPr>
          <w:rFonts w:ascii="Arial" w:hAnsi="Arial" w:cs="Arial"/>
          <w:sz w:val="18"/>
          <w:szCs w:val="18"/>
        </w:rPr>
        <w:t>. La inte</w:t>
      </w:r>
      <w:r w:rsidR="00B5661F">
        <w:rPr>
          <w:rFonts w:ascii="Arial" w:hAnsi="Arial" w:cs="Arial"/>
          <w:sz w:val="18"/>
          <w:szCs w:val="18"/>
        </w:rPr>
        <w:t>gración del saldo al 31</w:t>
      </w:r>
      <w:r w:rsidR="002E6D00" w:rsidRPr="002E6D00">
        <w:rPr>
          <w:rFonts w:ascii="Arial" w:hAnsi="Arial" w:cs="Arial"/>
          <w:sz w:val="18"/>
          <w:szCs w:val="18"/>
        </w:rPr>
        <w:t xml:space="preserve"> de </w:t>
      </w:r>
      <w:r w:rsidR="00600234">
        <w:rPr>
          <w:rFonts w:ascii="Arial" w:hAnsi="Arial" w:cs="Arial"/>
          <w:sz w:val="18"/>
          <w:szCs w:val="18"/>
        </w:rPr>
        <w:t>junio</w:t>
      </w:r>
      <w:r w:rsidR="002E6D00" w:rsidRPr="002E6D00">
        <w:rPr>
          <w:rFonts w:ascii="Arial" w:hAnsi="Arial" w:cs="Arial"/>
          <w:sz w:val="18"/>
          <w:szCs w:val="18"/>
        </w:rPr>
        <w:t xml:space="preserve"> de 201</w:t>
      </w:r>
      <w:r w:rsidR="00600234">
        <w:rPr>
          <w:rFonts w:ascii="Arial" w:hAnsi="Arial" w:cs="Arial"/>
          <w:sz w:val="18"/>
          <w:szCs w:val="18"/>
        </w:rPr>
        <w:t>5</w:t>
      </w:r>
      <w:r w:rsidR="002E6D00" w:rsidRPr="002E6D00">
        <w:rPr>
          <w:rFonts w:ascii="Arial" w:hAnsi="Arial" w:cs="Arial"/>
          <w:sz w:val="18"/>
          <w:szCs w:val="18"/>
        </w:rPr>
        <w:t>, se presenta a continuación:</w:t>
      </w:r>
    </w:p>
    <w:p w:rsidR="00F34DFA" w:rsidRDefault="00F34DFA" w:rsidP="002E6D00">
      <w:pPr>
        <w:jc w:val="both"/>
        <w:rPr>
          <w:rFonts w:ascii="Arial" w:hAnsi="Arial" w:cs="Arial"/>
          <w:sz w:val="18"/>
          <w:szCs w:val="18"/>
        </w:rPr>
      </w:pPr>
    </w:p>
    <w:p w:rsidR="005D349A" w:rsidRPr="002E6D00" w:rsidRDefault="005D349A" w:rsidP="002E6D0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4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4"/>
        <w:gridCol w:w="1382"/>
      </w:tblGrid>
      <w:tr w:rsidR="00D35287" w:rsidRPr="002E6D00" w:rsidTr="00D35287">
        <w:trPr>
          <w:trHeight w:val="645"/>
          <w:jc w:val="center"/>
        </w:trPr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2E6D00" w:rsidRDefault="00D35287" w:rsidP="00E517C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6D00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2E6D00" w:rsidRDefault="00D35287" w:rsidP="005364D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E6D0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201</w:t>
            </w:r>
            <w:r w:rsidR="0099411F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D35287" w:rsidRPr="00584AFE" w:rsidTr="00D35287">
        <w:trPr>
          <w:trHeight w:val="645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color w:val="000000"/>
                <w:sz w:val="18"/>
                <w:szCs w:val="18"/>
              </w:rPr>
              <w:t>Mobiliario y equipo de administración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15DD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612,554</w:t>
            </w:r>
          </w:p>
        </w:tc>
      </w:tr>
      <w:tr w:rsidR="00D35287" w:rsidRPr="00584AFE" w:rsidTr="00D35287">
        <w:trPr>
          <w:trHeight w:val="645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color w:val="000000"/>
                <w:sz w:val="18"/>
                <w:szCs w:val="18"/>
              </w:rPr>
              <w:t>Equipo de transporte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color w:val="000000"/>
                <w:sz w:val="18"/>
                <w:szCs w:val="18"/>
              </w:rPr>
              <w:t>1,011,543</w:t>
            </w:r>
          </w:p>
        </w:tc>
      </w:tr>
      <w:tr w:rsidR="00D35287" w:rsidRPr="00584AFE" w:rsidTr="00D35287">
        <w:trPr>
          <w:trHeight w:val="645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color w:val="000000"/>
                <w:sz w:val="18"/>
                <w:szCs w:val="18"/>
              </w:rPr>
              <w:t>Maquinaria, otros equipos y herramientas</w:t>
            </w: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color w:val="000000"/>
                <w:sz w:val="18"/>
                <w:szCs w:val="18"/>
              </w:rPr>
              <w:t>442,332</w:t>
            </w:r>
          </w:p>
        </w:tc>
      </w:tr>
      <w:tr w:rsidR="00D35287" w:rsidRPr="00584AFE" w:rsidTr="00D35287">
        <w:trPr>
          <w:trHeight w:val="677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35287" w:rsidP="00E517C1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35287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287" w:rsidRPr="00D35287" w:rsidRDefault="00D15DD8" w:rsidP="00E517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2,066,429</w:t>
            </w:r>
          </w:p>
        </w:tc>
      </w:tr>
    </w:tbl>
    <w:p w:rsidR="00E63213" w:rsidRPr="00540418" w:rsidRDefault="00E63213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C848E1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C848E1">
        <w:rPr>
          <w:b/>
          <w:lang w:val="es-MX"/>
        </w:rPr>
        <w:t>Estimaciones y Deterioros</w:t>
      </w:r>
    </w:p>
    <w:p w:rsidR="00C848E1" w:rsidRPr="00C848E1" w:rsidRDefault="00C848E1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C848E1" w:rsidRDefault="00C848E1" w:rsidP="00540418">
      <w:pPr>
        <w:pStyle w:val="ROMANOS"/>
        <w:spacing w:after="0" w:line="240" w:lineRule="exact"/>
        <w:rPr>
          <w:lang w:val="es-MX"/>
        </w:rPr>
      </w:pPr>
      <w:r w:rsidRPr="00C848E1">
        <w:rPr>
          <w:lang w:val="es-MX"/>
        </w:rPr>
        <w:t xml:space="preserve">No aplica </w:t>
      </w:r>
    </w:p>
    <w:p w:rsidR="00C848E1" w:rsidRPr="00C848E1" w:rsidRDefault="00C848E1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C848E1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C848E1">
        <w:rPr>
          <w:b/>
          <w:lang w:val="es-MX"/>
        </w:rPr>
        <w:t>Otros Activos</w:t>
      </w:r>
    </w:p>
    <w:p w:rsidR="00C848E1" w:rsidRPr="00C848E1" w:rsidRDefault="00C848E1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C848E1" w:rsidRDefault="00C848E1" w:rsidP="00540418">
      <w:pPr>
        <w:pStyle w:val="ROMANOS"/>
        <w:spacing w:after="0" w:line="240" w:lineRule="exact"/>
        <w:rPr>
          <w:lang w:val="es-MX"/>
        </w:rPr>
      </w:pPr>
      <w:r w:rsidRPr="00C848E1">
        <w:rPr>
          <w:lang w:val="es-MX"/>
        </w:rPr>
        <w:t xml:space="preserve">No aplica </w:t>
      </w:r>
    </w:p>
    <w:p w:rsidR="00C848E1" w:rsidRPr="00C848E1" w:rsidRDefault="00C848E1" w:rsidP="00540418">
      <w:pPr>
        <w:pStyle w:val="ROMANOS"/>
        <w:spacing w:after="0" w:line="240" w:lineRule="exact"/>
        <w:rPr>
          <w:lang w:val="es-MX"/>
        </w:rPr>
      </w:pPr>
    </w:p>
    <w:p w:rsidR="00C848E1" w:rsidRDefault="00C848E1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C848E1">
        <w:rPr>
          <w:b/>
          <w:lang w:val="es-MX"/>
        </w:rPr>
        <w:t>Pasivo</w:t>
      </w:r>
    </w:p>
    <w:p w:rsidR="00C848E1" w:rsidRDefault="00C848E1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F34DFA" w:rsidRDefault="00F34DFA" w:rsidP="00C848E1">
      <w:pPr>
        <w:pStyle w:val="ROMANOS"/>
        <w:spacing w:after="0" w:line="240" w:lineRule="exact"/>
        <w:rPr>
          <w:b/>
          <w:lang w:val="es-MX"/>
        </w:rPr>
      </w:pPr>
    </w:p>
    <w:p w:rsidR="00C848E1" w:rsidRPr="00C848E1" w:rsidRDefault="00C848E1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C848E1">
        <w:rPr>
          <w:b/>
          <w:lang w:val="es-MX"/>
        </w:rPr>
        <w:t>Cuentas por pagar</w:t>
      </w:r>
      <w:r>
        <w:rPr>
          <w:b/>
          <w:lang w:val="es-MX"/>
        </w:rPr>
        <w:t xml:space="preserve"> a corto plazo </w:t>
      </w:r>
    </w:p>
    <w:p w:rsidR="00C848E1" w:rsidRPr="00C848E1" w:rsidRDefault="00C848E1" w:rsidP="00C848E1">
      <w:pPr>
        <w:jc w:val="both"/>
        <w:rPr>
          <w:rFonts w:ascii="Arial" w:hAnsi="Arial" w:cs="Arial"/>
          <w:b/>
          <w:sz w:val="18"/>
          <w:szCs w:val="18"/>
        </w:rPr>
      </w:pPr>
    </w:p>
    <w:p w:rsidR="00C848E1" w:rsidRDefault="00C848E1" w:rsidP="00C848E1">
      <w:pPr>
        <w:jc w:val="both"/>
        <w:rPr>
          <w:rFonts w:ascii="Arial" w:hAnsi="Arial" w:cs="Arial"/>
          <w:sz w:val="18"/>
          <w:szCs w:val="18"/>
        </w:rPr>
      </w:pPr>
      <w:r w:rsidRPr="00C848E1">
        <w:rPr>
          <w:rFonts w:ascii="Arial" w:hAnsi="Arial" w:cs="Arial"/>
          <w:sz w:val="18"/>
          <w:szCs w:val="18"/>
        </w:rPr>
        <w:t>Este rubro</w:t>
      </w:r>
      <w:r w:rsidR="00D15DD8">
        <w:rPr>
          <w:rFonts w:ascii="Arial" w:hAnsi="Arial" w:cs="Arial"/>
          <w:sz w:val="18"/>
          <w:szCs w:val="18"/>
        </w:rPr>
        <w:t xml:space="preserve"> al periodo del 31 de marzo</w:t>
      </w:r>
      <w:r w:rsidR="0099411F">
        <w:rPr>
          <w:rFonts w:ascii="Arial" w:hAnsi="Arial" w:cs="Arial"/>
          <w:sz w:val="18"/>
          <w:szCs w:val="18"/>
        </w:rPr>
        <w:t xml:space="preserve"> de 2015</w:t>
      </w:r>
      <w:r w:rsidRPr="00C848E1">
        <w:rPr>
          <w:rFonts w:ascii="Arial" w:hAnsi="Arial" w:cs="Arial"/>
          <w:sz w:val="18"/>
          <w:szCs w:val="18"/>
        </w:rPr>
        <w:t xml:space="preserve"> presenta un saldo de $</w:t>
      </w:r>
      <w:r w:rsidR="00D15DD8">
        <w:rPr>
          <w:rFonts w:ascii="Arial" w:hAnsi="Arial" w:cs="Arial"/>
          <w:iCs/>
          <w:color w:val="000000"/>
          <w:sz w:val="18"/>
          <w:szCs w:val="18"/>
        </w:rPr>
        <w:t>15,283</w:t>
      </w:r>
      <w:r w:rsidR="0099411F">
        <w:rPr>
          <w:rFonts w:ascii="Arial" w:hAnsi="Arial" w:cs="Arial"/>
          <w:iCs/>
          <w:color w:val="000000"/>
          <w:sz w:val="18"/>
          <w:szCs w:val="18"/>
        </w:rPr>
        <w:t xml:space="preserve"> importe superior</w:t>
      </w:r>
      <w:r w:rsidRPr="00C848E1">
        <w:rPr>
          <w:rFonts w:ascii="Arial" w:hAnsi="Arial" w:cs="Arial"/>
          <w:iCs/>
          <w:color w:val="000000"/>
          <w:sz w:val="18"/>
          <w:szCs w:val="18"/>
        </w:rPr>
        <w:t xml:space="preserve"> en</w:t>
      </w:r>
      <w:r w:rsidRPr="00C848E1">
        <w:rPr>
          <w:rFonts w:ascii="Arial" w:hAnsi="Arial" w:cs="Arial"/>
          <w:sz w:val="18"/>
          <w:szCs w:val="18"/>
        </w:rPr>
        <w:t xml:space="preserve"> $</w:t>
      </w:r>
      <w:r w:rsidR="0099411F">
        <w:rPr>
          <w:rFonts w:ascii="Arial" w:hAnsi="Arial" w:cs="Arial"/>
          <w:color w:val="000000"/>
          <w:sz w:val="18"/>
          <w:szCs w:val="18"/>
        </w:rPr>
        <w:t xml:space="preserve"> 15,181 </w:t>
      </w:r>
      <w:r w:rsidRPr="00C848E1">
        <w:rPr>
          <w:rFonts w:ascii="Arial" w:hAnsi="Arial" w:cs="Arial"/>
          <w:sz w:val="18"/>
          <w:szCs w:val="18"/>
        </w:rPr>
        <w:t>con relación al saldo al 31 d</w:t>
      </w:r>
      <w:r w:rsidR="0099411F">
        <w:rPr>
          <w:rFonts w:ascii="Arial" w:hAnsi="Arial" w:cs="Arial"/>
          <w:sz w:val="18"/>
          <w:szCs w:val="18"/>
        </w:rPr>
        <w:t>e diciembre de 2014</w:t>
      </w:r>
      <w:r w:rsidR="002A5DA8">
        <w:rPr>
          <w:rFonts w:ascii="Arial" w:hAnsi="Arial" w:cs="Arial"/>
          <w:sz w:val="18"/>
          <w:szCs w:val="18"/>
        </w:rPr>
        <w:t xml:space="preserve"> por $</w:t>
      </w:r>
      <w:r w:rsidR="00D15DD8">
        <w:rPr>
          <w:rFonts w:ascii="Arial" w:hAnsi="Arial" w:cs="Arial"/>
          <w:sz w:val="18"/>
          <w:szCs w:val="18"/>
        </w:rPr>
        <w:t>102</w:t>
      </w:r>
      <w:r w:rsidR="003D19A8">
        <w:rPr>
          <w:rFonts w:ascii="Arial" w:hAnsi="Arial" w:cs="Arial"/>
          <w:sz w:val="18"/>
          <w:szCs w:val="18"/>
        </w:rPr>
        <w:t>.</w:t>
      </w:r>
    </w:p>
    <w:p w:rsidR="00E517C1" w:rsidRDefault="00E517C1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A24AC8" w:rsidRDefault="00A24AC8" w:rsidP="00A24AC8">
      <w:pPr>
        <w:pStyle w:val="ROMANOS"/>
        <w:spacing w:after="0" w:line="240" w:lineRule="exact"/>
        <w:rPr>
          <w:b/>
          <w:lang w:val="es-MX"/>
        </w:rPr>
      </w:pPr>
    </w:p>
    <w:p w:rsidR="00A24AC8" w:rsidRPr="00C848E1" w:rsidRDefault="00A24AC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>
        <w:rPr>
          <w:b/>
          <w:lang w:val="es-MX"/>
        </w:rPr>
        <w:t xml:space="preserve">Documentos por pagar a largo plazo </w:t>
      </w:r>
    </w:p>
    <w:p w:rsidR="00E517C1" w:rsidRDefault="00E517C1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2A5DA8" w:rsidRPr="002A5DA8" w:rsidRDefault="002A5DA8" w:rsidP="00540418">
      <w:pPr>
        <w:pStyle w:val="ROMANOS"/>
        <w:spacing w:after="0" w:line="240" w:lineRule="exact"/>
        <w:ind w:left="432"/>
        <w:rPr>
          <w:lang w:val="es-MX"/>
        </w:rPr>
      </w:pPr>
      <w:r w:rsidRPr="002A5DA8">
        <w:rPr>
          <w:lang w:val="es-MX"/>
        </w:rPr>
        <w:t xml:space="preserve">    No Aplica</w:t>
      </w:r>
    </w:p>
    <w:p w:rsidR="00A24AC8" w:rsidRDefault="00A24AC8" w:rsidP="00540418">
      <w:pPr>
        <w:pStyle w:val="ROMANOS"/>
        <w:spacing w:after="0" w:line="240" w:lineRule="exact"/>
        <w:ind w:left="1008" w:firstLine="0"/>
        <w:rPr>
          <w:iCs/>
          <w:color w:val="000000"/>
        </w:rPr>
      </w:pPr>
    </w:p>
    <w:p w:rsidR="00A24AC8" w:rsidRPr="00540418" w:rsidRDefault="00A24AC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7760C7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7760C7">
        <w:rPr>
          <w:b/>
          <w:smallCaps/>
        </w:rPr>
        <w:t>II)</w:t>
      </w:r>
      <w:r w:rsidRPr="007760C7">
        <w:rPr>
          <w:b/>
          <w:smallCaps/>
        </w:rPr>
        <w:tab/>
        <w:t>Notas al Estado de Actividades</w:t>
      </w:r>
    </w:p>
    <w:p w:rsidR="00540418" w:rsidRPr="007760C7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9B13A2" w:rsidRDefault="009B13A2" w:rsidP="00A24AC8">
      <w:pPr>
        <w:jc w:val="both"/>
        <w:rPr>
          <w:rFonts w:ascii="Arial" w:hAnsi="Arial" w:cs="Arial"/>
          <w:sz w:val="18"/>
          <w:szCs w:val="18"/>
        </w:rPr>
      </w:pPr>
    </w:p>
    <w:p w:rsidR="00A24AC8" w:rsidRPr="007760C7" w:rsidRDefault="00D15DD8" w:rsidP="00A24A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estado de actividades al 31 de marzo</w:t>
      </w:r>
      <w:r w:rsidR="00A24AC8" w:rsidRPr="007760C7">
        <w:rPr>
          <w:rFonts w:ascii="Arial" w:hAnsi="Arial" w:cs="Arial"/>
          <w:sz w:val="18"/>
          <w:szCs w:val="18"/>
        </w:rPr>
        <w:t xml:space="preserve"> 201</w:t>
      </w:r>
      <w:r w:rsidR="001A2D21">
        <w:rPr>
          <w:rFonts w:ascii="Arial" w:hAnsi="Arial" w:cs="Arial"/>
          <w:sz w:val="18"/>
          <w:szCs w:val="18"/>
        </w:rPr>
        <w:t>5</w:t>
      </w:r>
      <w:r w:rsidR="00A24AC8" w:rsidRPr="007760C7">
        <w:rPr>
          <w:rFonts w:ascii="Arial" w:hAnsi="Arial" w:cs="Arial"/>
          <w:sz w:val="18"/>
          <w:szCs w:val="18"/>
        </w:rPr>
        <w:t>, presenta un resultado positivo (Ahorro) de $</w:t>
      </w:r>
      <w:r>
        <w:rPr>
          <w:rFonts w:ascii="Arial" w:hAnsi="Arial" w:cs="Arial"/>
          <w:sz w:val="18"/>
          <w:szCs w:val="18"/>
        </w:rPr>
        <w:t>63,410</w:t>
      </w:r>
      <w:r w:rsidR="00A24AC8" w:rsidRPr="007760C7">
        <w:rPr>
          <w:rFonts w:ascii="Arial" w:hAnsi="Arial" w:cs="Arial"/>
          <w:sz w:val="18"/>
          <w:szCs w:val="18"/>
        </w:rPr>
        <w:t xml:space="preserve"> el cual se integra en los siguientes apartados.</w:t>
      </w:r>
    </w:p>
    <w:p w:rsidR="00A24AC8" w:rsidRPr="007760C7" w:rsidRDefault="00A24AC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9B13A2" w:rsidRDefault="009B13A2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760C7">
        <w:rPr>
          <w:b/>
          <w:lang w:val="es-MX"/>
        </w:rPr>
        <w:t>Ingresos de Gestión</w:t>
      </w:r>
    </w:p>
    <w:p w:rsidR="002A5DA8" w:rsidRDefault="002A5DA8" w:rsidP="002A5DA8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:rsidR="00A24AC8" w:rsidRDefault="00A24AC8" w:rsidP="00540418">
      <w:pPr>
        <w:pStyle w:val="ROMANOS"/>
        <w:spacing w:after="0" w:line="240" w:lineRule="exact"/>
        <w:rPr>
          <w:b/>
          <w:lang w:val="es-MX"/>
        </w:rPr>
      </w:pPr>
    </w:p>
    <w:p w:rsidR="002A5DA8" w:rsidRPr="007760C7" w:rsidRDefault="002A5DA8" w:rsidP="00540418">
      <w:pPr>
        <w:pStyle w:val="ROMANOS"/>
        <w:spacing w:after="0" w:line="240" w:lineRule="exact"/>
        <w:rPr>
          <w:b/>
          <w:lang w:val="es-MX"/>
        </w:rPr>
      </w:pPr>
    </w:p>
    <w:p w:rsidR="00FF7677" w:rsidRDefault="00F448FF" w:rsidP="00A24AC8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2A1940">
        <w:rPr>
          <w:rFonts w:ascii="Arial" w:hAnsi="Arial" w:cs="Arial"/>
          <w:color w:val="FFFFFF" w:themeColor="background1"/>
          <w:sz w:val="18"/>
          <w:szCs w:val="18"/>
          <w:u w:val="single"/>
        </w:rPr>
        <w:t>Aprovechamientos</w:t>
      </w:r>
      <w:r w:rsidR="00A24AC8" w:rsidRPr="002A1940">
        <w:rPr>
          <w:rFonts w:ascii="Arial" w:hAnsi="Arial" w:cs="Arial"/>
          <w:color w:val="FFFFFF" w:themeColor="background1"/>
          <w:sz w:val="18"/>
          <w:szCs w:val="18"/>
          <w:u w:val="single"/>
        </w:rPr>
        <w:t xml:space="preserve"> de tipo corriente</w:t>
      </w:r>
      <w:r w:rsidR="00A24AC8" w:rsidRPr="002A1940">
        <w:rPr>
          <w:rFonts w:ascii="Arial" w:hAnsi="Arial" w:cs="Arial"/>
          <w:color w:val="FFFFFF" w:themeColor="background1"/>
          <w:sz w:val="18"/>
          <w:szCs w:val="18"/>
        </w:rPr>
        <w:t>.- Esta representado por un monto de $</w:t>
      </w:r>
      <w:r w:rsidR="001A2D21" w:rsidRPr="002A1940">
        <w:rPr>
          <w:rFonts w:ascii="Arial" w:hAnsi="Arial" w:cs="Arial"/>
          <w:color w:val="FFFFFF" w:themeColor="background1"/>
          <w:sz w:val="18"/>
          <w:szCs w:val="18"/>
        </w:rPr>
        <w:t>27,000</w:t>
      </w:r>
      <w:r w:rsidR="00A24AC8" w:rsidRPr="002A1940">
        <w:rPr>
          <w:rFonts w:ascii="Arial" w:hAnsi="Arial" w:cs="Arial"/>
          <w:color w:val="FFFFFF" w:themeColor="background1"/>
          <w:sz w:val="18"/>
          <w:szCs w:val="18"/>
        </w:rPr>
        <w:t>, que deriva de</w:t>
      </w:r>
      <w:r w:rsidR="00772EAA" w:rsidRPr="002A1940">
        <w:rPr>
          <w:rFonts w:ascii="Arial" w:hAnsi="Arial" w:cs="Arial"/>
          <w:color w:val="FFFFFF" w:themeColor="background1"/>
          <w:sz w:val="18"/>
          <w:szCs w:val="18"/>
        </w:rPr>
        <w:t xml:space="preserve"> la recepción de recursos obtenidos por parte de la Secretaría de Turismo y Desarrollo Económico para realizar exposiciones nacionales</w:t>
      </w:r>
    </w:p>
    <w:p w:rsidR="002A1940" w:rsidRDefault="002A1940" w:rsidP="002A1940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760C7">
        <w:rPr>
          <w:b/>
          <w:lang w:val="es-MX"/>
        </w:rPr>
        <w:lastRenderedPageBreak/>
        <w:t>Ingresos de Gestión</w:t>
      </w:r>
    </w:p>
    <w:p w:rsidR="001A2D21" w:rsidRDefault="001A2D21" w:rsidP="00A24AC8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1A2D21" w:rsidRPr="001A2D21" w:rsidRDefault="001A2D21" w:rsidP="00A24AC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Ingresos por venta de bienes y servicios</w:t>
      </w:r>
      <w:r>
        <w:rPr>
          <w:rFonts w:ascii="Arial" w:hAnsi="Arial" w:cs="Arial"/>
          <w:color w:val="000000"/>
          <w:sz w:val="18"/>
          <w:szCs w:val="18"/>
        </w:rPr>
        <w:t>.- Esta represe</w:t>
      </w:r>
      <w:r w:rsidR="002A1940">
        <w:rPr>
          <w:rFonts w:ascii="Arial" w:hAnsi="Arial" w:cs="Arial"/>
          <w:color w:val="000000"/>
          <w:sz w:val="18"/>
          <w:szCs w:val="18"/>
        </w:rPr>
        <w:t>ntado por un monto de 842,597</w:t>
      </w:r>
      <w:r>
        <w:rPr>
          <w:rFonts w:ascii="Arial" w:hAnsi="Arial" w:cs="Arial"/>
          <w:color w:val="000000"/>
          <w:sz w:val="18"/>
          <w:szCs w:val="18"/>
        </w:rPr>
        <w:t xml:space="preserve">, que deriva de la venta de objetos artesanales. </w:t>
      </w:r>
    </w:p>
    <w:p w:rsidR="003C77EC" w:rsidRDefault="003C77EC" w:rsidP="003C77E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24AC8" w:rsidRDefault="003C77EC" w:rsidP="00A24AC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Participaciones y </w:t>
      </w:r>
      <w:r w:rsidR="009B13A2">
        <w:rPr>
          <w:rFonts w:ascii="Arial" w:hAnsi="Arial" w:cs="Arial"/>
          <w:sz w:val="18"/>
          <w:szCs w:val="18"/>
          <w:u w:val="single"/>
        </w:rPr>
        <w:t>Aportaciones.</w:t>
      </w:r>
      <w:r w:rsidR="00A24AC8" w:rsidRPr="007760C7">
        <w:rPr>
          <w:rFonts w:ascii="Arial" w:hAnsi="Arial" w:cs="Arial"/>
          <w:sz w:val="18"/>
          <w:szCs w:val="18"/>
        </w:rPr>
        <w:t>- Esta representado por un monto $</w:t>
      </w:r>
      <w:r w:rsidR="002A1940">
        <w:rPr>
          <w:rFonts w:ascii="Arial" w:hAnsi="Arial" w:cs="Arial"/>
          <w:color w:val="000000"/>
          <w:sz w:val="18"/>
          <w:szCs w:val="18"/>
        </w:rPr>
        <w:t>3</w:t>
      </w:r>
      <w:proofErr w:type="gramStart"/>
      <w:r w:rsidR="002A1940">
        <w:rPr>
          <w:rFonts w:ascii="Arial" w:hAnsi="Arial" w:cs="Arial"/>
          <w:color w:val="000000"/>
          <w:sz w:val="18"/>
          <w:szCs w:val="18"/>
        </w:rPr>
        <w:t>,060,640</w:t>
      </w:r>
      <w:proofErr w:type="gramEnd"/>
      <w:r w:rsidR="00A24AC8" w:rsidRPr="007760C7">
        <w:rPr>
          <w:rFonts w:ascii="Arial" w:hAnsi="Arial" w:cs="Arial"/>
          <w:sz w:val="18"/>
          <w:szCs w:val="18"/>
        </w:rPr>
        <w:t xml:space="preserve"> que deriva de la recepción de recursos</w:t>
      </w:r>
      <w:r w:rsidR="009B13A2">
        <w:rPr>
          <w:rFonts w:ascii="Arial" w:hAnsi="Arial" w:cs="Arial"/>
          <w:sz w:val="18"/>
          <w:szCs w:val="18"/>
        </w:rPr>
        <w:t xml:space="preserve"> obtenidos por parte de la Secretaria de </w:t>
      </w:r>
      <w:r w:rsidR="00AE652B">
        <w:rPr>
          <w:rFonts w:ascii="Arial" w:hAnsi="Arial" w:cs="Arial"/>
          <w:sz w:val="18"/>
          <w:szCs w:val="18"/>
        </w:rPr>
        <w:t>Planeación</w:t>
      </w:r>
      <w:r w:rsidR="009B13A2">
        <w:rPr>
          <w:rFonts w:ascii="Arial" w:hAnsi="Arial" w:cs="Arial"/>
          <w:sz w:val="18"/>
          <w:szCs w:val="18"/>
        </w:rPr>
        <w:t xml:space="preserve"> y Finanzas </w:t>
      </w:r>
      <w:r>
        <w:rPr>
          <w:rFonts w:ascii="Arial" w:hAnsi="Arial" w:cs="Arial"/>
          <w:sz w:val="18"/>
          <w:szCs w:val="18"/>
        </w:rPr>
        <w:t>del Gobierno del Estado de Tlaxcala</w:t>
      </w:r>
      <w:r w:rsidR="00A24AC8" w:rsidRPr="007760C7">
        <w:rPr>
          <w:rFonts w:ascii="Arial" w:hAnsi="Arial" w:cs="Arial"/>
          <w:sz w:val="18"/>
          <w:szCs w:val="18"/>
        </w:rPr>
        <w:t xml:space="preserve">; este rubro de ingresos </w:t>
      </w:r>
      <w:r w:rsidR="00AE652B">
        <w:rPr>
          <w:rFonts w:ascii="Arial" w:hAnsi="Arial" w:cs="Arial"/>
          <w:sz w:val="18"/>
          <w:szCs w:val="18"/>
        </w:rPr>
        <w:t>está presupuestado de</w:t>
      </w:r>
      <w:r w:rsidR="00A24AC8" w:rsidRPr="007760C7">
        <w:rPr>
          <w:rFonts w:ascii="Arial" w:hAnsi="Arial" w:cs="Arial"/>
          <w:sz w:val="18"/>
          <w:szCs w:val="18"/>
        </w:rPr>
        <w:t xml:space="preserve"> la siguiente manera:</w:t>
      </w:r>
    </w:p>
    <w:p w:rsidR="00A24AC8" w:rsidRDefault="00A24AC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A24AC8" w:rsidRDefault="00A24AC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AE652B" w:rsidRDefault="00540418" w:rsidP="00304092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AE652B">
        <w:rPr>
          <w:b/>
          <w:lang w:val="es-MX"/>
        </w:rPr>
        <w:t>Gastos y Otras Pérdidas:</w:t>
      </w:r>
    </w:p>
    <w:p w:rsidR="00AE652B" w:rsidRPr="00AE652B" w:rsidRDefault="00AE652B" w:rsidP="00540418">
      <w:pPr>
        <w:pStyle w:val="ROMANOS"/>
        <w:spacing w:after="0" w:line="240" w:lineRule="exact"/>
        <w:rPr>
          <w:b/>
          <w:lang w:val="es-MX"/>
        </w:rPr>
      </w:pPr>
    </w:p>
    <w:p w:rsidR="00AE652B" w:rsidRPr="00AE652B" w:rsidRDefault="00AE652B" w:rsidP="00AE652B">
      <w:pPr>
        <w:jc w:val="both"/>
        <w:rPr>
          <w:rFonts w:ascii="Arial" w:hAnsi="Arial" w:cs="Arial"/>
          <w:sz w:val="18"/>
          <w:szCs w:val="18"/>
        </w:rPr>
      </w:pPr>
      <w:r w:rsidRPr="00AE652B">
        <w:rPr>
          <w:rFonts w:ascii="Arial" w:hAnsi="Arial" w:cs="Arial"/>
          <w:sz w:val="18"/>
          <w:szCs w:val="18"/>
          <w:u w:val="single"/>
        </w:rPr>
        <w:t>Servicios Personales</w:t>
      </w:r>
      <w:r w:rsidRPr="00AE652B">
        <w:rPr>
          <w:rFonts w:ascii="Arial" w:hAnsi="Arial" w:cs="Arial"/>
          <w:sz w:val="18"/>
          <w:szCs w:val="18"/>
        </w:rPr>
        <w:t xml:space="preserve">.- Este rubro representa el </w:t>
      </w:r>
      <w:r w:rsidR="00C967AD">
        <w:rPr>
          <w:rFonts w:ascii="Arial" w:hAnsi="Arial" w:cs="Arial"/>
          <w:sz w:val="18"/>
          <w:szCs w:val="18"/>
        </w:rPr>
        <w:t>36</w:t>
      </w:r>
      <w:r w:rsidRPr="008D5871">
        <w:rPr>
          <w:rFonts w:ascii="Arial" w:hAnsi="Arial" w:cs="Arial"/>
          <w:sz w:val="18"/>
          <w:szCs w:val="18"/>
        </w:rPr>
        <w:t>%</w:t>
      </w:r>
      <w:r w:rsidRPr="00AE652B">
        <w:rPr>
          <w:rFonts w:ascii="Arial" w:hAnsi="Arial" w:cs="Arial"/>
          <w:sz w:val="18"/>
          <w:szCs w:val="18"/>
        </w:rPr>
        <w:t xml:space="preserve"> del total de gastos y otras pérdidas con un monto de $</w:t>
      </w:r>
      <w:r w:rsidR="004B67A2">
        <w:rPr>
          <w:rFonts w:ascii="Arial" w:hAnsi="Arial" w:cs="Arial"/>
          <w:sz w:val="18"/>
          <w:szCs w:val="18"/>
        </w:rPr>
        <w:t>2</w:t>
      </w:r>
      <w:proofErr w:type="gramStart"/>
      <w:r w:rsidR="004B67A2">
        <w:rPr>
          <w:rFonts w:ascii="Arial" w:hAnsi="Arial" w:cs="Arial"/>
          <w:sz w:val="18"/>
          <w:szCs w:val="18"/>
        </w:rPr>
        <w:t>,193,735</w:t>
      </w:r>
      <w:proofErr w:type="gramEnd"/>
      <w:r w:rsidRPr="00AE652B">
        <w:rPr>
          <w:rFonts w:ascii="Arial" w:hAnsi="Arial" w:cs="Arial"/>
          <w:sz w:val="18"/>
          <w:szCs w:val="18"/>
        </w:rPr>
        <w:t xml:space="preserve">, cuyo destino de los recursos fue para cubrir las remuneraciones del personal del </w:t>
      </w:r>
      <w:r>
        <w:rPr>
          <w:rFonts w:ascii="Arial" w:hAnsi="Arial" w:cs="Arial"/>
          <w:sz w:val="18"/>
          <w:szCs w:val="18"/>
        </w:rPr>
        <w:t>fideicomiso</w:t>
      </w:r>
      <w:r w:rsidRPr="00AE652B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así como el pago de las cuotas de seguro de vida del personal, las cuotas para el fondo de ahorro, el pago de servicio médico, la prima vacacional y demás prestaciones de fin de año. </w:t>
      </w:r>
      <w:r w:rsidRPr="00AE652B">
        <w:rPr>
          <w:rFonts w:ascii="Arial" w:hAnsi="Arial" w:cs="Arial"/>
          <w:sz w:val="18"/>
          <w:szCs w:val="18"/>
        </w:rPr>
        <w:t xml:space="preserve"> </w:t>
      </w:r>
    </w:p>
    <w:p w:rsidR="00E0141D" w:rsidRPr="00AE652B" w:rsidRDefault="00E0141D" w:rsidP="00E0141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Materiales y Suministros</w:t>
      </w:r>
      <w:r w:rsidRPr="00AE652B">
        <w:rPr>
          <w:rFonts w:ascii="Arial" w:hAnsi="Arial" w:cs="Arial"/>
          <w:sz w:val="18"/>
          <w:szCs w:val="18"/>
        </w:rPr>
        <w:t xml:space="preserve">.- Este </w:t>
      </w:r>
      <w:r w:rsidR="00DB7262">
        <w:rPr>
          <w:rFonts w:ascii="Arial" w:hAnsi="Arial" w:cs="Arial"/>
          <w:sz w:val="18"/>
          <w:szCs w:val="18"/>
        </w:rPr>
        <w:t xml:space="preserve">rubro representa el </w:t>
      </w:r>
      <w:r w:rsidR="00C967AD">
        <w:rPr>
          <w:rFonts w:ascii="Arial" w:hAnsi="Arial" w:cs="Arial"/>
          <w:sz w:val="18"/>
          <w:szCs w:val="18"/>
        </w:rPr>
        <w:t>29</w:t>
      </w:r>
      <w:r w:rsidRPr="008D5871">
        <w:rPr>
          <w:rFonts w:ascii="Arial" w:hAnsi="Arial" w:cs="Arial"/>
          <w:sz w:val="18"/>
          <w:szCs w:val="18"/>
        </w:rPr>
        <w:t>%</w:t>
      </w:r>
      <w:r w:rsidRPr="000C33C1">
        <w:rPr>
          <w:rFonts w:ascii="Arial" w:hAnsi="Arial" w:cs="Arial"/>
          <w:color w:val="FF0000"/>
          <w:sz w:val="18"/>
          <w:szCs w:val="18"/>
        </w:rPr>
        <w:t xml:space="preserve"> </w:t>
      </w:r>
      <w:r w:rsidRPr="00AE652B">
        <w:rPr>
          <w:rFonts w:ascii="Arial" w:hAnsi="Arial" w:cs="Arial"/>
          <w:sz w:val="18"/>
          <w:szCs w:val="18"/>
        </w:rPr>
        <w:t>del total de gastos y otras pérdidas con un monto de $</w:t>
      </w:r>
      <w:r w:rsidR="004B67A2">
        <w:rPr>
          <w:rFonts w:ascii="Arial" w:hAnsi="Arial" w:cs="Arial"/>
          <w:sz w:val="18"/>
          <w:szCs w:val="18"/>
        </w:rPr>
        <w:t>2,788,517</w:t>
      </w:r>
      <w:r w:rsidR="00DB7262">
        <w:rPr>
          <w:rFonts w:ascii="Arial" w:hAnsi="Arial" w:cs="Arial"/>
          <w:sz w:val="18"/>
          <w:szCs w:val="18"/>
        </w:rPr>
        <w:t xml:space="preserve">, </w:t>
      </w:r>
      <w:r w:rsidRPr="00AE652B">
        <w:rPr>
          <w:rFonts w:ascii="Arial" w:hAnsi="Arial" w:cs="Arial"/>
          <w:sz w:val="18"/>
          <w:szCs w:val="18"/>
        </w:rPr>
        <w:t xml:space="preserve"> cuyo objetivo fue</w:t>
      </w:r>
      <w:r>
        <w:rPr>
          <w:rFonts w:ascii="Arial" w:hAnsi="Arial" w:cs="Arial"/>
          <w:sz w:val="18"/>
          <w:szCs w:val="18"/>
        </w:rPr>
        <w:t xml:space="preserve"> realizar la compra de aquellos materiales y suministros necesarios </w:t>
      </w:r>
      <w:r w:rsidRPr="00AE652B">
        <w:rPr>
          <w:rFonts w:ascii="Arial" w:hAnsi="Arial" w:cs="Arial"/>
          <w:sz w:val="18"/>
          <w:szCs w:val="18"/>
        </w:rPr>
        <w:t xml:space="preserve">para llevar a cabo </w:t>
      </w:r>
      <w:r>
        <w:rPr>
          <w:rFonts w:ascii="Arial" w:hAnsi="Arial" w:cs="Arial"/>
          <w:sz w:val="18"/>
          <w:szCs w:val="18"/>
        </w:rPr>
        <w:t xml:space="preserve">las </w:t>
      </w:r>
      <w:r w:rsidRPr="00AE652B">
        <w:rPr>
          <w:rFonts w:ascii="Arial" w:hAnsi="Arial" w:cs="Arial"/>
          <w:sz w:val="18"/>
          <w:szCs w:val="18"/>
        </w:rPr>
        <w:t xml:space="preserve">funciones sustantivas y administrativas que permitan el logro de los objetivos </w:t>
      </w:r>
      <w:r>
        <w:rPr>
          <w:rFonts w:ascii="Arial" w:hAnsi="Arial" w:cs="Arial"/>
          <w:sz w:val="18"/>
          <w:szCs w:val="18"/>
        </w:rPr>
        <w:t>del fideicomiso.</w:t>
      </w:r>
    </w:p>
    <w:p w:rsidR="00AE652B" w:rsidRDefault="00AE652B" w:rsidP="00AE652B">
      <w:pPr>
        <w:jc w:val="both"/>
        <w:rPr>
          <w:rFonts w:ascii="Arial" w:hAnsi="Arial" w:cs="Arial"/>
          <w:sz w:val="18"/>
          <w:szCs w:val="18"/>
        </w:rPr>
      </w:pPr>
      <w:r w:rsidRPr="00AE652B">
        <w:rPr>
          <w:rFonts w:ascii="Arial" w:hAnsi="Arial" w:cs="Arial"/>
          <w:sz w:val="18"/>
          <w:szCs w:val="18"/>
          <w:u w:val="single"/>
        </w:rPr>
        <w:t>Servicios Generales</w:t>
      </w:r>
      <w:r w:rsidRPr="00AE652B">
        <w:rPr>
          <w:rFonts w:ascii="Arial" w:hAnsi="Arial" w:cs="Arial"/>
          <w:sz w:val="18"/>
          <w:szCs w:val="18"/>
        </w:rPr>
        <w:t>.- Este rubro representa el</w:t>
      </w:r>
      <w:r w:rsidRPr="000C33C1">
        <w:rPr>
          <w:rFonts w:ascii="Arial" w:hAnsi="Arial" w:cs="Arial"/>
          <w:color w:val="FF0000"/>
          <w:sz w:val="18"/>
          <w:szCs w:val="18"/>
        </w:rPr>
        <w:t xml:space="preserve"> </w:t>
      </w:r>
      <w:r w:rsidR="00C967AD">
        <w:rPr>
          <w:rFonts w:ascii="Arial" w:hAnsi="Arial" w:cs="Arial"/>
          <w:sz w:val="18"/>
          <w:szCs w:val="18"/>
        </w:rPr>
        <w:t>31</w:t>
      </w:r>
      <w:r w:rsidRPr="00AE652B">
        <w:rPr>
          <w:rFonts w:ascii="Arial" w:hAnsi="Arial" w:cs="Arial"/>
          <w:sz w:val="18"/>
          <w:szCs w:val="18"/>
        </w:rPr>
        <w:t>% del total de gastos y otras pérdidas con un monto de $</w:t>
      </w:r>
      <w:r w:rsidR="004B67A2">
        <w:rPr>
          <w:rFonts w:ascii="Arial" w:hAnsi="Arial" w:cs="Arial"/>
          <w:sz w:val="18"/>
          <w:szCs w:val="18"/>
        </w:rPr>
        <w:t>2</w:t>
      </w:r>
      <w:proofErr w:type="gramStart"/>
      <w:r w:rsidR="004B67A2">
        <w:rPr>
          <w:rFonts w:ascii="Arial" w:hAnsi="Arial" w:cs="Arial"/>
          <w:sz w:val="18"/>
          <w:szCs w:val="18"/>
        </w:rPr>
        <w:t>,558,218</w:t>
      </w:r>
      <w:proofErr w:type="gramEnd"/>
      <w:r w:rsidRPr="00AE652B">
        <w:rPr>
          <w:rFonts w:ascii="Arial" w:hAnsi="Arial" w:cs="Arial"/>
          <w:sz w:val="18"/>
          <w:szCs w:val="18"/>
        </w:rPr>
        <w:t xml:space="preserve"> cuyo objetivo fue cubrir principalmente servicios básicos</w:t>
      </w:r>
      <w:r w:rsidR="00E0141D">
        <w:rPr>
          <w:rFonts w:ascii="Arial" w:hAnsi="Arial" w:cs="Arial"/>
          <w:sz w:val="18"/>
          <w:szCs w:val="18"/>
        </w:rPr>
        <w:t xml:space="preserve"> para la operación del fideicomiso</w:t>
      </w:r>
      <w:r w:rsidRPr="00AE652B">
        <w:rPr>
          <w:rFonts w:ascii="Arial" w:hAnsi="Arial" w:cs="Arial"/>
          <w:sz w:val="18"/>
          <w:szCs w:val="18"/>
        </w:rPr>
        <w:t xml:space="preserve">, </w:t>
      </w:r>
      <w:r w:rsidR="00E0141D">
        <w:rPr>
          <w:rFonts w:ascii="Arial" w:hAnsi="Arial" w:cs="Arial"/>
          <w:sz w:val="18"/>
          <w:szCs w:val="18"/>
        </w:rPr>
        <w:t>tales el pago de los impuesto y derechos, el mantenimiento</w:t>
      </w:r>
      <w:r w:rsidR="00DB7262">
        <w:rPr>
          <w:rFonts w:ascii="Arial" w:hAnsi="Arial" w:cs="Arial"/>
          <w:sz w:val="18"/>
          <w:szCs w:val="18"/>
        </w:rPr>
        <w:t xml:space="preserve"> de </w:t>
      </w:r>
      <w:r w:rsidRPr="00AE652B">
        <w:rPr>
          <w:rFonts w:ascii="Arial" w:hAnsi="Arial" w:cs="Arial"/>
          <w:sz w:val="18"/>
          <w:szCs w:val="18"/>
        </w:rPr>
        <w:t xml:space="preserve"> vehículos</w:t>
      </w:r>
      <w:r w:rsidR="00E0141D">
        <w:rPr>
          <w:rFonts w:ascii="Arial" w:hAnsi="Arial" w:cs="Arial"/>
          <w:sz w:val="18"/>
          <w:szCs w:val="18"/>
        </w:rPr>
        <w:t>,</w:t>
      </w:r>
      <w:r w:rsidR="00C967AD">
        <w:rPr>
          <w:rFonts w:ascii="Arial" w:hAnsi="Arial" w:cs="Arial"/>
          <w:sz w:val="18"/>
          <w:szCs w:val="18"/>
        </w:rPr>
        <w:t xml:space="preserve"> exposiciones</w:t>
      </w:r>
      <w:r w:rsidR="00E0141D">
        <w:rPr>
          <w:rFonts w:ascii="Arial" w:hAnsi="Arial" w:cs="Arial"/>
          <w:sz w:val="18"/>
          <w:szCs w:val="18"/>
        </w:rPr>
        <w:t xml:space="preserve"> lo anterior con la finalidad de</w:t>
      </w:r>
      <w:r w:rsidRPr="00AE652B">
        <w:rPr>
          <w:rFonts w:ascii="Arial" w:hAnsi="Arial" w:cs="Arial"/>
          <w:sz w:val="18"/>
          <w:szCs w:val="18"/>
        </w:rPr>
        <w:t xml:space="preserve"> llevar a cabo </w:t>
      </w:r>
      <w:r w:rsidR="00E0141D">
        <w:rPr>
          <w:rFonts w:ascii="Arial" w:hAnsi="Arial" w:cs="Arial"/>
          <w:sz w:val="18"/>
          <w:szCs w:val="18"/>
        </w:rPr>
        <w:t>las</w:t>
      </w:r>
      <w:r w:rsidRPr="00AE652B">
        <w:rPr>
          <w:rFonts w:ascii="Arial" w:hAnsi="Arial" w:cs="Arial"/>
          <w:sz w:val="18"/>
          <w:szCs w:val="18"/>
        </w:rPr>
        <w:t xml:space="preserve"> funciones sustantivas y administrativas que permitan el logro de los objetivos para lo cual fue creado</w:t>
      </w:r>
      <w:r w:rsidR="00E0141D">
        <w:rPr>
          <w:rFonts w:ascii="Arial" w:hAnsi="Arial" w:cs="Arial"/>
          <w:sz w:val="18"/>
          <w:szCs w:val="18"/>
        </w:rPr>
        <w:t xml:space="preserve"> este fideicomiso. </w:t>
      </w:r>
    </w:p>
    <w:p w:rsidR="00C827FC" w:rsidRPr="00AE652B" w:rsidRDefault="00C827FC" w:rsidP="00AE652B">
      <w:pPr>
        <w:jc w:val="both"/>
        <w:rPr>
          <w:rFonts w:ascii="Arial" w:hAnsi="Arial" w:cs="Arial"/>
          <w:sz w:val="18"/>
          <w:szCs w:val="18"/>
        </w:rPr>
      </w:pPr>
      <w:r w:rsidRPr="00C967AD">
        <w:rPr>
          <w:rFonts w:ascii="Arial" w:hAnsi="Arial" w:cs="Arial"/>
          <w:sz w:val="18"/>
          <w:szCs w:val="18"/>
          <w:u w:val="single"/>
        </w:rPr>
        <w:t>Subsidios y Subvenciones</w:t>
      </w:r>
      <w:r w:rsidR="00C967AD">
        <w:rPr>
          <w:rFonts w:ascii="Arial" w:hAnsi="Arial" w:cs="Arial"/>
          <w:sz w:val="18"/>
          <w:szCs w:val="18"/>
        </w:rPr>
        <w:t xml:space="preserve">.-Este rubro representa el 1% del total de gastos y otras pérdidas con un monto de $70,100 cuyo objetivo fue cubrir el fomento y producción de las artesanías a través de concursos. </w:t>
      </w:r>
    </w:p>
    <w:p w:rsidR="00304092" w:rsidRPr="008D5871" w:rsidRDefault="008D5871" w:rsidP="00F34DFA">
      <w:pPr>
        <w:jc w:val="both"/>
        <w:rPr>
          <w:b/>
          <w:smallCaps/>
        </w:rPr>
      </w:pPr>
      <w:r w:rsidRPr="008D5871">
        <w:rPr>
          <w:rFonts w:ascii="Arial" w:hAnsi="Arial" w:cs="Arial"/>
          <w:sz w:val="18"/>
          <w:szCs w:val="18"/>
          <w:u w:val="single"/>
        </w:rPr>
        <w:t>Ayudas Sociales</w:t>
      </w:r>
      <w:r w:rsidR="00AE652B" w:rsidRPr="008D5871">
        <w:rPr>
          <w:rFonts w:ascii="Arial" w:hAnsi="Arial" w:cs="Arial"/>
          <w:sz w:val="18"/>
          <w:szCs w:val="18"/>
        </w:rPr>
        <w:t xml:space="preserve">.- Este rubro representa el </w:t>
      </w:r>
      <w:r w:rsidR="00C967AD">
        <w:rPr>
          <w:rFonts w:ascii="Arial" w:hAnsi="Arial" w:cs="Arial"/>
          <w:sz w:val="18"/>
          <w:szCs w:val="18"/>
        </w:rPr>
        <w:t>2</w:t>
      </w:r>
      <w:r w:rsidR="00AE652B" w:rsidRPr="008D5871">
        <w:rPr>
          <w:rFonts w:ascii="Arial" w:hAnsi="Arial" w:cs="Arial"/>
          <w:sz w:val="18"/>
          <w:szCs w:val="18"/>
        </w:rPr>
        <w:t>% del total de gastos y otras pérdidas con un monto de $</w:t>
      </w:r>
      <w:r w:rsidRPr="008D5871">
        <w:rPr>
          <w:rFonts w:ascii="Arial" w:hAnsi="Arial" w:cs="Arial"/>
          <w:sz w:val="18"/>
          <w:szCs w:val="18"/>
        </w:rPr>
        <w:t>379,231</w:t>
      </w:r>
      <w:r w:rsidR="00DB7262" w:rsidRPr="008D5871">
        <w:rPr>
          <w:rFonts w:ascii="Arial" w:hAnsi="Arial" w:cs="Arial"/>
          <w:sz w:val="18"/>
          <w:szCs w:val="18"/>
        </w:rPr>
        <w:t xml:space="preserve"> </w:t>
      </w:r>
      <w:r w:rsidR="00E0141D" w:rsidRPr="008D5871">
        <w:rPr>
          <w:rFonts w:ascii="Arial" w:hAnsi="Arial" w:cs="Arial"/>
          <w:sz w:val="18"/>
          <w:szCs w:val="18"/>
        </w:rPr>
        <w:t xml:space="preserve">con la finalidad de </w:t>
      </w:r>
      <w:r w:rsidRPr="008D5871">
        <w:rPr>
          <w:rFonts w:ascii="Arial" w:hAnsi="Arial" w:cs="Arial"/>
          <w:sz w:val="18"/>
          <w:szCs w:val="18"/>
        </w:rPr>
        <w:t>impartir capacitaciones y talleres a los artesanos de la entidad.</w:t>
      </w:r>
      <w:r w:rsidRPr="008D5871">
        <w:rPr>
          <w:b/>
          <w:smallCaps/>
        </w:rPr>
        <w:t xml:space="preserve"> </w:t>
      </w:r>
    </w:p>
    <w:p w:rsidR="00304092" w:rsidRDefault="00304092" w:rsidP="00F34DFA">
      <w:pPr>
        <w:jc w:val="both"/>
        <w:rPr>
          <w:b/>
          <w:smallCaps/>
        </w:rPr>
      </w:pPr>
    </w:p>
    <w:p w:rsidR="00304092" w:rsidRDefault="00304092" w:rsidP="00F34DFA">
      <w:pPr>
        <w:jc w:val="both"/>
        <w:rPr>
          <w:b/>
          <w:smallCaps/>
        </w:rPr>
      </w:pPr>
    </w:p>
    <w:p w:rsidR="00304092" w:rsidRDefault="00304092" w:rsidP="00F34DFA">
      <w:pPr>
        <w:jc w:val="both"/>
        <w:rPr>
          <w:b/>
          <w:smallCaps/>
        </w:rPr>
      </w:pPr>
    </w:p>
    <w:p w:rsidR="00304092" w:rsidRDefault="00304092" w:rsidP="00F34DFA">
      <w:pPr>
        <w:jc w:val="both"/>
        <w:rPr>
          <w:b/>
          <w:smallCaps/>
        </w:rPr>
      </w:pPr>
    </w:p>
    <w:p w:rsidR="00304092" w:rsidRDefault="00304092" w:rsidP="00F34DFA">
      <w:pPr>
        <w:jc w:val="both"/>
        <w:rPr>
          <w:b/>
          <w:smallCaps/>
        </w:rPr>
      </w:pPr>
    </w:p>
    <w:p w:rsidR="00304092" w:rsidRDefault="00304092" w:rsidP="00F34DFA">
      <w:pPr>
        <w:jc w:val="both"/>
        <w:rPr>
          <w:b/>
          <w:smallCaps/>
        </w:rPr>
      </w:pPr>
    </w:p>
    <w:p w:rsidR="00304092" w:rsidRDefault="00304092" w:rsidP="00F34DFA">
      <w:pPr>
        <w:jc w:val="both"/>
        <w:rPr>
          <w:b/>
          <w:smallCaps/>
        </w:rPr>
      </w:pPr>
    </w:p>
    <w:p w:rsidR="00540418" w:rsidRPr="00DF7A8E" w:rsidRDefault="00540418" w:rsidP="00F34DFA">
      <w:pPr>
        <w:jc w:val="both"/>
        <w:rPr>
          <w:b/>
          <w:smallCaps/>
        </w:rPr>
      </w:pPr>
      <w:r w:rsidRPr="00DF7A8E">
        <w:rPr>
          <w:b/>
          <w:smallCaps/>
        </w:rPr>
        <w:t>III)</w:t>
      </w:r>
      <w:r w:rsidRPr="00DF7A8E">
        <w:rPr>
          <w:b/>
          <w:smallCaps/>
        </w:rPr>
        <w:tab/>
        <w:t>Notas al Estado de Variación en la Hacienda Pública</w:t>
      </w:r>
    </w:p>
    <w:p w:rsidR="00DF7A8E" w:rsidRPr="00DF7A8E" w:rsidRDefault="00DF7A8E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DF7A8E" w:rsidRPr="00DF7A8E" w:rsidRDefault="00DF7A8E" w:rsidP="00DF7A8E">
      <w:pPr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W w:w="5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2015"/>
      </w:tblGrid>
      <w:tr w:rsidR="00DF7A8E" w:rsidRPr="00DF7A8E" w:rsidTr="004A3428">
        <w:trPr>
          <w:trHeight w:val="300"/>
          <w:jc w:val="center"/>
        </w:trPr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DF7A8E" w:rsidRDefault="00DF7A8E" w:rsidP="004A342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7A8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A8E" w:rsidRPr="00DF7A8E" w:rsidRDefault="00DF7A8E" w:rsidP="00DF7A8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7A8E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201</w:t>
            </w:r>
            <w:r w:rsidR="000C33C1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DF7A8E" w:rsidRPr="00DF7A8E" w:rsidTr="004A3428">
        <w:trPr>
          <w:trHeight w:val="30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DF7A8E" w:rsidRDefault="00C967AD" w:rsidP="000C33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Patrimonio al 31</w:t>
            </w:r>
            <w:r w:rsidR="00DF7A8E" w:rsidRPr="00DF7A8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marzo</w:t>
            </w:r>
            <w:r w:rsidR="00DF7A8E" w:rsidRPr="00DF7A8E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201</w:t>
            </w:r>
            <w:r w:rsidR="000C33C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8E" w:rsidRPr="00DF7A8E" w:rsidRDefault="00A71702" w:rsidP="004A34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9,371,137</w:t>
            </w:r>
          </w:p>
        </w:tc>
      </w:tr>
      <w:tr w:rsidR="00DF7A8E" w:rsidRPr="00DF7A8E" w:rsidTr="004A3428">
        <w:trPr>
          <w:trHeight w:val="30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DF7A8E" w:rsidRDefault="00DF7A8E" w:rsidP="004A34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7A8E">
              <w:rPr>
                <w:rFonts w:ascii="Arial" w:hAnsi="Arial" w:cs="Arial"/>
                <w:color w:val="000000"/>
                <w:sz w:val="18"/>
                <w:szCs w:val="18"/>
              </w:rPr>
              <w:t>Resultado del ejercicio (Ahorro)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8E" w:rsidRPr="00DF7A8E" w:rsidRDefault="000C33C1" w:rsidP="004A34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153,775</w:t>
            </w:r>
          </w:p>
        </w:tc>
      </w:tr>
      <w:tr w:rsidR="00DF7A8E" w:rsidRPr="00DF7A8E" w:rsidTr="004A3428">
        <w:trPr>
          <w:trHeight w:val="30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DF7A8E" w:rsidRDefault="00A96E75" w:rsidP="004A34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Resultado de ejercicios anteriores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8E" w:rsidRPr="00DF7A8E" w:rsidRDefault="000C33C1" w:rsidP="004A34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2,436,166</w:t>
            </w:r>
          </w:p>
        </w:tc>
      </w:tr>
      <w:tr w:rsidR="00DF7A8E" w:rsidRPr="00DF7A8E" w:rsidTr="004A3428">
        <w:trPr>
          <w:trHeight w:val="300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DF7A8E" w:rsidRDefault="00A96E75" w:rsidP="004A34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Rectificaciones de Resultados de Ejercicios Anteriores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A8E" w:rsidRPr="00DF7A8E" w:rsidRDefault="00A71702" w:rsidP="00DF7A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6,852,261</w:t>
            </w:r>
          </w:p>
        </w:tc>
      </w:tr>
      <w:tr w:rsidR="00DF7A8E" w:rsidRPr="00DF7A8E" w:rsidTr="004A3428">
        <w:trPr>
          <w:trHeight w:val="315"/>
          <w:jc w:val="center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A8E" w:rsidRPr="00DF7A8E" w:rsidRDefault="00DF7A8E" w:rsidP="004A342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DF7A8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A8E" w:rsidRPr="00DF7A8E" w:rsidRDefault="00A71702" w:rsidP="004A342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9,371,137</w:t>
            </w:r>
          </w:p>
        </w:tc>
      </w:tr>
    </w:tbl>
    <w:p w:rsidR="00DF7A8E" w:rsidRPr="00DF7A8E" w:rsidRDefault="00DF7A8E" w:rsidP="00DF7A8E">
      <w:pPr>
        <w:jc w:val="both"/>
        <w:rPr>
          <w:rFonts w:ascii="Arial" w:hAnsi="Arial" w:cs="Arial"/>
          <w:b/>
          <w:sz w:val="18"/>
          <w:szCs w:val="18"/>
        </w:rPr>
      </w:pPr>
    </w:p>
    <w:p w:rsidR="00540418" w:rsidRPr="005F06B1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5F06B1">
        <w:rPr>
          <w:b/>
          <w:smallCaps/>
        </w:rPr>
        <w:t>IV)</w:t>
      </w:r>
      <w:r w:rsidRPr="005F06B1">
        <w:rPr>
          <w:b/>
          <w:smallCaps/>
        </w:rPr>
        <w:tab/>
        <w:t xml:space="preserve">Notas al Estado de Flujos de Efectivo </w:t>
      </w:r>
    </w:p>
    <w:p w:rsidR="00540418" w:rsidRPr="005F06B1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5F06B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5F06B1">
        <w:rPr>
          <w:b/>
          <w:lang w:val="es-MX"/>
        </w:rPr>
        <w:t>Efectivo y equivalentes</w:t>
      </w:r>
    </w:p>
    <w:p w:rsidR="00901E2B" w:rsidRPr="005F06B1" w:rsidRDefault="00901E2B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5F06B1" w:rsidRDefault="00901E2B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5F06B1">
        <w:rPr>
          <w:lang w:val="es-MX"/>
        </w:rPr>
        <w:t>El</w:t>
      </w:r>
      <w:r w:rsidR="00540418" w:rsidRPr="005F06B1">
        <w:rPr>
          <w:lang w:val="es-MX"/>
        </w:rPr>
        <w:t xml:space="preserve"> Estado de Flujo de Efectivo </w:t>
      </w:r>
      <w:r w:rsidR="00A71702">
        <w:rPr>
          <w:lang w:val="es-MX"/>
        </w:rPr>
        <w:t>presenta saldos al 31</w:t>
      </w:r>
      <w:r w:rsidRPr="005F06B1">
        <w:rPr>
          <w:lang w:val="es-MX"/>
        </w:rPr>
        <w:t xml:space="preserve"> de </w:t>
      </w:r>
      <w:r w:rsidR="00A71702">
        <w:rPr>
          <w:lang w:val="es-MX"/>
        </w:rPr>
        <w:t>marzo</w:t>
      </w:r>
      <w:r w:rsidR="000C33C1">
        <w:rPr>
          <w:lang w:val="es-MX"/>
        </w:rPr>
        <w:t xml:space="preserve"> de 2015</w:t>
      </w:r>
      <w:r w:rsidRPr="005F06B1">
        <w:rPr>
          <w:lang w:val="es-MX"/>
        </w:rPr>
        <w:t xml:space="preserve">, </w:t>
      </w:r>
      <w:r w:rsidR="00540418" w:rsidRPr="005F06B1">
        <w:rPr>
          <w:lang w:val="es-MX"/>
        </w:rPr>
        <w:t>en la cuenta de efectivo y equivalentes como sigue:</w:t>
      </w:r>
    </w:p>
    <w:p w:rsidR="00540418" w:rsidRPr="005F06B1" w:rsidRDefault="00540418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normal2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6"/>
        <w:gridCol w:w="1276"/>
      </w:tblGrid>
      <w:tr w:rsidR="003941E3" w:rsidRPr="005F06B1" w:rsidTr="00901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E517C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</w:tcPr>
          <w:p w:rsidR="003941E3" w:rsidRPr="005F06B1" w:rsidRDefault="000C33C1" w:rsidP="00E517C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</w:tr>
      <w:tr w:rsidR="003941E3" w:rsidRPr="005F06B1" w:rsidTr="00901E2B">
        <w:trPr>
          <w:trHeight w:val="2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901E2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A71702" w:rsidP="00901E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94,239</w:t>
            </w:r>
          </w:p>
        </w:tc>
      </w:tr>
      <w:tr w:rsidR="003941E3" w:rsidRPr="005F06B1" w:rsidTr="00901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E517C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3941E3" w:rsidP="00901E2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0</w:t>
            </w:r>
          </w:p>
        </w:tc>
      </w:tr>
      <w:tr w:rsidR="003941E3" w:rsidRPr="005F06B1" w:rsidTr="00901E2B">
        <w:trPr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901E2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3941E3" w:rsidP="00901E2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3,533,550</w:t>
            </w:r>
          </w:p>
        </w:tc>
      </w:tr>
      <w:tr w:rsidR="003941E3" w:rsidRPr="005F06B1" w:rsidTr="00901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E517C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3941E3" w:rsidP="00901E2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0</w:t>
            </w:r>
          </w:p>
        </w:tc>
      </w:tr>
      <w:tr w:rsidR="003941E3" w:rsidRPr="005F06B1" w:rsidTr="00901E2B">
        <w:trPr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E517C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3941E3" w:rsidP="00901E2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5F06B1">
              <w:rPr>
                <w:szCs w:val="18"/>
                <w:lang w:val="es-MX"/>
              </w:rPr>
              <w:t>0</w:t>
            </w:r>
          </w:p>
        </w:tc>
      </w:tr>
      <w:tr w:rsidR="003941E3" w:rsidRPr="005F06B1" w:rsidTr="00901E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06" w:type="dxa"/>
          </w:tcPr>
          <w:p w:rsidR="003941E3" w:rsidRPr="005F06B1" w:rsidRDefault="003941E3" w:rsidP="00E517C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5F06B1">
              <w:rPr>
                <w:b/>
                <w:szCs w:val="18"/>
                <w:lang w:val="es-MX"/>
              </w:rPr>
              <w:t>Total de Efectivo y Equivalentes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6" w:type="dxa"/>
            <w:vAlign w:val="center"/>
          </w:tcPr>
          <w:p w:rsidR="003941E3" w:rsidRPr="005F06B1" w:rsidRDefault="00A71702" w:rsidP="00901E2B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3,627,789</w:t>
            </w:r>
          </w:p>
        </w:tc>
      </w:tr>
    </w:tbl>
    <w:p w:rsidR="00540418" w:rsidRPr="005F06B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901E2B" w:rsidRDefault="00901E2B" w:rsidP="00540418">
      <w:pPr>
        <w:pStyle w:val="Texto"/>
        <w:spacing w:after="0" w:line="240" w:lineRule="exact"/>
        <w:rPr>
          <w:szCs w:val="18"/>
          <w:lang w:val="es-MX"/>
        </w:rPr>
      </w:pPr>
    </w:p>
    <w:p w:rsidR="00304092" w:rsidRPr="005F06B1" w:rsidRDefault="00304092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24686B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4686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24686B" w:rsidRDefault="00540418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24686B" w:rsidRDefault="0024686B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La conciliación se presenta</w:t>
      </w:r>
      <w:r w:rsidR="00540418" w:rsidRPr="0024686B">
        <w:rPr>
          <w:szCs w:val="18"/>
          <w:lang w:val="es-MX"/>
        </w:rPr>
        <w:t xml:space="preserve"> atendiendo a lo dispuesto por la Acuerdo por el que se emite el formato de conciliación entre los ingresos presupuestarios y contables, así como entre los egresos presupuestarios y los gastos contables</w:t>
      </w:r>
      <w:r w:rsidR="00A71702">
        <w:rPr>
          <w:szCs w:val="18"/>
          <w:lang w:val="es-MX"/>
        </w:rPr>
        <w:t>, al 31 de marzo</w:t>
      </w:r>
      <w:r w:rsidR="008D5871">
        <w:rPr>
          <w:szCs w:val="18"/>
          <w:lang w:val="es-MX"/>
        </w:rPr>
        <w:t xml:space="preserve"> de 2015</w:t>
      </w:r>
      <w:r>
        <w:rPr>
          <w:szCs w:val="18"/>
          <w:lang w:val="es-MX"/>
        </w:rPr>
        <w:t>.</w:t>
      </w:r>
    </w:p>
    <w:p w:rsidR="00540418" w:rsidRDefault="00356948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1440" w:dyaOrig="1440">
          <v:shape id="_x0000_s1028" type="#_x0000_t75" style="position:absolute;left:0;text-align:left;margin-left:9.65pt;margin-top:20pt;width:352.95pt;height:181.95pt;z-index:251657728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28" DrawAspect="Content" ObjectID="_1499003161" r:id="rId23"/>
        </w:object>
      </w:r>
      <w:r>
        <w:rPr>
          <w:noProof/>
        </w:rPr>
        <w:object w:dxaOrig="1440" w:dyaOrig="1440">
          <v:shape id="_x0000_s1030" type="#_x0000_t75" style="position:absolute;left:0;text-align:left;margin-left:360.35pt;margin-top:20pt;width:403.65pt;height:226.45pt;z-index:25165875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030" DrawAspect="Content" ObjectID="_1499003162" r:id="rId25"/>
        </w:object>
      </w:r>
    </w:p>
    <w:p w:rsidR="0044253C" w:rsidRDefault="0044253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F448FF" w:rsidRDefault="00F448FF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F448FF" w:rsidRDefault="00F448FF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540418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817DD3">
        <w:rPr>
          <w:szCs w:val="18"/>
        </w:rPr>
        <w:t xml:space="preserve"> </w:t>
      </w:r>
      <w:r w:rsidRPr="00817DD3">
        <w:rPr>
          <w:b/>
          <w:szCs w:val="18"/>
        </w:rPr>
        <w:t>b)</w:t>
      </w:r>
      <w:r w:rsidRPr="00817DD3">
        <w:rPr>
          <w:szCs w:val="18"/>
        </w:rPr>
        <w:t xml:space="preserve"> </w:t>
      </w:r>
      <w:r w:rsidRPr="00817DD3">
        <w:rPr>
          <w:b/>
          <w:szCs w:val="18"/>
          <w:lang w:val="es-MX"/>
        </w:rPr>
        <w:t>NOTAS DE MEMORIA (CUENTAS DE ORDEN)</w:t>
      </w:r>
      <w:r w:rsidR="00AD05C4">
        <w:rPr>
          <w:b/>
          <w:szCs w:val="18"/>
          <w:lang w:val="es-MX"/>
        </w:rPr>
        <w:t xml:space="preserve"> </w:t>
      </w:r>
    </w:p>
    <w:p w:rsidR="00AD05C4" w:rsidRDefault="00AD05C4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AD05C4" w:rsidRPr="00817DD3" w:rsidRDefault="00F448FF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  <w:lang w:val="es-MX"/>
        </w:rPr>
        <w:t>2015</w:t>
      </w:r>
    </w:p>
    <w:p w:rsidR="00540418" w:rsidRPr="00817DD3" w:rsidRDefault="00540418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B849EE" w:rsidRPr="00817DD3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540418" w:rsidRPr="00817DD3" w:rsidRDefault="00817DD3" w:rsidP="00540418">
      <w:pPr>
        <w:pStyle w:val="ROMANOS"/>
        <w:spacing w:after="0" w:line="240" w:lineRule="exact"/>
        <w:rPr>
          <w:lang w:val="es-MX"/>
        </w:rPr>
      </w:pPr>
      <w:r w:rsidRPr="00817DD3">
        <w:rPr>
          <w:lang w:val="es-MX"/>
        </w:rPr>
        <w:t xml:space="preserve">No aplica </w:t>
      </w:r>
    </w:p>
    <w:p w:rsidR="00540418" w:rsidRDefault="00540418" w:rsidP="00540418">
      <w:pPr>
        <w:pStyle w:val="Texto"/>
        <w:spacing w:after="0" w:line="240" w:lineRule="exact"/>
        <w:rPr>
          <w:szCs w:val="18"/>
        </w:rPr>
      </w:pPr>
    </w:p>
    <w:p w:rsidR="00304092" w:rsidRDefault="00304092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304092" w:rsidRDefault="00304092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304092" w:rsidRDefault="00304092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304092" w:rsidRDefault="00304092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304092" w:rsidRDefault="00304092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540418" w:rsidRPr="00C7550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C75500">
        <w:rPr>
          <w:b/>
          <w:szCs w:val="18"/>
          <w:lang w:val="es-MX"/>
        </w:rPr>
        <w:t>c) NOTAS DE GESTIÓN ADMINISTRATIVA</w:t>
      </w:r>
    </w:p>
    <w:p w:rsidR="00540418" w:rsidRPr="00C75500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C75500" w:rsidRDefault="00540418" w:rsidP="00304092">
      <w:pPr>
        <w:pStyle w:val="Texto"/>
        <w:spacing w:after="0" w:line="240" w:lineRule="exact"/>
        <w:ind w:firstLine="0"/>
        <w:rPr>
          <w:b/>
          <w:szCs w:val="18"/>
        </w:rPr>
      </w:pPr>
      <w:r w:rsidRPr="00C75500">
        <w:rPr>
          <w:b/>
          <w:szCs w:val="18"/>
          <w:lang w:val="es-MX"/>
        </w:rPr>
        <w:t>1.</w:t>
      </w:r>
      <w:r w:rsidRPr="00C75500">
        <w:rPr>
          <w:b/>
          <w:szCs w:val="18"/>
          <w:lang w:val="es-MX"/>
        </w:rPr>
        <w:tab/>
        <w:t>Introducción</w:t>
      </w:r>
    </w:p>
    <w:p w:rsidR="00C75500" w:rsidRPr="00C75500" w:rsidRDefault="00C75500" w:rsidP="00C7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C75500" w:rsidRPr="00C75500" w:rsidRDefault="00C75500" w:rsidP="00C7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C75500">
        <w:rPr>
          <w:rFonts w:ascii="Arial" w:hAnsi="Arial" w:cs="Arial"/>
          <w:bCs/>
          <w:color w:val="000000"/>
          <w:sz w:val="18"/>
          <w:szCs w:val="18"/>
        </w:rPr>
        <w:t xml:space="preserve">Los Estados Financieros son la representación estructurada de la situación y desarrollo financiero del </w:t>
      </w:r>
      <w:r w:rsidR="004B1A3E">
        <w:rPr>
          <w:rFonts w:ascii="Arial" w:hAnsi="Arial" w:cs="Arial"/>
          <w:bCs/>
          <w:color w:val="000000"/>
          <w:sz w:val="18"/>
          <w:szCs w:val="18"/>
        </w:rPr>
        <w:t>Fideicomiso,</w:t>
      </w:r>
      <w:r w:rsidRPr="00C75500">
        <w:rPr>
          <w:rFonts w:ascii="Arial" w:hAnsi="Arial" w:cs="Arial"/>
          <w:bCs/>
          <w:color w:val="000000"/>
          <w:sz w:val="18"/>
          <w:szCs w:val="18"/>
        </w:rPr>
        <w:t xml:space="preserve"> correspondiente al </w:t>
      </w:r>
      <w:r w:rsidR="00086936">
        <w:rPr>
          <w:rFonts w:ascii="Arial" w:hAnsi="Arial" w:cs="Arial"/>
          <w:bCs/>
          <w:color w:val="000000"/>
          <w:sz w:val="18"/>
          <w:szCs w:val="18"/>
        </w:rPr>
        <w:t>periodo de marzo</w:t>
      </w:r>
      <w:r w:rsidR="008D5871">
        <w:rPr>
          <w:rFonts w:ascii="Arial" w:hAnsi="Arial" w:cs="Arial"/>
          <w:bCs/>
          <w:color w:val="000000"/>
          <w:sz w:val="18"/>
          <w:szCs w:val="18"/>
        </w:rPr>
        <w:t xml:space="preserve"> de 2015</w:t>
      </w:r>
      <w:r w:rsidRPr="00C75500">
        <w:rPr>
          <w:rFonts w:ascii="Arial" w:hAnsi="Arial" w:cs="Arial"/>
          <w:bCs/>
          <w:color w:val="000000"/>
          <w:sz w:val="18"/>
          <w:szCs w:val="18"/>
        </w:rPr>
        <w:t>, proveen de información financiera a los principales usuarios, al congreso y a los ciudadanos.</w:t>
      </w:r>
    </w:p>
    <w:p w:rsidR="00C75500" w:rsidRDefault="00C75500" w:rsidP="00C7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C75500">
        <w:rPr>
          <w:rFonts w:ascii="Arial" w:hAnsi="Arial" w:cs="Arial"/>
          <w:bCs/>
          <w:color w:val="000000"/>
          <w:sz w:val="18"/>
          <w:szCs w:val="18"/>
        </w:rPr>
        <w:t xml:space="preserve">El objetivo de los Estados Financieros del </w:t>
      </w:r>
      <w:r>
        <w:rPr>
          <w:rFonts w:ascii="Arial" w:hAnsi="Arial" w:cs="Arial"/>
          <w:bCs/>
          <w:color w:val="000000"/>
          <w:sz w:val="18"/>
          <w:szCs w:val="18"/>
        </w:rPr>
        <w:t>Fideicomiso</w:t>
      </w:r>
      <w:r w:rsidRPr="00C75500">
        <w:rPr>
          <w:rFonts w:ascii="Arial" w:hAnsi="Arial" w:cs="Arial"/>
          <w:bCs/>
          <w:color w:val="000000"/>
          <w:sz w:val="18"/>
          <w:szCs w:val="18"/>
        </w:rPr>
        <w:t xml:space="preserve"> es proporcionar información relevante y suficiente relativa a los saldos y movimientos de las cuentas consignadas en los documentos.</w:t>
      </w:r>
    </w:p>
    <w:p w:rsidR="00304092" w:rsidRPr="00C75500" w:rsidRDefault="00304092" w:rsidP="00C7550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40418" w:rsidRDefault="004B1A3E" w:rsidP="00304092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  <w:r>
        <w:rPr>
          <w:b/>
          <w:szCs w:val="18"/>
          <w:lang w:val="es-MX"/>
        </w:rPr>
        <w:t>2</w:t>
      </w:r>
      <w:r w:rsidR="00540418" w:rsidRPr="00BE36A4">
        <w:rPr>
          <w:b/>
          <w:szCs w:val="18"/>
          <w:lang w:val="es-MX"/>
        </w:rPr>
        <w:t>.</w:t>
      </w:r>
      <w:r w:rsidR="00540418" w:rsidRPr="00BE36A4">
        <w:rPr>
          <w:b/>
          <w:szCs w:val="18"/>
          <w:lang w:val="es-MX"/>
        </w:rPr>
        <w:tab/>
      </w:r>
      <w:r w:rsidR="005963D4">
        <w:rPr>
          <w:b/>
          <w:szCs w:val="18"/>
          <w:lang w:val="es-MX"/>
        </w:rPr>
        <w:t>Panorama económico y financiero</w:t>
      </w:r>
    </w:p>
    <w:p w:rsidR="005963D4" w:rsidRDefault="005963D4" w:rsidP="00304092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7A0F18" w:rsidRPr="00BE36A4" w:rsidRDefault="007A0F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BE36A4" w:rsidRPr="00BE36A4" w:rsidRDefault="00BE36A4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35321A" w:rsidRDefault="00BE36A4" w:rsidP="005963D4">
      <w:pPr>
        <w:autoSpaceDE w:val="0"/>
        <w:autoSpaceDN w:val="0"/>
        <w:adjustRightInd w:val="0"/>
        <w:jc w:val="both"/>
        <w:rPr>
          <w:b/>
          <w:szCs w:val="18"/>
        </w:rPr>
      </w:pPr>
      <w:r w:rsidRPr="00BE36A4">
        <w:rPr>
          <w:rFonts w:ascii="Arial" w:hAnsi="Arial" w:cs="Arial"/>
          <w:bCs/>
          <w:sz w:val="18"/>
          <w:szCs w:val="18"/>
        </w:rPr>
        <w:t xml:space="preserve">El </w:t>
      </w:r>
      <w:r w:rsidR="005963D4">
        <w:rPr>
          <w:rFonts w:ascii="Arial" w:hAnsi="Arial" w:cs="Arial"/>
          <w:bCs/>
          <w:sz w:val="18"/>
          <w:szCs w:val="18"/>
        </w:rPr>
        <w:t xml:space="preserve">presupuesto de ingresos y egresos del </w:t>
      </w:r>
      <w:r>
        <w:rPr>
          <w:rFonts w:ascii="Arial" w:hAnsi="Arial" w:cs="Arial"/>
          <w:bCs/>
          <w:sz w:val="18"/>
          <w:szCs w:val="18"/>
        </w:rPr>
        <w:t>Fideicomiso</w:t>
      </w:r>
      <w:r w:rsidR="005963D4">
        <w:rPr>
          <w:rFonts w:ascii="Arial" w:hAnsi="Arial" w:cs="Arial"/>
          <w:bCs/>
          <w:sz w:val="18"/>
          <w:szCs w:val="18"/>
        </w:rPr>
        <w:t xml:space="preserve"> Fondo de Casa de las Artesanías de Tlaxcala es aprobado por el Congreso del Estado, el cual incluye las partidas necesarias para cubrir los gastos públicos del ente.</w:t>
      </w:r>
      <w:r w:rsidR="007A0F18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35321A" w:rsidRDefault="0035321A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35321A" w:rsidRDefault="0035321A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35321A" w:rsidRPr="00163D6C" w:rsidRDefault="0035321A" w:rsidP="005963D4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35321A" w:rsidRDefault="0035321A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35321A" w:rsidRPr="0035321A" w:rsidRDefault="0035321A" w:rsidP="00540418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 xml:space="preserve">a).- Con fundamento en lo dispuesto en los artículos  4°, 45° y 47° de la Constitución política del Estado Libre y Soberano de Tlaxcala,  3° y 8 8° de la Ley </w:t>
      </w:r>
      <w:r w:rsidR="002447A2">
        <w:rPr>
          <w:szCs w:val="18"/>
          <w:lang w:val="es-MX"/>
        </w:rPr>
        <w:t>Organiza del po</w:t>
      </w:r>
      <w:r>
        <w:rPr>
          <w:szCs w:val="18"/>
          <w:lang w:val="es-MX"/>
        </w:rPr>
        <w:t xml:space="preserve">der Legislativo, la LV legislatura local como parte integral del poder Público del Estado de Tlaxcala, se solidariza con el Titular del Ejecutivo Estatal en la creación del Fideicomiso denominado “ FOND DE LA CASA DE LAS ARTESANÍAS DE TLAXCALA” , y lo autoriza a realizar la afectación de las partidas presupuestales que consideren necesarias para reunir la cantidad de $ 1,500,000 ( un millón quinientos mil pesos  00/100 m.n.) que se destinara para apoyar el Fideicomiso que se crea el que para su funcionamiento quedara regulado de la siguiente forma. </w:t>
      </w:r>
    </w:p>
    <w:p w:rsidR="0035321A" w:rsidRDefault="0035321A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2447A2" w:rsidRPr="002447A2" w:rsidRDefault="002447A2" w:rsidP="00540418">
      <w:pPr>
        <w:pStyle w:val="Texto"/>
        <w:spacing w:after="0" w:line="240" w:lineRule="exact"/>
        <w:rPr>
          <w:szCs w:val="18"/>
          <w:lang w:val="es-MX"/>
        </w:rPr>
      </w:pPr>
      <w:r w:rsidRPr="002447A2">
        <w:rPr>
          <w:szCs w:val="18"/>
          <w:lang w:val="es-MX"/>
        </w:rPr>
        <w:t xml:space="preserve">b).- </w:t>
      </w:r>
      <w:r w:rsidR="00A363C3">
        <w:rPr>
          <w:szCs w:val="18"/>
          <w:lang w:val="es-MX"/>
        </w:rPr>
        <w:t>Principales cambios en su estructura.</w:t>
      </w:r>
    </w:p>
    <w:p w:rsidR="0035321A" w:rsidRDefault="0035321A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2447A2" w:rsidRDefault="002447A2" w:rsidP="002447A2"/>
    <w:p w:rsidR="002447A2" w:rsidRDefault="002447A2" w:rsidP="002447A2">
      <w:r w:rsidRPr="002447A2">
        <w:rPr>
          <w:rFonts w:ascii="Arial" w:hAnsi="Arial" w:cs="Arial"/>
          <w:b/>
          <w:noProof/>
          <w:sz w:val="28"/>
          <w:szCs w:val="28"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11D7A3A" wp14:editId="12E6ED9F">
                <wp:simplePos x="0" y="0"/>
                <wp:positionH relativeFrom="margin">
                  <wp:posOffset>3219450</wp:posOffset>
                </wp:positionH>
                <wp:positionV relativeFrom="paragraph">
                  <wp:posOffset>10160</wp:posOffset>
                </wp:positionV>
                <wp:extent cx="2295525" cy="3400425"/>
                <wp:effectExtent l="0" t="0" r="28575" b="28575"/>
                <wp:wrapSquare wrapText="bothSides"/>
                <wp:docPr id="14" name="10 Diagram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3400425"/>
                          <a:chOff x="0" y="0"/>
                          <a:chExt cx="2113361" cy="4057649"/>
                        </a:xfrm>
                      </wpg:grpSpPr>
                      <wps:wsp>
                        <wps:cNvPr id="15" name="9 Forma libre"/>
                        <wps:cNvSpPr/>
                        <wps:spPr>
                          <a:xfrm>
                            <a:off x="1010961" y="2557165"/>
                            <a:ext cx="91440" cy="44380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443805"/>
                              <a:gd name="f5" fmla="val 45720"/>
                              <a:gd name="f6" fmla="*/ f0 1 91440"/>
                              <a:gd name="f7" fmla="*/ f1 1 443805"/>
                              <a:gd name="f8" fmla="+- f4 0 f2"/>
                              <a:gd name="f9" fmla="+- f3 0 f2"/>
                              <a:gd name="f10" fmla="*/ f9 1 91440"/>
                              <a:gd name="f11" fmla="*/ f8 1 443805"/>
                              <a:gd name="f12" fmla="*/ 0 1 f10"/>
                              <a:gd name="f13" fmla="*/ 91440 1 f10"/>
                              <a:gd name="f14" fmla="*/ 0 1 f11"/>
                              <a:gd name="f15" fmla="*/ 443805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91440" h="443805">
                                <a:moveTo>
                                  <a:pt x="f5" y="f2"/>
                                </a:moveTo>
                                <a:lnTo>
                                  <a:pt x="f5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4774A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51379" w:rsidRDefault="00851379" w:rsidP="002447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1"/>
                      </wps:wsp>
                      <wps:wsp>
                        <wps:cNvPr id="16" name="10 Forma libre"/>
                        <wps:cNvSpPr/>
                        <wps:spPr>
                          <a:xfrm>
                            <a:off x="1010961" y="1056680"/>
                            <a:ext cx="91440" cy="44380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443805"/>
                              <a:gd name="f5" fmla="val 45720"/>
                              <a:gd name="f6" fmla="*/ f0 1 91440"/>
                              <a:gd name="f7" fmla="*/ f1 1 443805"/>
                              <a:gd name="f8" fmla="+- f4 0 f2"/>
                              <a:gd name="f9" fmla="+- f3 0 f2"/>
                              <a:gd name="f10" fmla="*/ f9 1 91440"/>
                              <a:gd name="f11" fmla="*/ f8 1 443805"/>
                              <a:gd name="f12" fmla="*/ 0 1 f10"/>
                              <a:gd name="f13" fmla="*/ 91440 1 f10"/>
                              <a:gd name="f14" fmla="*/ 0 1 f11"/>
                              <a:gd name="f15" fmla="*/ 443805 1 f11"/>
                              <a:gd name="f16" fmla="*/ f12 f6 1"/>
                              <a:gd name="f17" fmla="*/ f13 f6 1"/>
                              <a:gd name="f18" fmla="*/ f15 f7 1"/>
                              <a:gd name="f19" fmla="*/ f14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6" t="f19" r="f17" b="f18"/>
                            <a:pathLst>
                              <a:path w="91440" h="443805">
                                <a:moveTo>
                                  <a:pt x="f5" y="f2"/>
                                </a:moveTo>
                                <a:lnTo>
                                  <a:pt x="f5" y="f4"/>
                                </a:lnTo>
                              </a:path>
                            </a:pathLst>
                          </a:custGeom>
                          <a:noFill/>
                          <a:ln w="25402">
                            <a:solidFill>
                              <a:srgbClr val="3D669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51379" w:rsidRDefault="00851379" w:rsidP="002447A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anchorCtr="0" compatLnSpc="1"/>
                      </wps:wsp>
                      <wps:wsp>
                        <wps:cNvPr id="17" name="11 Forma libre"/>
                        <wps:cNvSpPr/>
                        <wps:spPr>
                          <a:xfrm>
                            <a:off x="0" y="0"/>
                            <a:ext cx="2113361" cy="10566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13359"/>
                              <a:gd name="f7" fmla="val 1056679"/>
                              <a:gd name="f8" fmla="+- 0 0 -90"/>
                              <a:gd name="f9" fmla="*/ f3 1 2113359"/>
                              <a:gd name="f10" fmla="*/ f4 1 1056679"/>
                              <a:gd name="f11" fmla="+- f7 0 f5"/>
                              <a:gd name="f12" fmla="+- f6 0 f5"/>
                              <a:gd name="f13" fmla="*/ f8 f0 1"/>
                              <a:gd name="f14" fmla="*/ f12 1 2113359"/>
                              <a:gd name="f15" fmla="*/ f11 1 1056679"/>
                              <a:gd name="f16" fmla="*/ 0 f12 1"/>
                              <a:gd name="f17" fmla="*/ 0 f11 1"/>
                              <a:gd name="f18" fmla="*/ 2113359 f12 1"/>
                              <a:gd name="f19" fmla="*/ 1056679 f11 1"/>
                              <a:gd name="f20" fmla="*/ f13 1 f2"/>
                              <a:gd name="f21" fmla="*/ f16 1 2113359"/>
                              <a:gd name="f22" fmla="*/ f17 1 1056679"/>
                              <a:gd name="f23" fmla="*/ f18 1 2113359"/>
                              <a:gd name="f24" fmla="*/ f19 1 105667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2113359" h="105667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51379" w:rsidRPr="007F78F3" w:rsidRDefault="00851379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F78F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es-ES"/>
                                </w:rPr>
                                <w:t>COMITÉ TECNICO</w:t>
                              </w:r>
                            </w:p>
                          </w:txbxContent>
                        </wps:txbx>
                        <wps:bodyPr vert="horz" wrap="square" lIns="6345" tIns="6345" rIns="6345" bIns="6345" anchor="ctr" anchorCtr="1" compatLnSpc="1"/>
                      </wps:wsp>
                      <wps:wsp>
                        <wps:cNvPr id="18" name="12 Forma libre"/>
                        <wps:cNvSpPr/>
                        <wps:spPr>
                          <a:xfrm>
                            <a:off x="0" y="1500484"/>
                            <a:ext cx="2113361" cy="10566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13359"/>
                              <a:gd name="f7" fmla="val 1056679"/>
                              <a:gd name="f8" fmla="+- 0 0 -90"/>
                              <a:gd name="f9" fmla="*/ f3 1 2113359"/>
                              <a:gd name="f10" fmla="*/ f4 1 1056679"/>
                              <a:gd name="f11" fmla="+- f7 0 f5"/>
                              <a:gd name="f12" fmla="+- f6 0 f5"/>
                              <a:gd name="f13" fmla="*/ f8 f0 1"/>
                              <a:gd name="f14" fmla="*/ f12 1 2113359"/>
                              <a:gd name="f15" fmla="*/ f11 1 1056679"/>
                              <a:gd name="f16" fmla="*/ 0 f12 1"/>
                              <a:gd name="f17" fmla="*/ 0 f11 1"/>
                              <a:gd name="f18" fmla="*/ 2113359 f12 1"/>
                              <a:gd name="f19" fmla="*/ 1056679 f11 1"/>
                              <a:gd name="f20" fmla="*/ f13 1 f2"/>
                              <a:gd name="f21" fmla="*/ f16 1 2113359"/>
                              <a:gd name="f22" fmla="*/ f17 1 1056679"/>
                              <a:gd name="f23" fmla="*/ f18 1 2113359"/>
                              <a:gd name="f24" fmla="*/ f19 1 105667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2113359" h="105667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51379" w:rsidRPr="007F78F3" w:rsidRDefault="00851379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F78F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es-ES"/>
                                </w:rPr>
                                <w:t>DIRECCION GENERAL</w:t>
                              </w:r>
                            </w:p>
                            <w:p w:rsidR="00851379" w:rsidRPr="007F78F3" w:rsidRDefault="00851379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F78F3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s-ES"/>
                                </w:rPr>
                                <w:t>José Luis Sánchez Mastranzo</w:t>
                              </w:r>
                            </w:p>
                          </w:txbxContent>
                        </wps:txbx>
                        <wps:bodyPr vert="horz" wrap="square" lIns="6345" tIns="6345" rIns="6345" bIns="6345" anchor="ctr" anchorCtr="1" compatLnSpc="1"/>
                      </wps:wsp>
                      <wps:wsp>
                        <wps:cNvPr id="19" name="13 Forma libre"/>
                        <wps:cNvSpPr/>
                        <wps:spPr>
                          <a:xfrm>
                            <a:off x="0" y="3000969"/>
                            <a:ext cx="2113361" cy="10566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13359"/>
                              <a:gd name="f7" fmla="val 1056679"/>
                              <a:gd name="f8" fmla="+- 0 0 -90"/>
                              <a:gd name="f9" fmla="*/ f3 1 2113359"/>
                              <a:gd name="f10" fmla="*/ f4 1 1056679"/>
                              <a:gd name="f11" fmla="+- f7 0 f5"/>
                              <a:gd name="f12" fmla="+- f6 0 f5"/>
                              <a:gd name="f13" fmla="*/ f8 f0 1"/>
                              <a:gd name="f14" fmla="*/ f12 1 2113359"/>
                              <a:gd name="f15" fmla="*/ f11 1 1056679"/>
                              <a:gd name="f16" fmla="*/ 0 f12 1"/>
                              <a:gd name="f17" fmla="*/ 0 f11 1"/>
                              <a:gd name="f18" fmla="*/ 2113359 f12 1"/>
                              <a:gd name="f19" fmla="*/ 1056679 f11 1"/>
                              <a:gd name="f20" fmla="*/ f13 1 f2"/>
                              <a:gd name="f21" fmla="*/ f16 1 2113359"/>
                              <a:gd name="f22" fmla="*/ f17 1 1056679"/>
                              <a:gd name="f23" fmla="*/ f18 1 2113359"/>
                              <a:gd name="f24" fmla="*/ f19 1 105667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2113359" h="105667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51379" w:rsidRDefault="00851379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es-ES"/>
                                </w:rPr>
                                <w:t xml:space="preserve">DEPARTAMENTO </w:t>
                              </w:r>
                            </w:p>
                            <w:p w:rsidR="00851379" w:rsidRPr="007F78F3" w:rsidRDefault="00851379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lang w:val="es-ES"/>
                                </w:rPr>
                                <w:t>ADMINISTRATIVO</w:t>
                              </w:r>
                            </w:p>
                            <w:p w:rsidR="00851379" w:rsidRPr="007F78F3" w:rsidRDefault="00851379" w:rsidP="002447A2">
                              <w:pPr>
                                <w:pStyle w:val="NormalWeb"/>
                                <w:spacing w:before="0" w:beforeAutospacing="0" w:after="80" w:afterAutospacing="0" w:line="216" w:lineRule="aut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F78F3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s-ES"/>
                                </w:rPr>
                                <w:t xml:space="preserve">Juan Miguel García </w:t>
                              </w:r>
                              <w:proofErr w:type="spellStart"/>
                              <w:r w:rsidRPr="007F78F3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lang w:val="es-ES"/>
                                </w:rPr>
                                <w:t>Loranca</w:t>
                              </w:r>
                              <w:proofErr w:type="spellEnd"/>
                            </w:p>
                          </w:txbxContent>
                        </wps:txbx>
                        <wps:bodyPr vert="horz" wrap="square" lIns="6345" tIns="6345" rIns="6345" bIns="6345" anchor="ctr" anchorCtr="1" compatLnSpc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D7A3A" id="10 Diagrama" o:spid="_x0000_s1028" style="position:absolute;margin-left:253.5pt;margin-top:.8pt;width:180.75pt;height:267.75pt;z-index:251669504;mso-position-horizontal-relative:margin;mso-width-relative:margin;mso-height-relative:margin" coordsize="21133,40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">
                <v:shape id="9 Forma libre" o:spid="_x0000_s1029" style="position:absolute;left:10109;top:25571;width:915;height:4438;visibility:visible;mso-wrap-style:square;v-text-anchor:top" coordsize="91440,443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9Lh8IA&#10;AADbAAAADwAAAGRycy9kb3ducmV2LnhtbERPTYvCMBC9C/6HMII3TS0objVKWRA8LIjVhd3b0Ixt&#10;tZl0m6zWf28Ewds83ucs152pxZVaV1lWMBlHIIhzqysuFBwPm9EchPPIGmvLpOBODtarfm+JibY3&#10;3tM184UIIewSVFB63yRSurwkg25sG+LAnWxr0AfYFlK3eAvhppZxFM2kwYpDQ4kNfZaUX7J/o+Bv&#10;90vfP9UlSz/Op3S228fHr0ms1HDQpQsQnjr/Fr/cWx3mT+H5Szh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0uHwgAAANsAAAAPAAAAAAAAAAAAAAAAAJgCAABkcnMvZG93&#10;bnJldi54bWxQSwUGAAAAAAQABAD1AAAAhwMAAAAA&#10;" adj="-11796480,,5400" path="m45720,r,443805e" filled="f" strokecolor="#4774ab" strokeweight=".70561mm">
                  <v:stroke joinstyle="miter"/>
                  <v:formulas/>
                  <v:path arrowok="t" o:connecttype="custom" o:connectlocs="45720,0;91440,221902;45720,443804;0,221902" o:connectangles="270,0,90,180" textboxrect="0,0,91440,443805"/>
                  <v:textbox inset="0,0,0,0">
                    <w:txbxContent>
                      <w:p w:rsidR="00851379" w:rsidRDefault="00851379" w:rsidP="002447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10 Forma libre" o:spid="_x0000_s1030" style="position:absolute;left:10109;top:10566;width:915;height:4438;visibility:visible;mso-wrap-style:square;v-text-anchor:top" coordsize="91440,443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iR98EA&#10;AADbAAAADwAAAGRycy9kb3ducmV2LnhtbERP3WrCMBS+H+wdwhl4N9NNkVmNIsWiwkCnPsChOWuL&#10;zUmXxFrf3gwGuzsf3++ZL3vTiI6cry0reBsmIIgLq2suFZxP+esHCB+QNTaWScGdPCwXz09zTLW9&#10;8Rd1x1CKGMI+RQVVCG0qpS8qMuiHtiWO3Ld1BkOErpTa4S2Gm0a+J8lEGqw5NlTYUlZRcTlejYLN&#10;5zQf5Wa393Zl+DL+qcNhnSk1eOlXMxCB+vAv/nNvdZw/gd9f4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YkffBAAAA2wAAAA8AAAAAAAAAAAAAAAAAmAIAAGRycy9kb3du&#10;cmV2LnhtbFBLBQYAAAAABAAEAPUAAACGAwAAAAA=&#10;" adj="-11796480,,5400" path="m45720,r,443805e" filled="f" strokecolor="#3d6696" strokeweight=".70561mm">
                  <v:stroke joinstyle="miter"/>
                  <v:formulas/>
                  <v:path arrowok="t" o:connecttype="custom" o:connectlocs="45720,0;91440,221902;45720,443804;0,221902" o:connectangles="270,0,90,180" textboxrect="0,0,91440,443805"/>
                  <v:textbox inset="0,0,0,0">
                    <w:txbxContent>
                      <w:p w:rsidR="00851379" w:rsidRDefault="00851379" w:rsidP="002447A2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11 Forma libre" o:spid="_x0000_s1031" style="position:absolute;width:21133;height:10566;visibility:visible;mso-wrap-style:square;v-text-anchor:middle-center" coordsize="2113359,1056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bhSMMA&#10;AADbAAAADwAAAGRycy9kb3ducmV2LnhtbERPTWvCQBC9F/wPywi91Y1FtI2uIpWgvQi1Hnocs9Mk&#10;Njsbdrcm5td3BaG3ebzPWaw6U4sLOV9ZVjAeJSCIc6srLhQcP7OnFxA+IGusLZOCK3lYLQcPC0y1&#10;bfmDLodQiBjCPkUFZQhNKqXPSzLoR7Yhjty3dQZDhK6Q2mEbw00tn5NkKg1WHBtKbOitpPzn8GsU&#10;TLpd1p5P59e9O7bbrP/q+/ftRqnHYbeegwjUhX/x3b3Tcf4Mbr/E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bhSMMAAADbAAAADwAAAAAAAAAAAAAAAACYAgAAZHJzL2Rv&#10;d25yZXYueG1sUEsFBgAAAAAEAAQA9QAAAIgDAAAAAA==&#10;" adj="-11796480,,5400" path="m,l2113359,r,1056679l,1056679,,xe" strokeweight=".70561mm">
                  <v:stroke joinstyle="miter"/>
                  <v:formulas/>
                  <v:path arrowok="t" o:connecttype="custom" o:connectlocs="1056681,0;2113361,528340;1056681,1056680;0,528340;0,0;2113361,0;2113361,1056680;0,1056680;0,0" o:connectangles="270,0,90,180,0,0,0,0,0" textboxrect="0,0,2113359,1056679"/>
                  <v:textbox inset=".17625mm,.17625mm,.17625mm,.17625mm">
                    <w:txbxContent>
                      <w:p w:rsidR="00851379" w:rsidRPr="007F78F3" w:rsidRDefault="00851379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F78F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es-ES"/>
                          </w:rPr>
                          <w:t>COMITÉ TECNICO</w:t>
                        </w:r>
                      </w:p>
                    </w:txbxContent>
                  </v:textbox>
                </v:shape>
                <v:shape id="12 Forma libre" o:spid="_x0000_s1032" style="position:absolute;top:15004;width:21133;height:10567;visibility:visible;mso-wrap-style:square;v-text-anchor:middle-center" coordsize="2113359,1056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l1OsYA&#10;AADbAAAADwAAAGRycy9kb3ducmV2LnhtbESPQU/DMAyF70j8h8hIu7EUNCHolk0IVG27IDF24Og1&#10;XtutcaokrF1/PT4gcbP1nt/7vFgNrlUXCrHxbOBhmoEiLr1tuDKw/yrun0HFhGyx9UwGrhRhtby9&#10;WWBufc+fdNmlSkkIxxwN1Cl1udaxrMlhnPqOWLSjDw6TrKHSNmAv4a7Vj1n2pB02LA01dvRWU3ne&#10;/TgDs2FT9KfD6eUj7Pt1MX6P43b9bszkbnidg0o0pH/z3/XGCr7Ayi8y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l1OsYAAADbAAAADwAAAAAAAAAAAAAAAACYAgAAZHJz&#10;L2Rvd25yZXYueG1sUEsFBgAAAAAEAAQA9QAAAIsDAAAAAA==&#10;" adj="-11796480,,5400" path="m,l2113359,r,1056679l,1056679,,xe" strokeweight=".70561mm">
                  <v:stroke joinstyle="miter"/>
                  <v:formulas/>
                  <v:path arrowok="t" o:connecttype="custom" o:connectlocs="1056681,0;2113361,528340;1056681,1056680;0,528340;0,0;2113361,0;2113361,1056680;0,1056680;0,0" o:connectangles="270,0,90,180,0,0,0,0,0" textboxrect="0,0,2113359,1056679"/>
                  <v:textbox inset=".17625mm,.17625mm,.17625mm,.17625mm">
                    <w:txbxContent>
                      <w:p w:rsidR="00851379" w:rsidRPr="007F78F3" w:rsidRDefault="00851379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F78F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es-ES"/>
                          </w:rPr>
                          <w:t>DIRECCION GENERAL</w:t>
                        </w:r>
                      </w:p>
                      <w:p w:rsidR="00851379" w:rsidRPr="007F78F3" w:rsidRDefault="00851379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F78F3">
                          <w:rPr>
                            <w:rFonts w:ascii="Arial" w:hAnsi="Arial" w:cs="Arial"/>
                            <w:color w:val="000000"/>
                            <w:kern w:val="24"/>
                            <w:lang w:val="es-ES"/>
                          </w:rPr>
                          <w:t>José Luis Sánchez Mastranzo</w:t>
                        </w:r>
                      </w:p>
                    </w:txbxContent>
                  </v:textbox>
                </v:shape>
                <v:shape id="13 Forma libre" o:spid="_x0000_s1033" style="position:absolute;top:30009;width:21133;height:10567;visibility:visible;mso-wrap-style:square;v-text-anchor:middle-center" coordsize="2113359,10566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XQocMA&#10;AADbAAAADwAAAGRycy9kb3ducmV2LnhtbERPTWvCQBC9F/wPywje6sZSSo2uIpagvQi1HjyO2TGJ&#10;ZmfD7tbE/Hq3UOhtHu9z5svO1OJGzleWFUzGCQji3OqKCwWH7+z5HYQPyBpry6TgTh6Wi8HTHFNt&#10;W/6i2z4UIoawT1FBGUKTSunzkgz6sW2II3e2zmCI0BVSO2xjuKnlS5K8SYMVx4YSG1qXlF/3P0bB&#10;a7fN2svpMt25Q7vJ+mPff24+lBoNu9UMRKAu/Iv/3Fsd50/h95d4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XQocMAAADbAAAADwAAAAAAAAAAAAAAAACYAgAAZHJzL2Rv&#10;d25yZXYueG1sUEsFBgAAAAAEAAQA9QAAAIgDAAAAAA==&#10;" adj="-11796480,,5400" path="m,l2113359,r,1056679l,1056679,,xe" strokeweight=".70561mm">
                  <v:stroke joinstyle="miter"/>
                  <v:formulas/>
                  <v:path arrowok="t" o:connecttype="custom" o:connectlocs="1056681,0;2113361,528340;1056681,1056680;0,528340;0,0;2113361,0;2113361,1056680;0,1056680;0,0" o:connectangles="270,0,90,180,0,0,0,0,0" textboxrect="0,0,2113359,1056679"/>
                  <v:textbox inset=".17625mm,.17625mm,.17625mm,.17625mm">
                    <w:txbxContent>
                      <w:p w:rsidR="00851379" w:rsidRDefault="00851379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es-ES"/>
                          </w:rPr>
                          <w:t xml:space="preserve">DEPARTAMENTO </w:t>
                        </w:r>
                      </w:p>
                      <w:p w:rsidR="00851379" w:rsidRPr="007F78F3" w:rsidRDefault="00851379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lang w:val="es-ES"/>
                          </w:rPr>
                          <w:t>ADMINISTRATIVO</w:t>
                        </w:r>
                      </w:p>
                      <w:p w:rsidR="00851379" w:rsidRPr="007F78F3" w:rsidRDefault="00851379" w:rsidP="002447A2">
                        <w:pPr>
                          <w:pStyle w:val="NormalWeb"/>
                          <w:spacing w:before="0" w:beforeAutospacing="0" w:after="80" w:afterAutospacing="0" w:line="216" w:lineRule="aut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F78F3">
                          <w:rPr>
                            <w:rFonts w:ascii="Arial" w:hAnsi="Arial" w:cs="Arial"/>
                            <w:color w:val="000000"/>
                            <w:kern w:val="24"/>
                            <w:lang w:val="es-ES"/>
                          </w:rPr>
                          <w:t>Juan Miguel García Loranca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2447A2" w:rsidP="002447A2"/>
    <w:p w:rsidR="002447A2" w:rsidRDefault="00A363C3" w:rsidP="002447A2">
      <w:pPr>
        <w:rPr>
          <w:rFonts w:ascii="Arial" w:hAnsi="Arial" w:cs="Arial"/>
          <w:b/>
          <w:sz w:val="18"/>
          <w:szCs w:val="18"/>
        </w:rPr>
      </w:pPr>
      <w:r w:rsidRPr="00A363C3">
        <w:rPr>
          <w:rFonts w:ascii="Arial" w:hAnsi="Arial" w:cs="Arial"/>
          <w:b/>
          <w:sz w:val="18"/>
          <w:szCs w:val="18"/>
        </w:rPr>
        <w:t>4.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 w:rsidR="00ED29F8">
        <w:rPr>
          <w:rFonts w:ascii="Arial" w:hAnsi="Arial" w:cs="Arial"/>
          <w:b/>
          <w:sz w:val="18"/>
          <w:szCs w:val="18"/>
        </w:rPr>
        <w:t xml:space="preserve">Organización y </w:t>
      </w:r>
      <w:r>
        <w:rPr>
          <w:rFonts w:ascii="Arial" w:hAnsi="Arial" w:cs="Arial"/>
          <w:b/>
          <w:sz w:val="18"/>
          <w:szCs w:val="18"/>
        </w:rPr>
        <w:t>Objeto social</w:t>
      </w:r>
    </w:p>
    <w:p w:rsidR="00A363C3" w:rsidRDefault="00ED29F8" w:rsidP="00ED29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A363C3">
        <w:rPr>
          <w:rFonts w:ascii="Arial" w:hAnsi="Arial" w:cs="Arial"/>
          <w:sz w:val="18"/>
          <w:szCs w:val="18"/>
        </w:rPr>
        <w:t xml:space="preserve">La finalidad de este Fideicomiso es Controlar por instrucciones del Comité </w:t>
      </w:r>
      <w:r>
        <w:rPr>
          <w:rFonts w:ascii="Arial" w:hAnsi="Arial" w:cs="Arial"/>
          <w:sz w:val="18"/>
          <w:szCs w:val="18"/>
        </w:rPr>
        <w:t>Té</w:t>
      </w:r>
      <w:r w:rsidR="00A363C3">
        <w:rPr>
          <w:rFonts w:ascii="Arial" w:hAnsi="Arial" w:cs="Arial"/>
          <w:sz w:val="18"/>
          <w:szCs w:val="18"/>
        </w:rPr>
        <w:t>cnico los recursos derivados de donativos, y aportaciones que se requieran para llevar a cabo los programas de asistencia tecnológicas y administrativas para mejorar la capacidad de producción y la incorporación en los mercados de las artesan</w:t>
      </w:r>
      <w:r>
        <w:rPr>
          <w:rFonts w:ascii="Arial" w:hAnsi="Arial" w:cs="Arial"/>
          <w:sz w:val="18"/>
          <w:szCs w:val="18"/>
        </w:rPr>
        <w:t>ías tlaxcaltecas,   a</w:t>
      </w:r>
      <w:r w:rsidR="00A363C3">
        <w:rPr>
          <w:rFonts w:ascii="Arial" w:hAnsi="Arial" w:cs="Arial"/>
          <w:sz w:val="18"/>
          <w:szCs w:val="18"/>
        </w:rPr>
        <w:t>dquirir productos artesanales y comercialización local, nacional e internacional</w:t>
      </w:r>
      <w:r>
        <w:rPr>
          <w:rFonts w:ascii="Arial" w:hAnsi="Arial" w:cs="Arial"/>
          <w:sz w:val="18"/>
          <w:szCs w:val="18"/>
        </w:rPr>
        <w:t>, sufragar los gastos de operación del propio Fideicomiso al cumplimiento de las obligaciones con cargo al mismo y a financiar la ejecución de los programas en todas y cada una de las etapas de</w:t>
      </w:r>
      <w:r w:rsidR="00F448FF">
        <w:rPr>
          <w:rFonts w:ascii="Arial" w:hAnsi="Arial" w:cs="Arial"/>
          <w:sz w:val="18"/>
          <w:szCs w:val="18"/>
        </w:rPr>
        <w:t xml:space="preserve"> desarrollo. El periodo comprende del 1 de enero al 30</w:t>
      </w:r>
      <w:r>
        <w:rPr>
          <w:rFonts w:ascii="Arial" w:hAnsi="Arial" w:cs="Arial"/>
          <w:sz w:val="18"/>
          <w:szCs w:val="18"/>
        </w:rPr>
        <w:t xml:space="preserve"> de </w:t>
      </w:r>
      <w:r w:rsidR="00F448FF">
        <w:rPr>
          <w:rFonts w:ascii="Arial" w:hAnsi="Arial" w:cs="Arial"/>
          <w:sz w:val="18"/>
          <w:szCs w:val="18"/>
        </w:rPr>
        <w:t>junio</w:t>
      </w:r>
      <w:r>
        <w:rPr>
          <w:rFonts w:ascii="Arial" w:hAnsi="Arial" w:cs="Arial"/>
          <w:sz w:val="18"/>
          <w:szCs w:val="18"/>
        </w:rPr>
        <w:t xml:space="preserve"> del </w:t>
      </w:r>
      <w:r w:rsidR="00F448FF">
        <w:rPr>
          <w:rFonts w:ascii="Arial" w:hAnsi="Arial" w:cs="Arial"/>
          <w:sz w:val="18"/>
          <w:szCs w:val="18"/>
        </w:rPr>
        <w:t>2015</w:t>
      </w:r>
      <w:r>
        <w:rPr>
          <w:rFonts w:ascii="Arial" w:hAnsi="Arial" w:cs="Arial"/>
          <w:sz w:val="18"/>
          <w:szCs w:val="18"/>
        </w:rPr>
        <w:t>.</w:t>
      </w:r>
    </w:p>
    <w:p w:rsidR="00BD0479" w:rsidRDefault="00BD0479" w:rsidP="00ED29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Fideicomiso se encuentra bajo el régimen jurídico del Decreto de creación publicado en el periódico oficial del Gobierno del Estado de Tlaxcala de fecha 12 de junio de 1997 y Ley de Fomento a la Actividad Artesanal del Estado de Tlaxcala publicada a partir del 8 de diciembre del 2004.</w:t>
      </w:r>
    </w:p>
    <w:p w:rsidR="00BD0479" w:rsidRDefault="00BD0479" w:rsidP="00ED29F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Fideicomiso está obligado a la retención del impuesto sobre el producto del trabajo los cuales son enterados a la Secretaria de Hacienda y Crédito Público en las fechas establecidas en la ley.</w:t>
      </w:r>
    </w:p>
    <w:p w:rsidR="00A363C3" w:rsidRDefault="00BD0479" w:rsidP="00BD04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organizacional del Fideicomiso está integrada de acuerdo al Decreto de Creación de fecha 12 de junio de 1997.</w:t>
      </w:r>
    </w:p>
    <w:p w:rsidR="00BD0479" w:rsidRDefault="00BD0479" w:rsidP="00BD0479">
      <w:pPr>
        <w:jc w:val="both"/>
        <w:rPr>
          <w:rFonts w:ascii="Arial" w:hAnsi="Arial" w:cs="Arial"/>
          <w:sz w:val="18"/>
          <w:szCs w:val="18"/>
        </w:rPr>
      </w:pPr>
    </w:p>
    <w:p w:rsidR="005963D4" w:rsidRDefault="005963D4" w:rsidP="005963D4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  <w:r>
        <w:rPr>
          <w:b/>
          <w:szCs w:val="18"/>
          <w:lang w:val="es-MX"/>
        </w:rPr>
        <w:t>5</w:t>
      </w:r>
      <w:r w:rsidRPr="00BE36A4">
        <w:rPr>
          <w:b/>
          <w:szCs w:val="18"/>
          <w:lang w:val="es-MX"/>
        </w:rPr>
        <w:t>.</w:t>
      </w:r>
      <w:r w:rsidRPr="00BE36A4">
        <w:rPr>
          <w:b/>
          <w:szCs w:val="18"/>
          <w:lang w:val="es-MX"/>
        </w:rPr>
        <w:tab/>
        <w:t>Bases de Preparación de los Estados Financieros</w:t>
      </w:r>
    </w:p>
    <w:p w:rsidR="005963D4" w:rsidRPr="00BE36A4" w:rsidRDefault="005963D4" w:rsidP="005963D4">
      <w:pPr>
        <w:pStyle w:val="Texto"/>
        <w:spacing w:after="0" w:line="240" w:lineRule="exact"/>
        <w:rPr>
          <w:b/>
          <w:szCs w:val="18"/>
          <w:lang w:val="es-MX"/>
        </w:rPr>
      </w:pPr>
    </w:p>
    <w:p w:rsidR="005963D4" w:rsidRPr="00BE36A4" w:rsidRDefault="005963D4" w:rsidP="005963D4">
      <w:pPr>
        <w:pStyle w:val="Texto"/>
        <w:spacing w:after="0" w:line="240" w:lineRule="exact"/>
        <w:rPr>
          <w:b/>
          <w:szCs w:val="18"/>
          <w:lang w:val="es-MX"/>
        </w:rPr>
      </w:pPr>
    </w:p>
    <w:p w:rsidR="005963D4" w:rsidRPr="00BE36A4" w:rsidRDefault="005963D4" w:rsidP="005963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E36A4">
        <w:rPr>
          <w:rFonts w:ascii="Arial" w:hAnsi="Arial" w:cs="Arial"/>
          <w:bCs/>
          <w:sz w:val="18"/>
          <w:szCs w:val="18"/>
        </w:rPr>
        <w:t xml:space="preserve">El </w:t>
      </w:r>
      <w:r>
        <w:rPr>
          <w:rFonts w:ascii="Arial" w:hAnsi="Arial" w:cs="Arial"/>
          <w:bCs/>
          <w:sz w:val="18"/>
          <w:szCs w:val="18"/>
        </w:rPr>
        <w:t xml:space="preserve">Fideicomiso </w:t>
      </w:r>
      <w:r w:rsidRPr="00BE36A4">
        <w:rPr>
          <w:rFonts w:ascii="Arial" w:hAnsi="Arial" w:cs="Arial"/>
          <w:bCs/>
          <w:sz w:val="18"/>
          <w:szCs w:val="18"/>
        </w:rPr>
        <w:t xml:space="preserve"> elaboró su información financiera atendiendo a lo dispuesto en la Ley General de Contabilidad Gubernamental y a las reglas contables establecidas en los Acuerdos emitidos por el CONAC, Manual de Contabilidad, Clasificador por Objeto y Tipo de Gasto y al Clasificador por Rubro de Ingresos del </w:t>
      </w:r>
      <w:r>
        <w:rPr>
          <w:rFonts w:ascii="Arial" w:hAnsi="Arial" w:cs="Arial"/>
          <w:bCs/>
          <w:sz w:val="18"/>
          <w:szCs w:val="18"/>
        </w:rPr>
        <w:t>Fideicomiso</w:t>
      </w:r>
      <w:r w:rsidRPr="00BE36A4">
        <w:rPr>
          <w:rFonts w:ascii="Arial" w:hAnsi="Arial" w:cs="Arial"/>
          <w:bCs/>
          <w:sz w:val="18"/>
          <w:szCs w:val="18"/>
        </w:rPr>
        <w:t>, obedeciendo a las mejores prácticas contables.</w:t>
      </w:r>
    </w:p>
    <w:p w:rsidR="005963D4" w:rsidRDefault="005963D4" w:rsidP="005963D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BE36A4">
        <w:rPr>
          <w:rFonts w:ascii="Arial" w:hAnsi="Arial" w:cs="Arial"/>
          <w:bCs/>
          <w:sz w:val="18"/>
          <w:szCs w:val="18"/>
        </w:rPr>
        <w:t xml:space="preserve">Los Estados Financieros del </w:t>
      </w:r>
      <w:r>
        <w:rPr>
          <w:rFonts w:ascii="Arial" w:hAnsi="Arial" w:cs="Arial"/>
          <w:bCs/>
          <w:sz w:val="18"/>
          <w:szCs w:val="18"/>
        </w:rPr>
        <w:t>Fideicomiso</w:t>
      </w:r>
      <w:r w:rsidRPr="00BE36A4">
        <w:rPr>
          <w:rFonts w:ascii="Arial" w:hAnsi="Arial" w:cs="Arial"/>
          <w:bCs/>
          <w:sz w:val="18"/>
          <w:szCs w:val="18"/>
        </w:rPr>
        <w:t xml:space="preserve"> presentan razonablemente, en todos los aspectos importantes, los activos, pasivos y patrimonio al 31 de diciembre del 201</w:t>
      </w:r>
      <w:r>
        <w:rPr>
          <w:rFonts w:ascii="Arial" w:hAnsi="Arial" w:cs="Arial"/>
          <w:bCs/>
          <w:sz w:val="18"/>
          <w:szCs w:val="18"/>
        </w:rPr>
        <w:t>4</w:t>
      </w:r>
      <w:r w:rsidRPr="00BE36A4">
        <w:rPr>
          <w:rFonts w:ascii="Arial" w:hAnsi="Arial" w:cs="Arial"/>
          <w:bCs/>
          <w:sz w:val="18"/>
          <w:szCs w:val="18"/>
        </w:rPr>
        <w:t>. Los ingresos y egresos, las variaciones en el patrimonio y los cambios en activos, pasivos y patrimonio por el periodo terminado a esta fecha, fueron efectuados de conformidad con lo establecido en la Ley General de Contabilidad Gubernamental y los Acuerdos emitidos por el CONAC.</w:t>
      </w:r>
    </w:p>
    <w:p w:rsidR="005963D4" w:rsidRPr="0070785C" w:rsidRDefault="005963D4" w:rsidP="005963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0785C">
        <w:rPr>
          <w:rFonts w:ascii="Arial" w:hAnsi="Arial" w:cs="Arial"/>
          <w:bCs/>
          <w:color w:val="000000"/>
          <w:sz w:val="18"/>
          <w:szCs w:val="18"/>
        </w:rPr>
        <w:t xml:space="preserve">Con la finalidad de dar cumplimiento a lo establecido en la Ley General de Contabilidad Gubernamental y los acuerdos emitidos por el CONAC, el Fideicomiso implementará a partir del 1 ° de enero del 2015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un nuevo sistema de contabilidad, el cual será el SAACG.net (Sistema Automatizado de Administración y Contabilidad Gubernamental) desarrollado por el INDETEC. </w:t>
      </w:r>
    </w:p>
    <w:p w:rsidR="00304092" w:rsidRDefault="0030409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AF320F" w:rsidRDefault="00AF320F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304092" w:rsidRDefault="0030409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AF320F" w:rsidRDefault="00AF320F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AF320F" w:rsidRDefault="00AF320F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70785C" w:rsidRDefault="005963D4" w:rsidP="00304092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>6</w:t>
      </w:r>
      <w:r w:rsidR="00540418" w:rsidRPr="0070785C">
        <w:rPr>
          <w:b/>
          <w:szCs w:val="18"/>
          <w:lang w:val="es-MX"/>
        </w:rPr>
        <w:t>.</w:t>
      </w:r>
      <w:r w:rsidR="00540418" w:rsidRPr="0070785C">
        <w:rPr>
          <w:b/>
          <w:szCs w:val="18"/>
          <w:lang w:val="es-MX"/>
        </w:rPr>
        <w:tab/>
        <w:t>Políticas de Contabilidad Significativas</w:t>
      </w:r>
    </w:p>
    <w:p w:rsidR="0070785C" w:rsidRPr="0070785C" w:rsidRDefault="0070785C" w:rsidP="0070785C">
      <w:pPr>
        <w:pStyle w:val="Texto"/>
        <w:spacing w:after="0" w:line="240" w:lineRule="exact"/>
        <w:ind w:firstLine="0"/>
        <w:rPr>
          <w:szCs w:val="18"/>
        </w:rPr>
      </w:pPr>
    </w:p>
    <w:p w:rsidR="007A0F18" w:rsidRPr="007A0F18" w:rsidRDefault="007A0F18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7A0F18" w:rsidRPr="007A0F18" w:rsidRDefault="007A0F18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7A0F18">
        <w:rPr>
          <w:rFonts w:ascii="Arial" w:hAnsi="Arial" w:cs="Arial"/>
          <w:bCs/>
          <w:color w:val="000000"/>
          <w:sz w:val="18"/>
          <w:szCs w:val="18"/>
        </w:rPr>
        <w:t xml:space="preserve">El </w:t>
      </w:r>
      <w:r w:rsidR="004B1A3E">
        <w:rPr>
          <w:rFonts w:ascii="Arial" w:hAnsi="Arial" w:cs="Arial"/>
          <w:bCs/>
          <w:color w:val="000000"/>
          <w:sz w:val="18"/>
          <w:szCs w:val="18"/>
        </w:rPr>
        <w:t>Fideicomiso</w:t>
      </w:r>
      <w:r w:rsidRPr="007A0F18">
        <w:rPr>
          <w:rFonts w:ascii="Arial" w:hAnsi="Arial" w:cs="Arial"/>
          <w:bCs/>
          <w:color w:val="000000"/>
          <w:sz w:val="18"/>
          <w:szCs w:val="18"/>
        </w:rPr>
        <w:t xml:space="preserve">, se encuentra en proceso de definir la aplicación de los lineamientos específicos para la depreciación y actualización de sus activos considerando la vida útil. </w:t>
      </w:r>
    </w:p>
    <w:p w:rsidR="007A0F18" w:rsidRDefault="007A0F18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P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 xml:space="preserve">7. </w:t>
      </w: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ab/>
        <w:t>Posición en moneda extranjera y protección por riesgo cambiario.</w:t>
      </w:r>
    </w:p>
    <w:p w:rsidR="005963D4" w:rsidRP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No aplica.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P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>8.-</w:t>
      </w: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ab/>
        <w:t>Reporte analítico de activo.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La aplicación de la depreciación de los activos se llevara a cabo a partir del próximo ejercicio contable.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P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 xml:space="preserve">9.- </w:t>
      </w: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ab/>
        <w:t>F</w:t>
      </w:r>
      <w:r>
        <w:rPr>
          <w:rFonts w:ascii="Arial" w:hAnsi="Arial" w:cs="Arial"/>
          <w:b/>
          <w:bCs/>
          <w:color w:val="000000"/>
          <w:sz w:val="18"/>
          <w:szCs w:val="18"/>
        </w:rPr>
        <w:t>ideicomisos, Mandatos y Análogos.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5963D4">
        <w:rPr>
          <w:rFonts w:ascii="Arial" w:hAnsi="Arial" w:cs="Arial"/>
          <w:bCs/>
          <w:color w:val="000000"/>
          <w:sz w:val="18"/>
          <w:szCs w:val="18"/>
        </w:rPr>
        <w:t>No aplica.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10.</w:t>
      </w:r>
      <w:r>
        <w:rPr>
          <w:rFonts w:ascii="Arial" w:hAnsi="Arial" w:cs="Arial"/>
          <w:bCs/>
          <w:color w:val="000000"/>
          <w:sz w:val="18"/>
          <w:szCs w:val="18"/>
        </w:rPr>
        <w:t>-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Pr="005963D4">
        <w:rPr>
          <w:rFonts w:ascii="Arial" w:hAnsi="Arial" w:cs="Arial"/>
          <w:b/>
          <w:bCs/>
          <w:color w:val="000000"/>
          <w:sz w:val="18"/>
          <w:szCs w:val="18"/>
        </w:rPr>
        <w:t>Reporte de la Recaudación.</w:t>
      </w:r>
    </w:p>
    <w:p w:rsidR="005963D4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5963D4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Cs/>
          <w:color w:val="000000"/>
          <w:sz w:val="18"/>
          <w:szCs w:val="18"/>
        </w:rPr>
        <w:t>Los ingresos propios</w:t>
      </w:r>
      <w:r w:rsidR="00AF320F" w:rsidRPr="00AF320F">
        <w:rPr>
          <w:rFonts w:ascii="Arial" w:hAnsi="Arial" w:cs="Arial"/>
          <w:bCs/>
          <w:color w:val="000000"/>
          <w:sz w:val="18"/>
          <w:szCs w:val="18"/>
        </w:rPr>
        <w:t xml:space="preserve"> del Fideicomiso se encuentran establecidos conforme al decreto de creación, artículo 6° fracción b), de fecha 12 de junio de 1997</w:t>
      </w:r>
      <w:r w:rsidR="00AF320F">
        <w:rPr>
          <w:rFonts w:ascii="Arial" w:hAnsi="Arial" w:cs="Arial"/>
          <w:bCs/>
          <w:color w:val="000000"/>
          <w:sz w:val="18"/>
          <w:szCs w:val="18"/>
        </w:rPr>
        <w:t>. Los ingresos son derivados de la venta de artesanías.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11.-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>Información sobre la deuda y el reporte analítico de la deuda.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Cs/>
          <w:color w:val="000000"/>
          <w:sz w:val="18"/>
          <w:szCs w:val="18"/>
        </w:rPr>
        <w:t>No aplica.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12.-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 Calificaciones otorgadas.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Cs/>
          <w:color w:val="000000"/>
          <w:sz w:val="18"/>
          <w:szCs w:val="18"/>
        </w:rPr>
        <w:t>No aplica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13.-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>Procesos de Mejora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Las políticas de control interno fueron autorizadas por el Comité Técnico del Fideicomiso.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14.-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>Información por Segmentos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Cs/>
          <w:color w:val="000000"/>
          <w:sz w:val="18"/>
          <w:szCs w:val="18"/>
        </w:rPr>
        <w:t>No aplica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>15.-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>Eventos posteriores al cierre</w:t>
      </w:r>
      <w:r>
        <w:rPr>
          <w:rFonts w:ascii="Arial" w:hAnsi="Arial" w:cs="Arial"/>
          <w:bCs/>
          <w:color w:val="000000"/>
          <w:sz w:val="18"/>
          <w:szCs w:val="18"/>
        </w:rPr>
        <w:t>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No aplica.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 xml:space="preserve">16.- </w:t>
      </w:r>
      <w:r w:rsidRPr="00AF320F">
        <w:rPr>
          <w:rFonts w:ascii="Arial" w:hAnsi="Arial" w:cs="Arial"/>
          <w:b/>
          <w:bCs/>
          <w:color w:val="000000"/>
          <w:sz w:val="18"/>
          <w:szCs w:val="18"/>
        </w:rPr>
        <w:tab/>
        <w:t>Partes relacionadas.</w:t>
      </w:r>
    </w:p>
    <w:p w:rsid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320F" w:rsidRPr="00AF320F" w:rsidRDefault="00AF320F" w:rsidP="007A0F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AF320F">
        <w:rPr>
          <w:rFonts w:ascii="Arial" w:hAnsi="Arial" w:cs="Arial"/>
          <w:bCs/>
          <w:color w:val="000000"/>
          <w:sz w:val="18"/>
          <w:szCs w:val="18"/>
        </w:rPr>
        <w:t>No Aplica.</w:t>
      </w:r>
    </w:p>
    <w:p w:rsidR="00923011" w:rsidRPr="00AF320F" w:rsidRDefault="00923011" w:rsidP="00574266">
      <w:pPr>
        <w:pStyle w:val="Texto"/>
        <w:spacing w:after="0" w:line="240" w:lineRule="exact"/>
        <w:rPr>
          <w:szCs w:val="18"/>
        </w:rPr>
      </w:pPr>
    </w:p>
    <w:p w:rsidR="005963D4" w:rsidRDefault="005963D4" w:rsidP="00574266">
      <w:pPr>
        <w:pStyle w:val="Texto"/>
        <w:spacing w:after="0" w:line="240" w:lineRule="exact"/>
        <w:rPr>
          <w:szCs w:val="18"/>
        </w:rPr>
      </w:pPr>
    </w:p>
    <w:p w:rsidR="005963D4" w:rsidRDefault="005963D4" w:rsidP="00574266">
      <w:pPr>
        <w:pStyle w:val="Texto"/>
        <w:spacing w:after="0" w:line="240" w:lineRule="exact"/>
        <w:rPr>
          <w:szCs w:val="18"/>
        </w:rPr>
      </w:pPr>
    </w:p>
    <w:p w:rsidR="00923011" w:rsidRDefault="00923011" w:rsidP="00574266">
      <w:pPr>
        <w:pStyle w:val="Texto"/>
        <w:spacing w:after="0" w:line="240" w:lineRule="exact"/>
        <w:rPr>
          <w:szCs w:val="18"/>
        </w:rPr>
      </w:pPr>
    </w:p>
    <w:p w:rsidR="00923011" w:rsidRPr="005B2CEB" w:rsidRDefault="00923011" w:rsidP="00574266">
      <w:pPr>
        <w:pStyle w:val="Texto"/>
        <w:spacing w:after="0" w:line="240" w:lineRule="exact"/>
        <w:rPr>
          <w:szCs w:val="18"/>
        </w:rPr>
      </w:pPr>
    </w:p>
    <w:p w:rsidR="00574266" w:rsidRPr="005B2CEB" w:rsidRDefault="00923011" w:rsidP="00923011">
      <w:pPr>
        <w:pStyle w:val="Texto"/>
        <w:spacing w:after="0" w:line="240" w:lineRule="exact"/>
        <w:ind w:firstLine="0"/>
        <w:rPr>
          <w:szCs w:val="18"/>
        </w:rPr>
      </w:pPr>
      <w:r w:rsidRPr="00923011">
        <w:rPr>
          <w:szCs w:val="18"/>
        </w:rPr>
        <w:t>Bajo protesta de decir verdad declaramos que los Estados Financieros y sus Notas son razonablemente correctos y responsabilidad del emisor</w:t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  <w:r w:rsidRPr="00923011">
        <w:rPr>
          <w:szCs w:val="18"/>
        </w:rPr>
        <w:tab/>
      </w:r>
    </w:p>
    <w:p w:rsidR="00574266" w:rsidRPr="005B2CEB" w:rsidRDefault="00574266" w:rsidP="00540418">
      <w:pPr>
        <w:pStyle w:val="Texto"/>
        <w:spacing w:after="0" w:line="240" w:lineRule="exact"/>
        <w:rPr>
          <w:szCs w:val="18"/>
        </w:rPr>
      </w:pPr>
    </w:p>
    <w:p w:rsidR="00001107" w:rsidRPr="005B2CEB" w:rsidRDefault="00001107" w:rsidP="00540418">
      <w:pPr>
        <w:pStyle w:val="Texto"/>
        <w:spacing w:after="0" w:line="240" w:lineRule="exact"/>
        <w:rPr>
          <w:szCs w:val="18"/>
        </w:rPr>
      </w:pPr>
    </w:p>
    <w:p w:rsidR="00001107" w:rsidRPr="005B2CEB" w:rsidRDefault="00CC35F7" w:rsidP="00CC35F7">
      <w:pPr>
        <w:pStyle w:val="Texto"/>
        <w:tabs>
          <w:tab w:val="left" w:pos="1200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4311BE" w:rsidRPr="005B2CEB" w:rsidRDefault="004311BE" w:rsidP="00540418">
      <w:pPr>
        <w:pStyle w:val="Texto"/>
        <w:spacing w:after="0" w:line="240" w:lineRule="exact"/>
        <w:rPr>
          <w:szCs w:val="18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9230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23FF2">
        <w:rPr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FCE958" wp14:editId="3A9091E3">
                <wp:simplePos x="0" y="0"/>
                <wp:positionH relativeFrom="column">
                  <wp:posOffset>762000</wp:posOffset>
                </wp:positionH>
                <wp:positionV relativeFrom="paragraph">
                  <wp:posOffset>9525</wp:posOffset>
                </wp:positionV>
                <wp:extent cx="3143250" cy="45783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1379" w:rsidRPr="00423FF2" w:rsidRDefault="00851379" w:rsidP="00A824E2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Lic. José Luis Sánchez Mastranzo</w:t>
                            </w:r>
                          </w:p>
                          <w:p w:rsidR="00851379" w:rsidRPr="00423FF2" w:rsidRDefault="00851379" w:rsidP="00923011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Director </w:t>
                            </w:r>
                            <w:r w:rsidRPr="00423FF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General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CE958" id="Cuadro de texto 7" o:spid="_x0000_s1034" type="#_x0000_t202" style="position:absolute;left:0;text-align:left;margin-left:60pt;margin-top:.75pt;width:247.5pt;height:36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" filled="f" stroked="f">
                <v:path arrowok="t"/>
                <v:textbox style="mso-fit-shape-to-text:t">
                  <w:txbxContent>
                    <w:p w:rsidR="00851379" w:rsidRPr="00423FF2" w:rsidRDefault="00851379" w:rsidP="00A824E2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Lic. José Luis Sánchez Mastranzo</w:t>
                      </w:r>
                    </w:p>
                    <w:p w:rsidR="00851379" w:rsidRPr="00423FF2" w:rsidRDefault="00851379" w:rsidP="00923011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Director </w:t>
                      </w:r>
                      <w:r w:rsidRPr="00423FF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General </w:t>
                      </w:r>
                    </w:p>
                  </w:txbxContent>
                </v:textbox>
              </v:shape>
            </w:pict>
          </mc:Fallback>
        </mc:AlternateContent>
      </w:r>
      <w:r w:rsidRPr="00423FF2">
        <w:rPr>
          <w:noProof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0267A" wp14:editId="3271085D">
                <wp:simplePos x="0" y="0"/>
                <wp:positionH relativeFrom="column">
                  <wp:posOffset>4495800</wp:posOffset>
                </wp:positionH>
                <wp:positionV relativeFrom="paragraph">
                  <wp:posOffset>9525</wp:posOffset>
                </wp:positionV>
                <wp:extent cx="3143250" cy="4578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1379" w:rsidRPr="00423FF2" w:rsidRDefault="00851379" w:rsidP="00923011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C.P. Juan Miguel García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Loranca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51379" w:rsidRPr="00423FF2" w:rsidRDefault="00851379" w:rsidP="00923011">
                            <w:pPr>
                              <w:pStyle w:val="NormalWeb"/>
                              <w:pBdr>
                                <w:top w:val="single" w:sz="8" w:space="1" w:color="auto"/>
                              </w:pBdr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Jefe del Departamento Administrativo </w:t>
                            </w:r>
                            <w:r w:rsidRPr="00423FF2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0267A" id="Cuadro de texto 13" o:spid="_x0000_s1035" type="#_x0000_t202" style="position:absolute;left:0;text-align:left;margin-left:354pt;margin-top:.75pt;width:247.5pt;height:3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" filled="f" stroked="f">
                <v:path arrowok="t"/>
                <v:textbox style="mso-fit-shape-to-text:t">
                  <w:txbxContent>
                    <w:p w:rsidR="00851379" w:rsidRPr="00423FF2" w:rsidRDefault="00851379" w:rsidP="00923011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C.P. Juan Miguel García Loranca </w:t>
                      </w:r>
                    </w:p>
                    <w:p w:rsidR="00851379" w:rsidRPr="00423FF2" w:rsidRDefault="00851379" w:rsidP="00923011">
                      <w:pPr>
                        <w:pStyle w:val="NormalWeb"/>
                        <w:pBdr>
                          <w:top w:val="single" w:sz="8" w:space="1" w:color="auto"/>
                        </w:pBdr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Jefe del Departamento Administrativo </w:t>
                      </w:r>
                      <w:r w:rsidRPr="00423FF2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311BE" w:rsidRPr="00540418" w:rsidRDefault="004311BE" w:rsidP="002E2625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sectPr w:rsidR="004311BE" w:rsidRPr="00540418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48" w:rsidRDefault="00356948" w:rsidP="00EA5418">
      <w:pPr>
        <w:spacing w:after="0" w:line="240" w:lineRule="auto"/>
      </w:pPr>
      <w:r>
        <w:separator/>
      </w:r>
    </w:p>
  </w:endnote>
  <w:endnote w:type="continuationSeparator" w:id="0">
    <w:p w:rsidR="00356948" w:rsidRDefault="003569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79" w:rsidRPr="0013011C" w:rsidRDefault="0085137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528BC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71AFA" w:rsidRPr="00471AFA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51379" w:rsidRDefault="008513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79" w:rsidRPr="008E3652" w:rsidRDefault="0085137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52213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71AFA" w:rsidRPr="00471AFA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48" w:rsidRDefault="00356948" w:rsidP="00EA5418">
      <w:pPr>
        <w:spacing w:after="0" w:line="240" w:lineRule="auto"/>
      </w:pPr>
      <w:r>
        <w:separator/>
      </w:r>
    </w:p>
  </w:footnote>
  <w:footnote w:type="continuationSeparator" w:id="0">
    <w:p w:rsidR="00356948" w:rsidRDefault="003569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79" w:rsidRDefault="0085137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379" w:rsidRDefault="0085137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51379" w:rsidRDefault="0085137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51379" w:rsidRPr="00275FC6" w:rsidRDefault="0085137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1379" w:rsidRDefault="0085137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851379" w:rsidRDefault="0085137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51379" w:rsidRPr="00275FC6" w:rsidRDefault="0085137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3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C6BE4" w:rsidRDefault="008C6BE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C6BE4" w:rsidRDefault="008C6BE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C6BE4" w:rsidRPr="00275FC6" w:rsidRDefault="008C6BE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_x0000_s104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C6BE4" w:rsidRDefault="008C6BE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9633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8C6BE4" w:rsidRDefault="008C6BE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C6BE4" w:rsidRPr="00275FC6" w:rsidRDefault="008C6BE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41FC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79" w:rsidRPr="0013011C" w:rsidRDefault="0085137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8E0DB" wp14:editId="5077106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5BD9D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2EA6C8C"/>
    <w:multiLevelType w:val="hybridMultilevel"/>
    <w:tmpl w:val="1EAAD6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60E"/>
    <w:multiLevelType w:val="hybridMultilevel"/>
    <w:tmpl w:val="7FB827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34A0947"/>
    <w:multiLevelType w:val="hybridMultilevel"/>
    <w:tmpl w:val="5868255C"/>
    <w:lvl w:ilvl="0" w:tplc="9092AE80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multilevel"/>
    <w:tmpl w:val="D8E6AC92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1440"/>
      </w:pPr>
      <w:rPr>
        <w:rFonts w:hint="default"/>
      </w:rPr>
    </w:lvl>
  </w:abstractNum>
  <w:abstractNum w:abstractNumId="7" w15:restartNumberingAfterBreak="0">
    <w:nsid w:val="40D90865"/>
    <w:multiLevelType w:val="hybridMultilevel"/>
    <w:tmpl w:val="0B7E48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13C54"/>
    <w:multiLevelType w:val="hybridMultilevel"/>
    <w:tmpl w:val="CD96AEAA"/>
    <w:lvl w:ilvl="0" w:tplc="DF10E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7E58AC"/>
    <w:multiLevelType w:val="multilevel"/>
    <w:tmpl w:val="47C6F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0" w15:restartNumberingAfterBreak="0">
    <w:nsid w:val="5EF6601B"/>
    <w:multiLevelType w:val="hybridMultilevel"/>
    <w:tmpl w:val="48880896"/>
    <w:lvl w:ilvl="0" w:tplc="EBB4FA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519BD"/>
    <w:multiLevelType w:val="hybridMultilevel"/>
    <w:tmpl w:val="3440D6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406AD"/>
    <w:multiLevelType w:val="hybridMultilevel"/>
    <w:tmpl w:val="7D4C37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4D2F"/>
    <w:multiLevelType w:val="hybridMultilevel"/>
    <w:tmpl w:val="6DF0F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25CA4"/>
    <w:rsid w:val="00040466"/>
    <w:rsid w:val="00045A10"/>
    <w:rsid w:val="000649F9"/>
    <w:rsid w:val="00072B82"/>
    <w:rsid w:val="000773C3"/>
    <w:rsid w:val="00086936"/>
    <w:rsid w:val="000C33C1"/>
    <w:rsid w:val="00100A92"/>
    <w:rsid w:val="0013011C"/>
    <w:rsid w:val="00157F97"/>
    <w:rsid w:val="00165BB4"/>
    <w:rsid w:val="001801FF"/>
    <w:rsid w:val="001A2D21"/>
    <w:rsid w:val="001B1B72"/>
    <w:rsid w:val="001C6FD8"/>
    <w:rsid w:val="001D41D8"/>
    <w:rsid w:val="001D72B1"/>
    <w:rsid w:val="001E7072"/>
    <w:rsid w:val="00204C86"/>
    <w:rsid w:val="00206EDC"/>
    <w:rsid w:val="0021019E"/>
    <w:rsid w:val="002447A2"/>
    <w:rsid w:val="0024686B"/>
    <w:rsid w:val="00264426"/>
    <w:rsid w:val="002A1940"/>
    <w:rsid w:val="002A5DA8"/>
    <w:rsid w:val="002A70B3"/>
    <w:rsid w:val="002C0781"/>
    <w:rsid w:val="002C48FC"/>
    <w:rsid w:val="002E1143"/>
    <w:rsid w:val="002E2625"/>
    <w:rsid w:val="002E6392"/>
    <w:rsid w:val="002E6D00"/>
    <w:rsid w:val="00304092"/>
    <w:rsid w:val="0032202F"/>
    <w:rsid w:val="003358DE"/>
    <w:rsid w:val="0035321A"/>
    <w:rsid w:val="00356634"/>
    <w:rsid w:val="00356948"/>
    <w:rsid w:val="00372F40"/>
    <w:rsid w:val="0038031A"/>
    <w:rsid w:val="003941E3"/>
    <w:rsid w:val="00396C2B"/>
    <w:rsid w:val="003A0303"/>
    <w:rsid w:val="003B6B22"/>
    <w:rsid w:val="003C52E8"/>
    <w:rsid w:val="003C77EC"/>
    <w:rsid w:val="003D19A8"/>
    <w:rsid w:val="003D5DBF"/>
    <w:rsid w:val="003E7FD0"/>
    <w:rsid w:val="003F0D17"/>
    <w:rsid w:val="003F0EA4"/>
    <w:rsid w:val="00423FF2"/>
    <w:rsid w:val="004311BE"/>
    <w:rsid w:val="0044253C"/>
    <w:rsid w:val="004714CF"/>
    <w:rsid w:val="00471AFA"/>
    <w:rsid w:val="00482002"/>
    <w:rsid w:val="00484C0D"/>
    <w:rsid w:val="004874F6"/>
    <w:rsid w:val="00497D8B"/>
    <w:rsid w:val="004A3428"/>
    <w:rsid w:val="004A5074"/>
    <w:rsid w:val="004B1A3E"/>
    <w:rsid w:val="004B67A2"/>
    <w:rsid w:val="004D41B8"/>
    <w:rsid w:val="004D5A87"/>
    <w:rsid w:val="004F3EF8"/>
    <w:rsid w:val="004F5641"/>
    <w:rsid w:val="00522632"/>
    <w:rsid w:val="00522EF3"/>
    <w:rsid w:val="0052675C"/>
    <w:rsid w:val="005364DB"/>
    <w:rsid w:val="00536BDD"/>
    <w:rsid w:val="00540418"/>
    <w:rsid w:val="00557869"/>
    <w:rsid w:val="00574266"/>
    <w:rsid w:val="00584AFE"/>
    <w:rsid w:val="00585642"/>
    <w:rsid w:val="0059584E"/>
    <w:rsid w:val="005963D4"/>
    <w:rsid w:val="005B2CEB"/>
    <w:rsid w:val="005D349A"/>
    <w:rsid w:val="005D3D25"/>
    <w:rsid w:val="005F06B1"/>
    <w:rsid w:val="00600234"/>
    <w:rsid w:val="006861BF"/>
    <w:rsid w:val="0068716B"/>
    <w:rsid w:val="0069228E"/>
    <w:rsid w:val="00697EBD"/>
    <w:rsid w:val="006B1FE7"/>
    <w:rsid w:val="006E77DD"/>
    <w:rsid w:val="006F79AF"/>
    <w:rsid w:val="0070785C"/>
    <w:rsid w:val="00766C82"/>
    <w:rsid w:val="00772EAA"/>
    <w:rsid w:val="007760C7"/>
    <w:rsid w:val="0079582C"/>
    <w:rsid w:val="0079600C"/>
    <w:rsid w:val="00796995"/>
    <w:rsid w:val="007A0F18"/>
    <w:rsid w:val="007D6E9A"/>
    <w:rsid w:val="007E6A54"/>
    <w:rsid w:val="007E70FE"/>
    <w:rsid w:val="0080073E"/>
    <w:rsid w:val="0080081C"/>
    <w:rsid w:val="00803CC4"/>
    <w:rsid w:val="00811DAC"/>
    <w:rsid w:val="0081211E"/>
    <w:rsid w:val="00817DD3"/>
    <w:rsid w:val="00851379"/>
    <w:rsid w:val="00887553"/>
    <w:rsid w:val="0089054E"/>
    <w:rsid w:val="008A6E4D"/>
    <w:rsid w:val="008A793D"/>
    <w:rsid w:val="008B0017"/>
    <w:rsid w:val="008C1369"/>
    <w:rsid w:val="008C6BE4"/>
    <w:rsid w:val="008D5871"/>
    <w:rsid w:val="008E3652"/>
    <w:rsid w:val="008E49E5"/>
    <w:rsid w:val="008F6D58"/>
    <w:rsid w:val="00901E2B"/>
    <w:rsid w:val="00923011"/>
    <w:rsid w:val="009259DF"/>
    <w:rsid w:val="0093492C"/>
    <w:rsid w:val="009544BC"/>
    <w:rsid w:val="00957043"/>
    <w:rsid w:val="009678BA"/>
    <w:rsid w:val="0099411F"/>
    <w:rsid w:val="009A0887"/>
    <w:rsid w:val="009B13A2"/>
    <w:rsid w:val="009B795F"/>
    <w:rsid w:val="009C42D2"/>
    <w:rsid w:val="009D5D4C"/>
    <w:rsid w:val="009F23C4"/>
    <w:rsid w:val="00A14CD0"/>
    <w:rsid w:val="00A24AC8"/>
    <w:rsid w:val="00A250C7"/>
    <w:rsid w:val="00A363B6"/>
    <w:rsid w:val="00A363C3"/>
    <w:rsid w:val="00A46BF5"/>
    <w:rsid w:val="00A478E7"/>
    <w:rsid w:val="00A71702"/>
    <w:rsid w:val="00A824E2"/>
    <w:rsid w:val="00A96E75"/>
    <w:rsid w:val="00AC220D"/>
    <w:rsid w:val="00AD05C4"/>
    <w:rsid w:val="00AE5368"/>
    <w:rsid w:val="00AE57E5"/>
    <w:rsid w:val="00AE652B"/>
    <w:rsid w:val="00AE7D39"/>
    <w:rsid w:val="00AF320F"/>
    <w:rsid w:val="00B03CDF"/>
    <w:rsid w:val="00B064B4"/>
    <w:rsid w:val="00B146E2"/>
    <w:rsid w:val="00B25B33"/>
    <w:rsid w:val="00B5661F"/>
    <w:rsid w:val="00B661CB"/>
    <w:rsid w:val="00B74DA8"/>
    <w:rsid w:val="00B849EE"/>
    <w:rsid w:val="00B84D02"/>
    <w:rsid w:val="00B93643"/>
    <w:rsid w:val="00BA2940"/>
    <w:rsid w:val="00BA3751"/>
    <w:rsid w:val="00BD0479"/>
    <w:rsid w:val="00BD605C"/>
    <w:rsid w:val="00BE36A4"/>
    <w:rsid w:val="00C02131"/>
    <w:rsid w:val="00C16E53"/>
    <w:rsid w:val="00C431B4"/>
    <w:rsid w:val="00C75500"/>
    <w:rsid w:val="00C827FC"/>
    <w:rsid w:val="00C848E1"/>
    <w:rsid w:val="00C86C59"/>
    <w:rsid w:val="00C91C5A"/>
    <w:rsid w:val="00C967AD"/>
    <w:rsid w:val="00CC35F7"/>
    <w:rsid w:val="00CC46B9"/>
    <w:rsid w:val="00CD6D9A"/>
    <w:rsid w:val="00CD7505"/>
    <w:rsid w:val="00D00E92"/>
    <w:rsid w:val="00D055EC"/>
    <w:rsid w:val="00D15DD8"/>
    <w:rsid w:val="00D26367"/>
    <w:rsid w:val="00D35287"/>
    <w:rsid w:val="00D4227C"/>
    <w:rsid w:val="00D44728"/>
    <w:rsid w:val="00D562FF"/>
    <w:rsid w:val="00DA0969"/>
    <w:rsid w:val="00DB63A2"/>
    <w:rsid w:val="00DB7262"/>
    <w:rsid w:val="00DE614B"/>
    <w:rsid w:val="00DF04F6"/>
    <w:rsid w:val="00DF56C9"/>
    <w:rsid w:val="00DF7A8E"/>
    <w:rsid w:val="00E0141D"/>
    <w:rsid w:val="00E05517"/>
    <w:rsid w:val="00E30318"/>
    <w:rsid w:val="00E32708"/>
    <w:rsid w:val="00E471FC"/>
    <w:rsid w:val="00E517C1"/>
    <w:rsid w:val="00E63213"/>
    <w:rsid w:val="00E77EE3"/>
    <w:rsid w:val="00E864C8"/>
    <w:rsid w:val="00E930D2"/>
    <w:rsid w:val="00E94609"/>
    <w:rsid w:val="00EA5418"/>
    <w:rsid w:val="00EB0AA2"/>
    <w:rsid w:val="00ED29F8"/>
    <w:rsid w:val="00EE46FB"/>
    <w:rsid w:val="00F17C0D"/>
    <w:rsid w:val="00F34DFA"/>
    <w:rsid w:val="00F448FF"/>
    <w:rsid w:val="00F755D0"/>
    <w:rsid w:val="00F9633C"/>
    <w:rsid w:val="00FB1010"/>
    <w:rsid w:val="00FB4EE4"/>
    <w:rsid w:val="00FD2854"/>
    <w:rsid w:val="00FD56D2"/>
    <w:rsid w:val="00FD5A63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92C819-BD08-4A3D-BF74-714A5751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32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">
    <w:name w:val="Tabla normal 21"/>
    <w:basedOn w:val="Tablanormal"/>
    <w:uiPriority w:val="42"/>
    <w:rsid w:val="00E930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51">
    <w:name w:val="Tabla normal 51"/>
    <w:basedOn w:val="Tablanormal"/>
    <w:uiPriority w:val="45"/>
    <w:rsid w:val="009B13A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31">
    <w:name w:val="Tabla normal 31"/>
    <w:basedOn w:val="Tablanormal"/>
    <w:uiPriority w:val="43"/>
    <w:rsid w:val="009B13A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tulo">
    <w:name w:val="Subtitle"/>
    <w:basedOn w:val="Normal"/>
    <w:link w:val="SubttuloCar"/>
    <w:qFormat/>
    <w:rsid w:val="00F34DFA"/>
    <w:pPr>
      <w:keepLines/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F34DFA"/>
    <w:rPr>
      <w:rFonts w:ascii="Arial" w:eastAsia="Times New Roman" w:hAnsi="Arial" w:cs="Times New Roman"/>
      <w:b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0C1C-0BDD-499E-B604-4A03D3A0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20</Pages>
  <Words>1930</Words>
  <Characters>10620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SECCION</cp:lastModifiedBy>
  <cp:revision>18</cp:revision>
  <cp:lastPrinted>2015-07-21T16:59:00Z</cp:lastPrinted>
  <dcterms:created xsi:type="dcterms:W3CDTF">2014-12-23T15:39:00Z</dcterms:created>
  <dcterms:modified xsi:type="dcterms:W3CDTF">2015-07-21T21:59:00Z</dcterms:modified>
</cp:coreProperties>
</file>