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5292518"/>
    <w:bookmarkEnd w:id="0"/>
    <w:bookmarkStart w:id="1" w:name="_MON_1499060917"/>
    <w:bookmarkStart w:id="2" w:name="_MON_1505725460"/>
    <w:bookmarkStart w:id="3" w:name="_MON_1505727601"/>
    <w:bookmarkStart w:id="4" w:name="_MON_1505727701"/>
    <w:bookmarkStart w:id="5" w:name="_MON_1505728088"/>
    <w:bookmarkEnd w:id="1"/>
    <w:bookmarkEnd w:id="2"/>
    <w:bookmarkEnd w:id="3"/>
    <w:bookmarkEnd w:id="4"/>
    <w:bookmarkEnd w:id="5"/>
    <w:p w:rsidR="007D6E9A" w:rsidRDefault="00CE44D7" w:rsidP="00791044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8pt;height:417pt" o:ole="">
            <v:imagedata r:id="rId9" o:title=""/>
          </v:shape>
          <o:OLEObject Type="Embed" ProgID="Excel.Sheet.12" ShapeID="_x0000_i1026" DrawAspect="Content" ObjectID="_1505731605" r:id="rId10"/>
        </w:object>
      </w:r>
    </w:p>
    <w:p w:rsidR="00EA5418" w:rsidRDefault="00EA5418" w:rsidP="00372F40">
      <w:pPr>
        <w:jc w:val="center"/>
      </w:pPr>
    </w:p>
    <w:bookmarkStart w:id="6" w:name="_MON_1470805999"/>
    <w:bookmarkStart w:id="7" w:name="_MON_1499061115"/>
    <w:bookmarkStart w:id="8" w:name="_MON_1497077869"/>
    <w:bookmarkStart w:id="9" w:name="_MON_1499062367"/>
    <w:bookmarkStart w:id="10" w:name="_MON_1497082524"/>
    <w:bookmarkStart w:id="11" w:name="_MON_1497274449"/>
    <w:bookmarkStart w:id="12" w:name="_MON_1497275000"/>
    <w:bookmarkStart w:id="13" w:name="_MON_1505292558"/>
    <w:bookmarkStart w:id="14" w:name="_MON_1505292588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497082794"/>
    <w:bookmarkStart w:id="16" w:name="_MON_1505726833"/>
    <w:bookmarkEnd w:id="15"/>
    <w:bookmarkEnd w:id="16"/>
    <w:p w:rsidR="00EA5418" w:rsidRDefault="00BF35A8" w:rsidP="0044253C">
      <w:pPr>
        <w:jc w:val="center"/>
      </w:pPr>
      <w:r>
        <w:object w:dxaOrig="25216" w:dyaOrig="18908">
          <v:shape id="_x0000_i1025" type="#_x0000_t75" style="width:586.5pt;height:437.5pt" o:ole="">
            <v:imagedata r:id="rId11" o:title=""/>
          </v:shape>
          <o:OLEObject Type="Embed" ProgID="Excel.Sheet.12" ShapeID="_x0000_i1025" DrawAspect="Content" ObjectID="_1505731606" r:id="rId12"/>
        </w:object>
      </w:r>
    </w:p>
    <w:p w:rsidR="00372F40" w:rsidRDefault="00F10FB9" w:rsidP="00B96BE2">
      <w:pPr>
        <w:tabs>
          <w:tab w:val="left" w:pos="13041"/>
        </w:tabs>
        <w:ind w:hanging="709"/>
      </w:pPr>
      <w:bookmarkStart w:id="17" w:name="_MON_1470806992"/>
      <w:bookmarkEnd w:id="17"/>
      <w:r>
        <w:rPr>
          <w:noProof/>
        </w:rPr>
        <w:lastRenderedPageBreak/>
        <w:pict>
          <v:shape id="_x0000_s1046" type="#_x0000_t75" style="position:absolute;margin-left:-8.65pt;margin-top:14.25pt;width:693.05pt;height:426.1pt;z-index:251664384">
            <v:imagedata r:id="rId13" o:title=""/>
            <w10:wrap type="square" side="left"/>
          </v:shape>
          <o:OLEObject Type="Embed" ProgID="Excel.Sheet.12" ShapeID="_x0000_s1046" DrawAspect="Content" ObjectID="_1505731611" r:id="rId14"/>
        </w:pict>
      </w:r>
    </w:p>
    <w:bookmarkStart w:id="18" w:name="_MON_1497099077"/>
    <w:bookmarkStart w:id="19" w:name="_MON_1470807348"/>
    <w:bookmarkStart w:id="20" w:name="_MON_1497252972"/>
    <w:bookmarkStart w:id="21" w:name="_MON_1497098978"/>
    <w:bookmarkStart w:id="22" w:name="_MON_1497275018"/>
    <w:bookmarkStart w:id="23" w:name="_MON_1497275033"/>
    <w:bookmarkStart w:id="24" w:name="_MON_1499062503"/>
    <w:bookmarkStart w:id="25" w:name="_MON_1497275273"/>
    <w:bookmarkStart w:id="26" w:name="_MON_1497098984"/>
    <w:bookmarkStart w:id="27" w:name="_MON_1497099010"/>
    <w:bookmarkStart w:id="28" w:name="_MON_1505292667"/>
    <w:bookmarkStart w:id="29" w:name="_MON_1505292683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Start w:id="30" w:name="_MON_1497099030"/>
    <w:bookmarkStart w:id="31" w:name="_MON_1505728067"/>
    <w:bookmarkStart w:id="32" w:name="_MON_1505728241"/>
    <w:bookmarkStart w:id="33" w:name="_MON_1505728294"/>
    <w:bookmarkStart w:id="34" w:name="_MON_1505728363"/>
    <w:bookmarkStart w:id="35" w:name="_MON_1505731285"/>
    <w:bookmarkEnd w:id="30"/>
    <w:bookmarkEnd w:id="31"/>
    <w:bookmarkEnd w:id="32"/>
    <w:bookmarkEnd w:id="33"/>
    <w:bookmarkEnd w:id="34"/>
    <w:bookmarkEnd w:id="35"/>
    <w:p w:rsidR="00372F40" w:rsidRPr="000836A7" w:rsidRDefault="00857EE2" w:rsidP="00001BE7">
      <w:pPr>
        <w:tabs>
          <w:tab w:val="left" w:pos="5670"/>
          <w:tab w:val="left" w:pos="6379"/>
        </w:tabs>
        <w:jc w:val="center"/>
        <w:rPr>
          <w:b/>
        </w:rPr>
      </w:pPr>
      <w:r w:rsidRPr="000836A7">
        <w:rPr>
          <w:b/>
        </w:rPr>
        <w:object w:dxaOrig="17756" w:dyaOrig="12389">
          <v:shape id="_x0000_i1030" type="#_x0000_t75" style="width:646.5pt;height:6in" o:ole="">
            <v:imagedata r:id="rId15" o:title=""/>
          </v:shape>
          <o:OLEObject Type="Embed" ProgID="Excel.Sheet.12" ShapeID="_x0000_i1030" DrawAspect="Content" ObjectID="_1505731607" r:id="rId16"/>
        </w:object>
      </w:r>
      <w:bookmarkStart w:id="36" w:name="_GoBack"/>
      <w:bookmarkEnd w:id="36"/>
    </w:p>
    <w:bookmarkStart w:id="37" w:name="_MON_1470809138"/>
    <w:bookmarkStart w:id="38" w:name="_MON_1505292705"/>
    <w:bookmarkEnd w:id="37"/>
    <w:bookmarkEnd w:id="38"/>
    <w:bookmarkStart w:id="39" w:name="_MON_1499062599"/>
    <w:bookmarkStart w:id="40" w:name="_MON_1505728870"/>
    <w:bookmarkEnd w:id="39"/>
    <w:bookmarkEnd w:id="40"/>
    <w:p w:rsidR="00372F40" w:rsidRDefault="00784F75" w:rsidP="00A32E65">
      <w:r>
        <w:object w:dxaOrig="17850" w:dyaOrig="12235">
          <v:shape id="_x0000_i1027" type="#_x0000_t75" style="width:633.5pt;height:433pt" o:ole="">
            <v:imagedata r:id="rId17" o:title=""/>
          </v:shape>
          <o:OLEObject Type="Embed" ProgID="Excel.Sheet.12" ShapeID="_x0000_i1027" DrawAspect="Content" ObjectID="_1505731608" r:id="rId18"/>
        </w:object>
      </w:r>
      <w:r w:rsidR="00A32E6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1" w:name="_MON_1499062759"/>
    <w:bookmarkStart w:id="42" w:name="_MON_1497332256"/>
    <w:bookmarkStart w:id="43" w:name="_MON_1470814596"/>
    <w:bookmarkStart w:id="44" w:name="_MON_1497275362"/>
    <w:bookmarkStart w:id="45" w:name="_MON_1505292742"/>
    <w:bookmarkEnd w:id="41"/>
    <w:bookmarkEnd w:id="42"/>
    <w:bookmarkEnd w:id="43"/>
    <w:bookmarkEnd w:id="44"/>
    <w:bookmarkEnd w:id="45"/>
    <w:bookmarkStart w:id="46" w:name="_MON_1499062648"/>
    <w:bookmarkStart w:id="47" w:name="_MON_1505728952"/>
    <w:bookmarkEnd w:id="46"/>
    <w:bookmarkEnd w:id="47"/>
    <w:p w:rsidR="00E32708" w:rsidRDefault="00784F75" w:rsidP="00E32708">
      <w:pPr>
        <w:tabs>
          <w:tab w:val="left" w:pos="2430"/>
        </w:tabs>
        <w:jc w:val="center"/>
      </w:pPr>
      <w:r>
        <w:object w:dxaOrig="18275" w:dyaOrig="11555">
          <v:shape id="_x0000_i1028" type="#_x0000_t75" style="width:638pt;height:402pt" o:ole="">
            <v:imagedata r:id="rId19" o:title=""/>
          </v:shape>
          <o:OLEObject Type="Embed" ProgID="Excel.Sheet.12" ShapeID="_x0000_i1028" DrawAspect="Content" ObjectID="_1505731609" r:id="rId20"/>
        </w:object>
      </w:r>
    </w:p>
    <w:bookmarkStart w:id="48" w:name="_MON_1499062796"/>
    <w:bookmarkStart w:id="49" w:name="_MON_1499063155"/>
    <w:bookmarkStart w:id="50" w:name="_MON_1470810366"/>
    <w:bookmarkStart w:id="51" w:name="_MON_1499076325"/>
    <w:bookmarkStart w:id="52" w:name="_MON_1497275574"/>
    <w:bookmarkStart w:id="53" w:name="_MON_1497329792"/>
    <w:bookmarkStart w:id="54" w:name="_MON_1505292779"/>
    <w:bookmarkEnd w:id="48"/>
    <w:bookmarkEnd w:id="49"/>
    <w:bookmarkEnd w:id="50"/>
    <w:bookmarkEnd w:id="51"/>
    <w:bookmarkEnd w:id="52"/>
    <w:bookmarkEnd w:id="53"/>
    <w:bookmarkEnd w:id="54"/>
    <w:bookmarkStart w:id="55" w:name="_MON_1497334081"/>
    <w:bookmarkStart w:id="56" w:name="_MON_1505730317"/>
    <w:bookmarkEnd w:id="55"/>
    <w:bookmarkEnd w:id="56"/>
    <w:p w:rsidR="00D06975" w:rsidRDefault="00784F75" w:rsidP="00D06975">
      <w:pPr>
        <w:tabs>
          <w:tab w:val="left" w:pos="2430"/>
        </w:tabs>
        <w:jc w:val="center"/>
      </w:pPr>
      <w:r>
        <w:object w:dxaOrig="25987" w:dyaOrig="16750">
          <v:shape id="_x0000_i1029" type="#_x0000_t75" style="width:692.5pt;height:457.5pt" o:ole="">
            <v:imagedata r:id="rId21" o:title=""/>
          </v:shape>
          <o:OLEObject Type="Embed" ProgID="Excel.Sheet.12" ShapeID="_x0000_i1029" DrawAspect="Content" ObjectID="_1505731610" r:id="rId22"/>
        </w:object>
      </w:r>
    </w:p>
    <w:p w:rsidR="000B3A3C" w:rsidRDefault="000B3A3C" w:rsidP="00D06975">
      <w:pPr>
        <w:tabs>
          <w:tab w:val="left" w:pos="2430"/>
        </w:tabs>
        <w:jc w:val="center"/>
      </w:pPr>
    </w:p>
    <w:p w:rsidR="000B3A3C" w:rsidRDefault="00D06975" w:rsidP="00D06975">
      <w:pPr>
        <w:jc w:val="center"/>
      </w:pPr>
      <w:r>
        <w:t>Informe de Pasivos Contingentes</w:t>
      </w:r>
    </w:p>
    <w:p w:rsidR="000B3A3C" w:rsidRDefault="000B3A3C"/>
    <w:p w:rsidR="000B3A3C" w:rsidRDefault="00D06975" w:rsidP="00D06975">
      <w:pPr>
        <w:pStyle w:val="Prrafodelista"/>
        <w:numPr>
          <w:ilvl w:val="0"/>
          <w:numId w:val="9"/>
        </w:numPr>
      </w:pPr>
      <w:r>
        <w:t xml:space="preserve">No aplica para este Fideicomiso. </w:t>
      </w:r>
    </w:p>
    <w:p w:rsidR="000B3A3C" w:rsidRDefault="000B3A3C"/>
    <w:p w:rsidR="000B3A3C" w:rsidRDefault="000B3A3C"/>
    <w:p w:rsidR="000B3A3C" w:rsidRDefault="000B3A3C"/>
    <w:p w:rsidR="000B3A3C" w:rsidRDefault="000B3A3C"/>
    <w:p w:rsidR="000B3A3C" w:rsidRDefault="00F10FB9">
      <w:r>
        <w:rPr>
          <w:noProof/>
          <w:lang w:eastAsia="es-MX"/>
        </w:rPr>
        <w:pict>
          <v:shape id="_x0000_s1067" type="#_x0000_t75" style="position:absolute;margin-left:-33.95pt;margin-top:26.45pt;width:842.45pt;height:69.3pt;z-index:251673600">
            <v:imagedata r:id="rId23" o:title=""/>
            <w10:wrap type="topAndBottom"/>
          </v:shape>
          <o:OLEObject Type="Embed" ProgID="Excel.Sheet.12" ShapeID="_x0000_s1067" DrawAspect="Content" ObjectID="_1505731612" r:id="rId24"/>
        </w:pict>
      </w:r>
    </w:p>
    <w:p w:rsidR="000B3A3C" w:rsidRDefault="000B3A3C"/>
    <w:p w:rsidR="000B3A3C" w:rsidRDefault="000B3A3C"/>
    <w:p w:rsidR="000B3A3C" w:rsidRDefault="000B3A3C"/>
    <w:p w:rsidR="000B3A3C" w:rsidRDefault="000B3A3C"/>
    <w:p w:rsidR="00D06975" w:rsidRDefault="00D06975"/>
    <w:p w:rsidR="00D06975" w:rsidRDefault="00D06975"/>
    <w:p w:rsidR="003B4937" w:rsidRDefault="003B4937"/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lastRenderedPageBreak/>
        <w:t>NOTAS A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a) NOTAS DE DESGLOSE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Activo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706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Se tiene un saldo al 31 de diciembre de 2014 de $ 887,720 mismo que será utilizado para dar más financiamiento en créditos a proyectos productivos a corto plazo.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 xml:space="preserve">Derechos a recibir Efectivo y Equivalentes y Bienes o Servicios a Recibir. 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</w:t>
      </w:r>
      <w:r w:rsidRPr="00746FC8">
        <w:rPr>
          <w:rFonts w:ascii="Arial" w:eastAsia="Times New Roman" w:hAnsi="Arial" w:cs="Arial"/>
          <w:sz w:val="18"/>
          <w:szCs w:val="18"/>
          <w:lang w:eastAsia="es-ES"/>
        </w:rPr>
        <w:t xml:space="preserve">saldo de </w:t>
      </w:r>
      <w:r w:rsidR="00746FC8" w:rsidRPr="00746FC8">
        <w:rPr>
          <w:rFonts w:ascii="Arial" w:eastAsia="Times New Roman" w:hAnsi="Arial" w:cs="Arial"/>
          <w:sz w:val="18"/>
          <w:szCs w:val="18"/>
          <w:lang w:eastAsia="es-ES"/>
        </w:rPr>
        <w:t>$341</w:t>
      </w:r>
      <w:r w:rsidR="00746FC8">
        <w:rPr>
          <w:rFonts w:ascii="Arial" w:eastAsia="Times New Roman" w:hAnsi="Arial" w:cs="Arial"/>
          <w:sz w:val="18"/>
          <w:szCs w:val="18"/>
          <w:lang w:eastAsia="es-ES"/>
        </w:rPr>
        <w:t>,887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mismo que se encuentra pendiente de </w:t>
      </w:r>
      <w:r>
        <w:rPr>
          <w:rFonts w:ascii="Arial" w:eastAsia="Times New Roman" w:hAnsi="Arial" w:cs="Arial"/>
          <w:sz w:val="18"/>
          <w:szCs w:val="18"/>
          <w:lang w:eastAsia="es-ES"/>
        </w:rPr>
        <w:t>cobro al 31 de diciembre de 2015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Todos los créditos financiados por éste Fideicomiso con vencimiento menor o igual a 365 días.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Estimaciones y Deterioros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:rsidR="00AB797A" w:rsidRPr="00AB797A" w:rsidRDefault="00746FC8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46FC8">
        <w:rPr>
          <w:rFonts w:ascii="Arial" w:eastAsia="Times New Roman" w:hAnsi="Arial" w:cs="Arial"/>
          <w:b/>
          <w:sz w:val="18"/>
          <w:szCs w:val="18"/>
          <w:lang w:eastAsia="es-ES"/>
        </w:rPr>
        <w:t>I)</w:t>
      </w:r>
      <w:r w:rsidR="00AB797A"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No aplica para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72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Se tiene un monto total en Ingresos de tipo corri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ente por una cantidad de $ </w:t>
      </w:r>
      <w:r w:rsidR="000E3C92" w:rsidRPr="000E3C92">
        <w:rPr>
          <w:rFonts w:ascii="Arial" w:eastAsia="Times New Roman" w:hAnsi="Arial" w:cs="Arial"/>
          <w:sz w:val="18"/>
          <w:szCs w:val="18"/>
          <w:lang w:eastAsia="es-ES"/>
        </w:rPr>
        <w:t>20,572</w:t>
      </w:r>
      <w:r w:rsidR="002501A3"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 d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>e ingresos financieros por un monto total de $</w:t>
      </w:r>
      <w:r w:rsidR="000E3C92"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 18,350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746FC8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    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="00AB797A"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Los  Movimientos al Resultado de Ejercicios Anteriores por Ajustes y  Reclasificaciones.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0E3C92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0E3C92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ab/>
        <w:t>Se ti</w:t>
      </w:r>
      <w:r w:rsidR="000E3C92" w:rsidRPr="000E3C92">
        <w:rPr>
          <w:rFonts w:ascii="Arial" w:eastAsia="Times New Roman" w:hAnsi="Arial" w:cs="Arial"/>
          <w:sz w:val="18"/>
          <w:szCs w:val="18"/>
          <w:lang w:eastAsia="es-ES"/>
        </w:rPr>
        <w:t>ene un patrimonio generado de 1, 279,055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0E3C92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ab/>
        <w:t>La procedencia de los recursos es por intereses normales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e intereses moratorios generados por los acreditados de éste Fideicomiso.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lastRenderedPageBreak/>
        <w:t>IV)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 xml:space="preserve">Notas al Estado de Flujos de Efectivo </w:t>
      </w: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:rsidR="00AB797A" w:rsidRPr="00AB797A" w:rsidRDefault="00AB797A" w:rsidP="00AB797A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2014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0E3C92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503,622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AB797A" w:rsidRPr="00AB797A" w:rsidTr="00A75A9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AB797A" w:rsidRDefault="00AB797A" w:rsidP="00AB797A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0E3C92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503,622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7A" w:rsidRPr="000E3C92" w:rsidRDefault="00AB797A" w:rsidP="00AB797A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887,720</w:t>
            </w:r>
          </w:p>
        </w:tc>
      </w:tr>
    </w:tbl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 contables, así como entre los egresos presupuestarios y los gastos contables</w:t>
      </w: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b)</w:t>
      </w:r>
      <w:r w:rsidR="00C92BC2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 xml:space="preserve"> 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NOTAS DE MEMORIA (CUENTAS DE ORDEN)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c) NOTAS DE GESTIÓN ADMINISTRATIVA</w:t>
      </w:r>
    </w:p>
    <w:p w:rsidR="00AB797A" w:rsidRPr="00AB797A" w:rsidRDefault="00AB797A" w:rsidP="00AB797A">
      <w:pPr>
        <w:spacing w:after="0" w:line="240" w:lineRule="exact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Introducción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Panorama Económico y Financiero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D06975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D06975">
        <w:rPr>
          <w:rFonts w:ascii="Arial" w:eastAsia="Times New Roman" w:hAnsi="Arial" w:cs="Times New Roman"/>
          <w:b/>
          <w:sz w:val="18"/>
          <w:szCs w:val="18"/>
          <w:lang w:eastAsia="es-ES"/>
        </w:rPr>
        <w:t>Autorización e Historia</w:t>
      </w:r>
    </w:p>
    <w:p w:rsidR="00746FC8" w:rsidRPr="00D06975" w:rsidRDefault="00746FC8" w:rsidP="00746FC8">
      <w:pPr>
        <w:pStyle w:val="Prrafodelista"/>
        <w:spacing w:after="0" w:line="240" w:lineRule="exact"/>
        <w:ind w:left="64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4D3E56" w:rsidRDefault="00AB797A" w:rsidP="00D06975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4D3E56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Fecha de creación del ente.   29 de Octubre de 1999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Principales cambios en su estructura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.  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tiene estructura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Organización y Objeto Social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Objeto social. Fortalecer la infraestructura y la prestación de servicios de los Sectores Público, Social e Iniciativa Privada, en diversos proyectos de inversión públicos o privados.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 actividad. Otorgar créditos a proyectos productivos para actividades Turísticas únicamente.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Ejercicio fiscal  201</w:t>
      </w:r>
      <w:r w:rsidR="002501A3">
        <w:rPr>
          <w:rFonts w:ascii="Arial" w:eastAsia="Times New Roman" w:hAnsi="Arial" w:cs="Arial"/>
          <w:sz w:val="18"/>
          <w:szCs w:val="18"/>
          <w:lang w:val="es-ES" w:eastAsia="es-ES"/>
        </w:rPr>
        <w:t>5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Régimen jurídico. Fideicomiso 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Bases de Preparación de los Estados Financieros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Si se ha observado la normatividad emitida por el CONAC y las disposiciones legales aplicables.  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>Si se ha observado la normatividad del CONAC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Postulados básicos.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Normatividad supletoria. En caso de emplear varios grupos de normatividades (normatividades supletorias), deberá realizar la justificación razonable correspondiente.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e)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Para las entidades que por primera vez estén implementando la base devengado de acuerdo a la Ley de Contabilidad, deberán: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las nuevas políticas de reconocimiento;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Su plan de implementación;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los cambios en las políticas, la clasificación y medición de las mismas, así como su impacto en la información financiera.</w:t>
      </w:r>
    </w:p>
    <w:p w:rsidR="00AB797A" w:rsidRPr="00AB797A" w:rsidRDefault="00C92BC2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 xml:space="preserve">Presentar los últimos estados financieros con la normatividad anteriormente utilizada con las nuevas políticas para fines de comparación en la transición a la base </w:t>
      </w:r>
      <w:proofErr w:type="gramStart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devengado</w:t>
      </w:r>
      <w:proofErr w:type="gramEnd"/>
      <w:r w:rsidR="00AB797A"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.</w:t>
      </w:r>
    </w:p>
    <w:p w:rsidR="00AB797A" w:rsidRPr="00AB797A" w:rsidRDefault="00AB797A" w:rsidP="00AB797A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C92BC2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Políticas de Contabilidad Significativas</w:t>
      </w:r>
    </w:p>
    <w:p w:rsidR="00746FC8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-</w:t>
      </w: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    </w:t>
      </w:r>
      <w:r w:rsidR="00746FC8"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RECLASIFICACIONES</w:t>
      </w:r>
      <w:r w:rsidR="00746FC8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: Se realizaran las reclasificaciones necesarias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con finalidad de reflejar la contabilidad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>.</w:t>
      </w:r>
    </w:p>
    <w:p w:rsidR="00C92BC2" w:rsidRPr="00C92BC2" w:rsidRDefault="00C92BC2" w:rsidP="00C92BC2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-      </w:t>
      </w:r>
      <w:r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REGISTROS: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Se podrán cancelar los saldos, de aquellos que cuentan con un importe menor a $1.00 </w:t>
      </w:r>
    </w:p>
    <w:p w:rsidR="00AB797A" w:rsidRPr="00C92BC2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7.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Posición en Moneda Extranjera y Protección por Riesgo Cambiario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8.     Reporte Analítico del Activo</w:t>
      </w:r>
    </w:p>
    <w:p w:rsid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9.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Fideicomisos, Mandatos y Análogos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       No aplica para éste Fideicomiso.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06975" w:rsidRDefault="00D06975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lastRenderedPageBreak/>
        <w:t>10.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Reporte de la Recaudación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aplica para éste Fideicomiso.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sobre la Deuda y el Reporte Analítico de la Deuda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.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12. Calificaciones otorgadas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13.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Proceso de Mejora     </w:t>
      </w:r>
    </w:p>
    <w:p w:rsidR="00AB797A" w:rsidRPr="00C92BC2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Información por Segmentos 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Eventos Posteriores al Cierre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C92BC2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Partes Relacionadas  </w:t>
      </w:r>
    </w:p>
    <w:p w:rsidR="00AB797A" w:rsidRPr="00AB797A" w:rsidRDefault="00C92BC2" w:rsidP="00AB797A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="00AB797A"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="00AB797A"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17.</w:t>
      </w: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Responsabilidad Sobre la Presentación Razonable de la Información Contable</w: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F10FB9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pict>
          <v:shape id="_x0000_s1061" type="#_x0000_t75" style="position:absolute;left:0;text-align:left;margin-left:-44.5pt;margin-top:18.7pt;width:832.2pt;height:68.5pt;z-index:251672576">
            <v:imagedata r:id="rId25" o:title=""/>
            <w10:wrap type="topAndBottom"/>
          </v:shape>
          <o:OLEObject Type="Embed" ProgID="Excel.Sheet.12" ShapeID="_x0000_s1061" DrawAspect="Content" ObjectID="_1505731613" r:id="rId26"/>
        </w:pict>
      </w:r>
    </w:p>
    <w:p w:rsidR="00AB797A" w:rsidRPr="00AB797A" w:rsidRDefault="00AB797A" w:rsidP="00AB7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AB797A" w:rsidRPr="00AB797A" w:rsidRDefault="00AB797A" w:rsidP="00AB797A">
      <w:pPr>
        <w:tabs>
          <w:tab w:val="left" w:pos="2430"/>
        </w:tabs>
        <w:jc w:val="center"/>
        <w:rPr>
          <w:rFonts w:ascii="Calibri" w:eastAsia="Calibri" w:hAnsi="Calibri" w:cs="Times New Roman"/>
          <w:lang w:val="es-ES"/>
        </w:rPr>
      </w:pPr>
    </w:p>
    <w:p w:rsidR="00540418" w:rsidRPr="00AB797A" w:rsidRDefault="00540418">
      <w:pPr>
        <w:rPr>
          <w:rFonts w:ascii="Soberana Sans Light" w:hAnsi="Soberana Sans Light"/>
          <w:lang w:val="es-ES"/>
        </w:rPr>
      </w:pPr>
    </w:p>
    <w:p w:rsidR="00AB797A" w:rsidRDefault="00AB797A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sectPr w:rsidR="00AB797A" w:rsidSect="003B4937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53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B9" w:rsidRDefault="00F10FB9" w:rsidP="00EA5418">
      <w:pPr>
        <w:spacing w:after="0" w:line="240" w:lineRule="auto"/>
      </w:pPr>
      <w:r>
        <w:separator/>
      </w:r>
    </w:p>
  </w:endnote>
  <w:endnote w:type="continuationSeparator" w:id="0">
    <w:p w:rsidR="00F10FB9" w:rsidRDefault="00F10F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F10F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BE046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169DE" w:rsidRPr="0013011C">
          <w:rPr>
            <w:rFonts w:ascii="Soberana Sans Light" w:hAnsi="Soberana Sans Light"/>
          </w:rPr>
          <w:fldChar w:fldCharType="begin"/>
        </w:r>
        <w:r w:rsidR="00BE046B" w:rsidRPr="0013011C">
          <w:rPr>
            <w:rFonts w:ascii="Soberana Sans Light" w:hAnsi="Soberana Sans Light"/>
          </w:rPr>
          <w:instrText>PAGE   \* MERGEFORMAT</w:instrText>
        </w:r>
        <w:r w:rsidR="003169DE" w:rsidRPr="0013011C">
          <w:rPr>
            <w:rFonts w:ascii="Soberana Sans Light" w:hAnsi="Soberana Sans Light"/>
          </w:rPr>
          <w:fldChar w:fldCharType="separate"/>
        </w:r>
        <w:r w:rsidR="00857EE2" w:rsidRPr="00857EE2">
          <w:rPr>
            <w:rFonts w:ascii="Soberana Sans Light" w:hAnsi="Soberana Sans Light"/>
            <w:noProof/>
            <w:lang w:val="es-ES"/>
          </w:rPr>
          <w:t>12</w:t>
        </w:r>
        <w:r w:rsidR="003169DE" w:rsidRPr="0013011C">
          <w:rPr>
            <w:rFonts w:ascii="Soberana Sans Light" w:hAnsi="Soberana Sans Light"/>
          </w:rPr>
          <w:fldChar w:fldCharType="end"/>
        </w:r>
      </w:sdtContent>
    </w:sdt>
  </w:p>
  <w:p w:rsidR="00BE046B" w:rsidRDefault="00BE04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8E3652" w:rsidRDefault="00F10F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E046B" w:rsidRPr="008E3652">
          <w:rPr>
            <w:rFonts w:ascii="Soberana Sans Light" w:hAnsi="Soberana Sans Light"/>
          </w:rPr>
          <w:t xml:space="preserve">/ </w:t>
        </w:r>
        <w:r w:rsidR="003169DE" w:rsidRPr="008E3652">
          <w:rPr>
            <w:rFonts w:ascii="Soberana Sans Light" w:hAnsi="Soberana Sans Light"/>
          </w:rPr>
          <w:fldChar w:fldCharType="begin"/>
        </w:r>
        <w:r w:rsidR="00BE046B" w:rsidRPr="008E3652">
          <w:rPr>
            <w:rFonts w:ascii="Soberana Sans Light" w:hAnsi="Soberana Sans Light"/>
          </w:rPr>
          <w:instrText>PAGE   \* MERGEFORMAT</w:instrText>
        </w:r>
        <w:r w:rsidR="003169DE" w:rsidRPr="008E3652">
          <w:rPr>
            <w:rFonts w:ascii="Soberana Sans Light" w:hAnsi="Soberana Sans Light"/>
          </w:rPr>
          <w:fldChar w:fldCharType="separate"/>
        </w:r>
        <w:r w:rsidR="00857EE2" w:rsidRPr="00857EE2">
          <w:rPr>
            <w:rFonts w:ascii="Soberana Sans Light" w:hAnsi="Soberana Sans Light"/>
            <w:noProof/>
            <w:lang w:val="es-ES"/>
          </w:rPr>
          <w:t>11</w:t>
        </w:r>
        <w:r w:rsidR="00316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B9" w:rsidRDefault="00F10FB9" w:rsidP="00EA5418">
      <w:pPr>
        <w:spacing w:after="0" w:line="240" w:lineRule="auto"/>
      </w:pPr>
      <w:r>
        <w:separator/>
      </w:r>
    </w:p>
  </w:footnote>
  <w:footnote w:type="continuationSeparator" w:id="0">
    <w:p w:rsidR="00F10FB9" w:rsidRDefault="00F10F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Default="00F10FB9">
    <w:pPr>
      <w:pStyle w:val="Encabezado"/>
    </w:pPr>
    <w:r>
      <w:rPr>
        <w:noProof/>
        <w:lang w:eastAsia="es-MX"/>
      </w:rPr>
      <w:pict>
        <v:group id="6 Grupo" o:spid="_x0000_s2053" style="position:absolute;margin-left:151.5pt;margin-top:-27.1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E046B" w:rsidRDefault="00BE046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E046B" w:rsidRDefault="00BE046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E046B" w:rsidRPr="00275FC6" w:rsidRDefault="00BE046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A016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BE046B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E046B" w:rsidRPr="00275FC6" w:rsidRDefault="00BE04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16.05pt" to="736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6B" w:rsidRPr="0013011C" w:rsidRDefault="00F10F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BE046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8D040E"/>
    <w:multiLevelType w:val="hybridMultilevel"/>
    <w:tmpl w:val="002A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7153EB"/>
    <w:multiLevelType w:val="hybridMultilevel"/>
    <w:tmpl w:val="3DA655C6"/>
    <w:lvl w:ilvl="0" w:tplc="D7CAE36A">
      <w:start w:val="1"/>
      <w:numFmt w:val="bullet"/>
      <w:lvlText w:val="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00579"/>
    <w:multiLevelType w:val="hybridMultilevel"/>
    <w:tmpl w:val="5CE409AE"/>
    <w:lvl w:ilvl="0" w:tplc="D7CAE36A">
      <w:start w:val="1"/>
      <w:numFmt w:val="bullet"/>
      <w:lvlText w:val=""/>
      <w:lvlJc w:val="left"/>
      <w:pPr>
        <w:ind w:left="1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BE7"/>
    <w:rsid w:val="00040466"/>
    <w:rsid w:val="00045A10"/>
    <w:rsid w:val="000836A7"/>
    <w:rsid w:val="00083D4D"/>
    <w:rsid w:val="00085B4E"/>
    <w:rsid w:val="000A0FA7"/>
    <w:rsid w:val="000B3A3C"/>
    <w:rsid w:val="000E3C92"/>
    <w:rsid w:val="0013011C"/>
    <w:rsid w:val="00133C54"/>
    <w:rsid w:val="00142033"/>
    <w:rsid w:val="00144AB0"/>
    <w:rsid w:val="00157BBA"/>
    <w:rsid w:val="001650E7"/>
    <w:rsid w:val="00165BB4"/>
    <w:rsid w:val="00181F8D"/>
    <w:rsid w:val="001864F9"/>
    <w:rsid w:val="00190D15"/>
    <w:rsid w:val="001919AC"/>
    <w:rsid w:val="001B166F"/>
    <w:rsid w:val="001B1B72"/>
    <w:rsid w:val="001C6FD8"/>
    <w:rsid w:val="001C78D8"/>
    <w:rsid w:val="001E7072"/>
    <w:rsid w:val="001F679F"/>
    <w:rsid w:val="00204C86"/>
    <w:rsid w:val="00215A0F"/>
    <w:rsid w:val="002501A3"/>
    <w:rsid w:val="00264426"/>
    <w:rsid w:val="00267CBF"/>
    <w:rsid w:val="002709C7"/>
    <w:rsid w:val="002A70B3"/>
    <w:rsid w:val="002B4458"/>
    <w:rsid w:val="002C1922"/>
    <w:rsid w:val="002C3132"/>
    <w:rsid w:val="003164D4"/>
    <w:rsid w:val="003169DE"/>
    <w:rsid w:val="00340731"/>
    <w:rsid w:val="00352732"/>
    <w:rsid w:val="00366D6A"/>
    <w:rsid w:val="00372F40"/>
    <w:rsid w:val="00396C2B"/>
    <w:rsid w:val="003A0169"/>
    <w:rsid w:val="003A0303"/>
    <w:rsid w:val="003B1002"/>
    <w:rsid w:val="003B4937"/>
    <w:rsid w:val="003D5DBF"/>
    <w:rsid w:val="003E7FD0"/>
    <w:rsid w:val="003F0EA4"/>
    <w:rsid w:val="004311BE"/>
    <w:rsid w:val="0044253C"/>
    <w:rsid w:val="004714CF"/>
    <w:rsid w:val="00484C0D"/>
    <w:rsid w:val="004917D5"/>
    <w:rsid w:val="00497D8B"/>
    <w:rsid w:val="004A706F"/>
    <w:rsid w:val="004C1B18"/>
    <w:rsid w:val="004D26F8"/>
    <w:rsid w:val="004D3E56"/>
    <w:rsid w:val="004D41B8"/>
    <w:rsid w:val="004E070B"/>
    <w:rsid w:val="004F5641"/>
    <w:rsid w:val="00522632"/>
    <w:rsid w:val="00522EF3"/>
    <w:rsid w:val="00540418"/>
    <w:rsid w:val="00541764"/>
    <w:rsid w:val="00574266"/>
    <w:rsid w:val="00575B8F"/>
    <w:rsid w:val="005B4DFA"/>
    <w:rsid w:val="005B7DA7"/>
    <w:rsid w:val="005D3D25"/>
    <w:rsid w:val="0060677A"/>
    <w:rsid w:val="00615B52"/>
    <w:rsid w:val="0065292B"/>
    <w:rsid w:val="00664FB0"/>
    <w:rsid w:val="00665F32"/>
    <w:rsid w:val="00686ADF"/>
    <w:rsid w:val="006945D8"/>
    <w:rsid w:val="006A1FF3"/>
    <w:rsid w:val="006B1FE7"/>
    <w:rsid w:val="006C2B08"/>
    <w:rsid w:val="006E546D"/>
    <w:rsid w:val="006E77DD"/>
    <w:rsid w:val="006F593E"/>
    <w:rsid w:val="00735686"/>
    <w:rsid w:val="0074102F"/>
    <w:rsid w:val="00746FC8"/>
    <w:rsid w:val="00765BE7"/>
    <w:rsid w:val="00784F75"/>
    <w:rsid w:val="00791044"/>
    <w:rsid w:val="0079582C"/>
    <w:rsid w:val="007B0A4F"/>
    <w:rsid w:val="007B2DE0"/>
    <w:rsid w:val="007D30CE"/>
    <w:rsid w:val="007D6E9A"/>
    <w:rsid w:val="00811DAC"/>
    <w:rsid w:val="00823B85"/>
    <w:rsid w:val="00840885"/>
    <w:rsid w:val="00841338"/>
    <w:rsid w:val="00857EE2"/>
    <w:rsid w:val="00873C1E"/>
    <w:rsid w:val="00880B90"/>
    <w:rsid w:val="008903A9"/>
    <w:rsid w:val="008903F8"/>
    <w:rsid w:val="0089054E"/>
    <w:rsid w:val="00896BCA"/>
    <w:rsid w:val="008A32B0"/>
    <w:rsid w:val="008A6E4D"/>
    <w:rsid w:val="008A793D"/>
    <w:rsid w:val="008B0017"/>
    <w:rsid w:val="008B4469"/>
    <w:rsid w:val="008C5001"/>
    <w:rsid w:val="008D0779"/>
    <w:rsid w:val="008E2D13"/>
    <w:rsid w:val="008E3652"/>
    <w:rsid w:val="008E688B"/>
    <w:rsid w:val="008F6D58"/>
    <w:rsid w:val="008F7171"/>
    <w:rsid w:val="0092347F"/>
    <w:rsid w:val="00923FAD"/>
    <w:rsid w:val="0093492C"/>
    <w:rsid w:val="0094701A"/>
    <w:rsid w:val="00951FC9"/>
    <w:rsid w:val="009537A6"/>
    <w:rsid w:val="00957043"/>
    <w:rsid w:val="009707F0"/>
    <w:rsid w:val="009D249A"/>
    <w:rsid w:val="009D3E9F"/>
    <w:rsid w:val="009D5D4C"/>
    <w:rsid w:val="009E191B"/>
    <w:rsid w:val="009E305B"/>
    <w:rsid w:val="009F0A04"/>
    <w:rsid w:val="009F23C4"/>
    <w:rsid w:val="00A06C14"/>
    <w:rsid w:val="00A13084"/>
    <w:rsid w:val="00A258B4"/>
    <w:rsid w:val="00A25FAB"/>
    <w:rsid w:val="00A32E65"/>
    <w:rsid w:val="00A363B6"/>
    <w:rsid w:val="00A37954"/>
    <w:rsid w:val="00A46BF5"/>
    <w:rsid w:val="00A60E67"/>
    <w:rsid w:val="00A641A3"/>
    <w:rsid w:val="00A66E31"/>
    <w:rsid w:val="00A80A89"/>
    <w:rsid w:val="00A81A2F"/>
    <w:rsid w:val="00A829D4"/>
    <w:rsid w:val="00AB175B"/>
    <w:rsid w:val="00AB797A"/>
    <w:rsid w:val="00AF0548"/>
    <w:rsid w:val="00B02ADF"/>
    <w:rsid w:val="00B04FE0"/>
    <w:rsid w:val="00B146E2"/>
    <w:rsid w:val="00B25848"/>
    <w:rsid w:val="00B34423"/>
    <w:rsid w:val="00B37AF6"/>
    <w:rsid w:val="00B8423E"/>
    <w:rsid w:val="00B849EE"/>
    <w:rsid w:val="00B84D02"/>
    <w:rsid w:val="00B87D4D"/>
    <w:rsid w:val="00B96BE2"/>
    <w:rsid w:val="00BA2940"/>
    <w:rsid w:val="00BE046B"/>
    <w:rsid w:val="00BF35A8"/>
    <w:rsid w:val="00C114F1"/>
    <w:rsid w:val="00C16E53"/>
    <w:rsid w:val="00C176BB"/>
    <w:rsid w:val="00C1776E"/>
    <w:rsid w:val="00C25E16"/>
    <w:rsid w:val="00C431B4"/>
    <w:rsid w:val="00C46AFD"/>
    <w:rsid w:val="00C86C59"/>
    <w:rsid w:val="00C91C5A"/>
    <w:rsid w:val="00C92BC2"/>
    <w:rsid w:val="00C930D4"/>
    <w:rsid w:val="00C957D5"/>
    <w:rsid w:val="00CA43E9"/>
    <w:rsid w:val="00CC46BD"/>
    <w:rsid w:val="00CD244B"/>
    <w:rsid w:val="00CD332A"/>
    <w:rsid w:val="00CD6D9A"/>
    <w:rsid w:val="00CE137F"/>
    <w:rsid w:val="00CE44D7"/>
    <w:rsid w:val="00CE4658"/>
    <w:rsid w:val="00CE5A14"/>
    <w:rsid w:val="00CF6F3A"/>
    <w:rsid w:val="00D00E92"/>
    <w:rsid w:val="00D055EC"/>
    <w:rsid w:val="00D06975"/>
    <w:rsid w:val="00D22DE3"/>
    <w:rsid w:val="00D44728"/>
    <w:rsid w:val="00D47E20"/>
    <w:rsid w:val="00D562FF"/>
    <w:rsid w:val="00D648F5"/>
    <w:rsid w:val="00D82B7A"/>
    <w:rsid w:val="00DC6C64"/>
    <w:rsid w:val="00DF56C9"/>
    <w:rsid w:val="00DF5A51"/>
    <w:rsid w:val="00E30318"/>
    <w:rsid w:val="00E32708"/>
    <w:rsid w:val="00E44CE9"/>
    <w:rsid w:val="00E56D99"/>
    <w:rsid w:val="00EA5418"/>
    <w:rsid w:val="00EE46FB"/>
    <w:rsid w:val="00F10FB9"/>
    <w:rsid w:val="00F17C0D"/>
    <w:rsid w:val="00F6594F"/>
    <w:rsid w:val="00F755D0"/>
    <w:rsid w:val="00FA27E1"/>
    <w:rsid w:val="00FB1010"/>
    <w:rsid w:val="00FB1CC0"/>
    <w:rsid w:val="00FC0E67"/>
    <w:rsid w:val="00FD5A63"/>
    <w:rsid w:val="00FD5F34"/>
    <w:rsid w:val="00FE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9AAA-6EF1-4810-BC07-B53BDA62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 RH</cp:lastModifiedBy>
  <cp:revision>116</cp:revision>
  <cp:lastPrinted>2015-07-22T20:47:00Z</cp:lastPrinted>
  <dcterms:created xsi:type="dcterms:W3CDTF">2014-08-29T13:13:00Z</dcterms:created>
  <dcterms:modified xsi:type="dcterms:W3CDTF">2015-10-07T18:59:00Z</dcterms:modified>
</cp:coreProperties>
</file>