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040" w:type="dxa"/>
        <w:tblCellMar>
          <w:left w:w="70" w:type="dxa"/>
          <w:right w:w="70" w:type="dxa"/>
        </w:tblCellMar>
        <w:tblLook w:val="04A0" w:firstRow="1" w:lastRow="0" w:firstColumn="1" w:lastColumn="0" w:noHBand="0" w:noVBand="1"/>
      </w:tblPr>
      <w:tblGrid>
        <w:gridCol w:w="17040"/>
      </w:tblGrid>
      <w:tr w:rsidR="00907005" w:rsidRPr="005D1E77" w14:paraId="793EAE46" w14:textId="77777777" w:rsidTr="005D09BB">
        <w:trPr>
          <w:trHeight w:val="285"/>
        </w:trPr>
        <w:tc>
          <w:tcPr>
            <w:tcW w:w="17040" w:type="dxa"/>
            <w:tcBorders>
              <w:top w:val="nil"/>
              <w:left w:val="nil"/>
              <w:bottom w:val="nil"/>
              <w:right w:val="nil"/>
            </w:tcBorders>
            <w:shd w:val="clear" w:color="000000" w:fill="FFFFFF"/>
            <w:noWrap/>
            <w:vAlign w:val="center"/>
          </w:tcPr>
          <w:p w14:paraId="50F8F0E7" w14:textId="0F27759B" w:rsidR="00907005" w:rsidRPr="005D1E77" w:rsidRDefault="00907005" w:rsidP="004F1847">
            <w:pPr>
              <w:spacing w:after="0" w:line="240" w:lineRule="atLeast"/>
              <w:rPr>
                <w:rFonts w:ascii="Arial Narrow" w:eastAsia="Times New Roman" w:hAnsi="Arial Narrow" w:cs="Arial"/>
                <w:b/>
                <w:bCs/>
                <w:color w:val="000000" w:themeColor="text1"/>
                <w:sz w:val="16"/>
                <w:szCs w:val="16"/>
                <w:lang w:eastAsia="es-MX"/>
              </w:rPr>
            </w:pPr>
          </w:p>
        </w:tc>
      </w:tr>
    </w:tbl>
    <w:p w14:paraId="74B0A3E5" w14:textId="5AE2999F" w:rsidR="005D09BB" w:rsidRPr="005D1E77" w:rsidRDefault="004938CF" w:rsidP="00907005">
      <w:pPr>
        <w:rPr>
          <w:rFonts w:ascii="Arial Narrow" w:hAnsi="Arial Narrow"/>
          <w:b/>
          <w:sz w:val="20"/>
          <w:szCs w:val="20"/>
        </w:rPr>
      </w:pPr>
      <w:r>
        <w:rPr>
          <w:rFonts w:ascii="Arial Narrow" w:hAnsi="Arial Narrow"/>
          <w:noProof/>
        </w:rPr>
        <w:object w:dxaOrig="1440" w:dyaOrig="1440" w14:anchorId="77564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6.65pt;margin-top:-15.75pt;width:728.95pt;height:252.85pt;z-index:251661312;mso-position-horizontal-relative:text;mso-position-vertical-relative:text">
            <v:imagedata r:id="rId8" o:title=""/>
            <w10:wrap type="square" side="left"/>
          </v:shape>
          <o:OLEObject Type="Embed" ProgID="Excel.Sheet.12" ShapeID="_x0000_s1072" DrawAspect="Content" ObjectID="_1671616497" r:id="rId9"/>
        </w:object>
      </w:r>
      <w:r w:rsidR="00E47C1F" w:rsidRPr="005D1E77">
        <w:rPr>
          <w:rFonts w:ascii="Arial Narrow" w:hAnsi="Arial Narrow"/>
        </w:rPr>
        <w:t xml:space="preserve">                    </w:t>
      </w:r>
      <w:r w:rsidR="00907005" w:rsidRPr="005D1E77">
        <w:rPr>
          <w:rFonts w:ascii="Arial Narrow" w:hAnsi="Arial Narrow"/>
        </w:rPr>
        <w:t xml:space="preserve"> </w:t>
      </w:r>
    </w:p>
    <w:bookmarkStart w:id="0" w:name="_MON_1470805999"/>
    <w:bookmarkEnd w:id="0"/>
    <w:p w14:paraId="378C7AC2" w14:textId="2EF5C385" w:rsidR="00CA079F" w:rsidRPr="005D1E77" w:rsidRDefault="00E43FDD" w:rsidP="00CA079F">
      <w:pPr>
        <w:tabs>
          <w:tab w:val="left" w:pos="4395"/>
        </w:tabs>
        <w:jc w:val="center"/>
        <w:rPr>
          <w:rFonts w:ascii="Arial Narrow" w:hAnsi="Arial Narrow"/>
        </w:rPr>
      </w:pPr>
      <w:r w:rsidRPr="005D1E77">
        <w:rPr>
          <w:rFonts w:ascii="Arial Narrow" w:hAnsi="Arial Narrow"/>
        </w:rPr>
        <w:object w:dxaOrig="25153" w:dyaOrig="18802" w14:anchorId="4311C482">
          <v:shape id="_x0000_i1026" type="#_x0000_t75" style="width:700.75pt;height:454.95pt" o:ole="">
            <v:imagedata r:id="rId10" o:title=""/>
          </v:shape>
          <o:OLEObject Type="Embed" ProgID="Excel.Sheet.12" ShapeID="_x0000_i1026" DrawAspect="Content" ObjectID="_1671616495" r:id="rId11"/>
        </w:object>
      </w:r>
    </w:p>
    <w:bookmarkStart w:id="1" w:name="_MON_1470806992"/>
    <w:bookmarkEnd w:id="1"/>
    <w:p w14:paraId="234E33FA" w14:textId="4E4ADD66" w:rsidR="00372F40" w:rsidRPr="005D1E77" w:rsidRDefault="00E43FDD" w:rsidP="00FE68D2">
      <w:pPr>
        <w:tabs>
          <w:tab w:val="left" w:pos="3969"/>
          <w:tab w:val="left" w:pos="4111"/>
        </w:tabs>
        <w:rPr>
          <w:rFonts w:ascii="Arial Narrow" w:hAnsi="Arial Narrow"/>
        </w:rPr>
      </w:pPr>
      <w:r w:rsidRPr="005D1E77">
        <w:rPr>
          <w:rFonts w:ascii="Arial Narrow" w:hAnsi="Arial Narrow"/>
        </w:rPr>
        <w:object w:dxaOrig="21993" w:dyaOrig="15398" w14:anchorId="1BAC991A">
          <v:shape id="_x0000_i1027" type="#_x0000_t75" style="width:697.05pt;height:468.25pt" o:ole="">
            <v:imagedata r:id="rId12" o:title=""/>
          </v:shape>
          <o:OLEObject Type="Embed" ProgID="Excel.Sheet.12" ShapeID="_x0000_i1027" DrawAspect="Content" ObjectID="_1671616496" r:id="rId13"/>
        </w:object>
      </w:r>
      <w:r w:rsidR="00CA079F" w:rsidRPr="005D1E77">
        <w:rPr>
          <w:rFonts w:ascii="Arial Narrow" w:hAnsi="Arial Narrow"/>
        </w:rPr>
        <w:br w:type="textWrapping" w:clear="all"/>
      </w:r>
    </w:p>
    <w:p w14:paraId="1E142908" w14:textId="2686311B" w:rsidR="00915C32" w:rsidRDefault="004938CF" w:rsidP="00A40EC4">
      <w:pPr>
        <w:tabs>
          <w:tab w:val="left" w:pos="2430"/>
        </w:tabs>
        <w:rPr>
          <w:rFonts w:ascii="Arial Narrow" w:hAnsi="Arial Narrow"/>
        </w:rPr>
      </w:pPr>
      <w:r>
        <w:rPr>
          <w:rFonts w:ascii="Arial Narrow" w:hAnsi="Arial Narrow"/>
          <w:noProof/>
        </w:rPr>
        <w:object w:dxaOrig="1440" w:dyaOrig="1440" w14:anchorId="706A158A">
          <v:shape id="_x0000_s1062" type="#_x0000_t75" style="position:absolute;margin-left:-21.1pt;margin-top:24.35pt;width:708.6pt;height:233.5pt;z-index:251659264">
            <v:imagedata r:id="rId14" o:title=""/>
            <w10:wrap type="square" side="left"/>
          </v:shape>
          <o:OLEObject Type="Embed" ProgID="Excel.Sheet.12" ShapeID="_x0000_s1062" DrawAspect="Content" ObjectID="_1671616498" r:id="rId15"/>
        </w:object>
      </w:r>
    </w:p>
    <w:p w14:paraId="16795F5F" w14:textId="1CBCEC9F" w:rsidR="00915C32" w:rsidRDefault="00915C32" w:rsidP="00A40EC4">
      <w:pPr>
        <w:tabs>
          <w:tab w:val="left" w:pos="2430"/>
        </w:tabs>
        <w:rPr>
          <w:rFonts w:ascii="Arial Narrow" w:hAnsi="Arial Narrow"/>
        </w:rPr>
      </w:pPr>
    </w:p>
    <w:p w14:paraId="163FF5F0" w14:textId="77777777" w:rsidR="00915C32" w:rsidRDefault="00915C32" w:rsidP="00A40EC4">
      <w:pPr>
        <w:tabs>
          <w:tab w:val="left" w:pos="2430"/>
        </w:tabs>
        <w:rPr>
          <w:rFonts w:ascii="Arial Narrow" w:hAnsi="Arial Narrow"/>
        </w:rPr>
      </w:pPr>
    </w:p>
    <w:p w14:paraId="301A0B14" w14:textId="77777777" w:rsidR="00915C32" w:rsidRDefault="00915C32" w:rsidP="00A40EC4">
      <w:pPr>
        <w:tabs>
          <w:tab w:val="left" w:pos="2430"/>
        </w:tabs>
        <w:rPr>
          <w:rFonts w:ascii="Arial Narrow" w:hAnsi="Arial Narrow"/>
        </w:rPr>
      </w:pPr>
    </w:p>
    <w:p w14:paraId="7ADFD4E7" w14:textId="77777777" w:rsidR="00915C32" w:rsidRDefault="00915C32" w:rsidP="00A40EC4">
      <w:pPr>
        <w:tabs>
          <w:tab w:val="left" w:pos="2430"/>
        </w:tabs>
        <w:rPr>
          <w:rFonts w:ascii="Arial Narrow" w:hAnsi="Arial Narrow"/>
        </w:rPr>
      </w:pPr>
    </w:p>
    <w:p w14:paraId="6876BB8B" w14:textId="579A6F74" w:rsidR="00771F82" w:rsidRDefault="00771F82" w:rsidP="00A40EC4">
      <w:pPr>
        <w:tabs>
          <w:tab w:val="left" w:pos="2430"/>
        </w:tabs>
        <w:rPr>
          <w:rFonts w:ascii="Arial Narrow" w:hAnsi="Arial Narrow"/>
        </w:rPr>
      </w:pPr>
    </w:p>
    <w:p w14:paraId="2A184AE8" w14:textId="1FC39BF5" w:rsidR="00771F82" w:rsidRDefault="00771F82" w:rsidP="00A40EC4">
      <w:pPr>
        <w:tabs>
          <w:tab w:val="left" w:pos="2430"/>
        </w:tabs>
        <w:rPr>
          <w:rFonts w:ascii="Arial Narrow" w:hAnsi="Arial Narrow"/>
        </w:rPr>
      </w:pPr>
    </w:p>
    <w:p w14:paraId="39E88C16" w14:textId="29530727" w:rsidR="00771F82" w:rsidRDefault="00771F82" w:rsidP="00A40EC4">
      <w:pPr>
        <w:tabs>
          <w:tab w:val="left" w:pos="2430"/>
        </w:tabs>
        <w:rPr>
          <w:rFonts w:ascii="Arial Narrow" w:hAnsi="Arial Narrow"/>
        </w:rPr>
      </w:pPr>
    </w:p>
    <w:p w14:paraId="71463C54" w14:textId="291C7E2E" w:rsidR="00771F82" w:rsidRDefault="004938CF" w:rsidP="00A40EC4">
      <w:pPr>
        <w:tabs>
          <w:tab w:val="left" w:pos="2430"/>
        </w:tabs>
        <w:rPr>
          <w:rFonts w:ascii="Arial Narrow" w:hAnsi="Arial Narrow"/>
        </w:rPr>
      </w:pPr>
      <w:r>
        <w:rPr>
          <w:rFonts w:ascii="Arial Narrow" w:hAnsi="Arial Narrow"/>
          <w:noProof/>
        </w:rPr>
        <w:lastRenderedPageBreak/>
        <w:object w:dxaOrig="1440" w:dyaOrig="1440" w14:anchorId="477A472C">
          <v:shape id="_x0000_s1067" type="#_x0000_t75" style="position:absolute;margin-left:-3.95pt;margin-top:.45pt;width:673.4pt;height:212.05pt;z-index:251660288;mso-position-horizontal-relative:text;mso-position-vertical-relative:text">
            <v:imagedata r:id="rId16" o:title=""/>
            <w10:wrap type="square" side="left"/>
          </v:shape>
          <o:OLEObject Type="Embed" ProgID="Excel.Sheet.12" ShapeID="_x0000_s1067" DrawAspect="Content" ObjectID="_1671616499" r:id="rId17"/>
        </w:object>
      </w:r>
    </w:p>
    <w:p w14:paraId="60167108" w14:textId="6D48D8EC" w:rsidR="00B21C4A" w:rsidRDefault="00B21C4A" w:rsidP="00A40EC4">
      <w:pPr>
        <w:tabs>
          <w:tab w:val="left" w:pos="2430"/>
        </w:tabs>
        <w:rPr>
          <w:rFonts w:ascii="Arial Narrow" w:hAnsi="Arial Narrow"/>
        </w:rPr>
      </w:pPr>
    </w:p>
    <w:p w14:paraId="5A02C3D5" w14:textId="371F9CD1" w:rsidR="00771F82" w:rsidRDefault="00771F82" w:rsidP="00A40EC4">
      <w:pPr>
        <w:tabs>
          <w:tab w:val="left" w:pos="2430"/>
        </w:tabs>
        <w:rPr>
          <w:rFonts w:ascii="Arial Narrow" w:hAnsi="Arial Narrow"/>
        </w:rPr>
      </w:pPr>
    </w:p>
    <w:p w14:paraId="52CFE0FB" w14:textId="0BF6DBF9" w:rsidR="00771F82" w:rsidRDefault="00771F82" w:rsidP="00A40EC4">
      <w:pPr>
        <w:tabs>
          <w:tab w:val="left" w:pos="2430"/>
        </w:tabs>
        <w:rPr>
          <w:rFonts w:ascii="Arial Narrow" w:hAnsi="Arial Narrow"/>
        </w:rPr>
      </w:pPr>
    </w:p>
    <w:p w14:paraId="18618A52" w14:textId="71041B5E" w:rsidR="00771F82" w:rsidRDefault="00771F82" w:rsidP="00A40EC4">
      <w:pPr>
        <w:tabs>
          <w:tab w:val="left" w:pos="2430"/>
        </w:tabs>
        <w:rPr>
          <w:rFonts w:ascii="Arial Narrow" w:hAnsi="Arial Narrow"/>
        </w:rPr>
      </w:pPr>
    </w:p>
    <w:p w14:paraId="459ACC1A" w14:textId="5E94CB19" w:rsidR="00771F82" w:rsidRDefault="00771F82" w:rsidP="00A40EC4">
      <w:pPr>
        <w:tabs>
          <w:tab w:val="left" w:pos="2430"/>
        </w:tabs>
        <w:rPr>
          <w:rFonts w:ascii="Arial Narrow" w:hAnsi="Arial Narrow"/>
        </w:rPr>
      </w:pPr>
    </w:p>
    <w:p w14:paraId="0D406D21" w14:textId="7BA745CE" w:rsidR="00771F82" w:rsidRDefault="00771F82" w:rsidP="00A40EC4">
      <w:pPr>
        <w:tabs>
          <w:tab w:val="left" w:pos="2430"/>
        </w:tabs>
        <w:rPr>
          <w:rFonts w:ascii="Arial Narrow" w:hAnsi="Arial Narrow"/>
        </w:rPr>
      </w:pPr>
    </w:p>
    <w:p w14:paraId="5B2DE03A" w14:textId="09FFFC99" w:rsidR="00771F82" w:rsidRDefault="00771F82" w:rsidP="00A40EC4">
      <w:pPr>
        <w:tabs>
          <w:tab w:val="left" w:pos="2430"/>
        </w:tabs>
        <w:rPr>
          <w:rFonts w:ascii="Arial Narrow" w:hAnsi="Arial Narrow"/>
        </w:rPr>
      </w:pPr>
    </w:p>
    <w:p w14:paraId="3C8A1FCC" w14:textId="16CE3FA5" w:rsidR="00771F82" w:rsidRDefault="004938CF" w:rsidP="00A40EC4">
      <w:pPr>
        <w:tabs>
          <w:tab w:val="left" w:pos="2430"/>
        </w:tabs>
        <w:rPr>
          <w:rFonts w:ascii="Arial Narrow" w:hAnsi="Arial Narrow"/>
        </w:rPr>
      </w:pPr>
      <w:r>
        <w:rPr>
          <w:rFonts w:ascii="Arial Narrow" w:hAnsi="Arial Narrow"/>
          <w:noProof/>
        </w:rPr>
        <w:lastRenderedPageBreak/>
        <w:object w:dxaOrig="1440" w:dyaOrig="1440" w14:anchorId="326F3C53">
          <v:shape id="_x0000_s1056" type="#_x0000_t75" style="position:absolute;margin-left:74.75pt;margin-top:3pt;width:611.05pt;height:278.5pt;z-index:251658240;mso-position-horizontal-relative:margin;mso-position-vertical-relative:margin">
            <v:imagedata r:id="rId18" o:title=""/>
            <w10:wrap type="square" side="right" anchorx="margin" anchory="margin"/>
          </v:shape>
          <o:OLEObject Type="Embed" ProgID="Excel.Sheet.12" ShapeID="_x0000_s1056" DrawAspect="Content" ObjectID="_1671616500" r:id="rId19"/>
        </w:object>
      </w:r>
    </w:p>
    <w:p w14:paraId="55C67384" w14:textId="77777777" w:rsidR="00390D7F" w:rsidRDefault="00390D7F" w:rsidP="00390D7F">
      <w:pPr>
        <w:rPr>
          <w:rFonts w:ascii="Arial Narrow" w:hAnsi="Arial Narrow"/>
          <w:b/>
        </w:rPr>
      </w:pPr>
    </w:p>
    <w:p w14:paraId="7B01C893" w14:textId="6C3559E4" w:rsidR="00E174B3" w:rsidRDefault="004938CF" w:rsidP="00390D7F">
      <w:pPr>
        <w:rPr>
          <w:rFonts w:ascii="Arial Narrow" w:hAnsi="Arial Narrow"/>
          <w:b/>
        </w:rPr>
      </w:pPr>
      <w:r>
        <w:rPr>
          <w:rFonts w:ascii="Arial Narrow" w:hAnsi="Arial Narrow"/>
          <w:noProof/>
        </w:rPr>
        <w:lastRenderedPageBreak/>
        <w:object w:dxaOrig="1440" w:dyaOrig="1440" w14:anchorId="39093CD3">
          <v:shape id="_x0000_s1076" type="#_x0000_t75" style="position:absolute;margin-left:1.5pt;margin-top:27.65pt;width:709.75pt;height:258.05pt;z-index:251662336">
            <v:imagedata r:id="rId20" o:title=""/>
            <w10:wrap type="square" side="right"/>
          </v:shape>
          <o:OLEObject Type="Embed" ProgID="Excel.Sheet.12" ShapeID="_x0000_s1076" DrawAspect="Content" ObjectID="_1671616501" r:id="rId21"/>
        </w:object>
      </w:r>
    </w:p>
    <w:p w14:paraId="48966C3A" w14:textId="77777777" w:rsidR="00E174B3" w:rsidRDefault="00E174B3" w:rsidP="00420927">
      <w:pPr>
        <w:tabs>
          <w:tab w:val="left" w:pos="1430"/>
          <w:tab w:val="center" w:pos="7044"/>
        </w:tabs>
        <w:jc w:val="center"/>
        <w:rPr>
          <w:rFonts w:ascii="Arial Narrow" w:hAnsi="Arial Narrow"/>
          <w:b/>
        </w:rPr>
      </w:pPr>
    </w:p>
    <w:p w14:paraId="46B42F07" w14:textId="6A3A88C0" w:rsidR="00E174B3" w:rsidRDefault="00E174B3" w:rsidP="00420927">
      <w:pPr>
        <w:tabs>
          <w:tab w:val="left" w:pos="1430"/>
          <w:tab w:val="center" w:pos="7044"/>
        </w:tabs>
        <w:jc w:val="center"/>
        <w:rPr>
          <w:rFonts w:ascii="Arial Narrow" w:hAnsi="Arial Narrow"/>
          <w:b/>
        </w:rPr>
      </w:pPr>
    </w:p>
    <w:p w14:paraId="629D1B4B" w14:textId="77777777" w:rsidR="00B31572" w:rsidRDefault="00B31572" w:rsidP="00420927">
      <w:pPr>
        <w:tabs>
          <w:tab w:val="left" w:pos="1430"/>
          <w:tab w:val="center" w:pos="7044"/>
        </w:tabs>
        <w:jc w:val="center"/>
        <w:rPr>
          <w:rFonts w:ascii="Arial Narrow" w:hAnsi="Arial Narrow"/>
          <w:b/>
        </w:rPr>
      </w:pPr>
    </w:p>
    <w:p w14:paraId="1C5240F0" w14:textId="127062C0" w:rsidR="00E174B3" w:rsidRDefault="00E174B3" w:rsidP="00420927">
      <w:pPr>
        <w:tabs>
          <w:tab w:val="left" w:pos="1430"/>
          <w:tab w:val="center" w:pos="7044"/>
        </w:tabs>
        <w:jc w:val="center"/>
        <w:rPr>
          <w:rFonts w:ascii="Arial Narrow" w:hAnsi="Arial Narrow"/>
          <w:b/>
        </w:rPr>
      </w:pPr>
    </w:p>
    <w:p w14:paraId="7C890FC7" w14:textId="77777777" w:rsidR="00182039" w:rsidRDefault="00182039" w:rsidP="00420927">
      <w:pPr>
        <w:tabs>
          <w:tab w:val="left" w:pos="1430"/>
          <w:tab w:val="center" w:pos="7044"/>
        </w:tabs>
        <w:jc w:val="center"/>
        <w:rPr>
          <w:rFonts w:ascii="Arial Narrow" w:hAnsi="Arial Narrow"/>
          <w:b/>
        </w:rPr>
      </w:pPr>
    </w:p>
    <w:p w14:paraId="6C685BF8" w14:textId="77777777" w:rsidR="00E174B3" w:rsidRDefault="00E174B3" w:rsidP="00420927">
      <w:pPr>
        <w:tabs>
          <w:tab w:val="left" w:pos="1430"/>
          <w:tab w:val="center" w:pos="7044"/>
        </w:tabs>
        <w:jc w:val="center"/>
        <w:rPr>
          <w:rFonts w:ascii="Arial Narrow" w:hAnsi="Arial Narrow"/>
          <w:b/>
        </w:rPr>
      </w:pPr>
    </w:p>
    <w:p w14:paraId="79B7EC4A" w14:textId="77777777" w:rsidR="00E174B3" w:rsidRDefault="00E174B3" w:rsidP="00420927">
      <w:pPr>
        <w:tabs>
          <w:tab w:val="left" w:pos="1430"/>
          <w:tab w:val="center" w:pos="7044"/>
        </w:tabs>
        <w:jc w:val="center"/>
        <w:rPr>
          <w:rFonts w:ascii="Arial Narrow" w:hAnsi="Arial Narrow"/>
          <w:b/>
        </w:rPr>
      </w:pPr>
    </w:p>
    <w:p w14:paraId="17295EE6" w14:textId="77777777" w:rsidR="00F308C6" w:rsidRPr="005D1E77" w:rsidRDefault="00F308C6" w:rsidP="00F308C6">
      <w:pPr>
        <w:tabs>
          <w:tab w:val="left" w:pos="1430"/>
          <w:tab w:val="center" w:pos="7044"/>
        </w:tabs>
        <w:jc w:val="center"/>
        <w:rPr>
          <w:rFonts w:ascii="Arial Narrow" w:hAnsi="Arial Narrow"/>
          <w:b/>
        </w:rPr>
      </w:pPr>
      <w:r w:rsidRPr="005D1E77">
        <w:rPr>
          <w:rFonts w:ascii="Arial Narrow" w:hAnsi="Arial Narrow"/>
          <w:b/>
        </w:rPr>
        <w:lastRenderedPageBreak/>
        <w:t>TRIBUNAL SUPERIOR DE JUSTICIA DEL ESTADO DE TLAXCALA</w:t>
      </w:r>
    </w:p>
    <w:p w14:paraId="292A6CFB" w14:textId="77777777" w:rsidR="00F308C6" w:rsidRPr="005D1E77" w:rsidRDefault="00F308C6" w:rsidP="00F308C6">
      <w:pPr>
        <w:jc w:val="center"/>
        <w:rPr>
          <w:rFonts w:ascii="Arial Narrow" w:hAnsi="Arial Narrow"/>
          <w:b/>
        </w:rPr>
      </w:pPr>
      <w:r w:rsidRPr="005D1E77">
        <w:rPr>
          <w:rFonts w:ascii="Arial Narrow" w:hAnsi="Arial Narrow"/>
          <w:b/>
        </w:rPr>
        <w:t>NOTAS A LOS ESTADOS FINANCIEROS</w:t>
      </w:r>
    </w:p>
    <w:p w14:paraId="5BA3A157" w14:textId="18B4B860" w:rsidR="00F308C6" w:rsidRPr="005D1E77" w:rsidRDefault="00F308C6" w:rsidP="00F308C6">
      <w:pPr>
        <w:jc w:val="center"/>
        <w:rPr>
          <w:rFonts w:ascii="Arial Narrow" w:hAnsi="Arial Narrow"/>
          <w:b/>
        </w:rPr>
      </w:pPr>
      <w:r w:rsidRPr="005D1E77">
        <w:rPr>
          <w:rFonts w:ascii="Arial Narrow" w:hAnsi="Arial Narrow"/>
          <w:b/>
        </w:rPr>
        <w:t xml:space="preserve">   Del </w:t>
      </w:r>
      <w:r>
        <w:rPr>
          <w:rFonts w:ascii="Arial Narrow" w:hAnsi="Arial Narrow"/>
          <w:b/>
        </w:rPr>
        <w:t>01 de enero al 3</w:t>
      </w:r>
      <w:r w:rsidR="00B31572">
        <w:rPr>
          <w:rFonts w:ascii="Arial Narrow" w:hAnsi="Arial Narrow"/>
          <w:b/>
        </w:rPr>
        <w:t>1 de diciembre</w:t>
      </w:r>
      <w:r>
        <w:rPr>
          <w:rFonts w:ascii="Arial Narrow" w:hAnsi="Arial Narrow"/>
          <w:b/>
        </w:rPr>
        <w:t xml:space="preserve"> de 2020</w:t>
      </w:r>
    </w:p>
    <w:p w14:paraId="2F715D60" w14:textId="77777777" w:rsidR="00F308C6" w:rsidRPr="005D1E77" w:rsidRDefault="00F308C6" w:rsidP="00F308C6">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sidRPr="005D1E77">
        <w:rPr>
          <w:rFonts w:ascii="Arial Narrow" w:hAnsi="Arial Narrow"/>
          <w:b/>
        </w:rPr>
        <w:tab/>
      </w:r>
      <w:r w:rsidRPr="005D1E77">
        <w:rPr>
          <w:rFonts w:ascii="Arial Narrow" w:hAnsi="Arial Narrow"/>
          <w:b/>
        </w:rPr>
        <w:tab/>
        <w:t>NOTAS DE DESGLOSE</w:t>
      </w:r>
    </w:p>
    <w:p w14:paraId="2B17EC64" w14:textId="642C15B6" w:rsidR="00F308C6" w:rsidRPr="005D1E77" w:rsidRDefault="00F308C6" w:rsidP="00F308C6">
      <w:pPr>
        <w:jc w:val="both"/>
        <w:rPr>
          <w:rFonts w:ascii="Arial Narrow" w:hAnsi="Arial Narrow"/>
        </w:rPr>
      </w:pPr>
      <w:r>
        <w:rPr>
          <w:rFonts w:ascii="Arial Narrow" w:hAnsi="Arial Narrow"/>
        </w:rPr>
        <w:t>T</w:t>
      </w:r>
      <w:r w:rsidRPr="005D1E77">
        <w:rPr>
          <w:rFonts w:ascii="Arial Narrow" w:hAnsi="Arial Narrow"/>
        </w:rPr>
        <w:t>omando en cuenta los postulados de revelación suficiente e importancia relativa</w:t>
      </w:r>
      <w:r>
        <w:rPr>
          <w:rFonts w:ascii="Arial Narrow" w:hAnsi="Arial Narrow"/>
        </w:rPr>
        <w:t xml:space="preserve"> y</w:t>
      </w:r>
      <w:r w:rsidRPr="005D1E77">
        <w:rPr>
          <w:rFonts w:ascii="Arial Narrow" w:hAnsi="Arial Narrow"/>
        </w:rPr>
        <w:t xml:space="preserve"> con la finalidad de que la información sea transparente, en este apartado son reveladas las cuentas que tuvieron movimientos durante el periodo de </w:t>
      </w:r>
      <w:r>
        <w:rPr>
          <w:rFonts w:ascii="Arial Narrow" w:hAnsi="Arial Narrow"/>
        </w:rPr>
        <w:t xml:space="preserve">enero a </w:t>
      </w:r>
      <w:r w:rsidR="00B31572">
        <w:rPr>
          <w:rFonts w:ascii="Arial Narrow" w:hAnsi="Arial Narrow"/>
        </w:rPr>
        <w:t>diciembre</w:t>
      </w:r>
      <w:r>
        <w:rPr>
          <w:rFonts w:ascii="Arial Narrow" w:hAnsi="Arial Narrow"/>
        </w:rPr>
        <w:t xml:space="preserve"> de 2020</w:t>
      </w:r>
      <w:r w:rsidRPr="005D1E77">
        <w:rPr>
          <w:rFonts w:ascii="Arial Narrow" w:hAnsi="Arial Narrow"/>
        </w:rPr>
        <w:t xml:space="preserve"> que se presenta,</w:t>
      </w:r>
      <w:r>
        <w:rPr>
          <w:rFonts w:ascii="Arial Narrow" w:hAnsi="Arial Narrow"/>
        </w:rPr>
        <w:t xml:space="preserve"> de conformidad con </w:t>
      </w:r>
      <w:proofErr w:type="gramStart"/>
      <w:r>
        <w:rPr>
          <w:rFonts w:ascii="Arial Narrow" w:hAnsi="Arial Narrow"/>
        </w:rPr>
        <w:t xml:space="preserve">los </w:t>
      </w:r>
      <w:r w:rsidRPr="005D1E77">
        <w:rPr>
          <w:rFonts w:ascii="Arial Narrow" w:hAnsi="Arial Narrow"/>
        </w:rPr>
        <w:t xml:space="preserve"> artículo</w:t>
      </w:r>
      <w:r>
        <w:rPr>
          <w:rFonts w:ascii="Arial Narrow" w:hAnsi="Arial Narrow"/>
        </w:rPr>
        <w:t>s</w:t>
      </w:r>
      <w:proofErr w:type="gramEnd"/>
      <w:r w:rsidRPr="005D1E77">
        <w:rPr>
          <w:rFonts w:ascii="Arial Narrow" w:hAnsi="Arial Narrow"/>
        </w:rPr>
        <w:t xml:space="preserve"> 46 y 49 de la Ley General de Contabilidad Gubernamental</w:t>
      </w:r>
      <w:r>
        <w:rPr>
          <w:rFonts w:ascii="Arial Narrow" w:hAnsi="Arial Narrow"/>
        </w:rPr>
        <w:t>,</w:t>
      </w:r>
      <w:r w:rsidRPr="005D1E77">
        <w:rPr>
          <w:rFonts w:ascii="Arial Narrow" w:hAnsi="Arial Narrow"/>
        </w:rPr>
        <w:t xml:space="preserve"> las cuales se derivan de las operaciones financieras y presupuestales del Tribunal de Superior de Justicia.</w:t>
      </w:r>
    </w:p>
    <w:p w14:paraId="4FD47ADD" w14:textId="77777777" w:rsidR="00F308C6" w:rsidRPr="005D1E77" w:rsidRDefault="00F308C6" w:rsidP="00F308C6">
      <w:pPr>
        <w:pStyle w:val="Prrafodelista"/>
        <w:numPr>
          <w:ilvl w:val="0"/>
          <w:numId w:val="17"/>
        </w:numPr>
        <w:jc w:val="both"/>
        <w:rPr>
          <w:rFonts w:ascii="Arial Narrow" w:hAnsi="Arial Narrow"/>
          <w:b/>
          <w:u w:val="single"/>
        </w:rPr>
      </w:pPr>
      <w:r w:rsidRPr="005D1E77">
        <w:rPr>
          <w:rFonts w:ascii="Arial Narrow" w:hAnsi="Arial Narrow"/>
          <w:b/>
          <w:u w:val="single"/>
        </w:rPr>
        <w:t>NOTAS AL ESTADO DE SITUACIÓN FINANCIERA.</w:t>
      </w:r>
    </w:p>
    <w:p w14:paraId="257A5584" w14:textId="77777777" w:rsidR="00F308C6" w:rsidRPr="005D1E77" w:rsidRDefault="00F308C6" w:rsidP="00F308C6">
      <w:pPr>
        <w:jc w:val="both"/>
        <w:rPr>
          <w:rFonts w:ascii="Arial Narrow" w:hAnsi="Arial Narrow"/>
          <w:b/>
          <w:u w:val="single"/>
        </w:rPr>
      </w:pPr>
      <w:r w:rsidRPr="005D1E77">
        <w:rPr>
          <w:rFonts w:ascii="Arial Narrow" w:hAnsi="Arial Narrow"/>
          <w:b/>
          <w:u w:val="single"/>
        </w:rPr>
        <w:t>ACTIVO.</w:t>
      </w:r>
    </w:p>
    <w:p w14:paraId="612F6BA3" w14:textId="77777777" w:rsidR="00F308C6" w:rsidRPr="005D1E77" w:rsidRDefault="00F308C6" w:rsidP="00F308C6">
      <w:pPr>
        <w:jc w:val="both"/>
        <w:rPr>
          <w:rFonts w:ascii="Arial Narrow" w:hAnsi="Arial Narrow"/>
          <w:b/>
          <w:u w:val="single"/>
        </w:rPr>
      </w:pPr>
      <w:r w:rsidRPr="005D1E77">
        <w:rPr>
          <w:rFonts w:ascii="Arial Narrow" w:hAnsi="Arial Narrow"/>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F308C6" w:rsidRPr="005D1E77" w14:paraId="5C79CE68" w14:textId="77777777" w:rsidTr="00786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73413F60"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Fondos fijos</w:t>
            </w:r>
          </w:p>
        </w:tc>
        <w:tc>
          <w:tcPr>
            <w:tcW w:w="719" w:type="dxa"/>
          </w:tcPr>
          <w:p w14:paraId="29294D0C" w14:textId="77777777" w:rsidR="00F308C6" w:rsidRPr="005D1E77" w:rsidRDefault="00F308C6" w:rsidP="007864AE">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307D92E9" w14:textId="17423FDA" w:rsidR="00F308C6" w:rsidRPr="005D1E77" w:rsidRDefault="00182039" w:rsidP="0018203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308C6" w:rsidRPr="005D1E77">
              <w:rPr>
                <w:rFonts w:ascii="Arial Narrow" w:hAnsi="Arial Narrow"/>
                <w:sz w:val="18"/>
                <w:szCs w:val="18"/>
              </w:rPr>
              <w:t xml:space="preserve">$   </w:t>
            </w:r>
            <w:r w:rsidR="00F308C6">
              <w:rPr>
                <w:rFonts w:ascii="Arial Narrow" w:hAnsi="Arial Narrow"/>
                <w:sz w:val="18"/>
                <w:szCs w:val="18"/>
              </w:rPr>
              <w:t xml:space="preserve">  </w:t>
            </w:r>
            <w:r w:rsidR="00F308C6" w:rsidRPr="005D1E77">
              <w:rPr>
                <w:rFonts w:ascii="Arial Narrow" w:hAnsi="Arial Narrow"/>
                <w:sz w:val="18"/>
                <w:szCs w:val="18"/>
              </w:rPr>
              <w:t xml:space="preserve">    </w:t>
            </w:r>
            <w:r>
              <w:rPr>
                <w:rFonts w:ascii="Arial Narrow" w:hAnsi="Arial Narrow"/>
                <w:sz w:val="18"/>
                <w:szCs w:val="18"/>
              </w:rPr>
              <w:t xml:space="preserve"> </w:t>
            </w:r>
            <w:r w:rsidR="00F308C6">
              <w:rPr>
                <w:rFonts w:ascii="Arial Narrow" w:hAnsi="Arial Narrow"/>
                <w:sz w:val="18"/>
                <w:szCs w:val="18"/>
              </w:rPr>
              <w:t xml:space="preserve">  </w:t>
            </w:r>
            <w:r w:rsidR="00F308C6" w:rsidRPr="005D1E77">
              <w:rPr>
                <w:rFonts w:ascii="Arial Narrow" w:hAnsi="Arial Narrow"/>
                <w:sz w:val="18"/>
                <w:szCs w:val="18"/>
              </w:rPr>
              <w:t xml:space="preserve"> </w:t>
            </w:r>
            <w:r>
              <w:rPr>
                <w:rFonts w:ascii="Arial Narrow" w:hAnsi="Arial Narrow"/>
                <w:sz w:val="18"/>
                <w:szCs w:val="18"/>
              </w:rPr>
              <w:t xml:space="preserve"> </w:t>
            </w:r>
            <w:r w:rsidR="00F308C6" w:rsidRPr="005D1E77">
              <w:rPr>
                <w:rFonts w:ascii="Arial Narrow" w:hAnsi="Arial Narrow"/>
                <w:sz w:val="18"/>
                <w:szCs w:val="18"/>
              </w:rPr>
              <w:t xml:space="preserve">    </w:t>
            </w:r>
            <w:r>
              <w:rPr>
                <w:rFonts w:ascii="Arial Narrow" w:hAnsi="Arial Narrow"/>
                <w:sz w:val="18"/>
                <w:szCs w:val="18"/>
              </w:rPr>
              <w:t>3</w:t>
            </w:r>
            <w:r w:rsidR="00F308C6" w:rsidRPr="005D1E77">
              <w:rPr>
                <w:rFonts w:ascii="Arial Narrow" w:hAnsi="Arial Narrow"/>
                <w:sz w:val="18"/>
                <w:szCs w:val="18"/>
              </w:rPr>
              <w:t>,000.00</w:t>
            </w:r>
          </w:p>
        </w:tc>
      </w:tr>
      <w:tr w:rsidR="00F308C6" w:rsidRPr="005D1E77" w14:paraId="48B8EEA3" w14:textId="77777777" w:rsidTr="00786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7F05CD9"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Bancos</w:t>
            </w:r>
          </w:p>
        </w:tc>
        <w:tc>
          <w:tcPr>
            <w:tcW w:w="719" w:type="dxa"/>
          </w:tcPr>
          <w:p w14:paraId="6B26CE57" w14:textId="77777777" w:rsidR="00F308C6" w:rsidRPr="005D1E77"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4AC6D3D2" w14:textId="05C9F34F" w:rsidR="00F308C6" w:rsidRPr="005D1E77" w:rsidRDefault="00F308C6" w:rsidP="007864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 </w:t>
            </w:r>
            <w:r w:rsidRPr="005D1E77">
              <w:rPr>
                <w:rFonts w:ascii="Arial Narrow" w:hAnsi="Arial Narrow"/>
                <w:b/>
                <w:sz w:val="18"/>
                <w:szCs w:val="18"/>
              </w:rPr>
              <w:t xml:space="preserve"> </w:t>
            </w:r>
            <w:r>
              <w:rPr>
                <w:rFonts w:ascii="Arial Narrow" w:hAnsi="Arial Narrow"/>
                <w:b/>
                <w:sz w:val="18"/>
                <w:szCs w:val="18"/>
              </w:rPr>
              <w:t xml:space="preserve"> </w:t>
            </w:r>
            <w:r w:rsidRPr="005D1E77">
              <w:rPr>
                <w:rFonts w:ascii="Arial Narrow" w:hAnsi="Arial Narrow"/>
                <w:b/>
                <w:sz w:val="18"/>
                <w:szCs w:val="18"/>
              </w:rPr>
              <w:t xml:space="preserve">      </w:t>
            </w:r>
            <w:r w:rsidR="00182039">
              <w:rPr>
                <w:rFonts w:ascii="Arial Narrow" w:hAnsi="Arial Narrow"/>
                <w:b/>
                <w:sz w:val="18"/>
                <w:szCs w:val="18"/>
              </w:rPr>
              <w:t>12,212,657.31</w:t>
            </w:r>
          </w:p>
        </w:tc>
      </w:tr>
      <w:tr w:rsidR="00F308C6" w:rsidRPr="00B301E8" w14:paraId="184111DA" w14:textId="77777777" w:rsidTr="007864AE">
        <w:tc>
          <w:tcPr>
            <w:cnfStyle w:val="001000000000" w:firstRow="0" w:lastRow="0" w:firstColumn="1" w:lastColumn="0" w:oddVBand="0" w:evenVBand="0" w:oddHBand="0" w:evenHBand="0" w:firstRowFirstColumn="0" w:firstRowLastColumn="0" w:lastRowFirstColumn="0" w:lastRowLastColumn="0"/>
            <w:tcW w:w="4668" w:type="dxa"/>
          </w:tcPr>
          <w:p w14:paraId="79A7CAC3" w14:textId="77777777" w:rsidR="00F308C6" w:rsidRPr="005D1E77" w:rsidRDefault="00F308C6" w:rsidP="007864AE">
            <w:pPr>
              <w:jc w:val="both"/>
              <w:rPr>
                <w:rFonts w:ascii="Arial Narrow" w:hAnsi="Arial Narrow"/>
                <w:sz w:val="18"/>
                <w:szCs w:val="18"/>
              </w:rPr>
            </w:pPr>
            <w:r>
              <w:rPr>
                <w:rFonts w:ascii="Arial Narrow" w:hAnsi="Arial Narrow"/>
                <w:sz w:val="18"/>
                <w:szCs w:val="18"/>
              </w:rPr>
              <w:t xml:space="preserve">Inversiones Temporales </w:t>
            </w:r>
          </w:p>
        </w:tc>
        <w:tc>
          <w:tcPr>
            <w:tcW w:w="719" w:type="dxa"/>
          </w:tcPr>
          <w:p w14:paraId="351A9C18" w14:textId="7777777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58E304EE" w14:textId="5E46F3FB" w:rsidR="00F308C6" w:rsidRPr="00B301E8"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B301E8">
              <w:rPr>
                <w:rFonts w:ascii="Arial Narrow" w:hAnsi="Arial Narrow"/>
                <w:b/>
                <w:sz w:val="18"/>
                <w:szCs w:val="18"/>
              </w:rPr>
              <w:t xml:space="preserve">$         </w:t>
            </w:r>
            <w:r w:rsidR="00182039">
              <w:rPr>
                <w:rFonts w:ascii="Arial Narrow" w:hAnsi="Arial Narrow"/>
                <w:b/>
                <w:sz w:val="18"/>
                <w:szCs w:val="18"/>
              </w:rPr>
              <w:t>79,568,362.09</w:t>
            </w:r>
          </w:p>
        </w:tc>
      </w:tr>
      <w:tr w:rsidR="00F308C6" w:rsidRPr="00B301E8" w14:paraId="4DA4E177" w14:textId="77777777" w:rsidTr="00786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356A78C" w14:textId="77777777" w:rsidR="00F308C6" w:rsidRDefault="00F308C6" w:rsidP="007864AE">
            <w:pPr>
              <w:jc w:val="both"/>
              <w:rPr>
                <w:rFonts w:ascii="Arial Narrow" w:hAnsi="Arial Narrow"/>
                <w:sz w:val="18"/>
                <w:szCs w:val="18"/>
              </w:rPr>
            </w:pPr>
            <w:r>
              <w:rPr>
                <w:rFonts w:ascii="Arial Narrow" w:hAnsi="Arial Narrow"/>
                <w:sz w:val="18"/>
                <w:szCs w:val="18"/>
              </w:rPr>
              <w:t>Depósitos en garantía</w:t>
            </w:r>
          </w:p>
        </w:tc>
        <w:tc>
          <w:tcPr>
            <w:tcW w:w="719" w:type="dxa"/>
          </w:tcPr>
          <w:p w14:paraId="7E66670B" w14:textId="77777777" w:rsidR="00F308C6" w:rsidRPr="005D1E77"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398C1240" w14:textId="77777777" w:rsidR="00F308C6" w:rsidRPr="00B301E8"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25,000.00</w:t>
            </w:r>
          </w:p>
        </w:tc>
      </w:tr>
      <w:tr w:rsidR="00F308C6" w:rsidRPr="005D1E77" w14:paraId="208BD548" w14:textId="77777777" w:rsidTr="007864AE">
        <w:tc>
          <w:tcPr>
            <w:cnfStyle w:val="001000000000" w:firstRow="0" w:lastRow="0" w:firstColumn="1" w:lastColumn="0" w:oddVBand="0" w:evenVBand="0" w:oddHBand="0" w:evenHBand="0" w:firstRowFirstColumn="0" w:firstRowLastColumn="0" w:lastRowFirstColumn="0" w:lastRowLastColumn="0"/>
            <w:tcW w:w="4668" w:type="dxa"/>
          </w:tcPr>
          <w:p w14:paraId="496A5F42"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Suma Efectivo y equivalentes</w:t>
            </w:r>
          </w:p>
        </w:tc>
        <w:tc>
          <w:tcPr>
            <w:tcW w:w="719" w:type="dxa"/>
          </w:tcPr>
          <w:p w14:paraId="10D53654" w14:textId="7777777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5E91F5B4" w14:textId="21AB9057"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182039">
              <w:rPr>
                <w:rFonts w:ascii="Arial Narrow" w:hAnsi="Arial Narrow"/>
                <w:b/>
                <w:sz w:val="18"/>
                <w:szCs w:val="18"/>
              </w:rPr>
              <w:t xml:space="preserve"> </w:t>
            </w:r>
            <w:r>
              <w:rPr>
                <w:rFonts w:ascii="Arial Narrow" w:hAnsi="Arial Narrow"/>
                <w:b/>
                <w:sz w:val="18"/>
                <w:szCs w:val="18"/>
              </w:rPr>
              <w:t xml:space="preserve">    </w:t>
            </w:r>
            <w:r w:rsidR="00182039">
              <w:rPr>
                <w:rFonts w:ascii="Arial Narrow" w:hAnsi="Arial Narrow"/>
                <w:b/>
                <w:sz w:val="18"/>
                <w:szCs w:val="18"/>
              </w:rPr>
              <w:t xml:space="preserve"> 91,809,019.40</w:t>
            </w:r>
          </w:p>
        </w:tc>
      </w:tr>
    </w:tbl>
    <w:p w14:paraId="2F81EB4C" w14:textId="374A81F9" w:rsidR="00F308C6" w:rsidRDefault="00F308C6" w:rsidP="00F308C6">
      <w:pPr>
        <w:jc w:val="both"/>
        <w:rPr>
          <w:rFonts w:ascii="Arial Narrow" w:hAnsi="Arial Narrow"/>
          <w:b/>
          <w:u w:val="single"/>
        </w:rPr>
      </w:pPr>
      <w:r w:rsidRPr="005D1E77">
        <w:rPr>
          <w:rFonts w:ascii="Arial Narrow" w:hAnsi="Arial Narrow"/>
          <w:b/>
          <w:u w:val="single"/>
        </w:rPr>
        <w:br w:type="textWrapping" w:clear="all"/>
      </w:r>
    </w:p>
    <w:p w14:paraId="262C88AB" w14:textId="77777777" w:rsidR="00F308C6" w:rsidRPr="005D1E77" w:rsidRDefault="00F308C6" w:rsidP="00F308C6">
      <w:pPr>
        <w:spacing w:after="0"/>
        <w:jc w:val="both"/>
        <w:rPr>
          <w:rFonts w:ascii="Arial Narrow" w:hAnsi="Arial Narrow"/>
          <w:sz w:val="20"/>
          <w:szCs w:val="20"/>
        </w:rPr>
      </w:pPr>
      <w:r w:rsidRPr="005D1E77">
        <w:rPr>
          <w:rFonts w:ascii="Arial Narrow" w:hAnsi="Arial Narrow"/>
          <w:sz w:val="20"/>
          <w:szCs w:val="20"/>
        </w:rPr>
        <w:t xml:space="preserve">La cuenta de fondos fijos </w:t>
      </w:r>
      <w:r>
        <w:rPr>
          <w:rFonts w:ascii="Arial Narrow" w:hAnsi="Arial Narrow"/>
          <w:sz w:val="20"/>
          <w:szCs w:val="20"/>
        </w:rPr>
        <w:t>se conforma</w:t>
      </w:r>
      <w:r w:rsidRPr="005D1E77">
        <w:rPr>
          <w:rFonts w:ascii="Arial Narrow" w:hAnsi="Arial Narrow"/>
          <w:sz w:val="20"/>
          <w:szCs w:val="20"/>
        </w:rPr>
        <w:t xml:space="preserve"> por los fondos revolventes que fueron creados a efecto de cubrir gastos menores de operación en áreas principalmente administrativas.</w:t>
      </w:r>
    </w:p>
    <w:p w14:paraId="1583DB98" w14:textId="77777777" w:rsidR="00F308C6" w:rsidRPr="005D1E77" w:rsidRDefault="00F308C6" w:rsidP="00F308C6">
      <w:pPr>
        <w:spacing w:after="0"/>
        <w:jc w:val="both"/>
        <w:rPr>
          <w:rFonts w:ascii="Arial Narrow" w:hAnsi="Arial Narrow"/>
          <w:sz w:val="20"/>
          <w:szCs w:val="20"/>
        </w:rPr>
      </w:pPr>
    </w:p>
    <w:p w14:paraId="5F5C6C50" w14:textId="179F7C8A" w:rsidR="00F308C6" w:rsidRDefault="00F308C6" w:rsidP="00F308C6">
      <w:pPr>
        <w:spacing w:after="0"/>
        <w:jc w:val="both"/>
        <w:rPr>
          <w:rFonts w:ascii="Arial Narrow" w:hAnsi="Arial Narrow"/>
          <w:sz w:val="20"/>
          <w:szCs w:val="20"/>
        </w:rPr>
      </w:pPr>
      <w:r w:rsidRPr="005D1E77">
        <w:rPr>
          <w:rFonts w:ascii="Arial Narrow" w:hAnsi="Arial Narrow"/>
          <w:sz w:val="20"/>
          <w:szCs w:val="20"/>
        </w:rPr>
        <w:t>En la cuenta productiva de bancos, se refleja al 3</w:t>
      </w:r>
      <w:r w:rsidR="00182039">
        <w:rPr>
          <w:rFonts w:ascii="Arial Narrow" w:hAnsi="Arial Narrow"/>
          <w:sz w:val="20"/>
          <w:szCs w:val="20"/>
        </w:rPr>
        <w:t>1 de diciembre</w:t>
      </w:r>
      <w:r w:rsidRPr="005D1E77">
        <w:rPr>
          <w:rFonts w:ascii="Arial Narrow" w:hAnsi="Arial Narrow"/>
          <w:sz w:val="20"/>
          <w:szCs w:val="20"/>
        </w:rPr>
        <w:t xml:space="preserve"> la cantidad de $</w:t>
      </w:r>
      <w:r w:rsidR="00605148">
        <w:rPr>
          <w:rFonts w:ascii="Arial Narrow" w:hAnsi="Arial Narrow"/>
          <w:b/>
          <w:sz w:val="18"/>
          <w:szCs w:val="18"/>
        </w:rPr>
        <w:t>12,212,657.31</w:t>
      </w:r>
      <w:r>
        <w:rPr>
          <w:rFonts w:ascii="Arial Narrow" w:hAnsi="Arial Narrow"/>
          <w:b/>
          <w:sz w:val="18"/>
          <w:szCs w:val="18"/>
        </w:rPr>
        <w:t xml:space="preserve"> </w:t>
      </w:r>
      <w:r w:rsidRPr="005D1E77">
        <w:rPr>
          <w:rFonts w:ascii="Arial Narrow" w:hAnsi="Arial Narrow"/>
          <w:sz w:val="20"/>
          <w:szCs w:val="20"/>
        </w:rPr>
        <w:t xml:space="preserve">según saldos conciliados, cabe mencionar </w:t>
      </w:r>
      <w:proofErr w:type="gramStart"/>
      <w:r w:rsidRPr="005D1E77">
        <w:rPr>
          <w:rFonts w:ascii="Arial Narrow" w:hAnsi="Arial Narrow"/>
          <w:sz w:val="20"/>
          <w:szCs w:val="20"/>
        </w:rPr>
        <w:t>que</w:t>
      </w:r>
      <w:proofErr w:type="gramEnd"/>
      <w:r w:rsidRPr="005D1E77">
        <w:rPr>
          <w:rFonts w:ascii="Arial Narrow" w:hAnsi="Arial Narrow"/>
          <w:sz w:val="20"/>
          <w:szCs w:val="20"/>
        </w:rPr>
        <w:t xml:space="preserve"> dentro de este importe entre otros, se encuentran en circulación cheques por concepto de prestaciones al personal y demás pagos a proveedores (pasivos).</w:t>
      </w:r>
    </w:p>
    <w:p w14:paraId="5C797447" w14:textId="77777777" w:rsidR="00DD4788" w:rsidRPr="005D1E77" w:rsidRDefault="00DD4788" w:rsidP="00F308C6">
      <w:pPr>
        <w:spacing w:after="0"/>
        <w:jc w:val="both"/>
        <w:rPr>
          <w:rFonts w:ascii="Arial Narrow" w:hAnsi="Arial Narrow"/>
          <w:sz w:val="20"/>
          <w:szCs w:val="20"/>
        </w:rPr>
      </w:pPr>
    </w:p>
    <w:p w14:paraId="0C507072" w14:textId="04F68C26" w:rsidR="00DD4788" w:rsidRDefault="00F308C6" w:rsidP="00F308C6">
      <w:pPr>
        <w:jc w:val="both"/>
        <w:rPr>
          <w:rFonts w:ascii="Arial Narrow" w:hAnsi="Arial Narrow"/>
          <w:b/>
          <w:u w:val="single"/>
        </w:rPr>
      </w:pPr>
      <w:r w:rsidRPr="005D1E77">
        <w:rPr>
          <w:rFonts w:ascii="Arial Narrow" w:hAnsi="Arial Narrow"/>
          <w:b/>
          <w:u w:val="single"/>
        </w:rPr>
        <w:t xml:space="preserve">2. Derechos a recibir en efectivo o equivalente y bienes o servicios.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F308C6" w:rsidRPr="005D1E77" w14:paraId="04E9C3CE"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5742402B" w14:textId="77777777" w:rsidR="00F308C6" w:rsidRPr="005D1E77" w:rsidRDefault="00F308C6" w:rsidP="007864AE">
            <w:pPr>
              <w:jc w:val="both"/>
              <w:rPr>
                <w:rFonts w:ascii="Arial Narrow" w:hAnsi="Arial Narrow"/>
                <w:sz w:val="18"/>
                <w:szCs w:val="18"/>
              </w:rPr>
            </w:pPr>
            <w:r w:rsidRPr="005D1E77">
              <w:rPr>
                <w:rFonts w:ascii="Arial Narrow" w:hAnsi="Arial Narrow"/>
                <w:sz w:val="18"/>
                <w:szCs w:val="18"/>
              </w:rPr>
              <w:t>Concepto</w:t>
            </w:r>
          </w:p>
        </w:tc>
        <w:tc>
          <w:tcPr>
            <w:tcW w:w="1243" w:type="dxa"/>
          </w:tcPr>
          <w:p w14:paraId="23A496DA"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Importe</w:t>
            </w:r>
          </w:p>
        </w:tc>
        <w:tc>
          <w:tcPr>
            <w:tcW w:w="2104" w:type="dxa"/>
          </w:tcPr>
          <w:p w14:paraId="7C3BEBE1"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Antigüedad</w:t>
            </w:r>
          </w:p>
        </w:tc>
        <w:tc>
          <w:tcPr>
            <w:tcW w:w="1783" w:type="dxa"/>
          </w:tcPr>
          <w:p w14:paraId="21D509E8"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Factibilidad de cobro</w:t>
            </w:r>
          </w:p>
        </w:tc>
      </w:tr>
      <w:tr w:rsidR="00EA6636" w:rsidRPr="005D1E77" w14:paraId="702ED05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741E36CF" w14:textId="78E0E9F5" w:rsidR="00EA6636" w:rsidRPr="005D1E77" w:rsidRDefault="00EA6636" w:rsidP="00EA6636">
            <w:pPr>
              <w:jc w:val="both"/>
              <w:rPr>
                <w:rFonts w:ascii="Arial Narrow" w:hAnsi="Arial Narrow"/>
                <w:b w:val="0"/>
                <w:sz w:val="18"/>
                <w:szCs w:val="18"/>
              </w:rPr>
            </w:pPr>
            <w:r>
              <w:rPr>
                <w:rFonts w:ascii="Arial Narrow" w:hAnsi="Arial Narrow"/>
                <w:b w:val="0"/>
                <w:sz w:val="18"/>
                <w:szCs w:val="18"/>
              </w:rPr>
              <w:t>Cuentas por cobrar a corto plazo</w:t>
            </w:r>
          </w:p>
        </w:tc>
        <w:tc>
          <w:tcPr>
            <w:tcW w:w="1243" w:type="dxa"/>
          </w:tcPr>
          <w:p w14:paraId="462995FD" w14:textId="677C6725" w:rsidR="00EA6636" w:rsidRPr="005D1E77" w:rsidRDefault="00EA6636" w:rsidP="00EA66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666.78</w:t>
            </w:r>
          </w:p>
        </w:tc>
        <w:tc>
          <w:tcPr>
            <w:tcW w:w="2104" w:type="dxa"/>
          </w:tcPr>
          <w:p w14:paraId="446BEF3D" w14:textId="6547B0AB" w:rsidR="00EA6636" w:rsidRPr="005D1E77" w:rsidRDefault="00EA6636"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w:t>
            </w:r>
            <w:r w:rsidR="009B57E9">
              <w:rPr>
                <w:rFonts w:ascii="Arial Narrow" w:hAnsi="Arial Narrow"/>
                <w:sz w:val="18"/>
                <w:szCs w:val="18"/>
              </w:rPr>
              <w:t>enor a un año</w:t>
            </w:r>
          </w:p>
        </w:tc>
        <w:tc>
          <w:tcPr>
            <w:tcW w:w="1783" w:type="dxa"/>
          </w:tcPr>
          <w:p w14:paraId="7BC5D950" w14:textId="03CE13D8" w:rsidR="00EA6636" w:rsidRDefault="00B439F7"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EA6636" w:rsidRPr="005D1E77" w14:paraId="33C6BDE3"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170963FF" w14:textId="77777777" w:rsidR="00EA6636" w:rsidRPr="005D1E77" w:rsidRDefault="00EA6636" w:rsidP="00EA6636">
            <w:pPr>
              <w:jc w:val="both"/>
              <w:rPr>
                <w:rFonts w:ascii="Arial Narrow" w:hAnsi="Arial Narrow"/>
                <w:b w:val="0"/>
                <w:sz w:val="18"/>
                <w:szCs w:val="18"/>
              </w:rPr>
            </w:pPr>
            <w:r w:rsidRPr="005D1E77">
              <w:rPr>
                <w:rFonts w:ascii="Arial Narrow" w:hAnsi="Arial Narrow"/>
                <w:b w:val="0"/>
                <w:sz w:val="18"/>
                <w:szCs w:val="18"/>
              </w:rPr>
              <w:t xml:space="preserve">Deudores diversos a corto plazo </w:t>
            </w:r>
          </w:p>
        </w:tc>
        <w:tc>
          <w:tcPr>
            <w:tcW w:w="1243" w:type="dxa"/>
          </w:tcPr>
          <w:p w14:paraId="5E4DDCEA" w14:textId="5DF327FB" w:rsidR="00EA6636" w:rsidRPr="005D1E77" w:rsidRDefault="00EA6636" w:rsidP="00EA66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5</w:t>
            </w:r>
            <w:r w:rsidR="00B439F7">
              <w:rPr>
                <w:rFonts w:ascii="Arial Narrow" w:hAnsi="Arial Narrow"/>
                <w:sz w:val="18"/>
                <w:szCs w:val="18"/>
              </w:rPr>
              <w:t>10,646.56</w:t>
            </w:r>
          </w:p>
        </w:tc>
        <w:tc>
          <w:tcPr>
            <w:tcW w:w="2104" w:type="dxa"/>
          </w:tcPr>
          <w:p w14:paraId="6C20EE72" w14:textId="77777777" w:rsidR="00EA6636" w:rsidRPr="005D1E77" w:rsidRDefault="00EA6636" w:rsidP="00EA66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Mayor a un año</w:t>
            </w:r>
          </w:p>
        </w:tc>
        <w:tc>
          <w:tcPr>
            <w:tcW w:w="1783" w:type="dxa"/>
          </w:tcPr>
          <w:p w14:paraId="46688BC4" w14:textId="77777777" w:rsidR="00EA6636" w:rsidRPr="005D1E77" w:rsidRDefault="00EA6636" w:rsidP="00EA66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EA6636" w:rsidRPr="005D1E77" w14:paraId="4F0456D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1CD7D5F" w14:textId="77777777" w:rsidR="00EA6636" w:rsidRDefault="00EA6636" w:rsidP="00EA6636">
            <w:pPr>
              <w:jc w:val="both"/>
              <w:rPr>
                <w:rFonts w:ascii="Arial Narrow" w:hAnsi="Arial Narrow"/>
                <w:b w:val="0"/>
                <w:sz w:val="18"/>
                <w:szCs w:val="18"/>
              </w:rPr>
            </w:pPr>
            <w:r>
              <w:rPr>
                <w:rFonts w:ascii="Arial Narrow" w:hAnsi="Arial Narrow"/>
                <w:b w:val="0"/>
                <w:sz w:val="18"/>
                <w:szCs w:val="18"/>
              </w:rPr>
              <w:t>Derechos a recibir de bienes o servicios</w:t>
            </w:r>
          </w:p>
        </w:tc>
        <w:tc>
          <w:tcPr>
            <w:tcW w:w="1243" w:type="dxa"/>
          </w:tcPr>
          <w:p w14:paraId="134F5B50" w14:textId="16EEEA2A" w:rsidR="00EA6636" w:rsidRDefault="00EA6636" w:rsidP="00EA6636">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 xml:space="preserve">$  </w:t>
            </w:r>
            <w:r w:rsidR="00B439F7">
              <w:rPr>
                <w:rFonts w:ascii="Arial Narrow" w:hAnsi="Arial Narrow"/>
                <w:sz w:val="18"/>
                <w:szCs w:val="18"/>
              </w:rPr>
              <w:t>6,664,220.43</w:t>
            </w:r>
            <w:proofErr w:type="gramEnd"/>
          </w:p>
        </w:tc>
        <w:tc>
          <w:tcPr>
            <w:tcW w:w="2104" w:type="dxa"/>
          </w:tcPr>
          <w:p w14:paraId="666ECF92" w14:textId="15D67CB2" w:rsidR="00EA6636" w:rsidRPr="005D1E77" w:rsidRDefault="00EA6636"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w:t>
            </w:r>
            <w:r w:rsidR="00B439F7">
              <w:rPr>
                <w:rFonts w:ascii="Arial Narrow" w:hAnsi="Arial Narrow"/>
                <w:sz w:val="18"/>
                <w:szCs w:val="18"/>
              </w:rPr>
              <w:t>enor a un año</w:t>
            </w:r>
          </w:p>
        </w:tc>
        <w:tc>
          <w:tcPr>
            <w:tcW w:w="1783" w:type="dxa"/>
          </w:tcPr>
          <w:p w14:paraId="441E0721" w14:textId="77777777" w:rsidR="00EA6636" w:rsidRPr="005D1E77" w:rsidRDefault="00EA6636" w:rsidP="00EA6636">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Buena </w:t>
            </w:r>
          </w:p>
        </w:tc>
      </w:tr>
      <w:tr w:rsidR="00EA6636" w:rsidRPr="005D1E77" w14:paraId="7A827C9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7483D4AF" w14:textId="77777777" w:rsidR="00EA6636" w:rsidRPr="005D1E77" w:rsidRDefault="00EA6636" w:rsidP="00EA6636">
            <w:pPr>
              <w:jc w:val="both"/>
              <w:rPr>
                <w:rFonts w:ascii="Arial Narrow" w:hAnsi="Arial Narrow"/>
                <w:b w:val="0"/>
                <w:sz w:val="18"/>
                <w:szCs w:val="18"/>
              </w:rPr>
            </w:pPr>
          </w:p>
        </w:tc>
        <w:tc>
          <w:tcPr>
            <w:tcW w:w="1243" w:type="dxa"/>
          </w:tcPr>
          <w:p w14:paraId="00833D55" w14:textId="77777777" w:rsidR="00EA6636" w:rsidRPr="005D1E77" w:rsidRDefault="00EA6636" w:rsidP="00EA6636">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2104" w:type="dxa"/>
          </w:tcPr>
          <w:p w14:paraId="45D48DD1" w14:textId="77777777" w:rsidR="00EA6636" w:rsidRPr="005D1E77" w:rsidRDefault="00EA6636" w:rsidP="00EA66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783" w:type="dxa"/>
          </w:tcPr>
          <w:p w14:paraId="06515DA7" w14:textId="77777777" w:rsidR="00EA6636" w:rsidRPr="005D1E77" w:rsidRDefault="00EA6636" w:rsidP="00EA6636">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7AF3DF5D" w14:textId="77777777" w:rsidR="00F308C6" w:rsidRDefault="00F308C6" w:rsidP="00F308C6">
      <w:pPr>
        <w:jc w:val="both"/>
        <w:rPr>
          <w:rFonts w:ascii="Arial Narrow" w:hAnsi="Arial Narrow"/>
        </w:rPr>
      </w:pPr>
    </w:p>
    <w:p w14:paraId="78CCD982" w14:textId="77777777" w:rsidR="00F308C6" w:rsidRPr="005D1E77" w:rsidRDefault="00F308C6" w:rsidP="00F308C6">
      <w:pPr>
        <w:jc w:val="both"/>
        <w:rPr>
          <w:rFonts w:ascii="Arial Narrow" w:hAnsi="Arial Narrow"/>
          <w:b/>
        </w:rPr>
      </w:pPr>
      <w:r w:rsidRPr="005D1E77">
        <w:rPr>
          <w:rFonts w:ascii="Arial Narrow" w:hAnsi="Arial Narrow"/>
        </w:rPr>
        <w:lastRenderedPageBreak/>
        <w:t>Deudores Diversos: son saldos originados por gastos a comprobar y responsabilidades de funcionarios públicos provenientes de ejercicios de 201</w:t>
      </w:r>
      <w:r>
        <w:rPr>
          <w:rFonts w:ascii="Arial Narrow" w:hAnsi="Arial Narrow"/>
        </w:rPr>
        <w:t xml:space="preserve">9 </w:t>
      </w:r>
      <w:r w:rsidRPr="005D1E77">
        <w:rPr>
          <w:rFonts w:ascii="Arial Narrow" w:hAnsi="Arial Narrow"/>
        </w:rPr>
        <w:t>y anteriores.</w:t>
      </w:r>
    </w:p>
    <w:p w14:paraId="65C151A0" w14:textId="77777777" w:rsidR="00F308C6" w:rsidRPr="005D1E77" w:rsidRDefault="00F308C6" w:rsidP="00F308C6">
      <w:pPr>
        <w:jc w:val="both"/>
        <w:rPr>
          <w:rFonts w:ascii="Arial Narrow" w:hAnsi="Arial Narrow"/>
          <w:b/>
          <w:u w:val="single"/>
        </w:rPr>
      </w:pPr>
      <w:r w:rsidRPr="005D1E77">
        <w:rPr>
          <w:rFonts w:ascii="Arial Narrow" w:hAnsi="Arial Narrow"/>
          <w:b/>
          <w:u w:val="single"/>
        </w:rPr>
        <w:t>3. Bienes para su transformación o consumo (inventarios).</w:t>
      </w:r>
    </w:p>
    <w:p w14:paraId="44655BA3" w14:textId="77777777" w:rsidR="00F308C6" w:rsidRPr="005D1E77" w:rsidRDefault="00F308C6" w:rsidP="00F308C6">
      <w:pPr>
        <w:jc w:val="both"/>
        <w:rPr>
          <w:rFonts w:ascii="Arial Narrow" w:hAnsi="Arial Narrow"/>
        </w:rPr>
      </w:pPr>
      <w:r w:rsidRPr="005D1E77">
        <w:rPr>
          <w:rFonts w:ascii="Arial Narrow" w:hAnsi="Arial Narrow"/>
        </w:rPr>
        <w:t>No aplica.</w:t>
      </w:r>
    </w:p>
    <w:p w14:paraId="7F79675C" w14:textId="77777777" w:rsidR="00F308C6" w:rsidRPr="005D1E77" w:rsidRDefault="00F308C6" w:rsidP="00F308C6">
      <w:pPr>
        <w:jc w:val="both"/>
        <w:rPr>
          <w:rFonts w:ascii="Arial Narrow" w:hAnsi="Arial Narrow"/>
          <w:b/>
          <w:u w:val="single"/>
        </w:rPr>
      </w:pPr>
      <w:r w:rsidRPr="005D1E77">
        <w:rPr>
          <w:rFonts w:ascii="Arial Narrow" w:hAnsi="Arial Narrow"/>
          <w:b/>
          <w:u w:val="single"/>
        </w:rPr>
        <w:t>4. Inversiones financieras.</w:t>
      </w:r>
    </w:p>
    <w:p w14:paraId="6F7F2AE2" w14:textId="77777777" w:rsidR="00F308C6" w:rsidRPr="005D1E77" w:rsidRDefault="00F308C6" w:rsidP="00F308C6">
      <w:pPr>
        <w:jc w:val="both"/>
        <w:rPr>
          <w:rFonts w:ascii="Arial Narrow" w:hAnsi="Arial Narrow"/>
        </w:rPr>
      </w:pPr>
      <w:r w:rsidRPr="005D1E77">
        <w:rPr>
          <w:rFonts w:ascii="Arial Narrow" w:hAnsi="Arial Narrow"/>
        </w:rPr>
        <w:t>No aplica.</w:t>
      </w:r>
    </w:p>
    <w:p w14:paraId="7C9D00AE" w14:textId="77777777" w:rsidR="00F308C6" w:rsidRPr="005D1E77" w:rsidRDefault="00F308C6" w:rsidP="00F308C6">
      <w:pPr>
        <w:jc w:val="both"/>
        <w:rPr>
          <w:rFonts w:ascii="Arial Narrow" w:hAnsi="Arial Narrow"/>
          <w:b/>
          <w:u w:val="single"/>
        </w:rPr>
      </w:pPr>
      <w:r w:rsidRPr="005D1E77">
        <w:rPr>
          <w:rFonts w:ascii="Arial Narrow" w:hAnsi="Arial Narrow"/>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F308C6" w:rsidRPr="005D1E77" w14:paraId="3C6FDB51"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E3018A9"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Concepto</w:t>
            </w:r>
          </w:p>
        </w:tc>
        <w:tc>
          <w:tcPr>
            <w:tcW w:w="1735" w:type="dxa"/>
          </w:tcPr>
          <w:p w14:paraId="062ED235" w14:textId="77777777" w:rsidR="00F308C6" w:rsidRPr="006B5D62"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Monto</w:t>
            </w:r>
          </w:p>
        </w:tc>
        <w:tc>
          <w:tcPr>
            <w:tcW w:w="1236" w:type="dxa"/>
          </w:tcPr>
          <w:p w14:paraId="4D42E151" w14:textId="77777777" w:rsidR="00F308C6" w:rsidRPr="006B5D6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Depreciación del ejercicio</w:t>
            </w:r>
          </w:p>
        </w:tc>
        <w:tc>
          <w:tcPr>
            <w:tcW w:w="1387" w:type="dxa"/>
          </w:tcPr>
          <w:p w14:paraId="19CAC4C2" w14:textId="77777777" w:rsidR="00F308C6" w:rsidRPr="006B5D6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Depreciación acumulada</w:t>
            </w:r>
          </w:p>
        </w:tc>
        <w:tc>
          <w:tcPr>
            <w:tcW w:w="1454" w:type="dxa"/>
          </w:tcPr>
          <w:p w14:paraId="12EB0246" w14:textId="77777777" w:rsidR="00F308C6" w:rsidRPr="006B5D6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Tasa de depreciación</w:t>
            </w:r>
          </w:p>
        </w:tc>
        <w:tc>
          <w:tcPr>
            <w:tcW w:w="1600" w:type="dxa"/>
          </w:tcPr>
          <w:p w14:paraId="5CC2E8F5" w14:textId="77777777" w:rsidR="00F308C6" w:rsidRPr="006B5D62" w:rsidRDefault="00F308C6" w:rsidP="007864A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Estado en que se encuentran</w:t>
            </w:r>
          </w:p>
        </w:tc>
      </w:tr>
      <w:tr w:rsidR="00F308C6" w:rsidRPr="005D1E77" w14:paraId="14F8ECDD" w14:textId="77777777" w:rsidTr="007864AE">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2A3D83E0" w14:textId="77777777" w:rsidR="00F308C6" w:rsidRPr="006B5D62" w:rsidRDefault="00F308C6" w:rsidP="007864AE">
            <w:pPr>
              <w:jc w:val="both"/>
              <w:rPr>
                <w:rFonts w:ascii="Arial Narrow" w:hAnsi="Arial Narrow"/>
                <w:sz w:val="18"/>
                <w:szCs w:val="18"/>
              </w:rPr>
            </w:pPr>
            <w:r w:rsidRPr="006B5D62">
              <w:rPr>
                <w:rFonts w:ascii="Arial Narrow" w:hAnsi="Arial Narrow"/>
                <w:sz w:val="18"/>
                <w:szCs w:val="18"/>
              </w:rPr>
              <w:t>BIENES MUEBLES</w:t>
            </w:r>
          </w:p>
        </w:tc>
      </w:tr>
      <w:tr w:rsidR="00F308C6" w:rsidRPr="005D1E77" w14:paraId="4418D1D5"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CA38E83"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Muebles de oficina y estantería</w:t>
            </w:r>
          </w:p>
        </w:tc>
        <w:tc>
          <w:tcPr>
            <w:tcW w:w="1735" w:type="dxa"/>
          </w:tcPr>
          <w:p w14:paraId="199F0239" w14:textId="25276BFC"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DA5F8D">
              <w:rPr>
                <w:rFonts w:ascii="Arial Narrow" w:hAnsi="Arial Narrow"/>
                <w:sz w:val="18"/>
                <w:szCs w:val="18"/>
              </w:rPr>
              <w:t xml:space="preserve">$  </w:t>
            </w:r>
            <w:r w:rsidR="00B439F7">
              <w:rPr>
                <w:rFonts w:ascii="Arial Narrow" w:hAnsi="Arial Narrow"/>
                <w:sz w:val="18"/>
                <w:szCs w:val="18"/>
              </w:rPr>
              <w:t>9,396,352.66</w:t>
            </w:r>
            <w:proofErr w:type="gramEnd"/>
          </w:p>
        </w:tc>
        <w:tc>
          <w:tcPr>
            <w:tcW w:w="1236" w:type="dxa"/>
          </w:tcPr>
          <w:p w14:paraId="0424F4E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18D37A7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040CE997"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E6A0398"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57690556"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736BCB6"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Equipo de cómputo y de tecnologías de la información</w:t>
            </w:r>
          </w:p>
        </w:tc>
        <w:tc>
          <w:tcPr>
            <w:tcW w:w="1735" w:type="dxa"/>
          </w:tcPr>
          <w:p w14:paraId="59F24DE9" w14:textId="4E528FE1"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w:t>
            </w:r>
            <w:r w:rsidR="00B439F7">
              <w:rPr>
                <w:rFonts w:ascii="Arial Narrow" w:hAnsi="Arial Narrow"/>
                <w:sz w:val="18"/>
                <w:szCs w:val="18"/>
              </w:rPr>
              <w:t>9,476,465.77</w:t>
            </w:r>
          </w:p>
        </w:tc>
        <w:tc>
          <w:tcPr>
            <w:tcW w:w="1236" w:type="dxa"/>
          </w:tcPr>
          <w:p w14:paraId="3FA3BB89"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075E5316"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48A61E13"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27DCA9C0"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5DB5BF6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2FEA53B"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Mobiliario y equipo educacional y recreativo</w:t>
            </w:r>
          </w:p>
        </w:tc>
        <w:tc>
          <w:tcPr>
            <w:tcW w:w="1735" w:type="dxa"/>
          </w:tcPr>
          <w:p w14:paraId="2E15C557" w14:textId="68412C5E"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xml:space="preserve">$      </w:t>
            </w:r>
            <w:r w:rsidR="00DD4788">
              <w:rPr>
                <w:rFonts w:ascii="Arial Narrow" w:hAnsi="Arial Narrow"/>
                <w:sz w:val="18"/>
                <w:szCs w:val="18"/>
              </w:rPr>
              <w:t>127,941.20</w:t>
            </w:r>
          </w:p>
        </w:tc>
        <w:tc>
          <w:tcPr>
            <w:tcW w:w="1236" w:type="dxa"/>
          </w:tcPr>
          <w:p w14:paraId="14406CA8"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0695188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0DB1FC1"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115DFCBE"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F308C6" w:rsidRPr="005D1E77" w14:paraId="576FB4A6"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07C4C47"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Equipos y aparatos audiovisuales</w:t>
            </w:r>
          </w:p>
        </w:tc>
        <w:tc>
          <w:tcPr>
            <w:tcW w:w="1735" w:type="dxa"/>
          </w:tcPr>
          <w:p w14:paraId="5B86F750" w14:textId="38F26B5E"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2</w:t>
            </w:r>
            <w:r w:rsidR="00B439F7">
              <w:rPr>
                <w:rFonts w:ascii="Arial Narrow" w:hAnsi="Arial Narrow"/>
                <w:sz w:val="18"/>
                <w:szCs w:val="18"/>
              </w:rPr>
              <w:t>66,</w:t>
            </w:r>
            <w:r w:rsidR="00DD4788">
              <w:rPr>
                <w:rFonts w:ascii="Arial Narrow" w:hAnsi="Arial Narrow"/>
                <w:sz w:val="18"/>
                <w:szCs w:val="18"/>
              </w:rPr>
              <w:t>434.80</w:t>
            </w:r>
          </w:p>
        </w:tc>
        <w:tc>
          <w:tcPr>
            <w:tcW w:w="1236" w:type="dxa"/>
          </w:tcPr>
          <w:p w14:paraId="63CAA8C1"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70B8D525"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7DD5CEE5"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E6F1B1C"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600FAA5B"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37215F9"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Otros mobiliarios y equipos de administración</w:t>
            </w:r>
          </w:p>
        </w:tc>
        <w:tc>
          <w:tcPr>
            <w:tcW w:w="1735" w:type="dxa"/>
          </w:tcPr>
          <w:p w14:paraId="7AC1F135" w14:textId="379764C1"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xml:space="preserve">$      </w:t>
            </w:r>
            <w:r w:rsidR="00B439F7">
              <w:rPr>
                <w:rFonts w:ascii="Arial Narrow" w:hAnsi="Arial Narrow"/>
                <w:sz w:val="18"/>
                <w:szCs w:val="18"/>
              </w:rPr>
              <w:t>865,554.51</w:t>
            </w:r>
          </w:p>
        </w:tc>
        <w:tc>
          <w:tcPr>
            <w:tcW w:w="1236" w:type="dxa"/>
          </w:tcPr>
          <w:p w14:paraId="7D4F72E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6BF8742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358D648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C56268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Mal estado</w:t>
            </w:r>
          </w:p>
        </w:tc>
      </w:tr>
      <w:tr w:rsidR="00F308C6" w:rsidRPr="005D1E77" w14:paraId="1BF019A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4074531"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Cámaras fotográficas y de video</w:t>
            </w:r>
          </w:p>
        </w:tc>
        <w:tc>
          <w:tcPr>
            <w:tcW w:w="1735" w:type="dxa"/>
          </w:tcPr>
          <w:p w14:paraId="35F6445D" w14:textId="191AB22A"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w:t>
            </w:r>
            <w:r w:rsidR="00DD4788">
              <w:rPr>
                <w:rFonts w:ascii="Arial Narrow" w:hAnsi="Arial Narrow"/>
                <w:sz w:val="18"/>
                <w:szCs w:val="18"/>
              </w:rPr>
              <w:t>19,570.28</w:t>
            </w:r>
          </w:p>
        </w:tc>
        <w:tc>
          <w:tcPr>
            <w:tcW w:w="1236" w:type="dxa"/>
          </w:tcPr>
          <w:p w14:paraId="43A97C47"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8117720"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3113DD78"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62240C13"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551EA3C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5160DD0"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Vehículos y equipo de transporte</w:t>
            </w:r>
          </w:p>
        </w:tc>
        <w:tc>
          <w:tcPr>
            <w:tcW w:w="1735" w:type="dxa"/>
          </w:tcPr>
          <w:p w14:paraId="1A1CCA18"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4,186,113.25</w:t>
            </w:r>
          </w:p>
        </w:tc>
        <w:tc>
          <w:tcPr>
            <w:tcW w:w="1236" w:type="dxa"/>
          </w:tcPr>
          <w:p w14:paraId="5D81B2E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53B99DB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12E34B3F"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34CA6F5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Dos en mal estado</w:t>
            </w:r>
          </w:p>
        </w:tc>
      </w:tr>
      <w:tr w:rsidR="00F308C6" w:rsidRPr="005D1E77" w14:paraId="6D8E599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37D6867"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Otros equipos de trasporte</w:t>
            </w:r>
          </w:p>
        </w:tc>
        <w:tc>
          <w:tcPr>
            <w:tcW w:w="1735" w:type="dxa"/>
          </w:tcPr>
          <w:p w14:paraId="4D1AF4DC"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321,979.12</w:t>
            </w:r>
          </w:p>
        </w:tc>
        <w:tc>
          <w:tcPr>
            <w:tcW w:w="1236" w:type="dxa"/>
          </w:tcPr>
          <w:p w14:paraId="1E3073AA"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43D20F22"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6C9B650A"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20801ABC"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F308C6" w:rsidRPr="005D1E77" w14:paraId="6A03C276"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90EDD28"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 xml:space="preserve">Carrocerías </w:t>
            </w:r>
          </w:p>
        </w:tc>
        <w:tc>
          <w:tcPr>
            <w:tcW w:w="1735" w:type="dxa"/>
          </w:tcPr>
          <w:p w14:paraId="1A46F41E"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37,000.00</w:t>
            </w:r>
          </w:p>
        </w:tc>
        <w:tc>
          <w:tcPr>
            <w:tcW w:w="1236" w:type="dxa"/>
          </w:tcPr>
          <w:p w14:paraId="2F0FD94C"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0E100D82"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8E2DFFD"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52B7A362"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p>
        </w:tc>
      </w:tr>
      <w:tr w:rsidR="00F308C6" w:rsidRPr="005D1E77" w14:paraId="70C9129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D481D3B"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Equipo de comunicación y telecomunicación</w:t>
            </w:r>
          </w:p>
        </w:tc>
        <w:tc>
          <w:tcPr>
            <w:tcW w:w="1735" w:type="dxa"/>
          </w:tcPr>
          <w:p w14:paraId="42963DA5"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118,739.20</w:t>
            </w:r>
          </w:p>
        </w:tc>
        <w:tc>
          <w:tcPr>
            <w:tcW w:w="1236" w:type="dxa"/>
          </w:tcPr>
          <w:p w14:paraId="18C7BB49"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416898EA"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4BF2817"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1471E77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34BD7718"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CDB6008"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Aparatos y accesorios eléctricos</w:t>
            </w:r>
          </w:p>
        </w:tc>
        <w:tc>
          <w:tcPr>
            <w:tcW w:w="1735" w:type="dxa"/>
          </w:tcPr>
          <w:p w14:paraId="36FFF4D7"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1,146,532.30</w:t>
            </w:r>
          </w:p>
        </w:tc>
        <w:tc>
          <w:tcPr>
            <w:tcW w:w="1236" w:type="dxa"/>
          </w:tcPr>
          <w:p w14:paraId="14609F2B"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9C6FDE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4207531F"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2E0C9BB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Mal estado</w:t>
            </w:r>
          </w:p>
        </w:tc>
      </w:tr>
      <w:tr w:rsidR="00F308C6" w:rsidRPr="005D1E77" w14:paraId="2907AEA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38EAA7C"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Herramientas y máquinas-herramienta</w:t>
            </w:r>
          </w:p>
        </w:tc>
        <w:tc>
          <w:tcPr>
            <w:tcW w:w="1735" w:type="dxa"/>
          </w:tcPr>
          <w:p w14:paraId="732F3DEC"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598,993.20</w:t>
            </w:r>
          </w:p>
        </w:tc>
        <w:tc>
          <w:tcPr>
            <w:tcW w:w="1236" w:type="dxa"/>
          </w:tcPr>
          <w:p w14:paraId="76676FA2"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79327F1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1420B6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DBBCF2B"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tr w:rsidR="00F308C6" w:rsidRPr="005D1E77" w14:paraId="271CCCF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C39389" w14:textId="77777777" w:rsidR="00F308C6" w:rsidRPr="006B5D62" w:rsidRDefault="00F308C6" w:rsidP="007864AE">
            <w:pPr>
              <w:jc w:val="both"/>
              <w:rPr>
                <w:rFonts w:ascii="Arial Narrow" w:hAnsi="Arial Narrow"/>
                <w:b w:val="0"/>
                <w:bCs w:val="0"/>
                <w:sz w:val="18"/>
                <w:szCs w:val="18"/>
              </w:rPr>
            </w:pPr>
            <w:r w:rsidRPr="006B5D62">
              <w:rPr>
                <w:rFonts w:ascii="Arial Narrow" w:hAnsi="Arial Narrow"/>
                <w:b w:val="0"/>
                <w:bCs w:val="0"/>
                <w:sz w:val="18"/>
                <w:szCs w:val="18"/>
              </w:rPr>
              <w:t>Equipo de defensa y seguridad</w:t>
            </w:r>
          </w:p>
        </w:tc>
        <w:tc>
          <w:tcPr>
            <w:tcW w:w="1735" w:type="dxa"/>
          </w:tcPr>
          <w:p w14:paraId="37FFACF6" w14:textId="77777777" w:rsidR="00F308C6" w:rsidRPr="00DA5F8D"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50,740.13</w:t>
            </w:r>
          </w:p>
        </w:tc>
        <w:tc>
          <w:tcPr>
            <w:tcW w:w="1236" w:type="dxa"/>
          </w:tcPr>
          <w:p w14:paraId="669B2A10"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69A999B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2A7A6BD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35876AE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11A4A29A"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6EF667D" w14:textId="77777777" w:rsidR="00F308C6" w:rsidRPr="006B5D62" w:rsidRDefault="00F308C6" w:rsidP="007864AE">
            <w:pPr>
              <w:jc w:val="both"/>
              <w:rPr>
                <w:rFonts w:ascii="Arial Narrow" w:hAnsi="Arial Narrow"/>
                <w:b w:val="0"/>
                <w:bCs w:val="0"/>
                <w:sz w:val="18"/>
                <w:szCs w:val="18"/>
              </w:rPr>
            </w:pPr>
            <w:bookmarkStart w:id="2" w:name="_Hlk37681790"/>
            <w:r w:rsidRPr="006B5D62">
              <w:rPr>
                <w:rFonts w:ascii="Arial Narrow" w:hAnsi="Arial Narrow"/>
                <w:b w:val="0"/>
                <w:bCs w:val="0"/>
                <w:sz w:val="18"/>
                <w:szCs w:val="18"/>
              </w:rPr>
              <w:t>Activos intangibles</w:t>
            </w:r>
          </w:p>
        </w:tc>
        <w:tc>
          <w:tcPr>
            <w:tcW w:w="1735" w:type="dxa"/>
          </w:tcPr>
          <w:p w14:paraId="793B8593" w14:textId="77777777" w:rsidR="00F308C6" w:rsidRPr="00DA5F8D"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1,256,537.91</w:t>
            </w:r>
          </w:p>
        </w:tc>
        <w:tc>
          <w:tcPr>
            <w:tcW w:w="1236" w:type="dxa"/>
          </w:tcPr>
          <w:p w14:paraId="7B805322"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05022D93"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3F9B1B5F"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3C75E37A"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bookmarkEnd w:id="2"/>
      <w:tr w:rsidR="00F308C6" w:rsidRPr="006B5D62" w14:paraId="358C5873"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3FEBB45" w14:textId="77777777" w:rsidR="00F308C6" w:rsidRPr="006B5D62" w:rsidRDefault="00F308C6" w:rsidP="007864AE">
            <w:pPr>
              <w:jc w:val="both"/>
              <w:rPr>
                <w:rFonts w:ascii="Arial Narrow" w:hAnsi="Arial Narrow"/>
                <w:b w:val="0"/>
                <w:bCs w:val="0"/>
                <w:sz w:val="18"/>
                <w:szCs w:val="18"/>
              </w:rPr>
            </w:pPr>
            <w:r>
              <w:rPr>
                <w:rFonts w:ascii="Arial Narrow" w:hAnsi="Arial Narrow"/>
                <w:b w:val="0"/>
                <w:bCs w:val="0"/>
                <w:sz w:val="18"/>
                <w:szCs w:val="18"/>
              </w:rPr>
              <w:t>Otros equipos</w:t>
            </w:r>
          </w:p>
        </w:tc>
        <w:tc>
          <w:tcPr>
            <w:tcW w:w="1735" w:type="dxa"/>
          </w:tcPr>
          <w:p w14:paraId="0E63314B" w14:textId="77777777" w:rsidR="00F308C6" w:rsidRPr="00DA5F8D" w:rsidRDefault="00F308C6" w:rsidP="007864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xml:space="preserve">          $      325,592.37</w:t>
            </w:r>
          </w:p>
        </w:tc>
        <w:tc>
          <w:tcPr>
            <w:tcW w:w="1236" w:type="dxa"/>
          </w:tcPr>
          <w:p w14:paraId="0E66BB07"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1621B88A"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26B13411"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72730E9"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w:t>
            </w:r>
            <w:r>
              <w:rPr>
                <w:rFonts w:ascii="Arial Narrow" w:hAnsi="Arial Narrow"/>
                <w:sz w:val="18"/>
                <w:szCs w:val="18"/>
              </w:rPr>
              <w:t xml:space="preserve"> Estado</w:t>
            </w:r>
            <w:r w:rsidRPr="006B5D62">
              <w:rPr>
                <w:rFonts w:ascii="Arial Narrow" w:hAnsi="Arial Narrow"/>
                <w:sz w:val="18"/>
                <w:szCs w:val="18"/>
              </w:rPr>
              <w:t xml:space="preserve"> </w:t>
            </w:r>
          </w:p>
        </w:tc>
      </w:tr>
      <w:tr w:rsidR="00F308C6" w:rsidRPr="005D1E77" w14:paraId="551BBAD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42A0CB7" w14:textId="77777777" w:rsidR="00F308C6" w:rsidRPr="006B5D62" w:rsidRDefault="00F308C6" w:rsidP="007864AE">
            <w:pPr>
              <w:jc w:val="both"/>
              <w:rPr>
                <w:rFonts w:ascii="Arial Narrow" w:hAnsi="Arial Narrow"/>
                <w:b w:val="0"/>
                <w:bCs w:val="0"/>
                <w:sz w:val="18"/>
                <w:szCs w:val="18"/>
              </w:rPr>
            </w:pPr>
            <w:r>
              <w:rPr>
                <w:rFonts w:ascii="Arial Narrow" w:hAnsi="Arial Narrow"/>
                <w:b w:val="0"/>
                <w:bCs w:val="0"/>
                <w:sz w:val="18"/>
                <w:szCs w:val="18"/>
              </w:rPr>
              <w:t>Muebles, excepto de oficina y estanteria</w:t>
            </w:r>
          </w:p>
        </w:tc>
        <w:tc>
          <w:tcPr>
            <w:tcW w:w="1735" w:type="dxa"/>
          </w:tcPr>
          <w:p w14:paraId="3C36B99F" w14:textId="77777777" w:rsidR="00F308C6" w:rsidRPr="00DA5F8D" w:rsidRDefault="00F308C6" w:rsidP="007864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xml:space="preserve">          $        22,499.00</w:t>
            </w:r>
          </w:p>
        </w:tc>
        <w:tc>
          <w:tcPr>
            <w:tcW w:w="1236" w:type="dxa"/>
          </w:tcPr>
          <w:p w14:paraId="1A7BED3E" w14:textId="77777777" w:rsidR="00F308C6" w:rsidRPr="00E2570C"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387" w:type="dxa"/>
          </w:tcPr>
          <w:p w14:paraId="1F492D41" w14:textId="77777777" w:rsidR="00F308C6" w:rsidRPr="00E2570C"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454" w:type="dxa"/>
          </w:tcPr>
          <w:p w14:paraId="5559E643" w14:textId="77777777" w:rsidR="00F308C6" w:rsidRPr="00E2570C"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600" w:type="dxa"/>
          </w:tcPr>
          <w:p w14:paraId="74E37566"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3019BCD1"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3DAF25E" w14:textId="77777777" w:rsidR="00F308C6" w:rsidRDefault="00F308C6" w:rsidP="007864AE">
            <w:pPr>
              <w:jc w:val="both"/>
              <w:rPr>
                <w:rFonts w:ascii="Arial Narrow" w:hAnsi="Arial Narrow"/>
                <w:b w:val="0"/>
                <w:bCs w:val="0"/>
                <w:sz w:val="18"/>
                <w:szCs w:val="18"/>
              </w:rPr>
            </w:pPr>
            <w:r>
              <w:rPr>
                <w:rFonts w:ascii="Arial Narrow" w:hAnsi="Arial Narrow"/>
                <w:b w:val="0"/>
                <w:bCs w:val="0"/>
                <w:sz w:val="18"/>
                <w:szCs w:val="18"/>
              </w:rPr>
              <w:t>Equipo médico y de Laboratorio</w:t>
            </w:r>
          </w:p>
        </w:tc>
        <w:tc>
          <w:tcPr>
            <w:tcW w:w="1735" w:type="dxa"/>
          </w:tcPr>
          <w:p w14:paraId="2190BF17" w14:textId="77777777" w:rsidR="00F308C6" w:rsidRPr="00DA5F8D" w:rsidRDefault="00F308C6" w:rsidP="007864A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DA5F8D">
              <w:rPr>
                <w:rFonts w:ascii="Arial Narrow" w:hAnsi="Arial Narrow"/>
                <w:sz w:val="18"/>
                <w:szCs w:val="18"/>
              </w:rPr>
              <w:t xml:space="preserve">           $      211,059.68</w:t>
            </w:r>
          </w:p>
        </w:tc>
        <w:tc>
          <w:tcPr>
            <w:tcW w:w="1236" w:type="dxa"/>
          </w:tcPr>
          <w:p w14:paraId="48FF9F02" w14:textId="77777777" w:rsidR="00F308C6" w:rsidRPr="00E2570C"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387" w:type="dxa"/>
          </w:tcPr>
          <w:p w14:paraId="1183FEC6" w14:textId="77777777" w:rsidR="00F308C6" w:rsidRPr="00E2570C"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454" w:type="dxa"/>
          </w:tcPr>
          <w:p w14:paraId="0FD1ACC0" w14:textId="77777777" w:rsidR="00F308C6" w:rsidRPr="00E2570C"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0</w:t>
            </w:r>
          </w:p>
        </w:tc>
        <w:tc>
          <w:tcPr>
            <w:tcW w:w="1600" w:type="dxa"/>
          </w:tcPr>
          <w:p w14:paraId="79DD0BC7"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F308C6" w:rsidRPr="005D1E77" w14:paraId="46CC143C"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66D6A93" w14:textId="77777777" w:rsidR="00F308C6" w:rsidRDefault="00F308C6" w:rsidP="007864AE">
            <w:pPr>
              <w:jc w:val="both"/>
              <w:rPr>
                <w:rFonts w:ascii="Arial Narrow" w:hAnsi="Arial Narrow"/>
                <w:b w:val="0"/>
                <w:bCs w:val="0"/>
                <w:sz w:val="18"/>
                <w:szCs w:val="18"/>
              </w:rPr>
            </w:pPr>
          </w:p>
          <w:p w14:paraId="2A2CE544" w14:textId="77777777" w:rsidR="00F308C6" w:rsidRPr="00EF7608" w:rsidRDefault="00F308C6" w:rsidP="007864AE">
            <w:pPr>
              <w:jc w:val="both"/>
              <w:rPr>
                <w:rFonts w:ascii="Arial Narrow" w:hAnsi="Arial Narrow"/>
                <w:b w:val="0"/>
                <w:bCs w:val="0"/>
                <w:sz w:val="16"/>
                <w:szCs w:val="16"/>
              </w:rPr>
            </w:pPr>
            <w:proofErr w:type="gramStart"/>
            <w:r w:rsidRPr="00EF7608">
              <w:rPr>
                <w:rFonts w:ascii="Arial Narrow" w:hAnsi="Arial Narrow"/>
                <w:sz w:val="16"/>
                <w:szCs w:val="16"/>
              </w:rPr>
              <w:t>TOTAL</w:t>
            </w:r>
            <w:proofErr w:type="gramEnd"/>
            <w:r w:rsidRPr="00EF7608">
              <w:rPr>
                <w:rFonts w:ascii="Arial Narrow" w:hAnsi="Arial Narrow"/>
                <w:sz w:val="16"/>
                <w:szCs w:val="16"/>
              </w:rPr>
              <w:t xml:space="preserve"> EN BIENES MUEBLES</w:t>
            </w:r>
          </w:p>
          <w:p w14:paraId="0E9E82A4" w14:textId="1BBFDA78" w:rsidR="00EF7608" w:rsidRPr="006B5D62" w:rsidRDefault="00EF7608" w:rsidP="007864AE">
            <w:pPr>
              <w:jc w:val="both"/>
              <w:rPr>
                <w:rFonts w:ascii="Arial Narrow" w:hAnsi="Arial Narrow"/>
                <w:sz w:val="18"/>
                <w:szCs w:val="18"/>
              </w:rPr>
            </w:pPr>
          </w:p>
        </w:tc>
        <w:tc>
          <w:tcPr>
            <w:tcW w:w="1735" w:type="dxa"/>
          </w:tcPr>
          <w:p w14:paraId="72067D01" w14:textId="53D1EDE3" w:rsidR="00F308C6"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roofErr w:type="gramStart"/>
            <w:r w:rsidRPr="006B5D62">
              <w:rPr>
                <w:rFonts w:ascii="Arial Narrow" w:hAnsi="Arial Narrow"/>
                <w:b/>
                <w:sz w:val="18"/>
                <w:szCs w:val="18"/>
                <w:u w:val="single"/>
              </w:rPr>
              <w:t>$</w:t>
            </w:r>
            <w:r>
              <w:rPr>
                <w:rFonts w:ascii="Arial Narrow" w:hAnsi="Arial Narrow"/>
                <w:b/>
                <w:sz w:val="18"/>
                <w:szCs w:val="18"/>
                <w:u w:val="single"/>
              </w:rPr>
              <w:t xml:space="preserve">  </w:t>
            </w:r>
            <w:r w:rsidRPr="0068165F">
              <w:rPr>
                <w:rFonts w:ascii="Arial Narrow" w:hAnsi="Arial Narrow"/>
                <w:b/>
                <w:sz w:val="18"/>
                <w:szCs w:val="18"/>
                <w:u w:val="single"/>
              </w:rPr>
              <w:t>3</w:t>
            </w:r>
            <w:r w:rsidR="00EF7608">
              <w:rPr>
                <w:rFonts w:ascii="Arial Narrow" w:hAnsi="Arial Narrow"/>
                <w:b/>
                <w:sz w:val="18"/>
                <w:szCs w:val="18"/>
                <w:u w:val="single"/>
              </w:rPr>
              <w:t>7,271,567.47</w:t>
            </w:r>
            <w:proofErr w:type="gramEnd"/>
          </w:p>
          <w:p w14:paraId="7DF68EBD" w14:textId="77777777" w:rsidR="00F308C6" w:rsidRPr="006B5D6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CEE0C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991C5FF"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6865BF25"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2262E3DB"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EF7608" w:rsidRPr="005D1E77" w14:paraId="33BA9F9A"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3C2EB5C" w14:textId="6E1C1D91" w:rsidR="00EF7608" w:rsidRPr="00EF7608" w:rsidRDefault="00EF7608" w:rsidP="007864AE">
            <w:pPr>
              <w:jc w:val="both"/>
              <w:rPr>
                <w:rFonts w:ascii="Arial Narrow" w:hAnsi="Arial Narrow"/>
                <w:b w:val="0"/>
                <w:bCs w:val="0"/>
                <w:sz w:val="16"/>
                <w:szCs w:val="16"/>
              </w:rPr>
            </w:pPr>
            <w:r w:rsidRPr="00EF7608">
              <w:rPr>
                <w:rFonts w:ascii="Arial Narrow" w:hAnsi="Arial Narrow"/>
                <w:sz w:val="16"/>
                <w:szCs w:val="16"/>
              </w:rPr>
              <w:t xml:space="preserve">ACTIVOS INTANGIBLES </w:t>
            </w:r>
          </w:p>
          <w:p w14:paraId="14B5AA96" w14:textId="04EAEE41" w:rsidR="00EF7608" w:rsidRDefault="00EF7608" w:rsidP="007864AE">
            <w:pPr>
              <w:jc w:val="both"/>
              <w:rPr>
                <w:rFonts w:ascii="Arial Narrow" w:hAnsi="Arial Narrow"/>
                <w:b w:val="0"/>
                <w:bCs w:val="0"/>
                <w:sz w:val="18"/>
                <w:szCs w:val="18"/>
              </w:rPr>
            </w:pPr>
          </w:p>
        </w:tc>
        <w:tc>
          <w:tcPr>
            <w:tcW w:w="1735" w:type="dxa"/>
          </w:tcPr>
          <w:p w14:paraId="185E0999" w14:textId="77777777" w:rsidR="00EF7608" w:rsidRPr="006B5D62" w:rsidRDefault="00EF7608"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6AA2E289"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5D98534"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4D7D0CB"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6671B85C"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EF7608" w:rsidRPr="005D1E77" w14:paraId="5FFA783C"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B8DF331" w14:textId="4A6FE824" w:rsidR="00EF7608" w:rsidRPr="00EF7608" w:rsidRDefault="00EF7608" w:rsidP="007864AE">
            <w:pPr>
              <w:jc w:val="both"/>
              <w:rPr>
                <w:rFonts w:ascii="Arial Narrow" w:hAnsi="Arial Narrow"/>
                <w:b w:val="0"/>
                <w:bCs w:val="0"/>
                <w:sz w:val="18"/>
                <w:szCs w:val="18"/>
              </w:rPr>
            </w:pPr>
            <w:r w:rsidRPr="00EF7608">
              <w:rPr>
                <w:rFonts w:ascii="Arial Narrow" w:hAnsi="Arial Narrow"/>
                <w:b w:val="0"/>
                <w:bCs w:val="0"/>
                <w:sz w:val="18"/>
                <w:szCs w:val="18"/>
              </w:rPr>
              <w:t>Software</w:t>
            </w:r>
          </w:p>
        </w:tc>
        <w:tc>
          <w:tcPr>
            <w:tcW w:w="1735" w:type="dxa"/>
          </w:tcPr>
          <w:p w14:paraId="7FB76AB3" w14:textId="17AD8031" w:rsidR="00EF7608" w:rsidRPr="00EF7608" w:rsidRDefault="00EF7608"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u w:val="single"/>
              </w:rPr>
            </w:pPr>
            <w:r w:rsidRPr="00EF7608">
              <w:rPr>
                <w:rFonts w:ascii="Arial Narrow" w:hAnsi="Arial Narrow"/>
                <w:bCs/>
                <w:sz w:val="18"/>
                <w:szCs w:val="18"/>
                <w:u w:val="single"/>
              </w:rPr>
              <w:t>$1,256,537.91</w:t>
            </w:r>
          </w:p>
        </w:tc>
        <w:tc>
          <w:tcPr>
            <w:tcW w:w="1236" w:type="dxa"/>
          </w:tcPr>
          <w:p w14:paraId="3A85554E"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82669FA"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64BC7116"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2C4B4DF5"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EF7608" w:rsidRPr="005D1E77" w14:paraId="6B5CC907"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5F814F4" w14:textId="0D896CFB" w:rsidR="00EF7608" w:rsidRPr="00EF7608" w:rsidRDefault="00EF7608" w:rsidP="007864AE">
            <w:pPr>
              <w:jc w:val="both"/>
              <w:rPr>
                <w:rFonts w:ascii="Arial Narrow" w:hAnsi="Arial Narrow"/>
                <w:b w:val="0"/>
                <w:bCs w:val="0"/>
                <w:sz w:val="18"/>
                <w:szCs w:val="18"/>
              </w:rPr>
            </w:pPr>
            <w:proofErr w:type="gramStart"/>
            <w:r w:rsidRPr="00EF7608">
              <w:rPr>
                <w:rFonts w:ascii="Arial Narrow" w:hAnsi="Arial Narrow"/>
                <w:sz w:val="16"/>
                <w:szCs w:val="16"/>
              </w:rPr>
              <w:t>TOTAL</w:t>
            </w:r>
            <w:proofErr w:type="gramEnd"/>
            <w:r w:rsidRPr="00EF7608">
              <w:rPr>
                <w:rFonts w:ascii="Arial Narrow" w:hAnsi="Arial Narrow"/>
                <w:sz w:val="16"/>
                <w:szCs w:val="16"/>
              </w:rPr>
              <w:t xml:space="preserve"> EN </w:t>
            </w:r>
            <w:r w:rsidRPr="00EF7608">
              <w:rPr>
                <w:rFonts w:ascii="Arial Narrow" w:hAnsi="Arial Narrow"/>
                <w:sz w:val="16"/>
                <w:szCs w:val="16"/>
              </w:rPr>
              <w:t>ACTIVOS INTANGIBLES</w:t>
            </w:r>
          </w:p>
        </w:tc>
        <w:tc>
          <w:tcPr>
            <w:tcW w:w="1735" w:type="dxa"/>
          </w:tcPr>
          <w:p w14:paraId="39489587" w14:textId="2093F378" w:rsidR="00EF7608" w:rsidRPr="00EF7608" w:rsidRDefault="00EF7608"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EF7608">
              <w:rPr>
                <w:rFonts w:ascii="Arial Narrow" w:hAnsi="Arial Narrow"/>
                <w:b/>
                <w:sz w:val="18"/>
                <w:szCs w:val="18"/>
                <w:u w:val="single"/>
              </w:rPr>
              <w:t>$1,256,537.91</w:t>
            </w:r>
          </w:p>
        </w:tc>
        <w:tc>
          <w:tcPr>
            <w:tcW w:w="1236" w:type="dxa"/>
          </w:tcPr>
          <w:p w14:paraId="411EC2C3" w14:textId="77777777" w:rsidR="00EF7608"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49820327" w14:textId="77777777" w:rsidR="00EF7608"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09D416C" w14:textId="542278D2" w:rsidR="00EF7608" w:rsidRPr="00EF7608"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BE39CDC"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605687C"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1886183E"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EF7608" w:rsidRPr="005D1E77" w14:paraId="5B9E8BC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B8042A9" w14:textId="3BADBBBC" w:rsidR="00EF7608" w:rsidRPr="006B5D62" w:rsidRDefault="00EF7608" w:rsidP="007864AE">
            <w:pPr>
              <w:jc w:val="both"/>
              <w:rPr>
                <w:rFonts w:ascii="Arial Narrow" w:hAnsi="Arial Narrow"/>
                <w:sz w:val="18"/>
                <w:szCs w:val="18"/>
              </w:rPr>
            </w:pPr>
          </w:p>
        </w:tc>
        <w:tc>
          <w:tcPr>
            <w:tcW w:w="1735" w:type="dxa"/>
          </w:tcPr>
          <w:p w14:paraId="428A2BE1" w14:textId="77777777" w:rsidR="00EF7608" w:rsidRPr="00EF7608" w:rsidRDefault="00EF7608"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49C23273" w14:textId="77777777" w:rsidR="00EF7608" w:rsidRPr="00EF7608"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A164C34"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04764C59"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495BA38F" w14:textId="77777777" w:rsidR="00EF7608" w:rsidRPr="006B5D62" w:rsidRDefault="00EF7608"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EF7608" w:rsidRPr="005D1E77" w14:paraId="67F96FAE"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F86C550" w14:textId="6458566C" w:rsidR="00EF7608" w:rsidRPr="006B5D62" w:rsidRDefault="00EF7608" w:rsidP="007864AE">
            <w:pPr>
              <w:jc w:val="both"/>
              <w:rPr>
                <w:rFonts w:ascii="Arial Narrow" w:hAnsi="Arial Narrow"/>
                <w:sz w:val="18"/>
                <w:szCs w:val="18"/>
              </w:rPr>
            </w:pPr>
            <w:r>
              <w:rPr>
                <w:rFonts w:ascii="Arial Narrow" w:hAnsi="Arial Narrow"/>
                <w:sz w:val="18"/>
                <w:szCs w:val="18"/>
              </w:rPr>
              <w:lastRenderedPageBreak/>
              <w:t>BIENES INMUEBLES</w:t>
            </w:r>
          </w:p>
        </w:tc>
        <w:tc>
          <w:tcPr>
            <w:tcW w:w="1735" w:type="dxa"/>
          </w:tcPr>
          <w:p w14:paraId="704C995A" w14:textId="77777777" w:rsidR="00EF7608" w:rsidRPr="00EF7608" w:rsidRDefault="00EF7608"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5A4054F" w14:textId="77777777" w:rsidR="00EF7608" w:rsidRPr="00EF7608"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06C8C07"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1F44CAB4"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D210CEB" w14:textId="77777777" w:rsidR="00EF7608" w:rsidRPr="006B5D62" w:rsidRDefault="00EF7608"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EF7608" w:rsidRPr="005D1E77" w14:paraId="45B9CF4E"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312D2C"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 xml:space="preserve">Terreno </w:t>
            </w:r>
          </w:p>
        </w:tc>
        <w:tc>
          <w:tcPr>
            <w:tcW w:w="1735" w:type="dxa"/>
          </w:tcPr>
          <w:p w14:paraId="5F9EAF9F" w14:textId="77777777" w:rsidR="00F308C6" w:rsidRPr="006B5D6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6,984,502.00</w:t>
            </w:r>
            <w:proofErr w:type="gramEnd"/>
          </w:p>
        </w:tc>
        <w:tc>
          <w:tcPr>
            <w:tcW w:w="1236" w:type="dxa"/>
          </w:tcPr>
          <w:p w14:paraId="65C4614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39D46D3B"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256F501E"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3A616704"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tr w:rsidR="00EF7608" w:rsidRPr="005D1E77" w14:paraId="72097602"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452CEC9" w14:textId="77777777" w:rsidR="00F308C6" w:rsidRPr="006B5D62" w:rsidRDefault="00F308C6" w:rsidP="007864AE">
            <w:pPr>
              <w:jc w:val="both"/>
              <w:rPr>
                <w:rFonts w:ascii="Arial Narrow" w:hAnsi="Arial Narrow"/>
                <w:b w:val="0"/>
                <w:sz w:val="18"/>
                <w:szCs w:val="18"/>
              </w:rPr>
            </w:pPr>
            <w:r w:rsidRPr="006B5D62">
              <w:rPr>
                <w:rFonts w:ascii="Arial Narrow" w:hAnsi="Arial Narrow"/>
                <w:b w:val="0"/>
                <w:sz w:val="18"/>
                <w:szCs w:val="18"/>
              </w:rPr>
              <w:t>Edificación no habitacional</w:t>
            </w:r>
          </w:p>
        </w:tc>
        <w:tc>
          <w:tcPr>
            <w:tcW w:w="1735" w:type="dxa"/>
          </w:tcPr>
          <w:p w14:paraId="77D3BAA0" w14:textId="5DE69199" w:rsidR="00F308C6" w:rsidRPr="006B5D6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EF7608">
              <w:rPr>
                <w:rFonts w:ascii="Arial Narrow" w:hAnsi="Arial Narrow"/>
                <w:sz w:val="18"/>
                <w:szCs w:val="18"/>
              </w:rPr>
              <w:t>47,431,470.69</w:t>
            </w:r>
          </w:p>
        </w:tc>
        <w:tc>
          <w:tcPr>
            <w:tcW w:w="1236" w:type="dxa"/>
          </w:tcPr>
          <w:p w14:paraId="10AB8284"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1EBAB522"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7BC38F2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18578EAE"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En construcción </w:t>
            </w:r>
          </w:p>
        </w:tc>
      </w:tr>
      <w:tr w:rsidR="00EF7608" w:rsidRPr="005D1E77" w14:paraId="44EE8F6D"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700131E5" w14:textId="77777777" w:rsidR="00F308C6" w:rsidRPr="006B5D62" w:rsidRDefault="00F308C6" w:rsidP="007864AE">
            <w:pPr>
              <w:jc w:val="both"/>
              <w:rPr>
                <w:rFonts w:ascii="Arial Narrow" w:hAnsi="Arial Narrow"/>
                <w:b w:val="0"/>
                <w:sz w:val="18"/>
                <w:szCs w:val="18"/>
              </w:rPr>
            </w:pPr>
            <w:bookmarkStart w:id="3" w:name="_Hlk37419683"/>
            <w:r w:rsidRPr="006B5D62">
              <w:rPr>
                <w:rFonts w:ascii="Arial Narrow" w:hAnsi="Arial Narrow"/>
                <w:b w:val="0"/>
                <w:sz w:val="18"/>
                <w:szCs w:val="18"/>
              </w:rPr>
              <w:t>Edificio Juzgado de Cuauhtémoc, ubicado Av. de las Torres 1303, Apizaco Tlaxcala</w:t>
            </w:r>
          </w:p>
        </w:tc>
        <w:tc>
          <w:tcPr>
            <w:tcW w:w="1735" w:type="dxa"/>
          </w:tcPr>
          <w:p w14:paraId="78E4121A" w14:textId="77777777" w:rsidR="00F308C6" w:rsidRPr="006B5D6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1,462,517.83</w:t>
            </w:r>
            <w:proofErr w:type="gramEnd"/>
          </w:p>
        </w:tc>
        <w:tc>
          <w:tcPr>
            <w:tcW w:w="1236" w:type="dxa"/>
          </w:tcPr>
          <w:p w14:paraId="60976FA5"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2CA3050E"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0505A416"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447483BC" w14:textId="77777777" w:rsidR="00F308C6" w:rsidRPr="006B5D62"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bookmarkEnd w:id="3"/>
      <w:tr w:rsidR="00EF7608" w:rsidRPr="005D1E77" w14:paraId="284C415A"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01110E" w14:textId="77777777" w:rsidR="00F308C6" w:rsidRPr="006B5D62" w:rsidRDefault="00F308C6" w:rsidP="007864AE">
            <w:pPr>
              <w:jc w:val="both"/>
              <w:rPr>
                <w:rFonts w:ascii="Arial Narrow" w:hAnsi="Arial Narrow"/>
                <w:sz w:val="16"/>
                <w:szCs w:val="16"/>
              </w:rPr>
            </w:pPr>
            <w:proofErr w:type="gramStart"/>
            <w:r w:rsidRPr="006B5D62">
              <w:rPr>
                <w:rFonts w:ascii="Arial Narrow" w:hAnsi="Arial Narrow"/>
                <w:sz w:val="16"/>
                <w:szCs w:val="16"/>
              </w:rPr>
              <w:t>TOTAL  EN</w:t>
            </w:r>
            <w:proofErr w:type="gramEnd"/>
            <w:r w:rsidRPr="006B5D62">
              <w:rPr>
                <w:rFonts w:ascii="Arial Narrow" w:hAnsi="Arial Narrow"/>
                <w:sz w:val="16"/>
                <w:szCs w:val="16"/>
              </w:rPr>
              <w:t xml:space="preserve"> BIENES INMUEBLES</w:t>
            </w:r>
          </w:p>
        </w:tc>
        <w:tc>
          <w:tcPr>
            <w:tcW w:w="1735" w:type="dxa"/>
          </w:tcPr>
          <w:p w14:paraId="36F8125D" w14:textId="4169D042" w:rsidR="00F308C6" w:rsidRPr="006B5D6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6B5D62">
              <w:rPr>
                <w:rFonts w:ascii="Arial Narrow" w:hAnsi="Arial Narrow"/>
                <w:b/>
                <w:sz w:val="18"/>
                <w:szCs w:val="18"/>
              </w:rPr>
              <w:t xml:space="preserve">$ </w:t>
            </w:r>
            <w:r w:rsidR="00EF7608">
              <w:rPr>
                <w:rFonts w:ascii="Arial Narrow" w:hAnsi="Arial Narrow"/>
                <w:b/>
                <w:sz w:val="18"/>
                <w:szCs w:val="18"/>
              </w:rPr>
              <w:t>55,878,490.52</w:t>
            </w:r>
          </w:p>
        </w:tc>
        <w:tc>
          <w:tcPr>
            <w:tcW w:w="1236" w:type="dxa"/>
          </w:tcPr>
          <w:p w14:paraId="65E5502D"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2941B8BF"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9594E87"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2267466" w14:textId="77777777" w:rsidR="00F308C6" w:rsidRPr="006B5D62"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1073DA70" w14:textId="77777777" w:rsidR="00F308C6" w:rsidRDefault="00F308C6" w:rsidP="00F308C6">
      <w:pPr>
        <w:pStyle w:val="Prrafodelista"/>
        <w:ind w:left="1440"/>
        <w:jc w:val="both"/>
        <w:rPr>
          <w:rFonts w:ascii="Arial Narrow" w:hAnsi="Arial Narrow"/>
        </w:rPr>
      </w:pPr>
    </w:p>
    <w:p w14:paraId="478FABC4" w14:textId="77777777" w:rsidR="00F308C6" w:rsidRPr="005D1E77" w:rsidRDefault="00F308C6" w:rsidP="00F308C6">
      <w:pPr>
        <w:jc w:val="both"/>
        <w:rPr>
          <w:rFonts w:ascii="Arial Narrow" w:hAnsi="Arial Narrow"/>
          <w:b/>
          <w:u w:val="single"/>
        </w:rPr>
      </w:pPr>
      <w:r w:rsidRPr="005D1E77">
        <w:rPr>
          <w:rFonts w:ascii="Arial Narrow" w:hAnsi="Arial Narrow"/>
          <w:b/>
          <w:u w:val="single"/>
        </w:rPr>
        <w:t>6. Estimaciones y deterioros</w:t>
      </w:r>
    </w:p>
    <w:p w14:paraId="6DBD5711" w14:textId="77777777" w:rsidR="00F308C6" w:rsidRPr="002609A4" w:rsidRDefault="00F308C6" w:rsidP="00F308C6">
      <w:pPr>
        <w:jc w:val="both"/>
        <w:rPr>
          <w:rFonts w:ascii="Arial Narrow" w:hAnsi="Arial Narrow"/>
        </w:rPr>
      </w:pPr>
      <w:r w:rsidRPr="005D1E77">
        <w:rPr>
          <w:rFonts w:ascii="Arial Narrow" w:hAnsi="Arial Narrow"/>
        </w:rPr>
        <w:t>No aplica.</w:t>
      </w:r>
    </w:p>
    <w:p w14:paraId="13C2115A" w14:textId="77777777" w:rsidR="00F308C6" w:rsidRPr="005D1E77" w:rsidRDefault="00F308C6" w:rsidP="00F308C6">
      <w:pPr>
        <w:jc w:val="both"/>
        <w:rPr>
          <w:rFonts w:ascii="Arial Narrow" w:hAnsi="Arial Narrow"/>
          <w:b/>
        </w:rPr>
      </w:pPr>
      <w:r w:rsidRPr="005D1E77">
        <w:rPr>
          <w:rFonts w:ascii="Arial Narrow" w:hAnsi="Arial Narrow"/>
          <w:b/>
        </w:rPr>
        <w:t xml:space="preserve">7. </w:t>
      </w:r>
      <w:r w:rsidRPr="005D1E77">
        <w:rPr>
          <w:rFonts w:ascii="Arial Narrow" w:hAnsi="Arial Narrow"/>
          <w:b/>
          <w:u w:val="single"/>
        </w:rPr>
        <w:t xml:space="preserve">Otros </w:t>
      </w:r>
      <w:r w:rsidRPr="005D1E77">
        <w:rPr>
          <w:rFonts w:ascii="Arial Narrow" w:hAnsi="Arial Narrow"/>
          <w:b/>
        </w:rPr>
        <w:t xml:space="preserve">activos   </w:t>
      </w:r>
    </w:p>
    <w:p w14:paraId="17206C02" w14:textId="77777777" w:rsidR="00F308C6" w:rsidRPr="005D1E77" w:rsidRDefault="00F308C6" w:rsidP="00F308C6">
      <w:pPr>
        <w:jc w:val="both"/>
        <w:rPr>
          <w:rFonts w:ascii="Arial Narrow" w:hAnsi="Arial Narrow"/>
        </w:rPr>
      </w:pPr>
      <w:r w:rsidRPr="005D1E77">
        <w:rPr>
          <w:rFonts w:ascii="Arial Narrow" w:hAnsi="Arial Narrow"/>
          <w:b/>
        </w:rPr>
        <w:t xml:space="preserve"> </w:t>
      </w:r>
      <w:r w:rsidRPr="005D1E77">
        <w:rPr>
          <w:rFonts w:ascii="Arial Narrow" w:hAnsi="Arial Narrow"/>
        </w:rPr>
        <w:t>No aplica.</w:t>
      </w:r>
    </w:p>
    <w:p w14:paraId="51DC590D" w14:textId="77777777" w:rsidR="00F308C6" w:rsidRPr="005D1E77" w:rsidRDefault="00F308C6" w:rsidP="00F308C6">
      <w:pPr>
        <w:jc w:val="both"/>
        <w:rPr>
          <w:rFonts w:ascii="Arial Narrow" w:hAnsi="Arial Narrow"/>
          <w:b/>
          <w:u w:val="single"/>
        </w:rPr>
      </w:pPr>
      <w:r w:rsidRPr="005D1E77">
        <w:rPr>
          <w:rFonts w:ascii="Arial Narrow" w:hAnsi="Arial Narrow"/>
          <w:b/>
          <w:u w:val="single"/>
        </w:rPr>
        <w:t>PASIVO.</w:t>
      </w:r>
    </w:p>
    <w:tbl>
      <w:tblPr>
        <w:tblStyle w:val="Tabladelista1clara-nfasis11"/>
        <w:tblW w:w="8897" w:type="dxa"/>
        <w:jc w:val="center"/>
        <w:tblLook w:val="04A0" w:firstRow="1" w:lastRow="0" w:firstColumn="1" w:lastColumn="0" w:noHBand="0" w:noVBand="1"/>
      </w:tblPr>
      <w:tblGrid>
        <w:gridCol w:w="3455"/>
        <w:gridCol w:w="1615"/>
        <w:gridCol w:w="1999"/>
        <w:gridCol w:w="1828"/>
      </w:tblGrid>
      <w:tr w:rsidR="00F308C6" w:rsidRPr="005D1E77" w14:paraId="639B5FFF"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0D5116C7"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Concepto</w:t>
            </w:r>
          </w:p>
        </w:tc>
        <w:tc>
          <w:tcPr>
            <w:tcW w:w="1615" w:type="dxa"/>
          </w:tcPr>
          <w:p w14:paraId="7AE3759B"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Importe</w:t>
            </w:r>
          </w:p>
        </w:tc>
        <w:tc>
          <w:tcPr>
            <w:tcW w:w="1999" w:type="dxa"/>
          </w:tcPr>
          <w:p w14:paraId="0323A6AF"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Factibilidad de pago</w:t>
            </w:r>
          </w:p>
        </w:tc>
        <w:tc>
          <w:tcPr>
            <w:tcW w:w="1828" w:type="dxa"/>
          </w:tcPr>
          <w:p w14:paraId="09BE464B"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Vencimiento</w:t>
            </w:r>
          </w:p>
        </w:tc>
      </w:tr>
      <w:tr w:rsidR="00F308C6" w:rsidRPr="005D1E77" w14:paraId="5EE6A58D" w14:textId="77777777" w:rsidTr="007864AE">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14:paraId="5ABEA5AC"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Pasivos a corto plazo</w:t>
            </w:r>
          </w:p>
        </w:tc>
      </w:tr>
      <w:tr w:rsidR="00F308C6" w:rsidRPr="005D1E77" w14:paraId="40D3C366" w14:textId="77777777" w:rsidTr="007864AE">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516A0BE8"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Nóminas, honorarios y otros servicios personales</w:t>
            </w:r>
          </w:p>
        </w:tc>
        <w:tc>
          <w:tcPr>
            <w:tcW w:w="1615" w:type="dxa"/>
          </w:tcPr>
          <w:p w14:paraId="6C579C85" w14:textId="66C5626F" w:rsidR="00F308C6" w:rsidRPr="005D1E77"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FF7B5C">
              <w:rPr>
                <w:rFonts w:ascii="Arial Narrow" w:hAnsi="Arial Narrow"/>
                <w:sz w:val="18"/>
                <w:szCs w:val="18"/>
              </w:rPr>
              <w:t xml:space="preserve">    </w:t>
            </w:r>
            <w:r w:rsidRPr="005D1E77">
              <w:rPr>
                <w:rFonts w:ascii="Arial Narrow" w:hAnsi="Arial Narrow"/>
                <w:sz w:val="18"/>
                <w:szCs w:val="18"/>
              </w:rPr>
              <w:t xml:space="preserve">  </w:t>
            </w:r>
            <w:r w:rsidR="0075234B">
              <w:rPr>
                <w:rFonts w:ascii="Arial Narrow" w:hAnsi="Arial Narrow"/>
                <w:sz w:val="18"/>
                <w:szCs w:val="18"/>
              </w:rPr>
              <w:t>2</w:t>
            </w:r>
            <w:r w:rsidR="00FF7B5C">
              <w:rPr>
                <w:rFonts w:ascii="Arial Narrow" w:hAnsi="Arial Narrow"/>
                <w:sz w:val="18"/>
                <w:szCs w:val="18"/>
              </w:rPr>
              <w:t>48,011.71</w:t>
            </w:r>
          </w:p>
        </w:tc>
        <w:tc>
          <w:tcPr>
            <w:tcW w:w="1999" w:type="dxa"/>
          </w:tcPr>
          <w:p w14:paraId="781C80F7" w14:textId="77777777" w:rsidR="00F308C6" w:rsidRPr="005D1E77"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788C7E3C" w14:textId="77777777" w:rsidR="00F308C6" w:rsidRPr="005D1E77" w:rsidRDefault="00F308C6" w:rsidP="007864AE">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F308C6" w:rsidRPr="005D1E77" w14:paraId="60C7291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16FC06C9" w14:textId="77777777" w:rsidR="00F308C6" w:rsidRPr="005D1E77" w:rsidRDefault="00F308C6" w:rsidP="007864AE">
            <w:pPr>
              <w:jc w:val="both"/>
              <w:rPr>
                <w:rFonts w:ascii="Arial Narrow" w:hAnsi="Arial Narrow"/>
                <w:b w:val="0"/>
                <w:sz w:val="18"/>
                <w:szCs w:val="18"/>
              </w:rPr>
            </w:pPr>
            <w:r w:rsidRPr="005D1E77">
              <w:rPr>
                <w:rFonts w:ascii="Arial Narrow" w:hAnsi="Arial Narrow"/>
                <w:b w:val="0"/>
                <w:sz w:val="18"/>
                <w:szCs w:val="18"/>
              </w:rPr>
              <w:t xml:space="preserve">Proveedores de bienes y servicios.      </w:t>
            </w:r>
            <w:r>
              <w:rPr>
                <w:rFonts w:ascii="Arial Narrow" w:hAnsi="Arial Narrow"/>
                <w:b w:val="0"/>
                <w:sz w:val="18"/>
                <w:szCs w:val="18"/>
              </w:rPr>
              <w:t xml:space="preserve">                      </w:t>
            </w:r>
          </w:p>
        </w:tc>
        <w:tc>
          <w:tcPr>
            <w:tcW w:w="1615" w:type="dxa"/>
          </w:tcPr>
          <w:p w14:paraId="5D9D019E" w14:textId="4F82C639" w:rsidR="00F308C6" w:rsidRPr="005D1E77" w:rsidRDefault="00F308C6" w:rsidP="007864A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sidR="00FF7B5C">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00FF7B5C">
              <w:rPr>
                <w:rFonts w:ascii="Arial Narrow" w:hAnsi="Arial Narrow"/>
                <w:sz w:val="18"/>
                <w:szCs w:val="18"/>
              </w:rPr>
              <w:t>227,940.40</w:t>
            </w:r>
          </w:p>
        </w:tc>
        <w:tc>
          <w:tcPr>
            <w:tcW w:w="1999" w:type="dxa"/>
          </w:tcPr>
          <w:p w14:paraId="6B53F7DE" w14:textId="77777777" w:rsidR="00F308C6" w:rsidRPr="005D1E77" w:rsidRDefault="00F308C6" w:rsidP="007864AE">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w:t>
            </w:r>
            <w:r w:rsidRPr="005D1E77">
              <w:rPr>
                <w:rFonts w:ascii="Arial Narrow" w:hAnsi="Arial Narrow"/>
                <w:sz w:val="18"/>
                <w:szCs w:val="18"/>
              </w:rPr>
              <w:t>iable</w:t>
            </w:r>
          </w:p>
        </w:tc>
        <w:tc>
          <w:tcPr>
            <w:tcW w:w="1828" w:type="dxa"/>
          </w:tcPr>
          <w:p w14:paraId="0F58E7F4" w14:textId="77777777" w:rsidR="00F308C6" w:rsidRPr="005D1E77"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FF7B5C" w:rsidRPr="005D1E77" w14:paraId="06FDC110"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64D0631F" w14:textId="18C15ABD" w:rsidR="00FF7B5C" w:rsidRPr="005D1E77" w:rsidRDefault="00FF7B5C" w:rsidP="00FF7B5C">
            <w:pPr>
              <w:jc w:val="both"/>
              <w:rPr>
                <w:rFonts w:ascii="Arial Narrow" w:hAnsi="Arial Narrow"/>
                <w:b w:val="0"/>
                <w:sz w:val="18"/>
                <w:szCs w:val="18"/>
              </w:rPr>
            </w:pPr>
            <w:r>
              <w:rPr>
                <w:rFonts w:ascii="Arial Narrow" w:hAnsi="Arial Narrow"/>
                <w:b w:val="0"/>
                <w:sz w:val="18"/>
                <w:szCs w:val="18"/>
              </w:rPr>
              <w:t>Contratistas de obra por pagar a corto plazo</w:t>
            </w:r>
          </w:p>
        </w:tc>
        <w:tc>
          <w:tcPr>
            <w:tcW w:w="1615" w:type="dxa"/>
          </w:tcPr>
          <w:p w14:paraId="29778A68" w14:textId="56380DB0" w:rsidR="00FF7B5C"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w:t>
            </w:r>
            <w:r w:rsidRPr="005D1E77">
              <w:rPr>
                <w:rFonts w:ascii="Arial Narrow" w:hAnsi="Arial Narrow"/>
                <w:sz w:val="18"/>
                <w:szCs w:val="18"/>
              </w:rPr>
              <w:t xml:space="preserve"> </w:t>
            </w:r>
            <w:r>
              <w:rPr>
                <w:rFonts w:ascii="Arial Narrow" w:hAnsi="Arial Narrow"/>
                <w:sz w:val="18"/>
                <w:szCs w:val="18"/>
              </w:rPr>
              <w:t xml:space="preserve">  </w:t>
            </w:r>
            <w:r>
              <w:rPr>
                <w:rFonts w:ascii="Arial Narrow" w:hAnsi="Arial Narrow"/>
                <w:sz w:val="18"/>
                <w:szCs w:val="18"/>
              </w:rPr>
              <w:t>28,005,035.66</w:t>
            </w:r>
          </w:p>
        </w:tc>
        <w:tc>
          <w:tcPr>
            <w:tcW w:w="1999" w:type="dxa"/>
          </w:tcPr>
          <w:p w14:paraId="6A059211" w14:textId="586B0413" w:rsidR="00FF7B5C"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72C191A8" w14:textId="1C881FC7" w:rsidR="00FF7B5C" w:rsidRPr="00F905BD" w:rsidRDefault="00FF7B5C" w:rsidP="00FF7B5C">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a </w:t>
            </w:r>
            <w:r>
              <w:rPr>
                <w:rFonts w:ascii="Arial Narrow" w:hAnsi="Arial Narrow"/>
                <w:sz w:val="18"/>
                <w:szCs w:val="18"/>
              </w:rPr>
              <w:t>9</w:t>
            </w:r>
            <w:r w:rsidRPr="005D1E77">
              <w:rPr>
                <w:rFonts w:ascii="Arial Narrow" w:hAnsi="Arial Narrow"/>
                <w:sz w:val="18"/>
                <w:szCs w:val="18"/>
              </w:rPr>
              <w:t>0 días</w:t>
            </w:r>
          </w:p>
        </w:tc>
      </w:tr>
      <w:tr w:rsidR="00FF7B5C" w:rsidRPr="005D1E77" w14:paraId="40CBB343"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3816DEA" w14:textId="528391EC" w:rsidR="00FF7B5C" w:rsidRPr="005D1E77" w:rsidRDefault="00FF7B5C" w:rsidP="00FF7B5C">
            <w:pPr>
              <w:jc w:val="both"/>
              <w:rPr>
                <w:rFonts w:ascii="Arial Narrow" w:hAnsi="Arial Narrow"/>
                <w:b w:val="0"/>
                <w:sz w:val="18"/>
                <w:szCs w:val="18"/>
              </w:rPr>
            </w:pPr>
            <w:r>
              <w:rPr>
                <w:rFonts w:ascii="Arial Narrow" w:hAnsi="Arial Narrow"/>
                <w:b w:val="0"/>
                <w:sz w:val="18"/>
                <w:szCs w:val="18"/>
              </w:rPr>
              <w:t>Impuestos y derechos</w:t>
            </w:r>
            <w:r w:rsidR="00D51929">
              <w:rPr>
                <w:rFonts w:ascii="Arial Narrow" w:hAnsi="Arial Narrow"/>
                <w:b w:val="0"/>
                <w:sz w:val="18"/>
                <w:szCs w:val="18"/>
              </w:rPr>
              <w:t xml:space="preserve"> </w:t>
            </w:r>
          </w:p>
        </w:tc>
        <w:tc>
          <w:tcPr>
            <w:tcW w:w="1615" w:type="dxa"/>
          </w:tcPr>
          <w:p w14:paraId="27629A2D" w14:textId="37DFCF31" w:rsidR="00FF7B5C" w:rsidRPr="005D1E77" w:rsidRDefault="00FF7B5C" w:rsidP="00FF7B5C">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00D51929">
              <w:rPr>
                <w:rFonts w:ascii="Arial Narrow" w:hAnsi="Arial Narrow"/>
                <w:sz w:val="18"/>
                <w:szCs w:val="18"/>
              </w:rPr>
              <w:t>17,</w:t>
            </w:r>
            <w:r w:rsidR="000F1510">
              <w:rPr>
                <w:rFonts w:ascii="Arial Narrow" w:hAnsi="Arial Narrow"/>
                <w:sz w:val="18"/>
                <w:szCs w:val="18"/>
              </w:rPr>
              <w:t>442,080.26</w:t>
            </w:r>
          </w:p>
        </w:tc>
        <w:tc>
          <w:tcPr>
            <w:tcW w:w="1999" w:type="dxa"/>
          </w:tcPr>
          <w:p w14:paraId="0CC186F8" w14:textId="77777777" w:rsidR="00FF7B5C" w:rsidRPr="005D1E77" w:rsidRDefault="00FF7B5C" w:rsidP="00FF7B5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77638AAB" w14:textId="77777777" w:rsidR="00FF7B5C" w:rsidRPr="005D1E77" w:rsidRDefault="00FF7B5C" w:rsidP="00FF7B5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17</w:t>
            </w:r>
            <w:proofErr w:type="gramEnd"/>
            <w:r w:rsidRPr="005D1E77">
              <w:rPr>
                <w:rFonts w:ascii="Arial Narrow" w:hAnsi="Arial Narrow"/>
                <w:sz w:val="18"/>
                <w:szCs w:val="18"/>
              </w:rPr>
              <w:t xml:space="preserve"> días</w:t>
            </w:r>
          </w:p>
        </w:tc>
      </w:tr>
      <w:tr w:rsidR="00FF7B5C" w:rsidRPr="005D1E77" w14:paraId="5914F663"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61A8F5F8" w14:textId="77777777" w:rsidR="00FF7B5C" w:rsidRPr="005D1E77" w:rsidRDefault="00FF7B5C" w:rsidP="00FF7B5C">
            <w:pPr>
              <w:jc w:val="both"/>
              <w:rPr>
                <w:rFonts w:ascii="Arial Narrow" w:hAnsi="Arial Narrow"/>
                <w:b w:val="0"/>
                <w:sz w:val="18"/>
                <w:szCs w:val="18"/>
              </w:rPr>
            </w:pPr>
            <w:r w:rsidRPr="005D1E77">
              <w:rPr>
                <w:rFonts w:ascii="Arial Narrow" w:hAnsi="Arial Narrow"/>
                <w:b w:val="0"/>
                <w:sz w:val="18"/>
                <w:szCs w:val="18"/>
              </w:rPr>
              <w:t xml:space="preserve">Sindicato 7 de </w:t>
            </w:r>
            <w:proofErr w:type="gramStart"/>
            <w:r w:rsidRPr="005D1E77">
              <w:rPr>
                <w:rFonts w:ascii="Arial Narrow" w:hAnsi="Arial Narrow"/>
                <w:b w:val="0"/>
                <w:sz w:val="18"/>
                <w:szCs w:val="18"/>
              </w:rPr>
              <w:t>Mayo</w:t>
            </w:r>
            <w:proofErr w:type="gramEnd"/>
            <w:r w:rsidRPr="005D1E77">
              <w:rPr>
                <w:rFonts w:ascii="Arial Narrow" w:hAnsi="Arial Narrow"/>
                <w:b w:val="0"/>
                <w:sz w:val="18"/>
                <w:szCs w:val="18"/>
              </w:rPr>
              <w:t>.</w:t>
            </w:r>
          </w:p>
        </w:tc>
        <w:tc>
          <w:tcPr>
            <w:tcW w:w="1615" w:type="dxa"/>
          </w:tcPr>
          <w:p w14:paraId="29F102C3" w14:textId="794779B7" w:rsidR="00FF7B5C" w:rsidRPr="005D1E77" w:rsidRDefault="00FF7B5C" w:rsidP="00FF7B5C">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sidR="000F1510">
              <w:rPr>
                <w:rFonts w:ascii="Arial Narrow" w:hAnsi="Arial Narrow"/>
                <w:sz w:val="18"/>
                <w:szCs w:val="18"/>
              </w:rPr>
              <w:t>180,441.48</w:t>
            </w:r>
          </w:p>
        </w:tc>
        <w:tc>
          <w:tcPr>
            <w:tcW w:w="1999" w:type="dxa"/>
          </w:tcPr>
          <w:p w14:paraId="1E03BA40" w14:textId="77777777" w:rsidR="00FF7B5C" w:rsidRPr="005D1E77"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00CE0B3" w14:textId="77777777" w:rsidR="00FF7B5C" w:rsidRPr="005D1E77"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r w:rsidR="00FF7B5C" w:rsidRPr="005D1E77" w14:paraId="10597E9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143D191F" w14:textId="77777777" w:rsidR="00FF7B5C" w:rsidRPr="005D1E77" w:rsidRDefault="00FF7B5C" w:rsidP="00FF7B5C">
            <w:pPr>
              <w:jc w:val="both"/>
              <w:rPr>
                <w:rFonts w:ascii="Arial Narrow" w:hAnsi="Arial Narrow"/>
                <w:b w:val="0"/>
                <w:sz w:val="18"/>
                <w:szCs w:val="18"/>
              </w:rPr>
            </w:pPr>
            <w:r w:rsidRPr="005D1E77">
              <w:rPr>
                <w:rFonts w:ascii="Arial Narrow" w:hAnsi="Arial Narrow"/>
                <w:b w:val="0"/>
                <w:sz w:val="18"/>
                <w:szCs w:val="18"/>
              </w:rPr>
              <w:t>Pensiones Civiles.</w:t>
            </w:r>
          </w:p>
        </w:tc>
        <w:tc>
          <w:tcPr>
            <w:tcW w:w="1615" w:type="dxa"/>
          </w:tcPr>
          <w:p w14:paraId="06F975FC" w14:textId="12B17FC3" w:rsidR="00FF7B5C" w:rsidRPr="005D1E77" w:rsidRDefault="000F1510" w:rsidP="000F1510">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F7B5C" w:rsidRPr="005D1E77">
              <w:rPr>
                <w:rFonts w:ascii="Arial Narrow" w:hAnsi="Arial Narrow"/>
                <w:sz w:val="18"/>
                <w:szCs w:val="18"/>
              </w:rPr>
              <w:t xml:space="preserve">$ </w:t>
            </w:r>
            <w:r>
              <w:rPr>
                <w:rFonts w:ascii="Arial Narrow" w:hAnsi="Arial Narrow"/>
                <w:sz w:val="18"/>
                <w:szCs w:val="18"/>
              </w:rPr>
              <w:t xml:space="preserve">   </w:t>
            </w:r>
            <w:r w:rsidR="00FF7B5C">
              <w:rPr>
                <w:rFonts w:ascii="Arial Narrow" w:hAnsi="Arial Narrow"/>
                <w:sz w:val="18"/>
                <w:szCs w:val="18"/>
              </w:rPr>
              <w:t xml:space="preserve">    </w:t>
            </w:r>
            <w:r>
              <w:rPr>
                <w:rFonts w:ascii="Arial Narrow" w:hAnsi="Arial Narrow"/>
                <w:sz w:val="18"/>
                <w:szCs w:val="18"/>
              </w:rPr>
              <w:t>897,532.62</w:t>
            </w:r>
          </w:p>
        </w:tc>
        <w:tc>
          <w:tcPr>
            <w:tcW w:w="1999" w:type="dxa"/>
          </w:tcPr>
          <w:p w14:paraId="2B2FEF1C" w14:textId="77777777" w:rsidR="00FF7B5C" w:rsidRPr="005D1E77" w:rsidRDefault="00FF7B5C" w:rsidP="00FF7B5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68F4BF3D" w14:textId="77777777" w:rsidR="00FF7B5C" w:rsidRPr="005D1E77" w:rsidRDefault="00FF7B5C" w:rsidP="00FF7B5C">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FF7B5C" w:rsidRPr="005D1E77" w14:paraId="471FFE0C"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545A7B96" w14:textId="77777777" w:rsidR="00FF7B5C" w:rsidRPr="002609A4" w:rsidRDefault="00FF7B5C" w:rsidP="00FF7B5C">
            <w:pPr>
              <w:jc w:val="both"/>
              <w:rPr>
                <w:rFonts w:ascii="Arial Narrow" w:hAnsi="Arial Narrow"/>
                <w:b w:val="0"/>
                <w:bCs w:val="0"/>
                <w:sz w:val="18"/>
                <w:szCs w:val="18"/>
              </w:rPr>
            </w:pPr>
            <w:r w:rsidRPr="002609A4">
              <w:rPr>
                <w:rFonts w:ascii="Arial Narrow" w:hAnsi="Arial Narrow"/>
                <w:b w:val="0"/>
                <w:bCs w:val="0"/>
                <w:sz w:val="18"/>
                <w:szCs w:val="18"/>
              </w:rPr>
              <w:t xml:space="preserve">Documentos por </w:t>
            </w:r>
            <w:proofErr w:type="gramStart"/>
            <w:r w:rsidRPr="002609A4">
              <w:rPr>
                <w:rFonts w:ascii="Arial Narrow" w:hAnsi="Arial Narrow"/>
                <w:b w:val="0"/>
                <w:bCs w:val="0"/>
                <w:sz w:val="18"/>
                <w:szCs w:val="18"/>
              </w:rPr>
              <w:t>pagar  a</w:t>
            </w:r>
            <w:proofErr w:type="gramEnd"/>
            <w:r w:rsidRPr="002609A4">
              <w:rPr>
                <w:rFonts w:ascii="Arial Narrow" w:hAnsi="Arial Narrow"/>
                <w:b w:val="0"/>
                <w:bCs w:val="0"/>
                <w:sz w:val="18"/>
                <w:szCs w:val="18"/>
              </w:rPr>
              <w:t xml:space="preserve"> corto plazo</w:t>
            </w:r>
          </w:p>
        </w:tc>
        <w:tc>
          <w:tcPr>
            <w:tcW w:w="1615" w:type="dxa"/>
          </w:tcPr>
          <w:p w14:paraId="2E4418B0" w14:textId="15351C2B" w:rsidR="00FF7B5C" w:rsidRPr="005D1E77" w:rsidRDefault="00587783" w:rsidP="00FF7B5C">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F7B5C">
              <w:rPr>
                <w:rFonts w:ascii="Arial Narrow" w:hAnsi="Arial Narrow"/>
                <w:sz w:val="18"/>
                <w:szCs w:val="18"/>
              </w:rPr>
              <w:t xml:space="preserve">     $  </w:t>
            </w:r>
            <w:r>
              <w:rPr>
                <w:rFonts w:ascii="Arial Narrow" w:hAnsi="Arial Narrow"/>
                <w:sz w:val="18"/>
                <w:szCs w:val="18"/>
              </w:rPr>
              <w:t xml:space="preserve">       </w:t>
            </w:r>
            <w:r w:rsidR="00FF7B5C">
              <w:rPr>
                <w:rFonts w:ascii="Arial Narrow" w:hAnsi="Arial Narrow"/>
                <w:sz w:val="18"/>
                <w:szCs w:val="18"/>
              </w:rPr>
              <w:t xml:space="preserve"> </w:t>
            </w:r>
            <w:r>
              <w:rPr>
                <w:rFonts w:ascii="Arial Narrow" w:hAnsi="Arial Narrow"/>
                <w:sz w:val="18"/>
                <w:szCs w:val="18"/>
              </w:rPr>
              <w:t>32,042.47</w:t>
            </w:r>
          </w:p>
        </w:tc>
        <w:tc>
          <w:tcPr>
            <w:tcW w:w="1999" w:type="dxa"/>
          </w:tcPr>
          <w:p w14:paraId="0573E0B2" w14:textId="77777777" w:rsidR="00FF7B5C" w:rsidRPr="005D1E77"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497FCE73" w14:textId="376951B5" w:rsidR="00FF7B5C" w:rsidRPr="005D1E77" w:rsidRDefault="00FF7B5C" w:rsidP="00FF7B5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a </w:t>
            </w:r>
            <w:r>
              <w:rPr>
                <w:rFonts w:ascii="Arial Narrow" w:hAnsi="Arial Narrow"/>
                <w:sz w:val="18"/>
                <w:szCs w:val="18"/>
              </w:rPr>
              <w:t>9</w:t>
            </w:r>
            <w:r w:rsidRPr="005D1E77">
              <w:rPr>
                <w:rFonts w:ascii="Arial Narrow" w:hAnsi="Arial Narrow"/>
                <w:sz w:val="18"/>
                <w:szCs w:val="18"/>
              </w:rPr>
              <w:t>0 días</w:t>
            </w:r>
          </w:p>
        </w:tc>
      </w:tr>
    </w:tbl>
    <w:p w14:paraId="3161FE42" w14:textId="77777777" w:rsidR="00F308C6" w:rsidRPr="005D1E77" w:rsidRDefault="00F308C6" w:rsidP="00F308C6">
      <w:pPr>
        <w:jc w:val="both"/>
        <w:rPr>
          <w:rFonts w:ascii="Arial Narrow" w:hAnsi="Arial Narrow"/>
          <w:sz w:val="16"/>
          <w:szCs w:val="16"/>
        </w:rPr>
      </w:pPr>
    </w:p>
    <w:p w14:paraId="1763F309" w14:textId="77777777" w:rsidR="00F308C6" w:rsidRPr="00E06F17" w:rsidRDefault="00F308C6" w:rsidP="00F308C6">
      <w:pPr>
        <w:jc w:val="both"/>
        <w:rPr>
          <w:rFonts w:ascii="Arial Narrow" w:hAnsi="Arial Narrow"/>
          <w:color w:val="FF0000"/>
          <w:sz w:val="16"/>
          <w:szCs w:val="16"/>
        </w:rPr>
      </w:pPr>
      <w:r w:rsidRPr="007D4412">
        <w:rPr>
          <w:rFonts w:ascii="Arial Narrow" w:hAnsi="Arial Narrow"/>
        </w:rPr>
        <w:t>Los adeudos anteriores, son generados por las operaciones normales del Tribunal Superior de Justicia y se pagan en el corto plazo.</w:t>
      </w:r>
      <w:r w:rsidRPr="007D4412">
        <w:rPr>
          <w:rFonts w:ascii="Arial Narrow" w:hAnsi="Arial Narrow"/>
          <w:sz w:val="16"/>
          <w:szCs w:val="16"/>
        </w:rPr>
        <w:t xml:space="preserve"> </w:t>
      </w:r>
    </w:p>
    <w:p w14:paraId="706F5790" w14:textId="639A59ED" w:rsidR="00F308C6" w:rsidRDefault="00F308C6" w:rsidP="00F308C6">
      <w:pPr>
        <w:rPr>
          <w:rFonts w:ascii="Arial Narrow" w:hAnsi="Arial Narrow"/>
          <w:b/>
          <w:sz w:val="24"/>
          <w:szCs w:val="24"/>
        </w:rPr>
      </w:pPr>
    </w:p>
    <w:p w14:paraId="3378D27C" w14:textId="3D2F9C6A" w:rsidR="00D51929" w:rsidRDefault="00D51929" w:rsidP="00F308C6">
      <w:pPr>
        <w:rPr>
          <w:rFonts w:ascii="Arial Narrow" w:hAnsi="Arial Narrow"/>
          <w:b/>
          <w:sz w:val="24"/>
          <w:szCs w:val="24"/>
        </w:rPr>
      </w:pPr>
    </w:p>
    <w:p w14:paraId="66905F47" w14:textId="4BA41FA7" w:rsidR="00D51929" w:rsidRDefault="00D51929" w:rsidP="00F308C6">
      <w:pPr>
        <w:rPr>
          <w:rFonts w:ascii="Arial Narrow" w:hAnsi="Arial Narrow"/>
          <w:b/>
          <w:sz w:val="24"/>
          <w:szCs w:val="24"/>
        </w:rPr>
      </w:pPr>
    </w:p>
    <w:p w14:paraId="725F22FB" w14:textId="46CDE4CE" w:rsidR="00D51929" w:rsidRDefault="00D51929" w:rsidP="00F308C6">
      <w:pPr>
        <w:rPr>
          <w:rFonts w:ascii="Arial Narrow" w:hAnsi="Arial Narrow"/>
          <w:b/>
          <w:sz w:val="24"/>
          <w:szCs w:val="24"/>
        </w:rPr>
      </w:pPr>
    </w:p>
    <w:p w14:paraId="7A7F3176" w14:textId="77777777" w:rsidR="00F308C6" w:rsidRPr="000F1510" w:rsidRDefault="00F308C6" w:rsidP="00F308C6">
      <w:pPr>
        <w:rPr>
          <w:rFonts w:ascii="Arial Narrow" w:hAnsi="Arial Narrow"/>
          <w:b/>
        </w:rPr>
      </w:pPr>
      <w:r w:rsidRPr="000F1510">
        <w:rPr>
          <w:rFonts w:ascii="Arial Narrow" w:hAnsi="Arial Narrow"/>
          <w:b/>
        </w:rPr>
        <w:lastRenderedPageBreak/>
        <w:t>Fondos y bienes de terceros en garantía y/o administración a corto plazo.</w:t>
      </w:r>
    </w:p>
    <w:p w14:paraId="7C996956" w14:textId="77777777" w:rsidR="00F308C6" w:rsidRPr="000F1510" w:rsidRDefault="00F308C6" w:rsidP="00F308C6">
      <w:pPr>
        <w:jc w:val="both"/>
        <w:rPr>
          <w:rFonts w:ascii="Arial Narrow" w:hAnsi="Arial Narrow"/>
          <w:bCs/>
        </w:rPr>
      </w:pPr>
      <w:r w:rsidRPr="000F1510">
        <w:rPr>
          <w:rFonts w:ascii="Arial Narrow" w:hAnsi="Arial Narrow"/>
          <w:bCs/>
        </w:rPr>
        <w:t>El fondo auxiliar para la impartición de justicia posee los siguientes valores:</w:t>
      </w:r>
    </w:p>
    <w:p w14:paraId="246AF09F" w14:textId="77777777" w:rsidR="00F308C6" w:rsidRPr="007D4412" w:rsidRDefault="00F308C6" w:rsidP="00F308C6">
      <w:pPr>
        <w:jc w:val="both"/>
        <w:rPr>
          <w:rFonts w:ascii="Arial Narrow" w:hAnsi="Arial Narrow"/>
          <w:b/>
          <w:sz w:val="24"/>
          <w:szCs w:val="24"/>
        </w:rPr>
      </w:pPr>
    </w:p>
    <w:tbl>
      <w:tblPr>
        <w:tblStyle w:val="Tabladelista1clara-nfasis11"/>
        <w:tblW w:w="0" w:type="auto"/>
        <w:jc w:val="center"/>
        <w:tblLook w:val="04A0" w:firstRow="1" w:lastRow="0" w:firstColumn="1" w:lastColumn="0" w:noHBand="0" w:noVBand="1"/>
      </w:tblPr>
      <w:tblGrid>
        <w:gridCol w:w="7114"/>
        <w:gridCol w:w="1925"/>
      </w:tblGrid>
      <w:tr w:rsidR="00F308C6" w:rsidRPr="007D4412" w14:paraId="4E4E3F3D"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359DB84A" w14:textId="77777777" w:rsidR="00F308C6" w:rsidRPr="007D4412" w:rsidRDefault="00F308C6" w:rsidP="007864AE">
            <w:pPr>
              <w:jc w:val="both"/>
              <w:rPr>
                <w:rFonts w:ascii="Arial Narrow" w:hAnsi="Arial Narrow"/>
              </w:rPr>
            </w:pPr>
            <w:r w:rsidRPr="007D4412">
              <w:rPr>
                <w:rFonts w:ascii="Arial Narrow" w:hAnsi="Arial Narrow"/>
              </w:rPr>
              <w:t>Fianzas</w:t>
            </w:r>
          </w:p>
        </w:tc>
        <w:tc>
          <w:tcPr>
            <w:tcW w:w="1925" w:type="dxa"/>
          </w:tcPr>
          <w:p w14:paraId="7EB3AF05" w14:textId="5890416A" w:rsidR="00F308C6" w:rsidRPr="007D4412" w:rsidRDefault="00F308C6" w:rsidP="007864AE">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roofErr w:type="gramStart"/>
            <w:r w:rsidRPr="007D4412">
              <w:rPr>
                <w:rFonts w:ascii="Arial Narrow" w:hAnsi="Arial Narrow"/>
                <w:b w:val="0"/>
                <w:bCs w:val="0"/>
              </w:rPr>
              <w:t>$  5,</w:t>
            </w:r>
            <w:r w:rsidR="00112827">
              <w:rPr>
                <w:rFonts w:ascii="Arial Narrow" w:hAnsi="Arial Narrow"/>
                <w:b w:val="0"/>
                <w:bCs w:val="0"/>
              </w:rPr>
              <w:t>346,315.48</w:t>
            </w:r>
            <w:proofErr w:type="gramEnd"/>
          </w:p>
        </w:tc>
      </w:tr>
      <w:tr w:rsidR="00F308C6" w:rsidRPr="007D4412" w14:paraId="3F43770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2ADCDAB5" w14:textId="77777777" w:rsidR="00F308C6" w:rsidRPr="007D4412" w:rsidRDefault="00F308C6" w:rsidP="007864AE">
            <w:pPr>
              <w:jc w:val="both"/>
              <w:rPr>
                <w:rFonts w:ascii="Arial Narrow" w:hAnsi="Arial Narrow"/>
              </w:rPr>
            </w:pPr>
            <w:r w:rsidRPr="007D4412">
              <w:rPr>
                <w:rFonts w:ascii="Arial Narrow" w:hAnsi="Arial Narrow"/>
              </w:rPr>
              <w:t>Cauciones</w:t>
            </w:r>
          </w:p>
        </w:tc>
        <w:tc>
          <w:tcPr>
            <w:tcW w:w="1925" w:type="dxa"/>
          </w:tcPr>
          <w:p w14:paraId="75BF1988" w14:textId="1ECDA055"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5,</w:t>
            </w:r>
            <w:r w:rsidR="00112827">
              <w:rPr>
                <w:rFonts w:ascii="Arial Narrow" w:hAnsi="Arial Narrow"/>
              </w:rPr>
              <w:t>310,732.24</w:t>
            </w:r>
            <w:proofErr w:type="gramEnd"/>
          </w:p>
        </w:tc>
      </w:tr>
      <w:tr w:rsidR="00F308C6" w:rsidRPr="007D4412" w14:paraId="5BCCB7C1"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1A3B4FA5" w14:textId="77777777" w:rsidR="00F308C6" w:rsidRPr="007D4412" w:rsidRDefault="00F308C6" w:rsidP="007864AE">
            <w:pPr>
              <w:jc w:val="both"/>
              <w:rPr>
                <w:rFonts w:ascii="Arial Narrow" w:hAnsi="Arial Narrow"/>
              </w:rPr>
            </w:pPr>
            <w:r w:rsidRPr="007D4412">
              <w:rPr>
                <w:rFonts w:ascii="Arial Narrow" w:hAnsi="Arial Narrow"/>
              </w:rPr>
              <w:t>Otros ingresos</w:t>
            </w:r>
          </w:p>
        </w:tc>
        <w:tc>
          <w:tcPr>
            <w:tcW w:w="1925" w:type="dxa"/>
          </w:tcPr>
          <w:p w14:paraId="706B3492" w14:textId="77777777"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300.00</w:t>
            </w:r>
          </w:p>
        </w:tc>
      </w:tr>
      <w:tr w:rsidR="00F308C6" w:rsidRPr="007D4412" w14:paraId="31FD8B3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7B2448C" w14:textId="77777777" w:rsidR="00F308C6" w:rsidRPr="007D4412" w:rsidRDefault="00F308C6" w:rsidP="007864AE">
            <w:pPr>
              <w:jc w:val="both"/>
              <w:rPr>
                <w:rFonts w:ascii="Arial Narrow" w:hAnsi="Arial Narrow"/>
              </w:rPr>
            </w:pPr>
            <w:r w:rsidRPr="007D4412">
              <w:rPr>
                <w:rFonts w:ascii="Arial Narrow" w:hAnsi="Arial Narrow"/>
              </w:rPr>
              <w:t>Reparación del daño</w:t>
            </w:r>
          </w:p>
        </w:tc>
        <w:tc>
          <w:tcPr>
            <w:tcW w:w="1925" w:type="dxa"/>
          </w:tcPr>
          <w:p w14:paraId="6CFC9C1A" w14:textId="679D00C5"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Pr>
                <w:rFonts w:ascii="Arial Narrow" w:hAnsi="Arial Narrow"/>
              </w:rPr>
              <w:t>3,</w:t>
            </w:r>
            <w:r w:rsidR="00112827">
              <w:rPr>
                <w:rFonts w:ascii="Arial Narrow" w:hAnsi="Arial Narrow"/>
              </w:rPr>
              <w:t>402,799.44</w:t>
            </w:r>
            <w:proofErr w:type="gramEnd"/>
          </w:p>
        </w:tc>
      </w:tr>
      <w:tr w:rsidR="00F308C6" w:rsidRPr="007D4412" w14:paraId="10603C4C"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6D22A2C" w14:textId="3C4895CA" w:rsidR="00F308C6" w:rsidRPr="007D4412" w:rsidRDefault="00F308C6" w:rsidP="007864AE">
            <w:pPr>
              <w:jc w:val="both"/>
              <w:rPr>
                <w:rFonts w:ascii="Arial Narrow" w:hAnsi="Arial Narrow"/>
              </w:rPr>
            </w:pPr>
            <w:r w:rsidRPr="007D4412">
              <w:rPr>
                <w:rFonts w:ascii="Arial Narrow" w:hAnsi="Arial Narrow"/>
              </w:rPr>
              <w:t>Conmutación</w:t>
            </w:r>
            <w:r w:rsidR="00112827">
              <w:rPr>
                <w:rFonts w:ascii="Arial Narrow" w:hAnsi="Arial Narrow"/>
              </w:rPr>
              <w:t xml:space="preserve">  </w:t>
            </w:r>
          </w:p>
        </w:tc>
        <w:tc>
          <w:tcPr>
            <w:tcW w:w="1925" w:type="dxa"/>
          </w:tcPr>
          <w:p w14:paraId="27A8C37C" w14:textId="4A6B3D15" w:rsidR="00F308C6" w:rsidRPr="007D4412" w:rsidRDefault="00112827" w:rsidP="00112827">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w:t>
            </w:r>
            <w:r w:rsidR="00F308C6" w:rsidRPr="007D4412">
              <w:rPr>
                <w:rFonts w:ascii="Arial Narrow" w:hAnsi="Arial Narrow"/>
              </w:rPr>
              <w:t xml:space="preserve">$  </w:t>
            </w:r>
            <w:r>
              <w:rPr>
                <w:rFonts w:ascii="Arial Narrow" w:hAnsi="Arial Narrow"/>
              </w:rPr>
              <w:t xml:space="preserve">   807,901.72</w:t>
            </w:r>
          </w:p>
        </w:tc>
      </w:tr>
      <w:tr w:rsidR="00F308C6" w:rsidRPr="007D4412" w14:paraId="7698D71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6F5F7B0" w14:textId="77777777" w:rsidR="00F308C6" w:rsidRPr="007D4412" w:rsidRDefault="00F308C6" w:rsidP="007864AE">
            <w:pPr>
              <w:jc w:val="both"/>
              <w:rPr>
                <w:rFonts w:ascii="Arial Narrow" w:hAnsi="Arial Narrow"/>
              </w:rPr>
            </w:pPr>
            <w:r w:rsidRPr="007D4412">
              <w:rPr>
                <w:rFonts w:ascii="Arial Narrow" w:hAnsi="Arial Narrow"/>
              </w:rPr>
              <w:t>Pensión alimenticia</w:t>
            </w:r>
          </w:p>
        </w:tc>
        <w:tc>
          <w:tcPr>
            <w:tcW w:w="1925" w:type="dxa"/>
          </w:tcPr>
          <w:p w14:paraId="352C111A" w14:textId="1050D26A"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   </w:t>
            </w:r>
            <w:r w:rsidR="00112827">
              <w:rPr>
                <w:rFonts w:ascii="Arial Narrow" w:hAnsi="Arial Narrow"/>
              </w:rPr>
              <w:t xml:space="preserve">  </w:t>
            </w:r>
            <w:r>
              <w:rPr>
                <w:rFonts w:ascii="Arial Narrow" w:hAnsi="Arial Narrow"/>
              </w:rPr>
              <w:t xml:space="preserve"> </w:t>
            </w:r>
            <w:proofErr w:type="gramStart"/>
            <w:r w:rsidRPr="007D4412">
              <w:rPr>
                <w:rFonts w:ascii="Arial Narrow" w:hAnsi="Arial Narrow"/>
              </w:rPr>
              <w:t>$</w:t>
            </w:r>
            <w:r>
              <w:rPr>
                <w:rFonts w:ascii="Arial Narrow" w:hAnsi="Arial Narrow"/>
              </w:rPr>
              <w:t xml:space="preserve"> </w:t>
            </w:r>
            <w:r w:rsidR="00112827">
              <w:rPr>
                <w:rFonts w:ascii="Arial Narrow" w:hAnsi="Arial Narrow"/>
              </w:rPr>
              <w:t xml:space="preserve"> 1</w:t>
            </w:r>
            <w:r>
              <w:rPr>
                <w:rFonts w:ascii="Arial Narrow" w:hAnsi="Arial Narrow"/>
              </w:rPr>
              <w:t>0,</w:t>
            </w:r>
            <w:r w:rsidR="00112827">
              <w:rPr>
                <w:rFonts w:ascii="Arial Narrow" w:hAnsi="Arial Narrow"/>
              </w:rPr>
              <w:t>075,909.81</w:t>
            </w:r>
            <w:proofErr w:type="gramEnd"/>
          </w:p>
        </w:tc>
      </w:tr>
      <w:tr w:rsidR="00F308C6" w:rsidRPr="007D4412" w14:paraId="2694178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08002CA" w14:textId="77777777" w:rsidR="00F308C6" w:rsidRPr="007D4412" w:rsidRDefault="00F308C6" w:rsidP="007864AE">
            <w:pPr>
              <w:jc w:val="both"/>
              <w:rPr>
                <w:rFonts w:ascii="Arial Narrow" w:hAnsi="Arial Narrow"/>
              </w:rPr>
            </w:pPr>
            <w:r w:rsidRPr="007D4412">
              <w:rPr>
                <w:rFonts w:ascii="Arial Narrow" w:hAnsi="Arial Narrow"/>
              </w:rPr>
              <w:t>Sanción pecuniaria</w:t>
            </w:r>
          </w:p>
        </w:tc>
        <w:tc>
          <w:tcPr>
            <w:tcW w:w="1925" w:type="dxa"/>
          </w:tcPr>
          <w:p w14:paraId="29F7E836" w14:textId="650D6D42"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sidRPr="007D4412">
              <w:rPr>
                <w:rFonts w:ascii="Arial Narrow" w:hAnsi="Arial Narrow"/>
              </w:rPr>
              <w:t>$  1,</w:t>
            </w:r>
            <w:r w:rsidR="00112827">
              <w:rPr>
                <w:rFonts w:ascii="Arial Narrow" w:hAnsi="Arial Narrow"/>
              </w:rPr>
              <w:t>442,814.84</w:t>
            </w:r>
            <w:proofErr w:type="gramEnd"/>
          </w:p>
        </w:tc>
      </w:tr>
      <w:tr w:rsidR="00F308C6" w:rsidRPr="007D4412" w14:paraId="655AD708"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A56E9C3" w14:textId="77777777" w:rsidR="00F308C6" w:rsidRPr="007D4412" w:rsidRDefault="00F308C6" w:rsidP="007864AE">
            <w:pPr>
              <w:jc w:val="both"/>
              <w:rPr>
                <w:rFonts w:ascii="Arial Narrow" w:hAnsi="Arial Narrow"/>
              </w:rPr>
            </w:pPr>
            <w:r w:rsidRPr="007D4412">
              <w:rPr>
                <w:rFonts w:ascii="Arial Narrow" w:hAnsi="Arial Narrow"/>
              </w:rPr>
              <w:t xml:space="preserve">Diversos </w:t>
            </w:r>
          </w:p>
        </w:tc>
        <w:tc>
          <w:tcPr>
            <w:tcW w:w="1925" w:type="dxa"/>
          </w:tcPr>
          <w:p w14:paraId="1352AA45" w14:textId="7595B8E1"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112827">
              <w:rPr>
                <w:rFonts w:ascii="Arial Narrow" w:hAnsi="Arial Narrow"/>
              </w:rPr>
              <w:t>6,454,629.92</w:t>
            </w:r>
            <w:proofErr w:type="gramEnd"/>
          </w:p>
        </w:tc>
      </w:tr>
      <w:tr w:rsidR="00F308C6" w:rsidRPr="007D4412" w14:paraId="290CAEB4"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8F8300F" w14:textId="77777777" w:rsidR="00F308C6" w:rsidRPr="007D4412" w:rsidRDefault="00F308C6" w:rsidP="007864AE">
            <w:pPr>
              <w:jc w:val="both"/>
              <w:rPr>
                <w:rFonts w:ascii="Arial Narrow" w:hAnsi="Arial Narrow"/>
              </w:rPr>
            </w:pPr>
            <w:r w:rsidRPr="007D4412">
              <w:rPr>
                <w:rFonts w:ascii="Arial Narrow" w:hAnsi="Arial Narrow"/>
              </w:rPr>
              <w:t>Consignación de pago</w:t>
            </w:r>
          </w:p>
        </w:tc>
        <w:tc>
          <w:tcPr>
            <w:tcW w:w="1925" w:type="dxa"/>
          </w:tcPr>
          <w:p w14:paraId="1458ADB5" w14:textId="7B52A0AC"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xml:space="preserve">$ </w:t>
            </w:r>
            <w:r>
              <w:rPr>
                <w:rFonts w:ascii="Arial Narrow" w:hAnsi="Arial Narrow"/>
              </w:rPr>
              <w:t>18,</w:t>
            </w:r>
            <w:r w:rsidR="00112827">
              <w:rPr>
                <w:rFonts w:ascii="Arial Narrow" w:hAnsi="Arial Narrow"/>
              </w:rPr>
              <w:t>597,849.70</w:t>
            </w:r>
          </w:p>
        </w:tc>
      </w:tr>
      <w:tr w:rsidR="00F308C6" w:rsidRPr="007D4412" w14:paraId="2F72077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669700D6" w14:textId="77777777" w:rsidR="00F308C6" w:rsidRPr="007D4412" w:rsidRDefault="00F308C6" w:rsidP="007864AE">
            <w:pPr>
              <w:jc w:val="both"/>
              <w:rPr>
                <w:rFonts w:ascii="Arial Narrow" w:hAnsi="Arial Narrow"/>
              </w:rPr>
            </w:pPr>
            <w:r w:rsidRPr="007D4412">
              <w:rPr>
                <w:rFonts w:ascii="Arial Narrow" w:hAnsi="Arial Narrow"/>
              </w:rPr>
              <w:t>Billetes de depósito</w:t>
            </w:r>
          </w:p>
        </w:tc>
        <w:tc>
          <w:tcPr>
            <w:tcW w:w="1925" w:type="dxa"/>
          </w:tcPr>
          <w:p w14:paraId="4A07FC97" w14:textId="77777777" w:rsidR="00F308C6" w:rsidRPr="007D4412" w:rsidRDefault="00F308C6" w:rsidP="007864AE">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2,357,65</w:t>
            </w:r>
            <w:r>
              <w:rPr>
                <w:rFonts w:ascii="Arial Narrow" w:hAnsi="Arial Narrow"/>
              </w:rPr>
              <w:t>2.57</w:t>
            </w:r>
            <w:proofErr w:type="gramEnd"/>
          </w:p>
        </w:tc>
      </w:tr>
      <w:tr w:rsidR="00F308C6" w:rsidRPr="007D4412" w14:paraId="56538F1A"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44946B0B" w14:textId="77777777" w:rsidR="00F308C6" w:rsidRPr="007D4412" w:rsidRDefault="00F308C6" w:rsidP="007864AE">
            <w:pPr>
              <w:jc w:val="both"/>
              <w:rPr>
                <w:rFonts w:ascii="Arial Narrow" w:hAnsi="Arial Narrow"/>
                <w:b w:val="0"/>
              </w:rPr>
            </w:pPr>
            <w:r w:rsidRPr="007D4412">
              <w:rPr>
                <w:rFonts w:ascii="Arial Narrow" w:hAnsi="Arial Narrow"/>
              </w:rPr>
              <w:t>TOTAL</w:t>
            </w:r>
          </w:p>
        </w:tc>
        <w:tc>
          <w:tcPr>
            <w:tcW w:w="1925" w:type="dxa"/>
          </w:tcPr>
          <w:p w14:paraId="0CDB5B8B" w14:textId="2628F023" w:rsidR="00F308C6" w:rsidRPr="007D4412" w:rsidRDefault="00F308C6" w:rsidP="007864AE">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D4412">
              <w:rPr>
                <w:rFonts w:ascii="Arial Narrow" w:hAnsi="Arial Narrow"/>
                <w:b/>
              </w:rPr>
              <w:t>$</w:t>
            </w:r>
            <w:r>
              <w:rPr>
                <w:rFonts w:ascii="Arial Narrow" w:hAnsi="Arial Narrow"/>
                <w:b/>
              </w:rPr>
              <w:t xml:space="preserve"> 5</w:t>
            </w:r>
            <w:r w:rsidR="00112827">
              <w:rPr>
                <w:rFonts w:ascii="Arial Narrow" w:hAnsi="Arial Narrow"/>
                <w:b/>
              </w:rPr>
              <w:t>3,796,905.72</w:t>
            </w:r>
          </w:p>
        </w:tc>
      </w:tr>
    </w:tbl>
    <w:p w14:paraId="5EA5CDB5" w14:textId="77777777" w:rsidR="00F308C6" w:rsidRDefault="00F308C6" w:rsidP="00F308C6">
      <w:pPr>
        <w:jc w:val="both"/>
        <w:rPr>
          <w:rFonts w:ascii="Arial Narrow" w:hAnsi="Arial Narrow"/>
          <w:b/>
          <w:sz w:val="24"/>
          <w:szCs w:val="24"/>
        </w:rPr>
      </w:pPr>
    </w:p>
    <w:p w14:paraId="14AFD12D" w14:textId="502C17EC" w:rsidR="00F308C6" w:rsidRDefault="00F308C6" w:rsidP="00F308C6">
      <w:pPr>
        <w:jc w:val="both"/>
        <w:rPr>
          <w:rFonts w:ascii="Arial Narrow" w:hAnsi="Arial Narrow"/>
          <w:sz w:val="16"/>
          <w:szCs w:val="16"/>
        </w:rPr>
      </w:pPr>
      <w:r w:rsidRPr="005D1E77">
        <w:rPr>
          <w:rFonts w:ascii="Arial Narrow" w:hAnsi="Arial Narrow"/>
          <w:b/>
          <w:sz w:val="24"/>
          <w:szCs w:val="24"/>
        </w:rPr>
        <w:t xml:space="preserve">Diversos: </w:t>
      </w:r>
      <w:r w:rsidRPr="005D1E77">
        <w:rPr>
          <w:rFonts w:ascii="Arial Narrow" w:hAnsi="Arial Narrow"/>
          <w:sz w:val="24"/>
          <w:szCs w:val="24"/>
        </w:rPr>
        <w:t>Se integran por pensiones rentísticas, pago de peritos, consignación de pagos, pago de almoneda.</w:t>
      </w:r>
    </w:p>
    <w:p w14:paraId="37F8693D" w14:textId="77777777" w:rsidR="00F308C6" w:rsidRPr="005D1E77" w:rsidRDefault="00F308C6" w:rsidP="00F308C6">
      <w:pPr>
        <w:pStyle w:val="Prrafodelista"/>
        <w:numPr>
          <w:ilvl w:val="0"/>
          <w:numId w:val="17"/>
        </w:numPr>
        <w:jc w:val="both"/>
        <w:rPr>
          <w:rFonts w:ascii="Arial Narrow" w:hAnsi="Arial Narrow"/>
          <w:b/>
          <w:u w:val="single"/>
        </w:rPr>
      </w:pPr>
      <w:r w:rsidRPr="005D1E77">
        <w:rPr>
          <w:rFonts w:ascii="Arial Narrow" w:hAnsi="Arial Narrow"/>
          <w:b/>
          <w:u w:val="single"/>
        </w:rPr>
        <w:t xml:space="preserve"> NOTAS AL ESTADO DE ACTIVIDADES.</w:t>
      </w:r>
    </w:p>
    <w:p w14:paraId="4FEA2459" w14:textId="77777777" w:rsidR="00F308C6" w:rsidRPr="005D1E77" w:rsidRDefault="00F308C6" w:rsidP="00F308C6">
      <w:pPr>
        <w:ind w:left="360"/>
        <w:jc w:val="both"/>
        <w:rPr>
          <w:rFonts w:ascii="Arial Narrow" w:hAnsi="Arial Narrow"/>
          <w:b/>
          <w:u w:val="single"/>
        </w:rPr>
      </w:pPr>
      <w:r w:rsidRPr="005D1E77">
        <w:rPr>
          <w:rFonts w:ascii="Arial Narrow" w:hAnsi="Arial Narrow"/>
          <w:b/>
          <w:u w:val="single"/>
        </w:rPr>
        <w:t>Ingresos de Gestión.</w:t>
      </w:r>
    </w:p>
    <w:p w14:paraId="64814658" w14:textId="319367D3" w:rsidR="00F308C6" w:rsidRPr="005D1E77" w:rsidRDefault="00F308C6" w:rsidP="00F308C6">
      <w:pPr>
        <w:jc w:val="both"/>
        <w:rPr>
          <w:rFonts w:ascii="Arial Narrow" w:hAnsi="Arial Narrow"/>
        </w:rPr>
      </w:pPr>
      <w:r w:rsidRPr="005D1E77">
        <w:rPr>
          <w:rFonts w:ascii="Arial Narrow" w:hAnsi="Arial Narrow"/>
        </w:rPr>
        <w:t>Los ingresos</w:t>
      </w:r>
      <w:r w:rsidR="00112827">
        <w:rPr>
          <w:rFonts w:ascii="Arial Narrow" w:hAnsi="Arial Narrow"/>
        </w:rPr>
        <w:t xml:space="preserve"> de gestión</w:t>
      </w:r>
      <w:r w:rsidRPr="005D1E77">
        <w:rPr>
          <w:rFonts w:ascii="Arial Narrow" w:hAnsi="Arial Narrow"/>
        </w:rPr>
        <w:t xml:space="preserve"> del Honorable Tribunal Superior de Justicia del Estado por el periodo</w:t>
      </w:r>
      <w:r>
        <w:rPr>
          <w:rFonts w:ascii="Arial Narrow" w:hAnsi="Arial Narrow"/>
        </w:rPr>
        <w:t xml:space="preserve"> comprendido</w:t>
      </w:r>
      <w:r w:rsidRPr="005D1E77">
        <w:rPr>
          <w:rFonts w:ascii="Arial Narrow" w:hAnsi="Arial Narrow"/>
        </w:rPr>
        <w:t xml:space="preserve"> </w:t>
      </w:r>
      <w:r>
        <w:rPr>
          <w:rFonts w:ascii="Arial Narrow" w:hAnsi="Arial Narrow"/>
        </w:rPr>
        <w:t>d</w:t>
      </w:r>
      <w:r w:rsidR="00112827">
        <w:rPr>
          <w:rFonts w:ascii="Arial Narrow" w:hAnsi="Arial Narrow"/>
        </w:rPr>
        <w:t>el 01 de enero al 31 de diciembre</w:t>
      </w:r>
      <w:r>
        <w:rPr>
          <w:rFonts w:ascii="Arial Narrow" w:hAnsi="Arial Narrow"/>
        </w:rPr>
        <w:t xml:space="preserve"> de 2020</w:t>
      </w:r>
      <w:r w:rsidRPr="005D1E77">
        <w:rPr>
          <w:rFonts w:ascii="Arial Narrow" w:hAnsi="Arial Narrow"/>
        </w:rPr>
        <w:t>, se integran de la siguiente manera:</w:t>
      </w:r>
    </w:p>
    <w:p w14:paraId="4E7479E8" w14:textId="77777777" w:rsidR="00F308C6" w:rsidRPr="005D1E77" w:rsidRDefault="00F308C6" w:rsidP="00F308C6">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F308C6" w:rsidRPr="005D1E77" w14:paraId="0C95F607"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5758E3F"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69DF0656" w14:textId="77777777" w:rsidR="00F308C6" w:rsidRPr="005D1E77" w:rsidRDefault="00F308C6" w:rsidP="007864AE">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CONCEPTO</w:t>
            </w:r>
          </w:p>
        </w:tc>
        <w:tc>
          <w:tcPr>
            <w:tcW w:w="2433" w:type="dxa"/>
          </w:tcPr>
          <w:p w14:paraId="2C031052" w14:textId="77777777" w:rsidR="00F308C6" w:rsidRPr="005D1E77" w:rsidRDefault="00F308C6" w:rsidP="007864AE">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CANTIDAD</w:t>
            </w:r>
          </w:p>
        </w:tc>
      </w:tr>
      <w:tr w:rsidR="00F308C6" w:rsidRPr="005D1E77" w14:paraId="6C83C7D1"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00C3505"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1F5AEFCA" w14:textId="77777777" w:rsidR="00F308C6" w:rsidRPr="005D1E77" w:rsidRDefault="00F308C6" w:rsidP="007864A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Impuestos</w:t>
            </w:r>
          </w:p>
        </w:tc>
        <w:tc>
          <w:tcPr>
            <w:tcW w:w="2433" w:type="dxa"/>
          </w:tcPr>
          <w:p w14:paraId="7EADCC4E"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0.00</w:t>
            </w:r>
          </w:p>
        </w:tc>
      </w:tr>
      <w:tr w:rsidR="00F308C6" w:rsidRPr="005D1E77" w14:paraId="522B3B02"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9583F4"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00F3F831" w14:textId="77777777" w:rsidR="00F308C6" w:rsidRPr="005D1E77" w:rsidRDefault="00F308C6" w:rsidP="007864A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Derechos </w:t>
            </w:r>
          </w:p>
        </w:tc>
        <w:tc>
          <w:tcPr>
            <w:tcW w:w="2433" w:type="dxa"/>
          </w:tcPr>
          <w:p w14:paraId="2A852D65" w14:textId="77777777" w:rsidR="00F308C6" w:rsidRPr="005D1E77" w:rsidRDefault="00F308C6" w:rsidP="007864AE">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0.00</w:t>
            </w:r>
          </w:p>
        </w:tc>
      </w:tr>
      <w:tr w:rsidR="00F308C6" w:rsidRPr="005D1E77" w14:paraId="32D3EC4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838D5C"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54D2EB78" w14:textId="77777777" w:rsidR="00F308C6" w:rsidRPr="005D1E77" w:rsidRDefault="00F308C6" w:rsidP="007864A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Productos de tipo corriente             </w:t>
            </w:r>
          </w:p>
        </w:tc>
        <w:tc>
          <w:tcPr>
            <w:tcW w:w="2433" w:type="dxa"/>
          </w:tcPr>
          <w:p w14:paraId="3AA04DC2" w14:textId="7ABCA744"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00112827">
              <w:rPr>
                <w:rFonts w:ascii="Arial Narrow" w:hAnsi="Arial Narrow"/>
                <w:sz w:val="18"/>
                <w:szCs w:val="18"/>
              </w:rPr>
              <w:t>5,216,299.14</w:t>
            </w:r>
            <w:r w:rsidRPr="005D1E77">
              <w:rPr>
                <w:rFonts w:ascii="Arial Narrow" w:hAnsi="Arial Narrow"/>
                <w:sz w:val="18"/>
                <w:szCs w:val="18"/>
              </w:rPr>
              <w:t xml:space="preserve">          </w:t>
            </w:r>
          </w:p>
        </w:tc>
      </w:tr>
      <w:tr w:rsidR="00F308C6" w:rsidRPr="005D1E77" w14:paraId="33A45A25"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071C7A13"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6A83DE4D" w14:textId="77777777" w:rsidR="00F308C6" w:rsidRPr="005D1E77" w:rsidRDefault="00F308C6" w:rsidP="007864A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Ingresos por venta de bienes y servicios</w:t>
            </w:r>
          </w:p>
        </w:tc>
        <w:tc>
          <w:tcPr>
            <w:tcW w:w="2433" w:type="dxa"/>
          </w:tcPr>
          <w:p w14:paraId="5FF4210A" w14:textId="1D0B4CA5" w:rsidR="00F308C6" w:rsidRPr="005D1E77" w:rsidRDefault="00F308C6" w:rsidP="007864AE">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00112827">
              <w:rPr>
                <w:rFonts w:ascii="Arial Narrow" w:hAnsi="Arial Narrow"/>
                <w:sz w:val="18"/>
                <w:szCs w:val="18"/>
              </w:rPr>
              <w:t>47,390,458.60</w:t>
            </w:r>
            <w:r>
              <w:rPr>
                <w:rFonts w:ascii="Arial Narrow" w:hAnsi="Arial Narrow"/>
                <w:sz w:val="18"/>
                <w:szCs w:val="18"/>
              </w:rPr>
              <w:t xml:space="preserve"> </w:t>
            </w:r>
          </w:p>
        </w:tc>
      </w:tr>
      <w:tr w:rsidR="00F308C6" w:rsidRPr="005D1E77" w14:paraId="24F791A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3230B4B" w14:textId="77777777" w:rsidR="00F308C6" w:rsidRPr="005D1E77" w:rsidRDefault="00F308C6" w:rsidP="007864AE">
            <w:pPr>
              <w:pStyle w:val="Prrafodelista"/>
              <w:ind w:left="0"/>
              <w:jc w:val="both"/>
              <w:rPr>
                <w:rFonts w:ascii="Arial Narrow" w:hAnsi="Arial Narrow"/>
                <w:sz w:val="18"/>
                <w:szCs w:val="18"/>
              </w:rPr>
            </w:pPr>
          </w:p>
        </w:tc>
        <w:tc>
          <w:tcPr>
            <w:tcW w:w="4288" w:type="dxa"/>
          </w:tcPr>
          <w:p w14:paraId="32750B85"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4F47CDE6"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TOTAL</w:t>
            </w:r>
            <w:proofErr w:type="gramEnd"/>
            <w:r w:rsidRPr="005D1E77">
              <w:rPr>
                <w:rFonts w:ascii="Arial Narrow" w:hAnsi="Arial Narrow"/>
                <w:sz w:val="18"/>
                <w:szCs w:val="18"/>
              </w:rPr>
              <w:t xml:space="preserve"> DE INGRESOS DE GESTIÓN</w:t>
            </w:r>
          </w:p>
        </w:tc>
        <w:tc>
          <w:tcPr>
            <w:tcW w:w="2433" w:type="dxa"/>
          </w:tcPr>
          <w:p w14:paraId="10B2CF91" w14:textId="77777777"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6D1AD71" w14:textId="4DAF1100" w:rsidR="00F308C6" w:rsidRPr="005D1E77" w:rsidRDefault="00F308C6" w:rsidP="007864AE">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112827">
              <w:rPr>
                <w:rFonts w:ascii="Arial Narrow" w:hAnsi="Arial Narrow"/>
                <w:b/>
                <w:sz w:val="18"/>
                <w:szCs w:val="18"/>
              </w:rPr>
              <w:t>52,606,757.74</w:t>
            </w:r>
          </w:p>
        </w:tc>
      </w:tr>
    </w:tbl>
    <w:p w14:paraId="489AB590" w14:textId="77777777" w:rsidR="00F308C6" w:rsidRPr="00057E23" w:rsidRDefault="00F308C6" w:rsidP="00F308C6">
      <w:pPr>
        <w:jc w:val="both"/>
        <w:rPr>
          <w:rFonts w:ascii="Arial Narrow" w:hAnsi="Arial Narrow"/>
        </w:rPr>
      </w:pPr>
    </w:p>
    <w:p w14:paraId="72343A9D" w14:textId="77777777" w:rsidR="00F308C6" w:rsidRPr="005D1E77" w:rsidRDefault="00F308C6" w:rsidP="00F308C6">
      <w:pPr>
        <w:ind w:left="360"/>
        <w:jc w:val="both"/>
        <w:rPr>
          <w:rFonts w:ascii="Arial Narrow" w:hAnsi="Arial Narrow"/>
          <w:b/>
          <w:u w:val="single"/>
        </w:rPr>
      </w:pPr>
      <w:r w:rsidRPr="005D1E77">
        <w:rPr>
          <w:rFonts w:ascii="Arial Narrow" w:hAnsi="Arial Narrow"/>
          <w:b/>
          <w:u w:val="single"/>
        </w:rPr>
        <w:lastRenderedPageBreak/>
        <w:t>Gastos y otras pérdidas.</w:t>
      </w:r>
    </w:p>
    <w:p w14:paraId="58B9890D" w14:textId="28818FA5" w:rsidR="00F308C6" w:rsidRPr="005D1E77" w:rsidRDefault="00F308C6" w:rsidP="00F308C6">
      <w:pPr>
        <w:jc w:val="both"/>
        <w:rPr>
          <w:rFonts w:ascii="Arial Narrow" w:hAnsi="Arial Narrow"/>
        </w:rPr>
      </w:pPr>
      <w:r w:rsidRPr="005D1E77">
        <w:rPr>
          <w:rFonts w:ascii="Arial Narrow" w:hAnsi="Arial Narrow"/>
        </w:rPr>
        <w:t>D</w:t>
      </w:r>
      <w:r w:rsidR="00112827">
        <w:rPr>
          <w:rFonts w:ascii="Arial Narrow" w:hAnsi="Arial Narrow"/>
        </w:rPr>
        <w:t xml:space="preserve">ebido a las actividades </w:t>
      </w:r>
      <w:proofErr w:type="gramStart"/>
      <w:r w:rsidR="00112827">
        <w:rPr>
          <w:rFonts w:ascii="Arial Narrow" w:hAnsi="Arial Narrow"/>
        </w:rPr>
        <w:t xml:space="preserve">y </w:t>
      </w:r>
      <w:r w:rsidRPr="005D1E77">
        <w:rPr>
          <w:rFonts w:ascii="Arial Narrow" w:hAnsi="Arial Narrow"/>
        </w:rPr>
        <w:t xml:space="preserve"> la</w:t>
      </w:r>
      <w:proofErr w:type="gramEnd"/>
      <w:r w:rsidRPr="005D1E77">
        <w:rPr>
          <w:rFonts w:ascii="Arial Narrow" w:hAnsi="Arial Narrow"/>
        </w:rPr>
        <w:t xml:space="preserve"> funci</w:t>
      </w:r>
      <w:r w:rsidR="00112827">
        <w:rPr>
          <w:rFonts w:ascii="Arial Narrow" w:hAnsi="Arial Narrow"/>
        </w:rPr>
        <w:t xml:space="preserve">ones </w:t>
      </w:r>
      <w:r w:rsidRPr="005D1E77">
        <w:rPr>
          <w:rFonts w:ascii="Arial Narrow" w:hAnsi="Arial Narrow"/>
        </w:rPr>
        <w:t xml:space="preserve"> que realiza este Ente, su mayor gasto se encuentra en el rubro servicios personales que representa el </w:t>
      </w:r>
      <w:r w:rsidR="000E67D8">
        <w:rPr>
          <w:rFonts w:ascii="Arial Narrow" w:hAnsi="Arial Narrow"/>
        </w:rPr>
        <w:t>79.81%</w:t>
      </w:r>
      <w:r w:rsidRPr="005D1E77">
        <w:rPr>
          <w:rFonts w:ascii="Arial Narrow" w:hAnsi="Arial Narrow"/>
        </w:rPr>
        <w:t xml:space="preserve"> de los ingresos recibidos del ejercicio fiscal de 20</w:t>
      </w:r>
      <w:r>
        <w:rPr>
          <w:rFonts w:ascii="Arial Narrow" w:hAnsi="Arial Narrow"/>
        </w:rPr>
        <w:t>20</w:t>
      </w:r>
      <w:r w:rsidRPr="005D1E77">
        <w:rPr>
          <w:rFonts w:ascii="Arial Narrow" w:hAnsi="Arial Narrow"/>
        </w:rPr>
        <w:t>, mismo que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F308C6" w:rsidRPr="005D1E77" w14:paraId="26388D13"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0CBA6D7" w14:textId="77777777" w:rsidR="00F308C6" w:rsidRPr="005D1E77" w:rsidRDefault="00F308C6" w:rsidP="007864AE">
            <w:pPr>
              <w:jc w:val="both"/>
              <w:rPr>
                <w:rFonts w:ascii="Arial Narrow" w:hAnsi="Arial Narrow"/>
                <w:sz w:val="18"/>
                <w:szCs w:val="18"/>
              </w:rPr>
            </w:pPr>
            <w:bookmarkStart w:id="4" w:name="_Hlk60999977"/>
          </w:p>
        </w:tc>
        <w:tc>
          <w:tcPr>
            <w:tcW w:w="2867" w:type="dxa"/>
          </w:tcPr>
          <w:p w14:paraId="7FCC6E41" w14:textId="77777777" w:rsidR="00F308C6" w:rsidRPr="005D1E77" w:rsidRDefault="00F308C6"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CONCEPTO   </w:t>
            </w:r>
          </w:p>
        </w:tc>
        <w:tc>
          <w:tcPr>
            <w:tcW w:w="2551" w:type="dxa"/>
          </w:tcPr>
          <w:p w14:paraId="60AE9FE2" w14:textId="1EF41ECB" w:rsidR="00F308C6" w:rsidRPr="005D1E77" w:rsidRDefault="000E67D8" w:rsidP="007864AE">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308C6" w:rsidRPr="005D1E77">
              <w:rPr>
                <w:rFonts w:ascii="Arial Narrow" w:hAnsi="Arial Narrow"/>
                <w:sz w:val="18"/>
                <w:szCs w:val="18"/>
              </w:rPr>
              <w:t>CANTIDAD</w:t>
            </w:r>
          </w:p>
        </w:tc>
      </w:tr>
      <w:tr w:rsidR="00F308C6" w:rsidRPr="005D1E77" w14:paraId="40933BC0"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288E1ED" w14:textId="77777777" w:rsidR="00F308C6" w:rsidRPr="005D1E77" w:rsidRDefault="00F308C6" w:rsidP="007864AE">
            <w:pPr>
              <w:jc w:val="both"/>
              <w:rPr>
                <w:rFonts w:ascii="Arial Narrow" w:hAnsi="Arial Narrow"/>
                <w:sz w:val="18"/>
                <w:szCs w:val="18"/>
              </w:rPr>
            </w:pPr>
          </w:p>
        </w:tc>
        <w:tc>
          <w:tcPr>
            <w:tcW w:w="2867" w:type="dxa"/>
          </w:tcPr>
          <w:p w14:paraId="38501AA3" w14:textId="77777777" w:rsidR="00F308C6" w:rsidRPr="005D1E77"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Servicios personales</w:t>
            </w:r>
          </w:p>
        </w:tc>
        <w:tc>
          <w:tcPr>
            <w:tcW w:w="2551" w:type="dxa"/>
          </w:tcPr>
          <w:p w14:paraId="741ABB60" w14:textId="367EB626" w:rsidR="00F308C6" w:rsidRPr="005D1E77" w:rsidRDefault="00F308C6" w:rsidP="007864AE">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w:t>
            </w:r>
            <w:r w:rsidR="000E67D8">
              <w:rPr>
                <w:rFonts w:ascii="Arial Narrow" w:hAnsi="Arial Narrow"/>
                <w:sz w:val="18"/>
                <w:szCs w:val="18"/>
              </w:rPr>
              <w:t xml:space="preserve"> 304,214,310.92</w:t>
            </w:r>
          </w:p>
        </w:tc>
      </w:tr>
      <w:bookmarkEnd w:id="4"/>
    </w:tbl>
    <w:p w14:paraId="6B68018D" w14:textId="77777777" w:rsidR="00F308C6" w:rsidRPr="005D1E77" w:rsidRDefault="00F308C6" w:rsidP="00F308C6">
      <w:pPr>
        <w:jc w:val="both"/>
        <w:rPr>
          <w:rFonts w:ascii="Arial Narrow" w:hAnsi="Arial Narrow"/>
        </w:rPr>
      </w:pPr>
    </w:p>
    <w:p w14:paraId="10105F09" w14:textId="1249447C" w:rsidR="00F308C6"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VARIACIONES EN LA HACIENDA PÚBLICA.</w:t>
      </w:r>
    </w:p>
    <w:p w14:paraId="1FD51254" w14:textId="4C2CECB8" w:rsidR="00CC7C2A" w:rsidRDefault="00CC7C2A" w:rsidP="00CC7C2A">
      <w:pPr>
        <w:pStyle w:val="Default"/>
        <w:rPr>
          <w:rFonts w:ascii="Arial Narrow" w:hAnsi="Arial Narrow"/>
          <w:b/>
          <w:sz w:val="22"/>
          <w:szCs w:val="22"/>
          <w:u w:val="single"/>
        </w:rPr>
      </w:pPr>
    </w:p>
    <w:p w14:paraId="66BE19F9" w14:textId="2BC37A47" w:rsidR="00CC7C2A" w:rsidRPr="00636935" w:rsidRDefault="00CC7C2A" w:rsidP="00CC7C2A">
      <w:pPr>
        <w:pStyle w:val="Default"/>
        <w:ind w:left="360"/>
        <w:rPr>
          <w:rFonts w:ascii="Arial Narrow" w:hAnsi="Arial Narrow"/>
          <w:b/>
          <w:bCs/>
          <w:sz w:val="18"/>
          <w:szCs w:val="18"/>
        </w:rPr>
      </w:pPr>
      <w:r w:rsidRPr="00636935">
        <w:rPr>
          <w:rFonts w:ascii="Arial Narrow" w:hAnsi="Arial Narrow"/>
          <w:b/>
          <w:bCs/>
          <w:sz w:val="18"/>
          <w:szCs w:val="18"/>
        </w:rPr>
        <w:t xml:space="preserve">1.- </w:t>
      </w:r>
      <w:r w:rsidRPr="00636935">
        <w:rPr>
          <w:rFonts w:ascii="Arial Narrow" w:hAnsi="Arial Narrow"/>
          <w:b/>
          <w:bCs/>
          <w:sz w:val="18"/>
          <w:szCs w:val="18"/>
        </w:rPr>
        <w:t>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CC7C2A" w:rsidRPr="00636935" w14:paraId="7D7A5F70" w14:textId="77777777" w:rsidTr="001A7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25F753C1" w14:textId="2FBF7136" w:rsidR="00CC7C2A" w:rsidRPr="00636935" w:rsidRDefault="00CC7C2A" w:rsidP="001A76C2">
            <w:pPr>
              <w:jc w:val="both"/>
              <w:rPr>
                <w:rFonts w:ascii="Arial Narrow" w:hAnsi="Arial Narrow"/>
                <w:sz w:val="18"/>
                <w:szCs w:val="18"/>
              </w:rPr>
            </w:pPr>
          </w:p>
        </w:tc>
        <w:tc>
          <w:tcPr>
            <w:tcW w:w="2867" w:type="dxa"/>
          </w:tcPr>
          <w:p w14:paraId="1C54D4FA" w14:textId="4E1A454F" w:rsidR="00CC7C2A" w:rsidRPr="00636935" w:rsidRDefault="00636935" w:rsidP="001A76C2">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Concepto</w:t>
            </w:r>
          </w:p>
        </w:tc>
        <w:tc>
          <w:tcPr>
            <w:tcW w:w="2551" w:type="dxa"/>
          </w:tcPr>
          <w:p w14:paraId="7D7B47B1" w14:textId="77777777" w:rsidR="00CC7C2A" w:rsidRPr="00636935" w:rsidRDefault="00CC7C2A" w:rsidP="001A76C2">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636935">
              <w:rPr>
                <w:rFonts w:ascii="Arial Narrow" w:hAnsi="Arial Narrow"/>
                <w:sz w:val="18"/>
                <w:szCs w:val="18"/>
              </w:rPr>
              <w:t xml:space="preserve">                CANTIDAD</w:t>
            </w:r>
          </w:p>
        </w:tc>
      </w:tr>
      <w:tr w:rsidR="00CC7C2A" w:rsidRPr="00636935" w14:paraId="664C2A98" w14:textId="77777777" w:rsidTr="001A7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5AAC3B8E" w14:textId="37DAFAB2" w:rsidR="00CC7C2A" w:rsidRPr="00636935" w:rsidRDefault="00CC7C2A" w:rsidP="001A76C2">
            <w:pPr>
              <w:jc w:val="both"/>
              <w:rPr>
                <w:rFonts w:ascii="Arial Narrow" w:hAnsi="Arial Narrow"/>
                <w:b w:val="0"/>
                <w:bCs w:val="0"/>
                <w:sz w:val="18"/>
                <w:szCs w:val="18"/>
              </w:rPr>
            </w:pPr>
            <w:r w:rsidRPr="00636935">
              <w:rPr>
                <w:rFonts w:ascii="Arial Narrow" w:hAnsi="Arial Narrow"/>
                <w:b w:val="0"/>
                <w:bCs w:val="0"/>
                <w:sz w:val="18"/>
                <w:szCs w:val="18"/>
              </w:rPr>
              <w:t>Donaciones de capital</w:t>
            </w:r>
          </w:p>
        </w:tc>
        <w:tc>
          <w:tcPr>
            <w:tcW w:w="2551" w:type="dxa"/>
          </w:tcPr>
          <w:p w14:paraId="1C7597C5" w14:textId="1B207535" w:rsidR="00CC7C2A" w:rsidRPr="00636935" w:rsidRDefault="00CC7C2A" w:rsidP="001A76C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36935">
              <w:rPr>
                <w:rFonts w:ascii="Arial Narrow" w:hAnsi="Arial Narrow"/>
                <w:sz w:val="18"/>
                <w:szCs w:val="18"/>
              </w:rPr>
              <w:t xml:space="preserve">            $ </w:t>
            </w:r>
            <w:r w:rsidR="00636935" w:rsidRPr="00636935">
              <w:rPr>
                <w:rFonts w:ascii="Arial Narrow" w:hAnsi="Arial Narrow"/>
                <w:sz w:val="18"/>
                <w:szCs w:val="18"/>
              </w:rPr>
              <w:t xml:space="preserve">       42,148.99</w:t>
            </w:r>
          </w:p>
        </w:tc>
      </w:tr>
      <w:tr w:rsidR="00CC7C2A" w:rsidRPr="00636935" w14:paraId="2F1D84D9" w14:textId="77777777" w:rsidTr="001A76C2">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130AF4BE" w14:textId="58673FCB" w:rsidR="00CC7C2A" w:rsidRPr="00636935" w:rsidRDefault="00CC7C2A" w:rsidP="001A76C2">
            <w:pPr>
              <w:jc w:val="both"/>
              <w:rPr>
                <w:rFonts w:ascii="Arial Narrow" w:hAnsi="Arial Narrow"/>
                <w:b w:val="0"/>
                <w:bCs w:val="0"/>
                <w:sz w:val="18"/>
                <w:szCs w:val="18"/>
              </w:rPr>
            </w:pPr>
            <w:r w:rsidRPr="00636935">
              <w:rPr>
                <w:rFonts w:ascii="Arial Narrow" w:hAnsi="Arial Narrow"/>
                <w:b w:val="0"/>
                <w:bCs w:val="0"/>
                <w:sz w:val="18"/>
                <w:szCs w:val="18"/>
              </w:rPr>
              <w:t>Actualización de la Hacienda Pública</w:t>
            </w:r>
          </w:p>
        </w:tc>
        <w:tc>
          <w:tcPr>
            <w:tcW w:w="2551" w:type="dxa"/>
          </w:tcPr>
          <w:p w14:paraId="265BE99A" w14:textId="05BC929E" w:rsidR="00CC7C2A" w:rsidRPr="00636935" w:rsidRDefault="00CC7C2A" w:rsidP="001A76C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36935">
              <w:rPr>
                <w:rFonts w:ascii="Arial Narrow" w:hAnsi="Arial Narrow"/>
                <w:sz w:val="18"/>
                <w:szCs w:val="18"/>
              </w:rPr>
              <w:t xml:space="preserve">            $ </w:t>
            </w:r>
            <w:r w:rsidR="00636935" w:rsidRPr="00636935">
              <w:rPr>
                <w:rFonts w:ascii="Arial Narrow" w:hAnsi="Arial Narrow"/>
                <w:sz w:val="18"/>
                <w:szCs w:val="18"/>
              </w:rPr>
              <w:t>28,376,284.03</w:t>
            </w:r>
          </w:p>
        </w:tc>
      </w:tr>
    </w:tbl>
    <w:p w14:paraId="1A7E52C0" w14:textId="77777777" w:rsidR="00CC7C2A" w:rsidRPr="00636935" w:rsidRDefault="00CC7C2A" w:rsidP="00CC7C2A">
      <w:pPr>
        <w:pStyle w:val="Default"/>
        <w:ind w:left="360"/>
        <w:rPr>
          <w:rFonts w:ascii="Arial Narrow" w:hAnsi="Arial Narrow"/>
          <w:sz w:val="18"/>
          <w:szCs w:val="18"/>
        </w:rPr>
      </w:pPr>
    </w:p>
    <w:p w14:paraId="5F1A8375" w14:textId="3E81680A" w:rsidR="00F308C6" w:rsidRPr="00636935" w:rsidRDefault="00CC7C2A" w:rsidP="00F308C6">
      <w:pPr>
        <w:pStyle w:val="Default"/>
        <w:ind w:left="360"/>
        <w:rPr>
          <w:rFonts w:ascii="Arial Narrow" w:hAnsi="Arial Narrow"/>
          <w:b/>
          <w:bCs/>
          <w:sz w:val="18"/>
          <w:szCs w:val="18"/>
        </w:rPr>
      </w:pPr>
      <w:r w:rsidRPr="00636935">
        <w:rPr>
          <w:rFonts w:ascii="Arial Narrow" w:hAnsi="Arial Narrow"/>
          <w:b/>
          <w:bCs/>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CC7C2A" w:rsidRPr="005D1E77" w14:paraId="23F38D3C" w14:textId="77777777" w:rsidTr="001A7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371CE396" w14:textId="77777777" w:rsidR="00CC7C2A" w:rsidRPr="005D1E77" w:rsidRDefault="00CC7C2A" w:rsidP="001A76C2">
            <w:pPr>
              <w:jc w:val="both"/>
              <w:rPr>
                <w:rFonts w:ascii="Arial Narrow" w:hAnsi="Arial Narrow"/>
                <w:sz w:val="18"/>
                <w:szCs w:val="18"/>
              </w:rPr>
            </w:pPr>
          </w:p>
        </w:tc>
        <w:tc>
          <w:tcPr>
            <w:tcW w:w="2867" w:type="dxa"/>
          </w:tcPr>
          <w:p w14:paraId="6A53C4BC" w14:textId="314180BB" w:rsidR="00CC7C2A" w:rsidRPr="005D1E77" w:rsidRDefault="00636935" w:rsidP="001A76C2">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Concepto</w:t>
            </w:r>
          </w:p>
        </w:tc>
        <w:tc>
          <w:tcPr>
            <w:tcW w:w="2551" w:type="dxa"/>
          </w:tcPr>
          <w:p w14:paraId="2AAF58EF" w14:textId="29FA2F05" w:rsidR="00CC7C2A" w:rsidRPr="005D1E77" w:rsidRDefault="00CC7C2A" w:rsidP="001A76C2">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CANTIDAD</w:t>
            </w:r>
          </w:p>
        </w:tc>
      </w:tr>
      <w:tr w:rsidR="00CC7C2A" w:rsidRPr="00CC7C2A" w14:paraId="333DE61B" w14:textId="77777777" w:rsidTr="0014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6B62799E" w14:textId="4F1937F8" w:rsidR="00CC7C2A" w:rsidRPr="00CC7C2A" w:rsidRDefault="00CC7C2A" w:rsidP="001A76C2">
            <w:pPr>
              <w:jc w:val="both"/>
              <w:rPr>
                <w:rFonts w:ascii="Arial Narrow" w:hAnsi="Arial Narrow"/>
                <w:b w:val="0"/>
                <w:bCs w:val="0"/>
                <w:sz w:val="18"/>
                <w:szCs w:val="18"/>
              </w:rPr>
            </w:pPr>
            <w:r w:rsidRPr="00CC7C2A">
              <w:rPr>
                <w:rFonts w:ascii="Arial Narrow" w:hAnsi="Arial Narrow"/>
                <w:b w:val="0"/>
                <w:bCs w:val="0"/>
                <w:sz w:val="18"/>
                <w:szCs w:val="18"/>
              </w:rPr>
              <w:t>Resultado del ejercicio (Ahorro         Desahorro)</w:t>
            </w:r>
          </w:p>
        </w:tc>
        <w:tc>
          <w:tcPr>
            <w:tcW w:w="2551" w:type="dxa"/>
          </w:tcPr>
          <w:p w14:paraId="3BE09EEE" w14:textId="4D7719B3" w:rsidR="00CC7C2A" w:rsidRPr="00CC7C2A" w:rsidRDefault="00CC7C2A" w:rsidP="001A76C2">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CC7C2A">
              <w:rPr>
                <w:rFonts w:ascii="Arial Narrow" w:hAnsi="Arial Narrow"/>
                <w:sz w:val="18"/>
                <w:szCs w:val="18"/>
              </w:rPr>
              <w:t xml:space="preserve">            </w:t>
            </w:r>
            <w:r w:rsidRPr="00CC7C2A">
              <w:rPr>
                <w:rFonts w:ascii="Arial Narrow" w:hAnsi="Arial Narrow"/>
                <w:sz w:val="18"/>
                <w:szCs w:val="18"/>
              </w:rPr>
              <w:t xml:space="preserve">$ </w:t>
            </w:r>
            <w:r w:rsidRPr="00CC7C2A">
              <w:rPr>
                <w:rFonts w:ascii="Arial Narrow" w:hAnsi="Arial Narrow"/>
                <w:sz w:val="18"/>
                <w:szCs w:val="18"/>
              </w:rPr>
              <w:t>39,773,803.52</w:t>
            </w:r>
          </w:p>
        </w:tc>
      </w:tr>
      <w:tr w:rsidR="00CC7C2A" w:rsidRPr="00CC7C2A" w14:paraId="50547B1D" w14:textId="77777777" w:rsidTr="007C6D49">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5D102475" w14:textId="5C543466" w:rsidR="00CC7C2A" w:rsidRPr="00CC7C2A" w:rsidRDefault="00CC7C2A" w:rsidP="001A76C2">
            <w:pPr>
              <w:jc w:val="both"/>
              <w:rPr>
                <w:rFonts w:ascii="Arial Narrow" w:hAnsi="Arial Narrow"/>
                <w:b w:val="0"/>
                <w:bCs w:val="0"/>
                <w:sz w:val="18"/>
                <w:szCs w:val="18"/>
              </w:rPr>
            </w:pPr>
            <w:r w:rsidRPr="00CC7C2A">
              <w:rPr>
                <w:rFonts w:ascii="Arial Narrow" w:hAnsi="Arial Narrow"/>
                <w:b w:val="0"/>
                <w:bCs w:val="0"/>
                <w:sz w:val="18"/>
                <w:szCs w:val="18"/>
              </w:rPr>
              <w:t>Resultados de ejercicios anteriores</w:t>
            </w:r>
          </w:p>
        </w:tc>
        <w:tc>
          <w:tcPr>
            <w:tcW w:w="2551" w:type="dxa"/>
          </w:tcPr>
          <w:p w14:paraId="4F5378F7" w14:textId="1C8E185C" w:rsidR="00CC7C2A" w:rsidRPr="00CC7C2A" w:rsidRDefault="00CC7C2A" w:rsidP="001A76C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CC7C2A">
              <w:rPr>
                <w:rFonts w:ascii="Arial Narrow" w:hAnsi="Arial Narrow"/>
                <w:sz w:val="18"/>
                <w:szCs w:val="18"/>
              </w:rPr>
              <w:t xml:space="preserve">            $ </w:t>
            </w:r>
            <w:r>
              <w:rPr>
                <w:rFonts w:ascii="Arial Narrow" w:hAnsi="Arial Narrow"/>
                <w:sz w:val="18"/>
                <w:szCs w:val="18"/>
              </w:rPr>
              <w:t>23,925,443.44</w:t>
            </w:r>
          </w:p>
        </w:tc>
      </w:tr>
    </w:tbl>
    <w:p w14:paraId="04874D3D" w14:textId="24B4711E" w:rsidR="00CC7C2A" w:rsidRPr="00CC7C2A" w:rsidRDefault="00CC7C2A" w:rsidP="00F308C6">
      <w:pPr>
        <w:pStyle w:val="Default"/>
        <w:ind w:left="360"/>
        <w:rPr>
          <w:rFonts w:ascii="Arial Narrow" w:hAnsi="Arial Narrow"/>
          <w:sz w:val="22"/>
          <w:szCs w:val="22"/>
        </w:rPr>
      </w:pPr>
    </w:p>
    <w:p w14:paraId="1412FA66" w14:textId="77777777" w:rsidR="00CC7C2A" w:rsidRPr="005D1E77" w:rsidRDefault="00CC7C2A" w:rsidP="00F308C6">
      <w:pPr>
        <w:pStyle w:val="Default"/>
        <w:ind w:left="360"/>
        <w:rPr>
          <w:rFonts w:ascii="Arial Narrow" w:hAnsi="Arial Narrow"/>
          <w:sz w:val="22"/>
          <w:szCs w:val="22"/>
        </w:rPr>
      </w:pPr>
    </w:p>
    <w:p w14:paraId="733496C4" w14:textId="77777777" w:rsidR="00F308C6" w:rsidRPr="007D4412" w:rsidRDefault="00F308C6" w:rsidP="00F308C6">
      <w:pPr>
        <w:pStyle w:val="Default"/>
        <w:jc w:val="both"/>
        <w:rPr>
          <w:rFonts w:ascii="Arial Narrow" w:hAnsi="Arial Narrow"/>
          <w:color w:val="auto"/>
          <w:sz w:val="22"/>
          <w:szCs w:val="22"/>
        </w:rPr>
      </w:pPr>
    </w:p>
    <w:p w14:paraId="4388E114" w14:textId="77777777" w:rsidR="00F308C6" w:rsidRPr="005D1E77"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FLUJO DE EFECTIVO.</w:t>
      </w:r>
    </w:p>
    <w:p w14:paraId="752F8A1D" w14:textId="77777777" w:rsidR="00F308C6" w:rsidRPr="005D1E77" w:rsidRDefault="00F308C6" w:rsidP="00F308C6">
      <w:pPr>
        <w:pStyle w:val="Default"/>
        <w:ind w:left="720"/>
        <w:rPr>
          <w:rFonts w:ascii="Arial Narrow" w:hAnsi="Arial Narrow"/>
          <w:b/>
          <w:sz w:val="22"/>
          <w:szCs w:val="22"/>
          <w:u w:val="single"/>
        </w:rPr>
      </w:pPr>
    </w:p>
    <w:p w14:paraId="3BD2702C" w14:textId="77777777" w:rsidR="00F308C6" w:rsidRPr="005D1E77" w:rsidRDefault="00F308C6" w:rsidP="00F308C6">
      <w:pPr>
        <w:pStyle w:val="Default"/>
        <w:numPr>
          <w:ilvl w:val="0"/>
          <w:numId w:val="14"/>
        </w:numPr>
        <w:rPr>
          <w:rFonts w:ascii="Arial Narrow" w:hAnsi="Arial Narrow"/>
          <w:b/>
          <w:sz w:val="22"/>
          <w:szCs w:val="22"/>
        </w:rPr>
      </w:pPr>
      <w:r w:rsidRPr="005D1E77">
        <w:rPr>
          <w:rFonts w:ascii="Arial Narrow" w:hAnsi="Arial Narrow"/>
          <w:b/>
          <w:sz w:val="22"/>
          <w:szCs w:val="22"/>
        </w:rPr>
        <w:t>Efectivos y equivalentes.</w:t>
      </w:r>
    </w:p>
    <w:p w14:paraId="132628B8" w14:textId="77777777" w:rsidR="00F308C6" w:rsidRPr="005D1E77" w:rsidRDefault="00F308C6" w:rsidP="00F308C6">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F308C6" w:rsidRPr="005D1E77" w14:paraId="67BF36E8"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9F4E16D"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CONCEPTO</w:t>
            </w:r>
          </w:p>
        </w:tc>
        <w:tc>
          <w:tcPr>
            <w:tcW w:w="1559" w:type="dxa"/>
          </w:tcPr>
          <w:p w14:paraId="0278F07D" w14:textId="77777777" w:rsidR="00F308C6" w:rsidRPr="005D1E77" w:rsidRDefault="00F308C6" w:rsidP="007864AE">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Pr>
                <w:rFonts w:ascii="Arial Narrow" w:hAnsi="Arial Narrow"/>
                <w:sz w:val="18"/>
                <w:szCs w:val="18"/>
              </w:rPr>
              <w:t>20</w:t>
            </w:r>
          </w:p>
        </w:tc>
        <w:tc>
          <w:tcPr>
            <w:tcW w:w="1481" w:type="dxa"/>
          </w:tcPr>
          <w:p w14:paraId="74AE8F5F" w14:textId="77777777" w:rsidR="00F308C6" w:rsidRPr="005D1E77" w:rsidRDefault="00F308C6" w:rsidP="007864AE">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Pr>
                <w:rFonts w:ascii="Arial Narrow" w:hAnsi="Arial Narrow"/>
                <w:sz w:val="18"/>
                <w:szCs w:val="18"/>
              </w:rPr>
              <w:t>9</w:t>
            </w:r>
          </w:p>
        </w:tc>
      </w:tr>
      <w:tr w:rsidR="00F308C6" w:rsidRPr="005D1E77" w14:paraId="2AD1D5D9"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2DAA5BBE"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Efectivos en Bancos -Tesorería</w:t>
            </w:r>
          </w:p>
        </w:tc>
        <w:tc>
          <w:tcPr>
            <w:tcW w:w="1559" w:type="dxa"/>
          </w:tcPr>
          <w:p w14:paraId="7B8E4C5B" w14:textId="50819C64"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Pr>
                <w:rFonts w:ascii="Arial Narrow" w:hAnsi="Arial Narrow"/>
                <w:b/>
                <w:sz w:val="18"/>
                <w:szCs w:val="18"/>
              </w:rPr>
              <w:t>1</w:t>
            </w:r>
            <w:r w:rsidR="00636935">
              <w:rPr>
                <w:rFonts w:ascii="Arial Narrow" w:hAnsi="Arial Narrow"/>
                <w:b/>
                <w:sz w:val="18"/>
                <w:szCs w:val="18"/>
              </w:rPr>
              <w:t>2,212,657.31</w:t>
            </w:r>
          </w:p>
        </w:tc>
        <w:tc>
          <w:tcPr>
            <w:tcW w:w="1481" w:type="dxa"/>
          </w:tcPr>
          <w:p w14:paraId="1D143213"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76,153,770.84</w:t>
            </w:r>
          </w:p>
        </w:tc>
      </w:tr>
      <w:tr w:rsidR="00F308C6" w:rsidRPr="005D1E77" w14:paraId="6A6C91DD"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4F05C298" w14:textId="77777777" w:rsidR="00F308C6" w:rsidRPr="005D1E77" w:rsidRDefault="00F308C6" w:rsidP="007864AE">
            <w:pPr>
              <w:pStyle w:val="Default"/>
              <w:rPr>
                <w:rFonts w:ascii="Arial Narrow" w:hAnsi="Arial Narrow"/>
                <w:sz w:val="18"/>
                <w:szCs w:val="18"/>
              </w:rPr>
            </w:pPr>
            <w:proofErr w:type="gramStart"/>
            <w:r w:rsidRPr="005D1E77">
              <w:rPr>
                <w:rFonts w:ascii="Arial Narrow" w:hAnsi="Arial Narrow"/>
                <w:sz w:val="18"/>
                <w:szCs w:val="18"/>
              </w:rPr>
              <w:t>Total  efectivos</w:t>
            </w:r>
            <w:proofErr w:type="gramEnd"/>
            <w:r w:rsidRPr="005D1E77">
              <w:rPr>
                <w:rFonts w:ascii="Arial Narrow" w:hAnsi="Arial Narrow"/>
                <w:sz w:val="18"/>
                <w:szCs w:val="18"/>
              </w:rPr>
              <w:t xml:space="preserve"> y equivalentes</w:t>
            </w:r>
          </w:p>
        </w:tc>
        <w:tc>
          <w:tcPr>
            <w:tcW w:w="1559" w:type="dxa"/>
          </w:tcPr>
          <w:p w14:paraId="2B07161D" w14:textId="5B2E9E01"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Pr>
                <w:rFonts w:ascii="Arial Narrow" w:hAnsi="Arial Narrow"/>
                <w:b/>
                <w:sz w:val="18"/>
                <w:szCs w:val="18"/>
              </w:rPr>
              <w:t>1</w:t>
            </w:r>
            <w:r w:rsidR="00636935">
              <w:rPr>
                <w:rFonts w:ascii="Arial Narrow" w:hAnsi="Arial Narrow"/>
                <w:b/>
                <w:sz w:val="18"/>
                <w:szCs w:val="18"/>
              </w:rPr>
              <w:t>2,212,657.31</w:t>
            </w:r>
          </w:p>
        </w:tc>
        <w:tc>
          <w:tcPr>
            <w:tcW w:w="1481" w:type="dxa"/>
          </w:tcPr>
          <w:p w14:paraId="49E828A8"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76,153,770.84</w:t>
            </w:r>
          </w:p>
        </w:tc>
      </w:tr>
    </w:tbl>
    <w:p w14:paraId="6224CD82" w14:textId="77777777" w:rsidR="00F308C6" w:rsidRPr="005D1E77" w:rsidRDefault="00F308C6" w:rsidP="00F308C6">
      <w:pPr>
        <w:pStyle w:val="Default"/>
        <w:rPr>
          <w:rFonts w:ascii="Arial Narrow" w:hAnsi="Arial Narrow"/>
          <w:sz w:val="22"/>
          <w:szCs w:val="22"/>
        </w:rPr>
      </w:pPr>
    </w:p>
    <w:p w14:paraId="38ECE897" w14:textId="77777777" w:rsidR="00F308C6" w:rsidRPr="005D1E77" w:rsidRDefault="00F308C6" w:rsidP="00F308C6">
      <w:pPr>
        <w:pStyle w:val="Default"/>
        <w:rPr>
          <w:rFonts w:ascii="Arial Narrow" w:hAnsi="Arial Narrow"/>
          <w:sz w:val="22"/>
          <w:szCs w:val="22"/>
        </w:rPr>
      </w:pPr>
    </w:p>
    <w:p w14:paraId="73A3C610" w14:textId="1072AD30" w:rsidR="00F308C6" w:rsidRPr="005D1E77" w:rsidRDefault="00F308C6" w:rsidP="00F308C6">
      <w:pPr>
        <w:pStyle w:val="Default"/>
        <w:rPr>
          <w:rFonts w:ascii="Arial Narrow" w:hAnsi="Arial Narrow"/>
          <w:sz w:val="22"/>
          <w:szCs w:val="22"/>
        </w:rPr>
      </w:pPr>
      <w:r w:rsidRPr="005D1E77">
        <w:rPr>
          <w:rFonts w:ascii="Arial Narrow" w:hAnsi="Arial Narrow"/>
          <w:sz w:val="22"/>
          <w:szCs w:val="22"/>
        </w:rPr>
        <w:t>Se integran por fondos</w:t>
      </w:r>
      <w:r w:rsidR="00636935">
        <w:rPr>
          <w:rFonts w:ascii="Arial Narrow" w:hAnsi="Arial Narrow"/>
          <w:sz w:val="22"/>
          <w:szCs w:val="22"/>
        </w:rPr>
        <w:t xml:space="preserve"> destinados a cubrir cheques en circulación y pasivos con proveedores</w:t>
      </w:r>
      <w:r w:rsidRPr="005D1E77">
        <w:rPr>
          <w:rFonts w:ascii="Arial Narrow" w:hAnsi="Arial Narrow"/>
          <w:sz w:val="22"/>
          <w:szCs w:val="22"/>
        </w:rPr>
        <w:t>, como lo muestra la nota 1 al estado de situación financiera.</w:t>
      </w:r>
    </w:p>
    <w:p w14:paraId="6CF25284" w14:textId="77777777" w:rsidR="00F308C6" w:rsidRPr="005D1E77" w:rsidRDefault="00F308C6" w:rsidP="00F308C6">
      <w:pPr>
        <w:pStyle w:val="Default"/>
        <w:rPr>
          <w:rFonts w:ascii="Arial Narrow" w:hAnsi="Arial Narrow"/>
          <w:sz w:val="22"/>
          <w:szCs w:val="22"/>
        </w:rPr>
      </w:pPr>
    </w:p>
    <w:p w14:paraId="275471CA" w14:textId="38F45C1A" w:rsidR="00F308C6" w:rsidRDefault="00F308C6" w:rsidP="00F308C6">
      <w:pPr>
        <w:pStyle w:val="Default"/>
        <w:rPr>
          <w:rFonts w:ascii="Arial Narrow" w:hAnsi="Arial Narrow"/>
          <w:sz w:val="22"/>
          <w:szCs w:val="22"/>
        </w:rPr>
      </w:pPr>
    </w:p>
    <w:p w14:paraId="117E26F1" w14:textId="2FA8A8B2" w:rsidR="00636935" w:rsidRDefault="00636935" w:rsidP="00F308C6">
      <w:pPr>
        <w:pStyle w:val="Default"/>
        <w:rPr>
          <w:rFonts w:ascii="Arial Narrow" w:hAnsi="Arial Narrow"/>
          <w:sz w:val="22"/>
          <w:szCs w:val="22"/>
        </w:rPr>
      </w:pPr>
    </w:p>
    <w:p w14:paraId="745C7087" w14:textId="1955F045" w:rsidR="00636935" w:rsidRDefault="00636935" w:rsidP="00F308C6">
      <w:pPr>
        <w:pStyle w:val="Default"/>
        <w:rPr>
          <w:rFonts w:ascii="Arial Narrow" w:hAnsi="Arial Narrow"/>
          <w:sz w:val="22"/>
          <w:szCs w:val="22"/>
        </w:rPr>
      </w:pPr>
    </w:p>
    <w:p w14:paraId="10EF390C" w14:textId="446C3AC1" w:rsidR="00636935" w:rsidRDefault="00636935" w:rsidP="00F308C6">
      <w:pPr>
        <w:pStyle w:val="Default"/>
        <w:rPr>
          <w:rFonts w:ascii="Arial Narrow" w:hAnsi="Arial Narrow"/>
          <w:sz w:val="22"/>
          <w:szCs w:val="22"/>
        </w:rPr>
      </w:pPr>
    </w:p>
    <w:p w14:paraId="0716DD33" w14:textId="77777777" w:rsidR="00636935" w:rsidRPr="005D1E77" w:rsidRDefault="00636935" w:rsidP="00F308C6">
      <w:pPr>
        <w:pStyle w:val="Default"/>
        <w:rPr>
          <w:rFonts w:ascii="Arial Narrow" w:hAnsi="Arial Narrow"/>
          <w:sz w:val="22"/>
          <w:szCs w:val="22"/>
        </w:rPr>
      </w:pPr>
    </w:p>
    <w:p w14:paraId="642B0562" w14:textId="11BFF9B9" w:rsidR="00F308C6" w:rsidRPr="00636935" w:rsidRDefault="00F308C6" w:rsidP="002B11E8">
      <w:pPr>
        <w:pStyle w:val="Default"/>
        <w:numPr>
          <w:ilvl w:val="0"/>
          <w:numId w:val="14"/>
        </w:numPr>
        <w:rPr>
          <w:rFonts w:ascii="Arial Narrow" w:hAnsi="Arial Narrow"/>
          <w:b/>
          <w:sz w:val="22"/>
          <w:szCs w:val="22"/>
        </w:rPr>
      </w:pPr>
      <w:r w:rsidRPr="00636935">
        <w:rPr>
          <w:rFonts w:ascii="Arial Narrow" w:hAnsi="Arial Narrow"/>
          <w:b/>
          <w:color w:val="auto"/>
          <w:sz w:val="22"/>
          <w:szCs w:val="22"/>
        </w:rPr>
        <w:lastRenderedPageBreak/>
        <w:t>Se adquirieron bienes muebles.</w:t>
      </w:r>
    </w:p>
    <w:p w14:paraId="0CDBD912" w14:textId="77777777" w:rsidR="00636935" w:rsidRPr="00636935" w:rsidRDefault="00636935" w:rsidP="00636935">
      <w:pPr>
        <w:pStyle w:val="Default"/>
        <w:ind w:left="1080"/>
        <w:rPr>
          <w:rFonts w:ascii="Arial Narrow" w:hAnsi="Arial Narrow"/>
          <w:b/>
          <w:sz w:val="22"/>
          <w:szCs w:val="22"/>
        </w:rPr>
      </w:pPr>
    </w:p>
    <w:p w14:paraId="617A68D3" w14:textId="77777777" w:rsidR="00F308C6" w:rsidRPr="005D1E77" w:rsidRDefault="00F308C6" w:rsidP="00F308C6">
      <w:pPr>
        <w:pStyle w:val="Default"/>
        <w:rPr>
          <w:rFonts w:ascii="Arial Narrow" w:hAnsi="Arial Narrow"/>
          <w:b/>
          <w:sz w:val="22"/>
          <w:szCs w:val="22"/>
        </w:rPr>
      </w:pPr>
    </w:p>
    <w:p w14:paraId="17C9679B" w14:textId="6923371E" w:rsidR="00F308C6" w:rsidRDefault="00F308C6" w:rsidP="00012FF5">
      <w:pPr>
        <w:pStyle w:val="Default"/>
        <w:numPr>
          <w:ilvl w:val="0"/>
          <w:numId w:val="14"/>
        </w:numPr>
        <w:rPr>
          <w:rFonts w:ascii="Arial Narrow" w:hAnsi="Arial Narrow"/>
          <w:b/>
          <w:sz w:val="22"/>
          <w:szCs w:val="22"/>
        </w:rPr>
      </w:pPr>
      <w:r w:rsidRPr="00636935">
        <w:rPr>
          <w:rFonts w:ascii="Arial Narrow" w:hAnsi="Arial Narrow"/>
          <w:b/>
          <w:sz w:val="22"/>
          <w:szCs w:val="22"/>
        </w:rPr>
        <w:t>Se adquirió un bien inmueble.</w:t>
      </w:r>
    </w:p>
    <w:p w14:paraId="070660DB" w14:textId="77777777" w:rsidR="00636935" w:rsidRPr="00636935" w:rsidRDefault="00636935" w:rsidP="00636935">
      <w:pPr>
        <w:pStyle w:val="Default"/>
        <w:ind w:left="1080"/>
        <w:rPr>
          <w:rFonts w:ascii="Arial Narrow" w:hAnsi="Arial Narrow"/>
          <w:b/>
          <w:sz w:val="22"/>
          <w:szCs w:val="22"/>
        </w:rPr>
      </w:pPr>
    </w:p>
    <w:p w14:paraId="24986EBE" w14:textId="77777777" w:rsidR="00F308C6" w:rsidRPr="005D1E77" w:rsidRDefault="00F308C6" w:rsidP="00F308C6">
      <w:pPr>
        <w:pStyle w:val="Default"/>
        <w:rPr>
          <w:rFonts w:ascii="Arial Narrow" w:hAnsi="Arial Narrow"/>
          <w:sz w:val="22"/>
          <w:szCs w:val="22"/>
        </w:rPr>
      </w:pPr>
    </w:p>
    <w:p w14:paraId="06DD22CD" w14:textId="77777777" w:rsidR="00F308C6" w:rsidRPr="005D1E77" w:rsidRDefault="00F308C6" w:rsidP="00F308C6">
      <w:pPr>
        <w:pStyle w:val="Default"/>
        <w:numPr>
          <w:ilvl w:val="0"/>
          <w:numId w:val="14"/>
        </w:numPr>
        <w:rPr>
          <w:rFonts w:ascii="Arial Narrow" w:hAnsi="Arial Narrow"/>
          <w:b/>
          <w:sz w:val="22"/>
          <w:szCs w:val="22"/>
        </w:rPr>
      </w:pPr>
      <w:r w:rsidRPr="005D1E77">
        <w:rPr>
          <w:rFonts w:ascii="Arial Narrow" w:hAnsi="Arial Narrow"/>
          <w:b/>
          <w:sz w:val="22"/>
          <w:szCs w:val="22"/>
        </w:rPr>
        <w:t>Intangibles.</w:t>
      </w:r>
    </w:p>
    <w:p w14:paraId="6C8CD9A7" w14:textId="77777777" w:rsidR="00F308C6" w:rsidRPr="005D1E77" w:rsidRDefault="00F308C6" w:rsidP="00F308C6">
      <w:pPr>
        <w:pStyle w:val="Default"/>
        <w:rPr>
          <w:rFonts w:ascii="Arial Narrow" w:hAnsi="Arial Narrow"/>
          <w:sz w:val="22"/>
          <w:szCs w:val="22"/>
        </w:rPr>
      </w:pPr>
    </w:p>
    <w:p w14:paraId="0BB6EF2D" w14:textId="1ABE54B4" w:rsidR="00636935" w:rsidRDefault="00F308C6" w:rsidP="00F308C6">
      <w:pPr>
        <w:jc w:val="both"/>
        <w:rPr>
          <w:rFonts w:ascii="Arial Narrow" w:hAnsi="Arial Narrow"/>
          <w:color w:val="000000" w:themeColor="text1"/>
        </w:rPr>
      </w:pPr>
      <w:r>
        <w:rPr>
          <w:rFonts w:ascii="Arial Narrow" w:hAnsi="Arial Narrow"/>
        </w:rPr>
        <w:t>Durante el</w:t>
      </w:r>
      <w:r w:rsidRPr="005D1E77">
        <w:rPr>
          <w:rFonts w:ascii="Arial Narrow" w:hAnsi="Arial Narrow"/>
        </w:rPr>
        <w:t xml:space="preserve"> periodo de enero a </w:t>
      </w:r>
      <w:r w:rsidR="00636935">
        <w:rPr>
          <w:rFonts w:ascii="Arial Narrow" w:hAnsi="Arial Narrow"/>
        </w:rPr>
        <w:t>diciembre</w:t>
      </w:r>
      <w:r>
        <w:rPr>
          <w:rFonts w:ascii="Arial Narrow" w:hAnsi="Arial Narrow"/>
        </w:rPr>
        <w:t xml:space="preserve"> de 2020</w:t>
      </w:r>
      <w:r w:rsidRPr="005D1E77">
        <w:rPr>
          <w:rFonts w:ascii="Arial Narrow" w:hAnsi="Arial Narrow"/>
        </w:rPr>
        <w:t xml:space="preserve">, </w:t>
      </w:r>
      <w:r w:rsidRPr="008036B8">
        <w:rPr>
          <w:rFonts w:ascii="Arial Narrow" w:hAnsi="Arial Narrow"/>
          <w:color w:val="000000" w:themeColor="text1"/>
        </w:rPr>
        <w:t xml:space="preserve">se </w:t>
      </w:r>
      <w:r>
        <w:rPr>
          <w:rFonts w:ascii="Arial Narrow" w:hAnsi="Arial Narrow"/>
          <w:color w:val="000000" w:themeColor="text1"/>
        </w:rPr>
        <w:t>han adquirido</w:t>
      </w:r>
      <w:r w:rsidRPr="008036B8">
        <w:rPr>
          <w:rFonts w:ascii="Arial Narrow" w:hAnsi="Arial Narrow"/>
          <w:color w:val="000000" w:themeColor="text1"/>
        </w:rPr>
        <w:t xml:space="preserve"> bienes intangibles.</w:t>
      </w:r>
    </w:p>
    <w:p w14:paraId="7E42F092" w14:textId="77777777" w:rsidR="00636935" w:rsidRPr="005D1E77" w:rsidRDefault="00636935" w:rsidP="00F308C6">
      <w:pPr>
        <w:jc w:val="both"/>
        <w:rPr>
          <w:rFonts w:ascii="Arial Narrow" w:hAnsi="Arial Narrow"/>
        </w:rPr>
      </w:pPr>
    </w:p>
    <w:p w14:paraId="382428FD" w14:textId="77777777" w:rsidR="00F308C6" w:rsidRPr="005D1E77" w:rsidRDefault="00F308C6" w:rsidP="00F308C6">
      <w:pPr>
        <w:pStyle w:val="Default"/>
        <w:numPr>
          <w:ilvl w:val="0"/>
          <w:numId w:val="14"/>
        </w:numPr>
        <w:jc w:val="both"/>
        <w:rPr>
          <w:rFonts w:ascii="Arial Narrow" w:hAnsi="Arial Narrow"/>
          <w:b/>
          <w:sz w:val="22"/>
          <w:szCs w:val="22"/>
        </w:rPr>
      </w:pPr>
      <w:r w:rsidRPr="005D1E77">
        <w:rPr>
          <w:rFonts w:ascii="Arial Narrow" w:hAnsi="Arial Narrow"/>
          <w:b/>
          <w:sz w:val="22"/>
          <w:szCs w:val="22"/>
        </w:rPr>
        <w:t xml:space="preserve">Conciliación de los flujos de efectivo netos de las actividades de operación y la cuenta de ahorro /desahorro antes de rubros extraordinarios. </w:t>
      </w:r>
    </w:p>
    <w:p w14:paraId="5E45369E" w14:textId="77777777" w:rsidR="00F308C6" w:rsidRPr="005D1E77" w:rsidRDefault="00F308C6" w:rsidP="00F308C6">
      <w:pPr>
        <w:pStyle w:val="Default"/>
        <w:rPr>
          <w:rFonts w:ascii="Arial Narrow" w:hAnsi="Arial Narrow"/>
          <w:sz w:val="22"/>
          <w:szCs w:val="22"/>
        </w:rPr>
      </w:pPr>
    </w:p>
    <w:p w14:paraId="204D3AE5" w14:textId="77777777" w:rsidR="00F308C6" w:rsidRPr="005D1E77" w:rsidRDefault="00F308C6" w:rsidP="00F308C6">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F308C6" w:rsidRPr="005D1E77" w14:paraId="02FE6224" w14:textId="77777777" w:rsidTr="00786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DD92175" w14:textId="77777777" w:rsidR="00F308C6" w:rsidRPr="005D1E77" w:rsidRDefault="00F308C6" w:rsidP="007864AE">
            <w:pPr>
              <w:pStyle w:val="Default"/>
              <w:jc w:val="center"/>
              <w:rPr>
                <w:rFonts w:ascii="Arial Narrow" w:hAnsi="Arial Narrow"/>
                <w:sz w:val="18"/>
                <w:szCs w:val="18"/>
              </w:rPr>
            </w:pPr>
            <w:r w:rsidRPr="005D1E77">
              <w:rPr>
                <w:rFonts w:ascii="Arial Narrow" w:hAnsi="Arial Narrow"/>
                <w:sz w:val="18"/>
                <w:szCs w:val="18"/>
              </w:rPr>
              <w:t>Conceptos</w:t>
            </w:r>
          </w:p>
        </w:tc>
        <w:tc>
          <w:tcPr>
            <w:tcW w:w="1418" w:type="dxa"/>
          </w:tcPr>
          <w:p w14:paraId="1DE55D2C" w14:textId="77777777" w:rsidR="00F308C6" w:rsidRPr="005D1E77" w:rsidRDefault="00F308C6" w:rsidP="007864AE">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Pr>
                <w:rFonts w:ascii="Arial Narrow" w:hAnsi="Arial Narrow"/>
                <w:sz w:val="18"/>
                <w:szCs w:val="18"/>
              </w:rPr>
              <w:t>20</w:t>
            </w:r>
          </w:p>
        </w:tc>
        <w:tc>
          <w:tcPr>
            <w:tcW w:w="1559" w:type="dxa"/>
          </w:tcPr>
          <w:p w14:paraId="03342865" w14:textId="77777777" w:rsidR="00F308C6" w:rsidRPr="005D1E77" w:rsidRDefault="00F308C6" w:rsidP="007864AE">
            <w:pPr>
              <w:pStyle w:val="Defaul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2019</w:t>
            </w:r>
          </w:p>
        </w:tc>
      </w:tr>
      <w:tr w:rsidR="00F308C6" w:rsidRPr="005D1E77" w14:paraId="639DFF12"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407C270"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Ahorro/desahorro antes de rubros extraordinarios.</w:t>
            </w:r>
          </w:p>
        </w:tc>
        <w:tc>
          <w:tcPr>
            <w:tcW w:w="1418" w:type="dxa"/>
          </w:tcPr>
          <w:p w14:paraId="68BB3ED6" w14:textId="332464E0"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sidR="00C9559E">
              <w:rPr>
                <w:rFonts w:ascii="Arial Narrow" w:hAnsi="Arial Narrow"/>
                <w:sz w:val="18"/>
                <w:szCs w:val="18"/>
              </w:rPr>
              <w:t>39,773,803.52</w:t>
            </w:r>
          </w:p>
        </w:tc>
        <w:tc>
          <w:tcPr>
            <w:tcW w:w="1559" w:type="dxa"/>
          </w:tcPr>
          <w:p w14:paraId="72668F8D" w14:textId="77777777" w:rsidR="00F308C6" w:rsidRPr="005D1E77" w:rsidRDefault="00F308C6" w:rsidP="007864AE">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$ 44,079,934.58</w:t>
            </w:r>
          </w:p>
        </w:tc>
      </w:tr>
      <w:tr w:rsidR="00F308C6" w:rsidRPr="005D1E77" w14:paraId="3043B2EE"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3F4F3047"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Movimientos de partidas (o rubros) que no afectan al efectivo:</w:t>
            </w:r>
          </w:p>
        </w:tc>
        <w:tc>
          <w:tcPr>
            <w:tcW w:w="1418" w:type="dxa"/>
          </w:tcPr>
          <w:p w14:paraId="5BFBEC5B"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6AA753B8"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F308C6" w:rsidRPr="005D1E77" w14:paraId="394A1A71"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0341C52"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Depreciación.</w:t>
            </w:r>
          </w:p>
        </w:tc>
        <w:tc>
          <w:tcPr>
            <w:tcW w:w="1418" w:type="dxa"/>
          </w:tcPr>
          <w:p w14:paraId="5A2F30AE"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5F6B7A92" w14:textId="77777777" w:rsidR="00F308C6" w:rsidRPr="005D1E77" w:rsidRDefault="00F308C6" w:rsidP="007864AE">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0.00</w:t>
            </w:r>
          </w:p>
        </w:tc>
      </w:tr>
      <w:tr w:rsidR="00F308C6" w:rsidRPr="005D1E77" w14:paraId="05555EF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6AE52E00"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Amortización.</w:t>
            </w:r>
          </w:p>
        </w:tc>
        <w:tc>
          <w:tcPr>
            <w:tcW w:w="1418" w:type="dxa"/>
          </w:tcPr>
          <w:p w14:paraId="7522A4BE"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D16F8D8"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7ACF8C84"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72A1F06"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Incrementos en las provisiones.</w:t>
            </w:r>
          </w:p>
        </w:tc>
        <w:tc>
          <w:tcPr>
            <w:tcW w:w="1418" w:type="dxa"/>
          </w:tcPr>
          <w:p w14:paraId="65F5007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031FECE4" w14:textId="77777777"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14C344CF"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074E8BCF"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Incrementos en las inversiones producido por revaluación.</w:t>
            </w:r>
          </w:p>
        </w:tc>
        <w:tc>
          <w:tcPr>
            <w:tcW w:w="1418" w:type="dxa"/>
          </w:tcPr>
          <w:p w14:paraId="6B56454F"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67ADE1FB"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7E1CA43F"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22337EE2"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Ganancia /pérdida en venta de propiedad, planta y equipo.</w:t>
            </w:r>
          </w:p>
        </w:tc>
        <w:tc>
          <w:tcPr>
            <w:tcW w:w="1418" w:type="dxa"/>
          </w:tcPr>
          <w:p w14:paraId="2C977B1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A5A1D23" w14:textId="77777777"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2E9F72B2" w14:textId="77777777" w:rsidTr="007864AE">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2BD6119B"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Incremento en cuentas por cobrar.</w:t>
            </w:r>
          </w:p>
        </w:tc>
        <w:tc>
          <w:tcPr>
            <w:tcW w:w="1418" w:type="dxa"/>
          </w:tcPr>
          <w:p w14:paraId="4E6E1F94"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71BE5A69"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F308C6" w:rsidRPr="005D1E77" w14:paraId="29404FF7" w14:textId="77777777" w:rsidTr="00786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5FFD694" w14:textId="77777777" w:rsidR="00F308C6" w:rsidRPr="005D1E77" w:rsidRDefault="00F308C6" w:rsidP="007864AE">
            <w:pPr>
              <w:pStyle w:val="Default"/>
              <w:rPr>
                <w:rFonts w:ascii="Arial Narrow" w:hAnsi="Arial Narrow"/>
                <w:b w:val="0"/>
                <w:sz w:val="18"/>
                <w:szCs w:val="18"/>
              </w:rPr>
            </w:pPr>
            <w:r w:rsidRPr="005D1E77">
              <w:rPr>
                <w:rFonts w:ascii="Arial Narrow" w:hAnsi="Arial Narrow"/>
                <w:b w:val="0"/>
                <w:sz w:val="18"/>
                <w:szCs w:val="18"/>
              </w:rPr>
              <w:t>Partidas extraordinarias.</w:t>
            </w:r>
          </w:p>
        </w:tc>
        <w:tc>
          <w:tcPr>
            <w:tcW w:w="1418" w:type="dxa"/>
          </w:tcPr>
          <w:p w14:paraId="32D7C348" w14:textId="77777777" w:rsidR="00F308C6" w:rsidRPr="005D1E77" w:rsidRDefault="00F308C6" w:rsidP="007864AE">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c>
          <w:tcPr>
            <w:tcW w:w="1559" w:type="dxa"/>
          </w:tcPr>
          <w:p w14:paraId="1A6B80FE" w14:textId="77777777" w:rsidR="00F308C6" w:rsidRPr="005D1E77" w:rsidRDefault="00F308C6" w:rsidP="007864AE">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r>
      <w:tr w:rsidR="00F308C6" w:rsidRPr="005D1E77" w14:paraId="7B1BFF2B" w14:textId="77777777" w:rsidTr="007864AE">
        <w:trPr>
          <w:trHeight w:val="771"/>
          <w:jc w:val="center"/>
        </w:trPr>
        <w:tc>
          <w:tcPr>
            <w:cnfStyle w:val="001000000000" w:firstRow="0" w:lastRow="0" w:firstColumn="1" w:lastColumn="0" w:oddVBand="0" w:evenVBand="0" w:oddHBand="0" w:evenHBand="0" w:firstRowFirstColumn="0" w:firstRowLastColumn="0" w:lastRowFirstColumn="0" w:lastRowLastColumn="0"/>
            <w:tcW w:w="5353" w:type="dxa"/>
          </w:tcPr>
          <w:p w14:paraId="23487958" w14:textId="77777777" w:rsidR="00F308C6" w:rsidRDefault="00F308C6" w:rsidP="007864AE">
            <w:pPr>
              <w:pStyle w:val="Default"/>
              <w:rPr>
                <w:rFonts w:ascii="Arial Narrow" w:hAnsi="Arial Narrow"/>
                <w:sz w:val="18"/>
                <w:szCs w:val="18"/>
              </w:rPr>
            </w:pPr>
          </w:p>
          <w:p w14:paraId="2E63EACE" w14:textId="77777777" w:rsidR="00F308C6" w:rsidRDefault="00F308C6" w:rsidP="007864AE">
            <w:pPr>
              <w:pStyle w:val="Default"/>
              <w:rPr>
                <w:rFonts w:ascii="Arial Narrow" w:hAnsi="Arial Narrow"/>
                <w:b w:val="0"/>
                <w:bCs w:val="0"/>
                <w:sz w:val="18"/>
                <w:szCs w:val="18"/>
              </w:rPr>
            </w:pPr>
          </w:p>
          <w:p w14:paraId="4A339F67" w14:textId="77777777" w:rsidR="00F308C6" w:rsidRPr="005D1E77" w:rsidRDefault="00F308C6" w:rsidP="007864AE">
            <w:pPr>
              <w:pStyle w:val="Default"/>
              <w:rPr>
                <w:rFonts w:ascii="Arial Narrow" w:hAnsi="Arial Narrow"/>
                <w:sz w:val="18"/>
                <w:szCs w:val="18"/>
              </w:rPr>
            </w:pPr>
          </w:p>
        </w:tc>
        <w:tc>
          <w:tcPr>
            <w:tcW w:w="1418" w:type="dxa"/>
          </w:tcPr>
          <w:p w14:paraId="3976FF98" w14:textId="77777777" w:rsidR="00F308C6" w:rsidRPr="005D1E77" w:rsidRDefault="00F308C6" w:rsidP="007864AE">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25384782" w14:textId="77777777" w:rsidR="00F308C6" w:rsidRPr="005D1E77" w:rsidRDefault="00F308C6" w:rsidP="007864AE">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7C19169E" w14:textId="77777777" w:rsidR="00F308C6" w:rsidRDefault="00F308C6" w:rsidP="00F308C6">
      <w:pPr>
        <w:pStyle w:val="Default"/>
        <w:rPr>
          <w:rFonts w:ascii="Arial Narrow" w:hAnsi="Arial Narrow"/>
          <w:sz w:val="22"/>
          <w:szCs w:val="22"/>
        </w:rPr>
      </w:pPr>
    </w:p>
    <w:p w14:paraId="6985B14B" w14:textId="6914039A" w:rsidR="00F308C6" w:rsidRDefault="00F308C6" w:rsidP="00F308C6">
      <w:pPr>
        <w:pStyle w:val="Default"/>
        <w:rPr>
          <w:rFonts w:ascii="Arial Narrow" w:hAnsi="Arial Narrow"/>
          <w:sz w:val="22"/>
          <w:szCs w:val="22"/>
        </w:rPr>
      </w:pPr>
    </w:p>
    <w:p w14:paraId="3FDB20CF" w14:textId="54867453" w:rsidR="00636935" w:rsidRDefault="00636935" w:rsidP="00F308C6">
      <w:pPr>
        <w:pStyle w:val="Default"/>
        <w:rPr>
          <w:rFonts w:ascii="Arial Narrow" w:hAnsi="Arial Narrow"/>
          <w:sz w:val="22"/>
          <w:szCs w:val="22"/>
        </w:rPr>
      </w:pPr>
    </w:p>
    <w:p w14:paraId="452966CC" w14:textId="6059875C" w:rsidR="00636935" w:rsidRDefault="00636935" w:rsidP="00F308C6">
      <w:pPr>
        <w:pStyle w:val="Default"/>
        <w:rPr>
          <w:rFonts w:ascii="Arial Narrow" w:hAnsi="Arial Narrow"/>
          <w:sz w:val="22"/>
          <w:szCs w:val="22"/>
        </w:rPr>
      </w:pPr>
    </w:p>
    <w:p w14:paraId="65AAB9CC" w14:textId="61A6BE18" w:rsidR="00636935" w:rsidRDefault="00636935" w:rsidP="00F308C6">
      <w:pPr>
        <w:pStyle w:val="Default"/>
        <w:rPr>
          <w:rFonts w:ascii="Arial Narrow" w:hAnsi="Arial Narrow"/>
          <w:sz w:val="22"/>
          <w:szCs w:val="22"/>
        </w:rPr>
      </w:pPr>
    </w:p>
    <w:p w14:paraId="54D789A4" w14:textId="6BC83A22" w:rsidR="00636935" w:rsidRDefault="00636935" w:rsidP="00F308C6">
      <w:pPr>
        <w:pStyle w:val="Default"/>
        <w:rPr>
          <w:rFonts w:ascii="Arial Narrow" w:hAnsi="Arial Narrow"/>
          <w:sz w:val="22"/>
          <w:szCs w:val="22"/>
        </w:rPr>
      </w:pPr>
    </w:p>
    <w:p w14:paraId="7B6B1738" w14:textId="5666BCB3" w:rsidR="00636935" w:rsidRDefault="00636935" w:rsidP="00F308C6">
      <w:pPr>
        <w:pStyle w:val="Default"/>
        <w:rPr>
          <w:rFonts w:ascii="Arial Narrow" w:hAnsi="Arial Narrow"/>
          <w:sz w:val="22"/>
          <w:szCs w:val="22"/>
        </w:rPr>
      </w:pPr>
    </w:p>
    <w:p w14:paraId="3E61F485" w14:textId="4EEE75D2" w:rsidR="00636935" w:rsidRDefault="00636935" w:rsidP="00F308C6">
      <w:pPr>
        <w:pStyle w:val="Default"/>
        <w:rPr>
          <w:rFonts w:ascii="Arial Narrow" w:hAnsi="Arial Narrow"/>
          <w:sz w:val="22"/>
          <w:szCs w:val="22"/>
        </w:rPr>
      </w:pPr>
    </w:p>
    <w:p w14:paraId="2D2ADB86" w14:textId="77777777" w:rsidR="00636935" w:rsidRDefault="00636935" w:rsidP="00F308C6">
      <w:pPr>
        <w:pStyle w:val="Default"/>
        <w:rPr>
          <w:rFonts w:ascii="Arial Narrow" w:hAnsi="Arial Narrow"/>
          <w:sz w:val="22"/>
          <w:szCs w:val="22"/>
        </w:rPr>
      </w:pPr>
    </w:p>
    <w:p w14:paraId="48EF7ADD" w14:textId="77777777" w:rsidR="00F308C6" w:rsidRDefault="00F308C6" w:rsidP="00F308C6">
      <w:pPr>
        <w:pStyle w:val="Default"/>
        <w:rPr>
          <w:rFonts w:ascii="Arial Narrow" w:hAnsi="Arial Narrow"/>
          <w:sz w:val="22"/>
          <w:szCs w:val="22"/>
        </w:rPr>
      </w:pPr>
    </w:p>
    <w:p w14:paraId="26494A5A" w14:textId="77777777" w:rsidR="00F308C6" w:rsidRPr="005D1E77" w:rsidRDefault="00F308C6" w:rsidP="00F308C6">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lastRenderedPageBreak/>
        <w:t>CONCILIACIÓN ENTRE LOS INGRESOS PRESUPUESTARIOS Y LOS CONTABLES, ASÍ COMO ENTRE LOS EGRESOS Y LOS GASTOS CONTABLES.</w:t>
      </w:r>
    </w:p>
    <w:p w14:paraId="64B61EE8"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F308C6" w:rsidRPr="005D1E77" w14:paraId="098EFCBC" w14:textId="77777777" w:rsidTr="007864AE">
        <w:trPr>
          <w:jc w:val="center"/>
        </w:trPr>
        <w:tc>
          <w:tcPr>
            <w:tcW w:w="8978" w:type="dxa"/>
          </w:tcPr>
          <w:p w14:paraId="39CC9DAC"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PODER JUDICIAL</w:t>
            </w:r>
          </w:p>
          <w:p w14:paraId="79C99ED5"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Conciliación entre los ingresos presupuestarios y contables</w:t>
            </w:r>
          </w:p>
          <w:p w14:paraId="46DF38EE" w14:textId="735259A0"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 xml:space="preserve"> Correspondientes del </w:t>
            </w:r>
            <w:r>
              <w:rPr>
                <w:rFonts w:ascii="Arial Narrow" w:hAnsi="Arial Narrow"/>
                <w:sz w:val="22"/>
                <w:szCs w:val="22"/>
              </w:rPr>
              <w:t>01 de enero al 3</w:t>
            </w:r>
            <w:r w:rsidR="00C9559E">
              <w:rPr>
                <w:rFonts w:ascii="Arial Narrow" w:hAnsi="Arial Narrow"/>
                <w:sz w:val="22"/>
                <w:szCs w:val="22"/>
              </w:rPr>
              <w:t>1 de diciembre</w:t>
            </w:r>
            <w:r>
              <w:rPr>
                <w:rFonts w:ascii="Arial Narrow" w:hAnsi="Arial Narrow"/>
                <w:sz w:val="22"/>
                <w:szCs w:val="22"/>
              </w:rPr>
              <w:t xml:space="preserve"> de 2020</w:t>
            </w:r>
            <w:r w:rsidRPr="005D1E77">
              <w:rPr>
                <w:rFonts w:ascii="Arial Narrow" w:hAnsi="Arial Narrow"/>
                <w:sz w:val="22"/>
                <w:szCs w:val="22"/>
              </w:rPr>
              <w:t>.</w:t>
            </w:r>
          </w:p>
          <w:p w14:paraId="7C97DD7F"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(Cifras en pesos)</w:t>
            </w:r>
          </w:p>
          <w:p w14:paraId="69194593" w14:textId="77777777" w:rsidR="00F308C6" w:rsidRPr="005D1E77" w:rsidRDefault="00F308C6" w:rsidP="007864AE">
            <w:pPr>
              <w:pStyle w:val="Default"/>
              <w:jc w:val="center"/>
              <w:rPr>
                <w:rFonts w:ascii="Arial Narrow" w:hAnsi="Arial Narrow"/>
                <w:sz w:val="22"/>
                <w:szCs w:val="22"/>
              </w:rPr>
            </w:pPr>
          </w:p>
        </w:tc>
      </w:tr>
    </w:tbl>
    <w:p w14:paraId="4D827417"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F308C6" w:rsidRPr="005D1E77" w14:paraId="4834CCF9" w14:textId="77777777" w:rsidTr="007864AE">
        <w:trPr>
          <w:jc w:val="center"/>
        </w:trPr>
        <w:tc>
          <w:tcPr>
            <w:tcW w:w="7054" w:type="dxa"/>
          </w:tcPr>
          <w:p w14:paraId="20AC6E40"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1.- Ingresos presupuestarios</w:t>
            </w:r>
          </w:p>
        </w:tc>
        <w:tc>
          <w:tcPr>
            <w:tcW w:w="1924" w:type="dxa"/>
          </w:tcPr>
          <w:p w14:paraId="120E4334" w14:textId="34B7FFD8"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w:t>
            </w:r>
            <w:r w:rsidR="00C9559E">
              <w:rPr>
                <w:rFonts w:ascii="Arial Narrow" w:hAnsi="Arial Narrow"/>
                <w:sz w:val="22"/>
                <w:szCs w:val="22"/>
              </w:rPr>
              <w:t>381,138,656.14</w:t>
            </w:r>
          </w:p>
        </w:tc>
      </w:tr>
    </w:tbl>
    <w:p w14:paraId="2CA8574E"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F308C6" w:rsidRPr="005D1E77" w14:paraId="3A1D3F82" w14:textId="77777777" w:rsidTr="007864AE">
        <w:trPr>
          <w:jc w:val="center"/>
        </w:trPr>
        <w:tc>
          <w:tcPr>
            <w:tcW w:w="4864" w:type="dxa"/>
          </w:tcPr>
          <w:p w14:paraId="512A25E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2.- Más ingresos contables no presupuestarios:</w:t>
            </w:r>
          </w:p>
        </w:tc>
        <w:tc>
          <w:tcPr>
            <w:tcW w:w="2190" w:type="dxa"/>
          </w:tcPr>
          <w:p w14:paraId="58FDBFBA" w14:textId="77777777" w:rsidR="00F308C6" w:rsidRPr="005D1E77" w:rsidRDefault="00F308C6" w:rsidP="007864AE">
            <w:pPr>
              <w:pStyle w:val="Default"/>
              <w:rPr>
                <w:rFonts w:ascii="Arial Narrow" w:hAnsi="Arial Narrow"/>
                <w:sz w:val="22"/>
                <w:szCs w:val="22"/>
              </w:rPr>
            </w:pPr>
          </w:p>
        </w:tc>
        <w:tc>
          <w:tcPr>
            <w:tcW w:w="2000" w:type="dxa"/>
          </w:tcPr>
          <w:p w14:paraId="19B1191D"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         </w:t>
            </w:r>
            <w:r>
              <w:rPr>
                <w:rFonts w:ascii="Arial Narrow" w:hAnsi="Arial Narrow"/>
                <w:sz w:val="22"/>
                <w:szCs w:val="22"/>
              </w:rPr>
              <w:t>0</w:t>
            </w:r>
            <w:r w:rsidRPr="005D1E77">
              <w:rPr>
                <w:rFonts w:ascii="Arial Narrow" w:hAnsi="Arial Narrow"/>
                <w:sz w:val="22"/>
                <w:szCs w:val="22"/>
              </w:rPr>
              <w:t>.00</w:t>
            </w:r>
          </w:p>
        </w:tc>
      </w:tr>
      <w:tr w:rsidR="00F308C6" w:rsidRPr="005D1E77" w14:paraId="3DFADE67" w14:textId="77777777" w:rsidTr="007864AE">
        <w:trPr>
          <w:jc w:val="center"/>
        </w:trPr>
        <w:tc>
          <w:tcPr>
            <w:tcW w:w="4864" w:type="dxa"/>
          </w:tcPr>
          <w:p w14:paraId="0F1A2D21"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Incremento por variación de inventarios.</w:t>
            </w:r>
          </w:p>
        </w:tc>
        <w:tc>
          <w:tcPr>
            <w:tcW w:w="2190" w:type="dxa"/>
          </w:tcPr>
          <w:p w14:paraId="7A4208BA"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val="restart"/>
          </w:tcPr>
          <w:p w14:paraId="5255BB2F" w14:textId="77777777" w:rsidR="00F308C6" w:rsidRPr="005D1E77" w:rsidRDefault="00F308C6" w:rsidP="007864AE">
            <w:pPr>
              <w:pStyle w:val="Default"/>
              <w:jc w:val="right"/>
              <w:rPr>
                <w:rFonts w:ascii="Arial Narrow" w:hAnsi="Arial Narrow"/>
                <w:sz w:val="22"/>
                <w:szCs w:val="22"/>
              </w:rPr>
            </w:pPr>
          </w:p>
        </w:tc>
      </w:tr>
      <w:tr w:rsidR="00F308C6" w:rsidRPr="005D1E77" w14:paraId="27943E66" w14:textId="77777777" w:rsidTr="007864AE">
        <w:trPr>
          <w:jc w:val="center"/>
        </w:trPr>
        <w:tc>
          <w:tcPr>
            <w:tcW w:w="4864" w:type="dxa"/>
          </w:tcPr>
          <w:p w14:paraId="5C32F793"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Disminución del exceso de estimaciones por pérdida o deterioro u obsolescencia.</w:t>
            </w:r>
          </w:p>
        </w:tc>
        <w:tc>
          <w:tcPr>
            <w:tcW w:w="2190" w:type="dxa"/>
          </w:tcPr>
          <w:p w14:paraId="2A509A4B"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713C0B8E" w14:textId="77777777" w:rsidR="00F308C6" w:rsidRPr="005D1E77" w:rsidRDefault="00F308C6" w:rsidP="007864AE">
            <w:pPr>
              <w:pStyle w:val="Default"/>
              <w:jc w:val="right"/>
              <w:rPr>
                <w:rFonts w:ascii="Arial Narrow" w:hAnsi="Arial Narrow"/>
                <w:sz w:val="22"/>
                <w:szCs w:val="22"/>
              </w:rPr>
            </w:pPr>
          </w:p>
        </w:tc>
      </w:tr>
      <w:tr w:rsidR="00F308C6" w:rsidRPr="005D1E77" w14:paraId="6411363A" w14:textId="77777777" w:rsidTr="007864AE">
        <w:trPr>
          <w:jc w:val="center"/>
        </w:trPr>
        <w:tc>
          <w:tcPr>
            <w:tcW w:w="4864" w:type="dxa"/>
          </w:tcPr>
          <w:p w14:paraId="7D2A939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Disminución del exceso de provisiones.</w:t>
            </w:r>
          </w:p>
        </w:tc>
        <w:tc>
          <w:tcPr>
            <w:tcW w:w="2190" w:type="dxa"/>
          </w:tcPr>
          <w:p w14:paraId="656DCF9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40C1C0E0" w14:textId="77777777" w:rsidR="00F308C6" w:rsidRPr="005D1E77" w:rsidRDefault="00F308C6" w:rsidP="007864AE">
            <w:pPr>
              <w:pStyle w:val="Default"/>
              <w:jc w:val="right"/>
              <w:rPr>
                <w:rFonts w:ascii="Arial Narrow" w:hAnsi="Arial Narrow"/>
                <w:sz w:val="22"/>
                <w:szCs w:val="22"/>
              </w:rPr>
            </w:pPr>
          </w:p>
        </w:tc>
      </w:tr>
      <w:tr w:rsidR="00F308C6" w:rsidRPr="005D1E77" w14:paraId="337762D8" w14:textId="77777777" w:rsidTr="007864AE">
        <w:trPr>
          <w:jc w:val="center"/>
        </w:trPr>
        <w:tc>
          <w:tcPr>
            <w:tcW w:w="4864" w:type="dxa"/>
          </w:tcPr>
          <w:p w14:paraId="035A3BA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y beneficios varios.</w:t>
            </w:r>
          </w:p>
        </w:tc>
        <w:tc>
          <w:tcPr>
            <w:tcW w:w="2190" w:type="dxa"/>
          </w:tcPr>
          <w:p w14:paraId="37AEE3FC"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4B6D197B" w14:textId="77777777" w:rsidR="00F308C6" w:rsidRPr="005D1E77" w:rsidRDefault="00F308C6" w:rsidP="007864AE">
            <w:pPr>
              <w:pStyle w:val="Default"/>
              <w:jc w:val="right"/>
              <w:rPr>
                <w:rFonts w:ascii="Arial Narrow" w:hAnsi="Arial Narrow"/>
                <w:sz w:val="22"/>
                <w:szCs w:val="22"/>
              </w:rPr>
            </w:pPr>
          </w:p>
        </w:tc>
      </w:tr>
      <w:tr w:rsidR="00F308C6" w:rsidRPr="005D1E77" w14:paraId="05C44E4C" w14:textId="77777777" w:rsidTr="007864AE">
        <w:trPr>
          <w:jc w:val="center"/>
        </w:trPr>
        <w:tc>
          <w:tcPr>
            <w:tcW w:w="4864" w:type="dxa"/>
          </w:tcPr>
          <w:p w14:paraId="0617C62C"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no presupuestarios.</w:t>
            </w:r>
          </w:p>
        </w:tc>
        <w:tc>
          <w:tcPr>
            <w:tcW w:w="2190" w:type="dxa"/>
          </w:tcPr>
          <w:p w14:paraId="591A4752"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$ 0.00                              </w:t>
            </w:r>
          </w:p>
        </w:tc>
        <w:tc>
          <w:tcPr>
            <w:tcW w:w="2000" w:type="dxa"/>
            <w:vMerge/>
          </w:tcPr>
          <w:p w14:paraId="602EFD9D" w14:textId="77777777" w:rsidR="00F308C6" w:rsidRPr="005D1E77" w:rsidRDefault="00F308C6" w:rsidP="007864AE">
            <w:pPr>
              <w:pStyle w:val="Default"/>
              <w:jc w:val="right"/>
              <w:rPr>
                <w:rFonts w:ascii="Arial Narrow" w:hAnsi="Arial Narrow"/>
                <w:sz w:val="22"/>
                <w:szCs w:val="22"/>
              </w:rPr>
            </w:pPr>
          </w:p>
        </w:tc>
      </w:tr>
    </w:tbl>
    <w:p w14:paraId="56FC806A"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F308C6" w:rsidRPr="005D1E77" w14:paraId="20264503" w14:textId="77777777" w:rsidTr="007864AE">
        <w:trPr>
          <w:jc w:val="center"/>
        </w:trPr>
        <w:tc>
          <w:tcPr>
            <w:tcW w:w="4866" w:type="dxa"/>
          </w:tcPr>
          <w:p w14:paraId="2FD7554D"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3.- Menos ingresos presupuestarios no contables:</w:t>
            </w:r>
          </w:p>
        </w:tc>
        <w:tc>
          <w:tcPr>
            <w:tcW w:w="2188" w:type="dxa"/>
          </w:tcPr>
          <w:p w14:paraId="72F028F0" w14:textId="77777777" w:rsidR="00F308C6" w:rsidRPr="005D1E77" w:rsidRDefault="00F308C6" w:rsidP="007864AE">
            <w:pPr>
              <w:pStyle w:val="Default"/>
              <w:rPr>
                <w:rFonts w:ascii="Arial Narrow" w:hAnsi="Arial Narrow"/>
                <w:sz w:val="22"/>
                <w:szCs w:val="22"/>
              </w:rPr>
            </w:pPr>
          </w:p>
        </w:tc>
        <w:tc>
          <w:tcPr>
            <w:tcW w:w="2000" w:type="dxa"/>
          </w:tcPr>
          <w:p w14:paraId="025F6159"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0.00</w:t>
            </w:r>
          </w:p>
        </w:tc>
      </w:tr>
      <w:tr w:rsidR="00F308C6" w:rsidRPr="005D1E77" w14:paraId="0ECE3246" w14:textId="77777777" w:rsidTr="007864AE">
        <w:trPr>
          <w:jc w:val="center"/>
        </w:trPr>
        <w:tc>
          <w:tcPr>
            <w:tcW w:w="4866" w:type="dxa"/>
          </w:tcPr>
          <w:p w14:paraId="773247F9"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Productos de capital.</w:t>
            </w:r>
          </w:p>
        </w:tc>
        <w:tc>
          <w:tcPr>
            <w:tcW w:w="2188" w:type="dxa"/>
          </w:tcPr>
          <w:p w14:paraId="5F00220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val="restart"/>
          </w:tcPr>
          <w:p w14:paraId="23264913" w14:textId="77777777" w:rsidR="00F308C6" w:rsidRPr="005D1E77" w:rsidRDefault="00F308C6" w:rsidP="007864AE">
            <w:pPr>
              <w:pStyle w:val="Default"/>
              <w:jc w:val="right"/>
              <w:rPr>
                <w:rFonts w:ascii="Arial Narrow" w:hAnsi="Arial Narrow"/>
                <w:sz w:val="22"/>
                <w:szCs w:val="22"/>
              </w:rPr>
            </w:pPr>
          </w:p>
        </w:tc>
      </w:tr>
      <w:tr w:rsidR="00F308C6" w:rsidRPr="005D1E77" w14:paraId="71FFD8E0" w14:textId="77777777" w:rsidTr="007864AE">
        <w:trPr>
          <w:jc w:val="center"/>
        </w:trPr>
        <w:tc>
          <w:tcPr>
            <w:tcW w:w="4866" w:type="dxa"/>
          </w:tcPr>
          <w:p w14:paraId="176B6F24"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Aprovechamientos de capital.</w:t>
            </w:r>
          </w:p>
        </w:tc>
        <w:tc>
          <w:tcPr>
            <w:tcW w:w="2188" w:type="dxa"/>
          </w:tcPr>
          <w:p w14:paraId="0F93650A"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2497E383" w14:textId="77777777" w:rsidR="00F308C6" w:rsidRPr="005D1E77" w:rsidRDefault="00F308C6" w:rsidP="007864AE">
            <w:pPr>
              <w:pStyle w:val="Default"/>
              <w:jc w:val="right"/>
              <w:rPr>
                <w:rFonts w:ascii="Arial Narrow" w:hAnsi="Arial Narrow"/>
                <w:sz w:val="22"/>
                <w:szCs w:val="22"/>
              </w:rPr>
            </w:pPr>
          </w:p>
        </w:tc>
      </w:tr>
      <w:tr w:rsidR="00F308C6" w:rsidRPr="005D1E77" w14:paraId="1B9DE584" w14:textId="77777777" w:rsidTr="007864AE">
        <w:trPr>
          <w:jc w:val="center"/>
        </w:trPr>
        <w:tc>
          <w:tcPr>
            <w:tcW w:w="4866" w:type="dxa"/>
          </w:tcPr>
          <w:p w14:paraId="7F3003BB"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Ingresos derivados de financiamientos.</w:t>
            </w:r>
          </w:p>
        </w:tc>
        <w:tc>
          <w:tcPr>
            <w:tcW w:w="2188" w:type="dxa"/>
          </w:tcPr>
          <w:p w14:paraId="700C0E99"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1998F28E" w14:textId="77777777" w:rsidR="00F308C6" w:rsidRPr="005D1E77" w:rsidRDefault="00F308C6" w:rsidP="007864AE">
            <w:pPr>
              <w:pStyle w:val="Default"/>
              <w:jc w:val="right"/>
              <w:rPr>
                <w:rFonts w:ascii="Arial Narrow" w:hAnsi="Arial Narrow"/>
                <w:sz w:val="22"/>
                <w:szCs w:val="22"/>
              </w:rPr>
            </w:pPr>
          </w:p>
        </w:tc>
      </w:tr>
      <w:tr w:rsidR="00F308C6" w:rsidRPr="005D1E77" w14:paraId="052ACCFA" w14:textId="77777777" w:rsidTr="007864AE">
        <w:trPr>
          <w:jc w:val="center"/>
        </w:trPr>
        <w:tc>
          <w:tcPr>
            <w:tcW w:w="4866" w:type="dxa"/>
          </w:tcPr>
          <w:p w14:paraId="137AA7B6"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Otros ingresos presupuestarios no contables.</w:t>
            </w:r>
          </w:p>
        </w:tc>
        <w:tc>
          <w:tcPr>
            <w:tcW w:w="2188" w:type="dxa"/>
          </w:tcPr>
          <w:p w14:paraId="6380B1C7"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5B311621" w14:textId="77777777" w:rsidR="00F308C6" w:rsidRPr="005D1E77" w:rsidRDefault="00F308C6" w:rsidP="007864AE">
            <w:pPr>
              <w:pStyle w:val="Default"/>
              <w:jc w:val="right"/>
              <w:rPr>
                <w:rFonts w:ascii="Arial Narrow" w:hAnsi="Arial Narrow"/>
                <w:sz w:val="22"/>
                <w:szCs w:val="22"/>
              </w:rPr>
            </w:pPr>
          </w:p>
        </w:tc>
      </w:tr>
      <w:tr w:rsidR="00F308C6" w:rsidRPr="005D1E77" w14:paraId="2A5AB647" w14:textId="77777777" w:rsidTr="007864AE">
        <w:trPr>
          <w:jc w:val="center"/>
        </w:trPr>
        <w:tc>
          <w:tcPr>
            <w:tcW w:w="4866" w:type="dxa"/>
          </w:tcPr>
          <w:p w14:paraId="56065641"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Total, otros ingresos no presupuestarios.</w:t>
            </w:r>
          </w:p>
        </w:tc>
        <w:tc>
          <w:tcPr>
            <w:tcW w:w="2188" w:type="dxa"/>
          </w:tcPr>
          <w:p w14:paraId="4C27E7BC" w14:textId="77777777" w:rsidR="00F308C6" w:rsidRPr="005D1E77" w:rsidRDefault="00F308C6" w:rsidP="007864AE">
            <w:pPr>
              <w:pStyle w:val="Default"/>
              <w:jc w:val="right"/>
              <w:rPr>
                <w:rFonts w:ascii="Arial Narrow" w:hAnsi="Arial Narrow"/>
                <w:sz w:val="22"/>
                <w:szCs w:val="22"/>
              </w:rPr>
            </w:pPr>
          </w:p>
        </w:tc>
        <w:tc>
          <w:tcPr>
            <w:tcW w:w="2000" w:type="dxa"/>
            <w:vMerge/>
          </w:tcPr>
          <w:p w14:paraId="31F1F542" w14:textId="77777777" w:rsidR="00F308C6" w:rsidRPr="005D1E77" w:rsidRDefault="00F308C6" w:rsidP="007864AE">
            <w:pPr>
              <w:pStyle w:val="Default"/>
              <w:jc w:val="right"/>
              <w:rPr>
                <w:rFonts w:ascii="Arial Narrow" w:hAnsi="Arial Narrow"/>
                <w:sz w:val="22"/>
                <w:szCs w:val="22"/>
              </w:rPr>
            </w:pPr>
          </w:p>
        </w:tc>
      </w:tr>
    </w:tbl>
    <w:p w14:paraId="750F7856" w14:textId="77777777" w:rsidR="00F308C6" w:rsidRPr="005D1E77" w:rsidRDefault="00F308C6" w:rsidP="00F308C6">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F308C6" w:rsidRPr="005D1E77" w14:paraId="1E332636" w14:textId="77777777" w:rsidTr="007864AE">
        <w:tc>
          <w:tcPr>
            <w:tcW w:w="7088" w:type="dxa"/>
          </w:tcPr>
          <w:p w14:paraId="6D88846F" w14:textId="77777777" w:rsidR="00F308C6" w:rsidRPr="005D1E77" w:rsidRDefault="00F308C6" w:rsidP="007864AE">
            <w:pPr>
              <w:pStyle w:val="Default"/>
              <w:rPr>
                <w:rFonts w:ascii="Arial Narrow" w:hAnsi="Arial Narrow"/>
                <w:b/>
                <w:sz w:val="22"/>
                <w:szCs w:val="22"/>
              </w:rPr>
            </w:pPr>
            <w:r w:rsidRPr="005D1E77">
              <w:rPr>
                <w:rFonts w:ascii="Arial Narrow" w:hAnsi="Arial Narrow"/>
                <w:b/>
                <w:sz w:val="22"/>
                <w:szCs w:val="22"/>
              </w:rPr>
              <w:t xml:space="preserve">4.- Ingresos </w:t>
            </w:r>
            <w:proofErr w:type="gramStart"/>
            <w:r w:rsidRPr="005D1E77">
              <w:rPr>
                <w:rFonts w:ascii="Arial Narrow" w:hAnsi="Arial Narrow"/>
                <w:b/>
                <w:sz w:val="22"/>
                <w:szCs w:val="22"/>
              </w:rPr>
              <w:t>contables  (</w:t>
            </w:r>
            <w:proofErr w:type="gramEnd"/>
            <w:r w:rsidRPr="005D1E77">
              <w:rPr>
                <w:rFonts w:ascii="Arial Narrow" w:hAnsi="Arial Narrow"/>
                <w:b/>
                <w:sz w:val="22"/>
                <w:szCs w:val="22"/>
              </w:rPr>
              <w:t>4=1+2-3)</w:t>
            </w:r>
          </w:p>
        </w:tc>
        <w:tc>
          <w:tcPr>
            <w:tcW w:w="1984" w:type="dxa"/>
          </w:tcPr>
          <w:p w14:paraId="294D86A5" w14:textId="54377566" w:rsidR="00F308C6" w:rsidRPr="005D1E77" w:rsidRDefault="00F308C6" w:rsidP="007864AE">
            <w:pPr>
              <w:pStyle w:val="Default"/>
              <w:jc w:val="right"/>
              <w:rPr>
                <w:rFonts w:ascii="Arial Narrow" w:hAnsi="Arial Narrow"/>
                <w:b/>
                <w:sz w:val="22"/>
                <w:szCs w:val="22"/>
              </w:rPr>
            </w:pPr>
            <w:r w:rsidRPr="005D1E77">
              <w:rPr>
                <w:rFonts w:ascii="Arial Narrow" w:hAnsi="Arial Narrow"/>
                <w:b/>
                <w:sz w:val="22"/>
                <w:szCs w:val="22"/>
              </w:rPr>
              <w:t xml:space="preserve">$ </w:t>
            </w:r>
            <w:r w:rsidR="00C9559E">
              <w:rPr>
                <w:rFonts w:ascii="Arial Narrow" w:hAnsi="Arial Narrow"/>
                <w:b/>
                <w:sz w:val="22"/>
                <w:szCs w:val="22"/>
              </w:rPr>
              <w:t>381,138,656.14</w:t>
            </w:r>
          </w:p>
        </w:tc>
      </w:tr>
    </w:tbl>
    <w:p w14:paraId="2B4D96EC" w14:textId="77777777" w:rsidR="00F308C6" w:rsidRPr="005D1E77" w:rsidRDefault="00F308C6" w:rsidP="00F308C6">
      <w:pPr>
        <w:pStyle w:val="Default"/>
        <w:rPr>
          <w:rFonts w:ascii="Arial Narrow" w:hAnsi="Arial Narrow"/>
          <w:sz w:val="22"/>
          <w:szCs w:val="22"/>
        </w:rPr>
      </w:pPr>
    </w:p>
    <w:p w14:paraId="5AA3A324" w14:textId="77777777" w:rsidR="00F308C6" w:rsidRDefault="00F308C6" w:rsidP="00F308C6">
      <w:pPr>
        <w:pStyle w:val="Default"/>
        <w:rPr>
          <w:rFonts w:ascii="Arial Narrow" w:hAnsi="Arial Narrow"/>
          <w:sz w:val="22"/>
          <w:szCs w:val="22"/>
        </w:rPr>
      </w:pPr>
    </w:p>
    <w:p w14:paraId="52B679E3" w14:textId="77777777" w:rsidR="00F308C6" w:rsidRDefault="00F308C6" w:rsidP="00F308C6">
      <w:pPr>
        <w:pStyle w:val="Default"/>
        <w:rPr>
          <w:rFonts w:ascii="Arial Narrow" w:hAnsi="Arial Narrow"/>
          <w:sz w:val="22"/>
          <w:szCs w:val="22"/>
        </w:rPr>
      </w:pPr>
    </w:p>
    <w:p w14:paraId="3D6EE330" w14:textId="77777777" w:rsidR="00F308C6" w:rsidRDefault="00F308C6" w:rsidP="00F308C6">
      <w:pPr>
        <w:pStyle w:val="Default"/>
        <w:rPr>
          <w:rFonts w:ascii="Arial Narrow" w:hAnsi="Arial Narrow"/>
          <w:sz w:val="22"/>
          <w:szCs w:val="22"/>
        </w:rPr>
      </w:pPr>
    </w:p>
    <w:p w14:paraId="620E8D97" w14:textId="6E9FA670" w:rsidR="00F308C6" w:rsidRDefault="00F308C6" w:rsidP="00F308C6">
      <w:pPr>
        <w:pStyle w:val="Default"/>
        <w:rPr>
          <w:rFonts w:ascii="Arial Narrow" w:hAnsi="Arial Narrow"/>
          <w:sz w:val="22"/>
          <w:szCs w:val="22"/>
        </w:rPr>
      </w:pPr>
    </w:p>
    <w:p w14:paraId="7DC11576" w14:textId="77777777" w:rsidR="00C9559E" w:rsidRDefault="00C9559E" w:rsidP="00F308C6">
      <w:pPr>
        <w:pStyle w:val="Default"/>
        <w:rPr>
          <w:rFonts w:ascii="Arial Narrow" w:hAnsi="Arial Narrow"/>
          <w:sz w:val="22"/>
          <w:szCs w:val="22"/>
        </w:rPr>
      </w:pPr>
    </w:p>
    <w:p w14:paraId="635ABBEF" w14:textId="77777777" w:rsidR="00F308C6" w:rsidRDefault="00F308C6" w:rsidP="00F308C6">
      <w:pPr>
        <w:pStyle w:val="Default"/>
        <w:rPr>
          <w:rFonts w:ascii="Arial Narrow" w:hAnsi="Arial Narrow"/>
          <w:sz w:val="22"/>
          <w:szCs w:val="22"/>
        </w:rPr>
      </w:pPr>
    </w:p>
    <w:p w14:paraId="2AE8B71D" w14:textId="77777777" w:rsidR="00F308C6" w:rsidRDefault="00F308C6" w:rsidP="00F308C6">
      <w:pPr>
        <w:pStyle w:val="Default"/>
        <w:rPr>
          <w:rFonts w:ascii="Arial Narrow" w:hAnsi="Arial Narrow"/>
          <w:sz w:val="22"/>
          <w:szCs w:val="22"/>
        </w:rPr>
      </w:pPr>
    </w:p>
    <w:p w14:paraId="3CC58D9B" w14:textId="77777777" w:rsidR="00F308C6" w:rsidRPr="005D1E77" w:rsidRDefault="00F308C6" w:rsidP="00F308C6">
      <w:pPr>
        <w:pStyle w:val="Default"/>
        <w:rPr>
          <w:rFonts w:ascii="Arial Narrow" w:hAnsi="Arial Narrow"/>
          <w:sz w:val="22"/>
          <w:szCs w:val="22"/>
        </w:rPr>
      </w:pPr>
    </w:p>
    <w:p w14:paraId="01D64463"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F308C6" w:rsidRPr="005D1E77" w14:paraId="0935CD23" w14:textId="77777777" w:rsidTr="007864AE">
        <w:trPr>
          <w:jc w:val="center"/>
        </w:trPr>
        <w:tc>
          <w:tcPr>
            <w:tcW w:w="9067" w:type="dxa"/>
            <w:tcBorders>
              <w:top w:val="single" w:sz="4" w:space="0" w:color="auto"/>
            </w:tcBorders>
          </w:tcPr>
          <w:p w14:paraId="140A2B9C"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lastRenderedPageBreak/>
              <w:t>PODER JUDICIAL</w:t>
            </w:r>
          </w:p>
          <w:p w14:paraId="6537C881"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Conciliación entre los egresos presupuestarios y los gastos contables</w:t>
            </w:r>
          </w:p>
          <w:p w14:paraId="2813DCA0" w14:textId="43F1FC31"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 xml:space="preserve"> Correspondientes </w:t>
            </w:r>
            <w:r>
              <w:rPr>
                <w:rFonts w:ascii="Arial Narrow" w:hAnsi="Arial Narrow"/>
                <w:sz w:val="22"/>
                <w:szCs w:val="22"/>
              </w:rPr>
              <w:t>Del 01 de enero al 3</w:t>
            </w:r>
            <w:r w:rsidR="00C9559E">
              <w:rPr>
                <w:rFonts w:ascii="Arial Narrow" w:hAnsi="Arial Narrow"/>
                <w:sz w:val="22"/>
                <w:szCs w:val="22"/>
              </w:rPr>
              <w:t>1 de diciembre</w:t>
            </w:r>
            <w:r>
              <w:rPr>
                <w:rFonts w:ascii="Arial Narrow" w:hAnsi="Arial Narrow"/>
                <w:sz w:val="22"/>
                <w:szCs w:val="22"/>
              </w:rPr>
              <w:t xml:space="preserve"> de 2020</w:t>
            </w:r>
          </w:p>
          <w:p w14:paraId="1D039ED9" w14:textId="77777777"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(Cifras en pesos)</w:t>
            </w:r>
          </w:p>
          <w:p w14:paraId="2EF1B191" w14:textId="77777777" w:rsidR="00F308C6" w:rsidRPr="005D1E77" w:rsidRDefault="00F308C6" w:rsidP="007864AE">
            <w:pPr>
              <w:pStyle w:val="Default"/>
              <w:jc w:val="center"/>
              <w:rPr>
                <w:rFonts w:ascii="Arial Narrow" w:hAnsi="Arial Narrow"/>
                <w:sz w:val="22"/>
                <w:szCs w:val="22"/>
              </w:rPr>
            </w:pPr>
          </w:p>
        </w:tc>
      </w:tr>
    </w:tbl>
    <w:p w14:paraId="700B79CD"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F308C6" w:rsidRPr="005D1E77" w14:paraId="1AAB92F9" w14:textId="77777777" w:rsidTr="007864AE">
        <w:trPr>
          <w:jc w:val="center"/>
        </w:trPr>
        <w:tc>
          <w:tcPr>
            <w:tcW w:w="6941" w:type="dxa"/>
          </w:tcPr>
          <w:p w14:paraId="034C8F42"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1.- Total egresos (presupuestarios)</w:t>
            </w:r>
          </w:p>
        </w:tc>
        <w:tc>
          <w:tcPr>
            <w:tcW w:w="2126" w:type="dxa"/>
          </w:tcPr>
          <w:p w14:paraId="2B208C1A" w14:textId="01FEB8E5"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w:t>
            </w:r>
            <w:r w:rsidR="00C9559E">
              <w:rPr>
                <w:rFonts w:ascii="Arial Narrow" w:hAnsi="Arial Narrow"/>
                <w:sz w:val="22"/>
                <w:szCs w:val="22"/>
              </w:rPr>
              <w:t>382,327,547.95</w:t>
            </w:r>
          </w:p>
        </w:tc>
      </w:tr>
    </w:tbl>
    <w:p w14:paraId="4332168D"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93"/>
        <w:gridCol w:w="2077"/>
        <w:gridCol w:w="2268"/>
      </w:tblGrid>
      <w:tr w:rsidR="00F308C6" w:rsidRPr="005D1E77" w14:paraId="376D9741" w14:textId="77777777" w:rsidTr="007864AE">
        <w:trPr>
          <w:jc w:val="center"/>
        </w:trPr>
        <w:tc>
          <w:tcPr>
            <w:tcW w:w="5693" w:type="dxa"/>
          </w:tcPr>
          <w:p w14:paraId="7397EC9F"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2.- Menos: egresos presupuestarios no contables:</w:t>
            </w:r>
          </w:p>
        </w:tc>
        <w:tc>
          <w:tcPr>
            <w:tcW w:w="2077" w:type="dxa"/>
          </w:tcPr>
          <w:p w14:paraId="265D81F4" w14:textId="77777777" w:rsidR="00F308C6" w:rsidRPr="005D1E77" w:rsidRDefault="00F308C6" w:rsidP="007864AE">
            <w:pPr>
              <w:pStyle w:val="Default"/>
              <w:rPr>
                <w:rFonts w:ascii="Arial Narrow" w:hAnsi="Arial Narrow"/>
                <w:sz w:val="22"/>
                <w:szCs w:val="22"/>
              </w:rPr>
            </w:pPr>
          </w:p>
        </w:tc>
        <w:tc>
          <w:tcPr>
            <w:tcW w:w="2268" w:type="dxa"/>
          </w:tcPr>
          <w:p w14:paraId="6C4F4095" w14:textId="5F0B7908" w:rsidR="00F308C6" w:rsidRPr="005D1E77" w:rsidRDefault="00F308C6" w:rsidP="007864AE">
            <w:pPr>
              <w:pStyle w:val="Default"/>
              <w:jc w:val="center"/>
              <w:rPr>
                <w:rFonts w:ascii="Arial Narrow" w:hAnsi="Arial Narrow"/>
                <w:sz w:val="22"/>
                <w:szCs w:val="22"/>
              </w:rPr>
            </w:pPr>
            <w:r w:rsidRPr="005D1E77">
              <w:rPr>
                <w:rFonts w:ascii="Arial Narrow" w:hAnsi="Arial Narrow"/>
                <w:sz w:val="22"/>
                <w:szCs w:val="22"/>
              </w:rPr>
              <w:t xml:space="preserve">           $    </w:t>
            </w:r>
            <w:r w:rsidR="00C9559E">
              <w:rPr>
                <w:rFonts w:ascii="Arial Narrow" w:hAnsi="Arial Narrow"/>
                <w:sz w:val="22"/>
                <w:szCs w:val="22"/>
              </w:rPr>
              <w:t>40,962,695.33</w:t>
            </w:r>
          </w:p>
        </w:tc>
      </w:tr>
      <w:tr w:rsidR="00F308C6" w:rsidRPr="005D1E77" w14:paraId="2DB221E5" w14:textId="77777777" w:rsidTr="007864AE">
        <w:trPr>
          <w:jc w:val="center"/>
        </w:trPr>
        <w:tc>
          <w:tcPr>
            <w:tcW w:w="5693" w:type="dxa"/>
          </w:tcPr>
          <w:p w14:paraId="02506DA9"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Mobiliario y equipo de administración</w:t>
            </w:r>
          </w:p>
        </w:tc>
        <w:tc>
          <w:tcPr>
            <w:tcW w:w="2077" w:type="dxa"/>
          </w:tcPr>
          <w:p w14:paraId="628BA616" w14:textId="1009B05B" w:rsidR="00F308C6" w:rsidRPr="005D1E77" w:rsidRDefault="00F308C6" w:rsidP="007864AE">
            <w:pPr>
              <w:pStyle w:val="Default"/>
              <w:jc w:val="center"/>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00C9559E">
              <w:rPr>
                <w:rFonts w:ascii="Arial Narrow" w:hAnsi="Arial Narrow"/>
                <w:sz w:val="18"/>
                <w:szCs w:val="18"/>
              </w:rPr>
              <w:t>3,935,983.67</w:t>
            </w:r>
          </w:p>
        </w:tc>
        <w:tc>
          <w:tcPr>
            <w:tcW w:w="2268" w:type="dxa"/>
            <w:vMerge w:val="restart"/>
          </w:tcPr>
          <w:p w14:paraId="226F94F4" w14:textId="77777777" w:rsidR="00F308C6" w:rsidRPr="005D1E77" w:rsidRDefault="00F308C6" w:rsidP="007864AE">
            <w:pPr>
              <w:pStyle w:val="Default"/>
              <w:jc w:val="right"/>
              <w:rPr>
                <w:rFonts w:ascii="Arial Narrow" w:hAnsi="Arial Narrow"/>
                <w:sz w:val="18"/>
                <w:szCs w:val="18"/>
              </w:rPr>
            </w:pPr>
          </w:p>
        </w:tc>
      </w:tr>
      <w:tr w:rsidR="00F308C6" w:rsidRPr="005D1E77" w14:paraId="5AD26820" w14:textId="77777777" w:rsidTr="007864AE">
        <w:trPr>
          <w:jc w:val="center"/>
        </w:trPr>
        <w:tc>
          <w:tcPr>
            <w:tcW w:w="5693" w:type="dxa"/>
          </w:tcPr>
          <w:p w14:paraId="25CB0C1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Mobiliario y equipo educacional y recreativo</w:t>
            </w:r>
          </w:p>
        </w:tc>
        <w:tc>
          <w:tcPr>
            <w:tcW w:w="2077" w:type="dxa"/>
          </w:tcPr>
          <w:p w14:paraId="799B5CD0" w14:textId="3F791A26" w:rsidR="00F308C6" w:rsidRPr="005D1E77" w:rsidRDefault="00F308C6" w:rsidP="007864AE">
            <w:pPr>
              <w:pStyle w:val="Defaul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sidR="00C9559E">
              <w:rPr>
                <w:rFonts w:ascii="Arial Narrow" w:hAnsi="Arial Narrow"/>
                <w:sz w:val="18"/>
                <w:szCs w:val="18"/>
              </w:rPr>
              <w:t>28,246.00</w:t>
            </w:r>
          </w:p>
        </w:tc>
        <w:tc>
          <w:tcPr>
            <w:tcW w:w="2268" w:type="dxa"/>
            <w:vMerge/>
          </w:tcPr>
          <w:p w14:paraId="584499F0" w14:textId="77777777" w:rsidR="00F308C6" w:rsidRPr="005D1E77" w:rsidRDefault="00F308C6" w:rsidP="007864AE">
            <w:pPr>
              <w:pStyle w:val="Default"/>
              <w:jc w:val="right"/>
              <w:rPr>
                <w:rFonts w:ascii="Arial Narrow" w:hAnsi="Arial Narrow"/>
                <w:sz w:val="18"/>
                <w:szCs w:val="18"/>
              </w:rPr>
            </w:pPr>
          </w:p>
        </w:tc>
      </w:tr>
      <w:tr w:rsidR="00F308C6" w:rsidRPr="005D1E77" w14:paraId="131DF9BF" w14:textId="77777777" w:rsidTr="007864AE">
        <w:trPr>
          <w:jc w:val="center"/>
        </w:trPr>
        <w:tc>
          <w:tcPr>
            <w:tcW w:w="5693" w:type="dxa"/>
          </w:tcPr>
          <w:p w14:paraId="54F16898"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Equipo de computo</w:t>
            </w:r>
          </w:p>
        </w:tc>
        <w:tc>
          <w:tcPr>
            <w:tcW w:w="2077" w:type="dxa"/>
          </w:tcPr>
          <w:p w14:paraId="4C46684F"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441C776A" w14:textId="77777777" w:rsidR="00F308C6" w:rsidRPr="005D1E77" w:rsidRDefault="00F308C6" w:rsidP="007864AE">
            <w:pPr>
              <w:pStyle w:val="Default"/>
              <w:jc w:val="right"/>
              <w:rPr>
                <w:rFonts w:ascii="Arial Narrow" w:hAnsi="Arial Narrow"/>
                <w:sz w:val="18"/>
                <w:szCs w:val="18"/>
              </w:rPr>
            </w:pPr>
          </w:p>
        </w:tc>
      </w:tr>
      <w:tr w:rsidR="00F308C6" w:rsidRPr="005D1E77" w14:paraId="0E0B0701" w14:textId="77777777" w:rsidTr="007864AE">
        <w:trPr>
          <w:jc w:val="center"/>
        </w:trPr>
        <w:tc>
          <w:tcPr>
            <w:tcW w:w="5693" w:type="dxa"/>
          </w:tcPr>
          <w:p w14:paraId="0002DEDF"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Vehículos y equipo de transporte</w:t>
            </w:r>
          </w:p>
        </w:tc>
        <w:tc>
          <w:tcPr>
            <w:tcW w:w="2077" w:type="dxa"/>
          </w:tcPr>
          <w:p w14:paraId="092CB342"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w:t>
            </w:r>
            <w:r>
              <w:rPr>
                <w:rFonts w:ascii="Arial Narrow" w:hAnsi="Arial Narrow"/>
                <w:sz w:val="18"/>
                <w:szCs w:val="18"/>
              </w:rPr>
              <w:t>$       247,900.00</w:t>
            </w:r>
          </w:p>
        </w:tc>
        <w:tc>
          <w:tcPr>
            <w:tcW w:w="2268" w:type="dxa"/>
            <w:vMerge/>
          </w:tcPr>
          <w:p w14:paraId="12E59ED5" w14:textId="77777777" w:rsidR="00F308C6" w:rsidRPr="005D1E77" w:rsidRDefault="00F308C6" w:rsidP="007864AE">
            <w:pPr>
              <w:pStyle w:val="Default"/>
              <w:jc w:val="right"/>
              <w:rPr>
                <w:rFonts w:ascii="Arial Narrow" w:hAnsi="Arial Narrow"/>
                <w:sz w:val="18"/>
                <w:szCs w:val="18"/>
              </w:rPr>
            </w:pPr>
          </w:p>
        </w:tc>
      </w:tr>
      <w:tr w:rsidR="00F308C6" w:rsidRPr="005D1E77" w14:paraId="6479ED67" w14:textId="77777777" w:rsidTr="007864AE">
        <w:trPr>
          <w:jc w:val="center"/>
        </w:trPr>
        <w:tc>
          <w:tcPr>
            <w:tcW w:w="5693" w:type="dxa"/>
          </w:tcPr>
          <w:p w14:paraId="58185F85"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Equipo de defensa y seguridad</w:t>
            </w:r>
          </w:p>
        </w:tc>
        <w:tc>
          <w:tcPr>
            <w:tcW w:w="2077" w:type="dxa"/>
          </w:tcPr>
          <w:p w14:paraId="3A1546F6"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5D501672" w14:textId="77777777" w:rsidR="00F308C6" w:rsidRPr="005D1E77" w:rsidRDefault="00F308C6" w:rsidP="007864AE">
            <w:pPr>
              <w:pStyle w:val="Default"/>
              <w:jc w:val="right"/>
              <w:rPr>
                <w:rFonts w:ascii="Arial Narrow" w:hAnsi="Arial Narrow"/>
                <w:sz w:val="18"/>
                <w:szCs w:val="18"/>
              </w:rPr>
            </w:pPr>
          </w:p>
        </w:tc>
      </w:tr>
      <w:tr w:rsidR="00F308C6" w:rsidRPr="005D1E77" w14:paraId="2435D681" w14:textId="77777777" w:rsidTr="007864AE">
        <w:trPr>
          <w:jc w:val="center"/>
        </w:trPr>
        <w:tc>
          <w:tcPr>
            <w:tcW w:w="5693" w:type="dxa"/>
          </w:tcPr>
          <w:p w14:paraId="34956807"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Equipo e instrumental médico y de laboratorio</w:t>
            </w:r>
          </w:p>
        </w:tc>
        <w:tc>
          <w:tcPr>
            <w:tcW w:w="2077" w:type="dxa"/>
          </w:tcPr>
          <w:p w14:paraId="62C4A5B0"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w:t>
            </w:r>
            <w:r>
              <w:rPr>
                <w:rFonts w:ascii="Arial Narrow" w:hAnsi="Arial Narrow"/>
                <w:sz w:val="18"/>
                <w:szCs w:val="18"/>
              </w:rPr>
              <w:t xml:space="preserve"> </w:t>
            </w:r>
            <w:r w:rsidRPr="00235C06">
              <w:rPr>
                <w:rFonts w:ascii="Arial Narrow" w:hAnsi="Arial Narrow"/>
                <w:sz w:val="18"/>
                <w:szCs w:val="18"/>
              </w:rPr>
              <w:t xml:space="preserve">   </w:t>
            </w:r>
            <w:r>
              <w:rPr>
                <w:rFonts w:ascii="Arial Narrow" w:hAnsi="Arial Narrow"/>
                <w:sz w:val="18"/>
                <w:szCs w:val="18"/>
              </w:rPr>
              <w:t>211,059.68</w:t>
            </w:r>
          </w:p>
        </w:tc>
        <w:tc>
          <w:tcPr>
            <w:tcW w:w="2268" w:type="dxa"/>
            <w:vMerge/>
          </w:tcPr>
          <w:p w14:paraId="2D154647" w14:textId="77777777" w:rsidR="00F308C6" w:rsidRPr="005D1E77" w:rsidRDefault="00F308C6" w:rsidP="007864AE">
            <w:pPr>
              <w:pStyle w:val="Default"/>
              <w:jc w:val="right"/>
              <w:rPr>
                <w:rFonts w:ascii="Arial Narrow" w:hAnsi="Arial Narrow"/>
                <w:sz w:val="18"/>
                <w:szCs w:val="18"/>
              </w:rPr>
            </w:pPr>
          </w:p>
        </w:tc>
      </w:tr>
      <w:tr w:rsidR="00F308C6" w:rsidRPr="005D1E77" w14:paraId="0A3A9DE7" w14:textId="77777777" w:rsidTr="007864AE">
        <w:trPr>
          <w:jc w:val="center"/>
        </w:trPr>
        <w:tc>
          <w:tcPr>
            <w:tcW w:w="5693" w:type="dxa"/>
          </w:tcPr>
          <w:p w14:paraId="4072DBFE"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Otros</w:t>
            </w:r>
            <w:r>
              <w:rPr>
                <w:rFonts w:ascii="Arial Narrow" w:hAnsi="Arial Narrow"/>
                <w:sz w:val="18"/>
                <w:szCs w:val="18"/>
              </w:rPr>
              <w:t xml:space="preserve"> </w:t>
            </w:r>
            <w:r w:rsidRPr="005D1E77">
              <w:rPr>
                <w:rFonts w:ascii="Arial Narrow" w:hAnsi="Arial Narrow"/>
                <w:sz w:val="18"/>
                <w:szCs w:val="18"/>
              </w:rPr>
              <w:t>equipos y herramientas</w:t>
            </w:r>
          </w:p>
        </w:tc>
        <w:tc>
          <w:tcPr>
            <w:tcW w:w="2077" w:type="dxa"/>
          </w:tcPr>
          <w:p w14:paraId="116E83E8"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57C70C95" w14:textId="77777777" w:rsidR="00F308C6" w:rsidRPr="005D1E77" w:rsidRDefault="00F308C6" w:rsidP="007864AE">
            <w:pPr>
              <w:pStyle w:val="Default"/>
              <w:jc w:val="right"/>
              <w:rPr>
                <w:rFonts w:ascii="Arial Narrow" w:hAnsi="Arial Narrow"/>
                <w:sz w:val="18"/>
                <w:szCs w:val="18"/>
              </w:rPr>
            </w:pPr>
          </w:p>
        </w:tc>
      </w:tr>
      <w:tr w:rsidR="00F308C6" w:rsidRPr="005D1E77" w14:paraId="65C18278" w14:textId="77777777" w:rsidTr="007864AE">
        <w:trPr>
          <w:jc w:val="center"/>
        </w:trPr>
        <w:tc>
          <w:tcPr>
            <w:tcW w:w="5693" w:type="dxa"/>
          </w:tcPr>
          <w:p w14:paraId="05C85E5E" w14:textId="77777777" w:rsidR="00F308C6" w:rsidRPr="005D1E77" w:rsidRDefault="00F308C6" w:rsidP="007864AE">
            <w:pPr>
              <w:pStyle w:val="Default"/>
              <w:rPr>
                <w:rFonts w:ascii="Arial Narrow" w:hAnsi="Arial Narrow"/>
                <w:sz w:val="18"/>
                <w:szCs w:val="18"/>
              </w:rPr>
            </w:pPr>
            <w:r>
              <w:rPr>
                <w:rFonts w:ascii="Arial Narrow" w:hAnsi="Arial Narrow"/>
                <w:sz w:val="18"/>
                <w:szCs w:val="18"/>
              </w:rPr>
              <w:t>Maquinaría, otros equipos y herramientas</w:t>
            </w:r>
          </w:p>
        </w:tc>
        <w:tc>
          <w:tcPr>
            <w:tcW w:w="2077" w:type="dxa"/>
          </w:tcPr>
          <w:p w14:paraId="72D8FF82" w14:textId="77777777" w:rsidR="00F308C6" w:rsidRPr="005D1E77" w:rsidRDefault="00F308C6" w:rsidP="007864AE">
            <w:pPr>
              <w:pStyle w:val="Default"/>
              <w:jc w:val="right"/>
              <w:rPr>
                <w:rFonts w:ascii="Arial Narrow" w:hAnsi="Arial Narrow"/>
                <w:sz w:val="18"/>
                <w:szCs w:val="18"/>
              </w:rPr>
            </w:pPr>
            <w:r w:rsidRPr="00235C06">
              <w:rPr>
                <w:rFonts w:ascii="Arial Narrow" w:hAnsi="Arial Narrow"/>
                <w:sz w:val="18"/>
                <w:szCs w:val="18"/>
              </w:rPr>
              <w:t xml:space="preserve">             $       </w:t>
            </w:r>
            <w:r>
              <w:rPr>
                <w:rFonts w:ascii="Arial Narrow" w:hAnsi="Arial Narrow"/>
                <w:sz w:val="18"/>
                <w:szCs w:val="18"/>
              </w:rPr>
              <w:t>304,519.72</w:t>
            </w:r>
          </w:p>
        </w:tc>
        <w:tc>
          <w:tcPr>
            <w:tcW w:w="2268" w:type="dxa"/>
            <w:vMerge/>
          </w:tcPr>
          <w:p w14:paraId="09CF0362" w14:textId="77777777" w:rsidR="00F308C6" w:rsidRPr="005D1E77" w:rsidRDefault="00F308C6" w:rsidP="007864AE">
            <w:pPr>
              <w:pStyle w:val="Default"/>
              <w:jc w:val="right"/>
              <w:rPr>
                <w:rFonts w:ascii="Arial Narrow" w:hAnsi="Arial Narrow"/>
                <w:sz w:val="18"/>
                <w:szCs w:val="18"/>
              </w:rPr>
            </w:pPr>
          </w:p>
        </w:tc>
      </w:tr>
      <w:tr w:rsidR="00F308C6" w:rsidRPr="005D1E77" w14:paraId="1E453E5B" w14:textId="77777777" w:rsidTr="007864AE">
        <w:trPr>
          <w:jc w:val="center"/>
        </w:trPr>
        <w:tc>
          <w:tcPr>
            <w:tcW w:w="5693" w:type="dxa"/>
          </w:tcPr>
          <w:p w14:paraId="4BB71474"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Bienes inmuebles</w:t>
            </w:r>
          </w:p>
        </w:tc>
        <w:tc>
          <w:tcPr>
            <w:tcW w:w="2077" w:type="dxa"/>
          </w:tcPr>
          <w:p w14:paraId="49987E55"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3,837,502.00</w:t>
            </w:r>
          </w:p>
        </w:tc>
        <w:tc>
          <w:tcPr>
            <w:tcW w:w="2268" w:type="dxa"/>
            <w:vMerge/>
          </w:tcPr>
          <w:p w14:paraId="7A3354B3" w14:textId="77777777" w:rsidR="00F308C6" w:rsidRPr="005D1E77" w:rsidRDefault="00F308C6" w:rsidP="007864AE">
            <w:pPr>
              <w:pStyle w:val="Default"/>
              <w:jc w:val="right"/>
              <w:rPr>
                <w:rFonts w:ascii="Arial Narrow" w:hAnsi="Arial Narrow"/>
                <w:sz w:val="18"/>
                <w:szCs w:val="18"/>
              </w:rPr>
            </w:pPr>
          </w:p>
        </w:tc>
      </w:tr>
      <w:tr w:rsidR="00F308C6" w:rsidRPr="005D1E77" w14:paraId="349E4490" w14:textId="77777777" w:rsidTr="007864AE">
        <w:trPr>
          <w:jc w:val="center"/>
        </w:trPr>
        <w:tc>
          <w:tcPr>
            <w:tcW w:w="5693" w:type="dxa"/>
          </w:tcPr>
          <w:p w14:paraId="6175EF1D"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Activos intangibles</w:t>
            </w:r>
          </w:p>
        </w:tc>
        <w:tc>
          <w:tcPr>
            <w:tcW w:w="2077" w:type="dxa"/>
          </w:tcPr>
          <w:p w14:paraId="0463255F" w14:textId="77777777" w:rsidR="00F308C6" w:rsidRPr="005D1E77" w:rsidRDefault="00F308C6" w:rsidP="007864AE">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8,004.00</w:t>
            </w:r>
          </w:p>
        </w:tc>
        <w:tc>
          <w:tcPr>
            <w:tcW w:w="2268" w:type="dxa"/>
            <w:vMerge/>
          </w:tcPr>
          <w:p w14:paraId="6A9D6E53" w14:textId="77777777" w:rsidR="00F308C6" w:rsidRPr="005D1E77" w:rsidRDefault="00F308C6" w:rsidP="007864AE">
            <w:pPr>
              <w:pStyle w:val="Default"/>
              <w:jc w:val="right"/>
              <w:rPr>
                <w:rFonts w:ascii="Arial Narrow" w:hAnsi="Arial Narrow"/>
                <w:sz w:val="18"/>
                <w:szCs w:val="18"/>
              </w:rPr>
            </w:pPr>
          </w:p>
        </w:tc>
      </w:tr>
      <w:tr w:rsidR="00F308C6" w:rsidRPr="005D1E77" w14:paraId="245910A7" w14:textId="77777777" w:rsidTr="007864AE">
        <w:trPr>
          <w:jc w:val="center"/>
        </w:trPr>
        <w:tc>
          <w:tcPr>
            <w:tcW w:w="5693" w:type="dxa"/>
          </w:tcPr>
          <w:p w14:paraId="36B91D0F"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Obra pública en bienes propios</w:t>
            </w:r>
          </w:p>
        </w:tc>
        <w:tc>
          <w:tcPr>
            <w:tcW w:w="2077" w:type="dxa"/>
          </w:tcPr>
          <w:p w14:paraId="769C8CA2" w14:textId="73D76106" w:rsidR="00F308C6" w:rsidRPr="005D1E77" w:rsidRDefault="00F308C6" w:rsidP="007864AE">
            <w:pPr>
              <w:pStyle w:val="Default"/>
              <w:jc w:val="center"/>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w:t>
            </w:r>
            <w:r w:rsidR="00C9559E">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proofErr w:type="gramStart"/>
            <w:r>
              <w:rPr>
                <w:rFonts w:ascii="Arial Narrow" w:hAnsi="Arial Narrow"/>
                <w:sz w:val="18"/>
                <w:szCs w:val="18"/>
              </w:rPr>
              <w:t xml:space="preserve">$ </w:t>
            </w:r>
            <w:r w:rsidR="00C9559E">
              <w:rPr>
                <w:rFonts w:ascii="Arial Narrow" w:hAnsi="Arial Narrow"/>
                <w:sz w:val="18"/>
                <w:szCs w:val="18"/>
              </w:rPr>
              <w:t xml:space="preserve"> </w:t>
            </w:r>
            <w:r>
              <w:rPr>
                <w:rFonts w:ascii="Arial Narrow" w:hAnsi="Arial Narrow"/>
                <w:sz w:val="18"/>
                <w:szCs w:val="18"/>
              </w:rPr>
              <w:t>3</w:t>
            </w:r>
            <w:r w:rsidR="00C9559E">
              <w:rPr>
                <w:rFonts w:ascii="Arial Narrow" w:hAnsi="Arial Narrow"/>
                <w:sz w:val="18"/>
                <w:szCs w:val="18"/>
              </w:rPr>
              <w:t>2,389,480.26</w:t>
            </w:r>
            <w:proofErr w:type="gramEnd"/>
          </w:p>
        </w:tc>
        <w:tc>
          <w:tcPr>
            <w:tcW w:w="2268" w:type="dxa"/>
            <w:vMerge/>
          </w:tcPr>
          <w:p w14:paraId="6ECC07ED" w14:textId="77777777" w:rsidR="00F308C6" w:rsidRPr="005D1E77" w:rsidRDefault="00F308C6" w:rsidP="007864AE">
            <w:pPr>
              <w:pStyle w:val="Default"/>
              <w:jc w:val="right"/>
              <w:rPr>
                <w:rFonts w:ascii="Arial Narrow" w:hAnsi="Arial Narrow"/>
                <w:sz w:val="18"/>
                <w:szCs w:val="18"/>
              </w:rPr>
            </w:pPr>
          </w:p>
        </w:tc>
      </w:tr>
      <w:tr w:rsidR="00F308C6" w:rsidRPr="005D1E77" w14:paraId="64ED3C67" w14:textId="77777777" w:rsidTr="007864AE">
        <w:trPr>
          <w:jc w:val="center"/>
        </w:trPr>
        <w:tc>
          <w:tcPr>
            <w:tcW w:w="5693" w:type="dxa"/>
          </w:tcPr>
          <w:p w14:paraId="07E08C65"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Acciones y participaciones de capital</w:t>
            </w:r>
          </w:p>
        </w:tc>
        <w:tc>
          <w:tcPr>
            <w:tcW w:w="2077" w:type="dxa"/>
          </w:tcPr>
          <w:p w14:paraId="4C76BB3C"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01F9BDA6" w14:textId="77777777" w:rsidR="00F308C6" w:rsidRPr="005D1E77" w:rsidRDefault="00F308C6" w:rsidP="007864AE">
            <w:pPr>
              <w:pStyle w:val="Default"/>
              <w:jc w:val="right"/>
              <w:rPr>
                <w:rFonts w:ascii="Arial Narrow" w:hAnsi="Arial Narrow"/>
                <w:sz w:val="18"/>
                <w:szCs w:val="18"/>
              </w:rPr>
            </w:pPr>
          </w:p>
        </w:tc>
      </w:tr>
      <w:tr w:rsidR="00F308C6" w:rsidRPr="005D1E77" w14:paraId="53C70D70" w14:textId="77777777" w:rsidTr="007864AE">
        <w:trPr>
          <w:jc w:val="center"/>
        </w:trPr>
        <w:tc>
          <w:tcPr>
            <w:tcW w:w="5693" w:type="dxa"/>
          </w:tcPr>
          <w:p w14:paraId="7C3336F9"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Compra de título y valores</w:t>
            </w:r>
          </w:p>
        </w:tc>
        <w:tc>
          <w:tcPr>
            <w:tcW w:w="2077" w:type="dxa"/>
          </w:tcPr>
          <w:p w14:paraId="53D0F374"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121892DE" w14:textId="77777777" w:rsidR="00F308C6" w:rsidRPr="005D1E77" w:rsidRDefault="00F308C6" w:rsidP="007864AE">
            <w:pPr>
              <w:pStyle w:val="Default"/>
              <w:jc w:val="right"/>
              <w:rPr>
                <w:rFonts w:ascii="Arial Narrow" w:hAnsi="Arial Narrow"/>
                <w:sz w:val="18"/>
                <w:szCs w:val="18"/>
              </w:rPr>
            </w:pPr>
          </w:p>
        </w:tc>
      </w:tr>
      <w:tr w:rsidR="00F308C6" w:rsidRPr="005D1E77" w14:paraId="5486F38A" w14:textId="77777777" w:rsidTr="007864AE">
        <w:trPr>
          <w:jc w:val="center"/>
        </w:trPr>
        <w:tc>
          <w:tcPr>
            <w:tcW w:w="5693" w:type="dxa"/>
          </w:tcPr>
          <w:p w14:paraId="165B63C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Inversiones en fideicomisos, mandatos y otros análogos</w:t>
            </w:r>
          </w:p>
        </w:tc>
        <w:tc>
          <w:tcPr>
            <w:tcW w:w="2077" w:type="dxa"/>
          </w:tcPr>
          <w:p w14:paraId="4B0F4D7D"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251C94D8" w14:textId="77777777" w:rsidR="00F308C6" w:rsidRPr="005D1E77" w:rsidRDefault="00F308C6" w:rsidP="007864AE">
            <w:pPr>
              <w:pStyle w:val="Default"/>
              <w:jc w:val="right"/>
              <w:rPr>
                <w:rFonts w:ascii="Arial Narrow" w:hAnsi="Arial Narrow"/>
                <w:sz w:val="18"/>
                <w:szCs w:val="18"/>
              </w:rPr>
            </w:pPr>
          </w:p>
        </w:tc>
      </w:tr>
      <w:tr w:rsidR="00F308C6" w:rsidRPr="005D1E77" w14:paraId="03E9A607" w14:textId="77777777" w:rsidTr="007864AE">
        <w:trPr>
          <w:jc w:val="center"/>
        </w:trPr>
        <w:tc>
          <w:tcPr>
            <w:tcW w:w="5693" w:type="dxa"/>
          </w:tcPr>
          <w:p w14:paraId="5839E380"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Provisiones para contingencias y otras erogaciones especiales</w:t>
            </w:r>
          </w:p>
        </w:tc>
        <w:tc>
          <w:tcPr>
            <w:tcW w:w="2077" w:type="dxa"/>
          </w:tcPr>
          <w:p w14:paraId="3FD994B2"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192A396C" w14:textId="77777777" w:rsidR="00F308C6" w:rsidRPr="005D1E77" w:rsidRDefault="00F308C6" w:rsidP="007864AE">
            <w:pPr>
              <w:pStyle w:val="Default"/>
              <w:jc w:val="right"/>
              <w:rPr>
                <w:rFonts w:ascii="Arial Narrow" w:hAnsi="Arial Narrow"/>
                <w:sz w:val="18"/>
                <w:szCs w:val="18"/>
              </w:rPr>
            </w:pPr>
          </w:p>
        </w:tc>
      </w:tr>
      <w:tr w:rsidR="00F308C6" w:rsidRPr="005D1E77" w14:paraId="21D413C4" w14:textId="77777777" w:rsidTr="007864AE">
        <w:trPr>
          <w:jc w:val="center"/>
        </w:trPr>
        <w:tc>
          <w:tcPr>
            <w:tcW w:w="5693" w:type="dxa"/>
          </w:tcPr>
          <w:p w14:paraId="3592FA17"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Amortización de la deuda pública</w:t>
            </w:r>
          </w:p>
        </w:tc>
        <w:tc>
          <w:tcPr>
            <w:tcW w:w="2077" w:type="dxa"/>
          </w:tcPr>
          <w:p w14:paraId="629109E3"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713538E1" w14:textId="77777777" w:rsidR="00F308C6" w:rsidRPr="005D1E77" w:rsidRDefault="00F308C6" w:rsidP="007864AE">
            <w:pPr>
              <w:pStyle w:val="Default"/>
              <w:jc w:val="right"/>
              <w:rPr>
                <w:rFonts w:ascii="Arial Narrow" w:hAnsi="Arial Narrow"/>
                <w:sz w:val="18"/>
                <w:szCs w:val="18"/>
              </w:rPr>
            </w:pPr>
          </w:p>
        </w:tc>
      </w:tr>
      <w:tr w:rsidR="00F308C6" w:rsidRPr="005D1E77" w14:paraId="7822D1AC" w14:textId="77777777" w:rsidTr="007864AE">
        <w:trPr>
          <w:jc w:val="center"/>
        </w:trPr>
        <w:tc>
          <w:tcPr>
            <w:tcW w:w="5693" w:type="dxa"/>
          </w:tcPr>
          <w:p w14:paraId="6006FBC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Adeudos de ejercicios fiscales anteriores (ADEFAS)</w:t>
            </w:r>
          </w:p>
        </w:tc>
        <w:tc>
          <w:tcPr>
            <w:tcW w:w="2077" w:type="dxa"/>
          </w:tcPr>
          <w:p w14:paraId="06F5D644" w14:textId="77777777" w:rsidR="00F308C6" w:rsidRPr="005D1E77" w:rsidRDefault="00F308C6" w:rsidP="007864AE">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0.00</w:t>
            </w:r>
          </w:p>
        </w:tc>
        <w:tc>
          <w:tcPr>
            <w:tcW w:w="2268" w:type="dxa"/>
            <w:vMerge/>
          </w:tcPr>
          <w:p w14:paraId="2029A16F" w14:textId="77777777" w:rsidR="00F308C6" w:rsidRPr="005D1E77" w:rsidRDefault="00F308C6" w:rsidP="007864AE">
            <w:pPr>
              <w:pStyle w:val="Default"/>
              <w:jc w:val="right"/>
              <w:rPr>
                <w:rFonts w:ascii="Arial Narrow" w:hAnsi="Arial Narrow"/>
                <w:sz w:val="18"/>
                <w:szCs w:val="18"/>
              </w:rPr>
            </w:pPr>
          </w:p>
        </w:tc>
      </w:tr>
      <w:tr w:rsidR="00F308C6" w:rsidRPr="005D1E77" w14:paraId="3A8F8E4A" w14:textId="77777777" w:rsidTr="007864AE">
        <w:trPr>
          <w:jc w:val="center"/>
        </w:trPr>
        <w:tc>
          <w:tcPr>
            <w:tcW w:w="5693" w:type="dxa"/>
          </w:tcPr>
          <w:p w14:paraId="6AD2B615" w14:textId="77777777" w:rsidR="00F308C6" w:rsidRPr="005D1E77" w:rsidRDefault="00F308C6" w:rsidP="007864AE">
            <w:pPr>
              <w:pStyle w:val="Default"/>
              <w:tabs>
                <w:tab w:val="right" w:pos="5000"/>
              </w:tabs>
              <w:rPr>
                <w:rFonts w:ascii="Arial Narrow" w:hAnsi="Arial Narrow"/>
                <w:sz w:val="18"/>
                <w:szCs w:val="18"/>
              </w:rPr>
            </w:pPr>
            <w:r w:rsidRPr="005D1E77">
              <w:rPr>
                <w:rFonts w:ascii="Arial Narrow" w:hAnsi="Arial Narrow"/>
                <w:sz w:val="18"/>
                <w:szCs w:val="18"/>
              </w:rPr>
              <w:t xml:space="preserve">Otros egresos presupuestales no contables </w:t>
            </w:r>
            <w:r>
              <w:rPr>
                <w:rFonts w:ascii="Arial Narrow" w:hAnsi="Arial Narrow"/>
                <w:sz w:val="18"/>
                <w:szCs w:val="18"/>
              </w:rPr>
              <w:tab/>
            </w:r>
          </w:p>
        </w:tc>
        <w:tc>
          <w:tcPr>
            <w:tcW w:w="2077" w:type="dxa"/>
          </w:tcPr>
          <w:p w14:paraId="30A0348C"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xml:space="preserve"> $                  0.00     </w:t>
            </w:r>
          </w:p>
        </w:tc>
        <w:tc>
          <w:tcPr>
            <w:tcW w:w="2268" w:type="dxa"/>
            <w:vMerge/>
          </w:tcPr>
          <w:p w14:paraId="0D0CAE83" w14:textId="77777777" w:rsidR="00F308C6" w:rsidRPr="005D1E77" w:rsidRDefault="00F308C6" w:rsidP="007864AE">
            <w:pPr>
              <w:pStyle w:val="Default"/>
              <w:jc w:val="right"/>
              <w:rPr>
                <w:rFonts w:ascii="Arial Narrow" w:hAnsi="Arial Narrow"/>
                <w:sz w:val="18"/>
                <w:szCs w:val="18"/>
              </w:rPr>
            </w:pPr>
          </w:p>
        </w:tc>
      </w:tr>
    </w:tbl>
    <w:p w14:paraId="3052774A" w14:textId="77777777" w:rsidR="00F308C6" w:rsidRPr="005D1E77" w:rsidRDefault="00F308C6" w:rsidP="00F308C6">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56"/>
        <w:gridCol w:w="2188"/>
        <w:gridCol w:w="2155"/>
      </w:tblGrid>
      <w:tr w:rsidR="00F308C6" w:rsidRPr="005D1E77" w14:paraId="7E1B6CB7" w14:textId="77777777" w:rsidTr="007864AE">
        <w:trPr>
          <w:trHeight w:val="139"/>
          <w:jc w:val="center"/>
        </w:trPr>
        <w:tc>
          <w:tcPr>
            <w:tcW w:w="5656" w:type="dxa"/>
          </w:tcPr>
          <w:p w14:paraId="66B7138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3.- Más egresos contables no presupuestales:</w:t>
            </w:r>
          </w:p>
        </w:tc>
        <w:tc>
          <w:tcPr>
            <w:tcW w:w="2188" w:type="dxa"/>
          </w:tcPr>
          <w:p w14:paraId="1874B3A7" w14:textId="77777777" w:rsidR="00F308C6" w:rsidRPr="005D1E77" w:rsidRDefault="00F308C6" w:rsidP="007864AE">
            <w:pPr>
              <w:pStyle w:val="Default"/>
              <w:rPr>
                <w:rFonts w:ascii="Arial Narrow" w:hAnsi="Arial Narrow"/>
                <w:sz w:val="22"/>
                <w:szCs w:val="22"/>
              </w:rPr>
            </w:pPr>
          </w:p>
        </w:tc>
        <w:tc>
          <w:tcPr>
            <w:tcW w:w="2155" w:type="dxa"/>
          </w:tcPr>
          <w:p w14:paraId="501CDB71" w14:textId="77777777"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w:t>
            </w:r>
            <w:r>
              <w:rPr>
                <w:rFonts w:ascii="Arial Narrow" w:hAnsi="Arial Narrow"/>
                <w:sz w:val="22"/>
                <w:szCs w:val="22"/>
              </w:rPr>
              <w:t xml:space="preserve">                         </w:t>
            </w:r>
            <w:r w:rsidRPr="005D1E77">
              <w:rPr>
                <w:rFonts w:ascii="Arial Narrow" w:hAnsi="Arial Narrow"/>
                <w:sz w:val="22"/>
                <w:szCs w:val="22"/>
              </w:rPr>
              <w:t xml:space="preserve">$                 0.00               </w:t>
            </w:r>
          </w:p>
        </w:tc>
      </w:tr>
      <w:tr w:rsidR="00F308C6" w:rsidRPr="005D1E77" w14:paraId="16308C4B" w14:textId="77777777" w:rsidTr="007864AE">
        <w:trPr>
          <w:jc w:val="center"/>
        </w:trPr>
        <w:tc>
          <w:tcPr>
            <w:tcW w:w="5656" w:type="dxa"/>
          </w:tcPr>
          <w:p w14:paraId="7D26B38B"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Estimaciones, depreciaciones, deterioros, obsolescencia, y amortizaciones</w:t>
            </w:r>
          </w:p>
        </w:tc>
        <w:tc>
          <w:tcPr>
            <w:tcW w:w="2188" w:type="dxa"/>
          </w:tcPr>
          <w:p w14:paraId="50C2E07E"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val="restart"/>
          </w:tcPr>
          <w:p w14:paraId="5F2B2B7F" w14:textId="77777777" w:rsidR="00F308C6" w:rsidRPr="005D1E77" w:rsidRDefault="00F308C6" w:rsidP="007864AE">
            <w:pPr>
              <w:pStyle w:val="Default"/>
              <w:jc w:val="right"/>
              <w:rPr>
                <w:rFonts w:ascii="Arial Narrow" w:hAnsi="Arial Narrow"/>
                <w:sz w:val="18"/>
                <w:szCs w:val="18"/>
              </w:rPr>
            </w:pPr>
          </w:p>
        </w:tc>
      </w:tr>
      <w:tr w:rsidR="00F308C6" w:rsidRPr="005D1E77" w14:paraId="36F13985" w14:textId="77777777" w:rsidTr="007864AE">
        <w:trPr>
          <w:jc w:val="center"/>
        </w:trPr>
        <w:tc>
          <w:tcPr>
            <w:tcW w:w="5656" w:type="dxa"/>
          </w:tcPr>
          <w:p w14:paraId="5F82D4F6"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Provisiones</w:t>
            </w:r>
          </w:p>
        </w:tc>
        <w:tc>
          <w:tcPr>
            <w:tcW w:w="2188" w:type="dxa"/>
          </w:tcPr>
          <w:p w14:paraId="3930D8A7"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21F45F1A" w14:textId="77777777" w:rsidR="00F308C6" w:rsidRPr="005D1E77" w:rsidRDefault="00F308C6" w:rsidP="007864AE">
            <w:pPr>
              <w:pStyle w:val="Default"/>
              <w:jc w:val="right"/>
              <w:rPr>
                <w:rFonts w:ascii="Arial Narrow" w:hAnsi="Arial Narrow"/>
                <w:sz w:val="18"/>
                <w:szCs w:val="18"/>
              </w:rPr>
            </w:pPr>
          </w:p>
        </w:tc>
      </w:tr>
      <w:tr w:rsidR="00F308C6" w:rsidRPr="005D1E77" w14:paraId="4B145D1F" w14:textId="77777777" w:rsidTr="007864AE">
        <w:trPr>
          <w:jc w:val="center"/>
        </w:trPr>
        <w:tc>
          <w:tcPr>
            <w:tcW w:w="5656" w:type="dxa"/>
          </w:tcPr>
          <w:p w14:paraId="5F386B52"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Disminución de inventarios</w:t>
            </w:r>
          </w:p>
        </w:tc>
        <w:tc>
          <w:tcPr>
            <w:tcW w:w="2188" w:type="dxa"/>
          </w:tcPr>
          <w:p w14:paraId="127A17FC"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70F6E74D" w14:textId="77777777" w:rsidR="00F308C6" w:rsidRPr="005D1E77" w:rsidRDefault="00F308C6" w:rsidP="007864AE">
            <w:pPr>
              <w:pStyle w:val="Default"/>
              <w:jc w:val="right"/>
              <w:rPr>
                <w:rFonts w:ascii="Arial Narrow" w:hAnsi="Arial Narrow"/>
                <w:sz w:val="18"/>
                <w:szCs w:val="18"/>
              </w:rPr>
            </w:pPr>
          </w:p>
        </w:tc>
      </w:tr>
      <w:tr w:rsidR="00F308C6" w:rsidRPr="005D1E77" w14:paraId="5237A665" w14:textId="77777777" w:rsidTr="007864AE">
        <w:trPr>
          <w:jc w:val="center"/>
        </w:trPr>
        <w:tc>
          <w:tcPr>
            <w:tcW w:w="5656" w:type="dxa"/>
          </w:tcPr>
          <w:p w14:paraId="67455AAE"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Aumento por insuficiencia de estimaciones por pérdida o deterioro u obsolescencia</w:t>
            </w:r>
          </w:p>
        </w:tc>
        <w:tc>
          <w:tcPr>
            <w:tcW w:w="2188" w:type="dxa"/>
          </w:tcPr>
          <w:p w14:paraId="6AB4BF0B"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3311F02C" w14:textId="77777777" w:rsidR="00F308C6" w:rsidRPr="005D1E77" w:rsidRDefault="00F308C6" w:rsidP="007864AE">
            <w:pPr>
              <w:pStyle w:val="Default"/>
              <w:jc w:val="right"/>
              <w:rPr>
                <w:rFonts w:ascii="Arial Narrow" w:hAnsi="Arial Narrow"/>
                <w:sz w:val="18"/>
                <w:szCs w:val="18"/>
              </w:rPr>
            </w:pPr>
          </w:p>
        </w:tc>
      </w:tr>
      <w:tr w:rsidR="00F308C6" w:rsidRPr="005D1E77" w14:paraId="220EA278" w14:textId="77777777" w:rsidTr="007864AE">
        <w:trPr>
          <w:jc w:val="center"/>
        </w:trPr>
        <w:tc>
          <w:tcPr>
            <w:tcW w:w="5656" w:type="dxa"/>
          </w:tcPr>
          <w:p w14:paraId="3BF74570"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Aumento por insuficiencia de provisiones</w:t>
            </w:r>
          </w:p>
        </w:tc>
        <w:tc>
          <w:tcPr>
            <w:tcW w:w="2188" w:type="dxa"/>
          </w:tcPr>
          <w:p w14:paraId="182F9DE0"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75C85916" w14:textId="77777777" w:rsidR="00F308C6" w:rsidRPr="005D1E77" w:rsidRDefault="00F308C6" w:rsidP="007864AE">
            <w:pPr>
              <w:pStyle w:val="Default"/>
              <w:jc w:val="right"/>
              <w:rPr>
                <w:rFonts w:ascii="Arial Narrow" w:hAnsi="Arial Narrow"/>
                <w:sz w:val="18"/>
                <w:szCs w:val="18"/>
              </w:rPr>
            </w:pPr>
          </w:p>
        </w:tc>
      </w:tr>
      <w:tr w:rsidR="00F308C6" w:rsidRPr="005D1E77" w14:paraId="310F53DE" w14:textId="77777777" w:rsidTr="007864AE">
        <w:trPr>
          <w:jc w:val="center"/>
        </w:trPr>
        <w:tc>
          <w:tcPr>
            <w:tcW w:w="5656" w:type="dxa"/>
          </w:tcPr>
          <w:p w14:paraId="267BAAA4"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Otros gastos</w:t>
            </w:r>
          </w:p>
        </w:tc>
        <w:tc>
          <w:tcPr>
            <w:tcW w:w="2188" w:type="dxa"/>
          </w:tcPr>
          <w:p w14:paraId="714E0F45"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5AACC506" w14:textId="77777777" w:rsidR="00F308C6" w:rsidRPr="005D1E77" w:rsidRDefault="00F308C6" w:rsidP="007864AE">
            <w:pPr>
              <w:pStyle w:val="Default"/>
              <w:jc w:val="right"/>
              <w:rPr>
                <w:rFonts w:ascii="Arial Narrow" w:hAnsi="Arial Narrow"/>
                <w:sz w:val="18"/>
                <w:szCs w:val="18"/>
              </w:rPr>
            </w:pPr>
          </w:p>
        </w:tc>
      </w:tr>
      <w:tr w:rsidR="00F308C6" w:rsidRPr="005D1E77" w14:paraId="6E6E6ECD" w14:textId="77777777" w:rsidTr="007864AE">
        <w:trPr>
          <w:jc w:val="center"/>
        </w:trPr>
        <w:tc>
          <w:tcPr>
            <w:tcW w:w="5656" w:type="dxa"/>
          </w:tcPr>
          <w:p w14:paraId="34113993" w14:textId="77777777" w:rsidR="00F308C6" w:rsidRPr="005D1E77" w:rsidRDefault="00F308C6" w:rsidP="007864AE">
            <w:pPr>
              <w:pStyle w:val="Default"/>
              <w:rPr>
                <w:rFonts w:ascii="Arial Narrow" w:hAnsi="Arial Narrow"/>
                <w:sz w:val="18"/>
                <w:szCs w:val="18"/>
              </w:rPr>
            </w:pPr>
            <w:r w:rsidRPr="005D1E77">
              <w:rPr>
                <w:rFonts w:ascii="Arial Narrow" w:hAnsi="Arial Narrow"/>
                <w:sz w:val="18"/>
                <w:szCs w:val="18"/>
              </w:rPr>
              <w:t>Otros gastos contables no presupuestales</w:t>
            </w:r>
          </w:p>
        </w:tc>
        <w:tc>
          <w:tcPr>
            <w:tcW w:w="2188" w:type="dxa"/>
          </w:tcPr>
          <w:p w14:paraId="13DA92A6" w14:textId="77777777" w:rsidR="00F308C6" w:rsidRPr="005D1E77" w:rsidRDefault="00F308C6" w:rsidP="007864AE">
            <w:pPr>
              <w:pStyle w:val="Default"/>
              <w:jc w:val="right"/>
              <w:rPr>
                <w:rFonts w:ascii="Arial Narrow" w:hAnsi="Arial Narrow"/>
                <w:sz w:val="18"/>
                <w:szCs w:val="18"/>
              </w:rPr>
            </w:pPr>
            <w:r w:rsidRPr="005D1E77">
              <w:rPr>
                <w:rFonts w:ascii="Arial Narrow" w:hAnsi="Arial Narrow"/>
                <w:sz w:val="18"/>
                <w:szCs w:val="18"/>
              </w:rPr>
              <w:t>$                    0.00</w:t>
            </w:r>
          </w:p>
        </w:tc>
        <w:tc>
          <w:tcPr>
            <w:tcW w:w="2155" w:type="dxa"/>
            <w:vMerge/>
          </w:tcPr>
          <w:p w14:paraId="4338A067" w14:textId="77777777" w:rsidR="00F308C6" w:rsidRPr="005D1E77" w:rsidRDefault="00F308C6" w:rsidP="007864AE">
            <w:pPr>
              <w:pStyle w:val="Default"/>
              <w:jc w:val="right"/>
              <w:rPr>
                <w:rFonts w:ascii="Arial Narrow" w:hAnsi="Arial Narrow"/>
                <w:sz w:val="18"/>
                <w:szCs w:val="18"/>
              </w:rPr>
            </w:pPr>
          </w:p>
        </w:tc>
      </w:tr>
      <w:tr w:rsidR="00F308C6" w:rsidRPr="005D1E77" w14:paraId="0E0608E6" w14:textId="77777777" w:rsidTr="007864AE">
        <w:trPr>
          <w:jc w:val="center"/>
        </w:trPr>
        <w:tc>
          <w:tcPr>
            <w:tcW w:w="7844" w:type="dxa"/>
            <w:gridSpan w:val="2"/>
          </w:tcPr>
          <w:p w14:paraId="1D9D9115" w14:textId="77777777" w:rsidR="00F308C6" w:rsidRPr="005D1E77" w:rsidRDefault="00F308C6" w:rsidP="007864AE">
            <w:pPr>
              <w:pStyle w:val="Default"/>
              <w:rPr>
                <w:rFonts w:ascii="Arial Narrow" w:hAnsi="Arial Narrow"/>
                <w:sz w:val="22"/>
                <w:szCs w:val="22"/>
              </w:rPr>
            </w:pPr>
            <w:r w:rsidRPr="005D1E77">
              <w:rPr>
                <w:rFonts w:ascii="Arial Narrow" w:hAnsi="Arial Narrow"/>
                <w:sz w:val="22"/>
                <w:szCs w:val="22"/>
              </w:rPr>
              <w:t>4.- Total de gasto contable (4=1+2-3)</w:t>
            </w:r>
          </w:p>
        </w:tc>
        <w:tc>
          <w:tcPr>
            <w:tcW w:w="2155" w:type="dxa"/>
          </w:tcPr>
          <w:p w14:paraId="40D3879A" w14:textId="18DE4392" w:rsidR="00F308C6" w:rsidRPr="005D1E77" w:rsidRDefault="00F308C6" w:rsidP="007864AE">
            <w:pPr>
              <w:pStyle w:val="Default"/>
              <w:jc w:val="right"/>
              <w:rPr>
                <w:rFonts w:ascii="Arial Narrow" w:hAnsi="Arial Narrow"/>
                <w:sz w:val="22"/>
                <w:szCs w:val="22"/>
              </w:rPr>
            </w:pPr>
            <w:r w:rsidRPr="005D1E77">
              <w:rPr>
                <w:rFonts w:ascii="Arial Narrow" w:hAnsi="Arial Narrow"/>
                <w:sz w:val="22"/>
                <w:szCs w:val="22"/>
              </w:rPr>
              <w:t xml:space="preserve">$ </w:t>
            </w:r>
            <w:r w:rsidR="00C9559E">
              <w:rPr>
                <w:rFonts w:ascii="Arial Narrow" w:hAnsi="Arial Narrow"/>
                <w:sz w:val="22"/>
                <w:szCs w:val="22"/>
              </w:rPr>
              <w:t>341,364,852.62</w:t>
            </w:r>
          </w:p>
        </w:tc>
      </w:tr>
      <w:tr w:rsidR="00F308C6" w:rsidRPr="005D1E77" w14:paraId="056A7B20" w14:textId="77777777" w:rsidTr="007864AE">
        <w:trPr>
          <w:trHeight w:val="91"/>
          <w:jc w:val="center"/>
        </w:trPr>
        <w:tc>
          <w:tcPr>
            <w:tcW w:w="7844" w:type="dxa"/>
            <w:gridSpan w:val="2"/>
          </w:tcPr>
          <w:p w14:paraId="18900CE4" w14:textId="77777777" w:rsidR="00F308C6" w:rsidRPr="005D1E77" w:rsidRDefault="00F308C6" w:rsidP="007864AE">
            <w:pPr>
              <w:pStyle w:val="Default"/>
              <w:rPr>
                <w:rFonts w:ascii="Arial Narrow" w:hAnsi="Arial Narrow"/>
                <w:sz w:val="22"/>
                <w:szCs w:val="22"/>
              </w:rPr>
            </w:pPr>
          </w:p>
        </w:tc>
        <w:tc>
          <w:tcPr>
            <w:tcW w:w="2155" w:type="dxa"/>
          </w:tcPr>
          <w:p w14:paraId="694B362E" w14:textId="77777777" w:rsidR="00F308C6" w:rsidRPr="005D1E77" w:rsidRDefault="00F308C6" w:rsidP="007864AE">
            <w:pPr>
              <w:pStyle w:val="Default"/>
              <w:jc w:val="right"/>
              <w:rPr>
                <w:rFonts w:ascii="Arial Narrow" w:hAnsi="Arial Narrow"/>
                <w:sz w:val="22"/>
                <w:szCs w:val="22"/>
              </w:rPr>
            </w:pPr>
          </w:p>
        </w:tc>
      </w:tr>
    </w:tbl>
    <w:p w14:paraId="61022A21" w14:textId="77777777" w:rsidR="00F308C6" w:rsidRDefault="00F308C6" w:rsidP="00F308C6">
      <w:pPr>
        <w:pStyle w:val="Default"/>
        <w:rPr>
          <w:rFonts w:ascii="Arial Narrow" w:hAnsi="Arial Narrow"/>
          <w:sz w:val="22"/>
          <w:szCs w:val="22"/>
        </w:rPr>
      </w:pPr>
    </w:p>
    <w:p w14:paraId="2B1713F9" w14:textId="77777777" w:rsidR="00F308C6" w:rsidRPr="005D1E77" w:rsidRDefault="00F308C6" w:rsidP="00F308C6">
      <w:pPr>
        <w:pStyle w:val="Default"/>
        <w:rPr>
          <w:rFonts w:ascii="Arial Narrow" w:hAnsi="Arial Narrow"/>
          <w:sz w:val="22"/>
          <w:szCs w:val="22"/>
        </w:rPr>
      </w:pPr>
    </w:p>
    <w:p w14:paraId="2F660516" w14:textId="77777777" w:rsidR="00F308C6" w:rsidRPr="005D1E77" w:rsidRDefault="00F308C6" w:rsidP="00F308C6">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MEMORIA (CUENTAS DE ORDEN)</w:t>
      </w:r>
    </w:p>
    <w:p w14:paraId="77DDD75C" w14:textId="77777777" w:rsidR="00F308C6" w:rsidRPr="005D1E77" w:rsidRDefault="00F308C6" w:rsidP="00F308C6">
      <w:pPr>
        <w:pStyle w:val="Default"/>
        <w:rPr>
          <w:rFonts w:ascii="Arial Narrow" w:hAnsi="Arial Narrow"/>
          <w:sz w:val="22"/>
          <w:szCs w:val="22"/>
        </w:rPr>
      </w:pPr>
    </w:p>
    <w:p w14:paraId="149BD15F" w14:textId="77777777" w:rsidR="00F308C6" w:rsidRPr="005D1E77" w:rsidRDefault="00F308C6" w:rsidP="00F308C6">
      <w:pPr>
        <w:pStyle w:val="Default"/>
        <w:rPr>
          <w:rFonts w:ascii="Arial Narrow" w:hAnsi="Arial Narrow"/>
          <w:b/>
          <w:sz w:val="22"/>
          <w:szCs w:val="22"/>
        </w:rPr>
      </w:pPr>
      <w:r w:rsidRPr="005D1E77">
        <w:rPr>
          <w:rFonts w:ascii="Arial Narrow" w:hAnsi="Arial Narrow"/>
          <w:b/>
          <w:sz w:val="22"/>
          <w:szCs w:val="22"/>
        </w:rPr>
        <w:t>JUICIOS.</w:t>
      </w:r>
    </w:p>
    <w:p w14:paraId="38BBE12F" w14:textId="77777777" w:rsidR="00F308C6" w:rsidRPr="005D1E77" w:rsidRDefault="00F308C6" w:rsidP="00F308C6">
      <w:pPr>
        <w:pStyle w:val="Default"/>
        <w:rPr>
          <w:rFonts w:ascii="Arial Narrow" w:hAnsi="Arial Narrow"/>
          <w:sz w:val="22"/>
          <w:szCs w:val="22"/>
        </w:rPr>
      </w:pPr>
    </w:p>
    <w:p w14:paraId="1ABAA058" w14:textId="77777777" w:rsidR="00F308C6" w:rsidRPr="005D1E77" w:rsidRDefault="00F308C6" w:rsidP="00F308C6">
      <w:pPr>
        <w:pStyle w:val="Default"/>
        <w:jc w:val="both"/>
        <w:rPr>
          <w:rFonts w:ascii="Arial Narrow" w:hAnsi="Arial Narrow"/>
          <w:sz w:val="22"/>
          <w:szCs w:val="22"/>
        </w:rPr>
      </w:pPr>
      <w:r w:rsidRPr="005D1E77">
        <w:rPr>
          <w:rFonts w:ascii="Arial Narrow" w:hAnsi="Arial Narrow"/>
          <w:sz w:val="22"/>
          <w:szCs w:val="22"/>
        </w:rPr>
        <w:t>En el rubro de contingencias, existen juicios laborales pendientes por resolver.</w:t>
      </w:r>
    </w:p>
    <w:p w14:paraId="04A60266" w14:textId="77777777" w:rsidR="00F308C6" w:rsidRPr="005D1E77" w:rsidRDefault="00F308C6" w:rsidP="00F308C6">
      <w:pPr>
        <w:pStyle w:val="Default"/>
        <w:rPr>
          <w:rFonts w:ascii="Arial Narrow" w:hAnsi="Arial Narrow"/>
          <w:sz w:val="22"/>
          <w:szCs w:val="22"/>
        </w:rPr>
      </w:pPr>
    </w:p>
    <w:p w14:paraId="6FB6BFE5" w14:textId="77777777" w:rsidR="00F308C6" w:rsidRPr="005D1E77" w:rsidRDefault="00F308C6" w:rsidP="00F308C6">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GESTIÓN ADMINISTRATIVA</w:t>
      </w:r>
    </w:p>
    <w:p w14:paraId="20E5FA11" w14:textId="77777777" w:rsidR="00F308C6" w:rsidRDefault="00F308C6" w:rsidP="00F308C6">
      <w:pPr>
        <w:pStyle w:val="Default"/>
        <w:rPr>
          <w:rFonts w:ascii="Arial Narrow" w:hAnsi="Arial Narrow"/>
          <w:b/>
          <w:bCs/>
          <w:sz w:val="22"/>
          <w:szCs w:val="22"/>
        </w:rPr>
      </w:pPr>
    </w:p>
    <w:p w14:paraId="31B71579" w14:textId="77777777" w:rsidR="00F308C6" w:rsidRPr="005D1E77" w:rsidRDefault="00F308C6" w:rsidP="00F308C6">
      <w:pPr>
        <w:pStyle w:val="Default"/>
        <w:rPr>
          <w:rFonts w:ascii="Arial Narrow" w:hAnsi="Arial Narrow"/>
          <w:b/>
          <w:bCs/>
          <w:sz w:val="22"/>
          <w:szCs w:val="22"/>
          <w:u w:val="single"/>
        </w:rPr>
      </w:pPr>
      <w:r w:rsidRPr="005D1E77">
        <w:rPr>
          <w:rFonts w:ascii="Arial Narrow" w:hAnsi="Arial Narrow"/>
          <w:b/>
          <w:bCs/>
          <w:sz w:val="22"/>
          <w:szCs w:val="22"/>
        </w:rPr>
        <w:t>1.- Introducción</w:t>
      </w:r>
      <w:r w:rsidRPr="005D1E77">
        <w:rPr>
          <w:rFonts w:ascii="Arial Narrow" w:hAnsi="Arial Narrow"/>
          <w:b/>
          <w:bCs/>
          <w:sz w:val="22"/>
          <w:szCs w:val="22"/>
          <w:u w:val="single"/>
        </w:rPr>
        <w:t>.</w:t>
      </w:r>
    </w:p>
    <w:p w14:paraId="57BF9EBE" w14:textId="77777777" w:rsidR="00F308C6" w:rsidRPr="005D1E77" w:rsidRDefault="00F308C6" w:rsidP="00F308C6">
      <w:pPr>
        <w:pStyle w:val="Default"/>
        <w:rPr>
          <w:rFonts w:ascii="Arial Narrow" w:hAnsi="Arial Narrow"/>
          <w:sz w:val="22"/>
          <w:szCs w:val="22"/>
        </w:rPr>
      </w:pPr>
    </w:p>
    <w:p w14:paraId="6D39CC6B" w14:textId="31EE4D0A" w:rsidR="00F308C6" w:rsidRPr="005D1E77" w:rsidRDefault="00F308C6" w:rsidP="00F308C6">
      <w:pPr>
        <w:spacing w:after="0"/>
        <w:jc w:val="both"/>
        <w:rPr>
          <w:rFonts w:ascii="Arial Narrow" w:hAnsi="Arial Narrow"/>
          <w:lang w:val="es-ES"/>
        </w:rPr>
      </w:pPr>
      <w:r w:rsidRPr="005D1E77">
        <w:rPr>
          <w:rFonts w:ascii="Arial Narrow" w:hAnsi="Arial Narrow"/>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5D1E77">
        <w:rPr>
          <w:rFonts w:ascii="Arial Narrow" w:hAnsi="Arial Narrow"/>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w:t>
      </w:r>
      <w:r>
        <w:rPr>
          <w:rFonts w:ascii="Arial Narrow" w:hAnsi="Arial Narrow"/>
          <w:lang w:val="es-ES"/>
        </w:rPr>
        <w:t>3</w:t>
      </w:r>
      <w:r w:rsidR="007777A7">
        <w:rPr>
          <w:rFonts w:ascii="Arial Narrow" w:hAnsi="Arial Narrow"/>
          <w:lang w:val="es-ES"/>
        </w:rPr>
        <w:t>1 de diciembre</w:t>
      </w:r>
      <w:r>
        <w:rPr>
          <w:rFonts w:ascii="Arial Narrow" w:hAnsi="Arial Narrow"/>
          <w:lang w:val="es-ES"/>
        </w:rPr>
        <w:t xml:space="preserve"> de 2020.</w:t>
      </w:r>
      <w:r w:rsidRPr="005D1E77">
        <w:rPr>
          <w:rFonts w:ascii="Arial Narrow" w:hAnsi="Arial Narrow"/>
          <w:lang w:val="es-ES"/>
        </w:rPr>
        <w:t xml:space="preserve"> </w:t>
      </w:r>
    </w:p>
    <w:p w14:paraId="5D640634" w14:textId="77777777" w:rsidR="00F308C6" w:rsidRPr="005D1E77" w:rsidRDefault="00F308C6" w:rsidP="00F308C6">
      <w:pPr>
        <w:spacing w:after="0"/>
        <w:jc w:val="both"/>
        <w:rPr>
          <w:rFonts w:ascii="Arial Narrow" w:hAnsi="Arial Narrow"/>
          <w:lang w:val="es-ES"/>
        </w:rPr>
      </w:pPr>
    </w:p>
    <w:p w14:paraId="27B224B6"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2.- Panorama económico y financiero.</w:t>
      </w:r>
    </w:p>
    <w:p w14:paraId="78372352" w14:textId="77777777" w:rsidR="00F308C6" w:rsidRPr="005D1E77" w:rsidRDefault="00F308C6" w:rsidP="00F308C6">
      <w:pPr>
        <w:pStyle w:val="Prrafodelista"/>
        <w:ind w:left="0"/>
        <w:jc w:val="both"/>
        <w:rPr>
          <w:rFonts w:ascii="Arial Narrow" w:hAnsi="Arial Narrow"/>
        </w:rPr>
      </w:pPr>
    </w:p>
    <w:p w14:paraId="7652EC62" w14:textId="77777777" w:rsidR="00F308C6" w:rsidRPr="007D4412" w:rsidRDefault="00F308C6" w:rsidP="00F308C6">
      <w:pPr>
        <w:pStyle w:val="Prrafodelista"/>
        <w:ind w:left="0"/>
        <w:jc w:val="both"/>
        <w:rPr>
          <w:rFonts w:ascii="Arial Narrow" w:hAnsi="Arial Narrow"/>
        </w:rPr>
      </w:pPr>
      <w:r>
        <w:rPr>
          <w:rFonts w:ascii="Arial Narrow" w:hAnsi="Arial Narrow"/>
        </w:rPr>
        <w:t xml:space="preserve">La crisis económica y financiera que enfrenta el mundo a causa </w:t>
      </w:r>
      <w:proofErr w:type="gramStart"/>
      <w:r>
        <w:rPr>
          <w:rFonts w:ascii="Arial Narrow" w:hAnsi="Arial Narrow"/>
        </w:rPr>
        <w:t xml:space="preserve">del </w:t>
      </w:r>
      <w:r w:rsidRPr="007D4412">
        <w:rPr>
          <w:rFonts w:ascii="Arial Narrow" w:hAnsi="Arial Narrow"/>
        </w:rPr>
        <w:t xml:space="preserve"> </w:t>
      </w:r>
      <w:r>
        <w:rPr>
          <w:rFonts w:ascii="Arial Narrow" w:hAnsi="Arial Narrow"/>
        </w:rPr>
        <w:t>nuevo</w:t>
      </w:r>
      <w:proofErr w:type="gramEnd"/>
      <w:r>
        <w:rPr>
          <w:rFonts w:ascii="Arial Narrow" w:hAnsi="Arial Narrow"/>
        </w:rPr>
        <w:t xml:space="preserve"> virus COVID-19, así como las implicaciones que ha representado dentro del gasto de este Poder Judicial, aunado al</w:t>
      </w:r>
      <w:r w:rsidRPr="007D4412">
        <w:rPr>
          <w:rFonts w:ascii="Arial Narrow" w:hAnsi="Arial Narrow"/>
        </w:rPr>
        <w:t xml:space="preserve"> incremento </w:t>
      </w:r>
      <w:r>
        <w:rPr>
          <w:rFonts w:ascii="Arial Narrow" w:hAnsi="Arial Narrow"/>
        </w:rPr>
        <w:t>del</w:t>
      </w:r>
      <w:r w:rsidRPr="007D4412">
        <w:rPr>
          <w:rFonts w:ascii="Arial Narrow" w:hAnsi="Arial Narrow"/>
        </w:rPr>
        <w:t xml:space="preserve"> presupuesto de egresos para este ejercicio fiscal 2020 autorizado </w:t>
      </w:r>
      <w:r>
        <w:rPr>
          <w:rFonts w:ascii="Arial Narrow" w:hAnsi="Arial Narrow"/>
        </w:rPr>
        <w:t xml:space="preserve"> que </w:t>
      </w:r>
      <w:r w:rsidRPr="007D4412">
        <w:rPr>
          <w:rFonts w:ascii="Arial Narrow" w:hAnsi="Arial Narrow"/>
        </w:rPr>
        <w:t>fue de sólo el 18% con respecto al ejercicio fiscal 2019</w:t>
      </w:r>
      <w:r>
        <w:rPr>
          <w:rFonts w:ascii="Arial Narrow" w:hAnsi="Arial Narrow"/>
        </w:rPr>
        <w:t xml:space="preserve">,  son factores que  indudablemente  adquieren notoriedad en el presupuesto del </w:t>
      </w:r>
      <w:r w:rsidRPr="007D4412">
        <w:rPr>
          <w:rFonts w:ascii="Arial Narrow" w:hAnsi="Arial Narrow"/>
        </w:rPr>
        <w:t>Honorable Tribunal Superior de Justicia.</w:t>
      </w:r>
    </w:p>
    <w:p w14:paraId="66436582" w14:textId="77777777" w:rsidR="00F308C6" w:rsidRPr="005D1E77" w:rsidRDefault="00F308C6" w:rsidP="00F308C6">
      <w:pPr>
        <w:autoSpaceDE w:val="0"/>
        <w:autoSpaceDN w:val="0"/>
        <w:adjustRightInd w:val="0"/>
        <w:spacing w:after="0" w:line="240" w:lineRule="auto"/>
        <w:jc w:val="both"/>
        <w:rPr>
          <w:rFonts w:ascii="Arial Narrow" w:hAnsi="Arial Narrow" w:cs="AGaramondPro-Regular"/>
        </w:rPr>
      </w:pPr>
      <w:r w:rsidRPr="005D1E77">
        <w:rPr>
          <w:rFonts w:ascii="Arial Narrow" w:hAnsi="Arial Narrow" w:cs="AGaramondPro-Bold"/>
          <w:bCs/>
        </w:rPr>
        <w:t>Con las reformas constitucionales que fueron publicadas e</w:t>
      </w:r>
      <w:r w:rsidRPr="005D1E77">
        <w:rPr>
          <w:rFonts w:ascii="Arial Narrow" w:hAnsi="Arial Narrow" w:cs="AGaramondPro-Regular"/>
        </w:rPr>
        <w:t xml:space="preserve">l 18 de </w:t>
      </w:r>
      <w:r>
        <w:rPr>
          <w:rFonts w:ascii="Arial Narrow" w:hAnsi="Arial Narrow" w:cs="AGaramondPro-Regular"/>
        </w:rPr>
        <w:t>diciembre</w:t>
      </w:r>
      <w:r w:rsidRPr="005D1E77">
        <w:rPr>
          <w:rFonts w:ascii="Arial Narrow" w:hAnsi="Arial Narrow" w:cs="AGaramondPro-Regular"/>
        </w:rPr>
        <w:t xml:space="preserv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5D1E77">
        <w:rPr>
          <w:rFonts w:ascii="Arial Narrow" w:hAnsi="Arial Narrow" w:cs="AGaramondPro-Regular"/>
          <w:b/>
        </w:rPr>
        <w:t xml:space="preserve"> </w:t>
      </w:r>
      <w:r w:rsidRPr="005D1E77">
        <w:rPr>
          <w:rFonts w:ascii="Arial Narrow" w:hAnsi="Arial Narrow" w:cs="AGaramondPro-Regular"/>
        </w:rPr>
        <w:t>en nuestro país del sistema procesal penal acusatorio y oral mercantil, ha</w:t>
      </w:r>
      <w:r w:rsidRPr="005D1E77">
        <w:rPr>
          <w:rFonts w:ascii="Arial Narrow" w:hAnsi="Arial Narrow"/>
        </w:rPr>
        <w:t xml:space="preserve"> originado un incremento en el gasto corriente para la implementación de estas reformas impactando considerablemente en el presupuesto del ejercicio. </w:t>
      </w:r>
    </w:p>
    <w:p w14:paraId="7F9D254B" w14:textId="77777777" w:rsidR="00F308C6" w:rsidRPr="005D1E77" w:rsidRDefault="00F308C6" w:rsidP="00F308C6">
      <w:pPr>
        <w:pStyle w:val="Default"/>
        <w:rPr>
          <w:rFonts w:ascii="Arial Narrow" w:hAnsi="Arial Narrow"/>
          <w:sz w:val="22"/>
          <w:szCs w:val="22"/>
        </w:rPr>
      </w:pPr>
    </w:p>
    <w:p w14:paraId="4AAC99E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3.- Autorización e historia.</w:t>
      </w:r>
    </w:p>
    <w:p w14:paraId="5A99A6F5" w14:textId="77777777" w:rsidR="00F308C6" w:rsidRPr="005D1E77" w:rsidRDefault="00F308C6" w:rsidP="00F308C6">
      <w:pPr>
        <w:pStyle w:val="Default"/>
        <w:rPr>
          <w:rFonts w:ascii="Arial Narrow" w:hAnsi="Arial Narrow"/>
          <w:sz w:val="22"/>
          <w:szCs w:val="22"/>
        </w:rPr>
      </w:pPr>
    </w:p>
    <w:p w14:paraId="53A6F5FF" w14:textId="77777777" w:rsidR="00F308C6" w:rsidRPr="005D1E77" w:rsidRDefault="00F308C6" w:rsidP="00F308C6">
      <w:pPr>
        <w:pStyle w:val="Default"/>
        <w:rPr>
          <w:rFonts w:ascii="Arial Narrow" w:hAnsi="Arial Narrow"/>
          <w:b/>
          <w:bCs/>
          <w:sz w:val="22"/>
          <w:szCs w:val="22"/>
        </w:rPr>
      </w:pPr>
      <w:r w:rsidRPr="005D1E77">
        <w:rPr>
          <w:rFonts w:ascii="Arial Narrow" w:hAnsi="Arial Narrow"/>
          <w:b/>
          <w:bCs/>
          <w:sz w:val="22"/>
          <w:szCs w:val="22"/>
        </w:rPr>
        <w:t xml:space="preserve">Fecha de creación e historia. </w:t>
      </w:r>
    </w:p>
    <w:p w14:paraId="47380E2E" w14:textId="77777777" w:rsidR="00F308C6" w:rsidRPr="005D1E77" w:rsidRDefault="00F308C6" w:rsidP="00F308C6">
      <w:pPr>
        <w:pStyle w:val="Default"/>
        <w:ind w:left="708"/>
        <w:rPr>
          <w:rFonts w:ascii="Arial Narrow" w:hAnsi="Arial Narrow"/>
          <w:b/>
          <w:bCs/>
          <w:sz w:val="22"/>
          <w:szCs w:val="22"/>
        </w:rPr>
      </w:pPr>
    </w:p>
    <w:p w14:paraId="4C84CCAF" w14:textId="77777777" w:rsidR="00F308C6" w:rsidRPr="005D1E77" w:rsidRDefault="00F308C6" w:rsidP="00F308C6">
      <w:pPr>
        <w:pStyle w:val="Default"/>
        <w:rPr>
          <w:rFonts w:ascii="Arial Narrow" w:hAnsi="Arial Narrow"/>
          <w:b/>
          <w:bCs/>
          <w:sz w:val="22"/>
          <w:szCs w:val="22"/>
        </w:rPr>
      </w:pPr>
      <w:r w:rsidRPr="005D1E77">
        <w:rPr>
          <w:rFonts w:ascii="Arial Narrow" w:hAnsi="Arial Narrow"/>
          <w:b/>
          <w:bCs/>
          <w:sz w:val="22"/>
          <w:szCs w:val="22"/>
        </w:rPr>
        <w:t>Entidad: Honorable Tribunal Superior de Justicia.</w:t>
      </w:r>
    </w:p>
    <w:p w14:paraId="1DAD247A" w14:textId="77777777" w:rsidR="00F308C6" w:rsidRPr="005D1E77" w:rsidRDefault="00F308C6" w:rsidP="00F308C6">
      <w:pPr>
        <w:pStyle w:val="Default"/>
        <w:ind w:left="708"/>
        <w:rPr>
          <w:rFonts w:ascii="Arial Narrow" w:hAnsi="Arial Narrow"/>
          <w:b/>
          <w:bCs/>
          <w:sz w:val="22"/>
          <w:szCs w:val="22"/>
        </w:rPr>
      </w:pPr>
    </w:p>
    <w:p w14:paraId="165D1A10"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lastRenderedPageBreak/>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14:paraId="0CBDA511"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5350D65D" w14:textId="77777777" w:rsidR="00F308C6" w:rsidRPr="005D1E77" w:rsidRDefault="00F308C6" w:rsidP="00F308C6">
      <w:pPr>
        <w:pStyle w:val="Default"/>
        <w:jc w:val="both"/>
        <w:rPr>
          <w:rFonts w:ascii="Arial Narrow" w:hAnsi="Arial Narrow"/>
          <w:b/>
          <w:bCs/>
          <w:sz w:val="22"/>
          <w:szCs w:val="22"/>
        </w:rPr>
      </w:pPr>
    </w:p>
    <w:p w14:paraId="5F3C89CC"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4.- Organización y Objeto social.</w:t>
      </w:r>
    </w:p>
    <w:p w14:paraId="307F330C" w14:textId="77777777" w:rsidR="00F308C6" w:rsidRPr="005D1E77" w:rsidRDefault="00F308C6" w:rsidP="00F308C6">
      <w:pPr>
        <w:pStyle w:val="Default"/>
        <w:jc w:val="both"/>
        <w:rPr>
          <w:rFonts w:ascii="Arial Narrow" w:hAnsi="Arial Narrow"/>
          <w:b/>
          <w:bCs/>
          <w:sz w:val="22"/>
          <w:szCs w:val="22"/>
        </w:rPr>
      </w:pPr>
    </w:p>
    <w:p w14:paraId="1AD62855"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u w:val="single"/>
        </w:rPr>
        <w:t>a) Objeto social.</w:t>
      </w:r>
    </w:p>
    <w:p w14:paraId="24D5F79B" w14:textId="77777777" w:rsidR="00F308C6" w:rsidRPr="005D1E77" w:rsidRDefault="00F308C6" w:rsidP="00F308C6">
      <w:pPr>
        <w:pStyle w:val="Default"/>
        <w:ind w:left="1068"/>
        <w:jc w:val="both"/>
        <w:rPr>
          <w:rFonts w:ascii="Arial Narrow" w:hAnsi="Arial Narrow"/>
          <w:b/>
          <w:bCs/>
          <w:sz w:val="22"/>
          <w:szCs w:val="22"/>
        </w:rPr>
      </w:pPr>
    </w:p>
    <w:p w14:paraId="3F88CE06"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Impartir justicia de manera pronta, gratuita, completa e imparcial, en los asuntos de orden civil, familiar, penal, administrativo y ejecución de sanciones, administración de justicia para adolescentes, aunado a ello los inicios del nuevo sistema de justicia penal acusatorio.</w:t>
      </w:r>
    </w:p>
    <w:p w14:paraId="7E54986A" w14:textId="77777777" w:rsidR="00F308C6" w:rsidRPr="005D1E77" w:rsidRDefault="00F308C6" w:rsidP="00F308C6">
      <w:pPr>
        <w:pStyle w:val="Default"/>
        <w:ind w:left="708"/>
        <w:jc w:val="both"/>
        <w:rPr>
          <w:rFonts w:ascii="Arial Narrow" w:hAnsi="Arial Narrow"/>
          <w:b/>
          <w:bCs/>
          <w:sz w:val="22"/>
          <w:szCs w:val="22"/>
        </w:rPr>
      </w:pPr>
    </w:p>
    <w:p w14:paraId="0E680B5A"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b)</w:t>
      </w:r>
      <w:r w:rsidRPr="005D1E77">
        <w:rPr>
          <w:rFonts w:ascii="Arial Narrow" w:hAnsi="Arial Narrow"/>
          <w:b/>
          <w:bCs/>
          <w:sz w:val="22"/>
          <w:szCs w:val="22"/>
          <w:u w:val="single"/>
        </w:rPr>
        <w:t xml:space="preserve">  Principal actividad.</w:t>
      </w:r>
    </w:p>
    <w:p w14:paraId="48884473" w14:textId="77777777" w:rsidR="00F308C6" w:rsidRPr="005D1E77" w:rsidRDefault="00F308C6" w:rsidP="00F308C6">
      <w:pPr>
        <w:pStyle w:val="Default"/>
        <w:ind w:left="708"/>
        <w:jc w:val="both"/>
        <w:rPr>
          <w:rFonts w:ascii="Arial Narrow" w:hAnsi="Arial Narrow"/>
          <w:b/>
          <w:bCs/>
          <w:sz w:val="22"/>
          <w:szCs w:val="22"/>
        </w:rPr>
      </w:pPr>
    </w:p>
    <w:p w14:paraId="2EB6D7EE"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 xml:space="preserve">Es un Ente público encargado de la impartición de justicia por medio del personal que colabora en el mismo (Magistrados, </w:t>
      </w:r>
      <w:proofErr w:type="gramStart"/>
      <w:r w:rsidRPr="005D1E77">
        <w:rPr>
          <w:rFonts w:ascii="Arial Narrow" w:hAnsi="Arial Narrow"/>
          <w:bCs/>
          <w:sz w:val="22"/>
          <w:szCs w:val="22"/>
        </w:rPr>
        <w:t>Consejeros</w:t>
      </w:r>
      <w:proofErr w:type="gramEnd"/>
      <w:r w:rsidRPr="005D1E77">
        <w:rPr>
          <w:rFonts w:ascii="Arial Narrow" w:hAnsi="Arial Narrow"/>
          <w:bCs/>
          <w:sz w:val="22"/>
          <w:szCs w:val="22"/>
        </w:rPr>
        <w:t>, Jueces y demás personal jurisdiccional y administrativo).</w:t>
      </w:r>
    </w:p>
    <w:p w14:paraId="37868B5F" w14:textId="77777777" w:rsidR="00F308C6" w:rsidRPr="005D1E77" w:rsidRDefault="00F308C6" w:rsidP="00F308C6">
      <w:pPr>
        <w:pStyle w:val="Default"/>
        <w:ind w:left="708"/>
        <w:jc w:val="both"/>
        <w:rPr>
          <w:rFonts w:ascii="Arial Narrow" w:hAnsi="Arial Narrow"/>
          <w:bCs/>
          <w:sz w:val="22"/>
          <w:szCs w:val="22"/>
        </w:rPr>
      </w:pPr>
    </w:p>
    <w:p w14:paraId="3F9D810C"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c)</w:t>
      </w:r>
      <w:r w:rsidRPr="005D1E77">
        <w:rPr>
          <w:rFonts w:ascii="Arial Narrow" w:hAnsi="Arial Narrow"/>
          <w:b/>
          <w:bCs/>
          <w:sz w:val="22"/>
          <w:szCs w:val="22"/>
          <w:u w:val="single"/>
        </w:rPr>
        <w:t xml:space="preserve">  Ejercicio fiscal.</w:t>
      </w:r>
    </w:p>
    <w:p w14:paraId="186C726B" w14:textId="77777777" w:rsidR="00F308C6" w:rsidRPr="005D1E77" w:rsidRDefault="00F308C6" w:rsidP="00F308C6">
      <w:pPr>
        <w:pStyle w:val="Default"/>
        <w:ind w:left="708"/>
        <w:jc w:val="both"/>
        <w:rPr>
          <w:rFonts w:ascii="Arial Narrow" w:hAnsi="Arial Narrow"/>
          <w:b/>
          <w:bCs/>
          <w:sz w:val="22"/>
          <w:szCs w:val="22"/>
          <w:u w:val="single"/>
        </w:rPr>
      </w:pPr>
    </w:p>
    <w:p w14:paraId="136E2A2C"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Su ejercicio inicia el 01 de enero y termina el 31 de diciembre de cada año.</w:t>
      </w:r>
    </w:p>
    <w:p w14:paraId="04548F6A" w14:textId="77777777" w:rsidR="00F308C6" w:rsidRPr="005D1E77" w:rsidRDefault="00F308C6" w:rsidP="00F308C6">
      <w:pPr>
        <w:pStyle w:val="Default"/>
        <w:jc w:val="both"/>
        <w:rPr>
          <w:rFonts w:ascii="Arial Narrow" w:hAnsi="Arial Narrow"/>
          <w:bCs/>
          <w:sz w:val="22"/>
          <w:szCs w:val="22"/>
        </w:rPr>
      </w:pPr>
    </w:p>
    <w:p w14:paraId="3B0E762D"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d)</w:t>
      </w:r>
      <w:r w:rsidRPr="005D1E77">
        <w:rPr>
          <w:rFonts w:ascii="Arial Narrow" w:hAnsi="Arial Narrow"/>
          <w:b/>
          <w:bCs/>
          <w:sz w:val="22"/>
          <w:szCs w:val="22"/>
          <w:u w:val="single"/>
        </w:rPr>
        <w:t xml:space="preserve">  Régimen jurídico.</w:t>
      </w:r>
    </w:p>
    <w:p w14:paraId="34D87DAE" w14:textId="77777777" w:rsidR="00F308C6" w:rsidRPr="005D1E77" w:rsidRDefault="00F308C6" w:rsidP="00F308C6">
      <w:pPr>
        <w:autoSpaceDE w:val="0"/>
        <w:autoSpaceDN w:val="0"/>
        <w:adjustRightInd w:val="0"/>
        <w:spacing w:after="0" w:line="240" w:lineRule="auto"/>
        <w:jc w:val="both"/>
        <w:rPr>
          <w:rFonts w:ascii="Arial Narrow" w:hAnsi="Arial Narrow" w:cs="ArialNarrow-Bold"/>
          <w:b/>
          <w:bCs/>
        </w:rPr>
      </w:pPr>
    </w:p>
    <w:p w14:paraId="705A542D" w14:textId="77777777" w:rsidR="00F308C6" w:rsidRDefault="00F308C6" w:rsidP="00F308C6">
      <w:pPr>
        <w:autoSpaceDE w:val="0"/>
        <w:autoSpaceDN w:val="0"/>
        <w:adjustRightInd w:val="0"/>
        <w:spacing w:after="0" w:line="240" w:lineRule="auto"/>
        <w:jc w:val="both"/>
        <w:rPr>
          <w:rFonts w:ascii="Arial Narrow" w:hAnsi="Arial Narrow" w:cs="Arial-BoldMT"/>
          <w:bCs/>
        </w:rPr>
      </w:pPr>
      <w:r w:rsidRPr="005D1E77">
        <w:rPr>
          <w:rFonts w:ascii="Arial Narrow" w:hAnsi="Arial Narrow" w:cs="ArialNarrow-Bold"/>
          <w:bCs/>
        </w:rPr>
        <w:t>El Honorable Tribunal de Justicia del Estado, se rige a través de la Ley Orgánica del Poder Judicial del Estado de Tlaxcala</w:t>
      </w:r>
      <w:r w:rsidRPr="005D1E77">
        <w:rPr>
          <w:rFonts w:ascii="Arial Narrow" w:hAnsi="Arial Narrow" w:cs="ArialMT"/>
        </w:rPr>
        <w:t xml:space="preserve">, tiene como objeto garantizar a través del Poder Judicial la supremacía y el control de la Constitución Política del Estado y deberá impartir justicia de manera pronta, gratuita, completa e imparcial, </w:t>
      </w:r>
      <w:r w:rsidRPr="005D1E77">
        <w:rPr>
          <w:rFonts w:ascii="Arial Narrow"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6E1C5EE3" w14:textId="77777777" w:rsidR="00F308C6" w:rsidRPr="005D1E77" w:rsidRDefault="00F308C6" w:rsidP="00F308C6">
      <w:pPr>
        <w:autoSpaceDE w:val="0"/>
        <w:autoSpaceDN w:val="0"/>
        <w:adjustRightInd w:val="0"/>
        <w:spacing w:after="0" w:line="240" w:lineRule="auto"/>
        <w:jc w:val="both"/>
        <w:rPr>
          <w:rFonts w:ascii="Arial Narrow" w:hAnsi="Arial Narrow" w:cs="ArialNarrow-Bold"/>
          <w:bCs/>
        </w:rPr>
      </w:pPr>
    </w:p>
    <w:p w14:paraId="51711CA8" w14:textId="77777777" w:rsidR="00F308C6" w:rsidRPr="005D1E77" w:rsidRDefault="00F308C6" w:rsidP="00F308C6">
      <w:pPr>
        <w:pStyle w:val="Default"/>
        <w:ind w:left="708"/>
        <w:jc w:val="both"/>
        <w:rPr>
          <w:rFonts w:ascii="Arial Narrow" w:hAnsi="Arial Narrow"/>
          <w:bCs/>
          <w:sz w:val="22"/>
          <w:szCs w:val="22"/>
        </w:rPr>
      </w:pPr>
    </w:p>
    <w:p w14:paraId="7B652BF9"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t>e)</w:t>
      </w:r>
      <w:r w:rsidRPr="005D1E77">
        <w:rPr>
          <w:rFonts w:ascii="Arial Narrow" w:hAnsi="Arial Narrow"/>
          <w:b/>
          <w:bCs/>
          <w:sz w:val="22"/>
          <w:szCs w:val="22"/>
          <w:u w:val="single"/>
        </w:rPr>
        <w:t xml:space="preserve">  Consideraciones fiscales.</w:t>
      </w:r>
    </w:p>
    <w:p w14:paraId="7354F294" w14:textId="77777777" w:rsidR="00F308C6" w:rsidRPr="005D1E77" w:rsidRDefault="00F308C6" w:rsidP="00F308C6">
      <w:pPr>
        <w:pStyle w:val="Default"/>
        <w:ind w:left="708"/>
        <w:jc w:val="both"/>
        <w:rPr>
          <w:rFonts w:ascii="Arial Narrow" w:hAnsi="Arial Narrow"/>
          <w:b/>
          <w:bCs/>
          <w:sz w:val="22"/>
          <w:szCs w:val="22"/>
        </w:rPr>
      </w:pPr>
    </w:p>
    <w:p w14:paraId="014B5F1F" w14:textId="6F3A9DA4" w:rsidR="00F308C6" w:rsidRDefault="00F308C6" w:rsidP="00F308C6">
      <w:pPr>
        <w:pStyle w:val="Default"/>
        <w:jc w:val="both"/>
        <w:rPr>
          <w:rFonts w:ascii="Arial Narrow" w:hAnsi="Arial Narrow"/>
          <w:sz w:val="22"/>
          <w:szCs w:val="22"/>
        </w:rPr>
      </w:pPr>
      <w:r w:rsidRPr="005D1E77">
        <w:rPr>
          <w:rFonts w:ascii="Arial Narrow" w:hAnsi="Arial Narrow"/>
          <w:sz w:val="22"/>
          <w:szCs w:val="22"/>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4AE2AEA4"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rPr>
        <w:lastRenderedPageBreak/>
        <w:t>f)</w:t>
      </w:r>
      <w:r w:rsidRPr="005D1E77">
        <w:rPr>
          <w:rFonts w:ascii="Arial Narrow" w:hAnsi="Arial Narrow"/>
          <w:b/>
          <w:bCs/>
          <w:sz w:val="22"/>
          <w:szCs w:val="22"/>
          <w:u w:val="single"/>
        </w:rPr>
        <w:t xml:space="preserve">  Estructura organizacional básica.</w:t>
      </w:r>
    </w:p>
    <w:p w14:paraId="7552B745" w14:textId="77777777" w:rsidR="00F308C6" w:rsidRPr="005D1E77" w:rsidRDefault="00F308C6" w:rsidP="00F308C6">
      <w:pPr>
        <w:spacing w:after="247"/>
        <w:ind w:left="329"/>
        <w:jc w:val="center"/>
        <w:rPr>
          <w:rFonts w:ascii="Arial Narrow" w:hAnsi="Arial Narrow"/>
        </w:rPr>
      </w:pPr>
      <w:r w:rsidRPr="005D1E77">
        <w:rPr>
          <w:rFonts w:ascii="Arial Narrow" w:hAnsi="Arial Narrow"/>
          <w:b/>
          <w:sz w:val="23"/>
        </w:rPr>
        <w:t xml:space="preserve">ESTRUCTURA ORGÁNICA DEL PODER JUDICIAL DEL ESTADO DE TLAXCALA </w:t>
      </w:r>
    </w:p>
    <w:p w14:paraId="014DCF47" w14:textId="77777777" w:rsidR="00F308C6" w:rsidRPr="005D1E77" w:rsidRDefault="00F308C6" w:rsidP="00F308C6">
      <w:pPr>
        <w:tabs>
          <w:tab w:val="left" w:pos="525"/>
          <w:tab w:val="left" w:pos="5550"/>
        </w:tabs>
        <w:spacing w:after="312"/>
        <w:ind w:left="-1298" w:right="-995"/>
        <w:rPr>
          <w:rFonts w:ascii="Arial Narrow" w:eastAsia="Arial" w:hAnsi="Arial Narrow"/>
          <w:vertAlign w:val="superscript"/>
        </w:rPr>
      </w:pPr>
      <w:r>
        <w:rPr>
          <w:rFonts w:ascii="Arial Narrow" w:hAnsi="Arial Narrow"/>
          <w:noProof/>
          <w:lang w:eastAsia="es-MX"/>
        </w:rPr>
        <mc:AlternateContent>
          <mc:Choice Requires="wps">
            <w:drawing>
              <wp:anchor distT="0" distB="0" distL="114300" distR="114300" simplePos="0" relativeHeight="251666432" behindDoc="0" locked="0" layoutInCell="1" allowOverlap="1" wp14:anchorId="2631F54F" wp14:editId="659CA65F">
                <wp:simplePos x="0" y="0"/>
                <wp:positionH relativeFrom="column">
                  <wp:posOffset>4565176</wp:posOffset>
                </wp:positionH>
                <wp:positionV relativeFrom="paragraph">
                  <wp:posOffset>3903613</wp:posOffset>
                </wp:positionV>
                <wp:extent cx="731520" cy="314452"/>
                <wp:effectExtent l="0" t="0" r="11430" b="28575"/>
                <wp:wrapNone/>
                <wp:docPr id="5" name="Rectángulo: esquinas redondeadas 5"/>
                <wp:cNvGraphicFramePr/>
                <a:graphic xmlns:a="http://schemas.openxmlformats.org/drawingml/2006/main">
                  <a:graphicData uri="http://schemas.microsoft.com/office/word/2010/wordprocessingShape">
                    <wps:wsp>
                      <wps:cNvSpPr/>
                      <wps:spPr>
                        <a:xfrm>
                          <a:off x="0" y="0"/>
                          <a:ext cx="731520" cy="31445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26E7C1C" w14:textId="77777777" w:rsidR="004938CF" w:rsidRPr="00241AB9" w:rsidRDefault="004938CF" w:rsidP="00F308C6">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1F54F" id="Rectángulo: esquinas redondeadas 5" o:spid="_x0000_s1026" style="position:absolute;left:0;text-align:left;margin-left:359.45pt;margin-top:307.35pt;width:57.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tkgwIAAEgFAAAOAAAAZHJzL2Uyb0RvYy54bWysVN1O2zAUvp+0d7B8P9IUOraIFFUgpkkI&#10;EDBx7Tp2G83x8Y7dJt3b7Fl4sR07aagY2sW0G+c45/873/HZedcYtlXoa7Alz48mnCkroartquTf&#10;Hq8+fOLMB2ErYcCqku+U5+fz9+/OWleoKazBVAoZBbG+aF3J1yG4Isu8XKtG+CNwypJSAzYi0BVX&#10;WYWipeiNyaaTycesBawcglTe09/LXsnnKb7WSoZbrb0KzJScagvpxHQu45nNz0SxQuHWtRzKEP9Q&#10;RSNqS0nHUJciCLbB+o9QTS0RPOhwJKHJQOtaqtQDdZNPXnXzsBZOpV4IHO9GmPz/CytvtnfI6qrk&#10;M86saGhE9wTa8y+72hgomPI/NrUVnqGqwFZKVCTPImyt8wV5P7g7HG6exIhBp7GJX+qOdQnq3Qi1&#10;6gKT9PP0OJ9NaSCSVMf5yclsGmNmL84OffiioGFRKDnCxlaxsoSy2F770Nvv7WJCY1kbw52mArNY&#10;YV9TksLOqN7qXmlqmaqYpmiJbOrCINsKokn1PR9qMZYso4uujRmd8recTNg7DbbRTSUCjo6Ttxxf&#10;so3WKSPYMDo2tQX8u7Pu7QnCg16jGLplN8x3GNMSqh3NHKFfBu/kVU0YXwsf7gQS+2kstNHhlg5t&#10;gBCFQeJsDfjzrf/RnkhJWs5a2qaSE28EKs7MV0t0/UwjjuuXLiez0zh6PNQsDzV201wATSKnt8PJ&#10;JEb7YPaiRmieaPEXMSuphJWUu+Qy4P5yEfotp6dDqsUimdHKORGu7YOTMXjEOdLnsXsS6AaiBWLo&#10;Dew3TxSvqNbbRk8Li00AXSceRqR7XIcJ0LomOg9PS3wPDu/J6uUBnP8GAAD//wMAUEsDBBQABgAI&#10;AAAAIQC5P/9f4QAAAAsBAAAPAAAAZHJzL2Rvd25yZXYueG1sTI/LTsMwEEX3SP0Hayqxo05CyIs4&#10;VYXEBlokQsV6GpskamxHsduEv2dYwXJmju6cW24XPbCrmlxvjYBwEwBTprGyN62A48fzXQbMeTQS&#10;B2uUgG/lYFutbkospJ3Nu7rWvmUUYlyBAjrvx4Jz13RKo9vYURm6fdlJo6dxarmccKZwPfAoCBKu&#10;sTf0ocNRPXWqOdcXLaB+SWeJh+O4bz4PD2+v+9zLKBfidr3sHoF5tfg/GH71SR0qcjrZi5GODQLS&#10;MMsJFZCEcQqMiOw+DoGdaJPEEfCq5P87VD8AAAD//wMAUEsBAi0AFAAGAAgAAAAhALaDOJL+AAAA&#10;4QEAABMAAAAAAAAAAAAAAAAAAAAAAFtDb250ZW50X1R5cGVzXS54bWxQSwECLQAUAAYACAAAACEA&#10;OP0h/9YAAACUAQAACwAAAAAAAAAAAAAAAAAvAQAAX3JlbHMvLnJlbHNQSwECLQAUAAYACAAAACEA&#10;20ibZIMCAABIBQAADgAAAAAAAAAAAAAAAAAuAgAAZHJzL2Uyb0RvYy54bWxQSwECLQAUAAYACAAA&#10;ACEAuT//X+EAAAALAQAADwAAAAAAAAAAAAAAAADdBAAAZHJzL2Rvd25yZXYueG1sUEsFBgAAAAAE&#10;AAQA8wAAAOsFAAAAAA==&#10;" fillcolor="white [3201]" strokecolor="black [3200]" strokeweight=".25pt">
                <v:textbox>
                  <w:txbxContent>
                    <w:p w14:paraId="726E7C1C" w14:textId="77777777" w:rsidR="004938CF" w:rsidRPr="00241AB9" w:rsidRDefault="004938CF" w:rsidP="00F308C6">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5D1E77">
        <w:rPr>
          <w:rFonts w:ascii="Arial Narrow" w:hAnsi="Arial Narrow"/>
          <w:noProof/>
          <w:lang w:eastAsia="es-MX"/>
        </w:rPr>
        <w:drawing>
          <wp:anchor distT="0" distB="0" distL="114300" distR="114300" simplePos="0" relativeHeight="251664384" behindDoc="0" locked="0" layoutInCell="1" allowOverlap="1" wp14:anchorId="45A78013" wp14:editId="45E93284">
            <wp:simplePos x="0" y="0"/>
            <wp:positionH relativeFrom="margin">
              <wp:posOffset>-88086</wp:posOffset>
            </wp:positionH>
            <wp:positionV relativeFrom="paragraph">
              <wp:posOffset>401499</wp:posOffset>
            </wp:positionV>
            <wp:extent cx="8814435" cy="4727575"/>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14435" cy="472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E77">
        <w:rPr>
          <w:rFonts w:ascii="Arial Narrow" w:hAnsi="Arial Narrow"/>
        </w:rPr>
        <w:tab/>
      </w:r>
    </w:p>
    <w:p w14:paraId="211577FD" w14:textId="77777777" w:rsidR="00F308C6" w:rsidRPr="005D1E77" w:rsidRDefault="00F308C6" w:rsidP="00F308C6">
      <w:pPr>
        <w:pStyle w:val="Default"/>
        <w:jc w:val="both"/>
        <w:rPr>
          <w:rFonts w:ascii="Arial Narrow" w:hAnsi="Arial Narrow"/>
          <w:b/>
          <w:bCs/>
          <w:noProof/>
          <w:lang w:eastAsia="es-MX"/>
        </w:rPr>
      </w:pPr>
      <w:r w:rsidRPr="005D1E77">
        <w:rPr>
          <w:rFonts w:ascii="Arial Narrow" w:eastAsia="Arial" w:hAnsi="Arial Narrow"/>
          <w:vertAlign w:val="superscript"/>
        </w:rPr>
        <w:t xml:space="preserve">Fuente:   Secretaría Ejecutiva </w:t>
      </w:r>
      <w:r w:rsidRPr="005D1E77">
        <w:rPr>
          <w:rFonts w:ascii="Arial Narrow" w:eastAsia="Arial" w:hAnsi="Arial Narrow"/>
          <w:vertAlign w:val="superscript"/>
        </w:rPr>
        <w:tab/>
      </w:r>
      <w:r w:rsidRPr="005D1E77">
        <w:rPr>
          <w:rFonts w:ascii="Arial Narrow" w:eastAsia="Arial" w:hAnsi="Arial Narrow"/>
          <w:sz w:val="16"/>
        </w:rPr>
        <w:t xml:space="preserve">Autorizado en Sesión </w:t>
      </w:r>
      <w:r>
        <w:rPr>
          <w:rFonts w:ascii="Arial Narrow" w:eastAsia="Arial" w:hAnsi="Arial Narrow"/>
          <w:sz w:val="16"/>
        </w:rPr>
        <w:t>Extrao</w:t>
      </w:r>
      <w:r w:rsidRPr="005D1E77">
        <w:rPr>
          <w:rFonts w:ascii="Arial Narrow" w:eastAsia="Arial" w:hAnsi="Arial Narrow"/>
          <w:sz w:val="16"/>
        </w:rPr>
        <w:t xml:space="preserve">rdinaria </w:t>
      </w:r>
      <w:r>
        <w:rPr>
          <w:rFonts w:ascii="Arial Narrow" w:eastAsia="Arial" w:hAnsi="Arial Narrow"/>
          <w:sz w:val="16"/>
        </w:rPr>
        <w:t xml:space="preserve">Privada </w:t>
      </w:r>
      <w:r w:rsidRPr="005D1E77">
        <w:rPr>
          <w:rFonts w:ascii="Arial Narrow" w:eastAsia="Arial" w:hAnsi="Arial Narrow"/>
          <w:sz w:val="16"/>
        </w:rPr>
        <w:t>de</w:t>
      </w:r>
      <w:r>
        <w:rPr>
          <w:rFonts w:ascii="Arial Narrow" w:eastAsia="Arial" w:hAnsi="Arial Narrow"/>
          <w:sz w:val="16"/>
        </w:rPr>
        <w:t>l</w:t>
      </w:r>
      <w:r w:rsidRPr="005D1E77">
        <w:rPr>
          <w:rFonts w:ascii="Arial Narrow" w:eastAsia="Arial" w:hAnsi="Arial Narrow"/>
          <w:sz w:val="16"/>
        </w:rPr>
        <w:t xml:space="preserve"> Consejo</w:t>
      </w:r>
      <w:r>
        <w:rPr>
          <w:rFonts w:ascii="Arial Narrow" w:eastAsia="Arial" w:hAnsi="Arial Narrow"/>
          <w:sz w:val="16"/>
        </w:rPr>
        <w:t xml:space="preserve"> de la Judicatura del Estado de Tlaxcala</w:t>
      </w:r>
      <w:r w:rsidRPr="005D1E77">
        <w:rPr>
          <w:rFonts w:ascii="Arial Narrow" w:eastAsia="Arial" w:hAnsi="Arial Narrow"/>
          <w:sz w:val="16"/>
        </w:rPr>
        <w:t xml:space="preserve"> de fecha</w:t>
      </w:r>
      <w:r>
        <w:rPr>
          <w:rFonts w:ascii="Arial Narrow" w:eastAsia="Arial" w:hAnsi="Arial Narrow"/>
          <w:sz w:val="16"/>
        </w:rPr>
        <w:t xml:space="preserve"> 19 </w:t>
      </w:r>
      <w:proofErr w:type="gramStart"/>
      <w:r>
        <w:rPr>
          <w:rFonts w:ascii="Arial Narrow" w:eastAsia="Arial" w:hAnsi="Arial Narrow"/>
          <w:sz w:val="16"/>
        </w:rPr>
        <w:t xml:space="preserve">de </w:t>
      </w:r>
      <w:r w:rsidRPr="005D1E77">
        <w:rPr>
          <w:rFonts w:ascii="Arial Narrow" w:eastAsia="Arial" w:hAnsi="Arial Narrow"/>
          <w:sz w:val="16"/>
        </w:rPr>
        <w:t xml:space="preserve"> </w:t>
      </w:r>
      <w:r>
        <w:rPr>
          <w:rFonts w:ascii="Arial Narrow" w:eastAsia="Arial" w:hAnsi="Arial Narrow"/>
          <w:sz w:val="16"/>
        </w:rPr>
        <w:t>Marzo</w:t>
      </w:r>
      <w:proofErr w:type="gramEnd"/>
      <w:r>
        <w:rPr>
          <w:rFonts w:ascii="Arial Narrow" w:eastAsia="Arial" w:hAnsi="Arial Narrow"/>
          <w:sz w:val="16"/>
        </w:rPr>
        <w:t xml:space="preserve"> de 2020. </w:t>
      </w:r>
    </w:p>
    <w:p w14:paraId="4FA8EA4B" w14:textId="77777777" w:rsidR="00F308C6" w:rsidRPr="005D1E77" w:rsidRDefault="00F308C6" w:rsidP="00F308C6">
      <w:pPr>
        <w:pStyle w:val="Default"/>
        <w:jc w:val="both"/>
        <w:rPr>
          <w:rFonts w:ascii="Arial Narrow" w:hAnsi="Arial Narrow"/>
          <w:b/>
          <w:bCs/>
          <w:sz w:val="22"/>
          <w:szCs w:val="22"/>
          <w:u w:val="single"/>
        </w:rPr>
      </w:pPr>
      <w:r w:rsidRPr="005D1E77">
        <w:rPr>
          <w:rFonts w:ascii="Arial Narrow" w:hAnsi="Arial Narrow"/>
          <w:b/>
          <w:bCs/>
          <w:sz w:val="22"/>
          <w:szCs w:val="22"/>
          <w:u w:val="single"/>
        </w:rPr>
        <w:lastRenderedPageBreak/>
        <w:t>g) Fideicomisos, mandatos y análogos de los cuales es fideicomitente o fiduciario.</w:t>
      </w:r>
    </w:p>
    <w:p w14:paraId="1E312C3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ab/>
      </w:r>
    </w:p>
    <w:p w14:paraId="5F7AA1A8" w14:textId="77777777" w:rsidR="00F308C6" w:rsidRPr="005D1E77" w:rsidRDefault="00F308C6" w:rsidP="00F308C6">
      <w:pPr>
        <w:pStyle w:val="Default"/>
        <w:jc w:val="both"/>
        <w:rPr>
          <w:rFonts w:ascii="Arial Narrow" w:hAnsi="Arial Narrow"/>
          <w:bCs/>
          <w:sz w:val="22"/>
          <w:szCs w:val="22"/>
        </w:rPr>
      </w:pPr>
      <w:r w:rsidRPr="005D1E77">
        <w:rPr>
          <w:rFonts w:ascii="Arial Narrow" w:hAnsi="Arial Narrow"/>
          <w:bCs/>
          <w:sz w:val="22"/>
          <w:szCs w:val="22"/>
        </w:rPr>
        <w:t xml:space="preserve">No aplica. </w:t>
      </w:r>
    </w:p>
    <w:p w14:paraId="7E989C25" w14:textId="77777777" w:rsidR="00F308C6" w:rsidRPr="005D1E77" w:rsidRDefault="00F308C6" w:rsidP="00F308C6">
      <w:pPr>
        <w:pStyle w:val="Default"/>
        <w:jc w:val="both"/>
        <w:rPr>
          <w:rFonts w:ascii="Arial Narrow" w:hAnsi="Arial Narrow"/>
          <w:b/>
          <w:bCs/>
          <w:sz w:val="22"/>
          <w:szCs w:val="22"/>
        </w:rPr>
      </w:pPr>
    </w:p>
    <w:p w14:paraId="3FAB29C8" w14:textId="77777777" w:rsidR="00F308C6" w:rsidRPr="005D1E77" w:rsidRDefault="00F308C6" w:rsidP="00F308C6">
      <w:pPr>
        <w:pStyle w:val="Default"/>
        <w:jc w:val="both"/>
        <w:rPr>
          <w:rFonts w:ascii="Arial Narrow" w:hAnsi="Arial Narrow"/>
          <w:b/>
          <w:bCs/>
          <w:sz w:val="22"/>
          <w:szCs w:val="22"/>
          <w:u w:val="single"/>
        </w:rPr>
      </w:pPr>
    </w:p>
    <w:p w14:paraId="246EBEB1"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5.- Bases de preparación.</w:t>
      </w:r>
    </w:p>
    <w:p w14:paraId="47964865" w14:textId="77777777" w:rsidR="00F308C6" w:rsidRPr="005D1E77" w:rsidRDefault="00F308C6" w:rsidP="00F308C6">
      <w:pPr>
        <w:pStyle w:val="Default"/>
        <w:jc w:val="both"/>
        <w:rPr>
          <w:rFonts w:ascii="Arial Narrow" w:hAnsi="Arial Narrow"/>
          <w:sz w:val="22"/>
          <w:szCs w:val="22"/>
        </w:rPr>
      </w:pPr>
      <w:r w:rsidRPr="005D1E77">
        <w:rPr>
          <w:rFonts w:ascii="Arial Narrow" w:hAnsi="Arial Narrow"/>
          <w:b/>
          <w:bCs/>
          <w:sz w:val="22"/>
          <w:szCs w:val="22"/>
        </w:rPr>
        <w:t xml:space="preserve"> </w:t>
      </w:r>
    </w:p>
    <w:p w14:paraId="6B641817" w14:textId="77777777" w:rsidR="00F308C6" w:rsidRPr="005D1E77" w:rsidRDefault="00F308C6" w:rsidP="00F308C6">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Se ha observado la normatividad emitida por el Consejo Nacional de Armonización Contable y las disposiciones legales aplicables en la materia.</w:t>
      </w:r>
    </w:p>
    <w:p w14:paraId="79FD1C8B" w14:textId="77777777" w:rsidR="00F308C6" w:rsidRPr="005D1E77" w:rsidRDefault="00F308C6" w:rsidP="00F308C6">
      <w:pPr>
        <w:pStyle w:val="Default"/>
        <w:ind w:left="284"/>
        <w:jc w:val="both"/>
        <w:rPr>
          <w:rFonts w:ascii="Arial Narrow" w:hAnsi="Arial Narrow"/>
          <w:sz w:val="22"/>
          <w:szCs w:val="22"/>
        </w:rPr>
      </w:pPr>
    </w:p>
    <w:p w14:paraId="7E3CF9CD" w14:textId="77777777" w:rsidR="00F308C6" w:rsidRPr="005D1E77" w:rsidRDefault="00F308C6" w:rsidP="00F308C6">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44830AD" w14:textId="77777777" w:rsidR="00F308C6" w:rsidRPr="005D1E77" w:rsidRDefault="00F308C6" w:rsidP="00F308C6">
      <w:pPr>
        <w:pStyle w:val="Prrafodelista"/>
        <w:rPr>
          <w:rFonts w:ascii="Arial Narrow" w:hAnsi="Arial Narrow"/>
        </w:rPr>
      </w:pPr>
    </w:p>
    <w:p w14:paraId="6080126B" w14:textId="77777777" w:rsidR="00F308C6" w:rsidRPr="005D1E77" w:rsidRDefault="00F308C6" w:rsidP="00F308C6">
      <w:pPr>
        <w:pStyle w:val="Default"/>
        <w:jc w:val="both"/>
        <w:rPr>
          <w:rFonts w:ascii="Arial Narrow" w:hAnsi="Arial Narrow"/>
          <w:b/>
          <w:bCs/>
          <w:sz w:val="22"/>
          <w:szCs w:val="22"/>
        </w:rPr>
      </w:pPr>
      <w:r w:rsidRPr="005D1E77">
        <w:rPr>
          <w:rFonts w:ascii="Arial Narrow" w:hAnsi="Arial Narrow"/>
          <w:b/>
          <w:bCs/>
          <w:sz w:val="22"/>
          <w:szCs w:val="22"/>
        </w:rPr>
        <w:t>6.- Postulados básicos.</w:t>
      </w:r>
    </w:p>
    <w:p w14:paraId="2C4F8E34" w14:textId="77777777" w:rsidR="00F308C6" w:rsidRPr="005D1E77" w:rsidRDefault="00F308C6" w:rsidP="00F308C6">
      <w:pPr>
        <w:pStyle w:val="Default"/>
        <w:rPr>
          <w:rFonts w:ascii="Arial Narrow" w:hAnsi="Arial Narrow"/>
          <w:b/>
          <w:bCs/>
          <w:sz w:val="22"/>
          <w:szCs w:val="22"/>
        </w:rPr>
      </w:pPr>
    </w:p>
    <w:p w14:paraId="030F39FC"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estados financieros han sido preparados sobre la base del costo histórico.</w:t>
      </w:r>
    </w:p>
    <w:p w14:paraId="7A302AE5" w14:textId="77777777" w:rsidR="00F308C6" w:rsidRPr="005D1E77" w:rsidRDefault="00F308C6" w:rsidP="00F308C6">
      <w:pPr>
        <w:pStyle w:val="Default"/>
        <w:ind w:left="284"/>
        <w:rPr>
          <w:rFonts w:ascii="Arial Narrow" w:hAnsi="Arial Narrow"/>
          <w:color w:val="auto"/>
          <w:sz w:val="22"/>
          <w:szCs w:val="22"/>
        </w:rPr>
      </w:pPr>
    </w:p>
    <w:p w14:paraId="24EA95CC"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14:paraId="56816E3A" w14:textId="77777777" w:rsidR="00F308C6" w:rsidRPr="005D1E77" w:rsidRDefault="00F308C6" w:rsidP="00F308C6">
      <w:pPr>
        <w:pStyle w:val="Default"/>
        <w:jc w:val="both"/>
        <w:rPr>
          <w:rFonts w:ascii="Arial Narrow" w:hAnsi="Arial Narrow"/>
          <w:b/>
          <w:bCs/>
          <w:i/>
          <w:iCs/>
          <w:color w:val="auto"/>
          <w:sz w:val="22"/>
          <w:szCs w:val="22"/>
        </w:rPr>
      </w:pPr>
    </w:p>
    <w:p w14:paraId="3E6E8CF9"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bCs/>
          <w:i/>
          <w:iCs/>
          <w:color w:val="auto"/>
          <w:sz w:val="22"/>
          <w:szCs w:val="22"/>
          <w:u w:val="single"/>
        </w:rPr>
        <w:t xml:space="preserve">a) Moneda funcional y de presentación. </w:t>
      </w:r>
    </w:p>
    <w:p w14:paraId="3223077F" w14:textId="77777777" w:rsidR="00F308C6" w:rsidRPr="005D1E77" w:rsidRDefault="00F308C6" w:rsidP="00F308C6">
      <w:pPr>
        <w:pStyle w:val="Default"/>
        <w:rPr>
          <w:rFonts w:ascii="Arial Narrow" w:hAnsi="Arial Narrow"/>
          <w:color w:val="auto"/>
          <w:sz w:val="22"/>
          <w:szCs w:val="22"/>
        </w:rPr>
      </w:pPr>
    </w:p>
    <w:p w14:paraId="04E36137"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Los estados financieros son presentados en pesos mexicanos, que es la moneda funcional del Tribunal Superior de Justicia, toda la información es presentada en pesos corrientes. </w:t>
      </w:r>
    </w:p>
    <w:p w14:paraId="221538CC" w14:textId="77777777" w:rsidR="00F308C6" w:rsidRPr="005D1E77" w:rsidRDefault="00F308C6" w:rsidP="00F308C6">
      <w:pPr>
        <w:autoSpaceDE w:val="0"/>
        <w:autoSpaceDN w:val="0"/>
        <w:adjustRightInd w:val="0"/>
        <w:spacing w:after="0" w:line="240" w:lineRule="auto"/>
        <w:rPr>
          <w:rFonts w:ascii="Arial Narrow" w:hAnsi="Arial Narrow" w:cs="Arial"/>
          <w:b/>
          <w:bCs/>
          <w:color w:val="000000"/>
        </w:rPr>
      </w:pPr>
    </w:p>
    <w:p w14:paraId="2330BE55" w14:textId="77777777" w:rsidR="00F308C6" w:rsidRPr="005D1E77" w:rsidRDefault="00F308C6" w:rsidP="00F308C6">
      <w:pPr>
        <w:autoSpaceDE w:val="0"/>
        <w:autoSpaceDN w:val="0"/>
        <w:adjustRightInd w:val="0"/>
        <w:spacing w:after="0" w:line="240" w:lineRule="auto"/>
        <w:rPr>
          <w:rFonts w:ascii="Arial Narrow" w:hAnsi="Arial Narrow" w:cs="Arial"/>
          <w:color w:val="000000"/>
          <w:u w:val="single"/>
        </w:rPr>
      </w:pPr>
      <w:r w:rsidRPr="005D1E77">
        <w:rPr>
          <w:rFonts w:ascii="Arial Narrow" w:hAnsi="Arial Narrow" w:cs="Arial"/>
          <w:b/>
          <w:bCs/>
          <w:color w:val="000000"/>
          <w:u w:val="single"/>
        </w:rPr>
        <w:t xml:space="preserve">b) </w:t>
      </w:r>
      <w:r w:rsidRPr="005D1E77">
        <w:rPr>
          <w:rFonts w:ascii="Arial Narrow" w:hAnsi="Arial Narrow" w:cs="Times New Roman"/>
          <w:b/>
          <w:bCs/>
          <w:i/>
          <w:iCs/>
          <w:u w:val="single"/>
        </w:rPr>
        <w:t>Clasificación de activos y pasivos.</w:t>
      </w:r>
    </w:p>
    <w:p w14:paraId="20027CA7" w14:textId="77777777" w:rsidR="00F308C6" w:rsidRPr="005D1E77" w:rsidRDefault="00F308C6" w:rsidP="00F308C6">
      <w:pPr>
        <w:pStyle w:val="Default"/>
        <w:ind w:left="708"/>
        <w:jc w:val="both"/>
        <w:rPr>
          <w:rFonts w:ascii="Arial Narrow" w:hAnsi="Arial Narrow"/>
          <w:color w:val="auto"/>
          <w:sz w:val="22"/>
          <w:szCs w:val="22"/>
        </w:rPr>
      </w:pPr>
    </w:p>
    <w:p w14:paraId="1A74C7DF"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D246824" w14:textId="77777777" w:rsidR="00F308C6" w:rsidRPr="005D1E77" w:rsidRDefault="00F308C6" w:rsidP="00F308C6">
      <w:pPr>
        <w:pStyle w:val="Default"/>
        <w:jc w:val="both"/>
        <w:rPr>
          <w:rFonts w:ascii="Arial Narrow" w:hAnsi="Arial Narrow"/>
          <w:color w:val="auto"/>
          <w:sz w:val="22"/>
          <w:szCs w:val="22"/>
        </w:rPr>
      </w:pPr>
    </w:p>
    <w:p w14:paraId="48BBF469"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Vidas útiles y valor razonable de inmuebles y bienes muebles.</w:t>
      </w:r>
    </w:p>
    <w:p w14:paraId="6D9C36FC" w14:textId="77777777" w:rsidR="00F308C6" w:rsidRPr="005D1E77" w:rsidRDefault="00F308C6" w:rsidP="00F308C6">
      <w:pPr>
        <w:pStyle w:val="Default"/>
        <w:ind w:left="708"/>
        <w:jc w:val="both"/>
        <w:rPr>
          <w:rFonts w:ascii="Arial Narrow" w:hAnsi="Arial Narrow"/>
          <w:color w:val="auto"/>
          <w:sz w:val="22"/>
          <w:szCs w:val="22"/>
        </w:rPr>
      </w:pPr>
    </w:p>
    <w:p w14:paraId="1CF64F65" w14:textId="77777777" w:rsidR="00F308C6" w:rsidRPr="005D1E77" w:rsidRDefault="00F308C6" w:rsidP="00F308C6">
      <w:pPr>
        <w:pStyle w:val="Default"/>
        <w:ind w:left="708"/>
        <w:jc w:val="both"/>
        <w:rPr>
          <w:rFonts w:ascii="Arial Narrow" w:hAnsi="Arial Narrow"/>
          <w:color w:val="auto"/>
          <w:sz w:val="22"/>
          <w:szCs w:val="22"/>
        </w:rPr>
      </w:pPr>
      <w:r w:rsidRPr="005D1E77">
        <w:rPr>
          <w:rFonts w:ascii="Arial Narrow" w:hAnsi="Arial Narrow"/>
          <w:color w:val="auto"/>
          <w:sz w:val="22"/>
          <w:szCs w:val="22"/>
        </w:rPr>
        <w:t xml:space="preserve"> </w:t>
      </w:r>
    </w:p>
    <w:p w14:paraId="3050944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el Ente evaluó si dicho valor de mercado satisfacía las condiciones de pactarse entre partes interesadas y dispuestas, en una transacción de libre competencia, lo que permitiría </w:t>
      </w:r>
      <w:r w:rsidRPr="005D1E77">
        <w:rPr>
          <w:rFonts w:ascii="Arial Narrow" w:hAnsi="Arial Narrow"/>
          <w:color w:val="auto"/>
          <w:sz w:val="22"/>
          <w:szCs w:val="22"/>
        </w:rPr>
        <w:lastRenderedPageBreak/>
        <w:t>considerar el valor de mercado como una referencia apropiada del valor razonable, de lo contrario, el valor razonable de los activos se estimó con base en modelos técnicos de valuación reconocidos en el ámbito financiero.</w:t>
      </w:r>
    </w:p>
    <w:p w14:paraId="1E547528" w14:textId="77777777" w:rsidR="00F308C6" w:rsidRPr="005D1E77" w:rsidRDefault="00F308C6" w:rsidP="00F308C6">
      <w:pPr>
        <w:pStyle w:val="Default"/>
        <w:jc w:val="both"/>
        <w:rPr>
          <w:rFonts w:ascii="Arial Narrow" w:hAnsi="Arial Narrow"/>
          <w:color w:val="auto"/>
          <w:sz w:val="22"/>
          <w:szCs w:val="22"/>
        </w:rPr>
      </w:pPr>
    </w:p>
    <w:p w14:paraId="291F3675" w14:textId="77777777" w:rsidR="00F308C6" w:rsidRPr="005D1E77" w:rsidRDefault="00F308C6" w:rsidP="00F308C6">
      <w:pPr>
        <w:pStyle w:val="Default"/>
        <w:jc w:val="both"/>
        <w:rPr>
          <w:rFonts w:ascii="Arial Narrow" w:hAnsi="Arial Narrow"/>
          <w:color w:val="auto"/>
          <w:sz w:val="22"/>
          <w:szCs w:val="22"/>
        </w:rPr>
      </w:pPr>
    </w:p>
    <w:p w14:paraId="2D78DF73"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11211A6B" w14:textId="77777777" w:rsidR="00F308C6" w:rsidRPr="005D1E77" w:rsidRDefault="00F308C6" w:rsidP="00F308C6">
      <w:pPr>
        <w:pStyle w:val="Default"/>
        <w:ind w:left="708"/>
        <w:jc w:val="both"/>
        <w:rPr>
          <w:rFonts w:ascii="Arial Narrow" w:hAnsi="Arial Narrow"/>
          <w:color w:val="auto"/>
          <w:sz w:val="22"/>
          <w:szCs w:val="22"/>
        </w:rPr>
      </w:pPr>
    </w:p>
    <w:p w14:paraId="3DFF33F8" w14:textId="77777777" w:rsidR="00F308C6" w:rsidRPr="005D1E77" w:rsidRDefault="00F308C6" w:rsidP="00F308C6">
      <w:pPr>
        <w:pStyle w:val="Default"/>
        <w:ind w:left="708"/>
        <w:jc w:val="both"/>
        <w:rPr>
          <w:rFonts w:ascii="Arial Narrow" w:hAnsi="Arial Narrow"/>
          <w:color w:val="auto"/>
          <w:sz w:val="22"/>
          <w:szCs w:val="22"/>
        </w:rPr>
      </w:pPr>
    </w:p>
    <w:p w14:paraId="0279744F"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086FAB8E" w14:textId="77777777" w:rsidR="00F308C6" w:rsidRPr="005D1E77" w:rsidRDefault="00F308C6" w:rsidP="00F308C6">
      <w:pPr>
        <w:pStyle w:val="Default"/>
        <w:ind w:left="708"/>
        <w:jc w:val="both"/>
        <w:rPr>
          <w:rFonts w:ascii="Arial Narrow" w:hAnsi="Arial Narrow"/>
          <w:color w:val="auto"/>
          <w:sz w:val="22"/>
          <w:szCs w:val="22"/>
        </w:rPr>
      </w:pPr>
    </w:p>
    <w:p w14:paraId="3F152A8C" w14:textId="77777777" w:rsidR="00F308C6" w:rsidRPr="005D1E77" w:rsidRDefault="00F308C6" w:rsidP="00F308C6">
      <w:pPr>
        <w:pStyle w:val="Default"/>
        <w:ind w:left="708"/>
        <w:jc w:val="both"/>
        <w:rPr>
          <w:rFonts w:ascii="Arial Narrow" w:hAnsi="Arial Narrow"/>
          <w:color w:val="auto"/>
          <w:sz w:val="22"/>
          <w:szCs w:val="22"/>
        </w:rPr>
      </w:pPr>
    </w:p>
    <w:p w14:paraId="2A0E2407"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7B88EFAA" w14:textId="77777777" w:rsidR="00F308C6" w:rsidRPr="005D1E77" w:rsidRDefault="00F308C6" w:rsidP="00F308C6">
      <w:pPr>
        <w:pStyle w:val="Default"/>
        <w:ind w:left="1416"/>
        <w:jc w:val="both"/>
        <w:rPr>
          <w:rFonts w:ascii="Arial Narrow" w:hAnsi="Arial Narrow"/>
          <w:color w:val="auto"/>
          <w:sz w:val="22"/>
          <w:szCs w:val="22"/>
        </w:rPr>
      </w:pPr>
    </w:p>
    <w:p w14:paraId="4F5F45C4" w14:textId="77777777" w:rsidR="00F308C6" w:rsidRPr="005D1E77" w:rsidRDefault="00F308C6" w:rsidP="00F308C6">
      <w:pPr>
        <w:pStyle w:val="Default"/>
        <w:ind w:left="1416"/>
        <w:jc w:val="both"/>
        <w:rPr>
          <w:rFonts w:ascii="Arial Narrow" w:hAnsi="Arial Narrow"/>
          <w:color w:val="auto"/>
          <w:sz w:val="22"/>
          <w:szCs w:val="22"/>
        </w:rPr>
      </w:pPr>
    </w:p>
    <w:p w14:paraId="15045788"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629EC263" w14:textId="77777777" w:rsidR="00F308C6" w:rsidRPr="005D1E77" w:rsidRDefault="00F308C6" w:rsidP="00F308C6">
      <w:pPr>
        <w:pStyle w:val="Default"/>
        <w:ind w:left="708"/>
        <w:jc w:val="both"/>
        <w:rPr>
          <w:rFonts w:ascii="Arial Narrow" w:hAnsi="Arial Narrow"/>
          <w:color w:val="auto"/>
          <w:sz w:val="22"/>
          <w:szCs w:val="22"/>
        </w:rPr>
      </w:pPr>
    </w:p>
    <w:p w14:paraId="7F9442D4" w14:textId="77777777" w:rsidR="00F308C6" w:rsidRPr="005D1E77" w:rsidRDefault="00F308C6" w:rsidP="00F308C6">
      <w:pPr>
        <w:pStyle w:val="Default"/>
        <w:ind w:left="708"/>
        <w:jc w:val="both"/>
        <w:rPr>
          <w:rFonts w:ascii="Arial Narrow" w:hAnsi="Arial Narrow"/>
          <w:color w:val="auto"/>
          <w:sz w:val="22"/>
          <w:szCs w:val="22"/>
        </w:rPr>
      </w:pPr>
    </w:p>
    <w:p w14:paraId="75D4AA4F"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c) Políticas de contabilidad significativas</w:t>
      </w:r>
      <w:r w:rsidRPr="005D1E77">
        <w:rPr>
          <w:rFonts w:ascii="Arial Narrow" w:hAnsi="Arial Narrow"/>
          <w:color w:val="auto"/>
          <w:sz w:val="22"/>
          <w:szCs w:val="22"/>
          <w:u w:val="single"/>
        </w:rPr>
        <w:t>.</w:t>
      </w:r>
    </w:p>
    <w:p w14:paraId="7A969D18" w14:textId="77777777" w:rsidR="00F308C6" w:rsidRPr="005D1E77" w:rsidRDefault="00F308C6" w:rsidP="00F308C6">
      <w:pPr>
        <w:pStyle w:val="Default"/>
        <w:jc w:val="both"/>
        <w:rPr>
          <w:rFonts w:ascii="Arial Narrow" w:hAnsi="Arial Narrow"/>
          <w:color w:val="auto"/>
          <w:sz w:val="22"/>
          <w:szCs w:val="22"/>
        </w:rPr>
      </w:pPr>
    </w:p>
    <w:p w14:paraId="7F15A06B" w14:textId="77777777"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Actualización: la información presentada en los estados financieros no reconoce los efectos de la inflación, por tanto, se presentan a valor histórico.</w:t>
      </w:r>
    </w:p>
    <w:p w14:paraId="7BB82F10" w14:textId="77777777"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Operaciones en el extranjero: se informa que este ente no realiza operaciones en el extranjero.</w:t>
      </w:r>
    </w:p>
    <w:p w14:paraId="63F2854D" w14:textId="77777777" w:rsidR="00F308C6" w:rsidRPr="005D1E77" w:rsidRDefault="00F308C6" w:rsidP="00F308C6">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Método de valuación de inversiones en acciones en el sector paraestatal: se informa que el mismo Ente no tiene inversiones en acciones en el sector paraestatal.</w:t>
      </w:r>
    </w:p>
    <w:p w14:paraId="69F0CAFD" w14:textId="77777777" w:rsidR="00F308C6" w:rsidRDefault="00F308C6" w:rsidP="00F308C6">
      <w:pPr>
        <w:pStyle w:val="Default"/>
        <w:numPr>
          <w:ilvl w:val="0"/>
          <w:numId w:val="10"/>
        </w:numPr>
        <w:jc w:val="both"/>
        <w:rPr>
          <w:rFonts w:ascii="Arial Narrow" w:hAnsi="Arial Narrow"/>
          <w:color w:val="auto"/>
          <w:sz w:val="22"/>
          <w:szCs w:val="22"/>
        </w:rPr>
      </w:pPr>
      <w:r w:rsidRPr="00685244">
        <w:rPr>
          <w:rFonts w:ascii="Arial Narrow" w:hAnsi="Arial Narrow"/>
          <w:color w:val="auto"/>
          <w:sz w:val="22"/>
          <w:szCs w:val="22"/>
        </w:rPr>
        <w:t>Método de valuación de inventarios: debido a las actividades que realiza este Ente público, no tiene manejo de inventarios de materia prima y materiales.</w:t>
      </w:r>
    </w:p>
    <w:p w14:paraId="55A83AF4" w14:textId="77777777" w:rsidR="00F308C6" w:rsidRDefault="00F308C6" w:rsidP="00F308C6">
      <w:pPr>
        <w:pStyle w:val="Default"/>
        <w:jc w:val="both"/>
        <w:rPr>
          <w:rFonts w:ascii="Arial Narrow" w:hAnsi="Arial Narrow"/>
          <w:color w:val="auto"/>
          <w:sz w:val="22"/>
          <w:szCs w:val="22"/>
        </w:rPr>
      </w:pPr>
    </w:p>
    <w:p w14:paraId="31EA83D3" w14:textId="77777777" w:rsidR="00F308C6" w:rsidRDefault="00F308C6" w:rsidP="00F308C6">
      <w:pPr>
        <w:pStyle w:val="Default"/>
        <w:jc w:val="both"/>
        <w:rPr>
          <w:rFonts w:ascii="Arial Narrow" w:hAnsi="Arial Narrow"/>
          <w:color w:val="auto"/>
          <w:sz w:val="22"/>
          <w:szCs w:val="22"/>
        </w:rPr>
      </w:pPr>
    </w:p>
    <w:p w14:paraId="0CCFFFAF" w14:textId="77777777" w:rsidR="00F308C6" w:rsidRPr="00685244" w:rsidRDefault="00F308C6" w:rsidP="00F308C6">
      <w:pPr>
        <w:pStyle w:val="Default"/>
        <w:jc w:val="both"/>
        <w:rPr>
          <w:rFonts w:ascii="Arial Narrow" w:hAnsi="Arial Narrow"/>
          <w:color w:val="auto"/>
          <w:sz w:val="22"/>
          <w:szCs w:val="22"/>
        </w:rPr>
      </w:pPr>
    </w:p>
    <w:p w14:paraId="2290A1BC" w14:textId="77777777" w:rsidR="00F308C6" w:rsidRPr="005D1E77" w:rsidRDefault="00F308C6" w:rsidP="00F308C6">
      <w:pPr>
        <w:pStyle w:val="Default"/>
        <w:ind w:left="720"/>
        <w:jc w:val="both"/>
        <w:rPr>
          <w:rFonts w:ascii="Arial Narrow" w:hAnsi="Arial Narrow"/>
          <w:color w:val="auto"/>
          <w:sz w:val="22"/>
          <w:szCs w:val="22"/>
        </w:rPr>
      </w:pPr>
      <w:r w:rsidRPr="005D1E77">
        <w:rPr>
          <w:rFonts w:ascii="Arial Narrow" w:hAnsi="Arial Narrow"/>
          <w:color w:val="auto"/>
          <w:sz w:val="22"/>
          <w:szCs w:val="22"/>
        </w:rPr>
        <w:t>.</w:t>
      </w:r>
    </w:p>
    <w:p w14:paraId="219975E0" w14:textId="77777777" w:rsidR="00F308C6" w:rsidRPr="005D1E77" w:rsidRDefault="00F308C6" w:rsidP="00F308C6">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lastRenderedPageBreak/>
        <w:t>d)  Posición en moneda extranjera y protección por riesgo cambiario</w:t>
      </w:r>
      <w:r w:rsidRPr="005D1E77">
        <w:rPr>
          <w:rFonts w:ascii="Arial Narrow" w:hAnsi="Arial Narrow"/>
          <w:color w:val="auto"/>
          <w:sz w:val="22"/>
          <w:szCs w:val="22"/>
          <w:u w:val="single"/>
        </w:rPr>
        <w:t>.</w:t>
      </w:r>
    </w:p>
    <w:p w14:paraId="174BDE48" w14:textId="77777777" w:rsidR="00F308C6" w:rsidRPr="005D1E77" w:rsidRDefault="00F308C6" w:rsidP="00F308C6">
      <w:pPr>
        <w:pStyle w:val="Default"/>
        <w:jc w:val="both"/>
        <w:rPr>
          <w:rFonts w:ascii="Arial Narrow" w:hAnsi="Arial Narrow"/>
          <w:color w:val="auto"/>
          <w:sz w:val="22"/>
          <w:szCs w:val="22"/>
        </w:rPr>
      </w:pPr>
    </w:p>
    <w:p w14:paraId="549B23B5"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Este Ente público no tiene activos o pasivos en moneda extranjera.</w:t>
      </w:r>
    </w:p>
    <w:p w14:paraId="5EB5AF64" w14:textId="77777777" w:rsidR="00F308C6" w:rsidRPr="005D1E77" w:rsidRDefault="00F308C6" w:rsidP="00F308C6">
      <w:pPr>
        <w:pStyle w:val="Default"/>
        <w:jc w:val="both"/>
        <w:rPr>
          <w:rFonts w:ascii="Arial Narrow" w:hAnsi="Arial Narrow"/>
          <w:color w:val="auto"/>
          <w:sz w:val="22"/>
          <w:szCs w:val="22"/>
        </w:rPr>
      </w:pPr>
    </w:p>
    <w:p w14:paraId="7B168AF5" w14:textId="77777777" w:rsidR="00F308C6" w:rsidRPr="005D1E77" w:rsidRDefault="00F308C6" w:rsidP="00F308C6">
      <w:pPr>
        <w:pStyle w:val="Default"/>
        <w:jc w:val="both"/>
        <w:rPr>
          <w:rFonts w:ascii="Arial Narrow" w:hAnsi="Arial Narrow"/>
          <w:color w:val="auto"/>
          <w:sz w:val="22"/>
          <w:szCs w:val="22"/>
        </w:rPr>
      </w:pPr>
    </w:p>
    <w:p w14:paraId="2ADDCDF8" w14:textId="77777777" w:rsidR="00F308C6" w:rsidRPr="00B61F13" w:rsidRDefault="00F308C6" w:rsidP="00F308C6">
      <w:pPr>
        <w:pStyle w:val="Default"/>
        <w:jc w:val="both"/>
        <w:rPr>
          <w:rFonts w:ascii="Arial Narrow" w:hAnsi="Arial Narrow"/>
          <w:b/>
          <w:color w:val="auto"/>
          <w:sz w:val="22"/>
          <w:szCs w:val="22"/>
        </w:rPr>
      </w:pPr>
      <w:r w:rsidRPr="00B61F13">
        <w:rPr>
          <w:rFonts w:ascii="Arial Narrow" w:hAnsi="Arial Narrow"/>
          <w:b/>
          <w:color w:val="auto"/>
          <w:sz w:val="22"/>
          <w:szCs w:val="22"/>
        </w:rPr>
        <w:t>7.</w:t>
      </w:r>
      <w:proofErr w:type="gramStart"/>
      <w:r w:rsidRPr="00B61F13">
        <w:rPr>
          <w:rFonts w:ascii="Arial Narrow" w:hAnsi="Arial Narrow"/>
          <w:b/>
          <w:color w:val="auto"/>
          <w:sz w:val="22"/>
          <w:szCs w:val="22"/>
        </w:rPr>
        <w:t>-  Reporte</w:t>
      </w:r>
      <w:proofErr w:type="gramEnd"/>
      <w:r w:rsidRPr="00B61F13">
        <w:rPr>
          <w:rFonts w:ascii="Arial Narrow" w:hAnsi="Arial Narrow"/>
          <w:b/>
          <w:color w:val="auto"/>
          <w:sz w:val="22"/>
          <w:szCs w:val="22"/>
        </w:rPr>
        <w:t xml:space="preserve"> analítico del activo</w:t>
      </w:r>
    </w:p>
    <w:p w14:paraId="1A336B67" w14:textId="77777777" w:rsidR="00F308C6" w:rsidRPr="005D1E77" w:rsidRDefault="00F308C6" w:rsidP="00F308C6">
      <w:pPr>
        <w:pStyle w:val="Default"/>
        <w:jc w:val="both"/>
        <w:rPr>
          <w:rFonts w:ascii="Arial Narrow" w:hAnsi="Arial Narrow"/>
          <w:color w:val="auto"/>
          <w:sz w:val="22"/>
          <w:szCs w:val="22"/>
        </w:rPr>
      </w:pPr>
    </w:p>
    <w:p w14:paraId="41AC0CC2" w14:textId="77777777" w:rsidR="00F308C6" w:rsidRPr="005D1E77" w:rsidRDefault="00F308C6" w:rsidP="00F308C6">
      <w:pPr>
        <w:pStyle w:val="Default"/>
        <w:rPr>
          <w:rFonts w:ascii="Arial Narrow" w:hAnsi="Arial Narrow"/>
          <w:b/>
          <w:bCs/>
          <w:i/>
          <w:iCs/>
          <w:color w:val="auto"/>
          <w:sz w:val="22"/>
          <w:szCs w:val="22"/>
        </w:rPr>
      </w:pPr>
      <w:r w:rsidRPr="005D1E77">
        <w:rPr>
          <w:rFonts w:ascii="Arial Narrow" w:hAnsi="Arial Narrow"/>
          <w:b/>
          <w:bCs/>
          <w:i/>
          <w:iCs/>
          <w:color w:val="auto"/>
          <w:sz w:val="22"/>
          <w:szCs w:val="22"/>
        </w:rPr>
        <w:t>Efectivo y equivalentes al efectivo.</w:t>
      </w:r>
    </w:p>
    <w:p w14:paraId="00724D1D" w14:textId="77777777" w:rsidR="00F308C6" w:rsidRPr="005D1E77" w:rsidRDefault="00F308C6" w:rsidP="00F308C6">
      <w:pPr>
        <w:pStyle w:val="Default"/>
        <w:rPr>
          <w:rFonts w:ascii="Arial Narrow" w:hAnsi="Arial Narrow"/>
          <w:color w:val="auto"/>
          <w:sz w:val="22"/>
          <w:szCs w:val="22"/>
        </w:rPr>
      </w:pPr>
    </w:p>
    <w:p w14:paraId="3C0514D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29FC9A7A" w14:textId="77777777" w:rsidR="00F308C6" w:rsidRPr="005D1E77" w:rsidRDefault="00F308C6" w:rsidP="00F308C6">
      <w:pPr>
        <w:pStyle w:val="Default"/>
        <w:jc w:val="both"/>
        <w:rPr>
          <w:rFonts w:ascii="Arial Narrow" w:hAnsi="Arial Narrow"/>
          <w:color w:val="auto"/>
          <w:sz w:val="22"/>
          <w:szCs w:val="22"/>
        </w:rPr>
      </w:pPr>
    </w:p>
    <w:p w14:paraId="5ABF059F" w14:textId="77777777" w:rsidR="00F308C6" w:rsidRPr="005D1E77" w:rsidRDefault="00F308C6" w:rsidP="00F308C6">
      <w:pPr>
        <w:pStyle w:val="Default"/>
        <w:jc w:val="both"/>
        <w:rPr>
          <w:rFonts w:ascii="Arial Narrow" w:hAnsi="Arial Narrow"/>
          <w:color w:val="auto"/>
          <w:sz w:val="22"/>
          <w:szCs w:val="22"/>
        </w:rPr>
      </w:pPr>
    </w:p>
    <w:p w14:paraId="6D4793A7" w14:textId="77777777" w:rsidR="00F308C6" w:rsidRPr="00B61F13" w:rsidRDefault="00F308C6" w:rsidP="00F308C6">
      <w:pPr>
        <w:pStyle w:val="Default"/>
        <w:jc w:val="both"/>
        <w:rPr>
          <w:rFonts w:ascii="Arial Narrow" w:hAnsi="Arial Narrow"/>
          <w:b/>
          <w:color w:val="auto"/>
          <w:sz w:val="22"/>
          <w:szCs w:val="22"/>
        </w:rPr>
      </w:pPr>
      <w:r w:rsidRPr="00B61F13">
        <w:rPr>
          <w:rFonts w:ascii="Arial Narrow" w:hAnsi="Arial Narrow"/>
          <w:b/>
          <w:color w:val="auto"/>
          <w:sz w:val="22"/>
          <w:szCs w:val="22"/>
        </w:rPr>
        <w:t>8.- Bienes muebles e inmuebles.</w:t>
      </w:r>
    </w:p>
    <w:p w14:paraId="6DF86746" w14:textId="77777777" w:rsidR="00F308C6" w:rsidRPr="005D1E77" w:rsidRDefault="00F308C6" w:rsidP="00F308C6">
      <w:pPr>
        <w:pStyle w:val="Default"/>
        <w:rPr>
          <w:rFonts w:ascii="Arial Narrow" w:hAnsi="Arial Narrow"/>
          <w:b/>
          <w:color w:val="auto"/>
          <w:sz w:val="22"/>
          <w:szCs w:val="22"/>
        </w:rPr>
      </w:pPr>
    </w:p>
    <w:p w14:paraId="6D9EE123"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w:t>
      </w:r>
      <w:r>
        <w:rPr>
          <w:rFonts w:ascii="Arial Narrow" w:hAnsi="Arial Narrow"/>
          <w:color w:val="auto"/>
          <w:sz w:val="22"/>
          <w:szCs w:val="22"/>
        </w:rPr>
        <w:t>a</w:t>
      </w:r>
      <w:r w:rsidRPr="005D1E77">
        <w:rPr>
          <w:rFonts w:ascii="Arial Narrow" w:hAnsi="Arial Narrow"/>
          <w:color w:val="auto"/>
          <w:sz w:val="22"/>
          <w:szCs w:val="22"/>
        </w:rPr>
        <w:t xml:space="preserve"> de cada componente. </w:t>
      </w:r>
    </w:p>
    <w:p w14:paraId="032FED89" w14:textId="77777777" w:rsidR="00F308C6" w:rsidRPr="005D1E77" w:rsidRDefault="00F308C6" w:rsidP="00F308C6">
      <w:pPr>
        <w:pStyle w:val="Default"/>
        <w:jc w:val="both"/>
        <w:rPr>
          <w:rFonts w:ascii="Arial Narrow" w:hAnsi="Arial Narrow"/>
          <w:color w:val="auto"/>
          <w:sz w:val="22"/>
          <w:szCs w:val="22"/>
        </w:rPr>
      </w:pPr>
    </w:p>
    <w:p w14:paraId="60B850F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El terreno no se deprecia. </w:t>
      </w:r>
    </w:p>
    <w:p w14:paraId="1A064C41" w14:textId="77777777" w:rsidR="00F308C6" w:rsidRPr="005D1E77" w:rsidRDefault="00F308C6" w:rsidP="00F308C6">
      <w:pPr>
        <w:pStyle w:val="Default"/>
        <w:jc w:val="both"/>
        <w:rPr>
          <w:rFonts w:ascii="Arial Narrow" w:hAnsi="Arial Narrow"/>
          <w:color w:val="auto"/>
          <w:sz w:val="22"/>
          <w:szCs w:val="22"/>
        </w:rPr>
      </w:pPr>
    </w:p>
    <w:p w14:paraId="7EA81926"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La vida útil estimada para los períodos actuales y comparativos de las partidas significativas de propiedades, planta y equipo </w:t>
      </w:r>
      <w:r>
        <w:rPr>
          <w:rFonts w:ascii="Arial Narrow" w:hAnsi="Arial Narrow"/>
          <w:color w:val="auto"/>
          <w:sz w:val="22"/>
          <w:szCs w:val="22"/>
        </w:rPr>
        <w:t>es la</w:t>
      </w:r>
      <w:r w:rsidRPr="005D1E77">
        <w:rPr>
          <w:rFonts w:ascii="Arial Narrow" w:hAnsi="Arial Narrow"/>
          <w:color w:val="auto"/>
          <w:sz w:val="22"/>
          <w:szCs w:val="22"/>
        </w:rPr>
        <w:t xml:space="preserve"> siguiente: </w:t>
      </w:r>
    </w:p>
    <w:p w14:paraId="11D9C836" w14:textId="77777777" w:rsidR="00F308C6" w:rsidRPr="005D1E77" w:rsidRDefault="00F308C6" w:rsidP="00F308C6">
      <w:pPr>
        <w:pStyle w:val="Default"/>
        <w:jc w:val="both"/>
        <w:rPr>
          <w:rFonts w:ascii="Arial Narrow" w:hAnsi="Arial Narrow"/>
          <w:color w:val="auto"/>
          <w:sz w:val="22"/>
          <w:szCs w:val="22"/>
        </w:rPr>
      </w:pPr>
    </w:p>
    <w:p w14:paraId="6AE26767" w14:textId="77777777" w:rsidR="00F308C6" w:rsidRPr="005D1E77" w:rsidRDefault="00F308C6" w:rsidP="00F308C6">
      <w:pPr>
        <w:pStyle w:val="Default"/>
        <w:jc w:val="both"/>
        <w:rPr>
          <w:rFonts w:ascii="Arial Narrow" w:hAnsi="Arial Narrow"/>
          <w:color w:val="auto"/>
          <w:sz w:val="22"/>
          <w:szCs w:val="22"/>
        </w:rPr>
      </w:pPr>
    </w:p>
    <w:p w14:paraId="0AA5C592" w14:textId="77777777" w:rsidR="00F308C6" w:rsidRPr="005D1E77" w:rsidRDefault="00F308C6" w:rsidP="00F308C6">
      <w:pPr>
        <w:pStyle w:val="Default"/>
        <w:jc w:val="both"/>
        <w:rPr>
          <w:rFonts w:ascii="Arial Narrow" w:hAnsi="Arial Narrow"/>
          <w:color w:val="auto"/>
          <w:sz w:val="22"/>
          <w:szCs w:val="22"/>
        </w:rPr>
      </w:pPr>
      <w:r w:rsidRPr="005D1E77">
        <w:rPr>
          <w:rFonts w:ascii="Arial Narrow" w:hAnsi="Arial Narrow"/>
          <w:color w:val="auto"/>
          <w:sz w:val="22"/>
          <w:szCs w:val="22"/>
        </w:rPr>
        <w:t xml:space="preserve">                                                 Años </w:t>
      </w:r>
    </w:p>
    <w:p w14:paraId="14991BED"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Edificios                                    30 </w:t>
      </w:r>
    </w:p>
    <w:p w14:paraId="50D11B2E"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Maquinaria y herramientas      10</w:t>
      </w:r>
    </w:p>
    <w:p w14:paraId="010C8384"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Muebles y equipo de oficina    10 </w:t>
      </w:r>
    </w:p>
    <w:p w14:paraId="581DFD39"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Equipo de transporte                 5  </w:t>
      </w:r>
    </w:p>
    <w:p w14:paraId="11885C3C"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Equipo electrónico de datos      3 </w:t>
      </w:r>
    </w:p>
    <w:p w14:paraId="374737A6" w14:textId="77777777" w:rsidR="00F308C6" w:rsidRPr="005D1E77" w:rsidRDefault="00F308C6" w:rsidP="00F308C6">
      <w:pPr>
        <w:pStyle w:val="Default"/>
        <w:rPr>
          <w:rFonts w:ascii="Arial Narrow" w:hAnsi="Arial Narrow"/>
          <w:color w:val="auto"/>
          <w:sz w:val="22"/>
          <w:szCs w:val="22"/>
        </w:rPr>
      </w:pPr>
    </w:p>
    <w:p w14:paraId="422EAA94" w14:textId="77777777" w:rsidR="00F308C6" w:rsidRPr="005D1E77" w:rsidRDefault="00F308C6" w:rsidP="00F308C6">
      <w:pPr>
        <w:pStyle w:val="Default"/>
        <w:rPr>
          <w:rFonts w:ascii="Arial Narrow" w:hAnsi="Arial Narrow"/>
          <w:color w:val="auto"/>
          <w:sz w:val="22"/>
          <w:szCs w:val="22"/>
        </w:rPr>
      </w:pPr>
      <w:r w:rsidRPr="005D1E77">
        <w:rPr>
          <w:rFonts w:ascii="Arial Narrow" w:hAnsi="Arial Narrow"/>
          <w:color w:val="auto"/>
          <w:sz w:val="22"/>
          <w:szCs w:val="22"/>
        </w:rPr>
        <w:t xml:space="preserve">Los métodos de depreciación, vida útil y valores residuales son revisados en cada ejercicio y se ajustan si es necesario. </w:t>
      </w:r>
    </w:p>
    <w:p w14:paraId="1352D05A" w14:textId="77777777" w:rsidR="00F308C6" w:rsidRPr="005D1E77" w:rsidRDefault="00F308C6" w:rsidP="00F308C6">
      <w:pPr>
        <w:pStyle w:val="Default"/>
        <w:rPr>
          <w:rFonts w:ascii="Arial Narrow" w:hAnsi="Arial Narrow"/>
          <w:sz w:val="22"/>
          <w:szCs w:val="22"/>
        </w:rPr>
      </w:pPr>
    </w:p>
    <w:p w14:paraId="6B0FC557" w14:textId="77777777" w:rsidR="00F308C6" w:rsidRPr="005D1E77" w:rsidRDefault="00F308C6" w:rsidP="00F308C6">
      <w:pPr>
        <w:spacing w:after="0" w:line="240" w:lineRule="auto"/>
        <w:rPr>
          <w:rFonts w:ascii="Arial Narrow" w:hAnsi="Arial Narrow"/>
        </w:rPr>
      </w:pPr>
    </w:p>
    <w:p w14:paraId="571280BB" w14:textId="77777777" w:rsidR="00F308C6" w:rsidRPr="005D1E77" w:rsidRDefault="00F308C6" w:rsidP="00F308C6">
      <w:pPr>
        <w:jc w:val="both"/>
        <w:rPr>
          <w:rFonts w:ascii="Arial Narrow" w:hAnsi="Arial Narrow"/>
        </w:rPr>
      </w:pPr>
      <w:r w:rsidRPr="005D1E77">
        <w:rPr>
          <w:rFonts w:ascii="Arial Narrow" w:hAnsi="Arial Narrow"/>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7BE175F3" w14:textId="77777777" w:rsidR="00F308C6" w:rsidRDefault="00F308C6" w:rsidP="00F308C6">
      <w:pPr>
        <w:jc w:val="both"/>
        <w:rPr>
          <w:rFonts w:ascii="Arial Narrow" w:hAnsi="Arial Narrow"/>
        </w:rPr>
      </w:pPr>
      <w:r w:rsidRPr="005D1E77">
        <w:rPr>
          <w:rFonts w:ascii="Arial Narrow" w:hAnsi="Arial Narrow"/>
        </w:rPr>
        <w:t xml:space="preserve">Así mismo, no han sido depreciados ni revaluados en su caso los bienes muebles e inmuebles se encuentran en proceso de depuración y registro de los movimientos. </w:t>
      </w:r>
    </w:p>
    <w:p w14:paraId="1376DA53" w14:textId="77777777" w:rsidR="00F308C6" w:rsidRPr="005D1E77" w:rsidRDefault="00F308C6" w:rsidP="00F308C6">
      <w:pPr>
        <w:jc w:val="both"/>
        <w:rPr>
          <w:rFonts w:ascii="Arial Narrow" w:hAnsi="Arial Narrow"/>
        </w:rPr>
      </w:pPr>
    </w:p>
    <w:p w14:paraId="51A25D1F" w14:textId="77777777" w:rsidR="00F308C6" w:rsidRPr="00B61F13" w:rsidRDefault="00F308C6" w:rsidP="00F308C6">
      <w:pPr>
        <w:rPr>
          <w:rFonts w:ascii="Arial Narrow" w:hAnsi="Arial Narrow"/>
          <w:b/>
        </w:rPr>
      </w:pPr>
      <w:r w:rsidRPr="00B61F13">
        <w:rPr>
          <w:rFonts w:ascii="Arial Narrow" w:hAnsi="Arial Narrow"/>
          <w:b/>
        </w:rPr>
        <w:t>9. Fideicomisos, mandatos y análogos.</w:t>
      </w:r>
    </w:p>
    <w:p w14:paraId="5CDB463A" w14:textId="77777777" w:rsidR="00F308C6" w:rsidRPr="005D1E77" w:rsidRDefault="00F308C6" w:rsidP="00F308C6">
      <w:pPr>
        <w:rPr>
          <w:rFonts w:ascii="Arial Narrow" w:hAnsi="Arial Narrow"/>
        </w:rPr>
      </w:pPr>
      <w:r w:rsidRPr="005D1E77">
        <w:rPr>
          <w:rFonts w:ascii="Arial Narrow" w:hAnsi="Arial Narrow"/>
        </w:rPr>
        <w:t>No aplica.</w:t>
      </w:r>
    </w:p>
    <w:p w14:paraId="63220259" w14:textId="77777777" w:rsidR="00F308C6" w:rsidRPr="00B61F13" w:rsidRDefault="00F308C6" w:rsidP="00F308C6">
      <w:pPr>
        <w:rPr>
          <w:rFonts w:ascii="Arial Narrow" w:hAnsi="Arial Narrow"/>
          <w:b/>
        </w:rPr>
      </w:pPr>
      <w:r w:rsidRPr="00B61F13">
        <w:rPr>
          <w:rFonts w:ascii="Arial Narrow" w:hAnsi="Arial Narrow"/>
          <w:b/>
        </w:rPr>
        <w:t>10. Reporte de recaudación.</w:t>
      </w:r>
    </w:p>
    <w:p w14:paraId="2AC10406" w14:textId="77777777" w:rsidR="00F308C6" w:rsidRPr="000E55A9" w:rsidRDefault="00F308C6" w:rsidP="00F308C6">
      <w:pPr>
        <w:rPr>
          <w:rFonts w:ascii="Arial Narrow" w:hAnsi="Arial Narrow"/>
          <w:b/>
          <w:bCs/>
          <w:color w:val="FF0000"/>
          <w:u w:val="single"/>
        </w:rPr>
      </w:pPr>
      <w:r w:rsidRPr="000E55A9">
        <w:rPr>
          <w:rFonts w:ascii="Arial Narrow" w:hAnsi="Arial Narrow"/>
          <w:b/>
          <w:bCs/>
          <w:u w:val="single"/>
        </w:rPr>
        <w:t>a) Análisis del comportamiento de la recaudación:</w:t>
      </w:r>
    </w:p>
    <w:p w14:paraId="49C41F0A" w14:textId="14401E61" w:rsidR="00F308C6" w:rsidRPr="005D1E77" w:rsidRDefault="00F308C6" w:rsidP="00F308C6">
      <w:pPr>
        <w:jc w:val="both"/>
        <w:rPr>
          <w:rFonts w:ascii="Arial Narrow" w:hAnsi="Arial Narrow"/>
        </w:rPr>
      </w:pPr>
      <w:r w:rsidRPr="00B61F13">
        <w:rPr>
          <w:rFonts w:ascii="Arial Narrow" w:hAnsi="Arial Narrow"/>
        </w:rPr>
        <w:t xml:space="preserve">El comportamiento de recaudación del Ente </w:t>
      </w:r>
      <w:r>
        <w:rPr>
          <w:rFonts w:ascii="Arial Narrow" w:hAnsi="Arial Narrow"/>
        </w:rPr>
        <w:t>depende</w:t>
      </w:r>
      <w:r w:rsidRPr="00B61F13">
        <w:rPr>
          <w:rFonts w:ascii="Arial Narrow" w:hAnsi="Arial Narrow"/>
        </w:rPr>
        <w:t xml:space="preserve"> </w:t>
      </w:r>
      <w:r>
        <w:rPr>
          <w:rFonts w:ascii="Arial Narrow" w:hAnsi="Arial Narrow"/>
        </w:rPr>
        <w:t xml:space="preserve">de </w:t>
      </w:r>
      <w:proofErr w:type="gramStart"/>
      <w:r>
        <w:rPr>
          <w:rFonts w:ascii="Arial Narrow" w:hAnsi="Arial Narrow"/>
        </w:rPr>
        <w:t xml:space="preserve">las </w:t>
      </w:r>
      <w:r w:rsidRPr="00B61F13">
        <w:rPr>
          <w:rFonts w:ascii="Arial Narrow" w:hAnsi="Arial Narrow"/>
        </w:rPr>
        <w:t xml:space="preserve"> participaciones</w:t>
      </w:r>
      <w:proofErr w:type="gramEnd"/>
      <w:r w:rsidRPr="00B61F13">
        <w:rPr>
          <w:rFonts w:ascii="Arial Narrow" w:hAnsi="Arial Narrow"/>
        </w:rPr>
        <w:t xml:space="preserve"> estatales provenientes del Poder Ejecutivo y sólo un 1.</w:t>
      </w:r>
      <w:r w:rsidR="008007BB">
        <w:rPr>
          <w:rFonts w:ascii="Arial Narrow" w:hAnsi="Arial Narrow"/>
        </w:rPr>
        <w:t>50</w:t>
      </w:r>
      <w:r w:rsidRPr="00B61F13">
        <w:rPr>
          <w:rFonts w:ascii="Arial Narrow" w:hAnsi="Arial Narrow"/>
        </w:rPr>
        <w:t xml:space="preserve"> %  se recaud</w:t>
      </w:r>
      <w:r w:rsidR="008007BB">
        <w:rPr>
          <w:rFonts w:ascii="Arial Narrow" w:hAnsi="Arial Narrow"/>
        </w:rPr>
        <w:t>ó</w:t>
      </w:r>
      <w:r w:rsidRPr="00B61F13">
        <w:rPr>
          <w:rFonts w:ascii="Arial Narrow" w:hAnsi="Arial Narrow"/>
        </w:rPr>
        <w:t xml:space="preserve"> por Ingresos por </w:t>
      </w:r>
      <w:r>
        <w:rPr>
          <w:rFonts w:ascii="Arial Narrow" w:hAnsi="Arial Narrow"/>
        </w:rPr>
        <w:t>v</w:t>
      </w:r>
      <w:r w:rsidRPr="00B61F13">
        <w:rPr>
          <w:rFonts w:ascii="Arial Narrow" w:hAnsi="Arial Narrow"/>
        </w:rPr>
        <w:t>enta de bienes y servicios del Poder Judicial</w:t>
      </w:r>
      <w:r>
        <w:rPr>
          <w:rFonts w:ascii="Arial Narrow" w:hAnsi="Arial Narrow"/>
        </w:rPr>
        <w:t xml:space="preserve"> y </w:t>
      </w:r>
      <w:r w:rsidRPr="00B61F13">
        <w:rPr>
          <w:rFonts w:ascii="Arial Narrow" w:hAnsi="Arial Narrow"/>
        </w:rPr>
        <w:t>Productos de tipo corriente</w:t>
      </w:r>
      <w:r w:rsidRPr="005D1E77">
        <w:rPr>
          <w:rFonts w:ascii="Arial Narrow" w:hAnsi="Arial Narrow"/>
        </w:rPr>
        <w:t xml:space="preserve">. </w:t>
      </w:r>
    </w:p>
    <w:p w14:paraId="03E799B4" w14:textId="77777777" w:rsidR="00F308C6" w:rsidRPr="000E55A9" w:rsidRDefault="00F308C6" w:rsidP="00F308C6">
      <w:pPr>
        <w:jc w:val="both"/>
        <w:rPr>
          <w:rFonts w:ascii="Arial Narrow" w:hAnsi="Arial Narrow"/>
          <w:b/>
          <w:bCs/>
          <w:u w:val="single"/>
        </w:rPr>
      </w:pPr>
      <w:r w:rsidRPr="000E55A9">
        <w:rPr>
          <w:rFonts w:ascii="Arial Narrow" w:hAnsi="Arial Narrow"/>
          <w:b/>
          <w:bCs/>
          <w:u w:val="single"/>
        </w:rPr>
        <w:t>b) Proyección de la recaudación e ingresos en el mediano plazo:</w:t>
      </w:r>
    </w:p>
    <w:p w14:paraId="67004469" w14:textId="1825EC0E" w:rsidR="00F308C6" w:rsidRPr="005D1E77" w:rsidRDefault="00F308C6" w:rsidP="00F308C6">
      <w:pPr>
        <w:jc w:val="both"/>
        <w:rPr>
          <w:rFonts w:ascii="Arial Narrow" w:hAnsi="Arial Narrow"/>
        </w:rPr>
      </w:pPr>
      <w:r w:rsidRPr="005D1E77">
        <w:rPr>
          <w:rFonts w:ascii="Arial Narrow" w:hAnsi="Arial Narrow"/>
        </w:rPr>
        <w:t>El Ente cuenta con una dependencia presupuestal de la Secretaría de Planeación y Finanzas del Poder Ejecutivo en un 9</w:t>
      </w:r>
      <w:r>
        <w:rPr>
          <w:rFonts w:ascii="Arial Narrow" w:hAnsi="Arial Narrow"/>
        </w:rPr>
        <w:t>8.</w:t>
      </w:r>
      <w:r w:rsidR="008007BB">
        <w:rPr>
          <w:rFonts w:ascii="Arial Narrow" w:hAnsi="Arial Narrow"/>
        </w:rPr>
        <w:t>50</w:t>
      </w:r>
      <w:r w:rsidRPr="005D1E77">
        <w:rPr>
          <w:rFonts w:ascii="Arial Narrow" w:hAnsi="Arial Narrow"/>
        </w:rPr>
        <w:t xml:space="preserve">% y es a través de un calendario de ministraciones mensuales </w:t>
      </w:r>
      <w:r>
        <w:rPr>
          <w:rFonts w:ascii="Arial Narrow" w:hAnsi="Arial Narrow"/>
        </w:rPr>
        <w:t>a través del cual, la</w:t>
      </w:r>
      <w:r w:rsidRPr="005D1E77">
        <w:rPr>
          <w:rFonts w:ascii="Arial Narrow" w:hAnsi="Arial Narrow"/>
        </w:rPr>
        <w:t xml:space="preserve"> Secretaría suministra el recurso de acuerdo al presupuesto autorizado y aprobado por el Congreso del Estado.     </w:t>
      </w:r>
    </w:p>
    <w:p w14:paraId="05A53A77"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1</w:t>
      </w:r>
      <w:r w:rsidRPr="000E55A9">
        <w:rPr>
          <w:rFonts w:ascii="Arial Narrow" w:hAnsi="Arial Narrow"/>
          <w:b/>
        </w:rPr>
        <w:t>. Calificaciones otorgadas.</w:t>
      </w:r>
    </w:p>
    <w:p w14:paraId="2EC09BD5" w14:textId="77777777" w:rsidR="00F308C6" w:rsidRPr="005D1E77" w:rsidRDefault="00F308C6" w:rsidP="00F308C6">
      <w:pPr>
        <w:jc w:val="both"/>
        <w:rPr>
          <w:rFonts w:ascii="Arial Narrow" w:hAnsi="Arial Narrow"/>
        </w:rPr>
      </w:pPr>
      <w:r w:rsidRPr="005D1E77">
        <w:rPr>
          <w:rFonts w:ascii="Arial Narrow" w:hAnsi="Arial Narrow"/>
        </w:rPr>
        <w:t>El resultado de la</w:t>
      </w:r>
      <w:r>
        <w:rPr>
          <w:rFonts w:ascii="Arial Narrow" w:hAnsi="Arial Narrow"/>
        </w:rPr>
        <w:t xml:space="preserve"> última evaluación fue </w:t>
      </w:r>
      <w:r w:rsidRPr="005D1E77">
        <w:rPr>
          <w:rFonts w:ascii="Arial Narrow" w:hAnsi="Arial Narrow"/>
        </w:rPr>
        <w:t xml:space="preserve">del 100% en el índice de cumplimiento del Poder Judicial, determinado por el Sistema de Evaluación de Armonización Contable (SEVAC). </w:t>
      </w:r>
    </w:p>
    <w:p w14:paraId="2E27017D"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2</w:t>
      </w:r>
      <w:r w:rsidRPr="000E55A9">
        <w:rPr>
          <w:rFonts w:ascii="Arial Narrow" w:hAnsi="Arial Narrow"/>
          <w:b/>
        </w:rPr>
        <w:t>. Proceso de mejora.</w:t>
      </w:r>
    </w:p>
    <w:p w14:paraId="2970DA59" w14:textId="77777777" w:rsidR="00F308C6" w:rsidRPr="000E55A9" w:rsidRDefault="00F308C6" w:rsidP="00F308C6">
      <w:pPr>
        <w:jc w:val="both"/>
        <w:rPr>
          <w:rFonts w:ascii="Arial Narrow" w:hAnsi="Arial Narrow"/>
          <w:b/>
          <w:bCs/>
          <w:u w:val="single"/>
        </w:rPr>
      </w:pPr>
      <w:r w:rsidRPr="000E55A9">
        <w:rPr>
          <w:rFonts w:ascii="Arial Narrow" w:hAnsi="Arial Narrow"/>
          <w:b/>
          <w:bCs/>
          <w:u w:val="single"/>
        </w:rPr>
        <w:t>a) Principales políticas de control interno:</w:t>
      </w:r>
    </w:p>
    <w:p w14:paraId="0C95763E" w14:textId="339F6070" w:rsidR="00F308C6" w:rsidRPr="005D1E77" w:rsidRDefault="00F308C6" w:rsidP="00F308C6">
      <w:pPr>
        <w:jc w:val="both"/>
        <w:rPr>
          <w:rFonts w:ascii="Arial Narrow" w:hAnsi="Arial Narrow"/>
        </w:rPr>
      </w:pPr>
      <w:r w:rsidRPr="005D1E77">
        <w:rPr>
          <w:rFonts w:ascii="Arial Narrow" w:hAnsi="Arial Narrow"/>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5CE5DB19" w14:textId="77777777" w:rsidR="00F308C6" w:rsidRPr="000E55A9" w:rsidRDefault="00F308C6" w:rsidP="00F308C6">
      <w:pPr>
        <w:rPr>
          <w:rFonts w:ascii="Arial Narrow" w:hAnsi="Arial Narrow"/>
          <w:b/>
          <w:bCs/>
          <w:u w:val="single"/>
        </w:rPr>
      </w:pPr>
      <w:r w:rsidRPr="000E55A9">
        <w:rPr>
          <w:rFonts w:ascii="Arial Narrow" w:hAnsi="Arial Narrow"/>
          <w:b/>
          <w:bCs/>
          <w:u w:val="single"/>
        </w:rPr>
        <w:t>b) Medidas de desempeño financiero, metas y alcance:</w:t>
      </w:r>
    </w:p>
    <w:p w14:paraId="79133F38" w14:textId="77777777" w:rsidR="00F308C6" w:rsidRPr="005D1E77" w:rsidRDefault="00F308C6" w:rsidP="00F308C6">
      <w:pPr>
        <w:rPr>
          <w:rFonts w:ascii="Arial Narrow" w:hAnsi="Arial Narrow"/>
        </w:rPr>
      </w:pPr>
      <w:r w:rsidRPr="005D1E77">
        <w:rPr>
          <w:rFonts w:ascii="Arial Narrow" w:hAnsi="Arial Narrow"/>
        </w:rPr>
        <w:t>Se lleva a cabo un estudio de actividades por área administrativa a fin de evaluar el desempeño de acuerdo con lo programado y presupuestado (PBR) del ejercicio 20</w:t>
      </w:r>
      <w:r>
        <w:rPr>
          <w:rFonts w:ascii="Arial Narrow" w:hAnsi="Arial Narrow"/>
        </w:rPr>
        <w:t>20</w:t>
      </w:r>
      <w:r w:rsidRPr="005D1E77">
        <w:rPr>
          <w:rFonts w:ascii="Arial Narrow" w:hAnsi="Arial Narrow"/>
        </w:rPr>
        <w:t>.</w:t>
      </w:r>
    </w:p>
    <w:p w14:paraId="726D522F" w14:textId="77777777" w:rsidR="00F308C6" w:rsidRPr="005D1E77" w:rsidRDefault="00F308C6" w:rsidP="00F308C6">
      <w:pPr>
        <w:jc w:val="both"/>
        <w:rPr>
          <w:rFonts w:ascii="Arial Narrow" w:hAnsi="Arial Narrow"/>
        </w:rPr>
      </w:pPr>
      <w:r w:rsidRPr="005D1E77">
        <w:rPr>
          <w:rFonts w:ascii="Arial Narrow" w:hAnsi="Arial Narrow"/>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66F6C53D" w14:textId="77777777" w:rsidR="00F308C6" w:rsidRPr="000E55A9" w:rsidRDefault="00F308C6" w:rsidP="00F308C6">
      <w:pPr>
        <w:rPr>
          <w:rFonts w:ascii="Arial Narrow" w:hAnsi="Arial Narrow"/>
          <w:b/>
        </w:rPr>
      </w:pPr>
      <w:r w:rsidRPr="000E55A9">
        <w:rPr>
          <w:rFonts w:ascii="Arial Narrow" w:hAnsi="Arial Narrow"/>
          <w:b/>
        </w:rPr>
        <w:lastRenderedPageBreak/>
        <w:t>1</w:t>
      </w:r>
      <w:r>
        <w:rPr>
          <w:rFonts w:ascii="Arial Narrow" w:hAnsi="Arial Narrow"/>
          <w:b/>
        </w:rPr>
        <w:t>3</w:t>
      </w:r>
      <w:r w:rsidRPr="000E55A9">
        <w:rPr>
          <w:rFonts w:ascii="Arial Narrow" w:hAnsi="Arial Narrow"/>
          <w:b/>
        </w:rPr>
        <w:t>. Información por segmentos.</w:t>
      </w:r>
    </w:p>
    <w:p w14:paraId="23F9B238" w14:textId="77777777" w:rsidR="00F308C6" w:rsidRPr="005D1E77" w:rsidRDefault="00F308C6" w:rsidP="00F308C6">
      <w:pPr>
        <w:jc w:val="both"/>
        <w:rPr>
          <w:rFonts w:ascii="Arial Narrow" w:hAnsi="Arial Narrow"/>
        </w:rPr>
      </w:pPr>
      <w:r w:rsidRPr="005D1E77">
        <w:rPr>
          <w:rFonts w:ascii="Arial Narrow" w:hAnsi="Arial Narrow"/>
        </w:rPr>
        <w:t>Los resultados del segmento que son informados al presidente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3D36C7E4"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4</w:t>
      </w:r>
      <w:r w:rsidRPr="000E55A9">
        <w:rPr>
          <w:rFonts w:ascii="Arial Narrow" w:hAnsi="Arial Narrow"/>
          <w:b/>
        </w:rPr>
        <w:t>. Eventos posteriores al cierre.</w:t>
      </w:r>
    </w:p>
    <w:p w14:paraId="799F3C7B" w14:textId="77777777" w:rsidR="00F308C6" w:rsidRPr="005D1E77" w:rsidRDefault="00F308C6" w:rsidP="00F308C6">
      <w:pPr>
        <w:jc w:val="both"/>
        <w:rPr>
          <w:rFonts w:ascii="Arial Narrow" w:hAnsi="Arial Narrow"/>
        </w:rPr>
      </w:pPr>
      <w:r w:rsidRPr="005D1E77">
        <w:rPr>
          <w:rFonts w:ascii="Arial Narrow" w:hAnsi="Arial Narrow"/>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CE045E6"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5</w:t>
      </w:r>
      <w:r w:rsidRPr="000E55A9">
        <w:rPr>
          <w:rFonts w:ascii="Arial Narrow" w:hAnsi="Arial Narrow"/>
          <w:b/>
        </w:rPr>
        <w:t>. Partes relacionadas.</w:t>
      </w:r>
    </w:p>
    <w:p w14:paraId="72E67546" w14:textId="77777777" w:rsidR="00F308C6" w:rsidRPr="005D1E77" w:rsidRDefault="00F308C6" w:rsidP="00F308C6">
      <w:pPr>
        <w:jc w:val="both"/>
        <w:rPr>
          <w:rFonts w:ascii="Arial Narrow" w:hAnsi="Arial Narrow"/>
        </w:rPr>
      </w:pPr>
      <w:r w:rsidRPr="005D1E77">
        <w:rPr>
          <w:rFonts w:ascii="Arial Narrow" w:hAnsi="Arial Narrow"/>
        </w:rPr>
        <w:t>No existen partes relacionadas que pudieran ejercer influencia significativa sobre la toma de decisiones financieras y operativas.</w:t>
      </w:r>
    </w:p>
    <w:p w14:paraId="0E2DEDDA" w14:textId="77777777" w:rsidR="00F308C6" w:rsidRPr="000E55A9" w:rsidRDefault="00F308C6" w:rsidP="00F308C6">
      <w:pPr>
        <w:rPr>
          <w:rFonts w:ascii="Arial Narrow" w:hAnsi="Arial Narrow"/>
          <w:b/>
        </w:rPr>
      </w:pPr>
      <w:r w:rsidRPr="000E55A9">
        <w:rPr>
          <w:rFonts w:ascii="Arial Narrow" w:hAnsi="Arial Narrow"/>
          <w:b/>
        </w:rPr>
        <w:t>1</w:t>
      </w:r>
      <w:r>
        <w:rPr>
          <w:rFonts w:ascii="Arial Narrow" w:hAnsi="Arial Narrow"/>
          <w:b/>
        </w:rPr>
        <w:t>6</w:t>
      </w:r>
      <w:r w:rsidRPr="000E55A9">
        <w:rPr>
          <w:rFonts w:ascii="Arial Narrow" w:hAnsi="Arial Narrow"/>
          <w:b/>
        </w:rPr>
        <w:t>. Responsabilidad sobre la presentación razonable de la información contable.</w:t>
      </w:r>
    </w:p>
    <w:p w14:paraId="130A7B92" w14:textId="77777777" w:rsidR="00F308C6" w:rsidRDefault="00F308C6" w:rsidP="00F308C6">
      <w:pPr>
        <w:rPr>
          <w:rFonts w:ascii="Arial Narrow" w:eastAsia="Times New Roman" w:hAnsi="Arial Narrow" w:cs="Times New Roman"/>
          <w:bCs/>
          <w:lang w:eastAsia="es-MX"/>
        </w:rPr>
      </w:pPr>
      <w:r w:rsidRPr="005D1E77">
        <w:rPr>
          <w:rFonts w:ascii="Arial Narrow" w:hAnsi="Arial Narrow"/>
          <w:noProof/>
          <w:lang w:eastAsia="es-MX"/>
        </w:rPr>
        <mc:AlternateContent>
          <mc:Choice Requires="wps">
            <w:drawing>
              <wp:anchor distT="0" distB="0" distL="114300" distR="114300" simplePos="0" relativeHeight="251665408" behindDoc="0" locked="0" layoutInCell="1" allowOverlap="1" wp14:anchorId="1E43D516" wp14:editId="2B526C62">
                <wp:simplePos x="0" y="0"/>
                <wp:positionH relativeFrom="column">
                  <wp:posOffset>4900832</wp:posOffset>
                </wp:positionH>
                <wp:positionV relativeFrom="paragraph">
                  <wp:posOffset>296838</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39C28DF" w14:textId="77777777" w:rsidR="004938CF"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68D8BFA9" w14:textId="77777777" w:rsidR="004938CF" w:rsidRPr="00D775E3"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E3DAFA1" w14:textId="77777777" w:rsidR="004938CF" w:rsidRPr="00D775E3" w:rsidRDefault="004938CF" w:rsidP="00F308C6">
                            <w:pPr>
                              <w:pStyle w:val="NormalWeb"/>
                              <w:spacing w:before="0" w:beforeAutospacing="0" w:after="0" w:afterAutospacing="0"/>
                              <w:jc w:val="center"/>
                              <w:rPr>
                                <w:sz w:val="18"/>
                                <w:szCs w:val="18"/>
                              </w:rPr>
                            </w:pPr>
                            <w:r w:rsidRPr="00C07AB6">
                              <w:rPr>
                                <w:rFonts w:asciiTheme="minorHAnsi" w:hAnsi="Calibri" w:cstheme="minorBidi"/>
                                <w:b/>
                                <w:bCs/>
                                <w:color w:val="000000" w:themeColor="dark1"/>
                                <w:sz w:val="18"/>
                                <w:szCs w:val="18"/>
                              </w:rPr>
                              <w:t>M</w:t>
                            </w:r>
                            <w:r>
                              <w:rPr>
                                <w:rFonts w:asciiTheme="minorHAnsi" w:hAnsi="Calibri" w:cstheme="minorBidi"/>
                                <w:b/>
                                <w:bCs/>
                                <w:color w:val="000000" w:themeColor="dark1"/>
                                <w:sz w:val="18"/>
                                <w:szCs w:val="18"/>
                              </w:rPr>
                              <w:t>tro. Fernando Bernal Salazar</w:t>
                            </w:r>
                          </w:p>
                          <w:p w14:paraId="7F878947" w14:textId="77777777" w:rsidR="004938CF" w:rsidRPr="00D775E3" w:rsidRDefault="004938CF" w:rsidP="00F308C6">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E43D516" id="Rectángulo: esquinas redondeadas 7" o:spid="_x0000_s1027" style="position:absolute;margin-left:385.9pt;margin-top:23.35pt;width:268.6pt;height:6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FWRAIAAO8EAAAOAAAAZHJzL2Uyb0RvYy54bWysVEtu2zAQ3RfoHQjua0lOY7uC5SwSpJu0&#10;CZL0ADRJWUQoDkvSttzb9Cy9WIeUrLpugQBFN4Q4vzfvzVDLq67VZCedV2AqWkxySqThIJTZVPTL&#10;8+27BSU+MCOYBiMrepCeXq3evlnubSmn0IAW0hEsYny5txVtQrBllnneyJb5CVhp0FmDa1nAq9tk&#10;wrE9Vm91Ns3zWbYHJ6wDLr1H603vpKtUv64lD/d17WUguqLYW0inS+c6ntlqycqNY7ZRfGiD/UMX&#10;LVMGQcdSNywwsnXqj1Kt4g481GHCoc2grhWXiQOyKfIzNk8NszJxQXG8HWXy/68s/7x7cESJis4p&#10;MazFET2iaD++m81WQ0mk/7pVhnnipAAjJBP4PY+y7a0vMfvJPrhI3Ns74C8eHdlvnnjxQ0xXuzbG&#10;Im3SpRkcxhnILhCOxov3RTGd4qg4+haLef7hMqJlrDxmW+fDRwktiR8VdbA1Ivac9Ge7Ox/6+GNc&#10;6g60ErdK63SJyyWvtSM7hmux3hQDgj+N0ua1xNAVCVNv208g+mKzyzwftgrNuHu9+eJoRh5ptyN8&#10;YnWCib4ImvTrJUvihYOWsRVtHmWNo0KRpgl3LNRjMM6lCbOBS4qOaTWyHhP7hs8SdTgKMMTGNJke&#10;z5iYv444ZiRUMGFMbpUB97cC4mVE7uOP7HvOkX7o1l3az0QsWtYgDriz+NMJ93jUGvYV5VpZShpw&#10;385tLuhr6F8/MxwjKhqSRrEWvqo0heEPEJ/t6T218+s/tfoJAAD//wMAUEsDBBQABgAIAAAAIQA3&#10;O3jI4gAAAAsBAAAPAAAAZHJzL2Rvd25yZXYueG1sTI/BTsMwEETvSPyDtUhcUOu0lKQNcSpExQWp&#10;SKR8gBsvSUq8DrHTpnw92xPcZjWj2TfZerStOGLvG0cKZtMIBFLpTEOVgo/dy2QJwgdNRreOUMEZ&#10;Pazz66tMp8ad6B2PRagEl5BPtYI6hC6V0pc1Wu2nrkNi79P1Vgc++0qaXp+43LZyHkWxtLoh/lDr&#10;Dp9rLL+KwSooH6o3V7yeN6v58H0Im7sfZ7cHpW5vxqdHEAHH8BeGCz6jQ85MezeQ8aJVkCQzRg8K&#10;FnEC4hK4j1a8bs9qGS9A5pn8vyH/BQAA//8DAFBLAQItABQABgAIAAAAIQC2gziS/gAAAOEBAAAT&#10;AAAAAAAAAAAAAAAAAAAAAABbQ29udGVudF9UeXBlc10ueG1sUEsBAi0AFAAGAAgAAAAhADj9If/W&#10;AAAAlAEAAAsAAAAAAAAAAAAAAAAALwEAAF9yZWxzLy5yZWxzUEsBAi0AFAAGAAgAAAAhAHqsUVZE&#10;AgAA7wQAAA4AAAAAAAAAAAAAAAAALgIAAGRycy9lMm9Eb2MueG1sUEsBAi0AFAAGAAgAAAAhADc7&#10;eMjiAAAACwEAAA8AAAAAAAAAAAAAAAAAngQAAGRycy9kb3ducmV2LnhtbFBLBQYAAAAABAAEAPMA&#10;AACtBQAAAAA=&#10;" fillcolor="white [3212]" strokecolor="#5a5a5a [2109]" strokeweight="2pt">
                <v:path arrowok="t"/>
                <v:textbox>
                  <w:txbxContent>
                    <w:p w14:paraId="139C28DF" w14:textId="77777777" w:rsidR="004938CF"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68D8BFA9" w14:textId="77777777" w:rsidR="004938CF" w:rsidRPr="00D775E3"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E3DAFA1" w14:textId="77777777" w:rsidR="004938CF" w:rsidRPr="00D775E3" w:rsidRDefault="004938CF" w:rsidP="00F308C6">
                      <w:pPr>
                        <w:pStyle w:val="NormalWeb"/>
                        <w:spacing w:before="0" w:beforeAutospacing="0" w:after="0" w:afterAutospacing="0"/>
                        <w:jc w:val="center"/>
                        <w:rPr>
                          <w:sz w:val="18"/>
                          <w:szCs w:val="18"/>
                        </w:rPr>
                      </w:pPr>
                      <w:r w:rsidRPr="00C07AB6">
                        <w:rPr>
                          <w:rFonts w:asciiTheme="minorHAnsi" w:hAnsi="Calibri" w:cstheme="minorBidi"/>
                          <w:b/>
                          <w:bCs/>
                          <w:color w:val="000000" w:themeColor="dark1"/>
                          <w:sz w:val="18"/>
                          <w:szCs w:val="18"/>
                        </w:rPr>
                        <w:t>M</w:t>
                      </w:r>
                      <w:r>
                        <w:rPr>
                          <w:rFonts w:asciiTheme="minorHAnsi" w:hAnsi="Calibri" w:cstheme="minorBidi"/>
                          <w:b/>
                          <w:bCs/>
                          <w:color w:val="000000" w:themeColor="dark1"/>
                          <w:sz w:val="18"/>
                          <w:szCs w:val="18"/>
                        </w:rPr>
                        <w:t>tro. Fernando Bernal Salazar</w:t>
                      </w:r>
                    </w:p>
                    <w:p w14:paraId="7F878947" w14:textId="77777777" w:rsidR="004938CF" w:rsidRPr="00D775E3" w:rsidRDefault="004938CF" w:rsidP="00F308C6">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sidRPr="005D1E77">
        <w:rPr>
          <w:rFonts w:ascii="Arial Narrow" w:hAnsi="Arial Narrow"/>
          <w:noProof/>
          <w:lang w:eastAsia="es-MX"/>
        </w:rPr>
        <mc:AlternateContent>
          <mc:Choice Requires="wps">
            <w:drawing>
              <wp:anchor distT="0" distB="0" distL="114300" distR="114300" simplePos="0" relativeHeight="251667456" behindDoc="0" locked="0" layoutInCell="1" allowOverlap="1" wp14:anchorId="1414B8B5" wp14:editId="79FEA7B4">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DAA682D" w14:textId="77777777" w:rsidR="004938CF"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D6B31BB" w14:textId="77777777" w:rsidR="004938CF"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745FB34A" w14:textId="77777777" w:rsidR="004938CF" w:rsidRPr="00D775E3"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 xml:space="preserve">y </w:t>
                            </w:r>
                            <w:proofErr w:type="spellStart"/>
                            <w:r>
                              <w:rPr>
                                <w:rFonts w:asciiTheme="minorHAnsi" w:hAnsi="Calibri" w:cstheme="minorBidi"/>
                                <w:b/>
                                <w:bCs/>
                                <w:color w:val="000000" w:themeColor="dark1"/>
                                <w:sz w:val="18"/>
                                <w:szCs w:val="18"/>
                              </w:rPr>
                              <w:t>L.D</w:t>
                            </w:r>
                            <w:proofErr w:type="spellEnd"/>
                            <w:r>
                              <w:rPr>
                                <w:rFonts w:asciiTheme="minorHAnsi" w:hAnsi="Calibri" w:cstheme="minorBidi"/>
                                <w:b/>
                                <w:bCs/>
                                <w:color w:val="000000" w:themeColor="dark1"/>
                                <w:sz w:val="18"/>
                                <w:szCs w:val="18"/>
                              </w:rPr>
                              <w:t>. Armando Martínez Nava</w:t>
                            </w:r>
                          </w:p>
                          <w:p w14:paraId="166E0E5A" w14:textId="77777777" w:rsidR="004938CF" w:rsidRPr="00D775E3"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414B8B5" id="Rectángulo: esquinas redondeadas 6" o:spid="_x0000_s1028" style="position:absolute;margin-left:62.65pt;margin-top:23.75pt;width:246.5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mfRgIAAO8EAAAOAAAAZHJzL2Uyb0RvYy54bWysVEtu2zAQ3RfoHQjua8l27KaC5SwSpJu0&#10;CZL0ADRJWUQoDkvSltzb9Cy9WIeUpbpugQBFN4Q4n/fmzQy1uuoaTfbSeQWmpNNJTok0HIQy25J+&#10;eb59d0mJD8wIpsHIkh6kp1frt29WrS3kDGrQQjqCIMYXrS1pHYItsszzWjbMT8BKg84KXMMCXt02&#10;E461iN7obJbny6wFJ6wDLr1H603vpOuEX1WSh/uq8jIQXVKsLaTTpXMTz2y9YsXWMVsrfiyD/UMV&#10;DVMGSUeoGxYY2Tn1B1SjuAMPVZhwaDKoKsVl0oBqpvmZmqeaWZm0YHO8Hdvk/x8s/7x/cESJki4p&#10;MazBET1i0358N9udhoJI/3WnDPPESQFGSCbwexnb1lpfYPaTfXBRuLd3wF88OrLfPPHijzFd5ZoY&#10;i7JJl2ZwGGcgu0A4GufTeb5Y4Kg4+i4/zC8uFpEtY8WQbZ0PHyU0JH6U1MHOiFhz6j/b3/nQxw9x&#10;qTrQStwqrdMlLpe81o7sGa7FZjs9MvjTKG1eSwzdNHHqXfMJRA+2XOT5cavQjLvXm+eDGXWk3Y70&#10;SdUJJ/oiaepf37LUvHDQMpaizaOscFTYpFniHYF6Dsa5NCHNJiFhdEyrUPWY2Bd8lqjD0IBjbEyT&#10;6fGMifnrjGNGYgUTxuRGGXB/AxAvI3MfP6jvNUf5odt0aT/fD0u3AXHAncWfTrjHo9LQlpRrZSmp&#10;wX07t7mgr6F//cxwjChpSPOO6Piq0hSOf4D4bE/vqZxf/6n1TwAAAP//AwBQSwMEFAAGAAgAAAAh&#10;APweQMXgAAAACgEAAA8AAABkcnMvZG93bnJldi54bWxMj8FOwzAQRO9I/IO1SFwQdRpICSFOhai4&#10;IFGJwAe48ZKkxOsQO23ar2d7osfZeZqdyZeT7cQOB986UjCfRSCQKmdaqhV8fb7epiB80GR05wgV&#10;HNDDsri8yHVm3J4+cFeGWnAI+UwraELoMyl91aDVfuZ6JPa+3WB1YDnU0gx6z+G2k3EULaTVLfGH&#10;Rvf40mD1U45WQZXUa1e+HVaP8fi7Daubo7PvW6Wur6bnJxABp/APw6k+V4eCO23cSMaLjnWc3DGq&#10;4P4hAcHAYp7yYcNOmsYgi1yeTyj+AAAA//8DAFBLAQItABQABgAIAAAAIQC2gziS/gAAAOEBAAAT&#10;AAAAAAAAAAAAAAAAAAAAAABbQ29udGVudF9UeXBlc10ueG1sUEsBAi0AFAAGAAgAAAAhADj9If/W&#10;AAAAlAEAAAsAAAAAAAAAAAAAAAAALwEAAF9yZWxzLy5yZWxzUEsBAi0AFAAGAAgAAAAhABeY2Z9G&#10;AgAA7wQAAA4AAAAAAAAAAAAAAAAALgIAAGRycy9lMm9Eb2MueG1sUEsBAi0AFAAGAAgAAAAhAPwe&#10;QMXgAAAACgEAAA8AAAAAAAAAAAAAAAAAoAQAAGRycy9kb3ducmV2LnhtbFBLBQYAAAAABAAEAPMA&#10;AACtBQAAAAA=&#10;" fillcolor="white [3212]" strokecolor="#5a5a5a [2109]" strokeweight="2pt">
                <v:path arrowok="t"/>
                <v:textbox>
                  <w:txbxContent>
                    <w:p w14:paraId="0DAA682D" w14:textId="77777777" w:rsidR="004938CF"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5D6B31BB" w14:textId="77777777" w:rsidR="004938CF"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p>
                    <w:p w14:paraId="745FB34A" w14:textId="77777777" w:rsidR="004938CF" w:rsidRPr="00D775E3"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 xml:space="preserve">y </w:t>
                      </w:r>
                      <w:proofErr w:type="spellStart"/>
                      <w:r>
                        <w:rPr>
                          <w:rFonts w:asciiTheme="minorHAnsi" w:hAnsi="Calibri" w:cstheme="minorBidi"/>
                          <w:b/>
                          <w:bCs/>
                          <w:color w:val="000000" w:themeColor="dark1"/>
                          <w:sz w:val="18"/>
                          <w:szCs w:val="18"/>
                        </w:rPr>
                        <w:t>L.D</w:t>
                      </w:r>
                      <w:proofErr w:type="spellEnd"/>
                      <w:r>
                        <w:rPr>
                          <w:rFonts w:asciiTheme="minorHAnsi" w:hAnsi="Calibri" w:cstheme="minorBidi"/>
                          <w:b/>
                          <w:bCs/>
                          <w:color w:val="000000" w:themeColor="dark1"/>
                          <w:sz w:val="18"/>
                          <w:szCs w:val="18"/>
                        </w:rPr>
                        <w:t>. Armando Martínez Nava</w:t>
                      </w:r>
                    </w:p>
                    <w:p w14:paraId="166E0E5A" w14:textId="77777777" w:rsidR="004938CF" w:rsidRPr="00D775E3" w:rsidRDefault="004938CF" w:rsidP="00F308C6">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v:textbox>
              </v:roundrect>
            </w:pict>
          </mc:Fallback>
        </mc:AlternateContent>
      </w:r>
      <w:r w:rsidRPr="005D1E77">
        <w:rPr>
          <w:rFonts w:ascii="Arial Narrow" w:hAnsi="Arial Narrow"/>
          <w:noProof/>
          <w:lang w:eastAsia="es-MX"/>
        </w:rPr>
        <w:t xml:space="preserve"> </w:t>
      </w:r>
      <w:r w:rsidRPr="005D1E77">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14334C6F" w14:textId="77777777" w:rsidR="00F308C6" w:rsidRDefault="00F308C6" w:rsidP="00F308C6">
      <w:pPr>
        <w:rPr>
          <w:rFonts w:ascii="Arial Narrow" w:eastAsia="Times New Roman" w:hAnsi="Arial Narrow" w:cs="Times New Roman"/>
          <w:bCs/>
          <w:lang w:eastAsia="es-MX"/>
        </w:rPr>
      </w:pPr>
    </w:p>
    <w:p w14:paraId="0F08013D" w14:textId="77777777" w:rsidR="00F308C6" w:rsidRPr="005D1E77" w:rsidRDefault="00F308C6" w:rsidP="00F308C6">
      <w:pPr>
        <w:rPr>
          <w:rFonts w:ascii="Arial Narrow" w:eastAsia="Times New Roman" w:hAnsi="Arial Narrow" w:cs="Times New Roman"/>
          <w:bCs/>
          <w:lang w:eastAsia="es-MX"/>
        </w:rPr>
      </w:pPr>
    </w:p>
    <w:p w14:paraId="41243C81" w14:textId="77777777" w:rsidR="00F308C6" w:rsidRPr="005D1E77" w:rsidRDefault="00F308C6" w:rsidP="00F308C6">
      <w:pPr>
        <w:rPr>
          <w:rFonts w:ascii="Arial Narrow" w:hAnsi="Arial Narrow"/>
          <w:b/>
          <w:u w:val="single"/>
        </w:rPr>
      </w:pPr>
    </w:p>
    <w:p w14:paraId="34C7FD89" w14:textId="77777777" w:rsidR="00540418" w:rsidRPr="005D1E77" w:rsidRDefault="00540418" w:rsidP="00F308C6">
      <w:pPr>
        <w:tabs>
          <w:tab w:val="left" w:pos="1430"/>
          <w:tab w:val="center" w:pos="7044"/>
        </w:tabs>
        <w:jc w:val="center"/>
        <w:rPr>
          <w:rFonts w:ascii="Arial Narrow" w:hAnsi="Arial Narrow"/>
        </w:rPr>
      </w:pPr>
    </w:p>
    <w:sectPr w:rsidR="00540418" w:rsidRPr="005D1E77"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B36B8" w14:textId="77777777" w:rsidR="004938CF" w:rsidRDefault="004938CF" w:rsidP="00EA5418">
      <w:pPr>
        <w:spacing w:after="0" w:line="240" w:lineRule="auto"/>
      </w:pPr>
      <w:r>
        <w:separator/>
      </w:r>
    </w:p>
  </w:endnote>
  <w:endnote w:type="continuationSeparator" w:id="0">
    <w:p w14:paraId="08A32AAA" w14:textId="77777777" w:rsidR="004938CF" w:rsidRDefault="004938C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6D36" w14:textId="77777777" w:rsidR="004938CF" w:rsidRPr="0013011C" w:rsidRDefault="004938C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5A2B331" wp14:editId="4DC11233">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6AC97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7F06B4">
          <w:rPr>
            <w:rFonts w:ascii="Soberana Sans Light" w:hAnsi="Soberana Sans Light"/>
            <w:noProof/>
            <w:lang w:val="es-ES"/>
          </w:rPr>
          <w:t>6</w:t>
        </w:r>
        <w:r w:rsidRPr="0013011C">
          <w:rPr>
            <w:rFonts w:ascii="Soberana Sans Light" w:hAnsi="Soberana Sans Light"/>
          </w:rPr>
          <w:fldChar w:fldCharType="end"/>
        </w:r>
      </w:sdtContent>
    </w:sdt>
  </w:p>
  <w:p w14:paraId="5CDEA80D" w14:textId="77777777" w:rsidR="004938CF" w:rsidRDefault="004938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DC64A" w14:textId="77777777" w:rsidR="004938CF" w:rsidRPr="008E3652" w:rsidRDefault="004938C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E41F99" wp14:editId="049CE7BC">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8DAD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7F06B4">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2D1F7" w14:textId="77777777" w:rsidR="004938CF" w:rsidRDefault="004938CF" w:rsidP="00EA5418">
      <w:pPr>
        <w:spacing w:after="0" w:line="240" w:lineRule="auto"/>
      </w:pPr>
      <w:r>
        <w:separator/>
      </w:r>
    </w:p>
  </w:footnote>
  <w:footnote w:type="continuationSeparator" w:id="0">
    <w:p w14:paraId="1C471AEC" w14:textId="77777777" w:rsidR="004938CF" w:rsidRDefault="004938C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BF17" w14:textId="77777777" w:rsidR="004938CF" w:rsidRDefault="004938CF"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872" behindDoc="0" locked="0" layoutInCell="1" allowOverlap="1" wp14:anchorId="58A0FA1A" wp14:editId="32A7A07F">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26EBD" id="1 Conector recto"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0C0D" w14:textId="77777777" w:rsidR="004938CF" w:rsidRDefault="004938C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3C4F4F0" wp14:editId="15F57BFF">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AB60C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14:paraId="4D370D83" w14:textId="77777777" w:rsidR="004938CF" w:rsidRDefault="004938CF" w:rsidP="001B610A">
    <w:pPr>
      <w:pStyle w:val="Encabezado"/>
      <w:rPr>
        <w:rFonts w:ascii="Soberana Sans Light" w:hAnsi="Soberana Sans Light"/>
      </w:rPr>
    </w:pPr>
  </w:p>
  <w:p w14:paraId="540E3CAC" w14:textId="77777777" w:rsidR="004938CF" w:rsidRPr="0013011C" w:rsidRDefault="004938CF"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1705A7"/>
    <w:multiLevelType w:val="hybridMultilevel"/>
    <w:tmpl w:val="040A4D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1"/>
  </w:num>
  <w:num w:numId="7">
    <w:abstractNumId w:val="14"/>
  </w:num>
  <w:num w:numId="8">
    <w:abstractNumId w:val="15"/>
  </w:num>
  <w:num w:numId="9">
    <w:abstractNumId w:val="7"/>
  </w:num>
  <w:num w:numId="10">
    <w:abstractNumId w:val="26"/>
  </w:num>
  <w:num w:numId="11">
    <w:abstractNumId w:val="18"/>
  </w:num>
  <w:num w:numId="12">
    <w:abstractNumId w:val="23"/>
  </w:num>
  <w:num w:numId="13">
    <w:abstractNumId w:val="3"/>
  </w:num>
  <w:num w:numId="14">
    <w:abstractNumId w:val="5"/>
  </w:num>
  <w:num w:numId="15">
    <w:abstractNumId w:val="28"/>
  </w:num>
  <w:num w:numId="16">
    <w:abstractNumId w:val="6"/>
  </w:num>
  <w:num w:numId="17">
    <w:abstractNumId w:val="11"/>
  </w:num>
  <w:num w:numId="18">
    <w:abstractNumId w:val="17"/>
  </w:num>
  <w:num w:numId="19">
    <w:abstractNumId w:val="9"/>
  </w:num>
  <w:num w:numId="20">
    <w:abstractNumId w:val="25"/>
  </w:num>
  <w:num w:numId="21">
    <w:abstractNumId w:val="19"/>
  </w:num>
  <w:num w:numId="22">
    <w:abstractNumId w:val="0"/>
  </w:num>
  <w:num w:numId="23">
    <w:abstractNumId w:val="13"/>
  </w:num>
  <w:num w:numId="24">
    <w:abstractNumId w:val="2"/>
  </w:num>
  <w:num w:numId="25">
    <w:abstractNumId w:val="10"/>
  </w:num>
  <w:num w:numId="26">
    <w:abstractNumId w:val="24"/>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ctiveWritingStyle w:appName="MSWord" w:lang="es-MX" w:vendorID="64" w:dllVersion="4096" w:nlCheck="1" w:checkStyle="0"/>
  <w:activeWritingStyle w:appName="MSWord" w:lang="es-ES" w:vendorID="64" w:dllVersion="4096" w:nlCheck="1" w:checkStyle="0"/>
  <w:activeWritingStyle w:appName="MSWord" w:lang="es-MX" w:vendorID="64" w:dllVersion="6" w:nlCheck="1" w:checkStyle="1"/>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0AB"/>
    <w:rsid w:val="00000631"/>
    <w:rsid w:val="00001107"/>
    <w:rsid w:val="00004437"/>
    <w:rsid w:val="00005BC0"/>
    <w:rsid w:val="000125E3"/>
    <w:rsid w:val="00013852"/>
    <w:rsid w:val="000168FF"/>
    <w:rsid w:val="000205F2"/>
    <w:rsid w:val="000226F1"/>
    <w:rsid w:val="0002651B"/>
    <w:rsid w:val="00026E7F"/>
    <w:rsid w:val="00027014"/>
    <w:rsid w:val="00040466"/>
    <w:rsid w:val="00041F4F"/>
    <w:rsid w:val="0004207D"/>
    <w:rsid w:val="000427E2"/>
    <w:rsid w:val="00045159"/>
    <w:rsid w:val="00045A10"/>
    <w:rsid w:val="00046DF2"/>
    <w:rsid w:val="00056856"/>
    <w:rsid w:val="00057B73"/>
    <w:rsid w:val="00057E23"/>
    <w:rsid w:val="000626BF"/>
    <w:rsid w:val="00063436"/>
    <w:rsid w:val="0006350A"/>
    <w:rsid w:val="0007084B"/>
    <w:rsid w:val="000720B8"/>
    <w:rsid w:val="000723BA"/>
    <w:rsid w:val="000729C6"/>
    <w:rsid w:val="000757BC"/>
    <w:rsid w:val="00076F62"/>
    <w:rsid w:val="00081E48"/>
    <w:rsid w:val="00083536"/>
    <w:rsid w:val="00084CD8"/>
    <w:rsid w:val="0008571C"/>
    <w:rsid w:val="00090014"/>
    <w:rsid w:val="00091E3A"/>
    <w:rsid w:val="000924E5"/>
    <w:rsid w:val="000965FB"/>
    <w:rsid w:val="000974D0"/>
    <w:rsid w:val="00097A13"/>
    <w:rsid w:val="000A48EB"/>
    <w:rsid w:val="000A7834"/>
    <w:rsid w:val="000B146C"/>
    <w:rsid w:val="000B21CF"/>
    <w:rsid w:val="000B32EB"/>
    <w:rsid w:val="000B3F93"/>
    <w:rsid w:val="000B4340"/>
    <w:rsid w:val="000B7CB3"/>
    <w:rsid w:val="000C0AB9"/>
    <w:rsid w:val="000C30B6"/>
    <w:rsid w:val="000C503F"/>
    <w:rsid w:val="000C69CE"/>
    <w:rsid w:val="000C7E46"/>
    <w:rsid w:val="000D2957"/>
    <w:rsid w:val="000D32A7"/>
    <w:rsid w:val="000D54A0"/>
    <w:rsid w:val="000D7549"/>
    <w:rsid w:val="000E3735"/>
    <w:rsid w:val="000E3DE4"/>
    <w:rsid w:val="000E4AE0"/>
    <w:rsid w:val="000E51B9"/>
    <w:rsid w:val="000E548A"/>
    <w:rsid w:val="000E55A9"/>
    <w:rsid w:val="000E67D8"/>
    <w:rsid w:val="000E723D"/>
    <w:rsid w:val="000E7582"/>
    <w:rsid w:val="000F1388"/>
    <w:rsid w:val="000F1510"/>
    <w:rsid w:val="000F2D0E"/>
    <w:rsid w:val="000F348C"/>
    <w:rsid w:val="000F5425"/>
    <w:rsid w:val="000F6AF8"/>
    <w:rsid w:val="000F7670"/>
    <w:rsid w:val="0010133A"/>
    <w:rsid w:val="0010302C"/>
    <w:rsid w:val="001034DD"/>
    <w:rsid w:val="00104C81"/>
    <w:rsid w:val="00112796"/>
    <w:rsid w:val="00112827"/>
    <w:rsid w:val="001202EB"/>
    <w:rsid w:val="0012246D"/>
    <w:rsid w:val="00125F33"/>
    <w:rsid w:val="0012707A"/>
    <w:rsid w:val="0013011C"/>
    <w:rsid w:val="001312EE"/>
    <w:rsid w:val="00131D7D"/>
    <w:rsid w:val="00132314"/>
    <w:rsid w:val="0013260D"/>
    <w:rsid w:val="00136556"/>
    <w:rsid w:val="00142EB7"/>
    <w:rsid w:val="00145307"/>
    <w:rsid w:val="00145AAB"/>
    <w:rsid w:val="00147417"/>
    <w:rsid w:val="00147A0E"/>
    <w:rsid w:val="00147AFC"/>
    <w:rsid w:val="001512A6"/>
    <w:rsid w:val="00153E00"/>
    <w:rsid w:val="00165BB4"/>
    <w:rsid w:val="001665D4"/>
    <w:rsid w:val="00166C6F"/>
    <w:rsid w:val="00171619"/>
    <w:rsid w:val="00172790"/>
    <w:rsid w:val="00176BBC"/>
    <w:rsid w:val="00176FA6"/>
    <w:rsid w:val="001800E2"/>
    <w:rsid w:val="001816CB"/>
    <w:rsid w:val="00182039"/>
    <w:rsid w:val="00182F33"/>
    <w:rsid w:val="00183097"/>
    <w:rsid w:val="001877F8"/>
    <w:rsid w:val="00191999"/>
    <w:rsid w:val="0019448F"/>
    <w:rsid w:val="00195C51"/>
    <w:rsid w:val="00196C61"/>
    <w:rsid w:val="001A11CF"/>
    <w:rsid w:val="001A6104"/>
    <w:rsid w:val="001A7B0A"/>
    <w:rsid w:val="001B04C3"/>
    <w:rsid w:val="001B1B72"/>
    <w:rsid w:val="001B2167"/>
    <w:rsid w:val="001B2AE7"/>
    <w:rsid w:val="001B383A"/>
    <w:rsid w:val="001B610A"/>
    <w:rsid w:val="001B6A99"/>
    <w:rsid w:val="001B76AA"/>
    <w:rsid w:val="001B7A1F"/>
    <w:rsid w:val="001C2759"/>
    <w:rsid w:val="001C3FB3"/>
    <w:rsid w:val="001C40D2"/>
    <w:rsid w:val="001C48AC"/>
    <w:rsid w:val="001C6FD8"/>
    <w:rsid w:val="001D3016"/>
    <w:rsid w:val="001D466F"/>
    <w:rsid w:val="001D50F7"/>
    <w:rsid w:val="001D515A"/>
    <w:rsid w:val="001D6B74"/>
    <w:rsid w:val="001E38DD"/>
    <w:rsid w:val="001E7072"/>
    <w:rsid w:val="001E7945"/>
    <w:rsid w:val="001F27E9"/>
    <w:rsid w:val="001F4183"/>
    <w:rsid w:val="001F5A4E"/>
    <w:rsid w:val="001F66AD"/>
    <w:rsid w:val="001F6FA1"/>
    <w:rsid w:val="0020013E"/>
    <w:rsid w:val="00203BA1"/>
    <w:rsid w:val="002045E4"/>
    <w:rsid w:val="00204C86"/>
    <w:rsid w:val="00205547"/>
    <w:rsid w:val="00206BF9"/>
    <w:rsid w:val="00207D1D"/>
    <w:rsid w:val="00217025"/>
    <w:rsid w:val="00220D1F"/>
    <w:rsid w:val="00226828"/>
    <w:rsid w:val="00227EB7"/>
    <w:rsid w:val="0023124D"/>
    <w:rsid w:val="0023538E"/>
    <w:rsid w:val="0023550A"/>
    <w:rsid w:val="00240F57"/>
    <w:rsid w:val="00241AB9"/>
    <w:rsid w:val="00243AD2"/>
    <w:rsid w:val="00243D7C"/>
    <w:rsid w:val="00246E47"/>
    <w:rsid w:val="00247742"/>
    <w:rsid w:val="00251B24"/>
    <w:rsid w:val="00252D6D"/>
    <w:rsid w:val="00253AB1"/>
    <w:rsid w:val="002609A4"/>
    <w:rsid w:val="00261420"/>
    <w:rsid w:val="0026233F"/>
    <w:rsid w:val="00262F8C"/>
    <w:rsid w:val="00263964"/>
    <w:rsid w:val="00264426"/>
    <w:rsid w:val="002644B4"/>
    <w:rsid w:val="0026555E"/>
    <w:rsid w:val="00265E41"/>
    <w:rsid w:val="002662E0"/>
    <w:rsid w:val="00266692"/>
    <w:rsid w:val="00270A4D"/>
    <w:rsid w:val="0027250B"/>
    <w:rsid w:val="002741C0"/>
    <w:rsid w:val="002753AD"/>
    <w:rsid w:val="00276850"/>
    <w:rsid w:val="002809E7"/>
    <w:rsid w:val="00280E8E"/>
    <w:rsid w:val="00282C74"/>
    <w:rsid w:val="00283158"/>
    <w:rsid w:val="002837BF"/>
    <w:rsid w:val="002843B4"/>
    <w:rsid w:val="00286DD2"/>
    <w:rsid w:val="002878CD"/>
    <w:rsid w:val="00287B92"/>
    <w:rsid w:val="0029365F"/>
    <w:rsid w:val="00294BA1"/>
    <w:rsid w:val="00295DAF"/>
    <w:rsid w:val="002978E6"/>
    <w:rsid w:val="002A0F7C"/>
    <w:rsid w:val="002A2544"/>
    <w:rsid w:val="002A46FD"/>
    <w:rsid w:val="002A4FC6"/>
    <w:rsid w:val="002A518A"/>
    <w:rsid w:val="002A70B3"/>
    <w:rsid w:val="002A77C8"/>
    <w:rsid w:val="002B3B9D"/>
    <w:rsid w:val="002B582D"/>
    <w:rsid w:val="002B7B38"/>
    <w:rsid w:val="002C116F"/>
    <w:rsid w:val="002C2CD1"/>
    <w:rsid w:val="002C758A"/>
    <w:rsid w:val="002D26F1"/>
    <w:rsid w:val="002D27CA"/>
    <w:rsid w:val="002D47A8"/>
    <w:rsid w:val="002D4D74"/>
    <w:rsid w:val="002D6B30"/>
    <w:rsid w:val="002D6EAA"/>
    <w:rsid w:val="002E1162"/>
    <w:rsid w:val="002E2134"/>
    <w:rsid w:val="002E2E50"/>
    <w:rsid w:val="002E48A1"/>
    <w:rsid w:val="002E4AD7"/>
    <w:rsid w:val="002E728A"/>
    <w:rsid w:val="002E76B5"/>
    <w:rsid w:val="002F42CC"/>
    <w:rsid w:val="00302D10"/>
    <w:rsid w:val="00304414"/>
    <w:rsid w:val="00304644"/>
    <w:rsid w:val="003072D8"/>
    <w:rsid w:val="00310A35"/>
    <w:rsid w:val="003175D0"/>
    <w:rsid w:val="00320047"/>
    <w:rsid w:val="00320C01"/>
    <w:rsid w:val="00325D13"/>
    <w:rsid w:val="00327EA8"/>
    <w:rsid w:val="00330E39"/>
    <w:rsid w:val="00342323"/>
    <w:rsid w:val="00342F56"/>
    <w:rsid w:val="00342FAC"/>
    <w:rsid w:val="003436CC"/>
    <w:rsid w:val="0034417F"/>
    <w:rsid w:val="003477BE"/>
    <w:rsid w:val="0035342B"/>
    <w:rsid w:val="00354E80"/>
    <w:rsid w:val="00364422"/>
    <w:rsid w:val="00364587"/>
    <w:rsid w:val="0036599A"/>
    <w:rsid w:val="00366E24"/>
    <w:rsid w:val="00370059"/>
    <w:rsid w:val="00370B12"/>
    <w:rsid w:val="00372193"/>
    <w:rsid w:val="00372F40"/>
    <w:rsid w:val="003738F7"/>
    <w:rsid w:val="00375863"/>
    <w:rsid w:val="00376ACF"/>
    <w:rsid w:val="00380F22"/>
    <w:rsid w:val="00381942"/>
    <w:rsid w:val="00382C4C"/>
    <w:rsid w:val="00385BC0"/>
    <w:rsid w:val="00387527"/>
    <w:rsid w:val="00390D7F"/>
    <w:rsid w:val="00396468"/>
    <w:rsid w:val="00396C2B"/>
    <w:rsid w:val="00397D90"/>
    <w:rsid w:val="003A0303"/>
    <w:rsid w:val="003A1237"/>
    <w:rsid w:val="003A1D9B"/>
    <w:rsid w:val="003B215B"/>
    <w:rsid w:val="003B280F"/>
    <w:rsid w:val="003B4FE5"/>
    <w:rsid w:val="003B5B61"/>
    <w:rsid w:val="003B76F4"/>
    <w:rsid w:val="003C3082"/>
    <w:rsid w:val="003C3C12"/>
    <w:rsid w:val="003C418C"/>
    <w:rsid w:val="003C4222"/>
    <w:rsid w:val="003C5C5E"/>
    <w:rsid w:val="003C73B5"/>
    <w:rsid w:val="003D245A"/>
    <w:rsid w:val="003D3224"/>
    <w:rsid w:val="003D59BE"/>
    <w:rsid w:val="003D5B2C"/>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EDE"/>
    <w:rsid w:val="00402600"/>
    <w:rsid w:val="00402FB1"/>
    <w:rsid w:val="00405712"/>
    <w:rsid w:val="00406659"/>
    <w:rsid w:val="0040690D"/>
    <w:rsid w:val="00412057"/>
    <w:rsid w:val="00412470"/>
    <w:rsid w:val="00416D2B"/>
    <w:rsid w:val="004208AB"/>
    <w:rsid w:val="00420927"/>
    <w:rsid w:val="00421B07"/>
    <w:rsid w:val="00421B79"/>
    <w:rsid w:val="0042216F"/>
    <w:rsid w:val="00424F1E"/>
    <w:rsid w:val="004269D9"/>
    <w:rsid w:val="00430768"/>
    <w:rsid w:val="004311BE"/>
    <w:rsid w:val="004316EE"/>
    <w:rsid w:val="00431C51"/>
    <w:rsid w:val="0044253C"/>
    <w:rsid w:val="00442F2C"/>
    <w:rsid w:val="00444E6C"/>
    <w:rsid w:val="00446368"/>
    <w:rsid w:val="004464B1"/>
    <w:rsid w:val="00446B28"/>
    <w:rsid w:val="00450D49"/>
    <w:rsid w:val="004514A1"/>
    <w:rsid w:val="00451CA5"/>
    <w:rsid w:val="00452E15"/>
    <w:rsid w:val="00453F6F"/>
    <w:rsid w:val="00454C7E"/>
    <w:rsid w:val="004615D7"/>
    <w:rsid w:val="00462C79"/>
    <w:rsid w:val="00464382"/>
    <w:rsid w:val="004662C2"/>
    <w:rsid w:val="004666BA"/>
    <w:rsid w:val="00467412"/>
    <w:rsid w:val="004714CF"/>
    <w:rsid w:val="00477421"/>
    <w:rsid w:val="00477867"/>
    <w:rsid w:val="00480F7A"/>
    <w:rsid w:val="00484A10"/>
    <w:rsid w:val="00484C0D"/>
    <w:rsid w:val="00490326"/>
    <w:rsid w:val="00490AA2"/>
    <w:rsid w:val="0049230F"/>
    <w:rsid w:val="004938CF"/>
    <w:rsid w:val="004939F8"/>
    <w:rsid w:val="00497D8B"/>
    <w:rsid w:val="004A1473"/>
    <w:rsid w:val="004A3BF2"/>
    <w:rsid w:val="004A46F4"/>
    <w:rsid w:val="004A57FC"/>
    <w:rsid w:val="004A6522"/>
    <w:rsid w:val="004B022E"/>
    <w:rsid w:val="004B12E1"/>
    <w:rsid w:val="004B1F8F"/>
    <w:rsid w:val="004B2513"/>
    <w:rsid w:val="004B285C"/>
    <w:rsid w:val="004B2C32"/>
    <w:rsid w:val="004B4E6E"/>
    <w:rsid w:val="004B55A1"/>
    <w:rsid w:val="004C1E73"/>
    <w:rsid w:val="004C2D30"/>
    <w:rsid w:val="004D0A8D"/>
    <w:rsid w:val="004D13BC"/>
    <w:rsid w:val="004D20CA"/>
    <w:rsid w:val="004D2508"/>
    <w:rsid w:val="004D31F8"/>
    <w:rsid w:val="004D41B8"/>
    <w:rsid w:val="004D6325"/>
    <w:rsid w:val="004D6A71"/>
    <w:rsid w:val="004E0761"/>
    <w:rsid w:val="004E6800"/>
    <w:rsid w:val="004F07D9"/>
    <w:rsid w:val="004F1847"/>
    <w:rsid w:val="004F1E4C"/>
    <w:rsid w:val="004F5228"/>
    <w:rsid w:val="004F5641"/>
    <w:rsid w:val="00502BF1"/>
    <w:rsid w:val="00506A28"/>
    <w:rsid w:val="00521944"/>
    <w:rsid w:val="005222A6"/>
    <w:rsid w:val="00522632"/>
    <w:rsid w:val="00522EF3"/>
    <w:rsid w:val="00525681"/>
    <w:rsid w:val="005266F5"/>
    <w:rsid w:val="00526E1D"/>
    <w:rsid w:val="0053322C"/>
    <w:rsid w:val="00533EDA"/>
    <w:rsid w:val="00535B0A"/>
    <w:rsid w:val="00536CF7"/>
    <w:rsid w:val="00540418"/>
    <w:rsid w:val="00540A29"/>
    <w:rsid w:val="005426C4"/>
    <w:rsid w:val="00543222"/>
    <w:rsid w:val="0054501C"/>
    <w:rsid w:val="00546F27"/>
    <w:rsid w:val="005523BB"/>
    <w:rsid w:val="005548C1"/>
    <w:rsid w:val="005575DF"/>
    <w:rsid w:val="005602FD"/>
    <w:rsid w:val="00560EE0"/>
    <w:rsid w:val="0056113E"/>
    <w:rsid w:val="00561B68"/>
    <w:rsid w:val="00561B77"/>
    <w:rsid w:val="00562BF2"/>
    <w:rsid w:val="00563359"/>
    <w:rsid w:val="00563B25"/>
    <w:rsid w:val="005677E0"/>
    <w:rsid w:val="005729CC"/>
    <w:rsid w:val="00574266"/>
    <w:rsid w:val="005753FA"/>
    <w:rsid w:val="005778A1"/>
    <w:rsid w:val="005805E2"/>
    <w:rsid w:val="0058194C"/>
    <w:rsid w:val="00581DDD"/>
    <w:rsid w:val="00583C96"/>
    <w:rsid w:val="00587783"/>
    <w:rsid w:val="00590FCD"/>
    <w:rsid w:val="00595D0F"/>
    <w:rsid w:val="005A4719"/>
    <w:rsid w:val="005A7085"/>
    <w:rsid w:val="005B2EAF"/>
    <w:rsid w:val="005B2F04"/>
    <w:rsid w:val="005B46F6"/>
    <w:rsid w:val="005C3CF0"/>
    <w:rsid w:val="005C51EA"/>
    <w:rsid w:val="005C5327"/>
    <w:rsid w:val="005C54E6"/>
    <w:rsid w:val="005C5876"/>
    <w:rsid w:val="005D0287"/>
    <w:rsid w:val="005D098F"/>
    <w:rsid w:val="005D09BB"/>
    <w:rsid w:val="005D1E77"/>
    <w:rsid w:val="005D2555"/>
    <w:rsid w:val="005D3D25"/>
    <w:rsid w:val="005D5F4B"/>
    <w:rsid w:val="005D5FB9"/>
    <w:rsid w:val="005D7FCD"/>
    <w:rsid w:val="005E2A55"/>
    <w:rsid w:val="005E664F"/>
    <w:rsid w:val="005F08D7"/>
    <w:rsid w:val="005F2CE2"/>
    <w:rsid w:val="005F3403"/>
    <w:rsid w:val="005F4D4A"/>
    <w:rsid w:val="005F524C"/>
    <w:rsid w:val="00600A27"/>
    <w:rsid w:val="00605148"/>
    <w:rsid w:val="0060728B"/>
    <w:rsid w:val="006128D4"/>
    <w:rsid w:val="00613BBE"/>
    <w:rsid w:val="00614197"/>
    <w:rsid w:val="00615D91"/>
    <w:rsid w:val="00620DEF"/>
    <w:rsid w:val="0062192F"/>
    <w:rsid w:val="00621FC4"/>
    <w:rsid w:val="00622468"/>
    <w:rsid w:val="006231EC"/>
    <w:rsid w:val="006234BA"/>
    <w:rsid w:val="00624622"/>
    <w:rsid w:val="00624CC3"/>
    <w:rsid w:val="00624E32"/>
    <w:rsid w:val="0062557C"/>
    <w:rsid w:val="00630099"/>
    <w:rsid w:val="00636935"/>
    <w:rsid w:val="00637E2B"/>
    <w:rsid w:val="006421A1"/>
    <w:rsid w:val="00643CB5"/>
    <w:rsid w:val="006452EE"/>
    <w:rsid w:val="00645489"/>
    <w:rsid w:val="00645556"/>
    <w:rsid w:val="00645B05"/>
    <w:rsid w:val="006470C9"/>
    <w:rsid w:val="006474AD"/>
    <w:rsid w:val="00650405"/>
    <w:rsid w:val="00652951"/>
    <w:rsid w:val="006545D8"/>
    <w:rsid w:val="00655DBB"/>
    <w:rsid w:val="00657BD7"/>
    <w:rsid w:val="00660CED"/>
    <w:rsid w:val="00662465"/>
    <w:rsid w:val="006809C5"/>
    <w:rsid w:val="0068165F"/>
    <w:rsid w:val="006817DA"/>
    <w:rsid w:val="00681A0A"/>
    <w:rsid w:val="00684087"/>
    <w:rsid w:val="00684994"/>
    <w:rsid w:val="00685244"/>
    <w:rsid w:val="00687391"/>
    <w:rsid w:val="00691E60"/>
    <w:rsid w:val="00696F81"/>
    <w:rsid w:val="006A0061"/>
    <w:rsid w:val="006A2347"/>
    <w:rsid w:val="006A240F"/>
    <w:rsid w:val="006A34EC"/>
    <w:rsid w:val="006A43A5"/>
    <w:rsid w:val="006A7D06"/>
    <w:rsid w:val="006B0801"/>
    <w:rsid w:val="006B1FE7"/>
    <w:rsid w:val="006B4B50"/>
    <w:rsid w:val="006B5BD5"/>
    <w:rsid w:val="006B5D62"/>
    <w:rsid w:val="006C06BB"/>
    <w:rsid w:val="006C0750"/>
    <w:rsid w:val="006C1340"/>
    <w:rsid w:val="006C7B60"/>
    <w:rsid w:val="006D2780"/>
    <w:rsid w:val="006D7187"/>
    <w:rsid w:val="006E3BB1"/>
    <w:rsid w:val="006E42FB"/>
    <w:rsid w:val="006E6009"/>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32C9"/>
    <w:rsid w:val="007246AF"/>
    <w:rsid w:val="00726712"/>
    <w:rsid w:val="007333F5"/>
    <w:rsid w:val="0073369C"/>
    <w:rsid w:val="00733ECA"/>
    <w:rsid w:val="00733F5D"/>
    <w:rsid w:val="00735748"/>
    <w:rsid w:val="00736CAD"/>
    <w:rsid w:val="00736D97"/>
    <w:rsid w:val="00742590"/>
    <w:rsid w:val="0074759F"/>
    <w:rsid w:val="007476DA"/>
    <w:rsid w:val="0075234B"/>
    <w:rsid w:val="00752D57"/>
    <w:rsid w:val="0075320C"/>
    <w:rsid w:val="00753B45"/>
    <w:rsid w:val="00755003"/>
    <w:rsid w:val="00755C48"/>
    <w:rsid w:val="00755FB7"/>
    <w:rsid w:val="00760F7B"/>
    <w:rsid w:val="00762D52"/>
    <w:rsid w:val="0076371D"/>
    <w:rsid w:val="00764F7D"/>
    <w:rsid w:val="00766344"/>
    <w:rsid w:val="00770EB8"/>
    <w:rsid w:val="00771F82"/>
    <w:rsid w:val="00773F6B"/>
    <w:rsid w:val="00776E04"/>
    <w:rsid w:val="007777A7"/>
    <w:rsid w:val="007779C5"/>
    <w:rsid w:val="00777FCA"/>
    <w:rsid w:val="00780059"/>
    <w:rsid w:val="0078200B"/>
    <w:rsid w:val="00783242"/>
    <w:rsid w:val="00785674"/>
    <w:rsid w:val="007864AE"/>
    <w:rsid w:val="007914F3"/>
    <w:rsid w:val="0079582C"/>
    <w:rsid w:val="007A03B5"/>
    <w:rsid w:val="007A2135"/>
    <w:rsid w:val="007A23AD"/>
    <w:rsid w:val="007A70CF"/>
    <w:rsid w:val="007B2867"/>
    <w:rsid w:val="007B2AC1"/>
    <w:rsid w:val="007B45D6"/>
    <w:rsid w:val="007B5DBB"/>
    <w:rsid w:val="007C22F0"/>
    <w:rsid w:val="007C25DC"/>
    <w:rsid w:val="007C3E0F"/>
    <w:rsid w:val="007C506E"/>
    <w:rsid w:val="007D10C3"/>
    <w:rsid w:val="007D17CA"/>
    <w:rsid w:val="007D267E"/>
    <w:rsid w:val="007D32C1"/>
    <w:rsid w:val="007D4412"/>
    <w:rsid w:val="007D5258"/>
    <w:rsid w:val="007D653E"/>
    <w:rsid w:val="007D6E9A"/>
    <w:rsid w:val="007D7654"/>
    <w:rsid w:val="007E15B8"/>
    <w:rsid w:val="007E45F4"/>
    <w:rsid w:val="007E554D"/>
    <w:rsid w:val="007E58E9"/>
    <w:rsid w:val="007E65EF"/>
    <w:rsid w:val="007E7962"/>
    <w:rsid w:val="007F06B4"/>
    <w:rsid w:val="007F3220"/>
    <w:rsid w:val="007F3518"/>
    <w:rsid w:val="007F559A"/>
    <w:rsid w:val="007F6B48"/>
    <w:rsid w:val="00800613"/>
    <w:rsid w:val="008007BB"/>
    <w:rsid w:val="008049FF"/>
    <w:rsid w:val="008111E5"/>
    <w:rsid w:val="00811DAC"/>
    <w:rsid w:val="00813852"/>
    <w:rsid w:val="0081470A"/>
    <w:rsid w:val="00823137"/>
    <w:rsid w:val="00823521"/>
    <w:rsid w:val="008240E8"/>
    <w:rsid w:val="00825DFD"/>
    <w:rsid w:val="0082655E"/>
    <w:rsid w:val="0082797C"/>
    <w:rsid w:val="0083057F"/>
    <w:rsid w:val="0083247F"/>
    <w:rsid w:val="008324A3"/>
    <w:rsid w:val="00832D1B"/>
    <w:rsid w:val="008355C1"/>
    <w:rsid w:val="00835F30"/>
    <w:rsid w:val="00837645"/>
    <w:rsid w:val="00837B9B"/>
    <w:rsid w:val="00837FFB"/>
    <w:rsid w:val="008401CC"/>
    <w:rsid w:val="008446EA"/>
    <w:rsid w:val="0084647E"/>
    <w:rsid w:val="00847D4F"/>
    <w:rsid w:val="008510E9"/>
    <w:rsid w:val="008511BB"/>
    <w:rsid w:val="008516C1"/>
    <w:rsid w:val="00854210"/>
    <w:rsid w:val="00856185"/>
    <w:rsid w:val="00856B1C"/>
    <w:rsid w:val="0086053C"/>
    <w:rsid w:val="0086133B"/>
    <w:rsid w:val="00861B99"/>
    <w:rsid w:val="00862A98"/>
    <w:rsid w:val="008636A3"/>
    <w:rsid w:val="0086460C"/>
    <w:rsid w:val="008646B3"/>
    <w:rsid w:val="008651F4"/>
    <w:rsid w:val="00871FD7"/>
    <w:rsid w:val="00873471"/>
    <w:rsid w:val="0087795C"/>
    <w:rsid w:val="0088308A"/>
    <w:rsid w:val="00887915"/>
    <w:rsid w:val="00887A2D"/>
    <w:rsid w:val="00887E77"/>
    <w:rsid w:val="008903CC"/>
    <w:rsid w:val="0089054E"/>
    <w:rsid w:val="00892C99"/>
    <w:rsid w:val="00897315"/>
    <w:rsid w:val="008A400B"/>
    <w:rsid w:val="008A548D"/>
    <w:rsid w:val="008A5614"/>
    <w:rsid w:val="008A5FB4"/>
    <w:rsid w:val="008A6E4D"/>
    <w:rsid w:val="008A7068"/>
    <w:rsid w:val="008A7769"/>
    <w:rsid w:val="008A793D"/>
    <w:rsid w:val="008B0017"/>
    <w:rsid w:val="008B726B"/>
    <w:rsid w:val="008C0006"/>
    <w:rsid w:val="008C1931"/>
    <w:rsid w:val="008C2915"/>
    <w:rsid w:val="008C3ED9"/>
    <w:rsid w:val="008C54DE"/>
    <w:rsid w:val="008C6308"/>
    <w:rsid w:val="008D038C"/>
    <w:rsid w:val="008D16AA"/>
    <w:rsid w:val="008D26B6"/>
    <w:rsid w:val="008D400F"/>
    <w:rsid w:val="008D4E12"/>
    <w:rsid w:val="008D6F14"/>
    <w:rsid w:val="008E1F47"/>
    <w:rsid w:val="008E31F0"/>
    <w:rsid w:val="008E3652"/>
    <w:rsid w:val="008E4707"/>
    <w:rsid w:val="008E68CD"/>
    <w:rsid w:val="008F3472"/>
    <w:rsid w:val="008F4A19"/>
    <w:rsid w:val="008F51C0"/>
    <w:rsid w:val="008F67BD"/>
    <w:rsid w:val="008F6D58"/>
    <w:rsid w:val="009025D2"/>
    <w:rsid w:val="0090599C"/>
    <w:rsid w:val="00907005"/>
    <w:rsid w:val="00910B4E"/>
    <w:rsid w:val="009133B3"/>
    <w:rsid w:val="00914435"/>
    <w:rsid w:val="00915C32"/>
    <w:rsid w:val="00915D41"/>
    <w:rsid w:val="00924127"/>
    <w:rsid w:val="0092555A"/>
    <w:rsid w:val="00930D19"/>
    <w:rsid w:val="00931530"/>
    <w:rsid w:val="009328BB"/>
    <w:rsid w:val="0093492C"/>
    <w:rsid w:val="0093642E"/>
    <w:rsid w:val="00936F1F"/>
    <w:rsid w:val="009462BF"/>
    <w:rsid w:val="0094654F"/>
    <w:rsid w:val="009471AD"/>
    <w:rsid w:val="009514EC"/>
    <w:rsid w:val="009516A0"/>
    <w:rsid w:val="00952F44"/>
    <w:rsid w:val="00953A24"/>
    <w:rsid w:val="00955297"/>
    <w:rsid w:val="009561AC"/>
    <w:rsid w:val="009564A1"/>
    <w:rsid w:val="00957043"/>
    <w:rsid w:val="00957EE7"/>
    <w:rsid w:val="00960AEE"/>
    <w:rsid w:val="00961DEE"/>
    <w:rsid w:val="0096346F"/>
    <w:rsid w:val="00963987"/>
    <w:rsid w:val="00965FE6"/>
    <w:rsid w:val="0097169A"/>
    <w:rsid w:val="00974DA7"/>
    <w:rsid w:val="00977C5A"/>
    <w:rsid w:val="00977EC2"/>
    <w:rsid w:val="00984A0A"/>
    <w:rsid w:val="00986CE0"/>
    <w:rsid w:val="00987851"/>
    <w:rsid w:val="009900CA"/>
    <w:rsid w:val="00990EEB"/>
    <w:rsid w:val="00994032"/>
    <w:rsid w:val="00997660"/>
    <w:rsid w:val="00997BE4"/>
    <w:rsid w:val="009A0556"/>
    <w:rsid w:val="009A111A"/>
    <w:rsid w:val="009A61FB"/>
    <w:rsid w:val="009A63E9"/>
    <w:rsid w:val="009A6AB1"/>
    <w:rsid w:val="009A77DE"/>
    <w:rsid w:val="009B18D2"/>
    <w:rsid w:val="009B57E9"/>
    <w:rsid w:val="009B5BB3"/>
    <w:rsid w:val="009B7EED"/>
    <w:rsid w:val="009C1ECC"/>
    <w:rsid w:val="009C254A"/>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41A4"/>
    <w:rsid w:val="00A05998"/>
    <w:rsid w:val="00A12AEA"/>
    <w:rsid w:val="00A17E95"/>
    <w:rsid w:val="00A2095F"/>
    <w:rsid w:val="00A21484"/>
    <w:rsid w:val="00A30921"/>
    <w:rsid w:val="00A32D3E"/>
    <w:rsid w:val="00A34D55"/>
    <w:rsid w:val="00A35179"/>
    <w:rsid w:val="00A352BB"/>
    <w:rsid w:val="00A35C3A"/>
    <w:rsid w:val="00A363B6"/>
    <w:rsid w:val="00A4066F"/>
    <w:rsid w:val="00A40EC4"/>
    <w:rsid w:val="00A4107E"/>
    <w:rsid w:val="00A42EE3"/>
    <w:rsid w:val="00A46BF5"/>
    <w:rsid w:val="00A47307"/>
    <w:rsid w:val="00A50610"/>
    <w:rsid w:val="00A53D25"/>
    <w:rsid w:val="00A54666"/>
    <w:rsid w:val="00A56735"/>
    <w:rsid w:val="00A57047"/>
    <w:rsid w:val="00A5728A"/>
    <w:rsid w:val="00A626E4"/>
    <w:rsid w:val="00A667D0"/>
    <w:rsid w:val="00A66A61"/>
    <w:rsid w:val="00A66B4C"/>
    <w:rsid w:val="00A66FFE"/>
    <w:rsid w:val="00A72141"/>
    <w:rsid w:val="00A726D0"/>
    <w:rsid w:val="00A74673"/>
    <w:rsid w:val="00A765C9"/>
    <w:rsid w:val="00A81CA0"/>
    <w:rsid w:val="00A81D67"/>
    <w:rsid w:val="00A83C34"/>
    <w:rsid w:val="00A8549A"/>
    <w:rsid w:val="00A85850"/>
    <w:rsid w:val="00A87FC5"/>
    <w:rsid w:val="00A90594"/>
    <w:rsid w:val="00A90D22"/>
    <w:rsid w:val="00A91D9F"/>
    <w:rsid w:val="00A95660"/>
    <w:rsid w:val="00A96D88"/>
    <w:rsid w:val="00AA0760"/>
    <w:rsid w:val="00AA238B"/>
    <w:rsid w:val="00AA24C7"/>
    <w:rsid w:val="00AA69ED"/>
    <w:rsid w:val="00AB170C"/>
    <w:rsid w:val="00AB1A12"/>
    <w:rsid w:val="00AB53EC"/>
    <w:rsid w:val="00AB7F07"/>
    <w:rsid w:val="00AC01A6"/>
    <w:rsid w:val="00AC23A2"/>
    <w:rsid w:val="00AC3395"/>
    <w:rsid w:val="00AC4878"/>
    <w:rsid w:val="00AC6EDB"/>
    <w:rsid w:val="00AD1999"/>
    <w:rsid w:val="00AD1C73"/>
    <w:rsid w:val="00AD23E5"/>
    <w:rsid w:val="00AD37D2"/>
    <w:rsid w:val="00AD4213"/>
    <w:rsid w:val="00AE0929"/>
    <w:rsid w:val="00AE248A"/>
    <w:rsid w:val="00AE25A1"/>
    <w:rsid w:val="00AE6D64"/>
    <w:rsid w:val="00AF469E"/>
    <w:rsid w:val="00B01B01"/>
    <w:rsid w:val="00B022B1"/>
    <w:rsid w:val="00B060FF"/>
    <w:rsid w:val="00B06A06"/>
    <w:rsid w:val="00B14261"/>
    <w:rsid w:val="00B146E2"/>
    <w:rsid w:val="00B14C21"/>
    <w:rsid w:val="00B15394"/>
    <w:rsid w:val="00B2091A"/>
    <w:rsid w:val="00B21C4A"/>
    <w:rsid w:val="00B23C73"/>
    <w:rsid w:val="00B301E8"/>
    <w:rsid w:val="00B31572"/>
    <w:rsid w:val="00B32FE0"/>
    <w:rsid w:val="00B362C7"/>
    <w:rsid w:val="00B439F7"/>
    <w:rsid w:val="00B45492"/>
    <w:rsid w:val="00B501B3"/>
    <w:rsid w:val="00B51E05"/>
    <w:rsid w:val="00B5208D"/>
    <w:rsid w:val="00B544BC"/>
    <w:rsid w:val="00B54D17"/>
    <w:rsid w:val="00B56C38"/>
    <w:rsid w:val="00B56D2B"/>
    <w:rsid w:val="00B60A94"/>
    <w:rsid w:val="00B61F13"/>
    <w:rsid w:val="00B67A13"/>
    <w:rsid w:val="00B73462"/>
    <w:rsid w:val="00B744BF"/>
    <w:rsid w:val="00B769A3"/>
    <w:rsid w:val="00B849EE"/>
    <w:rsid w:val="00B84D02"/>
    <w:rsid w:val="00B84D03"/>
    <w:rsid w:val="00B84EB5"/>
    <w:rsid w:val="00B86CCE"/>
    <w:rsid w:val="00B877D2"/>
    <w:rsid w:val="00B87B26"/>
    <w:rsid w:val="00B87D35"/>
    <w:rsid w:val="00B909A5"/>
    <w:rsid w:val="00B90FF0"/>
    <w:rsid w:val="00B923D3"/>
    <w:rsid w:val="00B93A3A"/>
    <w:rsid w:val="00B94B2B"/>
    <w:rsid w:val="00B94C3A"/>
    <w:rsid w:val="00B9513D"/>
    <w:rsid w:val="00B956EB"/>
    <w:rsid w:val="00B97460"/>
    <w:rsid w:val="00BA1373"/>
    <w:rsid w:val="00BA17C7"/>
    <w:rsid w:val="00BA2940"/>
    <w:rsid w:val="00BA2B88"/>
    <w:rsid w:val="00BA4FC7"/>
    <w:rsid w:val="00BB2D98"/>
    <w:rsid w:val="00BB41E4"/>
    <w:rsid w:val="00BB4640"/>
    <w:rsid w:val="00BB71F8"/>
    <w:rsid w:val="00BC1D28"/>
    <w:rsid w:val="00BC2997"/>
    <w:rsid w:val="00BD29CF"/>
    <w:rsid w:val="00BD3293"/>
    <w:rsid w:val="00BD3533"/>
    <w:rsid w:val="00BD3E18"/>
    <w:rsid w:val="00BE0699"/>
    <w:rsid w:val="00BE1393"/>
    <w:rsid w:val="00BE16A4"/>
    <w:rsid w:val="00BE1849"/>
    <w:rsid w:val="00BE1D86"/>
    <w:rsid w:val="00BE2800"/>
    <w:rsid w:val="00BE287E"/>
    <w:rsid w:val="00BE578A"/>
    <w:rsid w:val="00BE7483"/>
    <w:rsid w:val="00BF06D2"/>
    <w:rsid w:val="00C00435"/>
    <w:rsid w:val="00C0505B"/>
    <w:rsid w:val="00C0706A"/>
    <w:rsid w:val="00C07AB6"/>
    <w:rsid w:val="00C07B37"/>
    <w:rsid w:val="00C07CEC"/>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2E1"/>
    <w:rsid w:val="00C452F7"/>
    <w:rsid w:val="00C45CCE"/>
    <w:rsid w:val="00C4738B"/>
    <w:rsid w:val="00C56577"/>
    <w:rsid w:val="00C6151C"/>
    <w:rsid w:val="00C61700"/>
    <w:rsid w:val="00C636FC"/>
    <w:rsid w:val="00C67B6E"/>
    <w:rsid w:val="00C71F9D"/>
    <w:rsid w:val="00C73EC0"/>
    <w:rsid w:val="00C74F97"/>
    <w:rsid w:val="00C80BB6"/>
    <w:rsid w:val="00C8343E"/>
    <w:rsid w:val="00C83C85"/>
    <w:rsid w:val="00C848D7"/>
    <w:rsid w:val="00C86C59"/>
    <w:rsid w:val="00C91C5A"/>
    <w:rsid w:val="00C9559E"/>
    <w:rsid w:val="00CA079F"/>
    <w:rsid w:val="00CA100B"/>
    <w:rsid w:val="00CA539E"/>
    <w:rsid w:val="00CA7D33"/>
    <w:rsid w:val="00CB0BDC"/>
    <w:rsid w:val="00CB33E1"/>
    <w:rsid w:val="00CB4278"/>
    <w:rsid w:val="00CB44C8"/>
    <w:rsid w:val="00CB489F"/>
    <w:rsid w:val="00CB4CCF"/>
    <w:rsid w:val="00CB6151"/>
    <w:rsid w:val="00CB61B2"/>
    <w:rsid w:val="00CC232B"/>
    <w:rsid w:val="00CC31A6"/>
    <w:rsid w:val="00CC4F80"/>
    <w:rsid w:val="00CC656E"/>
    <w:rsid w:val="00CC67E2"/>
    <w:rsid w:val="00CC7C2A"/>
    <w:rsid w:val="00CD1030"/>
    <w:rsid w:val="00CD61E6"/>
    <w:rsid w:val="00CD6D9A"/>
    <w:rsid w:val="00CD7A97"/>
    <w:rsid w:val="00CE0805"/>
    <w:rsid w:val="00CE090F"/>
    <w:rsid w:val="00CE195D"/>
    <w:rsid w:val="00CE2C72"/>
    <w:rsid w:val="00CE4A32"/>
    <w:rsid w:val="00CE72B2"/>
    <w:rsid w:val="00CF1249"/>
    <w:rsid w:val="00CF4851"/>
    <w:rsid w:val="00CF4AFF"/>
    <w:rsid w:val="00CF5D19"/>
    <w:rsid w:val="00D00BCF"/>
    <w:rsid w:val="00D00E92"/>
    <w:rsid w:val="00D03CA9"/>
    <w:rsid w:val="00D05286"/>
    <w:rsid w:val="00D055EC"/>
    <w:rsid w:val="00D07485"/>
    <w:rsid w:val="00D10BB2"/>
    <w:rsid w:val="00D215F0"/>
    <w:rsid w:val="00D22221"/>
    <w:rsid w:val="00D22E93"/>
    <w:rsid w:val="00D24A37"/>
    <w:rsid w:val="00D26317"/>
    <w:rsid w:val="00D27C8A"/>
    <w:rsid w:val="00D31A4A"/>
    <w:rsid w:val="00D3357F"/>
    <w:rsid w:val="00D43FBD"/>
    <w:rsid w:val="00D44728"/>
    <w:rsid w:val="00D51929"/>
    <w:rsid w:val="00D5238A"/>
    <w:rsid w:val="00D5410E"/>
    <w:rsid w:val="00D55C32"/>
    <w:rsid w:val="00D562FF"/>
    <w:rsid w:val="00D57C96"/>
    <w:rsid w:val="00D60B57"/>
    <w:rsid w:val="00D6462B"/>
    <w:rsid w:val="00D660E0"/>
    <w:rsid w:val="00D70704"/>
    <w:rsid w:val="00D75DE0"/>
    <w:rsid w:val="00D775E3"/>
    <w:rsid w:val="00D80436"/>
    <w:rsid w:val="00D81F75"/>
    <w:rsid w:val="00D84EE8"/>
    <w:rsid w:val="00D85843"/>
    <w:rsid w:val="00D910F6"/>
    <w:rsid w:val="00D934CB"/>
    <w:rsid w:val="00D95A35"/>
    <w:rsid w:val="00DA23C6"/>
    <w:rsid w:val="00DA241C"/>
    <w:rsid w:val="00DA3B62"/>
    <w:rsid w:val="00DA3FE1"/>
    <w:rsid w:val="00DA4E31"/>
    <w:rsid w:val="00DB19D1"/>
    <w:rsid w:val="00DB1B6B"/>
    <w:rsid w:val="00DB2BA4"/>
    <w:rsid w:val="00DB3AE7"/>
    <w:rsid w:val="00DC00CF"/>
    <w:rsid w:val="00DC152D"/>
    <w:rsid w:val="00DC1BD9"/>
    <w:rsid w:val="00DC5123"/>
    <w:rsid w:val="00DD286C"/>
    <w:rsid w:val="00DD43E0"/>
    <w:rsid w:val="00DD4788"/>
    <w:rsid w:val="00DD56E8"/>
    <w:rsid w:val="00DD5B03"/>
    <w:rsid w:val="00DE2A8F"/>
    <w:rsid w:val="00DE2DFB"/>
    <w:rsid w:val="00DE4F38"/>
    <w:rsid w:val="00DF1A70"/>
    <w:rsid w:val="00DF2EE3"/>
    <w:rsid w:val="00DF545E"/>
    <w:rsid w:val="00DF56C9"/>
    <w:rsid w:val="00DF58C8"/>
    <w:rsid w:val="00DF595A"/>
    <w:rsid w:val="00DF671C"/>
    <w:rsid w:val="00DF6C25"/>
    <w:rsid w:val="00E03DD4"/>
    <w:rsid w:val="00E079A9"/>
    <w:rsid w:val="00E116CC"/>
    <w:rsid w:val="00E131F0"/>
    <w:rsid w:val="00E13A11"/>
    <w:rsid w:val="00E16D32"/>
    <w:rsid w:val="00E174B3"/>
    <w:rsid w:val="00E242A1"/>
    <w:rsid w:val="00E24AF7"/>
    <w:rsid w:val="00E2570C"/>
    <w:rsid w:val="00E25E91"/>
    <w:rsid w:val="00E30318"/>
    <w:rsid w:val="00E32708"/>
    <w:rsid w:val="00E345BA"/>
    <w:rsid w:val="00E36539"/>
    <w:rsid w:val="00E36D26"/>
    <w:rsid w:val="00E37EC2"/>
    <w:rsid w:val="00E43CEF"/>
    <w:rsid w:val="00E43FDD"/>
    <w:rsid w:val="00E47C1F"/>
    <w:rsid w:val="00E47C34"/>
    <w:rsid w:val="00E500E6"/>
    <w:rsid w:val="00E5049B"/>
    <w:rsid w:val="00E50AE9"/>
    <w:rsid w:val="00E55E71"/>
    <w:rsid w:val="00E570D4"/>
    <w:rsid w:val="00E611A4"/>
    <w:rsid w:val="00E61C14"/>
    <w:rsid w:val="00E62F6F"/>
    <w:rsid w:val="00E67118"/>
    <w:rsid w:val="00E73521"/>
    <w:rsid w:val="00E73AD9"/>
    <w:rsid w:val="00E751E0"/>
    <w:rsid w:val="00E81FB3"/>
    <w:rsid w:val="00E85073"/>
    <w:rsid w:val="00E8619D"/>
    <w:rsid w:val="00E86EC7"/>
    <w:rsid w:val="00E900D4"/>
    <w:rsid w:val="00EA13AE"/>
    <w:rsid w:val="00EA34FD"/>
    <w:rsid w:val="00EA5418"/>
    <w:rsid w:val="00EA598D"/>
    <w:rsid w:val="00EA6636"/>
    <w:rsid w:val="00EA7A26"/>
    <w:rsid w:val="00EB0118"/>
    <w:rsid w:val="00EB044D"/>
    <w:rsid w:val="00EB21F9"/>
    <w:rsid w:val="00EB23A0"/>
    <w:rsid w:val="00EB2D47"/>
    <w:rsid w:val="00EB36FA"/>
    <w:rsid w:val="00EB7256"/>
    <w:rsid w:val="00EC13DA"/>
    <w:rsid w:val="00EC4BF6"/>
    <w:rsid w:val="00EC570C"/>
    <w:rsid w:val="00EC6CC7"/>
    <w:rsid w:val="00ED02E2"/>
    <w:rsid w:val="00ED47AE"/>
    <w:rsid w:val="00ED50B2"/>
    <w:rsid w:val="00ED5863"/>
    <w:rsid w:val="00ED6015"/>
    <w:rsid w:val="00EE2F6A"/>
    <w:rsid w:val="00EE33F5"/>
    <w:rsid w:val="00EE46FB"/>
    <w:rsid w:val="00EE50F2"/>
    <w:rsid w:val="00EF3D5B"/>
    <w:rsid w:val="00EF5C4F"/>
    <w:rsid w:val="00EF6F00"/>
    <w:rsid w:val="00EF718C"/>
    <w:rsid w:val="00EF7608"/>
    <w:rsid w:val="00F0267E"/>
    <w:rsid w:val="00F02BBA"/>
    <w:rsid w:val="00F0362F"/>
    <w:rsid w:val="00F04802"/>
    <w:rsid w:val="00F06364"/>
    <w:rsid w:val="00F07F6C"/>
    <w:rsid w:val="00F17C0D"/>
    <w:rsid w:val="00F21430"/>
    <w:rsid w:val="00F22D69"/>
    <w:rsid w:val="00F25985"/>
    <w:rsid w:val="00F25D8A"/>
    <w:rsid w:val="00F25E1C"/>
    <w:rsid w:val="00F2639F"/>
    <w:rsid w:val="00F3017D"/>
    <w:rsid w:val="00F308C6"/>
    <w:rsid w:val="00F31B8B"/>
    <w:rsid w:val="00F31D87"/>
    <w:rsid w:val="00F33382"/>
    <w:rsid w:val="00F33C9C"/>
    <w:rsid w:val="00F365B1"/>
    <w:rsid w:val="00F415E4"/>
    <w:rsid w:val="00F5020B"/>
    <w:rsid w:val="00F52253"/>
    <w:rsid w:val="00F54B9A"/>
    <w:rsid w:val="00F5524D"/>
    <w:rsid w:val="00F5688D"/>
    <w:rsid w:val="00F57CA6"/>
    <w:rsid w:val="00F64343"/>
    <w:rsid w:val="00F755D0"/>
    <w:rsid w:val="00F75D6E"/>
    <w:rsid w:val="00F7664C"/>
    <w:rsid w:val="00F80559"/>
    <w:rsid w:val="00F81415"/>
    <w:rsid w:val="00F81D6E"/>
    <w:rsid w:val="00F854B6"/>
    <w:rsid w:val="00F906BF"/>
    <w:rsid w:val="00F966D5"/>
    <w:rsid w:val="00F97219"/>
    <w:rsid w:val="00F974CB"/>
    <w:rsid w:val="00FA29AF"/>
    <w:rsid w:val="00FA2F81"/>
    <w:rsid w:val="00FB0C37"/>
    <w:rsid w:val="00FB1010"/>
    <w:rsid w:val="00FB2030"/>
    <w:rsid w:val="00FB3D64"/>
    <w:rsid w:val="00FB77EA"/>
    <w:rsid w:val="00FC44E9"/>
    <w:rsid w:val="00FC4C8B"/>
    <w:rsid w:val="00FC4F1C"/>
    <w:rsid w:val="00FC5F96"/>
    <w:rsid w:val="00FC6A17"/>
    <w:rsid w:val="00FD42E4"/>
    <w:rsid w:val="00FD5A63"/>
    <w:rsid w:val="00FD6F0C"/>
    <w:rsid w:val="00FE3356"/>
    <w:rsid w:val="00FE3690"/>
    <w:rsid w:val="00FE421A"/>
    <w:rsid w:val="00FE4256"/>
    <w:rsid w:val="00FE4661"/>
    <w:rsid w:val="00FE4B8B"/>
    <w:rsid w:val="00FE6695"/>
    <w:rsid w:val="00FE68D2"/>
    <w:rsid w:val="00FE6A6A"/>
    <w:rsid w:val="00FF16B4"/>
    <w:rsid w:val="00FF6C98"/>
    <w:rsid w:val="00FF7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CFCE11"/>
  <w15:docId w15:val="{719D58E0-2585-4BB0-905D-ED6C7939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clara-nfasis41">
    <w:name w:val="Tabla con cuadrícula 1 clara - Énfasis 41"/>
    <w:basedOn w:val="Tablanormal"/>
    <w:uiPriority w:val="46"/>
    <w:rsid w:val="00887E7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lista1clara-nfasis11">
    <w:name w:val="Tabla de lista 1 clara - Énfasis 11"/>
    <w:basedOn w:val="Tablanormal"/>
    <w:uiPriority w:val="46"/>
    <w:rsid w:val="00887E7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316417429">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42556947">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4D44-976F-40A3-86EA-6DABBF80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23</Pages>
  <Words>4153</Words>
  <Characters>22844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15</cp:revision>
  <cp:lastPrinted>2020-10-15T18:53:00Z</cp:lastPrinted>
  <dcterms:created xsi:type="dcterms:W3CDTF">2020-10-13T17:25:00Z</dcterms:created>
  <dcterms:modified xsi:type="dcterms:W3CDTF">2021-01-08T19:08:00Z</dcterms:modified>
</cp:coreProperties>
</file>