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791BEF" w:rsidP="00623154">
      <w:pPr>
        <w:jc w:val="center"/>
      </w:pPr>
      <w:r>
        <w:object w:dxaOrig="23031"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65.2pt" o:ole="">
            <v:imagedata r:id="rId9" o:title=""/>
          </v:shape>
          <o:OLEObject Type="Embed" ProgID="Excel.Sheet.12" ShapeID="_x0000_i1025" DrawAspect="Content" ObjectID="_1663491609" r:id="rId10"/>
        </w:object>
      </w:r>
    </w:p>
    <w:p w:rsidR="00ED6251" w:rsidRDefault="0013703A" w:rsidP="00623154">
      <w:pPr>
        <w:jc w:val="center"/>
      </w:pPr>
      <w:r>
        <w:rPr>
          <w:noProof/>
        </w:rPr>
        <w:lastRenderedPageBreak/>
        <w:pict>
          <v:shape id="_x0000_s1061" type="#_x0000_t75" style="position:absolute;left:0;text-align:left;margin-left:-1.05pt;margin-top:15.05pt;width:707.8pt;height:418.75pt;z-index:251659264;mso-position-horizontal-relative:text;mso-position-vertical-relative:text">
            <v:imagedata r:id="rId11" o:title=""/>
            <w10:wrap type="square" side="right"/>
          </v:shape>
          <o:OLEObject Type="Embed" ProgID="Excel.Sheet.12" ShapeID="_x0000_s1061" DrawAspect="Content" ObjectID="_1663491611" r:id="rId12"/>
        </w:pict>
      </w:r>
    </w:p>
    <w:bookmarkStart w:id="1" w:name="_MON_1470806992"/>
    <w:bookmarkEnd w:id="1"/>
    <w:p w:rsidR="00623154" w:rsidRDefault="00CE4A05" w:rsidP="00623154">
      <w:pPr>
        <w:jc w:val="center"/>
      </w:pPr>
      <w:r>
        <w:object w:dxaOrig="21993" w:dyaOrig="15482">
          <v:shape id="_x0000_i1026" type="#_x0000_t75" style="width:668.65pt;height:450.8pt" o:ole="">
            <v:imagedata r:id="rId13" o:title=""/>
          </v:shape>
          <o:OLEObject Type="Embed" ProgID="Excel.Sheet.12" ShapeID="_x0000_i1026" DrawAspect="Content" ObjectID="_1663491610" r:id="rId14"/>
        </w:object>
      </w:r>
    </w:p>
    <w:p w:rsidR="00623154" w:rsidRDefault="0013703A" w:rsidP="00623154">
      <w:r>
        <w:rPr>
          <w:noProof/>
        </w:rPr>
        <w:lastRenderedPageBreak/>
        <w:pict>
          <v:shape id="_x0000_s1062" type="#_x0000_t75" style="position:absolute;margin-left:5.15pt;margin-top:7.8pt;width:680.9pt;height:367.8pt;z-index:251660288;mso-position-horizontal-relative:text;mso-position-vertical-relative:text">
            <v:imagedata r:id="rId15" o:title=""/>
            <w10:wrap type="square" side="right"/>
          </v:shape>
          <o:OLEObject Type="Embed" ProgID="Excel.Sheet.12" ShapeID="_x0000_s1062" DrawAspect="Content" ObjectID="_1663491612" r:id="rId16"/>
        </w:pict>
      </w:r>
    </w:p>
    <w:p w:rsidR="00A51AED" w:rsidRDefault="00623154" w:rsidP="00623154">
      <w:pPr>
        <w:tabs>
          <w:tab w:val="left" w:pos="2430"/>
        </w:tabs>
      </w:pPr>
      <w:r>
        <w:t xml:space="preserve">                      </w:t>
      </w:r>
    </w:p>
    <w:p w:rsidR="00FD045F" w:rsidRDefault="00FD045F" w:rsidP="00623154">
      <w:pPr>
        <w:tabs>
          <w:tab w:val="left" w:pos="2430"/>
        </w:tabs>
      </w:pPr>
    </w:p>
    <w:p w:rsidR="0083639E" w:rsidRDefault="0083639E" w:rsidP="00623154">
      <w:pPr>
        <w:tabs>
          <w:tab w:val="left" w:pos="2430"/>
        </w:tabs>
      </w:pPr>
    </w:p>
    <w:p w:rsidR="0083639E" w:rsidRDefault="00AE0C8D" w:rsidP="00623154">
      <w:pPr>
        <w:tabs>
          <w:tab w:val="left" w:pos="2430"/>
        </w:tabs>
      </w:pPr>
      <w:r>
        <w:rPr>
          <w:noProof/>
          <w:lang w:eastAsia="es-MX"/>
        </w:rPr>
        <w:lastRenderedPageBreak/>
        <w:pict>
          <v:shape id="_x0000_s1070" type="#_x0000_t75" style="position:absolute;margin-left:1.4pt;margin-top:17.55pt;width:688pt;height:395.65pt;z-index:251683840;mso-position-horizontal-relative:text;mso-position-vertical-relative:text">
            <v:imagedata r:id="rId17" o:title=""/>
            <w10:wrap type="square" side="right"/>
          </v:shape>
          <o:OLEObject Type="Embed" ProgID="Excel.Sheet.12" ShapeID="_x0000_s1070" DrawAspect="Content" ObjectID="_1663491613" r:id="rId18"/>
        </w:pict>
      </w:r>
    </w:p>
    <w:p w:rsidR="005F17D6" w:rsidRDefault="005F17D6" w:rsidP="00623154">
      <w:pPr>
        <w:tabs>
          <w:tab w:val="left" w:pos="2430"/>
        </w:tabs>
      </w:pPr>
    </w:p>
    <w:p w:rsidR="005F17D6" w:rsidRDefault="0013703A" w:rsidP="00623154">
      <w:pPr>
        <w:tabs>
          <w:tab w:val="left" w:pos="2430"/>
        </w:tabs>
      </w:pPr>
      <w:r>
        <w:rPr>
          <w:noProof/>
          <w:lang w:eastAsia="es-MX"/>
        </w:rPr>
        <w:lastRenderedPageBreak/>
        <w:pict>
          <v:shape id="_x0000_s1071" type="#_x0000_t75" style="position:absolute;margin-left:3.1pt;margin-top:20.55pt;width:699.8pt;height:387.5pt;z-index:251684864;mso-position-horizontal-relative:text;mso-position-vertical-relative:text">
            <v:imagedata r:id="rId19" o:title=""/>
            <w10:wrap type="square" side="right"/>
          </v:shape>
          <o:OLEObject Type="Embed" ProgID="Excel.Sheet.12" ShapeID="_x0000_s1071" DrawAspect="Content" ObjectID="_1663491614" r:id="rId20"/>
        </w:pict>
      </w:r>
    </w:p>
    <w:p w:rsidR="005F17D6" w:rsidRDefault="005F17D6" w:rsidP="00623154">
      <w:pPr>
        <w:tabs>
          <w:tab w:val="left" w:pos="2430"/>
        </w:tabs>
      </w:pPr>
    </w:p>
    <w:p w:rsidR="00F13A66" w:rsidRDefault="0013703A" w:rsidP="00623154">
      <w:pPr>
        <w:tabs>
          <w:tab w:val="left" w:pos="2430"/>
        </w:tabs>
      </w:pPr>
      <w:r>
        <w:rPr>
          <w:noProof/>
          <w:lang w:eastAsia="es-MX"/>
        </w:rPr>
        <w:lastRenderedPageBreak/>
        <w:pict>
          <v:shape id="_x0000_s1067" type="#_x0000_t75" style="position:absolute;margin-left:9.5pt;margin-top:16.9pt;width:690.1pt;height:407.35pt;z-index:251678720;mso-position-horizontal-relative:text;mso-position-vertical-relative:text">
            <v:imagedata r:id="rId21" o:title=""/>
            <w10:wrap type="square" side="right"/>
          </v:shape>
          <o:OLEObject Type="Embed" ProgID="Excel.Sheet.12" ShapeID="_x0000_s1067" DrawAspect="Content" ObjectID="_1663491615" r:id="rId22"/>
        </w:pict>
      </w:r>
    </w:p>
    <w:p w:rsidR="005F17D6" w:rsidRDefault="005F17D6" w:rsidP="00623154">
      <w:pPr>
        <w:tabs>
          <w:tab w:val="left" w:pos="2430"/>
        </w:tabs>
      </w:pPr>
    </w:p>
    <w:p w:rsidR="00060A0F" w:rsidRDefault="00060A0F" w:rsidP="00623154">
      <w:pPr>
        <w:tabs>
          <w:tab w:val="left" w:pos="2430"/>
        </w:tabs>
      </w:pPr>
    </w:p>
    <w:tbl>
      <w:tblPr>
        <w:tblW w:w="12726" w:type="dxa"/>
        <w:jc w:val="center"/>
        <w:tblInd w:w="55" w:type="dxa"/>
        <w:tblCellMar>
          <w:left w:w="70" w:type="dxa"/>
          <w:right w:w="70" w:type="dxa"/>
        </w:tblCellMar>
        <w:tblLook w:val="04A0" w:firstRow="1" w:lastRow="0" w:firstColumn="1" w:lastColumn="0" w:noHBand="0" w:noVBand="1"/>
      </w:tblPr>
      <w:tblGrid>
        <w:gridCol w:w="3509"/>
        <w:gridCol w:w="691"/>
        <w:gridCol w:w="3990"/>
        <w:gridCol w:w="2288"/>
        <w:gridCol w:w="2248"/>
      </w:tblGrid>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Centro de Rehabilitación Integral y Escuela en Terapia Física y Rehabilitación</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Informe de Pasivos Contingentes</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Del 1 de Enero al 30 de Septiembre de 2020</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(Pesos)</w:t>
            </w:r>
          </w:p>
        </w:tc>
      </w:tr>
      <w:tr w:rsidR="00614914" w:rsidRPr="00614914" w:rsidTr="005D38E6">
        <w:trPr>
          <w:trHeight w:val="300"/>
          <w:jc w:val="center"/>
        </w:trPr>
        <w:tc>
          <w:tcPr>
            <w:tcW w:w="12726" w:type="dxa"/>
            <w:gridSpan w:val="5"/>
            <w:vMerge w:val="restart"/>
            <w:tcBorders>
              <w:top w:val="nil"/>
              <w:left w:val="nil"/>
              <w:bottom w:val="single" w:sz="4" w:space="0" w:color="000000"/>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i/>
                <w:iCs/>
                <w:sz w:val="20"/>
                <w:szCs w:val="20"/>
                <w:lang w:eastAsia="es-MX"/>
              </w:rPr>
            </w:pPr>
            <w:r w:rsidRPr="00614914">
              <w:rPr>
                <w:rFonts w:ascii="Arial" w:eastAsia="Times New Roman" w:hAnsi="Arial" w:cs="Arial"/>
                <w:i/>
                <w:iCs/>
                <w:sz w:val="20"/>
                <w:szCs w:val="20"/>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614914" w:rsidRPr="00614914" w:rsidTr="005D38E6">
        <w:trPr>
          <w:trHeight w:val="255"/>
          <w:jc w:val="center"/>
        </w:trPr>
        <w:tc>
          <w:tcPr>
            <w:tcW w:w="12726" w:type="dxa"/>
            <w:gridSpan w:val="5"/>
            <w:vMerge/>
            <w:tcBorders>
              <w:top w:val="nil"/>
              <w:left w:val="nil"/>
              <w:bottom w:val="single" w:sz="4" w:space="0" w:color="000000"/>
              <w:right w:val="nil"/>
            </w:tcBorders>
            <w:vAlign w:val="center"/>
            <w:hideMark/>
          </w:tcPr>
          <w:p w:rsidR="00614914" w:rsidRPr="00614914" w:rsidRDefault="00614914" w:rsidP="00614914">
            <w:pPr>
              <w:spacing w:after="0" w:line="240" w:lineRule="auto"/>
              <w:rPr>
                <w:rFonts w:ascii="Arial" w:eastAsia="Times New Roman" w:hAnsi="Arial" w:cs="Arial"/>
                <w:i/>
                <w:iCs/>
                <w:sz w:val="20"/>
                <w:szCs w:val="20"/>
                <w:lang w:eastAsia="es-MX"/>
              </w:rPr>
            </w:pPr>
          </w:p>
        </w:tc>
      </w:tr>
      <w:tr w:rsidR="00614914" w:rsidRPr="00614914" w:rsidTr="005D38E6">
        <w:trPr>
          <w:trHeight w:val="1080"/>
          <w:jc w:val="center"/>
        </w:trPr>
        <w:tc>
          <w:tcPr>
            <w:tcW w:w="12726" w:type="dxa"/>
            <w:gridSpan w:val="5"/>
            <w:vMerge/>
            <w:tcBorders>
              <w:top w:val="nil"/>
              <w:left w:val="nil"/>
              <w:bottom w:val="single" w:sz="4" w:space="0" w:color="000000"/>
              <w:right w:val="nil"/>
            </w:tcBorders>
            <w:vAlign w:val="center"/>
            <w:hideMark/>
          </w:tcPr>
          <w:p w:rsidR="00614914" w:rsidRPr="00614914" w:rsidRDefault="00614914" w:rsidP="00614914">
            <w:pPr>
              <w:spacing w:after="0" w:line="240" w:lineRule="auto"/>
              <w:rPr>
                <w:rFonts w:ascii="Arial" w:eastAsia="Times New Roman" w:hAnsi="Arial" w:cs="Arial"/>
                <w:i/>
                <w:iCs/>
                <w:sz w:val="20"/>
                <w:szCs w:val="20"/>
                <w:lang w:eastAsia="es-MX"/>
              </w:rPr>
            </w:pPr>
          </w:p>
        </w:tc>
      </w:tr>
      <w:tr w:rsidR="00614914" w:rsidRPr="00614914" w:rsidTr="005D38E6">
        <w:trPr>
          <w:trHeight w:val="300"/>
          <w:jc w:val="center"/>
        </w:trPr>
        <w:tc>
          <w:tcPr>
            <w:tcW w:w="3509" w:type="dxa"/>
            <w:tcBorders>
              <w:top w:val="nil"/>
              <w:left w:val="single" w:sz="4" w:space="0" w:color="auto"/>
              <w:bottom w:val="single" w:sz="4" w:space="0" w:color="auto"/>
              <w:right w:val="nil"/>
            </w:tcBorders>
            <w:shd w:val="clear" w:color="000000" w:fill="632523"/>
            <w:noWrap/>
            <w:vAlign w:val="center"/>
            <w:hideMark/>
          </w:tcPr>
          <w:p w:rsidR="00614914" w:rsidRPr="00614914" w:rsidRDefault="00614914" w:rsidP="00614914">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Cuenta</w:t>
            </w:r>
          </w:p>
        </w:tc>
        <w:tc>
          <w:tcPr>
            <w:tcW w:w="6969" w:type="dxa"/>
            <w:gridSpan w:val="3"/>
            <w:tcBorders>
              <w:top w:val="single" w:sz="4" w:space="0" w:color="auto"/>
              <w:left w:val="nil"/>
              <w:bottom w:val="single" w:sz="4" w:space="0" w:color="auto"/>
              <w:right w:val="nil"/>
            </w:tcBorders>
            <w:shd w:val="clear" w:color="000000" w:fill="632523"/>
            <w:noWrap/>
            <w:vAlign w:val="center"/>
            <w:hideMark/>
          </w:tcPr>
          <w:p w:rsidR="00614914" w:rsidRPr="00614914" w:rsidRDefault="00614914" w:rsidP="00614914">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Concepto</w:t>
            </w:r>
          </w:p>
        </w:tc>
        <w:tc>
          <w:tcPr>
            <w:tcW w:w="2248" w:type="dxa"/>
            <w:tcBorders>
              <w:top w:val="nil"/>
              <w:left w:val="nil"/>
              <w:bottom w:val="single" w:sz="4" w:space="0" w:color="auto"/>
              <w:right w:val="single" w:sz="4" w:space="0" w:color="auto"/>
            </w:tcBorders>
            <w:shd w:val="clear" w:color="000000" w:fill="632523"/>
            <w:noWrap/>
            <w:vAlign w:val="center"/>
            <w:hideMark/>
          </w:tcPr>
          <w:p w:rsidR="00614914" w:rsidRPr="00614914" w:rsidRDefault="00614914" w:rsidP="00614914">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Importe</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27471A" w:rsidP="0027471A">
            <w:pPr>
              <w:spacing w:after="0" w:line="240" w:lineRule="auto"/>
              <w:jc w:val="center"/>
              <w:rPr>
                <w:rFonts w:ascii="Arial" w:eastAsia="Times New Roman" w:hAnsi="Arial" w:cs="Arial"/>
                <w:color w:val="000000"/>
                <w:sz w:val="20"/>
                <w:szCs w:val="20"/>
                <w:lang w:eastAsia="es-MX"/>
              </w:rPr>
            </w:pPr>
            <w:r w:rsidRPr="0027471A">
              <w:rPr>
                <w:rFonts w:ascii="Arial" w:eastAsia="Times New Roman" w:hAnsi="Arial" w:cs="Arial"/>
                <w:color w:val="000000"/>
                <w:sz w:val="20"/>
                <w:szCs w:val="20"/>
                <w:lang w:eastAsia="es-MX"/>
              </w:rPr>
              <w:t>"Sin Información que Revelar"</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0</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70"/>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double" w:sz="6" w:space="0" w:color="auto"/>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70"/>
          <w:jc w:val="center"/>
        </w:trPr>
        <w:tc>
          <w:tcPr>
            <w:tcW w:w="3509" w:type="dxa"/>
            <w:tcBorders>
              <w:top w:val="nil"/>
              <w:left w:val="single" w:sz="4" w:space="0" w:color="auto"/>
              <w:bottom w:val="single" w:sz="4" w:space="0" w:color="auto"/>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TOTAL</w:t>
            </w:r>
          </w:p>
        </w:tc>
        <w:tc>
          <w:tcPr>
            <w:tcW w:w="2248" w:type="dxa"/>
            <w:tcBorders>
              <w:top w:val="nil"/>
              <w:left w:val="nil"/>
              <w:bottom w:val="single" w:sz="4" w:space="0" w:color="auto"/>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0</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18"/>
                <w:szCs w:val="18"/>
                <w:lang w:eastAsia="es-MX"/>
              </w:rPr>
            </w:pPr>
            <w:r w:rsidRPr="00614914">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691"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288"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40"/>
          <w:jc w:val="center"/>
        </w:trPr>
        <w:tc>
          <w:tcPr>
            <w:tcW w:w="4200" w:type="dxa"/>
            <w:gridSpan w:val="2"/>
            <w:tcBorders>
              <w:top w:val="single" w:sz="4" w:space="0" w:color="auto"/>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L.T.F. Ma. Antonieta Ordoñez Carrera</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536" w:type="dxa"/>
            <w:gridSpan w:val="2"/>
            <w:tcBorders>
              <w:top w:val="single" w:sz="4" w:space="0" w:color="auto"/>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C.P. María Guadalupe Vásquez Pérez</w:t>
            </w:r>
          </w:p>
        </w:tc>
      </w:tr>
      <w:tr w:rsidR="00614914" w:rsidRPr="00614914" w:rsidTr="005D38E6">
        <w:trPr>
          <w:trHeight w:val="255"/>
          <w:jc w:val="center"/>
        </w:trPr>
        <w:tc>
          <w:tcPr>
            <w:tcW w:w="4200" w:type="dxa"/>
            <w:gridSpan w:val="2"/>
            <w:tcBorders>
              <w:top w:val="nil"/>
              <w:left w:val="nil"/>
              <w:bottom w:val="nil"/>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Directora General</w:t>
            </w:r>
          </w:p>
        </w:tc>
        <w:tc>
          <w:tcPr>
            <w:tcW w:w="3990" w:type="dxa"/>
            <w:tcBorders>
              <w:top w:val="nil"/>
              <w:left w:val="nil"/>
              <w:bottom w:val="nil"/>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536" w:type="dxa"/>
            <w:gridSpan w:val="2"/>
            <w:tcBorders>
              <w:top w:val="nil"/>
              <w:left w:val="nil"/>
              <w:bottom w:val="nil"/>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Administrador</w:t>
            </w:r>
          </w:p>
        </w:tc>
      </w:tr>
    </w:tbl>
    <w:p w:rsidR="00B93EA2" w:rsidRDefault="00B93EA2" w:rsidP="00614914">
      <w:pPr>
        <w:jc w:val="center"/>
      </w:pPr>
    </w:p>
    <w:p w:rsidR="00B93EA2" w:rsidRDefault="00B93EA2">
      <w:r>
        <w:br w:type="page"/>
      </w:r>
    </w:p>
    <w:p w:rsidR="00623154" w:rsidRPr="00592CB0" w:rsidRDefault="00623154" w:rsidP="00623154">
      <w:pPr>
        <w:pStyle w:val="Texto"/>
        <w:spacing w:after="0" w:line="240" w:lineRule="exact"/>
        <w:jc w:val="center"/>
        <w:rPr>
          <w:b/>
          <w:sz w:val="22"/>
          <w:szCs w:val="22"/>
        </w:rPr>
      </w:pPr>
      <w:r w:rsidRPr="00592CB0">
        <w:rPr>
          <w:b/>
          <w:sz w:val="22"/>
          <w:szCs w:val="22"/>
        </w:rPr>
        <w:lastRenderedPageBreak/>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C664B8" w:rsidP="006F19D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331,193</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5B0BDA"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194</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C664B8"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433,544</w:t>
            </w:r>
          </w:p>
        </w:tc>
      </w:tr>
      <w:tr w:rsidR="00310BF9"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310BF9" w:rsidRPr="00310BF9" w:rsidRDefault="00310BF9" w:rsidP="00B60AD3">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rsidR="00310BF9" w:rsidRDefault="00310BF9" w:rsidP="00F314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C664B8" w:rsidP="00C664B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8,232,931</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13703A">
        <w:rPr>
          <w:sz w:val="22"/>
          <w:szCs w:val="22"/>
          <w:lang w:val="es-MX"/>
        </w:rPr>
        <w:t>580</w:t>
      </w:r>
      <w:r w:rsidR="005967C8">
        <w:rPr>
          <w:sz w:val="22"/>
          <w:szCs w:val="22"/>
          <w:lang w:val="es-MX"/>
        </w:rPr>
        <w:t>.00</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EC05AD" w:rsidP="00AB171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2,526,539</w:t>
            </w:r>
          </w:p>
        </w:tc>
        <w:tc>
          <w:tcPr>
            <w:tcW w:w="883" w:type="pct"/>
            <w:tcBorders>
              <w:top w:val="double" w:sz="4" w:space="0" w:color="auto"/>
              <w:bottom w:val="nil"/>
            </w:tcBorders>
            <w:shd w:val="clear" w:color="auto" w:fill="F2F2F2" w:themeFill="background1" w:themeFillShade="F2"/>
          </w:tcPr>
          <w:p w:rsidR="00623154" w:rsidRPr="00780836" w:rsidRDefault="00EC05AD"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29.07</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EC05AD" w:rsidP="00AB171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359,543</w:t>
            </w:r>
          </w:p>
        </w:tc>
        <w:tc>
          <w:tcPr>
            <w:tcW w:w="883" w:type="pct"/>
            <w:tcBorders>
              <w:top w:val="nil"/>
              <w:bottom w:val="nil"/>
            </w:tcBorders>
          </w:tcPr>
          <w:p w:rsidR="00623154" w:rsidRPr="00780836" w:rsidRDefault="00BD48BA"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4</w:t>
            </w:r>
            <w:r w:rsidR="00EC05AD">
              <w:rPr>
                <w:color w:val="auto"/>
                <w:sz w:val="20"/>
                <w:szCs w:val="22"/>
                <w:lang w:val="es-MX"/>
              </w:rPr>
              <w:t>.14</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EC05AD"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5,280,598</w:t>
            </w:r>
          </w:p>
        </w:tc>
        <w:tc>
          <w:tcPr>
            <w:tcW w:w="883" w:type="pct"/>
            <w:tcBorders>
              <w:top w:val="nil"/>
              <w:bottom w:val="nil"/>
            </w:tcBorders>
            <w:shd w:val="clear" w:color="auto" w:fill="F2F2F2" w:themeFill="background1" w:themeFillShade="F2"/>
          </w:tcPr>
          <w:p w:rsidR="00623154" w:rsidRPr="00780836" w:rsidRDefault="00BD48BA"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60</w:t>
            </w:r>
            <w:r w:rsidR="00910BA6">
              <w:rPr>
                <w:color w:val="auto"/>
                <w:sz w:val="20"/>
                <w:szCs w:val="22"/>
                <w:lang w:val="es-MX"/>
              </w:rPr>
              <w:t>.</w:t>
            </w:r>
            <w:r w:rsidR="00EC05AD">
              <w:rPr>
                <w:color w:val="auto"/>
                <w:sz w:val="20"/>
                <w:szCs w:val="22"/>
                <w:lang w:val="es-MX"/>
              </w:rPr>
              <w:t>77</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445,676</w:t>
            </w:r>
          </w:p>
        </w:tc>
        <w:tc>
          <w:tcPr>
            <w:tcW w:w="883" w:type="pct"/>
            <w:tcBorders>
              <w:top w:val="nil"/>
              <w:bottom w:val="nil"/>
            </w:tcBorders>
          </w:tcPr>
          <w:p w:rsidR="00623154" w:rsidRPr="00780836" w:rsidRDefault="00BD48BA"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5</w:t>
            </w:r>
            <w:r w:rsidR="00780836" w:rsidRPr="00780836">
              <w:rPr>
                <w:color w:val="auto"/>
                <w:sz w:val="20"/>
                <w:szCs w:val="22"/>
                <w:lang w:val="es-MX"/>
              </w:rPr>
              <w:t>.</w:t>
            </w:r>
            <w:r w:rsidR="00EC05AD">
              <w:rPr>
                <w:color w:val="auto"/>
                <w:sz w:val="20"/>
                <w:szCs w:val="22"/>
                <w:lang w:val="es-MX"/>
              </w:rPr>
              <w:t>13</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EC05AD"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77,192</w:t>
            </w:r>
          </w:p>
        </w:tc>
        <w:tc>
          <w:tcPr>
            <w:tcW w:w="883" w:type="pct"/>
            <w:tcBorders>
              <w:top w:val="nil"/>
              <w:bottom w:val="nil"/>
            </w:tcBorders>
            <w:shd w:val="clear" w:color="auto" w:fill="F2F2F2" w:themeFill="background1" w:themeFillShade="F2"/>
          </w:tcPr>
          <w:p w:rsidR="00623154" w:rsidRPr="00780836" w:rsidRDefault="00BD48BA"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r w:rsidR="00780836" w:rsidRPr="00780836">
              <w:rPr>
                <w:color w:val="auto"/>
                <w:sz w:val="20"/>
                <w:szCs w:val="22"/>
                <w:lang w:val="es-MX"/>
              </w:rPr>
              <w:t>.</w:t>
            </w:r>
            <w:r w:rsidR="00EC05AD">
              <w:rPr>
                <w:color w:val="auto"/>
                <w:sz w:val="20"/>
                <w:szCs w:val="22"/>
                <w:lang w:val="es-MX"/>
              </w:rPr>
              <w:t>89</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BD48BA" w:rsidP="00EC05AD">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w:t>
            </w:r>
            <w:r w:rsidR="00EC05AD">
              <w:rPr>
                <w:b/>
                <w:sz w:val="20"/>
                <w:szCs w:val="22"/>
                <w:lang w:val="es-MX"/>
              </w:rPr>
              <w:t>689,548</w:t>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13703A"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17,575</w:t>
            </w:r>
          </w:p>
        </w:tc>
        <w:tc>
          <w:tcPr>
            <w:tcW w:w="958" w:type="pct"/>
            <w:tcBorders>
              <w:top w:val="double" w:sz="4" w:space="0" w:color="auto"/>
              <w:bottom w:val="nil"/>
            </w:tcBorders>
            <w:shd w:val="clear" w:color="auto" w:fill="F2F2F2" w:themeFill="background1" w:themeFillShade="F2"/>
          </w:tcPr>
          <w:p w:rsidR="00623154" w:rsidRPr="00FF18C3" w:rsidRDefault="0013703A" w:rsidP="00851B3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19.18</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13703A" w:rsidP="00BE3E17">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73,330</w:t>
            </w:r>
          </w:p>
        </w:tc>
        <w:tc>
          <w:tcPr>
            <w:tcW w:w="958" w:type="pct"/>
            <w:tcBorders>
              <w:top w:val="nil"/>
              <w:bottom w:val="nil"/>
            </w:tcBorders>
          </w:tcPr>
          <w:p w:rsidR="00F92FD5" w:rsidRPr="00FF18C3" w:rsidRDefault="00851B3C" w:rsidP="0013703A">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w:t>
            </w:r>
            <w:r w:rsidR="0013703A">
              <w:rPr>
                <w:color w:val="auto"/>
                <w:sz w:val="20"/>
                <w:szCs w:val="22"/>
                <w:lang w:val="es-MX"/>
              </w:rPr>
              <w:t>0.06</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13703A" w:rsidP="005E1A7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693</w:t>
            </w:r>
          </w:p>
        </w:tc>
        <w:tc>
          <w:tcPr>
            <w:tcW w:w="958" w:type="pct"/>
            <w:tcBorders>
              <w:top w:val="nil"/>
              <w:bottom w:val="nil"/>
            </w:tcBorders>
            <w:shd w:val="clear" w:color="auto" w:fill="F2F2F2" w:themeFill="background1" w:themeFillShade="F2"/>
          </w:tcPr>
          <w:p w:rsidR="00623154" w:rsidRPr="00FF18C3" w:rsidRDefault="00851B3C" w:rsidP="0013703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r w:rsidR="0013703A">
              <w:rPr>
                <w:color w:val="auto"/>
                <w:sz w:val="20"/>
                <w:szCs w:val="22"/>
                <w:lang w:val="es-MX"/>
              </w:rPr>
              <w:t>.76</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13703A"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91,598</w:t>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r w:rsidR="005D776C">
        <w:rPr>
          <w:sz w:val="22"/>
          <w:szCs w:val="22"/>
          <w:lang w:val="es-MX"/>
        </w:rPr>
        <w:t>5, 966,792.00</w:t>
      </w:r>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46"/>
        <w:gridCol w:w="1186"/>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5D776C" w:rsidP="00FE2A2E">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4,860,899</w:t>
            </w:r>
          </w:p>
        </w:tc>
        <w:tc>
          <w:tcPr>
            <w:tcW w:w="755" w:type="pct"/>
            <w:tcBorders>
              <w:top w:val="double" w:sz="4" w:space="0" w:color="auto"/>
              <w:bottom w:val="nil"/>
            </w:tcBorders>
            <w:shd w:val="clear" w:color="auto" w:fill="F2F2F2" w:themeFill="background1" w:themeFillShade="F2"/>
            <w:vAlign w:val="center"/>
          </w:tcPr>
          <w:p w:rsidR="00623154" w:rsidRPr="00FF18C3" w:rsidRDefault="005D776C" w:rsidP="00D97CC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81.46</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5A1224" w:rsidP="00B60AD3">
            <w:pPr>
              <w:pStyle w:val="Texto"/>
              <w:spacing w:after="0" w:line="240" w:lineRule="exact"/>
              <w:ind w:firstLine="0"/>
              <w:jc w:val="left"/>
              <w:rPr>
                <w:b w:val="0"/>
                <w:sz w:val="20"/>
                <w:szCs w:val="22"/>
                <w:lang w:val="es-MX"/>
              </w:rPr>
            </w:pPr>
            <w:r>
              <w:rPr>
                <w:b w:val="0"/>
                <w:sz w:val="20"/>
                <w:szCs w:val="22"/>
                <w:lang w:val="es-MX"/>
              </w:rPr>
              <w:t>Transferencias</w:t>
            </w:r>
            <w:r w:rsidR="00623154" w:rsidRPr="00FF18C3">
              <w:rPr>
                <w:b w:val="0"/>
                <w:sz w:val="20"/>
                <w:szCs w:val="22"/>
                <w:lang w:val="es-MX"/>
              </w:rPr>
              <w:t xml:space="preserve">  </w:t>
            </w:r>
            <w:r w:rsidR="00623154" w:rsidRPr="00FF18C3">
              <w:rPr>
                <w:b w:val="0"/>
                <w:szCs w:val="22"/>
                <w:lang w:val="es-MX"/>
              </w:rPr>
              <w:t>(O.P.D. Salud de Tlaxcala)</w:t>
            </w:r>
          </w:p>
        </w:tc>
        <w:tc>
          <w:tcPr>
            <w:tcW w:w="783" w:type="pct"/>
            <w:tcBorders>
              <w:top w:val="nil"/>
              <w:bottom w:val="nil"/>
            </w:tcBorders>
            <w:vAlign w:val="center"/>
          </w:tcPr>
          <w:p w:rsidR="00623154" w:rsidRPr="00FF18C3" w:rsidRDefault="005D776C" w:rsidP="009E67A9">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825,003</w:t>
            </w:r>
          </w:p>
        </w:tc>
        <w:tc>
          <w:tcPr>
            <w:tcW w:w="755" w:type="pct"/>
            <w:tcBorders>
              <w:top w:val="nil"/>
              <w:bottom w:val="nil"/>
            </w:tcBorders>
            <w:vAlign w:val="center"/>
          </w:tcPr>
          <w:p w:rsidR="00623154" w:rsidRPr="00FF18C3" w:rsidRDefault="005D776C" w:rsidP="00501258">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13.8</w:t>
            </w:r>
            <w:r w:rsidR="005A1224">
              <w:rPr>
                <w:sz w:val="20"/>
                <w:szCs w:val="22"/>
                <w:lang w:val="es-MX"/>
              </w:rPr>
              <w:t>3</w:t>
            </w:r>
            <w:r w:rsidR="00FF18C3"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7169D7" w:rsidP="00B60AD3">
            <w:pPr>
              <w:pStyle w:val="Texto"/>
              <w:spacing w:after="0" w:line="240" w:lineRule="exact"/>
              <w:ind w:firstLine="0"/>
              <w:jc w:val="left"/>
              <w:rPr>
                <w:b w:val="0"/>
                <w:sz w:val="20"/>
                <w:szCs w:val="22"/>
                <w:lang w:val="es-MX"/>
              </w:rPr>
            </w:pPr>
            <w:r>
              <w:rPr>
                <w:b w:val="0"/>
                <w:sz w:val="20"/>
                <w:szCs w:val="22"/>
                <w:lang w:val="es-MX"/>
              </w:rPr>
              <w:t>Otros Ingresos</w:t>
            </w:r>
            <w:r w:rsidR="005A1224">
              <w:rPr>
                <w:b w:val="0"/>
                <w:sz w:val="20"/>
                <w:szCs w:val="22"/>
                <w:lang w:val="es-MX"/>
              </w:rPr>
              <w:t xml:space="preserve"> y beneficios</w:t>
            </w:r>
          </w:p>
        </w:tc>
        <w:tc>
          <w:tcPr>
            <w:tcW w:w="783" w:type="pct"/>
            <w:tcBorders>
              <w:top w:val="nil"/>
              <w:bottom w:val="nil"/>
            </w:tcBorders>
            <w:shd w:val="clear" w:color="auto" w:fill="F2F2F2" w:themeFill="background1" w:themeFillShade="F2"/>
            <w:vAlign w:val="center"/>
          </w:tcPr>
          <w:p w:rsidR="00623154" w:rsidRPr="00FF18C3" w:rsidRDefault="005D776C"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280,890</w:t>
            </w:r>
          </w:p>
        </w:tc>
        <w:tc>
          <w:tcPr>
            <w:tcW w:w="755" w:type="pct"/>
            <w:tcBorders>
              <w:top w:val="nil"/>
              <w:bottom w:val="nil"/>
            </w:tcBorders>
            <w:shd w:val="clear" w:color="auto" w:fill="F2F2F2" w:themeFill="background1" w:themeFillShade="F2"/>
            <w:vAlign w:val="center"/>
          </w:tcPr>
          <w:p w:rsidR="00623154" w:rsidRPr="00FF2873" w:rsidRDefault="005D776C" w:rsidP="005D776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4</w:t>
            </w:r>
            <w:r w:rsidR="005A1224">
              <w:rPr>
                <w:sz w:val="20"/>
                <w:szCs w:val="22"/>
                <w:lang w:val="es-MX"/>
              </w:rPr>
              <w:t>.</w:t>
            </w:r>
            <w:r>
              <w:rPr>
                <w:sz w:val="20"/>
                <w:szCs w:val="22"/>
                <w:lang w:val="es-MX"/>
              </w:rPr>
              <w:t>71</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5D776C" w:rsidP="00D97CCB">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5,966,792</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305C8F">
        <w:rPr>
          <w:sz w:val="22"/>
          <w:szCs w:val="22"/>
          <w:lang w:val="es-MX"/>
        </w:rPr>
        <w:t>5</w:t>
      </w:r>
      <w:r w:rsidR="000013E4">
        <w:rPr>
          <w:sz w:val="22"/>
          <w:szCs w:val="22"/>
          <w:lang w:val="es-MX"/>
        </w:rPr>
        <w:t xml:space="preserve">, </w:t>
      </w:r>
      <w:r w:rsidR="00305C8F">
        <w:rPr>
          <w:sz w:val="22"/>
          <w:szCs w:val="22"/>
          <w:lang w:val="es-MX"/>
        </w:rPr>
        <w:t>318,893</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305C8F">
        <w:rPr>
          <w:sz w:val="22"/>
          <w:szCs w:val="22"/>
          <w:lang w:val="es-MX"/>
        </w:rPr>
        <w:t>647,899</w:t>
      </w:r>
      <w:r w:rsidR="004C21D5">
        <w:rPr>
          <w:sz w:val="22"/>
          <w:szCs w:val="22"/>
          <w:lang w:val="es-MX"/>
        </w:rPr>
        <w:t>.00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712CE1">
        <w:rPr>
          <w:sz w:val="22"/>
          <w:szCs w:val="22"/>
          <w:lang w:val="es-MX"/>
        </w:rPr>
        <w:t>0</w:t>
      </w:r>
      <w:r w:rsidRPr="007675A3">
        <w:rPr>
          <w:sz w:val="22"/>
          <w:szCs w:val="22"/>
          <w:lang w:val="es-MX"/>
        </w:rPr>
        <w:t xml:space="preserve"> de </w:t>
      </w:r>
      <w:r w:rsidR="00305C8F">
        <w:rPr>
          <w:sz w:val="22"/>
          <w:szCs w:val="22"/>
          <w:lang w:val="es-MX"/>
        </w:rPr>
        <w:t>septiembre</w:t>
      </w:r>
      <w:r w:rsidR="004C21D5">
        <w:rPr>
          <w:sz w:val="22"/>
          <w:szCs w:val="22"/>
          <w:lang w:val="es-MX"/>
        </w:rPr>
        <w:t xml:space="preserve"> de</w:t>
      </w:r>
      <w:r w:rsidR="00E82AFF">
        <w:rPr>
          <w:sz w:val="22"/>
          <w:szCs w:val="22"/>
          <w:lang w:val="es-MX"/>
        </w:rPr>
        <w:t xml:space="preserve"> 2020</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ED7F8F">
        <w:rPr>
          <w:b/>
          <w:sz w:val="22"/>
          <w:szCs w:val="22"/>
          <w:lang w:val="es-MX"/>
        </w:rPr>
        <w:t>1</w:t>
      </w:r>
      <w:r w:rsidR="00712CE1">
        <w:rPr>
          <w:b/>
          <w:sz w:val="22"/>
          <w:szCs w:val="22"/>
          <w:lang w:val="es-MX"/>
        </w:rPr>
        <w:t>6</w:t>
      </w:r>
      <w:r w:rsidR="000013E4">
        <w:rPr>
          <w:b/>
          <w:sz w:val="22"/>
          <w:szCs w:val="22"/>
          <w:lang w:val="es-MX"/>
        </w:rPr>
        <w:t>,</w:t>
      </w:r>
      <w:r w:rsidR="004C21D5">
        <w:rPr>
          <w:b/>
          <w:sz w:val="22"/>
          <w:szCs w:val="22"/>
          <w:lang w:val="es-MX"/>
        </w:rPr>
        <w:t xml:space="preserve"> </w:t>
      </w:r>
      <w:r w:rsidR="00305C8F">
        <w:rPr>
          <w:b/>
          <w:sz w:val="22"/>
          <w:szCs w:val="22"/>
          <w:lang w:val="es-MX"/>
        </w:rPr>
        <w:t>831,462</w:t>
      </w:r>
      <w:r w:rsidR="000013E4">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7331D0"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2020</w:t>
            </w:r>
          </w:p>
        </w:tc>
        <w:tc>
          <w:tcPr>
            <w:tcW w:w="1065" w:type="pct"/>
            <w:tcBorders>
              <w:bottom w:val="double" w:sz="4" w:space="0" w:color="auto"/>
            </w:tcBorders>
          </w:tcPr>
          <w:p w:rsidR="00623154" w:rsidRPr="00FF18C3" w:rsidRDefault="00623154"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7331D0">
              <w:rPr>
                <w:sz w:val="20"/>
                <w:lang w:val="es-MX"/>
              </w:rPr>
              <w:t>9</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720DB4" w:rsidP="004631A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764,931</w:t>
            </w:r>
          </w:p>
        </w:tc>
        <w:tc>
          <w:tcPr>
            <w:tcW w:w="1065" w:type="pct"/>
            <w:tcBorders>
              <w:top w:val="double" w:sz="4" w:space="0" w:color="auto"/>
              <w:bottom w:val="nil"/>
            </w:tcBorders>
            <w:shd w:val="clear" w:color="auto" w:fill="auto"/>
          </w:tcPr>
          <w:p w:rsidR="00623154" w:rsidRPr="00FF18C3" w:rsidRDefault="007331D0"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1,263,210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70F38" w:rsidRDefault="00720DB4" w:rsidP="007331D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8,232,931</w:t>
            </w:r>
          </w:p>
        </w:tc>
        <w:tc>
          <w:tcPr>
            <w:tcW w:w="1065" w:type="pct"/>
            <w:tcBorders>
              <w:top w:val="nil"/>
              <w:bottom w:val="nil"/>
            </w:tcBorders>
            <w:shd w:val="clear" w:color="auto" w:fill="auto"/>
          </w:tcPr>
          <w:p w:rsidR="00623154" w:rsidRPr="00F70F38" w:rsidRDefault="004C21D5" w:rsidP="007331D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sidRPr="00F70F38">
              <w:rPr>
                <w:b/>
                <w:sz w:val="20"/>
                <w:lang w:val="es-MX"/>
              </w:rPr>
              <w:t>8,</w:t>
            </w:r>
            <w:r w:rsidR="007331D0" w:rsidRPr="00F70F38">
              <w:rPr>
                <w:b/>
                <w:sz w:val="20"/>
                <w:lang w:val="es-MX"/>
              </w:rPr>
              <w:t>731,210</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3456" w:type="pct"/>
        <w:tblLayout w:type="fixed"/>
        <w:tblLook w:val="04A0" w:firstRow="1" w:lastRow="0" w:firstColumn="1" w:lastColumn="0" w:noHBand="0" w:noVBand="1"/>
      </w:tblPr>
      <w:tblGrid>
        <w:gridCol w:w="4542"/>
        <w:gridCol w:w="1719"/>
        <w:gridCol w:w="1717"/>
        <w:gridCol w:w="1713"/>
      </w:tblGrid>
      <w:tr w:rsidR="00623154" w:rsidRPr="00E74A72" w:rsidTr="00B60AD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43" w:type="pct"/>
            <w:vAlign w:val="center"/>
          </w:tcPr>
          <w:p w:rsidR="00623154" w:rsidRPr="00E74A72" w:rsidRDefault="00623154" w:rsidP="00B60AD3">
            <w:pPr>
              <w:pStyle w:val="Texto"/>
              <w:spacing w:after="0" w:line="240" w:lineRule="exact"/>
              <w:jc w:val="center"/>
              <w:rPr>
                <w:lang w:val="es-MX"/>
              </w:rPr>
            </w:pPr>
            <w:r w:rsidRPr="00E74A72">
              <w:rPr>
                <w:lang w:val="es-MX"/>
              </w:rPr>
              <w:t>CONCEPTO</w:t>
            </w:r>
          </w:p>
        </w:tc>
        <w:tc>
          <w:tcPr>
            <w:tcW w:w="887" w:type="pct"/>
            <w:vAlign w:val="center"/>
          </w:tcPr>
          <w:p w:rsidR="00623154" w:rsidRPr="00E74A72" w:rsidRDefault="00623154" w:rsidP="00E20339">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w:t>
            </w:r>
            <w:r w:rsidR="00E20339">
              <w:rPr>
                <w:lang w:val="es-MX"/>
              </w:rPr>
              <w:t>9</w:t>
            </w:r>
          </w:p>
        </w:tc>
        <w:tc>
          <w:tcPr>
            <w:tcW w:w="886" w:type="pct"/>
            <w:tcBorders>
              <w:bottom w:val="double" w:sz="4" w:space="0" w:color="auto"/>
            </w:tcBorders>
            <w:vAlign w:val="center"/>
          </w:tcPr>
          <w:p w:rsidR="00623154" w:rsidRPr="00E74A72" w:rsidRDefault="00623154"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sidR="005B4E72">
              <w:rPr>
                <w:lang w:val="es-MX"/>
              </w:rPr>
              <w:t>EN EL EJERCICIO</w:t>
            </w:r>
          </w:p>
        </w:tc>
        <w:tc>
          <w:tcPr>
            <w:tcW w:w="884" w:type="pct"/>
            <w:tcBorders>
              <w:bottom w:val="double" w:sz="4" w:space="0" w:color="auto"/>
            </w:tcBorders>
            <w:vAlign w:val="center"/>
          </w:tcPr>
          <w:p w:rsidR="00623154" w:rsidRPr="00E74A72" w:rsidRDefault="00623154" w:rsidP="00775D78">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sidR="00D169FD">
              <w:rPr>
                <w:lang w:val="es-MX"/>
              </w:rPr>
              <w:t>0</w:t>
            </w:r>
            <w:r w:rsidRPr="00E74A72">
              <w:rPr>
                <w:lang w:val="es-MX"/>
              </w:rPr>
              <w:t>/</w:t>
            </w:r>
            <w:r w:rsidR="00775D78">
              <w:rPr>
                <w:lang w:val="es-MX"/>
              </w:rPr>
              <w:t>SEP</w:t>
            </w:r>
            <w:r w:rsidRPr="00E74A72">
              <w:rPr>
                <w:lang w:val="es-MX"/>
              </w:rPr>
              <w:t>/</w:t>
            </w:r>
            <w:r w:rsidR="005B4E72">
              <w:rPr>
                <w:lang w:val="es-MX"/>
              </w:rPr>
              <w:t xml:space="preserve"> </w:t>
            </w:r>
            <w:r w:rsidRPr="00E74A72">
              <w:rPr>
                <w:lang w:val="es-MX"/>
              </w:rPr>
              <w:t>20</w:t>
            </w:r>
            <w:r w:rsidR="00E20339">
              <w:rPr>
                <w:lang w:val="es-MX"/>
              </w:rPr>
              <w:t>20</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double" w:sz="4" w:space="0" w:color="auto"/>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lang w:val="es-MX"/>
              </w:rPr>
              <w:t>Mobiliario y Equipo de Administración</w:t>
            </w:r>
          </w:p>
        </w:tc>
        <w:tc>
          <w:tcPr>
            <w:tcW w:w="887" w:type="pct"/>
            <w:tcBorders>
              <w:top w:val="double" w:sz="4" w:space="0" w:color="auto"/>
              <w:bottom w:val="nil"/>
            </w:tcBorders>
            <w:shd w:val="clear" w:color="auto" w:fill="F2F2F2" w:themeFill="background1" w:themeFillShade="F2"/>
          </w:tcPr>
          <w:p w:rsidR="004C21D5" w:rsidRPr="00E74A72" w:rsidRDefault="00E20339" w:rsidP="00731E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2,509,073</w:t>
            </w:r>
          </w:p>
        </w:tc>
        <w:tc>
          <w:tcPr>
            <w:tcW w:w="886" w:type="pct"/>
            <w:tcBorders>
              <w:top w:val="double" w:sz="4" w:space="0" w:color="auto"/>
              <w:bottom w:val="nil"/>
            </w:tcBorders>
            <w:shd w:val="clear" w:color="auto" w:fill="F2F2F2" w:themeFill="background1" w:themeFillShade="F2"/>
          </w:tcPr>
          <w:p w:rsidR="004C21D5" w:rsidRPr="00E74A72" w:rsidRDefault="00E20339"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17,466</w:t>
            </w:r>
          </w:p>
        </w:tc>
        <w:tc>
          <w:tcPr>
            <w:tcW w:w="884" w:type="pct"/>
            <w:tcBorders>
              <w:top w:val="double" w:sz="4" w:space="0" w:color="auto"/>
              <w:bottom w:val="nil"/>
            </w:tcBorders>
            <w:shd w:val="clear" w:color="auto" w:fill="F2F2F2" w:themeFill="background1" w:themeFillShade="F2"/>
          </w:tcPr>
          <w:p w:rsidR="004C21D5" w:rsidRPr="00E74A72" w:rsidRDefault="00E20339"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2,526,539</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Mobiliario y Equipo Educacional y Recreativo</w:t>
            </w:r>
          </w:p>
        </w:tc>
        <w:tc>
          <w:tcPr>
            <w:tcW w:w="887" w:type="pct"/>
            <w:tcBorders>
              <w:top w:val="nil"/>
              <w:bottom w:val="nil"/>
            </w:tcBorders>
          </w:tcPr>
          <w:p w:rsidR="004C21D5" w:rsidRPr="00E74A72" w:rsidRDefault="00E20339"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rPr>
              <w:t>349,919</w:t>
            </w:r>
          </w:p>
        </w:tc>
        <w:tc>
          <w:tcPr>
            <w:tcW w:w="886" w:type="pct"/>
            <w:tcBorders>
              <w:top w:val="nil"/>
              <w:bottom w:val="nil"/>
            </w:tcBorders>
          </w:tcPr>
          <w:p w:rsidR="004C21D5" w:rsidRPr="00E74A72" w:rsidRDefault="00E20339" w:rsidP="009F699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9,624</w:t>
            </w:r>
          </w:p>
        </w:tc>
        <w:tc>
          <w:tcPr>
            <w:tcW w:w="884" w:type="pct"/>
            <w:tcBorders>
              <w:top w:val="nil"/>
              <w:bottom w:val="nil"/>
            </w:tcBorders>
          </w:tcPr>
          <w:p w:rsidR="004C21D5" w:rsidRPr="00E20339" w:rsidRDefault="00E20339" w:rsidP="009F699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339">
              <w:rPr>
                <w:rFonts w:ascii="Arial" w:hAnsi="Arial" w:cs="Arial"/>
                <w:sz w:val="20"/>
                <w:szCs w:val="20"/>
              </w:rPr>
              <w:t>359,543</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Equipo e Instrumental Médico y de Laboratorio</w:t>
            </w:r>
          </w:p>
        </w:tc>
        <w:tc>
          <w:tcPr>
            <w:tcW w:w="887" w:type="pct"/>
            <w:tcBorders>
              <w:top w:val="nil"/>
              <w:bottom w:val="nil"/>
            </w:tcBorders>
            <w:shd w:val="clear" w:color="auto" w:fill="F2F2F2" w:themeFill="background1" w:themeFillShade="F2"/>
          </w:tcPr>
          <w:p w:rsidR="004C21D5" w:rsidRPr="00E74A72" w:rsidRDefault="00E20339"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5,011,705</w:t>
            </w:r>
          </w:p>
        </w:tc>
        <w:tc>
          <w:tcPr>
            <w:tcW w:w="886" w:type="pct"/>
            <w:tcBorders>
              <w:top w:val="nil"/>
              <w:bottom w:val="nil"/>
            </w:tcBorders>
            <w:shd w:val="clear" w:color="auto" w:fill="F2F2F2" w:themeFill="background1" w:themeFillShade="F2"/>
          </w:tcPr>
          <w:p w:rsidR="004C21D5" w:rsidRPr="00E74A72" w:rsidRDefault="00E20339" w:rsidP="00306D3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268,893</w:t>
            </w:r>
          </w:p>
        </w:tc>
        <w:tc>
          <w:tcPr>
            <w:tcW w:w="884" w:type="pct"/>
            <w:tcBorders>
              <w:top w:val="nil"/>
              <w:bottom w:val="nil"/>
            </w:tcBorders>
            <w:shd w:val="clear" w:color="auto" w:fill="F2F2F2" w:themeFill="background1" w:themeFillShade="F2"/>
          </w:tcPr>
          <w:p w:rsidR="004C21D5" w:rsidRPr="00E20339" w:rsidRDefault="00E20339"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5,280,598</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Vehículos y Equipo de Transporte</w:t>
            </w:r>
          </w:p>
        </w:tc>
        <w:tc>
          <w:tcPr>
            <w:tcW w:w="887"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c>
          <w:tcPr>
            <w:tcW w:w="886" w:type="pct"/>
            <w:tcBorders>
              <w:top w:val="nil"/>
              <w:bottom w:val="nil"/>
            </w:tcBorders>
          </w:tcPr>
          <w:p w:rsidR="004C21D5" w:rsidRPr="00E74A72" w:rsidRDefault="00731ECC"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0.00</w:t>
            </w:r>
          </w:p>
        </w:tc>
        <w:tc>
          <w:tcPr>
            <w:tcW w:w="884" w:type="pct"/>
            <w:tcBorders>
              <w:top w:val="nil"/>
              <w:bottom w:val="nil"/>
            </w:tcBorders>
          </w:tcPr>
          <w:p w:rsidR="004C21D5" w:rsidRPr="00E20339" w:rsidRDefault="00E20339"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445,676</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Maquinaria, Otros Equipos y Herramientas</w:t>
            </w:r>
          </w:p>
        </w:tc>
        <w:tc>
          <w:tcPr>
            <w:tcW w:w="887" w:type="pct"/>
            <w:tcBorders>
              <w:top w:val="nil"/>
              <w:bottom w:val="nil"/>
            </w:tcBorders>
            <w:shd w:val="clear" w:color="auto" w:fill="F2F2F2" w:themeFill="background1" w:themeFillShade="F2"/>
          </w:tcPr>
          <w:p w:rsidR="004C21D5" w:rsidRPr="00E74A72" w:rsidRDefault="00E20339"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28,785</w:t>
            </w:r>
          </w:p>
        </w:tc>
        <w:tc>
          <w:tcPr>
            <w:tcW w:w="886" w:type="pct"/>
            <w:tcBorders>
              <w:top w:val="nil"/>
              <w:bottom w:val="nil"/>
            </w:tcBorders>
            <w:shd w:val="clear" w:color="auto" w:fill="F2F2F2" w:themeFill="background1" w:themeFillShade="F2"/>
          </w:tcPr>
          <w:p w:rsidR="004C21D5" w:rsidRPr="00E74A72" w:rsidRDefault="00E20339"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48407</w:t>
            </w:r>
          </w:p>
        </w:tc>
        <w:tc>
          <w:tcPr>
            <w:tcW w:w="884" w:type="pct"/>
            <w:tcBorders>
              <w:top w:val="nil"/>
              <w:bottom w:val="nil"/>
            </w:tcBorders>
            <w:shd w:val="clear" w:color="auto" w:fill="F2F2F2" w:themeFill="background1" w:themeFillShade="F2"/>
          </w:tcPr>
          <w:p w:rsidR="004C21D5" w:rsidRPr="00E20339" w:rsidRDefault="00E20339" w:rsidP="00855AA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77,192</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p>
        </w:tc>
        <w:tc>
          <w:tcPr>
            <w:tcW w:w="887"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6"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4" w:type="pct"/>
            <w:tcBorders>
              <w:top w:val="nil"/>
              <w:bottom w:val="nil"/>
            </w:tcBorders>
          </w:tcPr>
          <w:p w:rsidR="004C21D5" w:rsidRPr="00E20339"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D9D9D9" w:themeFill="background1" w:themeFillShade="D9"/>
          </w:tcPr>
          <w:p w:rsidR="004C21D5" w:rsidRPr="00E74A72" w:rsidRDefault="004C21D5" w:rsidP="004C21D5">
            <w:pPr>
              <w:pStyle w:val="Texto"/>
              <w:spacing w:after="0" w:line="240" w:lineRule="exact"/>
              <w:ind w:firstLine="0"/>
              <w:rPr>
                <w:sz w:val="20"/>
                <w:lang w:val="es-MX"/>
              </w:rPr>
            </w:pPr>
            <w:r w:rsidRPr="00E74A72">
              <w:rPr>
                <w:sz w:val="20"/>
                <w:lang w:val="es-MX"/>
              </w:rPr>
              <w:t xml:space="preserve">Total Activo </w:t>
            </w:r>
          </w:p>
        </w:tc>
        <w:tc>
          <w:tcPr>
            <w:tcW w:w="887" w:type="pct"/>
            <w:tcBorders>
              <w:top w:val="nil"/>
              <w:bottom w:val="nil"/>
            </w:tcBorders>
            <w:shd w:val="clear" w:color="auto" w:fill="D9D9D9" w:themeFill="background1" w:themeFillShade="D9"/>
          </w:tcPr>
          <w:p w:rsidR="004C21D5" w:rsidRPr="00E74A72" w:rsidRDefault="00E20339" w:rsidP="00E20339">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8,345,158</w:t>
            </w:r>
          </w:p>
        </w:tc>
        <w:tc>
          <w:tcPr>
            <w:tcW w:w="886" w:type="pct"/>
            <w:tcBorders>
              <w:top w:val="nil"/>
              <w:bottom w:val="nil"/>
            </w:tcBorders>
            <w:shd w:val="clear" w:color="auto" w:fill="D9D9D9" w:themeFill="background1" w:themeFillShade="D9"/>
          </w:tcPr>
          <w:p w:rsidR="004C21D5" w:rsidRPr="00E74A72" w:rsidRDefault="00E20339"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344,390</w:t>
            </w:r>
          </w:p>
        </w:tc>
        <w:tc>
          <w:tcPr>
            <w:tcW w:w="884" w:type="pct"/>
            <w:tcBorders>
              <w:top w:val="nil"/>
              <w:bottom w:val="nil"/>
            </w:tcBorders>
            <w:shd w:val="clear" w:color="auto" w:fill="D9D9D9" w:themeFill="background1" w:themeFillShade="D9"/>
          </w:tcPr>
          <w:p w:rsidR="004C21D5" w:rsidRPr="00855AA5" w:rsidRDefault="00E20339"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8,689,548</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E20339" w:rsidP="00E2033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2020</w:t>
            </w:r>
          </w:p>
        </w:tc>
        <w:tc>
          <w:tcPr>
            <w:tcW w:w="689" w:type="pct"/>
          </w:tcPr>
          <w:p w:rsidR="00623154" w:rsidRPr="00E953D0" w:rsidRDefault="005D6449" w:rsidP="00E2033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w:t>
            </w:r>
            <w:r w:rsidR="00E20339">
              <w:rPr>
                <w:sz w:val="20"/>
                <w:szCs w:val="22"/>
                <w:lang w:val="es-MX"/>
              </w:rPr>
              <w:t>19</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C6396E" w:rsidP="00222F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647,899</w:t>
            </w:r>
          </w:p>
        </w:tc>
        <w:tc>
          <w:tcPr>
            <w:tcW w:w="689" w:type="pct"/>
            <w:tcBorders>
              <w:top w:val="single" w:sz="8" w:space="0" w:color="000000" w:themeColor="text1"/>
              <w:bottom w:val="nil"/>
            </w:tcBorders>
            <w:shd w:val="clear" w:color="auto" w:fill="F2F2F2" w:themeFill="background1" w:themeFillShade="F2"/>
          </w:tcPr>
          <w:p w:rsidR="00623154" w:rsidRPr="006F2A4F" w:rsidRDefault="00E20339"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1,116,631</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D63C09" w:rsidP="00623154">
      <w:pPr>
        <w:pStyle w:val="Texto"/>
        <w:spacing w:after="0" w:line="240" w:lineRule="exact"/>
        <w:ind w:firstLine="0"/>
        <w:rPr>
          <w:sz w:val="22"/>
          <w:szCs w:val="22"/>
          <w:lang w:val="es-MX"/>
        </w:rPr>
      </w:pPr>
      <w:bookmarkStart w:id="2" w:name="_GoBack"/>
      <w:bookmarkEnd w:id="2"/>
      <w:r>
        <w:rPr>
          <w:noProof/>
        </w:rPr>
        <w:pict>
          <v:shape id="_x0000_s1064" type="#_x0000_t75" style="position:absolute;left:0;text-align:left;margin-left:341.05pt;margin-top:20pt;width:349.35pt;height:305.6pt;z-index:251662336">
            <v:imagedata r:id="rId23" o:title=""/>
            <w10:wrap type="topAndBottom"/>
          </v:shape>
          <o:OLEObject Type="Embed" ProgID="Excel.Sheet.12" ShapeID="_x0000_s1064" DrawAspect="Content" ObjectID="_1663491616" r:id="rId24"/>
        </w:pict>
      </w:r>
      <w:r w:rsidR="004B7BE2">
        <w:rPr>
          <w:noProof/>
          <w:sz w:val="22"/>
          <w:szCs w:val="22"/>
          <w:lang w:val="es-MX" w:eastAsia="es-MX"/>
        </w:rPr>
        <w:pict>
          <v:shape id="_x0000_s1063" type="#_x0000_t75" style="position:absolute;left:0;text-align:left;margin-left:9.65pt;margin-top:20pt;width:325.8pt;height:196.25pt;z-index:251661312">
            <v:imagedata r:id="rId25" o:title=""/>
            <w10:wrap type="topAndBottom"/>
          </v:shape>
          <o:OLEObject Type="Embed" ProgID="Excel.Sheet.12" ShapeID="_x0000_s1063" DrawAspect="Content" ObjectID="_1663491617"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E96CA8" w:rsidRDefault="00E96CA8" w:rsidP="00623154">
      <w:pPr>
        <w:pStyle w:val="Texto"/>
        <w:spacing w:after="0" w:line="240" w:lineRule="exact"/>
        <w:ind w:firstLine="0"/>
        <w:jc w:val="center"/>
        <w:rPr>
          <w:sz w:val="22"/>
          <w:szCs w:val="22"/>
        </w:rPr>
      </w:pPr>
    </w:p>
    <w:p w:rsidR="00992171" w:rsidRDefault="00992171" w:rsidP="00623154">
      <w:pPr>
        <w:pStyle w:val="Texto"/>
        <w:spacing w:after="0" w:line="240" w:lineRule="exact"/>
        <w:ind w:firstLine="0"/>
        <w:jc w:val="center"/>
        <w:rPr>
          <w:sz w:val="22"/>
          <w:szCs w:val="22"/>
        </w:rPr>
      </w:pPr>
    </w:p>
    <w:p w:rsidR="00CF180A" w:rsidRDefault="00623154" w:rsidP="00623154">
      <w:pPr>
        <w:pStyle w:val="Texto"/>
        <w:spacing w:after="0" w:line="240" w:lineRule="exact"/>
        <w:ind w:firstLine="0"/>
        <w:jc w:val="center"/>
        <w:rPr>
          <w:sz w:val="22"/>
          <w:szCs w:val="22"/>
        </w:rPr>
      </w:pPr>
      <w:r w:rsidRPr="00592CB0">
        <w:rPr>
          <w:sz w:val="22"/>
          <w:szCs w:val="22"/>
        </w:rPr>
        <w:t xml:space="preserve"> </w:t>
      </w: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lastRenderedPageBreak/>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lastRenderedPageBreak/>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reforma el 6 de junio de 2019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General de Salud.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12 de julio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Educación.</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Contabilidad Gubernamental.</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4B3793" w:rsidRPr="002C7D29" w:rsidRDefault="004B3793" w:rsidP="004B3793">
      <w:pPr>
        <w:pStyle w:val="Texto"/>
        <w:spacing w:after="0" w:line="240" w:lineRule="exact"/>
        <w:rPr>
          <w:bCs/>
          <w:sz w:val="22"/>
          <w:szCs w:val="22"/>
          <w:lang w:val="es-MX"/>
        </w:rPr>
      </w:pPr>
    </w:p>
    <w:p w:rsidR="004B3793" w:rsidRPr="002C7D29" w:rsidRDefault="004B3793" w:rsidP="004B379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4B3793" w:rsidRDefault="004B3793" w:rsidP="004B3793">
      <w:pPr>
        <w:pStyle w:val="Texto"/>
        <w:spacing w:after="0"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C40673">
      <w:pPr>
        <w:pStyle w:val="Texto"/>
        <w:spacing w:after="0" w:line="240" w:lineRule="exact"/>
        <w:rPr>
          <w:sz w:val="22"/>
          <w:szCs w:val="22"/>
          <w:lang w:val="es-MX"/>
        </w:rPr>
      </w:pP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ind w:firstLine="0"/>
        <w:rPr>
          <w:b/>
          <w:lang w:val="es-MX"/>
        </w:rPr>
      </w:pPr>
      <w:r>
        <w:rPr>
          <w:b/>
          <w:lang w:val="es-MX"/>
        </w:rPr>
        <w:t xml:space="preserve">       </w:t>
      </w:r>
      <w:r w:rsidRPr="002C7D29">
        <w:rPr>
          <w:b/>
          <w:lang w:val="es-MX"/>
        </w:rPr>
        <w:t>Ámbito Estatal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Constitución Política del Estado Libre y Soberano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Pr>
          <w:sz w:val="22"/>
          <w:szCs w:val="22"/>
          <w:lang w:val="es-MX"/>
        </w:rPr>
        <w:t>ima reforma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Orgánica de la Administración Pública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para Personas con Discapacidad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Educación para el Estado de Tlaxcala.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embre de 2000, última reforma 17</w:t>
      </w:r>
      <w:r w:rsidRPr="002C7D29">
        <w:rPr>
          <w:sz w:val="22"/>
          <w:szCs w:val="22"/>
          <w:lang w:val="es-MX"/>
        </w:rPr>
        <w:t xml:space="preserve"> de </w:t>
      </w:r>
      <w:r>
        <w:rPr>
          <w:sz w:val="22"/>
          <w:szCs w:val="22"/>
          <w:lang w:val="es-MX"/>
        </w:rPr>
        <w:t>noviembre</w:t>
      </w:r>
      <w:r w:rsidRPr="002C7D29">
        <w:rPr>
          <w:sz w:val="22"/>
          <w:szCs w:val="22"/>
          <w:lang w:val="es-MX"/>
        </w:rPr>
        <w:t xml:space="preserv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w:t>
      </w:r>
      <w:r>
        <w:rPr>
          <w:sz w:val="22"/>
          <w:szCs w:val="22"/>
          <w:lang w:val="es-MX"/>
        </w:rPr>
        <w:t>ficial No. Extraordinario del 04</w:t>
      </w:r>
      <w:r w:rsidRPr="002C7D29">
        <w:rPr>
          <w:sz w:val="22"/>
          <w:szCs w:val="22"/>
          <w:lang w:val="es-MX"/>
        </w:rPr>
        <w:t xml:space="preserve"> de </w:t>
      </w:r>
      <w:r>
        <w:rPr>
          <w:sz w:val="22"/>
          <w:szCs w:val="22"/>
          <w:lang w:val="es-MX"/>
        </w:rPr>
        <w:t>Mayo del 2016 y última reforma 4</w:t>
      </w:r>
      <w:r w:rsidRPr="002C7D29">
        <w:rPr>
          <w:sz w:val="22"/>
          <w:szCs w:val="22"/>
          <w:lang w:val="es-MX"/>
        </w:rPr>
        <w:t xml:space="preserve"> de septiembre de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Laboral de los Servidores Públicos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iembre de 2007, Última reforma 11 de enero</w:t>
      </w:r>
      <w:r w:rsidRPr="002C7D29">
        <w:rPr>
          <w:sz w:val="22"/>
          <w:szCs w:val="22"/>
          <w:lang w:val="es-MX"/>
        </w:rPr>
        <w:t xml:space="preserve"> de 201</w:t>
      </w:r>
      <w:r>
        <w:rPr>
          <w:sz w:val="22"/>
          <w:szCs w:val="22"/>
          <w:lang w:val="es-MX"/>
        </w:rPr>
        <w:t>7</w:t>
      </w:r>
      <w:r w:rsidRPr="002C7D29">
        <w:rPr>
          <w:sz w:val="22"/>
          <w:szCs w:val="22"/>
          <w:lang w:val="es-MX"/>
        </w:rPr>
        <w:t>.)</w:t>
      </w:r>
    </w:p>
    <w:p w:rsidR="004B3793" w:rsidRDefault="004B3793" w:rsidP="004B3793">
      <w:pPr>
        <w:pStyle w:val="Texto"/>
        <w:spacing w:after="0" w:line="240" w:lineRule="exact"/>
        <w:rPr>
          <w:sz w:val="22"/>
          <w:szCs w:val="22"/>
          <w:lang w:val="es-MX"/>
        </w:rPr>
      </w:pPr>
    </w:p>
    <w:p w:rsidR="004B3793"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Fiscalización Superior </w:t>
      </w:r>
      <w:r w:rsidR="00BD5CB9">
        <w:rPr>
          <w:sz w:val="22"/>
          <w:szCs w:val="22"/>
          <w:lang w:val="es-MX"/>
        </w:rPr>
        <w:t xml:space="preserve">y Rendición de Cuentas </w:t>
      </w:r>
      <w:r w:rsidRPr="002C7D29">
        <w:rPr>
          <w:sz w:val="22"/>
          <w:szCs w:val="22"/>
          <w:lang w:val="es-MX"/>
        </w:rPr>
        <w:t>del Estado de Tlaxcala</w:t>
      </w:r>
      <w:r w:rsidR="00AA5D9F">
        <w:rPr>
          <w:sz w:val="22"/>
          <w:szCs w:val="22"/>
          <w:lang w:val="es-MX"/>
        </w:rPr>
        <w:t>.</w:t>
      </w:r>
      <w:r w:rsidRPr="002C7D29">
        <w:rPr>
          <w:sz w:val="22"/>
          <w:szCs w:val="22"/>
          <w:lang w:val="es-MX"/>
        </w:rPr>
        <w:t xml:space="preserve"> </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(Publicada en el Periódico Ofici</w:t>
      </w:r>
      <w:r w:rsidR="00AA5D9F">
        <w:rPr>
          <w:sz w:val="22"/>
          <w:szCs w:val="22"/>
          <w:lang w:val="es-MX"/>
        </w:rPr>
        <w:t>al del Gobierno del Estado el 24</w:t>
      </w:r>
      <w:r w:rsidRPr="002C7D29">
        <w:rPr>
          <w:sz w:val="22"/>
          <w:szCs w:val="22"/>
          <w:lang w:val="es-MX"/>
        </w:rPr>
        <w:t xml:space="preserve"> de </w:t>
      </w:r>
      <w:r w:rsidR="00AA5D9F">
        <w:rPr>
          <w:sz w:val="22"/>
          <w:szCs w:val="22"/>
          <w:lang w:val="es-MX"/>
        </w:rPr>
        <w:t xml:space="preserve">diciembre </w:t>
      </w:r>
      <w:r w:rsidRPr="002C7D29">
        <w:rPr>
          <w:sz w:val="22"/>
          <w:szCs w:val="22"/>
          <w:lang w:val="es-MX"/>
        </w:rPr>
        <w:t>de 20</w:t>
      </w:r>
      <w:r w:rsidR="00AA5D9F">
        <w:rPr>
          <w:sz w:val="22"/>
          <w:szCs w:val="22"/>
          <w:lang w:val="es-MX"/>
        </w:rPr>
        <w:t>19.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Ingresos del Estado de Tlaxcala, para el ejercicio fiscal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l del Gobierno del Estado No. 8 Extraordinario Decreto No. 76, 31</w:t>
      </w:r>
      <w:r w:rsidRPr="00B32F02">
        <w:rPr>
          <w:sz w:val="22"/>
          <w:szCs w:val="22"/>
          <w:lang w:val="es-MX"/>
        </w:rPr>
        <w:t xml:space="preserve"> de diciembre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Ley de Archivos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4B3793" w:rsidRPr="002C7D29" w:rsidRDefault="004B3793" w:rsidP="004B3793">
      <w:pPr>
        <w:pStyle w:val="Texto"/>
        <w:spacing w:after="0" w:line="240" w:lineRule="exact"/>
        <w:rPr>
          <w:sz w:val="22"/>
          <w:szCs w:val="22"/>
          <w:lang w:val="es-MX"/>
        </w:rPr>
      </w:pPr>
    </w:p>
    <w:p w:rsidR="004B3793" w:rsidRPr="00337149" w:rsidRDefault="004B3793" w:rsidP="004B3793">
      <w:pPr>
        <w:pStyle w:val="Texto"/>
        <w:spacing w:after="0" w:line="240" w:lineRule="exact"/>
        <w:rPr>
          <w:sz w:val="22"/>
          <w:szCs w:val="22"/>
          <w:lang w:val="es-MX"/>
        </w:rPr>
      </w:pPr>
      <w:r w:rsidRPr="00337149">
        <w:rPr>
          <w:sz w:val="22"/>
          <w:szCs w:val="22"/>
          <w:lang w:val="es-MX"/>
        </w:rPr>
        <w:t>Presupuesto de Egresos del Estado de Tlaxc</w:t>
      </w:r>
      <w:r w:rsidR="00AD1F94">
        <w:rPr>
          <w:sz w:val="22"/>
          <w:szCs w:val="22"/>
          <w:lang w:val="es-MX"/>
        </w:rPr>
        <w:t>ala para el Ejercicio Fiscal 2020</w:t>
      </w:r>
      <w:r w:rsidRPr="00337149">
        <w:rPr>
          <w:sz w:val="22"/>
          <w:szCs w:val="22"/>
          <w:lang w:val="es-MX"/>
        </w:rPr>
        <w:t>.</w:t>
      </w:r>
    </w:p>
    <w:p w:rsidR="004B3793" w:rsidRPr="002C7D29" w:rsidRDefault="004B3793" w:rsidP="004B3793">
      <w:pPr>
        <w:pStyle w:val="Texto"/>
        <w:spacing w:after="0" w:line="240" w:lineRule="exact"/>
        <w:rPr>
          <w:sz w:val="22"/>
          <w:szCs w:val="22"/>
          <w:lang w:val="es-MX"/>
        </w:rPr>
      </w:pPr>
      <w:r w:rsidRPr="00337149">
        <w:rPr>
          <w:sz w:val="22"/>
          <w:szCs w:val="22"/>
          <w:lang w:val="es-MX"/>
        </w:rPr>
        <w:t>(Publicado en el Periódico Ofi</w:t>
      </w:r>
      <w:r w:rsidR="001E171B">
        <w:rPr>
          <w:sz w:val="22"/>
          <w:szCs w:val="22"/>
          <w:lang w:val="es-MX"/>
        </w:rPr>
        <w:t>cial No</w:t>
      </w:r>
      <w:r w:rsidR="006F3370">
        <w:rPr>
          <w:sz w:val="22"/>
          <w:szCs w:val="22"/>
          <w:lang w:val="es-MX"/>
        </w:rPr>
        <w:t>. 7</w:t>
      </w:r>
      <w:r w:rsidR="001E171B">
        <w:rPr>
          <w:sz w:val="22"/>
          <w:szCs w:val="22"/>
          <w:lang w:val="es-MX"/>
        </w:rPr>
        <w:t xml:space="preserve"> Extraordinario el día 24</w:t>
      </w:r>
      <w:r w:rsidRPr="00337149">
        <w:rPr>
          <w:sz w:val="22"/>
          <w:szCs w:val="22"/>
          <w:lang w:val="es-MX"/>
        </w:rPr>
        <w:t xml:space="preserve"> de </w:t>
      </w:r>
      <w:r w:rsidR="00AD1F94">
        <w:rPr>
          <w:sz w:val="22"/>
          <w:szCs w:val="22"/>
          <w:lang w:val="es-MX"/>
        </w:rPr>
        <w:t>diciembre</w:t>
      </w:r>
      <w:r w:rsidRPr="00337149">
        <w:rPr>
          <w:sz w:val="22"/>
          <w:szCs w:val="22"/>
          <w:lang w:val="es-MX"/>
        </w:rPr>
        <w:t xml:space="preserve"> de 2019)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Código Financiero para el Estado de Tlaxcala y sus Municipios.</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4B3793"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4B3793" w:rsidRPr="002C7D29" w:rsidRDefault="004B3793" w:rsidP="004B3793">
      <w:pPr>
        <w:pStyle w:val="Texto"/>
        <w:spacing w:after="0" w:line="240" w:lineRule="exact"/>
        <w:rPr>
          <w:sz w:val="22"/>
          <w:szCs w:val="22"/>
          <w:lang w:val="es-MX"/>
        </w:rPr>
      </w:pPr>
      <w:r w:rsidRPr="002C7D29">
        <w:rPr>
          <w:sz w:val="22"/>
          <w:szCs w:val="22"/>
          <w:lang w:val="es-MX"/>
        </w:rPr>
        <w:t>Código Civil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 xml:space="preserve">tubre 1976, </w:t>
      </w:r>
      <w:proofErr w:type="gramStart"/>
      <w:r>
        <w:rPr>
          <w:sz w:val="22"/>
          <w:szCs w:val="22"/>
          <w:lang w:val="es-MX"/>
        </w:rPr>
        <w:t>última</w:t>
      </w:r>
      <w:proofErr w:type="gramEnd"/>
      <w:r>
        <w:rPr>
          <w:sz w:val="22"/>
          <w:szCs w:val="22"/>
          <w:lang w:val="es-MX"/>
        </w:rPr>
        <w:t xml:space="preserve"> reforma el 4</w:t>
      </w:r>
      <w:r w:rsidRPr="002C7D29">
        <w:rPr>
          <w:sz w:val="22"/>
          <w:szCs w:val="22"/>
          <w:lang w:val="es-MX"/>
        </w:rPr>
        <w:t xml:space="preserve"> de </w:t>
      </w:r>
      <w:r>
        <w:rPr>
          <w:sz w:val="22"/>
          <w:szCs w:val="22"/>
          <w:lang w:val="es-MX"/>
        </w:rPr>
        <w:t>septiembre de</w:t>
      </w:r>
      <w:r w:rsidRPr="002C7D29">
        <w:rPr>
          <w:sz w:val="22"/>
          <w:szCs w:val="22"/>
          <w:lang w:val="es-MX"/>
        </w:rPr>
        <w:t xml:space="preserv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ab/>
      </w: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Decreto No. 96.- Se crea el Patronato “Centro de Rehabilitación Integral y Escuela en Terapia Física y Rehabilitación, con personalidad jurídica y patrimonio propios que en lo sucesivo de le denominara CRI-ESCUELA.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4B3793" w:rsidRPr="002C7D29" w:rsidRDefault="004B3793" w:rsidP="004B3793">
      <w:pPr>
        <w:pStyle w:val="Texto"/>
        <w:spacing w:after="0" w:line="240" w:lineRule="exact"/>
        <w:ind w:firstLine="0"/>
        <w:rPr>
          <w:sz w:val="22"/>
          <w:szCs w:val="22"/>
          <w:lang w:val="es-MX"/>
        </w:rPr>
      </w:pPr>
    </w:p>
    <w:p w:rsidR="004B3793" w:rsidRDefault="004B3793" w:rsidP="004B3793">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4B3793" w:rsidRPr="002C7D29" w:rsidRDefault="004B3793" w:rsidP="004B3793">
      <w:pPr>
        <w:pStyle w:val="Texto"/>
        <w:spacing w:line="240" w:lineRule="exact"/>
        <w:ind w:left="284" w:firstLine="4"/>
        <w:rPr>
          <w:sz w:val="22"/>
          <w:szCs w:val="22"/>
          <w:lang w:val="es-MX"/>
        </w:rPr>
      </w:pPr>
    </w:p>
    <w:p w:rsidR="004B3793" w:rsidRPr="002C7D29" w:rsidRDefault="004B3793" w:rsidP="004B3793">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r>
        <w:rPr>
          <w:bCs/>
          <w:sz w:val="22"/>
          <w:szCs w:val="22"/>
          <w:lang w:val="es-MX"/>
        </w:rPr>
        <w:t>.</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3703A" w:rsidRPr="007E6A44" w:rsidRDefault="0013703A"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3703A" w:rsidRPr="007E6A44" w:rsidRDefault="0013703A"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3703A" w:rsidRPr="007E6A44" w:rsidRDefault="0013703A"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3703A" w:rsidRPr="007E6A44" w:rsidRDefault="0013703A"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3703A" w:rsidRPr="007E6A44" w:rsidRDefault="0013703A"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13703A" w:rsidRPr="007E6A44" w:rsidRDefault="0013703A"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13703A" w:rsidRPr="007E6A44" w:rsidRDefault="0013703A"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13703A" w:rsidRPr="007E6A44" w:rsidRDefault="0013703A"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13703A" w:rsidRPr="007E6A44" w:rsidRDefault="0013703A"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13703A" w:rsidRPr="007E6A44" w:rsidRDefault="0013703A"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9E" w:rsidRDefault="0043189E" w:rsidP="00EA5418">
      <w:pPr>
        <w:spacing w:after="0" w:line="240" w:lineRule="auto"/>
      </w:pPr>
      <w:r>
        <w:separator/>
      </w:r>
    </w:p>
  </w:endnote>
  <w:endnote w:type="continuationSeparator" w:id="0">
    <w:p w:rsidR="0043189E" w:rsidRDefault="0043189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3A" w:rsidRPr="0013011C" w:rsidRDefault="0013703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251122A" wp14:editId="0B32B6A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63C09" w:rsidRPr="00D63C09">
          <w:rPr>
            <w:rFonts w:ascii="Soberana Sans Light" w:hAnsi="Soberana Sans Light"/>
            <w:noProof/>
            <w:lang w:val="es-ES"/>
          </w:rPr>
          <w:t>14</w:t>
        </w:r>
        <w:r w:rsidRPr="0013011C">
          <w:rPr>
            <w:rFonts w:ascii="Soberana Sans Light" w:hAnsi="Soberana Sans Light"/>
          </w:rPr>
          <w:fldChar w:fldCharType="end"/>
        </w:r>
      </w:sdtContent>
    </w:sdt>
  </w:p>
  <w:p w:rsidR="0013703A" w:rsidRDefault="001370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3A" w:rsidRPr="008E3652" w:rsidRDefault="0013703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39676B1" wp14:editId="2E544376">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63C09" w:rsidRPr="00D63C09">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9E" w:rsidRDefault="0043189E" w:rsidP="00EA5418">
      <w:pPr>
        <w:spacing w:after="0" w:line="240" w:lineRule="auto"/>
      </w:pPr>
      <w:r>
        <w:separator/>
      </w:r>
    </w:p>
  </w:footnote>
  <w:footnote w:type="continuationSeparator" w:id="0">
    <w:p w:rsidR="0043189E" w:rsidRDefault="0043189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3A" w:rsidRDefault="0013703A">
    <w:pPr>
      <w:pStyle w:val="Encabezado"/>
    </w:pPr>
    <w:r>
      <w:rPr>
        <w:noProof/>
        <w:lang w:eastAsia="es-MX"/>
      </w:rPr>
      <mc:AlternateContent>
        <mc:Choice Requires="wpg">
          <w:drawing>
            <wp:anchor distT="0" distB="0" distL="114300" distR="114300" simplePos="0" relativeHeight="251665408" behindDoc="0" locked="0" layoutInCell="1" allowOverlap="1" wp14:anchorId="1C5847B8" wp14:editId="01C418B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03A" w:rsidRDefault="0013703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3703A" w:rsidRDefault="0013703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3703A" w:rsidRPr="00275FC6" w:rsidRDefault="0013703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703A" w:rsidRDefault="0013703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13703A" w:rsidRDefault="0013703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3703A" w:rsidRPr="00275FC6" w:rsidRDefault="0013703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3703A" w:rsidRDefault="0013703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3703A" w:rsidRDefault="0013703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3703A" w:rsidRPr="00275FC6" w:rsidRDefault="0013703A"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3703A" w:rsidRDefault="0013703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13703A" w:rsidRDefault="0013703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3703A" w:rsidRPr="00275FC6" w:rsidRDefault="0013703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AF5DBA8" wp14:editId="24F8A370">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3A" w:rsidRPr="0013011C" w:rsidRDefault="0013703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71A2BD47" wp14:editId="0B44327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E4"/>
    <w:rsid w:val="000069CE"/>
    <w:rsid w:val="00010913"/>
    <w:rsid w:val="0001477E"/>
    <w:rsid w:val="000209FD"/>
    <w:rsid w:val="00024511"/>
    <w:rsid w:val="00026275"/>
    <w:rsid w:val="0002764A"/>
    <w:rsid w:val="00033B87"/>
    <w:rsid w:val="00033FA2"/>
    <w:rsid w:val="000357BB"/>
    <w:rsid w:val="00037BA9"/>
    <w:rsid w:val="00040466"/>
    <w:rsid w:val="00041784"/>
    <w:rsid w:val="00041D47"/>
    <w:rsid w:val="00045302"/>
    <w:rsid w:val="00045A10"/>
    <w:rsid w:val="00046EF7"/>
    <w:rsid w:val="00047568"/>
    <w:rsid w:val="00051D68"/>
    <w:rsid w:val="00054F1E"/>
    <w:rsid w:val="0005726F"/>
    <w:rsid w:val="00057368"/>
    <w:rsid w:val="00057A7B"/>
    <w:rsid w:val="00060117"/>
    <w:rsid w:val="00060A0F"/>
    <w:rsid w:val="00063032"/>
    <w:rsid w:val="00071C64"/>
    <w:rsid w:val="00075D86"/>
    <w:rsid w:val="00075FE2"/>
    <w:rsid w:val="00076A38"/>
    <w:rsid w:val="000775CC"/>
    <w:rsid w:val="00083F22"/>
    <w:rsid w:val="00096BCA"/>
    <w:rsid w:val="000A04A1"/>
    <w:rsid w:val="000A4A6B"/>
    <w:rsid w:val="000A5C78"/>
    <w:rsid w:val="000B1720"/>
    <w:rsid w:val="000B45DD"/>
    <w:rsid w:val="000C4E78"/>
    <w:rsid w:val="000C63E3"/>
    <w:rsid w:val="000D1497"/>
    <w:rsid w:val="000D3F62"/>
    <w:rsid w:val="000D5AE3"/>
    <w:rsid w:val="000D6B33"/>
    <w:rsid w:val="000E0F57"/>
    <w:rsid w:val="000E5F6C"/>
    <w:rsid w:val="000E6587"/>
    <w:rsid w:val="000F121C"/>
    <w:rsid w:val="000F34EC"/>
    <w:rsid w:val="000F4F8C"/>
    <w:rsid w:val="00100132"/>
    <w:rsid w:val="00102B7B"/>
    <w:rsid w:val="00104933"/>
    <w:rsid w:val="0010658A"/>
    <w:rsid w:val="00106CE8"/>
    <w:rsid w:val="00107C53"/>
    <w:rsid w:val="00107CA8"/>
    <w:rsid w:val="00114A66"/>
    <w:rsid w:val="00115111"/>
    <w:rsid w:val="0013011C"/>
    <w:rsid w:val="0013088E"/>
    <w:rsid w:val="00134A99"/>
    <w:rsid w:val="001366B8"/>
    <w:rsid w:val="0013703A"/>
    <w:rsid w:val="001375DF"/>
    <w:rsid w:val="00144A4C"/>
    <w:rsid w:val="00144EAD"/>
    <w:rsid w:val="0014623D"/>
    <w:rsid w:val="0015416F"/>
    <w:rsid w:val="00155609"/>
    <w:rsid w:val="00155D2E"/>
    <w:rsid w:val="0015714A"/>
    <w:rsid w:val="0016011E"/>
    <w:rsid w:val="001615EC"/>
    <w:rsid w:val="00162AD1"/>
    <w:rsid w:val="00163605"/>
    <w:rsid w:val="00164661"/>
    <w:rsid w:val="00165BB4"/>
    <w:rsid w:val="00166A93"/>
    <w:rsid w:val="0017259F"/>
    <w:rsid w:val="001728E7"/>
    <w:rsid w:val="001768FA"/>
    <w:rsid w:val="0018008A"/>
    <w:rsid w:val="00182889"/>
    <w:rsid w:val="00186827"/>
    <w:rsid w:val="00187121"/>
    <w:rsid w:val="00191C03"/>
    <w:rsid w:val="001930A4"/>
    <w:rsid w:val="0019561A"/>
    <w:rsid w:val="001A26FF"/>
    <w:rsid w:val="001A3EB2"/>
    <w:rsid w:val="001A3FF6"/>
    <w:rsid w:val="001A47E9"/>
    <w:rsid w:val="001A6880"/>
    <w:rsid w:val="001A7781"/>
    <w:rsid w:val="001B1B72"/>
    <w:rsid w:val="001B2365"/>
    <w:rsid w:val="001B3610"/>
    <w:rsid w:val="001B47C0"/>
    <w:rsid w:val="001B49F2"/>
    <w:rsid w:val="001C26AA"/>
    <w:rsid w:val="001C3C65"/>
    <w:rsid w:val="001C45A6"/>
    <w:rsid w:val="001C65C8"/>
    <w:rsid w:val="001C6FD8"/>
    <w:rsid w:val="001D5C02"/>
    <w:rsid w:val="001D64A5"/>
    <w:rsid w:val="001E171B"/>
    <w:rsid w:val="001E5882"/>
    <w:rsid w:val="001E5C66"/>
    <w:rsid w:val="001E7072"/>
    <w:rsid w:val="001E7E9F"/>
    <w:rsid w:val="001F011A"/>
    <w:rsid w:val="001F0C57"/>
    <w:rsid w:val="001F1109"/>
    <w:rsid w:val="001F74BF"/>
    <w:rsid w:val="00204C86"/>
    <w:rsid w:val="002109D5"/>
    <w:rsid w:val="00213DCE"/>
    <w:rsid w:val="00214D3F"/>
    <w:rsid w:val="00220495"/>
    <w:rsid w:val="00222FCC"/>
    <w:rsid w:val="00234388"/>
    <w:rsid w:val="0023567F"/>
    <w:rsid w:val="00236612"/>
    <w:rsid w:val="00242DC8"/>
    <w:rsid w:val="002449C8"/>
    <w:rsid w:val="00247BD3"/>
    <w:rsid w:val="00247E6C"/>
    <w:rsid w:val="00255FEC"/>
    <w:rsid w:val="00256A3A"/>
    <w:rsid w:val="002574F4"/>
    <w:rsid w:val="00262212"/>
    <w:rsid w:val="00264426"/>
    <w:rsid w:val="00264460"/>
    <w:rsid w:val="00267248"/>
    <w:rsid w:val="002715B0"/>
    <w:rsid w:val="0027471A"/>
    <w:rsid w:val="0028279B"/>
    <w:rsid w:val="002872EC"/>
    <w:rsid w:val="0029083B"/>
    <w:rsid w:val="00290B13"/>
    <w:rsid w:val="00294923"/>
    <w:rsid w:val="00297C8C"/>
    <w:rsid w:val="002A0BD7"/>
    <w:rsid w:val="002A70B3"/>
    <w:rsid w:val="002A78F4"/>
    <w:rsid w:val="002B1A0D"/>
    <w:rsid w:val="002B2A05"/>
    <w:rsid w:val="002B33FC"/>
    <w:rsid w:val="002C012E"/>
    <w:rsid w:val="002C3197"/>
    <w:rsid w:val="002C34A7"/>
    <w:rsid w:val="002C6680"/>
    <w:rsid w:val="002D1811"/>
    <w:rsid w:val="002D1E17"/>
    <w:rsid w:val="002D2582"/>
    <w:rsid w:val="002D2DF2"/>
    <w:rsid w:val="002D6D41"/>
    <w:rsid w:val="002E29CC"/>
    <w:rsid w:val="002E34A4"/>
    <w:rsid w:val="002E71F6"/>
    <w:rsid w:val="002F4067"/>
    <w:rsid w:val="002F6A42"/>
    <w:rsid w:val="002F6CE2"/>
    <w:rsid w:val="0030170D"/>
    <w:rsid w:val="00301858"/>
    <w:rsid w:val="003018C5"/>
    <w:rsid w:val="0030236F"/>
    <w:rsid w:val="00303696"/>
    <w:rsid w:val="003044E6"/>
    <w:rsid w:val="00305752"/>
    <w:rsid w:val="00305C8F"/>
    <w:rsid w:val="00306D34"/>
    <w:rsid w:val="003105A5"/>
    <w:rsid w:val="00310BF9"/>
    <w:rsid w:val="003130BC"/>
    <w:rsid w:val="003150CC"/>
    <w:rsid w:val="00316A68"/>
    <w:rsid w:val="00316A81"/>
    <w:rsid w:val="00317289"/>
    <w:rsid w:val="003202E2"/>
    <w:rsid w:val="003206ED"/>
    <w:rsid w:val="003233C4"/>
    <w:rsid w:val="00323FB4"/>
    <w:rsid w:val="00325E2E"/>
    <w:rsid w:val="00327241"/>
    <w:rsid w:val="00331871"/>
    <w:rsid w:val="00340BEC"/>
    <w:rsid w:val="00343D2C"/>
    <w:rsid w:val="0036316E"/>
    <w:rsid w:val="00366404"/>
    <w:rsid w:val="00367C3F"/>
    <w:rsid w:val="003702E6"/>
    <w:rsid w:val="00372F40"/>
    <w:rsid w:val="00383209"/>
    <w:rsid w:val="00383CF4"/>
    <w:rsid w:val="003864B3"/>
    <w:rsid w:val="00387AC2"/>
    <w:rsid w:val="00390AEF"/>
    <w:rsid w:val="00391CE9"/>
    <w:rsid w:val="00396C2B"/>
    <w:rsid w:val="003A0303"/>
    <w:rsid w:val="003B0F77"/>
    <w:rsid w:val="003B2EB5"/>
    <w:rsid w:val="003B3422"/>
    <w:rsid w:val="003B4118"/>
    <w:rsid w:val="003B4A42"/>
    <w:rsid w:val="003C3503"/>
    <w:rsid w:val="003C64EC"/>
    <w:rsid w:val="003C6C48"/>
    <w:rsid w:val="003D0C82"/>
    <w:rsid w:val="003D5CD5"/>
    <w:rsid w:val="003D5DBF"/>
    <w:rsid w:val="003E451F"/>
    <w:rsid w:val="003E5CD4"/>
    <w:rsid w:val="003E7FD0"/>
    <w:rsid w:val="003F0EA4"/>
    <w:rsid w:val="003F4D7A"/>
    <w:rsid w:val="003F6066"/>
    <w:rsid w:val="003F65AB"/>
    <w:rsid w:val="00402864"/>
    <w:rsid w:val="00405E59"/>
    <w:rsid w:val="0040614B"/>
    <w:rsid w:val="0040666E"/>
    <w:rsid w:val="00407561"/>
    <w:rsid w:val="004169FD"/>
    <w:rsid w:val="004216B4"/>
    <w:rsid w:val="0042358E"/>
    <w:rsid w:val="0042374F"/>
    <w:rsid w:val="0042725D"/>
    <w:rsid w:val="00430D3C"/>
    <w:rsid w:val="004311BE"/>
    <w:rsid w:val="0043189E"/>
    <w:rsid w:val="004354AD"/>
    <w:rsid w:val="00441F6E"/>
    <w:rsid w:val="0044253C"/>
    <w:rsid w:val="00447281"/>
    <w:rsid w:val="00447442"/>
    <w:rsid w:val="00451482"/>
    <w:rsid w:val="00454DD3"/>
    <w:rsid w:val="004572C7"/>
    <w:rsid w:val="0045752B"/>
    <w:rsid w:val="004622A2"/>
    <w:rsid w:val="004631A4"/>
    <w:rsid w:val="00463C34"/>
    <w:rsid w:val="00470078"/>
    <w:rsid w:val="0047128F"/>
    <w:rsid w:val="004714CF"/>
    <w:rsid w:val="0047225C"/>
    <w:rsid w:val="00472B09"/>
    <w:rsid w:val="004753AA"/>
    <w:rsid w:val="004768A2"/>
    <w:rsid w:val="00481922"/>
    <w:rsid w:val="00481EA8"/>
    <w:rsid w:val="004834B2"/>
    <w:rsid w:val="00484C0D"/>
    <w:rsid w:val="00491B3D"/>
    <w:rsid w:val="00493D6A"/>
    <w:rsid w:val="00494B2D"/>
    <w:rsid w:val="00496502"/>
    <w:rsid w:val="00496E7B"/>
    <w:rsid w:val="0049759D"/>
    <w:rsid w:val="00497D8B"/>
    <w:rsid w:val="00497ED0"/>
    <w:rsid w:val="004A4D4D"/>
    <w:rsid w:val="004B11B7"/>
    <w:rsid w:val="004B3793"/>
    <w:rsid w:val="004B49E9"/>
    <w:rsid w:val="004B785F"/>
    <w:rsid w:val="004B7BE2"/>
    <w:rsid w:val="004C024C"/>
    <w:rsid w:val="004C1429"/>
    <w:rsid w:val="004C21D5"/>
    <w:rsid w:val="004C31E4"/>
    <w:rsid w:val="004C41F5"/>
    <w:rsid w:val="004D2257"/>
    <w:rsid w:val="004D256A"/>
    <w:rsid w:val="004D4111"/>
    <w:rsid w:val="004D41B8"/>
    <w:rsid w:val="004D615C"/>
    <w:rsid w:val="004E0462"/>
    <w:rsid w:val="004E0C52"/>
    <w:rsid w:val="004E149E"/>
    <w:rsid w:val="004E271E"/>
    <w:rsid w:val="004E68A3"/>
    <w:rsid w:val="004E69C3"/>
    <w:rsid w:val="004F0CD9"/>
    <w:rsid w:val="004F182E"/>
    <w:rsid w:val="004F5641"/>
    <w:rsid w:val="0050065A"/>
    <w:rsid w:val="00501258"/>
    <w:rsid w:val="00501881"/>
    <w:rsid w:val="0050270E"/>
    <w:rsid w:val="00506E26"/>
    <w:rsid w:val="00507518"/>
    <w:rsid w:val="00512A4F"/>
    <w:rsid w:val="00514E71"/>
    <w:rsid w:val="0051734E"/>
    <w:rsid w:val="00517EF0"/>
    <w:rsid w:val="00520734"/>
    <w:rsid w:val="00521F14"/>
    <w:rsid w:val="00522632"/>
    <w:rsid w:val="00522BAC"/>
    <w:rsid w:val="00522EF3"/>
    <w:rsid w:val="005274AA"/>
    <w:rsid w:val="00535288"/>
    <w:rsid w:val="005355F9"/>
    <w:rsid w:val="00540418"/>
    <w:rsid w:val="00540A52"/>
    <w:rsid w:val="00541909"/>
    <w:rsid w:val="00542E8C"/>
    <w:rsid w:val="005430E9"/>
    <w:rsid w:val="00543729"/>
    <w:rsid w:val="005513C7"/>
    <w:rsid w:val="005534C8"/>
    <w:rsid w:val="005552F5"/>
    <w:rsid w:val="00560028"/>
    <w:rsid w:val="00561F69"/>
    <w:rsid w:val="00562914"/>
    <w:rsid w:val="00562B6A"/>
    <w:rsid w:val="00566D89"/>
    <w:rsid w:val="00570071"/>
    <w:rsid w:val="005719C8"/>
    <w:rsid w:val="005738E6"/>
    <w:rsid w:val="00574266"/>
    <w:rsid w:val="0057588B"/>
    <w:rsid w:val="00582401"/>
    <w:rsid w:val="005844D0"/>
    <w:rsid w:val="0058767D"/>
    <w:rsid w:val="0059131E"/>
    <w:rsid w:val="005967C8"/>
    <w:rsid w:val="005A0D83"/>
    <w:rsid w:val="005A1224"/>
    <w:rsid w:val="005B0BDA"/>
    <w:rsid w:val="005B4E72"/>
    <w:rsid w:val="005B50D2"/>
    <w:rsid w:val="005C04F5"/>
    <w:rsid w:val="005C0772"/>
    <w:rsid w:val="005C0935"/>
    <w:rsid w:val="005C41CB"/>
    <w:rsid w:val="005D15F7"/>
    <w:rsid w:val="005D38E6"/>
    <w:rsid w:val="005D3D25"/>
    <w:rsid w:val="005D40ED"/>
    <w:rsid w:val="005D6449"/>
    <w:rsid w:val="005D68A0"/>
    <w:rsid w:val="005D776C"/>
    <w:rsid w:val="005E1A7C"/>
    <w:rsid w:val="005E7EAF"/>
    <w:rsid w:val="005F17D6"/>
    <w:rsid w:val="00603E78"/>
    <w:rsid w:val="0060543E"/>
    <w:rsid w:val="0060558D"/>
    <w:rsid w:val="0061031F"/>
    <w:rsid w:val="00612015"/>
    <w:rsid w:val="00612580"/>
    <w:rsid w:val="00613EAE"/>
    <w:rsid w:val="00614914"/>
    <w:rsid w:val="00617B7E"/>
    <w:rsid w:val="006226AE"/>
    <w:rsid w:val="006227B7"/>
    <w:rsid w:val="00623154"/>
    <w:rsid w:val="00623232"/>
    <w:rsid w:val="00624EFC"/>
    <w:rsid w:val="00630DB0"/>
    <w:rsid w:val="006418DF"/>
    <w:rsid w:val="00646311"/>
    <w:rsid w:val="0065210E"/>
    <w:rsid w:val="00652CC2"/>
    <w:rsid w:val="00652D1B"/>
    <w:rsid w:val="00654661"/>
    <w:rsid w:val="00656FCB"/>
    <w:rsid w:val="00660C4F"/>
    <w:rsid w:val="0066637B"/>
    <w:rsid w:val="0066705D"/>
    <w:rsid w:val="00667D71"/>
    <w:rsid w:val="00670C07"/>
    <w:rsid w:val="00673328"/>
    <w:rsid w:val="00680F19"/>
    <w:rsid w:val="00681BC1"/>
    <w:rsid w:val="00684B87"/>
    <w:rsid w:val="0069046B"/>
    <w:rsid w:val="006916A2"/>
    <w:rsid w:val="006A0A5A"/>
    <w:rsid w:val="006A348D"/>
    <w:rsid w:val="006A49E2"/>
    <w:rsid w:val="006A6AAE"/>
    <w:rsid w:val="006A70A3"/>
    <w:rsid w:val="006B0000"/>
    <w:rsid w:val="006B00A8"/>
    <w:rsid w:val="006B1FE7"/>
    <w:rsid w:val="006B58E1"/>
    <w:rsid w:val="006B68B7"/>
    <w:rsid w:val="006C0AA4"/>
    <w:rsid w:val="006C13EF"/>
    <w:rsid w:val="006C3BE1"/>
    <w:rsid w:val="006C4625"/>
    <w:rsid w:val="006C4988"/>
    <w:rsid w:val="006C5010"/>
    <w:rsid w:val="006C7828"/>
    <w:rsid w:val="006D1374"/>
    <w:rsid w:val="006D30DE"/>
    <w:rsid w:val="006D3225"/>
    <w:rsid w:val="006D3565"/>
    <w:rsid w:val="006D75EB"/>
    <w:rsid w:val="006E2B7F"/>
    <w:rsid w:val="006E3C41"/>
    <w:rsid w:val="006E67C1"/>
    <w:rsid w:val="006E6DBD"/>
    <w:rsid w:val="006E72A4"/>
    <w:rsid w:val="006E77DD"/>
    <w:rsid w:val="006E78DD"/>
    <w:rsid w:val="006F19DD"/>
    <w:rsid w:val="006F2A4F"/>
    <w:rsid w:val="006F3370"/>
    <w:rsid w:val="007003E9"/>
    <w:rsid w:val="00704EA3"/>
    <w:rsid w:val="007060EC"/>
    <w:rsid w:val="0071021A"/>
    <w:rsid w:val="00710A7E"/>
    <w:rsid w:val="00712CE1"/>
    <w:rsid w:val="007156F0"/>
    <w:rsid w:val="0071694C"/>
    <w:rsid w:val="007169D7"/>
    <w:rsid w:val="00717EA0"/>
    <w:rsid w:val="00720615"/>
    <w:rsid w:val="00720DB4"/>
    <w:rsid w:val="00721185"/>
    <w:rsid w:val="0072127E"/>
    <w:rsid w:val="007235DA"/>
    <w:rsid w:val="007237E2"/>
    <w:rsid w:val="00724B4E"/>
    <w:rsid w:val="00724E66"/>
    <w:rsid w:val="00725C8A"/>
    <w:rsid w:val="00727988"/>
    <w:rsid w:val="00730B37"/>
    <w:rsid w:val="00731ECC"/>
    <w:rsid w:val="007324C8"/>
    <w:rsid w:val="007325AB"/>
    <w:rsid w:val="007331D0"/>
    <w:rsid w:val="00733E22"/>
    <w:rsid w:val="007347F2"/>
    <w:rsid w:val="0074079F"/>
    <w:rsid w:val="00743C8A"/>
    <w:rsid w:val="00751087"/>
    <w:rsid w:val="0075444D"/>
    <w:rsid w:val="00756431"/>
    <w:rsid w:val="0076560D"/>
    <w:rsid w:val="00774ADD"/>
    <w:rsid w:val="007751BD"/>
    <w:rsid w:val="00775D78"/>
    <w:rsid w:val="007801C0"/>
    <w:rsid w:val="007803A5"/>
    <w:rsid w:val="00780836"/>
    <w:rsid w:val="00784553"/>
    <w:rsid w:val="00791BEF"/>
    <w:rsid w:val="00791C33"/>
    <w:rsid w:val="00793315"/>
    <w:rsid w:val="0079582C"/>
    <w:rsid w:val="007A0BB9"/>
    <w:rsid w:val="007A2301"/>
    <w:rsid w:val="007A508F"/>
    <w:rsid w:val="007A604A"/>
    <w:rsid w:val="007B0A25"/>
    <w:rsid w:val="007B1889"/>
    <w:rsid w:val="007B25DE"/>
    <w:rsid w:val="007B4A9C"/>
    <w:rsid w:val="007B51D6"/>
    <w:rsid w:val="007B55B7"/>
    <w:rsid w:val="007C2F9B"/>
    <w:rsid w:val="007C410F"/>
    <w:rsid w:val="007C5193"/>
    <w:rsid w:val="007D1988"/>
    <w:rsid w:val="007D4CEC"/>
    <w:rsid w:val="007D547A"/>
    <w:rsid w:val="007D54E1"/>
    <w:rsid w:val="007D6E9A"/>
    <w:rsid w:val="007E0EC3"/>
    <w:rsid w:val="007E27AE"/>
    <w:rsid w:val="007E4314"/>
    <w:rsid w:val="007E6A44"/>
    <w:rsid w:val="007F13E6"/>
    <w:rsid w:val="007F2CC7"/>
    <w:rsid w:val="007F3979"/>
    <w:rsid w:val="007F617F"/>
    <w:rsid w:val="008043B4"/>
    <w:rsid w:val="008059BD"/>
    <w:rsid w:val="008059CC"/>
    <w:rsid w:val="00806176"/>
    <w:rsid w:val="00806660"/>
    <w:rsid w:val="00811DAC"/>
    <w:rsid w:val="0081687D"/>
    <w:rsid w:val="00830F2E"/>
    <w:rsid w:val="00832BE7"/>
    <w:rsid w:val="0083639E"/>
    <w:rsid w:val="00836FA0"/>
    <w:rsid w:val="00841DF0"/>
    <w:rsid w:val="00841EFB"/>
    <w:rsid w:val="00851B3C"/>
    <w:rsid w:val="008546A7"/>
    <w:rsid w:val="00855AA5"/>
    <w:rsid w:val="00857F54"/>
    <w:rsid w:val="00875B22"/>
    <w:rsid w:val="00877C1D"/>
    <w:rsid w:val="0088187F"/>
    <w:rsid w:val="00885043"/>
    <w:rsid w:val="008863DD"/>
    <w:rsid w:val="00886D08"/>
    <w:rsid w:val="0089054E"/>
    <w:rsid w:val="00895E0D"/>
    <w:rsid w:val="00896B03"/>
    <w:rsid w:val="00897008"/>
    <w:rsid w:val="008A0619"/>
    <w:rsid w:val="008A0814"/>
    <w:rsid w:val="008A0D7D"/>
    <w:rsid w:val="008A0EFE"/>
    <w:rsid w:val="008A3E7E"/>
    <w:rsid w:val="008A4348"/>
    <w:rsid w:val="008A6E4D"/>
    <w:rsid w:val="008A7021"/>
    <w:rsid w:val="008A78F0"/>
    <w:rsid w:val="008A793D"/>
    <w:rsid w:val="008B0017"/>
    <w:rsid w:val="008B23E4"/>
    <w:rsid w:val="008B6164"/>
    <w:rsid w:val="008B67C0"/>
    <w:rsid w:val="008B70B2"/>
    <w:rsid w:val="008C27FC"/>
    <w:rsid w:val="008C2F0E"/>
    <w:rsid w:val="008C68CC"/>
    <w:rsid w:val="008D0E54"/>
    <w:rsid w:val="008D3D29"/>
    <w:rsid w:val="008E0173"/>
    <w:rsid w:val="008E3652"/>
    <w:rsid w:val="008E6888"/>
    <w:rsid w:val="008F6D58"/>
    <w:rsid w:val="008F72A0"/>
    <w:rsid w:val="009012B5"/>
    <w:rsid w:val="009036B9"/>
    <w:rsid w:val="00904A37"/>
    <w:rsid w:val="00907F5D"/>
    <w:rsid w:val="00910BA6"/>
    <w:rsid w:val="009116CE"/>
    <w:rsid w:val="00914DAC"/>
    <w:rsid w:val="009279F5"/>
    <w:rsid w:val="00927A9F"/>
    <w:rsid w:val="0093211E"/>
    <w:rsid w:val="00933815"/>
    <w:rsid w:val="009348F9"/>
    <w:rsid w:val="0093492C"/>
    <w:rsid w:val="00935557"/>
    <w:rsid w:val="00941BB7"/>
    <w:rsid w:val="0094588C"/>
    <w:rsid w:val="0094696E"/>
    <w:rsid w:val="00953A37"/>
    <w:rsid w:val="00957043"/>
    <w:rsid w:val="00957C54"/>
    <w:rsid w:val="0096299E"/>
    <w:rsid w:val="009666E0"/>
    <w:rsid w:val="0097020E"/>
    <w:rsid w:val="00973AC0"/>
    <w:rsid w:val="00987934"/>
    <w:rsid w:val="009902B6"/>
    <w:rsid w:val="00992171"/>
    <w:rsid w:val="00994CB8"/>
    <w:rsid w:val="009A4AF6"/>
    <w:rsid w:val="009A5962"/>
    <w:rsid w:val="009B20BA"/>
    <w:rsid w:val="009B2C85"/>
    <w:rsid w:val="009B62EA"/>
    <w:rsid w:val="009C3049"/>
    <w:rsid w:val="009C573E"/>
    <w:rsid w:val="009C5854"/>
    <w:rsid w:val="009C5E60"/>
    <w:rsid w:val="009C66C5"/>
    <w:rsid w:val="009D0284"/>
    <w:rsid w:val="009D1AAF"/>
    <w:rsid w:val="009D5367"/>
    <w:rsid w:val="009D5D4C"/>
    <w:rsid w:val="009E0940"/>
    <w:rsid w:val="009E6525"/>
    <w:rsid w:val="009E67A9"/>
    <w:rsid w:val="009F0FBF"/>
    <w:rsid w:val="009F23C4"/>
    <w:rsid w:val="009F366B"/>
    <w:rsid w:val="009F6990"/>
    <w:rsid w:val="009F7A0C"/>
    <w:rsid w:val="00A07367"/>
    <w:rsid w:val="00A07CC5"/>
    <w:rsid w:val="00A07D5D"/>
    <w:rsid w:val="00A122CB"/>
    <w:rsid w:val="00A124AC"/>
    <w:rsid w:val="00A15184"/>
    <w:rsid w:val="00A164D9"/>
    <w:rsid w:val="00A21F50"/>
    <w:rsid w:val="00A234CB"/>
    <w:rsid w:val="00A26AD5"/>
    <w:rsid w:val="00A32225"/>
    <w:rsid w:val="00A3261D"/>
    <w:rsid w:val="00A329DE"/>
    <w:rsid w:val="00A330BA"/>
    <w:rsid w:val="00A363B6"/>
    <w:rsid w:val="00A43318"/>
    <w:rsid w:val="00A45737"/>
    <w:rsid w:val="00A46BF5"/>
    <w:rsid w:val="00A47588"/>
    <w:rsid w:val="00A51AED"/>
    <w:rsid w:val="00A578A2"/>
    <w:rsid w:val="00A57FFE"/>
    <w:rsid w:val="00A6181D"/>
    <w:rsid w:val="00A64666"/>
    <w:rsid w:val="00A65054"/>
    <w:rsid w:val="00A81353"/>
    <w:rsid w:val="00A847D3"/>
    <w:rsid w:val="00A85CF9"/>
    <w:rsid w:val="00A86836"/>
    <w:rsid w:val="00A9067D"/>
    <w:rsid w:val="00A921DE"/>
    <w:rsid w:val="00A932B4"/>
    <w:rsid w:val="00A93F3A"/>
    <w:rsid w:val="00A95907"/>
    <w:rsid w:val="00AA02AA"/>
    <w:rsid w:val="00AA12E4"/>
    <w:rsid w:val="00AA1A8C"/>
    <w:rsid w:val="00AA49DC"/>
    <w:rsid w:val="00AA4B2A"/>
    <w:rsid w:val="00AA5D9F"/>
    <w:rsid w:val="00AA78F4"/>
    <w:rsid w:val="00AB08CC"/>
    <w:rsid w:val="00AB0E3D"/>
    <w:rsid w:val="00AB16A0"/>
    <w:rsid w:val="00AB171C"/>
    <w:rsid w:val="00AC645B"/>
    <w:rsid w:val="00AC7904"/>
    <w:rsid w:val="00AC7C83"/>
    <w:rsid w:val="00AD1F94"/>
    <w:rsid w:val="00AD2835"/>
    <w:rsid w:val="00AD4786"/>
    <w:rsid w:val="00AD6135"/>
    <w:rsid w:val="00AE0321"/>
    <w:rsid w:val="00AE0C8D"/>
    <w:rsid w:val="00AF6B93"/>
    <w:rsid w:val="00AF7C30"/>
    <w:rsid w:val="00B04CE5"/>
    <w:rsid w:val="00B11341"/>
    <w:rsid w:val="00B146E2"/>
    <w:rsid w:val="00B16510"/>
    <w:rsid w:val="00B17922"/>
    <w:rsid w:val="00B21D4F"/>
    <w:rsid w:val="00B220A3"/>
    <w:rsid w:val="00B229C8"/>
    <w:rsid w:val="00B26D48"/>
    <w:rsid w:val="00B275E6"/>
    <w:rsid w:val="00B3209A"/>
    <w:rsid w:val="00B32F02"/>
    <w:rsid w:val="00B366A3"/>
    <w:rsid w:val="00B36A83"/>
    <w:rsid w:val="00B405E2"/>
    <w:rsid w:val="00B428AD"/>
    <w:rsid w:val="00B44853"/>
    <w:rsid w:val="00B4579C"/>
    <w:rsid w:val="00B46DD8"/>
    <w:rsid w:val="00B50F51"/>
    <w:rsid w:val="00B54E5A"/>
    <w:rsid w:val="00B56726"/>
    <w:rsid w:val="00B60AD3"/>
    <w:rsid w:val="00B6135D"/>
    <w:rsid w:val="00B64BE2"/>
    <w:rsid w:val="00B72E50"/>
    <w:rsid w:val="00B73BCB"/>
    <w:rsid w:val="00B7438C"/>
    <w:rsid w:val="00B81987"/>
    <w:rsid w:val="00B81ABA"/>
    <w:rsid w:val="00B83450"/>
    <w:rsid w:val="00B849EE"/>
    <w:rsid w:val="00B84D02"/>
    <w:rsid w:val="00B85CCE"/>
    <w:rsid w:val="00B93298"/>
    <w:rsid w:val="00B93EA2"/>
    <w:rsid w:val="00BA2940"/>
    <w:rsid w:val="00BA2F86"/>
    <w:rsid w:val="00BA51BD"/>
    <w:rsid w:val="00BA595F"/>
    <w:rsid w:val="00BA7C84"/>
    <w:rsid w:val="00BB02BC"/>
    <w:rsid w:val="00BB07EE"/>
    <w:rsid w:val="00BB2AA4"/>
    <w:rsid w:val="00BB7DA9"/>
    <w:rsid w:val="00BC0C24"/>
    <w:rsid w:val="00BC3E47"/>
    <w:rsid w:val="00BC6E81"/>
    <w:rsid w:val="00BD0F69"/>
    <w:rsid w:val="00BD2B54"/>
    <w:rsid w:val="00BD48BA"/>
    <w:rsid w:val="00BD5CB9"/>
    <w:rsid w:val="00BD7CBA"/>
    <w:rsid w:val="00BE020E"/>
    <w:rsid w:val="00BE3E17"/>
    <w:rsid w:val="00BE4258"/>
    <w:rsid w:val="00BF1BF6"/>
    <w:rsid w:val="00BF723B"/>
    <w:rsid w:val="00BF7D43"/>
    <w:rsid w:val="00C06FAE"/>
    <w:rsid w:val="00C1016C"/>
    <w:rsid w:val="00C131EC"/>
    <w:rsid w:val="00C16E53"/>
    <w:rsid w:val="00C17210"/>
    <w:rsid w:val="00C213C4"/>
    <w:rsid w:val="00C215E4"/>
    <w:rsid w:val="00C2392D"/>
    <w:rsid w:val="00C24346"/>
    <w:rsid w:val="00C262A2"/>
    <w:rsid w:val="00C27325"/>
    <w:rsid w:val="00C27A77"/>
    <w:rsid w:val="00C3247E"/>
    <w:rsid w:val="00C32CF0"/>
    <w:rsid w:val="00C33B8A"/>
    <w:rsid w:val="00C3426B"/>
    <w:rsid w:val="00C37559"/>
    <w:rsid w:val="00C40673"/>
    <w:rsid w:val="00C431B4"/>
    <w:rsid w:val="00C47850"/>
    <w:rsid w:val="00C50015"/>
    <w:rsid w:val="00C503C3"/>
    <w:rsid w:val="00C50DFC"/>
    <w:rsid w:val="00C51D4D"/>
    <w:rsid w:val="00C6396E"/>
    <w:rsid w:val="00C63BEC"/>
    <w:rsid w:val="00C644C7"/>
    <w:rsid w:val="00C664B8"/>
    <w:rsid w:val="00C725EC"/>
    <w:rsid w:val="00C74625"/>
    <w:rsid w:val="00C81739"/>
    <w:rsid w:val="00C81CEE"/>
    <w:rsid w:val="00C84EC1"/>
    <w:rsid w:val="00C86C59"/>
    <w:rsid w:val="00C87A5A"/>
    <w:rsid w:val="00C91C5A"/>
    <w:rsid w:val="00C91EF9"/>
    <w:rsid w:val="00C9683B"/>
    <w:rsid w:val="00CA0B24"/>
    <w:rsid w:val="00CA12D3"/>
    <w:rsid w:val="00CA3DEC"/>
    <w:rsid w:val="00CB1808"/>
    <w:rsid w:val="00CC26A4"/>
    <w:rsid w:val="00CC30F0"/>
    <w:rsid w:val="00CC5238"/>
    <w:rsid w:val="00CC5934"/>
    <w:rsid w:val="00CC5AAB"/>
    <w:rsid w:val="00CC6DD3"/>
    <w:rsid w:val="00CC756E"/>
    <w:rsid w:val="00CC7FB0"/>
    <w:rsid w:val="00CC7FC1"/>
    <w:rsid w:val="00CD1D82"/>
    <w:rsid w:val="00CD1F61"/>
    <w:rsid w:val="00CD6D73"/>
    <w:rsid w:val="00CD6D9A"/>
    <w:rsid w:val="00CE3156"/>
    <w:rsid w:val="00CE3615"/>
    <w:rsid w:val="00CE3A57"/>
    <w:rsid w:val="00CE4A05"/>
    <w:rsid w:val="00CF180A"/>
    <w:rsid w:val="00CF2944"/>
    <w:rsid w:val="00D00E92"/>
    <w:rsid w:val="00D02A9A"/>
    <w:rsid w:val="00D03720"/>
    <w:rsid w:val="00D0402D"/>
    <w:rsid w:val="00D045B1"/>
    <w:rsid w:val="00D055EC"/>
    <w:rsid w:val="00D06751"/>
    <w:rsid w:val="00D07464"/>
    <w:rsid w:val="00D107C7"/>
    <w:rsid w:val="00D12801"/>
    <w:rsid w:val="00D14657"/>
    <w:rsid w:val="00D169FD"/>
    <w:rsid w:val="00D27615"/>
    <w:rsid w:val="00D27D59"/>
    <w:rsid w:val="00D30FDE"/>
    <w:rsid w:val="00D31A88"/>
    <w:rsid w:val="00D36094"/>
    <w:rsid w:val="00D40249"/>
    <w:rsid w:val="00D4060F"/>
    <w:rsid w:val="00D40921"/>
    <w:rsid w:val="00D42561"/>
    <w:rsid w:val="00D43535"/>
    <w:rsid w:val="00D44728"/>
    <w:rsid w:val="00D50A4F"/>
    <w:rsid w:val="00D52BD6"/>
    <w:rsid w:val="00D543AD"/>
    <w:rsid w:val="00D54D4E"/>
    <w:rsid w:val="00D562FF"/>
    <w:rsid w:val="00D61632"/>
    <w:rsid w:val="00D63C09"/>
    <w:rsid w:val="00D70324"/>
    <w:rsid w:val="00D704AE"/>
    <w:rsid w:val="00D70996"/>
    <w:rsid w:val="00D747FF"/>
    <w:rsid w:val="00D77E7A"/>
    <w:rsid w:val="00D80C6D"/>
    <w:rsid w:val="00D84DE7"/>
    <w:rsid w:val="00D856D2"/>
    <w:rsid w:val="00D85919"/>
    <w:rsid w:val="00D85CD6"/>
    <w:rsid w:val="00D95CD9"/>
    <w:rsid w:val="00D97CCB"/>
    <w:rsid w:val="00DA32C7"/>
    <w:rsid w:val="00DA44D6"/>
    <w:rsid w:val="00DA6FA5"/>
    <w:rsid w:val="00DB268F"/>
    <w:rsid w:val="00DB26CC"/>
    <w:rsid w:val="00DB425B"/>
    <w:rsid w:val="00DB697B"/>
    <w:rsid w:val="00DC0EE8"/>
    <w:rsid w:val="00DC1457"/>
    <w:rsid w:val="00DC1937"/>
    <w:rsid w:val="00DC1CA8"/>
    <w:rsid w:val="00DC44CD"/>
    <w:rsid w:val="00DC7DA5"/>
    <w:rsid w:val="00DD0A88"/>
    <w:rsid w:val="00DD1ABE"/>
    <w:rsid w:val="00DE25AD"/>
    <w:rsid w:val="00DE52A5"/>
    <w:rsid w:val="00DE7506"/>
    <w:rsid w:val="00DF0234"/>
    <w:rsid w:val="00DF2750"/>
    <w:rsid w:val="00DF53CE"/>
    <w:rsid w:val="00DF56C9"/>
    <w:rsid w:val="00DF5774"/>
    <w:rsid w:val="00DF7EF3"/>
    <w:rsid w:val="00E03E21"/>
    <w:rsid w:val="00E0575A"/>
    <w:rsid w:val="00E06A89"/>
    <w:rsid w:val="00E06D9F"/>
    <w:rsid w:val="00E11FA8"/>
    <w:rsid w:val="00E13DA5"/>
    <w:rsid w:val="00E20339"/>
    <w:rsid w:val="00E22427"/>
    <w:rsid w:val="00E236A3"/>
    <w:rsid w:val="00E30318"/>
    <w:rsid w:val="00E32708"/>
    <w:rsid w:val="00E3717D"/>
    <w:rsid w:val="00E40B9B"/>
    <w:rsid w:val="00E40C4C"/>
    <w:rsid w:val="00E41A63"/>
    <w:rsid w:val="00E4615D"/>
    <w:rsid w:val="00E479C0"/>
    <w:rsid w:val="00E55560"/>
    <w:rsid w:val="00E6543D"/>
    <w:rsid w:val="00E6707A"/>
    <w:rsid w:val="00E7315B"/>
    <w:rsid w:val="00E73F93"/>
    <w:rsid w:val="00E74434"/>
    <w:rsid w:val="00E74A72"/>
    <w:rsid w:val="00E76A8C"/>
    <w:rsid w:val="00E77193"/>
    <w:rsid w:val="00E82AFF"/>
    <w:rsid w:val="00E862EA"/>
    <w:rsid w:val="00E86EBB"/>
    <w:rsid w:val="00E955F0"/>
    <w:rsid w:val="00E96CA8"/>
    <w:rsid w:val="00EA0686"/>
    <w:rsid w:val="00EA3C21"/>
    <w:rsid w:val="00EA5418"/>
    <w:rsid w:val="00EB297B"/>
    <w:rsid w:val="00EC05AD"/>
    <w:rsid w:val="00EC254C"/>
    <w:rsid w:val="00EC33D7"/>
    <w:rsid w:val="00EC5D47"/>
    <w:rsid w:val="00ED005F"/>
    <w:rsid w:val="00ED6251"/>
    <w:rsid w:val="00ED7F8F"/>
    <w:rsid w:val="00EE403E"/>
    <w:rsid w:val="00EE46FB"/>
    <w:rsid w:val="00EE4BE0"/>
    <w:rsid w:val="00EF1229"/>
    <w:rsid w:val="00EF7578"/>
    <w:rsid w:val="00F034A3"/>
    <w:rsid w:val="00F114E1"/>
    <w:rsid w:val="00F136F9"/>
    <w:rsid w:val="00F13A66"/>
    <w:rsid w:val="00F1660F"/>
    <w:rsid w:val="00F16ED8"/>
    <w:rsid w:val="00F17C0D"/>
    <w:rsid w:val="00F216C5"/>
    <w:rsid w:val="00F27BEE"/>
    <w:rsid w:val="00F3146F"/>
    <w:rsid w:val="00F3285B"/>
    <w:rsid w:val="00F350AD"/>
    <w:rsid w:val="00F37AA2"/>
    <w:rsid w:val="00F43BC1"/>
    <w:rsid w:val="00F5728B"/>
    <w:rsid w:val="00F57E0C"/>
    <w:rsid w:val="00F70F38"/>
    <w:rsid w:val="00F7364C"/>
    <w:rsid w:val="00F74A73"/>
    <w:rsid w:val="00F74B68"/>
    <w:rsid w:val="00F755D0"/>
    <w:rsid w:val="00F75A0B"/>
    <w:rsid w:val="00F762CB"/>
    <w:rsid w:val="00F874C4"/>
    <w:rsid w:val="00F92FD5"/>
    <w:rsid w:val="00F93E05"/>
    <w:rsid w:val="00F941AB"/>
    <w:rsid w:val="00F94D56"/>
    <w:rsid w:val="00F959E3"/>
    <w:rsid w:val="00FA0323"/>
    <w:rsid w:val="00FA357C"/>
    <w:rsid w:val="00FA67A5"/>
    <w:rsid w:val="00FB0B8E"/>
    <w:rsid w:val="00FB1010"/>
    <w:rsid w:val="00FB25B6"/>
    <w:rsid w:val="00FB6810"/>
    <w:rsid w:val="00FD045F"/>
    <w:rsid w:val="00FD2DEA"/>
    <w:rsid w:val="00FD4B29"/>
    <w:rsid w:val="00FD5A63"/>
    <w:rsid w:val="00FD6092"/>
    <w:rsid w:val="00FD70FE"/>
    <w:rsid w:val="00FE2A2E"/>
    <w:rsid w:val="00FE4E4D"/>
    <w:rsid w:val="00FE4EF4"/>
    <w:rsid w:val="00FE6B9A"/>
    <w:rsid w:val="00FF0CBF"/>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19427498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395783526">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3664917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891046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5442D-0968-41E0-88FD-0F6C9922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26</Pages>
  <Words>4168</Words>
  <Characters>22925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541</cp:revision>
  <cp:lastPrinted>2020-04-03T19:44:00Z</cp:lastPrinted>
  <dcterms:created xsi:type="dcterms:W3CDTF">2017-04-01T14:47:00Z</dcterms:created>
  <dcterms:modified xsi:type="dcterms:W3CDTF">2020-10-06T17:07:00Z</dcterms:modified>
</cp:coreProperties>
</file>