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F5773" w14:textId="77777777"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6D28C9E7"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B7FCC">
        <w:rPr>
          <w:rFonts w:ascii="Arial" w:hAnsi="Arial" w:cs="Arial"/>
          <w:sz w:val="18"/>
          <w:szCs w:val="18"/>
        </w:rPr>
        <w:t>3</w:t>
      </w:r>
      <w:r>
        <w:rPr>
          <w:rFonts w:ascii="Arial" w:hAnsi="Arial" w:cs="Arial"/>
          <w:sz w:val="18"/>
          <w:szCs w:val="18"/>
        </w:rPr>
        <w:t>,</w:t>
      </w:r>
      <w:r w:rsidR="00AB7FCC">
        <w:rPr>
          <w:rFonts w:ascii="Arial" w:hAnsi="Arial" w:cs="Arial"/>
          <w:sz w:val="18"/>
          <w:szCs w:val="18"/>
        </w:rPr>
        <w:t>904</w:t>
      </w:r>
      <w:r>
        <w:rPr>
          <w:rFonts w:ascii="Arial" w:hAnsi="Arial" w:cs="Arial"/>
          <w:sz w:val="18"/>
          <w:szCs w:val="18"/>
        </w:rPr>
        <w:t>,</w:t>
      </w:r>
      <w:r w:rsidR="00AB7FCC">
        <w:rPr>
          <w:rFonts w:ascii="Arial" w:hAnsi="Arial" w:cs="Arial"/>
          <w:sz w:val="18"/>
          <w:szCs w:val="18"/>
        </w:rPr>
        <w:t>486</w:t>
      </w:r>
      <w:r>
        <w:rPr>
          <w:rFonts w:ascii="Arial" w:hAnsi="Arial" w:cs="Arial"/>
          <w:sz w:val="18"/>
          <w:szCs w:val="18"/>
        </w:rPr>
        <w:t>,</w:t>
      </w:r>
      <w:r w:rsidR="00AB7FCC">
        <w:rPr>
          <w:rFonts w:ascii="Arial" w:hAnsi="Arial" w:cs="Arial"/>
          <w:sz w:val="18"/>
          <w:szCs w:val="18"/>
        </w:rPr>
        <w:t>22</w:t>
      </w:r>
      <w:r w:rsidR="006A291D">
        <w:rPr>
          <w:rFonts w:ascii="Arial" w:hAnsi="Arial" w:cs="Arial"/>
          <w:sz w:val="18"/>
          <w:szCs w:val="18"/>
        </w:rPr>
        <w:t>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B7FCC">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xml:space="preserve">, observando una diferencia de </w:t>
      </w:r>
      <w:r w:rsidR="00676578">
        <w:rPr>
          <w:rFonts w:ascii="Arial" w:hAnsi="Arial" w:cs="Arial"/>
          <w:sz w:val="18"/>
          <w:szCs w:val="18"/>
        </w:rPr>
        <w:t>34%</w:t>
      </w:r>
      <w:r w:rsidR="00647478">
        <w:rPr>
          <w:rFonts w:ascii="Arial" w:hAnsi="Arial" w:cs="Arial"/>
          <w:sz w:val="18"/>
          <w:szCs w:val="18"/>
        </w:rPr>
        <w:t>,</w:t>
      </w:r>
      <w:r w:rsidR="00676578">
        <w:rPr>
          <w:rFonts w:ascii="Arial" w:hAnsi="Arial" w:cs="Arial"/>
          <w:sz w:val="18"/>
          <w:szCs w:val="18"/>
        </w:rPr>
        <w:t xml:space="preserve"> equivalente </w:t>
      </w:r>
      <w:r w:rsidR="00F3142D">
        <w:rPr>
          <w:rFonts w:ascii="Arial" w:hAnsi="Arial" w:cs="Arial"/>
          <w:sz w:val="18"/>
          <w:szCs w:val="18"/>
        </w:rPr>
        <w:t>$</w:t>
      </w:r>
      <w:r w:rsidR="00676578">
        <w:rPr>
          <w:rFonts w:ascii="Arial" w:hAnsi="Arial" w:cs="Arial"/>
          <w:sz w:val="18"/>
          <w:szCs w:val="18"/>
        </w:rPr>
        <w:t>992</w:t>
      </w:r>
      <w:r w:rsidR="00F3142D">
        <w:rPr>
          <w:rFonts w:ascii="Arial" w:hAnsi="Arial" w:cs="Arial"/>
          <w:sz w:val="18"/>
          <w:szCs w:val="18"/>
        </w:rPr>
        <w:t>,</w:t>
      </w:r>
      <w:r w:rsidR="00676578">
        <w:rPr>
          <w:rFonts w:ascii="Arial" w:hAnsi="Arial" w:cs="Arial"/>
          <w:sz w:val="18"/>
          <w:szCs w:val="18"/>
        </w:rPr>
        <w:t>370</w:t>
      </w:r>
      <w:r w:rsidR="00F3142D">
        <w:rPr>
          <w:rFonts w:ascii="Arial" w:hAnsi="Arial" w:cs="Arial"/>
          <w:sz w:val="18"/>
          <w:szCs w:val="18"/>
        </w:rPr>
        <w:t>,</w:t>
      </w:r>
      <w:r w:rsidR="00676578">
        <w:rPr>
          <w:rFonts w:ascii="Arial" w:hAnsi="Arial" w:cs="Arial"/>
          <w:sz w:val="18"/>
          <w:szCs w:val="18"/>
        </w:rPr>
        <w:t>192</w:t>
      </w:r>
      <w:r w:rsidR="00F3142D">
        <w:rPr>
          <w:rFonts w:ascii="Arial" w:hAnsi="Arial" w:cs="Arial"/>
          <w:sz w:val="18"/>
          <w:szCs w:val="18"/>
        </w:rPr>
        <w:t xml:space="preserve">, respecto al </w:t>
      </w:r>
      <w:r w:rsidR="00676578">
        <w:rPr>
          <w:rFonts w:ascii="Arial" w:hAnsi="Arial" w:cs="Arial"/>
          <w:sz w:val="18"/>
          <w:szCs w:val="18"/>
        </w:rPr>
        <w:t xml:space="preserve">mismo periodo del </w:t>
      </w:r>
      <w:r w:rsidR="007A327C">
        <w:rPr>
          <w:rFonts w:ascii="Arial" w:hAnsi="Arial" w:cs="Arial"/>
          <w:sz w:val="18"/>
          <w:szCs w:val="18"/>
        </w:rPr>
        <w:t>ejercicio</w:t>
      </w:r>
      <w:r w:rsidR="00F3142D">
        <w:rPr>
          <w:rFonts w:ascii="Arial" w:hAnsi="Arial" w:cs="Arial"/>
          <w:sz w:val="18"/>
          <w:szCs w:val="18"/>
        </w:rPr>
        <w:t xml:space="preserv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5DF70CCA"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3B710A">
        <w:rPr>
          <w:rFonts w:ascii="Arial" w:hAnsi="Arial" w:cs="Arial"/>
          <w:sz w:val="18"/>
          <w:szCs w:val="18"/>
        </w:rPr>
        <w:t>9</w:t>
      </w:r>
      <w:r w:rsidR="001340E0">
        <w:rPr>
          <w:rFonts w:ascii="Arial" w:hAnsi="Arial" w:cs="Arial"/>
          <w:sz w:val="18"/>
          <w:szCs w:val="18"/>
        </w:rPr>
        <w:t>,</w:t>
      </w:r>
      <w:r w:rsidR="003B710A">
        <w:rPr>
          <w:rFonts w:ascii="Arial" w:hAnsi="Arial" w:cs="Arial"/>
          <w:sz w:val="18"/>
          <w:szCs w:val="18"/>
        </w:rPr>
        <w:t>543</w:t>
      </w:r>
      <w:r w:rsidR="001340E0">
        <w:rPr>
          <w:rFonts w:ascii="Arial" w:hAnsi="Arial" w:cs="Arial"/>
          <w:sz w:val="18"/>
          <w:szCs w:val="18"/>
        </w:rPr>
        <w:t>,</w:t>
      </w:r>
      <w:r w:rsidR="003B710A">
        <w:rPr>
          <w:rFonts w:ascii="Arial" w:hAnsi="Arial" w:cs="Arial"/>
          <w:sz w:val="18"/>
          <w:szCs w:val="18"/>
        </w:rPr>
        <w:t>305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B710A">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676578">
        <w:rPr>
          <w:rFonts w:ascii="Arial" w:hAnsi="Arial" w:cs="Arial"/>
          <w:sz w:val="18"/>
          <w:szCs w:val="18"/>
        </w:rPr>
        <w:t xml:space="preserve">un 3.6% equivalente a </w:t>
      </w:r>
      <w:r w:rsidR="003B710A">
        <w:rPr>
          <w:rFonts w:ascii="Arial" w:hAnsi="Arial" w:cs="Arial"/>
          <w:sz w:val="18"/>
          <w:szCs w:val="18"/>
        </w:rPr>
        <w:t>$3</w:t>
      </w:r>
      <w:r w:rsidR="00676578">
        <w:rPr>
          <w:rFonts w:ascii="Arial" w:hAnsi="Arial" w:cs="Arial"/>
          <w:sz w:val="18"/>
          <w:szCs w:val="18"/>
        </w:rPr>
        <w:t>62</w:t>
      </w:r>
      <w:r w:rsidR="003B710A">
        <w:rPr>
          <w:rFonts w:ascii="Arial" w:hAnsi="Arial" w:cs="Arial"/>
          <w:sz w:val="18"/>
          <w:szCs w:val="18"/>
        </w:rPr>
        <w:t>,</w:t>
      </w:r>
      <w:r w:rsidR="00676578">
        <w:rPr>
          <w:rFonts w:ascii="Arial" w:hAnsi="Arial" w:cs="Arial"/>
          <w:sz w:val="18"/>
          <w:szCs w:val="18"/>
        </w:rPr>
        <w:t>864</w:t>
      </w:r>
      <w:r w:rsidR="003B710A">
        <w:rPr>
          <w:rFonts w:ascii="Arial" w:hAnsi="Arial" w:cs="Arial"/>
          <w:sz w:val="18"/>
          <w:szCs w:val="18"/>
        </w:rPr>
        <w:t xml:space="preserve">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3D08B86"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3B710A">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3B710A">
        <w:rPr>
          <w:rFonts w:ascii="Arial" w:hAnsi="Arial" w:cs="Arial"/>
          <w:sz w:val="18"/>
          <w:szCs w:val="18"/>
        </w:rPr>
        <w:t>31</w:t>
      </w:r>
      <w:r w:rsidR="00D01486">
        <w:rPr>
          <w:rFonts w:ascii="Arial" w:hAnsi="Arial" w:cs="Arial"/>
          <w:sz w:val="18"/>
          <w:szCs w:val="18"/>
        </w:rPr>
        <w:t>,</w:t>
      </w:r>
      <w:r w:rsidR="003B710A">
        <w:rPr>
          <w:rFonts w:ascii="Arial" w:hAnsi="Arial" w:cs="Arial"/>
          <w:sz w:val="18"/>
          <w:szCs w:val="18"/>
        </w:rPr>
        <w:t>288</w:t>
      </w:r>
      <w:r w:rsidR="00D01486">
        <w:rPr>
          <w:rFonts w:ascii="Arial" w:hAnsi="Arial" w:cs="Arial"/>
          <w:sz w:val="18"/>
          <w:szCs w:val="18"/>
        </w:rPr>
        <w:t>,</w:t>
      </w:r>
      <w:r w:rsidR="003B710A">
        <w:rPr>
          <w:rFonts w:ascii="Arial" w:hAnsi="Arial" w:cs="Arial"/>
          <w:sz w:val="18"/>
          <w:szCs w:val="18"/>
        </w:rPr>
        <w:t>515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009F2857"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527B3988"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676578">
        <w:rPr>
          <w:rFonts w:ascii="Arial" w:hAnsi="Arial" w:cs="Arial"/>
          <w:sz w:val="18"/>
          <w:szCs w:val="18"/>
        </w:rPr>
        <w:t>, observando un i</w:t>
      </w:r>
      <w:r w:rsidR="006F5F66">
        <w:rPr>
          <w:rFonts w:ascii="Arial" w:hAnsi="Arial" w:cs="Arial"/>
          <w:sz w:val="18"/>
          <w:szCs w:val="18"/>
        </w:rPr>
        <w:t xml:space="preserve">ncremento de </w:t>
      </w:r>
      <w:r w:rsidR="0075084B">
        <w:rPr>
          <w:rFonts w:ascii="Arial" w:hAnsi="Arial" w:cs="Arial"/>
          <w:sz w:val="18"/>
          <w:szCs w:val="18"/>
        </w:rPr>
        <w:t>$109,572,744, respecto al mismo periodo de 2022</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50D68825"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w:t>
      </w:r>
      <w:r w:rsidR="003B710A">
        <w:rPr>
          <w:rFonts w:ascii="Arial" w:hAnsi="Arial" w:cs="Arial"/>
          <w:sz w:val="18"/>
          <w:szCs w:val="18"/>
        </w:rPr>
        <w:t>70</w:t>
      </w:r>
      <w:r>
        <w:rPr>
          <w:rFonts w:ascii="Arial" w:hAnsi="Arial" w:cs="Arial"/>
          <w:sz w:val="18"/>
          <w:szCs w:val="18"/>
        </w:rPr>
        <w:t>,</w:t>
      </w:r>
      <w:r w:rsidR="003B710A">
        <w:rPr>
          <w:rFonts w:ascii="Arial" w:hAnsi="Arial" w:cs="Arial"/>
          <w:sz w:val="18"/>
          <w:szCs w:val="18"/>
        </w:rPr>
        <w:t>887</w:t>
      </w:r>
      <w:r>
        <w:rPr>
          <w:rFonts w:ascii="Arial" w:hAnsi="Arial" w:cs="Arial"/>
          <w:sz w:val="18"/>
          <w:szCs w:val="18"/>
        </w:rPr>
        <w:t>,</w:t>
      </w:r>
      <w:r w:rsidR="003B710A">
        <w:rPr>
          <w:rFonts w:ascii="Arial" w:hAnsi="Arial" w:cs="Arial"/>
          <w:sz w:val="18"/>
          <w:szCs w:val="18"/>
        </w:rPr>
        <w:t>055</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B710A">
        <w:rPr>
          <w:rFonts w:ascii="Arial" w:hAnsi="Arial" w:cs="Arial"/>
          <w:sz w:val="18"/>
          <w:szCs w:val="18"/>
        </w:rPr>
        <w:t>incremento</w:t>
      </w:r>
      <w:r w:rsidR="007D6C18">
        <w:rPr>
          <w:rFonts w:ascii="Arial" w:hAnsi="Arial" w:cs="Arial"/>
          <w:sz w:val="18"/>
          <w:szCs w:val="18"/>
        </w:rPr>
        <w:t xml:space="preserve"> del </w:t>
      </w:r>
      <w:r w:rsidR="0075084B">
        <w:rPr>
          <w:rFonts w:ascii="Arial" w:hAnsi="Arial" w:cs="Arial"/>
          <w:sz w:val="18"/>
          <w:szCs w:val="18"/>
        </w:rPr>
        <w:t>6</w:t>
      </w:r>
      <w:r w:rsidR="00D01486">
        <w:rPr>
          <w:rFonts w:ascii="Arial" w:hAnsi="Arial" w:cs="Arial"/>
          <w:sz w:val="18"/>
          <w:szCs w:val="18"/>
        </w:rPr>
        <w:t>.</w:t>
      </w:r>
      <w:r w:rsidR="0075084B">
        <w:rPr>
          <w:rFonts w:ascii="Arial" w:hAnsi="Arial" w:cs="Arial"/>
          <w:sz w:val="18"/>
          <w:szCs w:val="18"/>
        </w:rPr>
        <w:t>22</w:t>
      </w:r>
      <w:r w:rsidR="007D6C18">
        <w:rPr>
          <w:rFonts w:ascii="Arial" w:hAnsi="Arial" w:cs="Arial"/>
          <w:sz w:val="18"/>
          <w:szCs w:val="18"/>
        </w:rPr>
        <w:t>%</w:t>
      </w:r>
      <w:r w:rsidR="00647478">
        <w:rPr>
          <w:rFonts w:ascii="Arial" w:hAnsi="Arial" w:cs="Arial"/>
          <w:sz w:val="18"/>
          <w:szCs w:val="18"/>
        </w:rPr>
        <w:t>,</w:t>
      </w:r>
      <w:r w:rsidR="007D6C18">
        <w:rPr>
          <w:rFonts w:ascii="Arial" w:hAnsi="Arial" w:cs="Arial"/>
          <w:sz w:val="18"/>
          <w:szCs w:val="18"/>
        </w:rPr>
        <w:t xml:space="preserve"> respecto </w:t>
      </w:r>
      <w:r w:rsidR="0075084B">
        <w:rPr>
          <w:rFonts w:ascii="Arial" w:hAnsi="Arial" w:cs="Arial"/>
          <w:sz w:val="18"/>
          <w:szCs w:val="18"/>
        </w:rPr>
        <w:t xml:space="preserve">al mismo periodo del </w:t>
      </w:r>
      <w:r w:rsidR="007A327C">
        <w:rPr>
          <w:rFonts w:ascii="Arial" w:hAnsi="Arial" w:cs="Arial"/>
          <w:sz w:val="18"/>
          <w:szCs w:val="18"/>
        </w:rPr>
        <w:t>ejercicio</w:t>
      </w:r>
      <w:r w:rsidR="007D6C18">
        <w:rPr>
          <w:rFonts w:ascii="Arial" w:hAnsi="Arial" w:cs="Arial"/>
          <w:sz w:val="18"/>
          <w:szCs w:val="18"/>
        </w:rPr>
        <w:t xml:space="preserve"> 202</w:t>
      </w:r>
      <w:r w:rsidR="00D01486">
        <w:rPr>
          <w:rFonts w:ascii="Arial" w:hAnsi="Arial" w:cs="Arial"/>
          <w:sz w:val="18"/>
          <w:szCs w:val="18"/>
        </w:rPr>
        <w:t>2</w:t>
      </w:r>
      <w:r w:rsidRPr="0073056A">
        <w:rPr>
          <w:rFonts w:ascii="Arial" w:hAnsi="Arial" w:cs="Arial"/>
          <w:sz w:val="18"/>
          <w:szCs w:val="18"/>
        </w:rPr>
        <w:t>.</w:t>
      </w:r>
    </w:p>
    <w:p w14:paraId="739E1440" w14:textId="5131DC91"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w:t>
      </w:r>
      <w:r w:rsidR="007B3E3B">
        <w:rPr>
          <w:rFonts w:ascii="Arial" w:hAnsi="Arial" w:cs="Arial"/>
          <w:sz w:val="18"/>
          <w:szCs w:val="18"/>
        </w:rPr>
        <w:t>4</w:t>
      </w:r>
      <w:r w:rsidRPr="00F619D6">
        <w:rPr>
          <w:rFonts w:ascii="Arial" w:hAnsi="Arial" w:cs="Arial"/>
          <w:sz w:val="18"/>
          <w:szCs w:val="18"/>
        </w:rPr>
        <w:t>,</w:t>
      </w:r>
      <w:r w:rsidR="007B3E3B">
        <w:rPr>
          <w:rFonts w:ascii="Arial" w:hAnsi="Arial" w:cs="Arial"/>
          <w:sz w:val="18"/>
          <w:szCs w:val="18"/>
        </w:rPr>
        <w:t>110</w:t>
      </w:r>
      <w:r w:rsidRPr="00F619D6">
        <w:rPr>
          <w:rFonts w:ascii="Arial" w:hAnsi="Arial" w:cs="Arial"/>
          <w:sz w:val="18"/>
          <w:szCs w:val="18"/>
        </w:rPr>
        <w:t>,</w:t>
      </w:r>
      <w:r w:rsidR="00D01486">
        <w:rPr>
          <w:rFonts w:ascii="Arial" w:hAnsi="Arial" w:cs="Arial"/>
          <w:sz w:val="18"/>
          <w:szCs w:val="18"/>
        </w:rPr>
        <w:t>88</w:t>
      </w:r>
      <w:r w:rsidR="007B3E3B">
        <w:rPr>
          <w:rFonts w:ascii="Arial" w:hAnsi="Arial" w:cs="Arial"/>
          <w:sz w:val="18"/>
          <w:szCs w:val="18"/>
        </w:rPr>
        <w:t>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5084B">
        <w:rPr>
          <w:rFonts w:ascii="Arial" w:hAnsi="Arial" w:cs="Arial"/>
          <w:sz w:val="18"/>
          <w:szCs w:val="18"/>
        </w:rPr>
        <w:t xml:space="preserve"> incremento</w:t>
      </w:r>
      <w:r w:rsidR="007B3E3B">
        <w:rPr>
          <w:rFonts w:ascii="Arial" w:hAnsi="Arial" w:cs="Arial"/>
          <w:sz w:val="18"/>
          <w:szCs w:val="18"/>
        </w:rPr>
        <w:t xml:space="preserve"> </w:t>
      </w:r>
      <w:r w:rsidR="007D6C18">
        <w:rPr>
          <w:rFonts w:ascii="Arial" w:hAnsi="Arial" w:cs="Arial"/>
          <w:sz w:val="18"/>
          <w:szCs w:val="18"/>
        </w:rPr>
        <w:t xml:space="preserve">del </w:t>
      </w:r>
      <w:r w:rsidR="0075084B">
        <w:rPr>
          <w:rFonts w:ascii="Arial" w:hAnsi="Arial" w:cs="Arial"/>
          <w:sz w:val="18"/>
          <w:szCs w:val="18"/>
        </w:rPr>
        <w:t>46</w:t>
      </w:r>
      <w:r w:rsidR="007D6C18">
        <w:rPr>
          <w:rFonts w:ascii="Arial" w:hAnsi="Arial" w:cs="Arial"/>
          <w:sz w:val="18"/>
          <w:szCs w:val="18"/>
        </w:rPr>
        <w:t>.</w:t>
      </w:r>
      <w:r w:rsidR="007B3E3B">
        <w:rPr>
          <w:rFonts w:ascii="Arial" w:hAnsi="Arial" w:cs="Arial"/>
          <w:sz w:val="18"/>
          <w:szCs w:val="18"/>
        </w:rPr>
        <w:t>6</w:t>
      </w:r>
      <w:r w:rsidR="0075084B">
        <w:rPr>
          <w:rFonts w:ascii="Arial" w:hAnsi="Arial" w:cs="Arial"/>
          <w:sz w:val="18"/>
          <w:szCs w:val="18"/>
        </w:rPr>
        <w:t>3</w:t>
      </w:r>
      <w:r w:rsidR="007D6C18">
        <w:rPr>
          <w:rFonts w:ascii="Arial" w:hAnsi="Arial" w:cs="Arial"/>
          <w:sz w:val="18"/>
          <w:szCs w:val="18"/>
        </w:rPr>
        <w:t>%</w:t>
      </w:r>
      <w:r w:rsidR="00647478">
        <w:rPr>
          <w:rFonts w:ascii="Arial" w:hAnsi="Arial" w:cs="Arial"/>
          <w:sz w:val="18"/>
          <w:szCs w:val="18"/>
        </w:rPr>
        <w:t>,</w:t>
      </w:r>
      <w:r w:rsidR="007D6C18">
        <w:rPr>
          <w:rFonts w:ascii="Arial" w:hAnsi="Arial" w:cs="Arial"/>
          <w:sz w:val="18"/>
          <w:szCs w:val="18"/>
        </w:rPr>
        <w:t xml:space="preserve"> respecto al </w:t>
      </w:r>
      <w:r w:rsidR="0075084B">
        <w:rPr>
          <w:rFonts w:ascii="Arial" w:hAnsi="Arial" w:cs="Arial"/>
          <w:sz w:val="18"/>
          <w:szCs w:val="18"/>
        </w:rPr>
        <w:t xml:space="preserve">mismo periodo del </w:t>
      </w:r>
      <w:r w:rsidR="007A327C">
        <w:rPr>
          <w:rFonts w:ascii="Arial" w:hAnsi="Arial" w:cs="Arial"/>
          <w:sz w:val="18"/>
          <w:szCs w:val="18"/>
        </w:rPr>
        <w:t>ejercicio</w:t>
      </w:r>
      <w:r w:rsidR="007D6C18">
        <w:rPr>
          <w:rFonts w:ascii="Arial" w:hAnsi="Arial" w:cs="Arial"/>
          <w:sz w:val="18"/>
          <w:szCs w:val="18"/>
        </w:rPr>
        <w:t xml:space="preserve"> 202</w:t>
      </w:r>
      <w:r w:rsidR="00D01486">
        <w:rPr>
          <w:rFonts w:ascii="Arial" w:hAnsi="Arial" w:cs="Arial"/>
          <w:sz w:val="18"/>
          <w:szCs w:val="18"/>
        </w:rPr>
        <w:t>2</w:t>
      </w:r>
      <w:r>
        <w:rPr>
          <w:rFonts w:ascii="Arial" w:hAnsi="Arial" w:cs="Arial"/>
          <w:sz w:val="18"/>
          <w:szCs w:val="18"/>
        </w:rPr>
        <w:t>.</w:t>
      </w:r>
    </w:p>
    <w:p w14:paraId="127BDE74" w14:textId="00E77A73"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7B3E3B">
        <w:rPr>
          <w:rFonts w:ascii="Arial" w:hAnsi="Arial" w:cs="Arial"/>
          <w:sz w:val="18"/>
          <w:szCs w:val="18"/>
        </w:rPr>
        <w:t>1</w:t>
      </w:r>
      <w:r w:rsidR="00B006FD">
        <w:rPr>
          <w:rFonts w:ascii="Arial" w:hAnsi="Arial" w:cs="Arial"/>
          <w:sz w:val="18"/>
          <w:szCs w:val="18"/>
        </w:rPr>
        <w:t>,</w:t>
      </w:r>
      <w:r w:rsidR="007B3E3B">
        <w:rPr>
          <w:rFonts w:ascii="Arial" w:hAnsi="Arial" w:cs="Arial"/>
          <w:sz w:val="18"/>
          <w:szCs w:val="18"/>
        </w:rPr>
        <w:t>564</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 xml:space="preserve">ón del </w:t>
      </w:r>
      <w:r w:rsidR="0075084B">
        <w:rPr>
          <w:rFonts w:ascii="Arial" w:hAnsi="Arial" w:cs="Arial"/>
          <w:sz w:val="18"/>
          <w:szCs w:val="18"/>
        </w:rPr>
        <w:t>37</w:t>
      </w:r>
      <w:r w:rsidR="007B3E3B">
        <w:rPr>
          <w:rFonts w:ascii="Arial" w:hAnsi="Arial" w:cs="Arial"/>
          <w:sz w:val="18"/>
          <w:szCs w:val="18"/>
        </w:rPr>
        <w:t>.3</w:t>
      </w:r>
      <w:r w:rsidR="0075084B">
        <w:rPr>
          <w:rFonts w:ascii="Arial" w:hAnsi="Arial" w:cs="Arial"/>
          <w:sz w:val="18"/>
          <w:szCs w:val="18"/>
        </w:rPr>
        <w:t>2</w:t>
      </w:r>
      <w:r w:rsidR="007B3E3B">
        <w:rPr>
          <w:rFonts w:ascii="Arial" w:hAnsi="Arial" w:cs="Arial"/>
          <w:sz w:val="18"/>
          <w:szCs w:val="18"/>
        </w:rPr>
        <w:t>%</w:t>
      </w:r>
      <w:r w:rsidR="00647478">
        <w:rPr>
          <w:rFonts w:ascii="Arial" w:hAnsi="Arial" w:cs="Arial"/>
          <w:sz w:val="18"/>
          <w:szCs w:val="18"/>
        </w:rPr>
        <w:t>,</w:t>
      </w:r>
      <w:r w:rsidR="00D01486">
        <w:rPr>
          <w:rFonts w:ascii="Arial" w:hAnsi="Arial" w:cs="Arial"/>
          <w:sz w:val="18"/>
          <w:szCs w:val="18"/>
        </w:rPr>
        <w:t xml:space="preserve"> </w:t>
      </w:r>
      <w:r w:rsidR="007D6C18">
        <w:rPr>
          <w:rFonts w:ascii="Arial" w:hAnsi="Arial" w:cs="Arial"/>
          <w:sz w:val="18"/>
          <w:szCs w:val="18"/>
        </w:rPr>
        <w:t xml:space="preserve">en relación al </w:t>
      </w:r>
      <w:r w:rsidR="0075084B">
        <w:rPr>
          <w:rFonts w:ascii="Arial" w:hAnsi="Arial" w:cs="Arial"/>
          <w:sz w:val="18"/>
          <w:szCs w:val="18"/>
        </w:rPr>
        <w:t xml:space="preserve">mismo periodo del </w:t>
      </w:r>
      <w:r w:rsidR="007A327C">
        <w:rPr>
          <w:rFonts w:ascii="Arial" w:hAnsi="Arial" w:cs="Arial"/>
          <w:sz w:val="18"/>
          <w:szCs w:val="18"/>
        </w:rPr>
        <w:t>ejercicio</w:t>
      </w:r>
      <w:r w:rsidR="0075084B">
        <w:rPr>
          <w:rFonts w:ascii="Arial" w:hAnsi="Arial" w:cs="Arial"/>
          <w:sz w:val="18"/>
          <w:szCs w:val="18"/>
        </w:rPr>
        <w:t xml:space="preserve"> </w:t>
      </w:r>
      <w:r w:rsidR="007D6C18">
        <w:rPr>
          <w:rFonts w:ascii="Arial" w:hAnsi="Arial" w:cs="Arial"/>
          <w:sz w:val="18"/>
          <w:szCs w:val="18"/>
        </w:rPr>
        <w:t>202</w:t>
      </w:r>
      <w:r w:rsidR="00D01486">
        <w:rPr>
          <w:rFonts w:ascii="Arial" w:hAnsi="Arial" w:cs="Arial"/>
          <w:sz w:val="18"/>
          <w:szCs w:val="18"/>
        </w:rPr>
        <w:t>2</w:t>
      </w:r>
      <w:r w:rsidR="007D6C18" w:rsidRPr="00137E93">
        <w:rPr>
          <w:rFonts w:ascii="Arial" w:hAnsi="Arial" w:cs="Arial"/>
          <w:sz w:val="18"/>
          <w:szCs w:val="18"/>
        </w:rPr>
        <w:t>.</w:t>
      </w:r>
    </w:p>
    <w:p w14:paraId="5678F7A6" w14:textId="77777777" w:rsidR="00647478" w:rsidRDefault="00647478" w:rsidP="00332091">
      <w:pPr>
        <w:pStyle w:val="ROMANOS"/>
        <w:tabs>
          <w:tab w:val="clear" w:pos="720"/>
          <w:tab w:val="left" w:pos="284"/>
        </w:tabs>
        <w:spacing w:after="0" w:line="276" w:lineRule="auto"/>
        <w:ind w:left="284" w:firstLine="0"/>
        <w:rPr>
          <w:b/>
          <w:lang w:val="es-MX"/>
        </w:rPr>
      </w:pPr>
    </w:p>
    <w:p w14:paraId="21AC1B5E" w14:textId="1380FD10"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97FD610"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B3E3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4B51441A"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7B3E3B">
        <w:rPr>
          <w:rFonts w:ascii="Arial" w:hAnsi="Arial" w:cs="Arial"/>
          <w:sz w:val="18"/>
          <w:szCs w:val="18"/>
        </w:rPr>
        <w:t>230</w:t>
      </w:r>
      <w:r w:rsidR="00B006FD">
        <w:rPr>
          <w:rFonts w:ascii="Arial" w:hAnsi="Arial" w:cs="Arial"/>
          <w:sz w:val="18"/>
          <w:szCs w:val="18"/>
        </w:rPr>
        <w:t>,</w:t>
      </w:r>
      <w:r w:rsidR="007B3E3B">
        <w:rPr>
          <w:rFonts w:ascii="Arial" w:hAnsi="Arial" w:cs="Arial"/>
          <w:sz w:val="18"/>
          <w:szCs w:val="18"/>
        </w:rPr>
        <w:t>503</w:t>
      </w:r>
      <w:r w:rsidR="00B006FD">
        <w:rPr>
          <w:rFonts w:ascii="Arial" w:hAnsi="Arial" w:cs="Arial"/>
          <w:sz w:val="18"/>
          <w:szCs w:val="18"/>
        </w:rPr>
        <w:t>,</w:t>
      </w:r>
      <w:r w:rsidR="007B3E3B">
        <w:rPr>
          <w:rFonts w:ascii="Arial" w:hAnsi="Arial" w:cs="Arial"/>
          <w:sz w:val="18"/>
          <w:szCs w:val="18"/>
        </w:rPr>
        <w:t>723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C74F3B">
        <w:rPr>
          <w:rFonts w:ascii="Arial" w:hAnsi="Arial" w:cs="Arial"/>
          <w:sz w:val="18"/>
          <w:szCs w:val="18"/>
        </w:rPr>
        <w:t>incremento</w:t>
      </w:r>
      <w:r w:rsidR="00892C87">
        <w:rPr>
          <w:rFonts w:ascii="Arial" w:hAnsi="Arial" w:cs="Arial"/>
          <w:sz w:val="18"/>
          <w:szCs w:val="18"/>
        </w:rPr>
        <w:t xml:space="preserve"> del </w:t>
      </w:r>
      <w:r w:rsidR="00C74F3B">
        <w:rPr>
          <w:rFonts w:ascii="Arial" w:hAnsi="Arial" w:cs="Arial"/>
          <w:sz w:val="18"/>
          <w:szCs w:val="18"/>
        </w:rPr>
        <w:t>42.4</w:t>
      </w:r>
      <w:r w:rsidR="00892C87">
        <w:rPr>
          <w:rFonts w:ascii="Arial" w:hAnsi="Arial" w:cs="Arial"/>
          <w:sz w:val="18"/>
          <w:szCs w:val="18"/>
        </w:rPr>
        <w:t>%</w:t>
      </w:r>
      <w:r w:rsidR="00647478">
        <w:rPr>
          <w:rFonts w:ascii="Arial" w:hAnsi="Arial" w:cs="Arial"/>
          <w:sz w:val="18"/>
          <w:szCs w:val="18"/>
        </w:rPr>
        <w:t>,</w:t>
      </w:r>
      <w:r w:rsidR="00892C87">
        <w:rPr>
          <w:rFonts w:ascii="Arial" w:hAnsi="Arial" w:cs="Arial"/>
          <w:sz w:val="18"/>
          <w:szCs w:val="18"/>
        </w:rPr>
        <w:t xml:space="preserve"> respecto del </w:t>
      </w:r>
      <w:r w:rsidR="00C74F3B">
        <w:rPr>
          <w:rFonts w:ascii="Arial" w:hAnsi="Arial" w:cs="Arial"/>
          <w:sz w:val="18"/>
          <w:szCs w:val="18"/>
        </w:rPr>
        <w:t xml:space="preserve">mismo periodo del </w:t>
      </w:r>
      <w:r w:rsidR="00892C87">
        <w:rPr>
          <w:rFonts w:ascii="Arial" w:hAnsi="Arial" w:cs="Arial"/>
          <w:sz w:val="18"/>
          <w:szCs w:val="18"/>
        </w:rPr>
        <w:t>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3D39BB2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B3E3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B3E3B">
        <w:rPr>
          <w:rFonts w:ascii="Arial" w:hAnsi="Arial" w:cs="Arial"/>
          <w:sz w:val="18"/>
          <w:szCs w:val="18"/>
        </w:rPr>
        <w:t>13</w:t>
      </w:r>
      <w:r>
        <w:rPr>
          <w:rFonts w:ascii="Arial" w:hAnsi="Arial" w:cs="Arial"/>
          <w:sz w:val="18"/>
          <w:szCs w:val="18"/>
        </w:rPr>
        <w:t>,</w:t>
      </w:r>
      <w:r w:rsidR="007B3E3B">
        <w:rPr>
          <w:rFonts w:ascii="Arial" w:hAnsi="Arial" w:cs="Arial"/>
          <w:sz w:val="18"/>
          <w:szCs w:val="18"/>
        </w:rPr>
        <w:t>839</w:t>
      </w:r>
      <w:r>
        <w:rPr>
          <w:rFonts w:ascii="Arial" w:hAnsi="Arial" w:cs="Arial"/>
          <w:sz w:val="18"/>
          <w:szCs w:val="18"/>
        </w:rPr>
        <w:t>,</w:t>
      </w:r>
      <w:r w:rsidR="007B3E3B">
        <w:rPr>
          <w:rFonts w:ascii="Arial" w:hAnsi="Arial" w:cs="Arial"/>
          <w:sz w:val="18"/>
          <w:szCs w:val="18"/>
        </w:rPr>
        <w:t>986</w:t>
      </w:r>
      <w:r>
        <w:rPr>
          <w:rFonts w:ascii="Arial" w:hAnsi="Arial" w:cs="Arial"/>
          <w:sz w:val="18"/>
          <w:szCs w:val="18"/>
        </w:rPr>
        <w:t>,</w:t>
      </w:r>
      <w:r w:rsidR="007B3E3B">
        <w:rPr>
          <w:rFonts w:ascii="Arial" w:hAnsi="Arial" w:cs="Arial"/>
          <w:sz w:val="18"/>
          <w:szCs w:val="18"/>
        </w:rPr>
        <w:t>853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11</w:t>
      </w:r>
      <w:r>
        <w:rPr>
          <w:rFonts w:ascii="Arial" w:hAnsi="Arial" w:cs="Arial"/>
          <w:sz w:val="18"/>
          <w:szCs w:val="18"/>
        </w:rPr>
        <w:t>,</w:t>
      </w:r>
      <w:r w:rsidR="007B3E3B">
        <w:rPr>
          <w:rFonts w:ascii="Arial" w:hAnsi="Arial" w:cs="Arial"/>
          <w:sz w:val="18"/>
          <w:szCs w:val="18"/>
        </w:rPr>
        <w:t>174</w:t>
      </w:r>
      <w:r>
        <w:rPr>
          <w:rFonts w:ascii="Arial" w:hAnsi="Arial" w:cs="Arial"/>
          <w:sz w:val="18"/>
          <w:szCs w:val="18"/>
        </w:rPr>
        <w:t>,</w:t>
      </w:r>
      <w:r w:rsidR="00BD6D26">
        <w:rPr>
          <w:rFonts w:ascii="Arial" w:hAnsi="Arial" w:cs="Arial"/>
          <w:sz w:val="18"/>
          <w:szCs w:val="18"/>
        </w:rPr>
        <w:t>914</w:t>
      </w:r>
      <w:r>
        <w:rPr>
          <w:rFonts w:ascii="Arial" w:hAnsi="Arial" w:cs="Arial"/>
          <w:sz w:val="18"/>
          <w:szCs w:val="18"/>
        </w:rPr>
        <w:t>,</w:t>
      </w:r>
      <w:r w:rsidR="00BD6D26">
        <w:rPr>
          <w:rFonts w:ascii="Arial" w:hAnsi="Arial" w:cs="Arial"/>
          <w:sz w:val="18"/>
          <w:szCs w:val="18"/>
        </w:rPr>
        <w:t>467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634CF">
        <w:rPr>
          <w:rFonts w:ascii="Arial" w:hAnsi="Arial" w:cs="Arial"/>
          <w:sz w:val="18"/>
          <w:szCs w:val="18"/>
        </w:rPr>
        <w:t>2</w:t>
      </w:r>
      <w:r w:rsidR="007F6AFD">
        <w:rPr>
          <w:rFonts w:ascii="Arial" w:hAnsi="Arial" w:cs="Arial"/>
          <w:sz w:val="18"/>
          <w:szCs w:val="18"/>
        </w:rPr>
        <w:t>,</w:t>
      </w:r>
      <w:r w:rsidR="00A634CF">
        <w:rPr>
          <w:rFonts w:ascii="Arial" w:hAnsi="Arial" w:cs="Arial"/>
          <w:sz w:val="18"/>
          <w:szCs w:val="18"/>
        </w:rPr>
        <w:t>665</w:t>
      </w:r>
      <w:r>
        <w:rPr>
          <w:rFonts w:ascii="Arial" w:hAnsi="Arial" w:cs="Arial"/>
          <w:sz w:val="18"/>
          <w:szCs w:val="18"/>
        </w:rPr>
        <w:t>,</w:t>
      </w:r>
      <w:r w:rsidR="00A634CF">
        <w:rPr>
          <w:rFonts w:ascii="Arial" w:hAnsi="Arial" w:cs="Arial"/>
          <w:sz w:val="18"/>
          <w:szCs w:val="18"/>
        </w:rPr>
        <w:t>072</w:t>
      </w:r>
      <w:r>
        <w:rPr>
          <w:rFonts w:ascii="Arial" w:hAnsi="Arial" w:cs="Arial"/>
          <w:sz w:val="18"/>
          <w:szCs w:val="18"/>
        </w:rPr>
        <w:t>,</w:t>
      </w:r>
      <w:r w:rsidR="00A634CF">
        <w:rPr>
          <w:rFonts w:ascii="Arial" w:hAnsi="Arial" w:cs="Arial"/>
          <w:sz w:val="18"/>
          <w:szCs w:val="18"/>
        </w:rPr>
        <w:t>386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 xml:space="preserve">mayor en un </w:t>
      </w:r>
      <w:r w:rsidR="00642C1A">
        <w:rPr>
          <w:rFonts w:ascii="Arial" w:hAnsi="Arial" w:cs="Arial"/>
          <w:sz w:val="18"/>
          <w:szCs w:val="18"/>
        </w:rPr>
        <w:t>27.6</w:t>
      </w:r>
      <w:r w:rsidR="00A634CF">
        <w:rPr>
          <w:rFonts w:ascii="Arial" w:hAnsi="Arial" w:cs="Arial"/>
          <w:sz w:val="18"/>
          <w:szCs w:val="18"/>
        </w:rPr>
        <w:t>%</w:t>
      </w:r>
      <w:r w:rsidR="00304672">
        <w:rPr>
          <w:rFonts w:ascii="Arial" w:hAnsi="Arial" w:cs="Arial"/>
          <w:sz w:val="18"/>
          <w:szCs w:val="18"/>
        </w:rPr>
        <w:t xml:space="preserve">, respecto al </w:t>
      </w:r>
      <w:r w:rsidR="00642C1A">
        <w:rPr>
          <w:rFonts w:ascii="Arial" w:hAnsi="Arial" w:cs="Arial"/>
          <w:sz w:val="18"/>
          <w:szCs w:val="18"/>
        </w:rPr>
        <w:t xml:space="preserve">mismo periodo del </w:t>
      </w:r>
      <w:r w:rsidR="007A327C">
        <w:rPr>
          <w:rFonts w:ascii="Arial" w:hAnsi="Arial" w:cs="Arial"/>
          <w:sz w:val="18"/>
          <w:szCs w:val="18"/>
        </w:rPr>
        <w:t xml:space="preserve">ejercicio </w:t>
      </w:r>
      <w:r w:rsidR="00304672">
        <w:rPr>
          <w:rFonts w:ascii="Arial" w:hAnsi="Arial" w:cs="Arial"/>
          <w:sz w:val="18"/>
          <w:szCs w:val="18"/>
        </w:rPr>
        <w:t>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7AE6760"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634CF">
        <w:rPr>
          <w:rFonts w:ascii="Arial" w:hAnsi="Arial" w:cs="Arial"/>
          <w:sz w:val="18"/>
          <w:szCs w:val="18"/>
        </w:rPr>
        <w:t>juni</w:t>
      </w:r>
      <w:r w:rsidR="00DC16A9">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A634CF">
        <w:rPr>
          <w:rFonts w:ascii="Arial" w:hAnsi="Arial" w:cs="Arial"/>
          <w:sz w:val="18"/>
          <w:szCs w:val="18"/>
        </w:rPr>
        <w:t>427</w:t>
      </w:r>
      <w:r>
        <w:rPr>
          <w:rFonts w:ascii="Arial" w:hAnsi="Arial" w:cs="Arial"/>
          <w:sz w:val="18"/>
          <w:szCs w:val="18"/>
        </w:rPr>
        <w:t>,</w:t>
      </w:r>
      <w:r w:rsidR="00A634CF">
        <w:rPr>
          <w:rFonts w:ascii="Arial" w:hAnsi="Arial" w:cs="Arial"/>
          <w:sz w:val="18"/>
          <w:szCs w:val="18"/>
        </w:rPr>
        <w:t>266</w:t>
      </w:r>
      <w:r>
        <w:rPr>
          <w:rFonts w:ascii="Arial" w:hAnsi="Arial" w:cs="Arial"/>
          <w:sz w:val="18"/>
          <w:szCs w:val="18"/>
        </w:rPr>
        <w:t>,</w:t>
      </w:r>
      <w:r w:rsidR="00A634CF">
        <w:rPr>
          <w:rFonts w:ascii="Arial" w:hAnsi="Arial" w:cs="Arial"/>
          <w:sz w:val="18"/>
          <w:szCs w:val="18"/>
        </w:rPr>
        <w:t>973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634CF">
        <w:rPr>
          <w:rFonts w:ascii="Arial" w:hAnsi="Arial" w:cs="Arial"/>
          <w:sz w:val="18"/>
          <w:szCs w:val="18"/>
        </w:rPr>
        <w:t>378</w:t>
      </w:r>
      <w:r w:rsidR="00E004F0">
        <w:rPr>
          <w:rFonts w:ascii="Arial" w:hAnsi="Arial" w:cs="Arial"/>
          <w:sz w:val="18"/>
          <w:szCs w:val="18"/>
        </w:rPr>
        <w:t>,</w:t>
      </w:r>
      <w:r w:rsidR="00A634CF">
        <w:rPr>
          <w:rFonts w:ascii="Arial" w:hAnsi="Arial" w:cs="Arial"/>
          <w:sz w:val="18"/>
          <w:szCs w:val="18"/>
        </w:rPr>
        <w:t>474</w:t>
      </w:r>
      <w:r w:rsidR="00AB0983">
        <w:rPr>
          <w:rFonts w:ascii="Arial" w:hAnsi="Arial" w:cs="Arial"/>
          <w:sz w:val="18"/>
          <w:szCs w:val="18"/>
        </w:rPr>
        <w:t>,</w:t>
      </w:r>
      <w:r w:rsidR="00A634CF">
        <w:rPr>
          <w:rFonts w:ascii="Arial" w:hAnsi="Arial" w:cs="Arial"/>
          <w:sz w:val="18"/>
          <w:szCs w:val="18"/>
        </w:rPr>
        <w:t>688</w:t>
      </w:r>
      <w:r>
        <w:rPr>
          <w:rFonts w:ascii="Arial" w:hAnsi="Arial" w:cs="Arial"/>
          <w:sz w:val="18"/>
          <w:szCs w:val="18"/>
        </w:rPr>
        <w:t>; sobre la Producción, el Consumo y las transacciones por un importe de $</w:t>
      </w:r>
      <w:r w:rsidR="00A634CF">
        <w:rPr>
          <w:rFonts w:ascii="Arial" w:hAnsi="Arial" w:cs="Arial"/>
          <w:sz w:val="18"/>
          <w:szCs w:val="18"/>
        </w:rPr>
        <w:t>26</w:t>
      </w:r>
      <w:r>
        <w:rPr>
          <w:rFonts w:ascii="Arial" w:hAnsi="Arial" w:cs="Arial"/>
          <w:sz w:val="18"/>
          <w:szCs w:val="18"/>
        </w:rPr>
        <w:t>,</w:t>
      </w:r>
      <w:r w:rsidR="00A634CF">
        <w:rPr>
          <w:rFonts w:ascii="Arial" w:hAnsi="Arial" w:cs="Arial"/>
          <w:sz w:val="18"/>
          <w:szCs w:val="18"/>
        </w:rPr>
        <w:t>720</w:t>
      </w:r>
      <w:r>
        <w:rPr>
          <w:rFonts w:ascii="Arial" w:hAnsi="Arial" w:cs="Arial"/>
          <w:sz w:val="18"/>
          <w:szCs w:val="18"/>
        </w:rPr>
        <w:t>,</w:t>
      </w:r>
      <w:r w:rsidR="00A634CF">
        <w:rPr>
          <w:rFonts w:ascii="Arial" w:hAnsi="Arial" w:cs="Arial"/>
          <w:sz w:val="18"/>
          <w:szCs w:val="18"/>
        </w:rPr>
        <w:t>191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A634CF">
        <w:rPr>
          <w:rFonts w:ascii="Arial" w:hAnsi="Arial" w:cs="Arial"/>
          <w:sz w:val="18"/>
          <w:szCs w:val="18"/>
        </w:rPr>
        <w:t>5</w:t>
      </w:r>
      <w:r>
        <w:rPr>
          <w:rFonts w:ascii="Arial" w:hAnsi="Arial" w:cs="Arial"/>
          <w:sz w:val="18"/>
          <w:szCs w:val="18"/>
        </w:rPr>
        <w:t>,</w:t>
      </w:r>
      <w:r w:rsidR="00A634CF">
        <w:rPr>
          <w:rFonts w:ascii="Arial" w:hAnsi="Arial" w:cs="Arial"/>
          <w:sz w:val="18"/>
          <w:szCs w:val="18"/>
        </w:rPr>
        <w:t>583</w:t>
      </w:r>
      <w:r>
        <w:rPr>
          <w:rFonts w:ascii="Arial" w:hAnsi="Arial" w:cs="Arial"/>
          <w:sz w:val="18"/>
          <w:szCs w:val="18"/>
        </w:rPr>
        <w:t>,</w:t>
      </w:r>
      <w:r w:rsidR="00A634CF">
        <w:rPr>
          <w:rFonts w:ascii="Arial" w:hAnsi="Arial" w:cs="Arial"/>
          <w:sz w:val="18"/>
          <w:szCs w:val="18"/>
        </w:rPr>
        <w:t>848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642C1A">
        <w:rPr>
          <w:rFonts w:ascii="Arial" w:hAnsi="Arial" w:cs="Arial"/>
          <w:sz w:val="18"/>
          <w:szCs w:val="18"/>
        </w:rPr>
        <w:t>in</w:t>
      </w:r>
      <w:r w:rsidR="00304672">
        <w:rPr>
          <w:rFonts w:ascii="Arial" w:hAnsi="Arial" w:cs="Arial"/>
          <w:sz w:val="18"/>
          <w:szCs w:val="18"/>
        </w:rPr>
        <w:t xml:space="preserve">cremento en impuestos del </w:t>
      </w:r>
      <w:r w:rsidR="00A634CF">
        <w:rPr>
          <w:rFonts w:ascii="Arial" w:hAnsi="Arial" w:cs="Arial"/>
          <w:sz w:val="18"/>
          <w:szCs w:val="18"/>
        </w:rPr>
        <w:t>4</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del </w:t>
      </w:r>
      <w:r w:rsidR="00642C1A">
        <w:rPr>
          <w:rFonts w:ascii="Arial" w:hAnsi="Arial" w:cs="Arial"/>
          <w:sz w:val="18"/>
          <w:szCs w:val="18"/>
        </w:rPr>
        <w:t xml:space="preserve">mismo periodo del </w:t>
      </w:r>
      <w:r w:rsidR="00304672">
        <w:rPr>
          <w:rFonts w:ascii="Arial" w:hAnsi="Arial" w:cs="Arial"/>
          <w:sz w:val="18"/>
          <w:szCs w:val="18"/>
        </w:rPr>
        <w:t>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8C0893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A634CF">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A634CF">
        <w:rPr>
          <w:rFonts w:ascii="Arial" w:hAnsi="Arial" w:cs="Arial"/>
          <w:sz w:val="18"/>
          <w:szCs w:val="18"/>
        </w:rPr>
        <w:t>413</w:t>
      </w:r>
      <w:r>
        <w:rPr>
          <w:rFonts w:ascii="Arial" w:hAnsi="Arial" w:cs="Arial"/>
          <w:sz w:val="18"/>
          <w:szCs w:val="18"/>
        </w:rPr>
        <w:t>,</w:t>
      </w:r>
      <w:r w:rsidR="00A634CF">
        <w:rPr>
          <w:rFonts w:ascii="Arial" w:hAnsi="Arial" w:cs="Arial"/>
          <w:sz w:val="18"/>
          <w:szCs w:val="18"/>
        </w:rPr>
        <w:t>096</w:t>
      </w:r>
      <w:r>
        <w:rPr>
          <w:rFonts w:ascii="Arial" w:hAnsi="Arial" w:cs="Arial"/>
          <w:sz w:val="18"/>
          <w:szCs w:val="18"/>
        </w:rPr>
        <w:t>,</w:t>
      </w:r>
      <w:r w:rsidR="00A634CF">
        <w:rPr>
          <w:rFonts w:ascii="Arial" w:hAnsi="Arial" w:cs="Arial"/>
          <w:sz w:val="18"/>
          <w:szCs w:val="18"/>
        </w:rPr>
        <w:t>178</w:t>
      </w:r>
      <w:r w:rsidRPr="0073056A">
        <w:rPr>
          <w:rFonts w:ascii="Arial" w:hAnsi="Arial" w:cs="Arial"/>
          <w:sz w:val="18"/>
          <w:szCs w:val="18"/>
        </w:rPr>
        <w:t>.</w:t>
      </w:r>
      <w:r w:rsidR="00304672">
        <w:rPr>
          <w:rFonts w:ascii="Arial" w:hAnsi="Arial" w:cs="Arial"/>
          <w:sz w:val="18"/>
          <w:szCs w:val="18"/>
        </w:rPr>
        <w:t xml:space="preserve"> Mostrando un </w:t>
      </w:r>
      <w:r w:rsidR="00642C1A">
        <w:rPr>
          <w:rFonts w:ascii="Arial" w:hAnsi="Arial" w:cs="Arial"/>
          <w:sz w:val="18"/>
          <w:szCs w:val="18"/>
        </w:rPr>
        <w:t>in</w:t>
      </w:r>
      <w:r w:rsidR="00304672">
        <w:rPr>
          <w:rFonts w:ascii="Arial" w:hAnsi="Arial" w:cs="Arial"/>
          <w:sz w:val="18"/>
          <w:szCs w:val="18"/>
        </w:rPr>
        <w:t xml:space="preserve">cremento del </w:t>
      </w:r>
      <w:r w:rsidR="00642C1A">
        <w:rPr>
          <w:rFonts w:ascii="Arial" w:hAnsi="Arial" w:cs="Arial"/>
          <w:sz w:val="18"/>
          <w:szCs w:val="18"/>
        </w:rPr>
        <w:t>37.7</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w:t>
      </w:r>
      <w:r w:rsidR="00642C1A">
        <w:rPr>
          <w:rFonts w:ascii="Arial" w:hAnsi="Arial" w:cs="Arial"/>
          <w:sz w:val="18"/>
          <w:szCs w:val="18"/>
        </w:rPr>
        <w:t>del mismo periodo de</w:t>
      </w:r>
      <w:r w:rsidR="00304672">
        <w:rPr>
          <w:rFonts w:ascii="Arial" w:hAnsi="Arial" w:cs="Arial"/>
          <w:sz w:val="18"/>
          <w:szCs w:val="18"/>
        </w:rPr>
        <w:t xml:space="preserve">l </w:t>
      </w:r>
      <w:r w:rsidR="007A327C">
        <w:rPr>
          <w:rFonts w:ascii="Arial" w:hAnsi="Arial" w:cs="Arial"/>
          <w:sz w:val="18"/>
          <w:szCs w:val="18"/>
        </w:rPr>
        <w:t>ejercicio</w:t>
      </w:r>
      <w:r w:rsidR="00304672">
        <w:rPr>
          <w:rFonts w:ascii="Arial" w:hAnsi="Arial" w:cs="Arial"/>
          <w:sz w:val="18"/>
          <w:szCs w:val="18"/>
        </w:rPr>
        <w:t xml:space="preserv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1D5CFDCA"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634CF">
        <w:rPr>
          <w:rFonts w:ascii="Arial" w:hAnsi="Arial" w:cs="Arial"/>
          <w:sz w:val="18"/>
          <w:szCs w:val="18"/>
        </w:rPr>
        <w:t>juni</w:t>
      </w:r>
      <w:r w:rsidR="007A327C">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A634CF">
        <w:rPr>
          <w:rFonts w:ascii="Arial" w:hAnsi="Arial" w:cs="Arial"/>
          <w:sz w:val="18"/>
          <w:szCs w:val="18"/>
        </w:rPr>
        <w:t>127</w:t>
      </w:r>
      <w:r w:rsidRPr="00502DDD">
        <w:rPr>
          <w:rFonts w:ascii="Arial" w:hAnsi="Arial" w:cs="Arial"/>
          <w:sz w:val="18"/>
          <w:szCs w:val="18"/>
        </w:rPr>
        <w:t>,</w:t>
      </w:r>
      <w:r w:rsidR="00A634CF">
        <w:rPr>
          <w:rFonts w:ascii="Arial" w:hAnsi="Arial" w:cs="Arial"/>
          <w:sz w:val="18"/>
          <w:szCs w:val="18"/>
        </w:rPr>
        <w:t>574</w:t>
      </w:r>
      <w:r w:rsidRPr="00502DDD">
        <w:rPr>
          <w:rFonts w:ascii="Arial" w:hAnsi="Arial" w:cs="Arial"/>
          <w:sz w:val="18"/>
          <w:szCs w:val="18"/>
        </w:rPr>
        <w:t>,</w:t>
      </w:r>
      <w:r w:rsidR="00A634CF">
        <w:rPr>
          <w:rFonts w:ascii="Arial" w:hAnsi="Arial" w:cs="Arial"/>
          <w:sz w:val="18"/>
          <w:szCs w:val="18"/>
        </w:rPr>
        <w:t>370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642C1A">
        <w:rPr>
          <w:rFonts w:ascii="Arial" w:hAnsi="Arial" w:cs="Arial"/>
          <w:sz w:val="18"/>
          <w:szCs w:val="18"/>
        </w:rPr>
        <w:t>in</w:t>
      </w:r>
      <w:r w:rsidR="00304672">
        <w:rPr>
          <w:rFonts w:ascii="Arial" w:hAnsi="Arial" w:cs="Arial"/>
          <w:sz w:val="18"/>
          <w:szCs w:val="18"/>
        </w:rPr>
        <w:t xml:space="preserve">cremento del </w:t>
      </w:r>
      <w:r w:rsidR="00642C1A">
        <w:rPr>
          <w:rFonts w:ascii="Arial" w:hAnsi="Arial" w:cs="Arial"/>
          <w:sz w:val="18"/>
          <w:szCs w:val="18"/>
        </w:rPr>
        <w:t>80</w:t>
      </w:r>
      <w:r w:rsidR="00EC5C97">
        <w:rPr>
          <w:rFonts w:ascii="Arial" w:hAnsi="Arial" w:cs="Arial"/>
          <w:sz w:val="18"/>
          <w:szCs w:val="18"/>
        </w:rPr>
        <w:t>.</w:t>
      </w:r>
      <w:r w:rsidR="0014373E">
        <w:rPr>
          <w:rFonts w:ascii="Arial" w:hAnsi="Arial" w:cs="Arial"/>
          <w:sz w:val="18"/>
          <w:szCs w:val="18"/>
        </w:rPr>
        <w:t>8</w:t>
      </w:r>
      <w:r w:rsidR="00304672">
        <w:rPr>
          <w:rFonts w:ascii="Arial" w:hAnsi="Arial" w:cs="Arial"/>
          <w:sz w:val="18"/>
          <w:szCs w:val="18"/>
        </w:rPr>
        <w:t>%</w:t>
      </w:r>
      <w:r w:rsidR="00647478">
        <w:rPr>
          <w:rFonts w:ascii="Arial" w:hAnsi="Arial" w:cs="Arial"/>
          <w:sz w:val="18"/>
          <w:szCs w:val="18"/>
        </w:rPr>
        <w:t>,</w:t>
      </w:r>
      <w:r w:rsidR="00304672">
        <w:rPr>
          <w:rFonts w:ascii="Arial" w:hAnsi="Arial" w:cs="Arial"/>
          <w:sz w:val="18"/>
          <w:szCs w:val="18"/>
        </w:rPr>
        <w:t xml:space="preserve"> respecto del </w:t>
      </w:r>
      <w:r w:rsidR="00642C1A">
        <w:rPr>
          <w:rFonts w:ascii="Arial" w:hAnsi="Arial" w:cs="Arial"/>
          <w:sz w:val="18"/>
          <w:szCs w:val="18"/>
        </w:rPr>
        <w:t xml:space="preserve">mismo periodo del </w:t>
      </w:r>
      <w:r w:rsidR="00304672">
        <w:rPr>
          <w:rFonts w:ascii="Arial" w:hAnsi="Arial" w:cs="Arial"/>
          <w:sz w:val="18"/>
          <w:szCs w:val="18"/>
        </w:rPr>
        <w:t>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12F2D4E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1054F7">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1054F7">
        <w:rPr>
          <w:rFonts w:ascii="Arial" w:hAnsi="Arial" w:cs="Arial"/>
          <w:sz w:val="18"/>
          <w:szCs w:val="18"/>
        </w:rPr>
        <w:t>6</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59</w:t>
      </w:r>
      <w:r w:rsidR="00EC5C97">
        <w:rPr>
          <w:rFonts w:ascii="Arial" w:hAnsi="Arial" w:cs="Arial"/>
          <w:sz w:val="18"/>
          <w:szCs w:val="18"/>
        </w:rPr>
        <w:t>.</w:t>
      </w:r>
      <w:r w:rsidR="001054F7">
        <w:rPr>
          <w:rFonts w:ascii="Arial" w:hAnsi="Arial" w:cs="Arial"/>
          <w:sz w:val="18"/>
          <w:szCs w:val="18"/>
        </w:rPr>
        <w:t>1</w:t>
      </w:r>
      <w:r w:rsidR="00EC5C97">
        <w:rPr>
          <w:rFonts w:ascii="Arial" w:hAnsi="Arial" w:cs="Arial"/>
          <w:sz w:val="18"/>
          <w:szCs w:val="18"/>
        </w:rPr>
        <w:t>%</w:t>
      </w:r>
      <w:r w:rsidR="00647478">
        <w:rPr>
          <w:rFonts w:ascii="Arial" w:hAnsi="Arial" w:cs="Arial"/>
          <w:sz w:val="18"/>
          <w:szCs w:val="18"/>
        </w:rPr>
        <w:t>,</w:t>
      </w:r>
      <w:r w:rsidR="00EC5C97">
        <w:rPr>
          <w:rFonts w:ascii="Arial" w:hAnsi="Arial" w:cs="Arial"/>
          <w:sz w:val="18"/>
          <w:szCs w:val="18"/>
        </w:rPr>
        <w:t xml:space="preserve"> en relación al </w:t>
      </w:r>
      <w:r w:rsidR="00647478">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08DD6421"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1054F7">
        <w:rPr>
          <w:rFonts w:ascii="Arial" w:hAnsi="Arial" w:cs="Arial"/>
          <w:sz w:val="18"/>
          <w:szCs w:val="18"/>
        </w:rPr>
        <w:t>76</w:t>
      </w:r>
      <w:r>
        <w:rPr>
          <w:rFonts w:ascii="Arial" w:hAnsi="Arial" w:cs="Arial"/>
          <w:sz w:val="18"/>
          <w:szCs w:val="18"/>
        </w:rPr>
        <w:t>,</w:t>
      </w:r>
      <w:r w:rsidR="001054F7">
        <w:rPr>
          <w:rFonts w:ascii="Arial" w:hAnsi="Arial" w:cs="Arial"/>
          <w:sz w:val="18"/>
          <w:szCs w:val="18"/>
        </w:rPr>
        <w:t>961</w:t>
      </w:r>
      <w:r>
        <w:rPr>
          <w:rFonts w:ascii="Arial" w:hAnsi="Arial" w:cs="Arial"/>
          <w:sz w:val="18"/>
          <w:szCs w:val="18"/>
        </w:rPr>
        <w:t>,</w:t>
      </w:r>
      <w:r w:rsidR="001054F7">
        <w:rPr>
          <w:rFonts w:ascii="Arial" w:hAnsi="Arial" w:cs="Arial"/>
          <w:sz w:val="18"/>
          <w:szCs w:val="18"/>
        </w:rPr>
        <w:t>997</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642C1A">
        <w:rPr>
          <w:rFonts w:ascii="Arial" w:hAnsi="Arial" w:cs="Arial"/>
          <w:sz w:val="18"/>
          <w:szCs w:val="18"/>
        </w:rPr>
        <w:t>in</w:t>
      </w:r>
      <w:r w:rsidR="00EC5C97">
        <w:rPr>
          <w:rFonts w:ascii="Arial" w:hAnsi="Arial" w:cs="Arial"/>
          <w:sz w:val="18"/>
          <w:szCs w:val="18"/>
        </w:rPr>
        <w:t xml:space="preserve">cremento </w:t>
      </w:r>
      <w:r w:rsidR="00642C1A">
        <w:rPr>
          <w:rFonts w:ascii="Arial" w:hAnsi="Arial" w:cs="Arial"/>
          <w:sz w:val="18"/>
          <w:szCs w:val="18"/>
        </w:rPr>
        <w:t>de más de 100%</w:t>
      </w:r>
      <w:r w:rsidR="00647478">
        <w:rPr>
          <w:rFonts w:ascii="Arial" w:hAnsi="Arial" w:cs="Arial"/>
          <w:sz w:val="18"/>
          <w:szCs w:val="18"/>
        </w:rPr>
        <w:t>,</w:t>
      </w:r>
      <w:r w:rsidR="00642C1A">
        <w:rPr>
          <w:rFonts w:ascii="Arial" w:hAnsi="Arial" w:cs="Arial"/>
          <w:sz w:val="18"/>
          <w:szCs w:val="18"/>
        </w:rPr>
        <w:t xml:space="preserve"> en relación al mismo periodo del </w:t>
      </w:r>
      <w:r w:rsidR="00EC5C97">
        <w:rPr>
          <w:rFonts w:ascii="Arial" w:hAnsi="Arial" w:cs="Arial"/>
          <w:sz w:val="18"/>
          <w:szCs w:val="18"/>
        </w:rPr>
        <w:t>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3AE5D0D5"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12</w:t>
      </w:r>
      <w:r>
        <w:rPr>
          <w:rFonts w:ascii="Arial" w:hAnsi="Arial" w:cs="Arial"/>
          <w:sz w:val="18"/>
          <w:szCs w:val="18"/>
        </w:rPr>
        <w:t>,</w:t>
      </w:r>
      <w:r w:rsidR="001054F7">
        <w:rPr>
          <w:rFonts w:ascii="Arial" w:hAnsi="Arial" w:cs="Arial"/>
          <w:sz w:val="18"/>
          <w:szCs w:val="18"/>
        </w:rPr>
        <w:t>788</w:t>
      </w:r>
      <w:r>
        <w:rPr>
          <w:rFonts w:ascii="Arial" w:hAnsi="Arial" w:cs="Arial"/>
          <w:sz w:val="18"/>
          <w:szCs w:val="18"/>
        </w:rPr>
        <w:t>,</w:t>
      </w:r>
      <w:r w:rsidR="001054F7">
        <w:rPr>
          <w:rFonts w:ascii="Arial" w:hAnsi="Arial" w:cs="Arial"/>
          <w:sz w:val="18"/>
          <w:szCs w:val="18"/>
        </w:rPr>
        <w:t>305</w:t>
      </w:r>
      <w:r>
        <w:rPr>
          <w:rFonts w:ascii="Arial" w:hAnsi="Arial" w:cs="Arial"/>
          <w:sz w:val="18"/>
          <w:szCs w:val="18"/>
        </w:rPr>
        <w:t>,</w:t>
      </w:r>
      <w:r w:rsidR="001054F7">
        <w:rPr>
          <w:rFonts w:ascii="Arial" w:hAnsi="Arial" w:cs="Arial"/>
          <w:sz w:val="18"/>
          <w:szCs w:val="18"/>
        </w:rPr>
        <w:t>620</w:t>
      </w:r>
      <w:r>
        <w:rPr>
          <w:rFonts w:ascii="Arial" w:hAnsi="Arial" w:cs="Arial"/>
          <w:sz w:val="18"/>
          <w:szCs w:val="18"/>
        </w:rPr>
        <w:t xml:space="preserve"> al mes de </w:t>
      </w:r>
      <w:r w:rsidR="001054F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A01F96">
        <w:rPr>
          <w:rFonts w:ascii="Arial" w:hAnsi="Arial" w:cs="Arial"/>
          <w:sz w:val="18"/>
          <w:szCs w:val="18"/>
        </w:rPr>
        <w:t xml:space="preserve">mismo periodo del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642C1A">
        <w:rPr>
          <w:rFonts w:ascii="Arial" w:hAnsi="Arial" w:cs="Arial"/>
          <w:sz w:val="18"/>
          <w:szCs w:val="18"/>
        </w:rPr>
        <w:t>in</w:t>
      </w:r>
      <w:r w:rsidR="00EC5C97">
        <w:rPr>
          <w:rFonts w:ascii="Arial" w:hAnsi="Arial" w:cs="Arial"/>
          <w:sz w:val="18"/>
          <w:szCs w:val="18"/>
        </w:rPr>
        <w:t xml:space="preserve">cremento del </w:t>
      </w:r>
      <w:r w:rsidR="00A01F96">
        <w:rPr>
          <w:rFonts w:ascii="Arial" w:hAnsi="Arial" w:cs="Arial"/>
          <w:sz w:val="18"/>
          <w:szCs w:val="18"/>
        </w:rPr>
        <w:t>14</w:t>
      </w:r>
      <w:r w:rsidR="00222D09">
        <w:rPr>
          <w:rFonts w:ascii="Arial" w:hAnsi="Arial" w:cs="Arial"/>
          <w:sz w:val="18"/>
          <w:szCs w:val="18"/>
        </w:rPr>
        <w:t>.</w:t>
      </w:r>
      <w:r w:rsidR="00A01F96">
        <w:rPr>
          <w:rFonts w:ascii="Arial" w:hAnsi="Arial" w:cs="Arial"/>
          <w:sz w:val="18"/>
          <w:szCs w:val="18"/>
        </w:rPr>
        <w:t>4</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4C2211E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1054F7">
        <w:rPr>
          <w:rFonts w:ascii="Arial" w:hAnsi="Arial" w:cs="Arial"/>
          <w:sz w:val="18"/>
          <w:szCs w:val="18"/>
        </w:rPr>
        <w:t>6</w:t>
      </w:r>
      <w:r>
        <w:rPr>
          <w:rFonts w:ascii="Arial" w:hAnsi="Arial" w:cs="Arial"/>
          <w:sz w:val="18"/>
          <w:szCs w:val="18"/>
        </w:rPr>
        <w:t>,</w:t>
      </w:r>
      <w:r w:rsidR="001054F7">
        <w:rPr>
          <w:rFonts w:ascii="Arial" w:hAnsi="Arial" w:cs="Arial"/>
          <w:sz w:val="18"/>
          <w:szCs w:val="18"/>
        </w:rPr>
        <w:t>084</w:t>
      </w:r>
      <w:r>
        <w:rPr>
          <w:rFonts w:ascii="Arial" w:hAnsi="Arial" w:cs="Arial"/>
          <w:sz w:val="18"/>
          <w:szCs w:val="18"/>
        </w:rPr>
        <w:t>,</w:t>
      </w:r>
      <w:r w:rsidR="001054F7">
        <w:rPr>
          <w:rFonts w:ascii="Arial" w:hAnsi="Arial" w:cs="Arial"/>
          <w:sz w:val="18"/>
          <w:szCs w:val="18"/>
        </w:rPr>
        <w:t>312</w:t>
      </w:r>
      <w:r>
        <w:rPr>
          <w:rFonts w:ascii="Arial" w:hAnsi="Arial" w:cs="Arial"/>
          <w:sz w:val="18"/>
          <w:szCs w:val="18"/>
        </w:rPr>
        <w:t>,</w:t>
      </w:r>
      <w:r w:rsidR="001054F7">
        <w:rPr>
          <w:rFonts w:ascii="Arial" w:hAnsi="Arial" w:cs="Arial"/>
          <w:sz w:val="18"/>
          <w:szCs w:val="18"/>
        </w:rPr>
        <w:t>154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sidR="00222D09">
        <w:rPr>
          <w:rFonts w:ascii="Arial" w:hAnsi="Arial" w:cs="Arial"/>
          <w:sz w:val="18"/>
          <w:szCs w:val="18"/>
        </w:rPr>
        <w:t>.</w:t>
      </w:r>
      <w:r w:rsidR="001054F7">
        <w:rPr>
          <w:rFonts w:ascii="Arial" w:hAnsi="Arial" w:cs="Arial"/>
          <w:sz w:val="18"/>
          <w:szCs w:val="18"/>
        </w:rPr>
        <w:t>2</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2F36C557" w:rsidR="00AE0E84" w:rsidRPr="0004135F" w:rsidRDefault="0058137B"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536</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sidR="00222D09">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28ED0EF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9E71C0">
              <w:rPr>
                <w:rFonts w:eastAsia="Times New Roman" w:cstheme="minorHAnsi"/>
                <w:color w:val="000000"/>
                <w:sz w:val="20"/>
                <w:szCs w:val="18"/>
                <w:lang w:eastAsia="es-MX"/>
              </w:rPr>
              <w:t>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59E699F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1,108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461</w:t>
            </w:r>
          </w:p>
        </w:tc>
        <w:tc>
          <w:tcPr>
            <w:tcW w:w="1214" w:type="dxa"/>
            <w:tcBorders>
              <w:top w:val="nil"/>
              <w:left w:val="nil"/>
              <w:bottom w:val="single" w:sz="8" w:space="0" w:color="auto"/>
              <w:right w:val="single" w:sz="8" w:space="0" w:color="auto"/>
            </w:tcBorders>
            <w:shd w:val="clear" w:color="auto" w:fill="auto"/>
            <w:noWrap/>
            <w:vAlign w:val="center"/>
          </w:tcPr>
          <w:p w14:paraId="279F69EC" w14:textId="0A700F43"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9E71C0">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0</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C381FE6"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210</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76C09C4E"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842</w:t>
            </w:r>
          </w:p>
        </w:tc>
        <w:tc>
          <w:tcPr>
            <w:tcW w:w="1214" w:type="dxa"/>
            <w:tcBorders>
              <w:top w:val="nil"/>
              <w:left w:val="nil"/>
              <w:bottom w:val="single" w:sz="8" w:space="0" w:color="auto"/>
              <w:right w:val="single" w:sz="8" w:space="0" w:color="auto"/>
            </w:tcBorders>
            <w:shd w:val="clear" w:color="auto" w:fill="auto"/>
            <w:noWrap/>
            <w:vAlign w:val="center"/>
          </w:tcPr>
          <w:p w14:paraId="7F8B696D" w14:textId="623CB044"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1</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EE05E35"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FE59F7">
              <w:rPr>
                <w:rFonts w:eastAsia="Times New Roman" w:cstheme="minorHAnsi"/>
                <w:color w:val="000000"/>
                <w:sz w:val="20"/>
                <w:szCs w:val="18"/>
                <w:lang w:eastAsia="es-MX"/>
              </w:rPr>
              <w:t>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160</w:t>
            </w:r>
          </w:p>
        </w:tc>
        <w:tc>
          <w:tcPr>
            <w:tcW w:w="1214" w:type="dxa"/>
            <w:tcBorders>
              <w:top w:val="nil"/>
              <w:left w:val="nil"/>
              <w:bottom w:val="single" w:sz="8" w:space="0" w:color="auto"/>
              <w:right w:val="single" w:sz="8" w:space="0" w:color="auto"/>
            </w:tcBorders>
            <w:shd w:val="clear" w:color="auto" w:fill="auto"/>
            <w:noWrap/>
            <w:vAlign w:val="center"/>
          </w:tcPr>
          <w:p w14:paraId="7186E41E" w14:textId="47B4B112"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8</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26F56472" w:rsidR="00E828CB"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064</w:t>
            </w:r>
          </w:p>
        </w:tc>
        <w:tc>
          <w:tcPr>
            <w:tcW w:w="1214" w:type="dxa"/>
            <w:tcBorders>
              <w:top w:val="nil"/>
              <w:left w:val="nil"/>
              <w:bottom w:val="single" w:sz="8" w:space="0" w:color="auto"/>
              <w:right w:val="single" w:sz="8" w:space="0" w:color="auto"/>
            </w:tcBorders>
            <w:shd w:val="clear" w:color="auto" w:fill="auto"/>
            <w:noWrap/>
            <w:vAlign w:val="center"/>
          </w:tcPr>
          <w:p w14:paraId="173E7ADB" w14:textId="022083E3"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31B0234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639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161</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279A447F"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5C6E4C6B"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881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502</w:t>
            </w:r>
          </w:p>
        </w:tc>
        <w:tc>
          <w:tcPr>
            <w:tcW w:w="1214" w:type="dxa"/>
            <w:tcBorders>
              <w:top w:val="nil"/>
              <w:left w:val="nil"/>
              <w:bottom w:val="single" w:sz="8" w:space="0" w:color="auto"/>
              <w:right w:val="single" w:sz="8" w:space="0" w:color="auto"/>
            </w:tcBorders>
            <w:shd w:val="clear" w:color="auto" w:fill="auto"/>
            <w:noWrap/>
            <w:vAlign w:val="center"/>
          </w:tcPr>
          <w:p w14:paraId="73AE023E" w14:textId="7A20869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0E800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w:t>
            </w:r>
            <w:r w:rsidR="0058137B">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sidR="0058137B">
              <w:rPr>
                <w:rFonts w:eastAsia="Times New Roman" w:cstheme="minorHAnsi"/>
                <w:color w:val="000000"/>
                <w:sz w:val="20"/>
                <w:szCs w:val="18"/>
                <w:lang w:eastAsia="es-MX"/>
              </w:rPr>
              <w:t>697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w:t>
            </w:r>
            <w:r w:rsidR="0058137B">
              <w:rPr>
                <w:rFonts w:eastAsia="Times New Roman" w:cstheme="minorHAnsi"/>
                <w:color w:val="000000"/>
                <w:sz w:val="20"/>
                <w:szCs w:val="18"/>
                <w:lang w:eastAsia="es-MX"/>
              </w:rPr>
              <w:t>58</w:t>
            </w:r>
          </w:p>
        </w:tc>
        <w:tc>
          <w:tcPr>
            <w:tcW w:w="1214" w:type="dxa"/>
            <w:tcBorders>
              <w:top w:val="nil"/>
              <w:left w:val="nil"/>
              <w:bottom w:val="single" w:sz="8" w:space="0" w:color="auto"/>
              <w:right w:val="single" w:sz="8" w:space="0" w:color="auto"/>
            </w:tcBorders>
            <w:shd w:val="clear" w:color="auto" w:fill="auto"/>
            <w:noWrap/>
            <w:vAlign w:val="center"/>
          </w:tcPr>
          <w:p w14:paraId="2DD88D54" w14:textId="1032163D" w:rsidR="00AE0E84" w:rsidRPr="0004135F" w:rsidRDefault="009E71C0"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1</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D39C2F0"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9E71C0">
              <w:rPr>
                <w:rFonts w:eastAsia="Times New Roman" w:cstheme="minorHAnsi"/>
                <w:color w:val="000000"/>
                <w:sz w:val="20"/>
                <w:szCs w:val="18"/>
                <w:lang w:eastAsia="es-MX"/>
              </w:rPr>
              <w:t>5</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9E71C0">
              <w:rPr>
                <w:rFonts w:eastAsia="Times New Roman" w:cstheme="minorHAnsi"/>
                <w:color w:val="000000"/>
                <w:sz w:val="20"/>
                <w:szCs w:val="18"/>
                <w:lang w:eastAsia="es-MX"/>
              </w:rPr>
              <w:t>28</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545</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498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50FA604A"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E71C0">
        <w:rPr>
          <w:rFonts w:ascii="Arial" w:hAnsi="Arial" w:cs="Arial"/>
          <w:sz w:val="18"/>
          <w:szCs w:val="18"/>
        </w:rPr>
        <w:t>junio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1,160</w:t>
      </w:r>
      <w:r w:rsidR="0098545B">
        <w:rPr>
          <w:rFonts w:ascii="Arial" w:hAnsi="Arial" w:cs="Arial"/>
          <w:sz w:val="18"/>
          <w:szCs w:val="18"/>
        </w:rPr>
        <w:t>,</w:t>
      </w:r>
      <w:r w:rsidR="009E71C0">
        <w:rPr>
          <w:rFonts w:ascii="Arial" w:hAnsi="Arial" w:cs="Arial"/>
          <w:sz w:val="18"/>
          <w:szCs w:val="18"/>
        </w:rPr>
        <w:t>476</w:t>
      </w:r>
      <w:r w:rsidR="0098545B">
        <w:rPr>
          <w:rFonts w:ascii="Arial" w:hAnsi="Arial" w:cs="Arial"/>
          <w:sz w:val="18"/>
          <w:szCs w:val="18"/>
        </w:rPr>
        <w:t>,</w:t>
      </w:r>
      <w:r w:rsidR="009E71C0">
        <w:rPr>
          <w:rFonts w:ascii="Arial" w:hAnsi="Arial" w:cs="Arial"/>
          <w:sz w:val="18"/>
          <w:szCs w:val="18"/>
        </w:rPr>
        <w:t>675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3056F5C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E71C0">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E71C0">
        <w:rPr>
          <w:rFonts w:ascii="Arial" w:hAnsi="Arial" w:cs="Arial"/>
          <w:sz w:val="18"/>
          <w:szCs w:val="18"/>
        </w:rPr>
        <w:t>junio</w:t>
      </w:r>
      <w:r w:rsidR="00134F21">
        <w:rPr>
          <w:rFonts w:ascii="Arial" w:hAnsi="Arial" w:cs="Arial"/>
          <w:sz w:val="18"/>
          <w:szCs w:val="18"/>
        </w:rPr>
        <w:t xml:space="preserve"> por este concepto un monto de $</w:t>
      </w:r>
      <w:r w:rsidR="009E71C0">
        <w:rPr>
          <w:rFonts w:ascii="Arial" w:hAnsi="Arial" w:cs="Arial"/>
          <w:sz w:val="18"/>
          <w:szCs w:val="18"/>
        </w:rPr>
        <w:t>1,436</w:t>
      </w:r>
      <w:r w:rsidR="00134F21">
        <w:rPr>
          <w:rFonts w:ascii="Arial" w:hAnsi="Arial" w:cs="Arial"/>
          <w:sz w:val="18"/>
          <w:szCs w:val="18"/>
        </w:rPr>
        <w:t>,</w:t>
      </w:r>
      <w:r w:rsidR="009E71C0">
        <w:rPr>
          <w:rFonts w:ascii="Arial" w:hAnsi="Arial" w:cs="Arial"/>
          <w:sz w:val="18"/>
          <w:szCs w:val="18"/>
        </w:rPr>
        <w:t>982</w:t>
      </w:r>
      <w:r w:rsidR="00134F21">
        <w:rPr>
          <w:rFonts w:ascii="Arial" w:hAnsi="Arial" w:cs="Arial"/>
          <w:sz w:val="18"/>
          <w:szCs w:val="18"/>
        </w:rPr>
        <w:t>,</w:t>
      </w:r>
      <w:r w:rsidR="009E71C0">
        <w:rPr>
          <w:rFonts w:ascii="Arial" w:hAnsi="Arial" w:cs="Arial"/>
          <w:sz w:val="18"/>
          <w:szCs w:val="18"/>
        </w:rPr>
        <w:t>719</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A01F96">
        <w:rPr>
          <w:rFonts w:ascii="Arial" w:hAnsi="Arial" w:cs="Arial"/>
          <w:sz w:val="18"/>
          <w:szCs w:val="18"/>
        </w:rPr>
        <w:t>in</w:t>
      </w:r>
      <w:r w:rsidR="007615D9">
        <w:rPr>
          <w:rFonts w:ascii="Arial" w:hAnsi="Arial" w:cs="Arial"/>
          <w:sz w:val="18"/>
          <w:szCs w:val="18"/>
        </w:rPr>
        <w:t xml:space="preserve">cremento del </w:t>
      </w:r>
      <w:r w:rsidR="00A01F96">
        <w:rPr>
          <w:rFonts w:ascii="Arial" w:hAnsi="Arial" w:cs="Arial"/>
          <w:sz w:val="18"/>
          <w:szCs w:val="18"/>
        </w:rPr>
        <w:t>12</w:t>
      </w:r>
      <w:r w:rsidR="007615D9">
        <w:rPr>
          <w:rFonts w:ascii="Arial" w:hAnsi="Arial" w:cs="Arial"/>
          <w:sz w:val="18"/>
          <w:szCs w:val="18"/>
        </w:rPr>
        <w:t>.</w:t>
      </w:r>
      <w:r w:rsidR="00A01F96">
        <w:rPr>
          <w:rFonts w:ascii="Arial" w:hAnsi="Arial" w:cs="Arial"/>
          <w:sz w:val="18"/>
          <w:szCs w:val="18"/>
        </w:rPr>
        <w:t>5</w:t>
      </w:r>
      <w:r w:rsidR="007615D9">
        <w:rPr>
          <w:rFonts w:ascii="Arial" w:hAnsi="Arial" w:cs="Arial"/>
          <w:sz w:val="18"/>
          <w:szCs w:val="18"/>
        </w:rPr>
        <w:t>%</w:t>
      </w:r>
      <w:r w:rsidR="00647478">
        <w:rPr>
          <w:rFonts w:ascii="Arial" w:hAnsi="Arial" w:cs="Arial"/>
          <w:sz w:val="18"/>
          <w:szCs w:val="18"/>
        </w:rPr>
        <w:t>,</w:t>
      </w:r>
      <w:r w:rsidR="007615D9">
        <w:rPr>
          <w:rFonts w:ascii="Arial" w:hAnsi="Arial" w:cs="Arial"/>
          <w:sz w:val="18"/>
          <w:szCs w:val="18"/>
        </w:rPr>
        <w:t xml:space="preserve"> respecto al </w:t>
      </w:r>
      <w:r w:rsidR="00A01F96">
        <w:rPr>
          <w:rFonts w:ascii="Arial" w:hAnsi="Arial" w:cs="Arial"/>
          <w:sz w:val="18"/>
          <w:szCs w:val="18"/>
        </w:rPr>
        <w:t xml:space="preserve">mismo periodo del </w:t>
      </w:r>
      <w:r w:rsidR="007615D9">
        <w:rPr>
          <w:rFonts w:ascii="Arial" w:hAnsi="Arial" w:cs="Arial"/>
          <w:sz w:val="18"/>
          <w:szCs w:val="18"/>
        </w:rPr>
        <w:t>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17E55AA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E71C0">
        <w:rPr>
          <w:rFonts w:ascii="Arial" w:hAnsi="Arial" w:cs="Arial"/>
          <w:sz w:val="18"/>
          <w:szCs w:val="18"/>
        </w:rPr>
        <w:t>166</w:t>
      </w:r>
      <w:r>
        <w:rPr>
          <w:rFonts w:ascii="Arial" w:hAnsi="Arial" w:cs="Arial"/>
          <w:sz w:val="18"/>
          <w:szCs w:val="18"/>
        </w:rPr>
        <w:t>,</w:t>
      </w:r>
      <w:r w:rsidR="009E71C0">
        <w:rPr>
          <w:rFonts w:ascii="Arial" w:hAnsi="Arial" w:cs="Arial"/>
          <w:sz w:val="18"/>
          <w:szCs w:val="18"/>
        </w:rPr>
        <w:t>319</w:t>
      </w:r>
      <w:r>
        <w:rPr>
          <w:rFonts w:ascii="Arial" w:hAnsi="Arial" w:cs="Arial"/>
          <w:sz w:val="18"/>
          <w:szCs w:val="18"/>
        </w:rPr>
        <w:t>,</w:t>
      </w:r>
      <w:r w:rsidR="009E71C0">
        <w:rPr>
          <w:rFonts w:ascii="Arial" w:hAnsi="Arial" w:cs="Arial"/>
          <w:sz w:val="18"/>
          <w:szCs w:val="18"/>
        </w:rPr>
        <w:t>305</w:t>
      </w:r>
      <w:r w:rsidRPr="0073056A">
        <w:rPr>
          <w:rFonts w:ascii="Arial" w:hAnsi="Arial" w:cs="Arial"/>
          <w:sz w:val="18"/>
          <w:szCs w:val="18"/>
        </w:rPr>
        <w:t>.</w:t>
      </w:r>
      <w:r w:rsidR="00647478">
        <w:rPr>
          <w:rFonts w:ascii="Arial" w:hAnsi="Arial" w:cs="Arial"/>
          <w:sz w:val="18"/>
          <w:szCs w:val="18"/>
        </w:rPr>
        <w:t xml:space="preserve"> Lo que representa un incremento de más del 100%, respecto al mismo periodo del ejercicio 2022.</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E585A22"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9E71C0">
        <w:rPr>
          <w:rFonts w:ascii="Arial" w:hAnsi="Arial" w:cs="Arial"/>
          <w:sz w:val="18"/>
          <w:szCs w:val="18"/>
        </w:rPr>
        <w:t>142,084</w:t>
      </w:r>
      <w:r w:rsidR="00BA3B1D">
        <w:rPr>
          <w:rFonts w:ascii="Arial" w:hAnsi="Arial" w:cs="Arial"/>
          <w:sz w:val="18"/>
          <w:szCs w:val="18"/>
        </w:rPr>
        <w:t>,</w:t>
      </w:r>
      <w:r w:rsidR="009E71C0">
        <w:rPr>
          <w:rFonts w:ascii="Arial" w:hAnsi="Arial" w:cs="Arial"/>
          <w:sz w:val="18"/>
          <w:szCs w:val="18"/>
        </w:rPr>
        <w:t>651</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cremento del</w:t>
      </w:r>
      <w:r w:rsidR="00A01F96">
        <w:rPr>
          <w:rFonts w:ascii="Arial" w:hAnsi="Arial" w:cs="Arial"/>
          <w:sz w:val="18"/>
          <w:szCs w:val="18"/>
        </w:rPr>
        <w:t xml:space="preserve"> 3</w:t>
      </w:r>
      <w:r w:rsidR="007615D9">
        <w:rPr>
          <w:rFonts w:ascii="Arial" w:hAnsi="Arial" w:cs="Arial"/>
          <w:sz w:val="18"/>
          <w:szCs w:val="18"/>
        </w:rPr>
        <w:t>.</w:t>
      </w:r>
      <w:r w:rsidR="00A01F96">
        <w:rPr>
          <w:rFonts w:ascii="Arial" w:hAnsi="Arial" w:cs="Arial"/>
          <w:sz w:val="18"/>
          <w:szCs w:val="18"/>
        </w:rPr>
        <w:t>2</w:t>
      </w:r>
      <w:r w:rsidR="007615D9">
        <w:rPr>
          <w:rFonts w:ascii="Arial" w:hAnsi="Arial" w:cs="Arial"/>
          <w:sz w:val="18"/>
          <w:szCs w:val="18"/>
        </w:rPr>
        <w:t>% respecto al</w:t>
      </w:r>
      <w:r w:rsidR="00A01F96">
        <w:rPr>
          <w:rFonts w:ascii="Arial" w:hAnsi="Arial" w:cs="Arial"/>
          <w:sz w:val="18"/>
          <w:szCs w:val="18"/>
        </w:rPr>
        <w:t xml:space="preserve"> mismo periodo del </w:t>
      </w:r>
      <w:r w:rsidR="007615D9">
        <w:rPr>
          <w:rFonts w:ascii="Arial" w:hAnsi="Arial" w:cs="Arial"/>
          <w:sz w:val="18"/>
          <w:szCs w:val="18"/>
        </w:rPr>
        <w:t>ejercicio 202</w:t>
      </w:r>
      <w:r w:rsidR="00663540">
        <w:rPr>
          <w:rFonts w:ascii="Arial" w:hAnsi="Arial" w:cs="Arial"/>
          <w:sz w:val="18"/>
          <w:szCs w:val="18"/>
        </w:rPr>
        <w:t>2</w:t>
      </w:r>
      <w:r w:rsidR="00A01F96">
        <w:rPr>
          <w:rFonts w:ascii="Arial" w:hAnsi="Arial" w:cs="Arial"/>
          <w:sz w:val="18"/>
          <w:szCs w:val="18"/>
        </w:rPr>
        <w:t>.</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310EE5D6"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BD6D26">
        <w:rPr>
          <w:rFonts w:ascii="Arial" w:hAnsi="Arial" w:cs="Arial"/>
          <w:sz w:val="18"/>
          <w:szCs w:val="18"/>
        </w:rPr>
        <w:t>que,</w:t>
      </w:r>
      <w:r>
        <w:rPr>
          <w:rFonts w:ascii="Arial" w:hAnsi="Arial" w:cs="Arial"/>
          <w:sz w:val="18"/>
          <w:szCs w:val="18"/>
        </w:rPr>
        <w:t xml:space="preserve">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9E71C0">
        <w:rPr>
          <w:rFonts w:ascii="Arial" w:hAnsi="Arial" w:cs="Arial"/>
          <w:sz w:val="18"/>
          <w:szCs w:val="18"/>
        </w:rPr>
        <w:t>6</w:t>
      </w:r>
      <w:r w:rsidR="001A78A4">
        <w:rPr>
          <w:rFonts w:ascii="Arial" w:hAnsi="Arial" w:cs="Arial"/>
          <w:sz w:val="18"/>
          <w:szCs w:val="18"/>
        </w:rPr>
        <w:t>,</w:t>
      </w:r>
      <w:r w:rsidR="009E71C0">
        <w:rPr>
          <w:rFonts w:ascii="Arial" w:hAnsi="Arial" w:cs="Arial"/>
          <w:sz w:val="18"/>
          <w:szCs w:val="18"/>
        </w:rPr>
        <w:t>715</w:t>
      </w:r>
      <w:r>
        <w:rPr>
          <w:rFonts w:ascii="Arial" w:hAnsi="Arial" w:cs="Arial"/>
          <w:sz w:val="18"/>
          <w:szCs w:val="18"/>
        </w:rPr>
        <w:t>,</w:t>
      </w:r>
      <w:r w:rsidR="009E71C0">
        <w:rPr>
          <w:rFonts w:ascii="Arial" w:hAnsi="Arial" w:cs="Arial"/>
          <w:sz w:val="18"/>
          <w:szCs w:val="18"/>
        </w:rPr>
        <w:t>661</w:t>
      </w:r>
      <w:r>
        <w:rPr>
          <w:rFonts w:ascii="Arial" w:hAnsi="Arial" w:cs="Arial"/>
          <w:sz w:val="18"/>
          <w:szCs w:val="18"/>
        </w:rPr>
        <w:t>,</w:t>
      </w:r>
      <w:r w:rsidR="009E71C0">
        <w:rPr>
          <w:rFonts w:ascii="Arial" w:hAnsi="Arial" w:cs="Arial"/>
          <w:sz w:val="18"/>
          <w:szCs w:val="18"/>
        </w:rPr>
        <w:t>543</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60</w:t>
      </w:r>
      <w:r w:rsidR="00663540">
        <w:rPr>
          <w:rFonts w:ascii="Arial" w:hAnsi="Arial" w:cs="Arial"/>
          <w:sz w:val="18"/>
          <w:szCs w:val="18"/>
        </w:rPr>
        <w:t>.</w:t>
      </w:r>
      <w:r w:rsidR="009E71C0">
        <w:rPr>
          <w:rFonts w:ascii="Arial" w:hAnsi="Arial" w:cs="Arial"/>
          <w:sz w:val="18"/>
          <w:szCs w:val="18"/>
        </w:rPr>
        <w:t>0</w:t>
      </w:r>
      <w:r>
        <w:rPr>
          <w:rFonts w:ascii="Arial" w:hAnsi="Arial" w:cs="Arial"/>
          <w:sz w:val="18"/>
          <w:szCs w:val="18"/>
        </w:rPr>
        <w:t xml:space="preserve">% y el sector salud con un </w:t>
      </w:r>
      <w:r w:rsidR="00663540">
        <w:rPr>
          <w:rFonts w:ascii="Arial" w:hAnsi="Arial" w:cs="Arial"/>
          <w:sz w:val="18"/>
          <w:szCs w:val="18"/>
        </w:rPr>
        <w:t>3</w:t>
      </w:r>
      <w:r w:rsidR="009E71C0">
        <w:rPr>
          <w:rFonts w:ascii="Arial" w:hAnsi="Arial" w:cs="Arial"/>
          <w:sz w:val="18"/>
          <w:szCs w:val="18"/>
        </w:rPr>
        <w:t>1</w:t>
      </w:r>
      <w:r w:rsidR="00663540">
        <w:rPr>
          <w:rFonts w:ascii="Arial" w:hAnsi="Arial" w:cs="Arial"/>
          <w:sz w:val="18"/>
          <w:szCs w:val="18"/>
        </w:rPr>
        <w:t>.</w:t>
      </w:r>
      <w:r w:rsidR="009E71C0">
        <w:rPr>
          <w:rFonts w:ascii="Arial" w:hAnsi="Arial" w:cs="Arial"/>
          <w:sz w:val="18"/>
          <w:szCs w:val="18"/>
        </w:rPr>
        <w:t>7</w:t>
      </w:r>
      <w:r>
        <w:rPr>
          <w:rFonts w:ascii="Arial" w:hAnsi="Arial" w:cs="Arial"/>
          <w:sz w:val="18"/>
          <w:szCs w:val="18"/>
        </w:rPr>
        <w:t xml:space="preserve">% y el restante </w:t>
      </w:r>
      <w:r w:rsidR="00663540">
        <w:rPr>
          <w:rFonts w:ascii="Arial" w:hAnsi="Arial" w:cs="Arial"/>
          <w:sz w:val="18"/>
          <w:szCs w:val="18"/>
        </w:rPr>
        <w:t>8</w:t>
      </w:r>
      <w:r w:rsidR="009E71C0">
        <w:rPr>
          <w:rFonts w:ascii="Arial" w:hAnsi="Arial" w:cs="Arial"/>
          <w:sz w:val="18"/>
          <w:szCs w:val="18"/>
        </w:rPr>
        <w:t>.3</w:t>
      </w:r>
      <w:r>
        <w:rPr>
          <w:rFonts w:ascii="Arial" w:hAnsi="Arial" w:cs="Arial"/>
          <w:sz w:val="18"/>
          <w:szCs w:val="18"/>
        </w:rPr>
        <w:t>% a otros organismos del sector público</w:t>
      </w:r>
      <w:r w:rsidR="00FF6FFD">
        <w:rPr>
          <w:rFonts w:ascii="Arial" w:hAnsi="Arial" w:cs="Arial"/>
          <w:sz w:val="18"/>
          <w:szCs w:val="18"/>
        </w:rPr>
        <w:t>.</w:t>
      </w:r>
      <w:r w:rsidR="001550CB">
        <w:rPr>
          <w:rFonts w:ascii="Arial" w:hAnsi="Arial" w:cs="Arial"/>
          <w:sz w:val="18"/>
          <w:szCs w:val="18"/>
        </w:rPr>
        <w:t xml:space="preserve"> Lo que en su conjunto representa un incremento del 9.13%</w:t>
      </w:r>
      <w:r w:rsidR="005E0AA8">
        <w:rPr>
          <w:rFonts w:ascii="Arial" w:hAnsi="Arial" w:cs="Arial"/>
          <w:sz w:val="18"/>
          <w:szCs w:val="18"/>
        </w:rPr>
        <w:t>,</w:t>
      </w:r>
      <w:r w:rsidR="001550CB">
        <w:rPr>
          <w:rFonts w:ascii="Arial" w:hAnsi="Arial" w:cs="Arial"/>
          <w:sz w:val="18"/>
          <w:szCs w:val="18"/>
        </w:rPr>
        <w:t xml:space="preserve"> respecto al mismo periodo del ejercicio 2022.</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12BE5518"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F164F">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8F164F">
        <w:rPr>
          <w:rFonts w:ascii="Arial" w:hAnsi="Arial" w:cs="Arial"/>
          <w:sz w:val="18"/>
          <w:szCs w:val="18"/>
        </w:rPr>
        <w:t>2</w:t>
      </w:r>
      <w:r w:rsidR="00303EA9">
        <w:rPr>
          <w:rFonts w:ascii="Arial" w:hAnsi="Arial" w:cs="Arial"/>
          <w:sz w:val="18"/>
          <w:szCs w:val="18"/>
        </w:rPr>
        <w:t>,</w:t>
      </w:r>
      <w:r w:rsidR="008F164F">
        <w:rPr>
          <w:rFonts w:ascii="Arial" w:hAnsi="Arial" w:cs="Arial"/>
          <w:sz w:val="18"/>
          <w:szCs w:val="18"/>
        </w:rPr>
        <w:t>665</w:t>
      </w:r>
      <w:r>
        <w:rPr>
          <w:rFonts w:ascii="Arial" w:hAnsi="Arial" w:cs="Arial"/>
          <w:sz w:val="18"/>
          <w:szCs w:val="18"/>
        </w:rPr>
        <w:t>,</w:t>
      </w:r>
      <w:r w:rsidR="008F164F">
        <w:rPr>
          <w:rFonts w:ascii="Arial" w:hAnsi="Arial" w:cs="Arial"/>
          <w:sz w:val="18"/>
          <w:szCs w:val="18"/>
        </w:rPr>
        <w:t>072</w:t>
      </w:r>
      <w:r>
        <w:rPr>
          <w:rFonts w:ascii="Arial" w:hAnsi="Arial" w:cs="Arial"/>
          <w:sz w:val="18"/>
          <w:szCs w:val="18"/>
        </w:rPr>
        <w:t>,</w:t>
      </w:r>
      <w:r w:rsidR="008F164F">
        <w:rPr>
          <w:rFonts w:ascii="Arial" w:hAnsi="Arial" w:cs="Arial"/>
          <w:sz w:val="18"/>
          <w:szCs w:val="18"/>
        </w:rPr>
        <w:t>386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8F164F">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5E0AA8">
        <w:rPr>
          <w:rFonts w:ascii="Arial" w:hAnsi="Arial" w:cs="Arial"/>
          <w:sz w:val="18"/>
          <w:szCs w:val="18"/>
        </w:rPr>
        <w:t>,</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1550CB">
        <w:rPr>
          <w:rFonts w:ascii="Arial" w:hAnsi="Arial" w:cs="Arial"/>
          <w:sz w:val="18"/>
          <w:szCs w:val="18"/>
        </w:rPr>
        <w:t xml:space="preserve">mismo periodo de </w:t>
      </w:r>
      <w:r w:rsidR="007615D9">
        <w:rPr>
          <w:rFonts w:ascii="Arial" w:hAnsi="Arial" w:cs="Arial"/>
          <w:sz w:val="18"/>
          <w:szCs w:val="18"/>
        </w:rPr>
        <w:t>202</w:t>
      </w:r>
      <w:r w:rsidR="00663540">
        <w:rPr>
          <w:rFonts w:ascii="Arial" w:hAnsi="Arial" w:cs="Arial"/>
          <w:sz w:val="18"/>
          <w:szCs w:val="18"/>
        </w:rPr>
        <w:t>2</w:t>
      </w:r>
      <w:r w:rsidR="001550CB">
        <w:rPr>
          <w:rFonts w:ascii="Arial" w:hAnsi="Arial" w:cs="Arial"/>
          <w:sz w:val="18"/>
          <w:szCs w:val="18"/>
        </w:rPr>
        <w:t xml:space="preserve"> de 27.6%.</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0E5A056D"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164F">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8F164F">
        <w:rPr>
          <w:rFonts w:ascii="Arial" w:hAnsi="Arial" w:cs="Arial"/>
          <w:sz w:val="18"/>
          <w:szCs w:val="18"/>
        </w:rPr>
        <w:t>2</w:t>
      </w:r>
      <w:r w:rsidR="008A4453">
        <w:rPr>
          <w:rFonts w:ascii="Arial" w:hAnsi="Arial" w:cs="Arial"/>
          <w:sz w:val="18"/>
          <w:szCs w:val="18"/>
        </w:rPr>
        <w:t>,</w:t>
      </w:r>
      <w:r w:rsidR="008F164F">
        <w:rPr>
          <w:rFonts w:ascii="Arial" w:hAnsi="Arial" w:cs="Arial"/>
          <w:sz w:val="18"/>
          <w:szCs w:val="18"/>
        </w:rPr>
        <w:t>67</w:t>
      </w:r>
      <w:r w:rsidR="001550CB">
        <w:rPr>
          <w:rFonts w:ascii="Arial" w:hAnsi="Arial" w:cs="Arial"/>
          <w:sz w:val="18"/>
          <w:szCs w:val="18"/>
        </w:rPr>
        <w:t>8</w:t>
      </w:r>
      <w:r>
        <w:rPr>
          <w:rFonts w:ascii="Arial" w:eastAsia="Times New Roman" w:hAnsi="Arial" w:cs="Arial"/>
          <w:bCs/>
          <w:sz w:val="18"/>
          <w:szCs w:val="18"/>
          <w:lang w:eastAsia="es-MX"/>
        </w:rPr>
        <w:t>,</w:t>
      </w:r>
      <w:r w:rsidR="001550CB">
        <w:rPr>
          <w:rFonts w:ascii="Arial" w:eastAsia="Times New Roman" w:hAnsi="Arial" w:cs="Arial"/>
          <w:bCs/>
          <w:sz w:val="18"/>
          <w:szCs w:val="18"/>
          <w:lang w:eastAsia="es-MX"/>
        </w:rPr>
        <w:t>47</w:t>
      </w:r>
      <w:r w:rsidR="008F164F">
        <w:rPr>
          <w:rFonts w:ascii="Arial" w:eastAsia="Times New Roman" w:hAnsi="Arial" w:cs="Arial"/>
          <w:bCs/>
          <w:sz w:val="18"/>
          <w:szCs w:val="18"/>
          <w:lang w:eastAsia="es-MX"/>
        </w:rPr>
        <w:t>8</w:t>
      </w:r>
      <w:r>
        <w:rPr>
          <w:rFonts w:ascii="Arial" w:eastAsia="Times New Roman" w:hAnsi="Arial" w:cs="Arial"/>
          <w:bCs/>
          <w:sz w:val="18"/>
          <w:szCs w:val="18"/>
          <w:lang w:eastAsia="es-MX"/>
        </w:rPr>
        <w:t>,</w:t>
      </w:r>
      <w:r w:rsidR="001550CB">
        <w:rPr>
          <w:rFonts w:ascii="Arial" w:eastAsia="Times New Roman" w:hAnsi="Arial" w:cs="Arial"/>
          <w:bCs/>
          <w:sz w:val="18"/>
          <w:szCs w:val="18"/>
          <w:lang w:eastAsia="es-MX"/>
        </w:rPr>
        <w:t>555</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2AD325B4"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1550CB">
        <w:rPr>
          <w:lang w:val="es-MX"/>
        </w:rPr>
        <w:t>a</w:t>
      </w:r>
      <w:r w:rsidR="00817DFF">
        <w:rPr>
          <w:lang w:val="es-MX"/>
        </w:rPr>
        <w:t xml:space="preserve"> </w:t>
      </w:r>
      <w:r w:rsidR="001550CB">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0D2BDE">
        <w:rPr>
          <w:lang w:val="es-MX"/>
        </w:rPr>
        <w:t>713</w:t>
      </w:r>
      <w:r w:rsidR="00AC2CB6">
        <w:rPr>
          <w:lang w:val="es-MX"/>
        </w:rPr>
        <w:t>,</w:t>
      </w:r>
      <w:r w:rsidR="000D2BDE">
        <w:rPr>
          <w:lang w:val="es-MX"/>
        </w:rPr>
        <w:t>845</w:t>
      </w:r>
      <w:r w:rsidR="00AC2CB6">
        <w:rPr>
          <w:lang w:val="es-MX"/>
        </w:rPr>
        <w:t>,</w:t>
      </w:r>
      <w:r w:rsidR="000D2BDE">
        <w:rPr>
          <w:lang w:val="es-MX"/>
        </w:rPr>
        <w:t xml:space="preserve">224; </w:t>
      </w:r>
      <w:r w:rsidR="000D2BDE">
        <w:t>lo que representa una variación porcentual del 41.8%</w:t>
      </w:r>
      <w:r w:rsidR="005E0AA8">
        <w:t>,</w:t>
      </w:r>
      <w:r w:rsidR="000D2BDE">
        <w:t xml:space="preserve"> respecto al mismo periodo del 2022,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7F2F8E24"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F164F">
        <w:rPr>
          <w:lang w:val="es-MX"/>
        </w:rPr>
        <w:t>2,665</w:t>
      </w:r>
      <w:r w:rsidR="008F5C9C">
        <w:rPr>
          <w:lang w:val="es-MX"/>
        </w:rPr>
        <w:t>,</w:t>
      </w:r>
      <w:r w:rsidR="008F164F">
        <w:rPr>
          <w:lang w:val="es-MX"/>
        </w:rPr>
        <w:t>072</w:t>
      </w:r>
      <w:r>
        <w:rPr>
          <w:lang w:val="es-MX"/>
        </w:rPr>
        <w:t>,</w:t>
      </w:r>
      <w:r w:rsidR="008F164F">
        <w:rPr>
          <w:lang w:val="es-MX"/>
        </w:rPr>
        <w:t>386</w:t>
      </w:r>
      <w:r w:rsidR="000D2BDE">
        <w:rPr>
          <w:lang w:val="es-MX"/>
        </w:rPr>
        <w:t xml:space="preserve">, </w:t>
      </w:r>
      <w:r w:rsidR="000D2BDE">
        <w:t>lo que representa una variación porcentual positiva del 27.6%</w:t>
      </w:r>
      <w:r w:rsidR="005B4194">
        <w:t>,</w:t>
      </w:r>
      <w:r w:rsidR="000D2BDE">
        <w:t xml:space="preserve"> respecto al mismo periodo del ejercicio 2022.</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Inversión</w:t>
      </w:r>
    </w:p>
    <w:p w14:paraId="7970C10E" w14:textId="6E42ACB4"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F164F">
        <w:rPr>
          <w:lang w:val="es-MX"/>
        </w:rPr>
        <w:t>juni</w:t>
      </w:r>
      <w:r w:rsidR="00A90730">
        <w:rPr>
          <w:lang w:val="es-MX"/>
        </w:rPr>
        <w:t>o</w:t>
      </w:r>
      <w:r>
        <w:rPr>
          <w:lang w:val="es-MX"/>
        </w:rPr>
        <w:t xml:space="preserve"> un importe de </w:t>
      </w:r>
      <w:r w:rsidR="000D2BDE">
        <w:rPr>
          <w:lang w:val="es-MX"/>
        </w:rPr>
        <w:t>-</w:t>
      </w:r>
      <w:r w:rsidRPr="004466A7">
        <w:rPr>
          <w:lang w:val="es-MX"/>
        </w:rPr>
        <w:t>$</w:t>
      </w:r>
      <w:r w:rsidR="000D2BDE">
        <w:rPr>
          <w:lang w:val="es-MX"/>
        </w:rPr>
        <w:t>1,</w:t>
      </w:r>
      <w:r w:rsidR="008F164F">
        <w:rPr>
          <w:lang w:val="es-MX"/>
        </w:rPr>
        <w:t>8</w:t>
      </w:r>
      <w:r w:rsidR="000D2BDE">
        <w:rPr>
          <w:lang w:val="es-MX"/>
        </w:rPr>
        <w:t>72</w:t>
      </w:r>
      <w:r>
        <w:rPr>
          <w:lang w:val="es-MX"/>
        </w:rPr>
        <w:t>,</w:t>
      </w:r>
      <w:r w:rsidR="008F164F">
        <w:rPr>
          <w:lang w:val="es-MX"/>
        </w:rPr>
        <w:t>2</w:t>
      </w:r>
      <w:r w:rsidR="000D2BDE">
        <w:rPr>
          <w:lang w:val="es-MX"/>
        </w:rPr>
        <w:t>63</w:t>
      </w:r>
      <w:r>
        <w:rPr>
          <w:lang w:val="es-MX"/>
        </w:rPr>
        <w:t>,</w:t>
      </w:r>
      <w:r w:rsidR="00A90730">
        <w:rPr>
          <w:lang w:val="es-MX"/>
        </w:rPr>
        <w:t>9</w:t>
      </w:r>
      <w:r w:rsidR="000D2BDE">
        <w:rPr>
          <w:lang w:val="es-MX"/>
        </w:rPr>
        <w:t>15, lo que representa una variación significativa respecto al mismo periodo del ejercicio 2022.</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43AD426D"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8516F3">
        <w:rPr>
          <w:lang w:val="es-MX"/>
        </w:rPr>
        <w:t>juni</w:t>
      </w:r>
      <w:r w:rsidR="00A90730">
        <w:rPr>
          <w:lang w:val="es-MX"/>
        </w:rPr>
        <w:t>o</w:t>
      </w:r>
      <w:r w:rsidRPr="00DA18AC">
        <w:rPr>
          <w:lang w:val="es-MX"/>
        </w:rPr>
        <w:t xml:space="preserve"> de 20</w:t>
      </w:r>
      <w:r w:rsidR="00466C1E">
        <w:rPr>
          <w:lang w:val="es-MX"/>
        </w:rPr>
        <w:t>2</w:t>
      </w:r>
      <w:r w:rsidR="00A90730">
        <w:rPr>
          <w:lang w:val="es-MX"/>
        </w:rPr>
        <w:t>3</w:t>
      </w:r>
      <w:r w:rsidRPr="00DA18AC">
        <w:rPr>
          <w:lang w:val="es-MX"/>
        </w:rPr>
        <w:t xml:space="preserve"> de $</w:t>
      </w:r>
      <w:r w:rsidR="000D2BDE">
        <w:rPr>
          <w:lang w:val="es-MX"/>
        </w:rPr>
        <w:t>199</w:t>
      </w:r>
      <w:r w:rsidR="00A16DA6">
        <w:rPr>
          <w:lang w:val="es-MX"/>
        </w:rPr>
        <w:t>,</w:t>
      </w:r>
      <w:r w:rsidR="000D2BDE">
        <w:rPr>
          <w:lang w:val="es-MX"/>
        </w:rPr>
        <w:t>561</w:t>
      </w:r>
      <w:r w:rsidR="00A16DA6">
        <w:rPr>
          <w:lang w:val="es-MX"/>
        </w:rPr>
        <w:t>,</w:t>
      </w:r>
      <w:r w:rsidR="000D2BDE">
        <w:rPr>
          <w:lang w:val="es-MX"/>
        </w:rPr>
        <w:t>721</w:t>
      </w:r>
      <w:r w:rsidRPr="00DA18AC">
        <w:rPr>
          <w:lang w:val="es-MX"/>
        </w:rPr>
        <w:t>.</w:t>
      </w:r>
    </w:p>
    <w:p w14:paraId="0F635CBD" w14:textId="77777777" w:rsidR="005C02A4" w:rsidRDefault="00A513BC"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48.55pt;margin-top:12.7pt;width:576.7pt;height:592.05pt;z-index:251699200;mso-position-horizontal-relative:text;mso-position-vertical-relative:text;mso-width-relative:page;mso-height-relative:page">
            <v:imagedata r:id="rId8" o:title=""/>
          </v:shape>
          <o:OLEObject Type="Embed" ProgID="Excel.Sheet.12" ShapeID="_x0000_s1081" DrawAspect="Content" ObjectID="_1752074638"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A513BC" w:rsidP="006942ED">
      <w:pPr>
        <w:rPr>
          <w:lang w:eastAsia="es-ES"/>
        </w:rPr>
      </w:pPr>
      <w:r>
        <w:rPr>
          <w:noProof/>
          <w:szCs w:val="18"/>
          <w:lang w:val="es-ES" w:eastAsia="es-MX"/>
        </w:rPr>
        <w:object w:dxaOrig="1440" w:dyaOrig="1440" w14:anchorId="7CF3A5A1">
          <v:shape id="_x0000_s1046" type="#_x0000_t75" style="position:absolute;margin-left:-26.6pt;margin-top:24.9pt;width:555.85pt;height:477.85pt;z-index:251663360">
            <v:imagedata r:id="rId10" o:title=""/>
            <w10:wrap type="topAndBottom"/>
          </v:shape>
          <o:OLEObject Type="Embed" ProgID="Excel.Sheet.12" ShapeID="_x0000_s1046" DrawAspect="Content" ObjectID="_1752074639"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A513BC"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12" o:title=""/>
            <w10:wrap type="topAndBottom"/>
          </v:shape>
          <o:OLEObject Type="Embed" ProgID="Excel.Sheet.12" ShapeID="_x0000_s1047" DrawAspect="Content" ObjectID="_1752074640"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FA0DF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F18C2">
        <w:rPr>
          <w:rFonts w:ascii="Arial" w:hAnsi="Arial" w:cs="Arial"/>
          <w:sz w:val="18"/>
          <w:szCs w:val="18"/>
        </w:rPr>
        <w:t>juni</w:t>
      </w:r>
      <w:r w:rsidR="002615F9">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CD1FC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se registraron señales mixtas en la actividad económica global. Por un lado, el comportamiento de algunas variables mostró signos de moderación en el ritmo de la actividad económica, mientras que, por otro, algunos indicadores presentaron un alto dinamismo y resultados positivos que anticipan un menor riesgo de recesión. Estos resultados generaron un entorno donde prevaleció la incertidumbre sobre la permanencia de posturas monetarias restrictivas de los principales bancos centrales. Un factor que contribuyó a reducir las presiones inflacionarias desde inicios del año fue la reapertura económica en China. Este entorno se vio favorecido por una reducción significativa en los costos de transporte marítimo, al tiempo que los precios de los energéticos continuaron con la tendencia a la baja observada desde la segunda mitad de 2022, misma que se estabilizó hacia el final de marzo de 2023, en un nivel cercano al periodo previo a la pandemia. </w:t>
      </w:r>
    </w:p>
    <w:p w14:paraId="0ABD281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No obstante, los precios agrícolas continuaron en niveles relativamente altos respecto al periodo previo a la pandemia, aunque en niveles menores a los que se observaron en 2022 después de la invasión de Rusia a Ucrania. A la par, algunos precios de servicios como renta de vivienda, restaurantes y transporte permanecieron elevados, lo que ocasionó que la inflación subyacente continuara presionada al alza. Aunado a ello, las condiciones laborales de escasez de mano de obra incidieron en el crecimiento real de los salarios, que a nivel global presentaron aumentos importantes, particularmente en el sector de servicios relacionados al entretenimiento y el ocio. </w:t>
      </w:r>
    </w:p>
    <w:p w14:paraId="6BC43B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los problemas que enfrentaron dos bancos regionales en Estados Unidos (EE.UU.) y un banco global sistémico en Europa incrementaron temporalmente los riesgos en torno a un mayor deterioro en los balances del sector y una posible contracción crediticia. No obstante, la respuesta inmediata por parte de las autoridades para proveer de liquidez al sistema financiero y la fusión entre bancos limitó los riesgos de contagio y de pérdida de confianza en los inversionistas. Asociado con los eventos ocurridos en el sistema financiero, las condiciones crediticias se tornaron más restrictivas en la mayoría de los países por una aversión al riesgo en el otorgamiento de crédito. Esta situación favoreció el ciclo alcista de la política monetaria de la mayoría de los bancos centrales que continuó durante el primer trimestre, aunque con aumentos en las tasas a un ritmo más moderado.</w:t>
      </w:r>
    </w:p>
    <w:p w14:paraId="468E309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Tal es el caso de la FED, que ubicó su tasa de referencia en un rango de 4.75-5.00% con dos incrementos de 25 puntos base (pb) el 1 de febrero y el 22 de marzo, mientras que el Banco Central Europeo aumentó en dos ocasiones sus tres tasas de referencia en 50 pb, situando su tasa de refinanciamiento en 3.50%, a pesar de los episodios de volatilidad observados en los mercados financieros. En este contexto de volatilidad y condiciones financieras más restrictivas, al primer trimestre de 2023, las economías de EE.UU. y China registraron un crecimiento trimestral por encima de lo proyectado a principios de enero por el consenso de analistas. En ambos casos, el consumo privado asociado al sector servicios fue el principal motor de crecimiento para la actividad económica. En el caso de EE.UU., se debió a la fortaleza del mercado laboral y la recuperación del ingreso real </w:t>
      </w:r>
      <w:r w:rsidRPr="00AF18C2">
        <w:rPr>
          <w:rFonts w:ascii="Arial" w:hAnsi="Arial" w:cs="Arial"/>
          <w:sz w:val="18"/>
          <w:szCs w:val="18"/>
        </w:rPr>
        <w:lastRenderedPageBreak/>
        <w:t xml:space="preserve">disponible, mientras que en China provino de la reapertura económica y el mayor dinamismo de sus exportaciones, a pesar de la ralentización de su producción industrial. </w:t>
      </w:r>
    </w:p>
    <w:p w14:paraId="5F535D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La economía mexicana no fue ajena a los retos financieros que enfrentaron las economías a nivel global durante el primer trimestre de 2023. No obstante, la estabilidad macroeconómica y la fortaleza del sistema financiero nacional, así como el dinamismo del mercado laboral contribuyeron a que la economía mexicana continuara en una senda de crecimiento cuya fuente principal de dinamismo provino del mercado interno. De acuerdo con la estimación oportuna del PIB, en el primer trimestre de 2023 la economía aumentó 3.9% anual y con cifras ajustadas por estacionalidad mostró un crecimiento de 1.1% con respecto al trimestre anterior. Este último resultado se debió al crecimiento de las actividades terciarias en 1.5% y las secundarias en 0.7%, las cuales registraron aumentos superiores al trimestre pasado; mientras que la agricultura cayó en 3.2%. </w:t>
      </w:r>
    </w:p>
    <w:p w14:paraId="5B60AC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Cabe destacar que, con el dato preliminar del primer trimestre de 2023, el PIB aumentó más que el trimestre anterior y ligó seis trimestres consecutivos de crecimiento por arriba de su tendencia histórica. Uno de los factores que más contribuyó al desempeño positivo de la actividad económica fue el consumo privado, indicador que ha crecido de manera acelerada desde finales de 2021 y que en enero de 2023 registró un alza mensual no vista desde 2013. Este rubro, en particular, se vio favorecido por la solidez del mercado laboral ya que, de acuerdo con los registros del IMSS, durante el primer trimestre del 2023 se generaron 423 mil empleos, la mayor creación desde que se tiene registro. Otro indicador laboral que mostró resultados positivos fue la tasa de desempleo de febrero de 2023, la cual se ubicó en 2.7% y alcanzó un nivel mínimo desde que inició la Encuesta Nacional de Ocupación y Empleo (ENOE) en 2005. </w:t>
      </w:r>
    </w:p>
    <w:p w14:paraId="614E2DA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se explicó por la mayor población ocupada que, en el primer bimestre de 2023, creció en 2.6 millones de personas respecto al año anterior e hiló 23 meses de aumentos anuales consecutivos. Así, la participación laboral registró niveles históricamente altos desde que se tiene registro. En su interior, destacó que la tasa de participación laboral de las mujeres contribuyó de manera significativa a dicho resultado, al alcanzar un máximo histórico de 45.8% en el primer bimestre de 2023 derivado de un aumento en los empleos de tiempo completo. El consumo privado también fue impulsado por los altos niveles de remesas y por el crédito al consumo de la banca comercial, que en febrero 2023 creció 1.8% en términos reales con respecto a diciembre del año pasado, con cifras ajustadas por estacionalidad. Asimismo, la apreciación de 8.1% del tipo de cambio respecto al cierre del trimestre anterior favoreció el consumo de bienes importados, principalmente los no duraderos. </w:t>
      </w:r>
    </w:p>
    <w:p w14:paraId="352D77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en enero de 2023, la inversión fija bruta total se redujo en 0.5% por el retroceso en la maquinaria y equipo importado, luego de tres meses consecutivos de aumentos. No obstante, la construcción no residencial aumentó 0.4% mensual y al acumular cinco meses de crecimientos continuos mostró un cambio importante en su tendencia. Lo anterior obedeció, principalmente, a la construcción de los proyectos de infraestructura del Gobierno Federal, así como al reciente fenómeno de relocalización de empresas hacia territorio nacional que ya muestra la ampliación de la capacidad productiva con la construcción de oficinas y plantas industriales. En relación con el nivel general de precios, las presiones provenientes del exterior disminuyeron, lo que benefició principalmente a los componentes de pecuarios, energéticos y mercancías alimenticias. Así, la inflación del primer trimestre fue de 7.46% anual, disminuyendo 0.5 puntos porcentuales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inflación del trimestre previo, con lo cual acumuló dos trimestres a la baja y registró la mayor reducción desde el inicio de la pandemia en 2020. </w:t>
      </w:r>
    </w:p>
    <w:p w14:paraId="51A20BF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sector externo también mostró resultados positivos, entre los cuales destacaron los incrementos de las exportaciones manufactureras por la demanda proveniente de EE.UU. Sobresalió también que los ingresos por turismo internacional acumularon 5.4 mil millones de dólares, nivel histórico en el primer bimestre. Asimismo, el número de extranjeros que ingresó por vía aérea en el primer bimestre fue de 3.7 millones de visitantes, la mayor cantidad desde que se tiene registro. Finalmente, los flujos de remesas también alcanzaron en el primer bimestre un nivel histórico. En este contexto, a pesar de los recientes episodios de volatilidad ocasionados por algunos segmentos del sistema bancario en EE.UU. y Europa, el sector bancario en México se mantuvo bien capitalizado y sin riesgos de contagio. Si bien la banca privada cuenta con una alta participación de origen extranjero, el sistema bancario se encuentra respaldado principalmente por depósitos, lo que reduce los riesgos de liquidez y la exposición a los ciclos y choques financieros de las economías avanzadas.</w:t>
      </w:r>
    </w:p>
    <w:p w14:paraId="0E88CF6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se registraron signos mixtos en la actividad económica global a pesar de la acumulación de choques económicos observados en 2022. La fortaleza en la demanda interna de países avanzados, la reapertura económica de China, una menor presión en las cadenas globales de valor y menores presiones en los precios de materias primas y energéticos sorprendieron positivamente y contribuyeron a mejorar </w:t>
      </w:r>
      <w:r w:rsidRPr="00AF18C2">
        <w:rPr>
          <w:rFonts w:ascii="Arial" w:hAnsi="Arial" w:cs="Arial"/>
          <w:sz w:val="18"/>
          <w:szCs w:val="18"/>
        </w:rPr>
        <w:lastRenderedPageBreak/>
        <w:t xml:space="preserve">las perspectivas de crecimiento en los primeros tres meses del año. Sin embargo, los acontecimientos ocurridos a inicios de marzo en el sector bancario – con la quiebra de los bancos regionales Silicon Valley y </w:t>
      </w:r>
      <w:proofErr w:type="spellStart"/>
      <w:r w:rsidRPr="00AF18C2">
        <w:rPr>
          <w:rFonts w:ascii="Arial" w:hAnsi="Arial" w:cs="Arial"/>
          <w:sz w:val="18"/>
          <w:szCs w:val="18"/>
        </w:rPr>
        <w:t>Signature</w:t>
      </w:r>
      <w:proofErr w:type="spellEnd"/>
      <w:r w:rsidRPr="00AF18C2">
        <w:rPr>
          <w:rFonts w:ascii="Arial" w:hAnsi="Arial" w:cs="Arial"/>
          <w:sz w:val="18"/>
          <w:szCs w:val="18"/>
        </w:rPr>
        <w:t xml:space="preserve">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 banco global de importancia sistémica en Europa– elevaron la incertidumbre en torno a la solidez del sector bancario frente a la coyuntura de las tasas de interés a nivel internacional por parte de los bancos centrales. Si bien hasta el momento el riesgo de contagio a lo largo del sector bancario parece estar contenido debido a la exposición sistémica y la intervención inmediata de las autoridades, los riesgos financieros se sesgaron al alza respecto a condiciones crediticias más restrictivas y una desaceleración temprana de la actividad económica global. </w:t>
      </w:r>
    </w:p>
    <w:p w14:paraId="54C34F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Adicionalmente, la persistencia de las presiones inflacionarias continuó presente en las principales economías avanzadas y emergentes, y a pesar de que la inflación general disminuyó por los efectos de las políticas monetarias restrictivas y por menores presiones del lado de la oferta, la inflación se mantuvo por encima de los objetivos de los bancos centrales. Por su parte, la inflación subyacente permaneció elevada en países avanzados debido a una demanda laboral por encima de su oferta y a un sector servicios presionado por los altos costos salariales y los altos precios de alimentos importados. Esto, nuevamente, generó incertidumbre en torno al nivel de la tasa terminal y ante el efecto rezagado de la política monetaria sobre la actividad económica. Estados Unidos Durante el primer trimestre de 2023, el PIB de la economía estadounidense presentó un crecimiento real de 0.3% en su variación trimestral, de acuerdo con cifras preliminares. Si bien esta cifra se ubicó por debajo del crecimiento observado en el trimestre previo, de 0.6%, fue mayor a lo esperado por el consenso de Blue Chip de -0.1% el 10 de enero de 2023, atribuido a la fortaleza de la demanda interna. </w:t>
      </w:r>
    </w:p>
    <w:p w14:paraId="50ABC00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Así, el consumo privado continuó como el principal impulsor del PIB con una contribución a su crecimiento de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particular, por los rubros de servicios y bienes duraderos debido a la fortaleza del empleo y las menores presiones inflacionarias, seguido por el componente de gasto de gobierno con una contribución de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las exportaciones netas e inversión no residencial tuvieron una ligera contribución positiva. En contraste, se registró una contracción en la acumulación de inventarios con lo cual su contribución al PIB, con respecto al trimestre previo, pasó de 0.4 a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 inversión residencial moderó su caída, aunque con una contribución negativa derivado de la pérdida de dinamismo en el sector ante el incremento de tasas por parte de la FED y los precios de las casas. </w:t>
      </w:r>
    </w:p>
    <w:p w14:paraId="67F2F58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pesar de que en marzo aumentó la probabilidad de recesión en EE.UU., principalmente por la incertidumbre en torno a la estabilidad bancaria y la persistencia inflacionaria, indicadores oportunos, como el consumo privado y el empleo, e indicadores adelantados, como los Índices de Gerentes de Compras (PMI, por sus siglas en inglés) asociados al sector servicios, aún sugieren un desempeño positivo para la actividad económica, aunque a un ritmo más moderado al menos hacia la primera mitad del año. </w:t>
      </w:r>
    </w:p>
    <w:p w14:paraId="07C256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continuó la fortaleza en la creación de empleos, aunque con un ritmo más moderado en el mes de marzo. En promedio, durante el periodo, se generaron 345 mil plazas de trabajo, superior a las 284 mil plazas observadas en el cuarto trimestre del año previo y por encima del promedio histórico de 134 mil plazas mensuales. Asimismo, la tasa de desempleo se mantuvo en un rango de 3.4-3.6%, por debajo de su media histórica de 5.9%. Por su parte, las contracciones observadas en términos reales de las remuneraciones medias por hora por trabajador disminuyeron en línea con menores presiones inflacionarias. En marzo de 2023, presentaron una variación real anual de -0.7%, mejor a la observada en diciembre de 2022 de -1.6% y del mínimo alcanzado en junio de ese mismo año de -3.2%. Asimismo, con base en las últimas cifras disponibles, la demanda de mano de obra permaneció por encima de su oferta, aunque el déficit de plazas laborales se redujo, de 5.5 a 3.9 millones entre diciembre de 2022 y febrero de 2023. Esto, debido a un menor nivel de vacantes abiertas que pasó de 10.6 a 9.9 millones, cifra similar a la observada en mayo de 2021, mientras que la tasa de participación laboral se incrementó ligeramente en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a 62.5% en febrero, equivalente a 1.2 millones de nuevas personas empleadas o que buscaron empleo. Por grupos de edad, el principal rezago provino de la menor participación laboral de adultos de 55 años en adelante, debido a un retiro anticipado ocasionado por el COVID-19, en tanto que el grupo de 25-54 años recuperó los niveles previos al inicio de la pandemia.</w:t>
      </w:r>
    </w:p>
    <w:p w14:paraId="231AD83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consumo privado registró en promedio una variación trimestral real de 0.9% en el primer trimestre de 2023, por encima del observado el trimestre previo de 0.2%. El mayor ritmo de crecimiento estuvo apoyado por el sólido desempeño del mercado laboral y la disminución relativa en la inflación que permitió una recuperación parcial del ingreso real disponible. Dicho ingreso, por primera vez desde diciembre de 2021, mostró una variación anual positiva en enero y febrero de 2023 de 3.0 y 3.3%, respectivamente. Al interior de los componentes del consumo, sobresalió el consumo de bienes durables con una variación trimestral de 4.0% real, después de una contracción </w:t>
      </w:r>
      <w:r w:rsidRPr="00AF18C2">
        <w:rPr>
          <w:rFonts w:ascii="Arial" w:hAnsi="Arial" w:cs="Arial"/>
          <w:sz w:val="18"/>
          <w:szCs w:val="18"/>
        </w:rPr>
        <w:lastRenderedPageBreak/>
        <w:t xml:space="preserve">en el periodo previo de -0.3%. En específico, el gasto en vehículos y autopartes creció 9.8% real trimestral, asociado a menores tiempos de entrega, una disminución en precios relativos y a la normalización de las cadenas de suministro. Por su parte, el consumo relacionado con servicios registró un incremento trimestral de 0.6% real, impulsado por un mayor gasto en servicios recreativos, salud, y preparación de alimentos y alojamiento con un crecimiento real trimestral de 1.4, 1.4 y 1.2%, respectivamente. </w:t>
      </w:r>
    </w:p>
    <w:p w14:paraId="3B83DB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producción industrial presentó una variación trimestral real prácticamente nula, en particular para el sector de bienes durables. A pesar de ello, la producción manufacturera creció 0.1% en el mismo periodo, con crecimientos mensuales positivos en enero y febrero de 1.5 y 0.6%, hasta registrar una contracción en marzo de 0.5%. En particular, en su variación trimestral, los sectores de aeroespacial, vehículos y autopartes, electrónicos y equipo eléctrico registraron variaciones negativas de 1.4, 0.6, 0.5 y 0.3%, respectivamente, las cuales fueron compensadas por variaciones trimestrales positivas de 0.1, 1.2, 2.5 y 3.5% en los sectores de maquinaria, productos no metálicos, químicos, así como ropa y cuero, respectivamente. Entre los factores que explicaron el desempeño en la producción industrial se encontraron las menores presiones en las cadenas globales de valor y los menores precios relativos de materias primas que favorecieron los tiempos de entrega y el gradual reabastecimiento de inventarios. Por otra parte, se presentaron vientos en contra por los elevados precios de importación de semiconductores que se mantuvieron por encima del nivel previo a la pandemia, y cuya falta de insumos se reflejó en un menor ensamblaje de vehículos en febrero y marzo; sumado al encarecimiento del financiamiento por las mayores tasas de interés y, recientemente, a condiciones más restrictivas en el otorgamiento de crédito. </w:t>
      </w:r>
    </w:p>
    <w:p w14:paraId="07B4457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inflación general en EE.UU., medida por el Índice de Precios al Consumidor (IPC), mantuvo su trayectoria descendente con una variación anual de 5.0% en marzo, mientras que la inflación subyacente mostró mayor persistencia que la anticipada con una variación anual de 5.6%,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mayor a lo registrado el mes previo. Los servicios registraron la mayor contribución a la inflación general anual en marzo con 4.1 </w:t>
      </w:r>
      <w:proofErr w:type="spellStart"/>
      <w:r w:rsidRPr="00AF18C2">
        <w:rPr>
          <w:rFonts w:ascii="Arial" w:hAnsi="Arial" w:cs="Arial"/>
          <w:sz w:val="18"/>
          <w:szCs w:val="18"/>
        </w:rPr>
        <w:t>pp</w:t>
      </w:r>
      <w:proofErr w:type="spellEnd"/>
      <w:r w:rsidRPr="00AF18C2">
        <w:rPr>
          <w:rFonts w:ascii="Arial" w:hAnsi="Arial" w:cs="Arial"/>
          <w:sz w:val="18"/>
          <w:szCs w:val="18"/>
        </w:rPr>
        <w:t xml:space="preserve">, similar a lo observado en diciembre del año previo. Las rentas de vivienda contribuyeron en 2.7 </w:t>
      </w:r>
      <w:proofErr w:type="spellStart"/>
      <w:r w:rsidRPr="00AF18C2">
        <w:rPr>
          <w:rFonts w:ascii="Arial" w:hAnsi="Arial" w:cs="Arial"/>
          <w:sz w:val="18"/>
          <w:szCs w:val="18"/>
        </w:rPr>
        <w:t>pp</w:t>
      </w:r>
      <w:proofErr w:type="spellEnd"/>
      <w:r w:rsidRPr="00AF18C2">
        <w:rPr>
          <w:rFonts w:ascii="Arial" w:hAnsi="Arial" w:cs="Arial"/>
          <w:sz w:val="18"/>
          <w:szCs w:val="18"/>
        </w:rPr>
        <w:t xml:space="preserve">, con una variación anual de 8.2%; sin embargo, indicadores adelantados para la renta de inmuebles en EE.UU. reportados por la empresa </w:t>
      </w:r>
      <w:proofErr w:type="spellStart"/>
      <w:r w:rsidRPr="00AF18C2">
        <w:rPr>
          <w:rFonts w:ascii="Arial" w:hAnsi="Arial" w:cs="Arial"/>
          <w:sz w:val="18"/>
          <w:szCs w:val="18"/>
        </w:rPr>
        <w:t>Zillow</w:t>
      </w:r>
      <w:proofErr w:type="spellEnd"/>
      <w:r w:rsidRPr="00AF18C2">
        <w:rPr>
          <w:rFonts w:ascii="Arial" w:hAnsi="Arial" w:cs="Arial"/>
          <w:sz w:val="18"/>
          <w:szCs w:val="18"/>
        </w:rPr>
        <w:t xml:space="preserve"> anticiparon una desaceleración anual de este indicador. En cuanto al rubro de alimentos, la inflación anual continuó elevada con una variación anual de 8.5% en marzo y una contribución de 1.1 </w:t>
      </w:r>
      <w:proofErr w:type="spellStart"/>
      <w:r w:rsidRPr="00AF18C2">
        <w:rPr>
          <w:rFonts w:ascii="Arial" w:hAnsi="Arial" w:cs="Arial"/>
          <w:sz w:val="18"/>
          <w:szCs w:val="18"/>
        </w:rPr>
        <w:t>pp</w:t>
      </w:r>
      <w:proofErr w:type="spellEnd"/>
      <w:r w:rsidRPr="00AF18C2">
        <w:rPr>
          <w:rFonts w:ascii="Arial" w:hAnsi="Arial" w:cs="Arial"/>
          <w:sz w:val="18"/>
          <w:szCs w:val="18"/>
        </w:rPr>
        <w:t xml:space="preserve"> a la inflación general, aunque 0.3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debajo de lo observado en diciembre de 2022. </w:t>
      </w:r>
    </w:p>
    <w:p w14:paraId="2A27627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rubro de bienes, destacaron los menores precios de autos nuevos y usados que en conjunto compensaron el incremento en la inflación con una contribución negativa que pasó de - 0.1 a - 0.2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de diciembre a marzo 2023, en línea con las menores presiones en las cadenas globales de valor. Mientras que, en el caso del rubro de energía, en marzo registró su primera contribución negativa por los menores precios de gasolinas en 0.5 pp. Por otra parte, los precios al productor también moderaron su crecimiento y se ubicaron en 2.7% en marzo desde el 6.6% observado en diciembre del año previo, lo cual sugiere una disminución en la presión en costos de las empresas y un menor traslado en precios al consumidor final. Las expectativas de inflación general de corto plazo, medidas por la Reserva Federal de Nueva York, si bien se mantuvieron a la baja desde el pico alcanzado en junio de 2022, mostraron su primer incremento en marzo de este año, a 4.7%, desde un 4.2% esperado en febrero. Esto responde a una mayor expectativa de incremento en costos de colegiaturas y precios de vivienda, aunque éste permanece por debajo del nivel previo a la pandemia. Para el mediano plazo (3 y 5 años), las expectativas disminuyeron a 2.8 y 2.5%, respectivamente, aunque permanecieron por encima de un nivel consistente con el 2.0% objetivo de la FED.</w:t>
      </w:r>
    </w:p>
    <w:p w14:paraId="29AEE53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del año, los indicadores oportunos y adelantados sugirieron un crecimiento económico positivo para la zona euro, apoyado por la fortaleza del sector servicios y por la resiliencia de la producción industrial, a pesar de los recientes episodios de volatilidad en el sector financiero, en particular tras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a UBS el 19 de marzo de 2023. Así, en un contexto de mejores expectativas comerciales por la reapertura económica en China y menores costos de transporte global, la producción industrial en el primer bimestre del año registró un crecimiento promedio mensual de 1.3% en términos reales y de 2.5% en su variación acumulada contra diciembre del año pasado. Esto provino de un desempeño positivo en fabricación de productos químicos, así como vehículos y autopartes, mientras que productos farmacéuticos, maquinaria y equipo se contrajeron. Sin embargo, indicadores adelantados en marzo mostraron que si bien el PMI de producción de manufacturas se ubicó en terreno de expansión, debido a la normalización de las cadenas de suministro y a menores tiempos de entrega, las nuevas órdenes se contrajeron derivado de los menores niveles de confianza del consumidor y las empresas, mientras que Alemania y Francia registraron una desaceleración en su producción en </w:t>
      </w:r>
      <w:r w:rsidRPr="00AF18C2">
        <w:rPr>
          <w:rFonts w:ascii="Arial" w:hAnsi="Arial" w:cs="Arial"/>
          <w:sz w:val="18"/>
          <w:szCs w:val="18"/>
        </w:rPr>
        <w:lastRenderedPageBreak/>
        <w:t xml:space="preserve">línea con una menor demanda agregada, lo que sugirió una menor fortaleza en la industria de la región para los próximos meses. Aunque estos indicadores disiparon temporalmente los temores de recesión en la región tras la pérdida de dinamismo en la actividad económica observada durante la segunda mitad del año pasado, la mediana del consenso de analistas de Bloomberg al 8 de marzo proyectó una ligera contracción del PIB real en el primer trimestre de 0.1% con respecto al trimestre previo, seguido de incrementos moderados en los trimestres subsecuentes, debido al incremento de las tasas de política monetaria del Banco Central Europeo y a las condiciones financieras más restrictivas tras los recientes episodios de incertidumbre en el sistema financiero. Por su parte, si bien la inflación general anual se desaceleró al pasar de 9.2% en diciembre 2022 a 6.9% en marzo de 2023, la inflación subyacente ha sido persistente, con un incremento de 5.2 a 5.7%, en el mismo periodo. La principal contribución a la inflación provino del sector servicios, producto de una mayor demanda en rubros como hotelería y restaurantes y a mayores costos salariales, aunado a la tasa de desempleo que permaneció en niveles históricamente bajos de 6.6% en febrero. </w:t>
      </w:r>
    </w:p>
    <w:p w14:paraId="713992E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la actividad económica de China repuntó tras la reapertura de su economía a principios del año asociada a la relajación de su política de tolerancia cero al COVID-19. Como resultado de ello, el PIB registró un crecimiento de 2.2% a tasa trimestral, por encima del 0.6% observado en el último trimestre de 2022, debido a factores como un mayor dinamismo en el consumo privado y en el sector servicios. Por lo anterior, la expectativa de comercio mundial mejoró debido a la relevancia de China en las cadenas globales de valor. No obstante que las exportaciones de China sorprendieron al alza con un crecimiento de 14.8% a tasa anual en marzo, después de registrar una contracción en enero y febrero de 6.8% en promedio anual, indicadores adelantados de manufacturas (PMI-</w:t>
      </w:r>
      <w:proofErr w:type="spellStart"/>
      <w:r w:rsidRPr="00AF18C2">
        <w:rPr>
          <w:rFonts w:ascii="Arial" w:hAnsi="Arial" w:cs="Arial"/>
          <w:sz w:val="18"/>
          <w:szCs w:val="18"/>
        </w:rPr>
        <w:t>Caixin</w:t>
      </w:r>
      <w:proofErr w:type="spellEnd"/>
      <w:r w:rsidRPr="00AF18C2">
        <w:rPr>
          <w:rFonts w:ascii="Arial" w:hAnsi="Arial" w:cs="Arial"/>
          <w:sz w:val="18"/>
          <w:szCs w:val="18"/>
        </w:rPr>
        <w:t>) registraron en el mismo mes una desaceleración de 51.6 a 50 puntos, aunque aún dentro del umbral de expansión. Esto generó incertidumbre en torno a la fortaleza del mercado interno en China afectado aún por la fragilidad del sector inmobiliario y la volatilidad en los mercados financieros a nivel internacional.</w:t>
      </w:r>
    </w:p>
    <w:p w14:paraId="105D26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Asimismo, destacó la inversión fija bruta con un crecimiento anual en el trimestre de 5.1% respaldada por la inversión en infraestructura de los gobiernos locales, así como por un ligero incremento en nuevas construcciones, particularmente oficinas, y el apoyo de la política monetaria acomodaticia del Banco Central de China. De esta manera, al 31 de marzo de 2023, la mediana de especialistas encuestados por Bloomberg proyectó un crecimiento anual de la economía china del 5.3% para 2023, por encima de la meta oficial de aproximadamente 5.0%, aunque pronosticó una disminución para 2024 en 0.3 pp. </w:t>
      </w:r>
    </w:p>
    <w:p w14:paraId="0B200EC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los índices de precios de materias primas mantuvieron su tendencia a la baja. Al 31 de marzo, el índice de Bloomberg disminuyó 6.5% con respecto al cierre del cuarto trimestre de 2022. Si bien los precios mostraron un repunte durante enero, por la reapertura de las fronteras de China después de tres años, éste se desvaneció para la mayoría de las materias primas debido a las preocupaciones de un menor crecimiento económico global y de una mayor incertidumbre financiera ante la inestabilidad de algunos segmentos del sistema bancario en economías avanzadas. En el mercado petrolero, los precios del Brent, el WTI y la mezcla mexicana cayeron 6.2, 5.7 y 7.9%, respectivamente, entre los cierres del primer trimestre de 2023 y el cuarto trimestre de 2022. Los factores que contribuyeron a este descenso en los precios fueron la menor demanda de crudo por parte de las refinerías en EE.UU., debido a que en febrero y marzo algunas de ellas estuvieron en mantenimiento y a factores climatológicos desfavorables, como tormentas invernales, aunado a una mayor acumulación de inventarios de petróleo crudo a nivel global. </w:t>
      </w:r>
    </w:p>
    <w:p w14:paraId="67E3511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trimestre también se presentaron nuevos choques de oferta en el mercado de petróleo. El 5 de febrero entró en vigor la prohibición de importación de petrolíferos rusos por parte de la Unión Europea y nuevos topes de precios de 100 dpb para los petrolíferos rusos de alto valor, como gasolina y diésel, y 45 dpb para los de bajo valor, como combustóleo y nafta. Adicionalmente, el 2 de abril, la OPEP+ anunció un recorte voluntario de 1.16 </w:t>
      </w:r>
      <w:proofErr w:type="spellStart"/>
      <w:r w:rsidRPr="00AF18C2">
        <w:rPr>
          <w:rFonts w:ascii="Arial" w:hAnsi="Arial" w:cs="Arial"/>
          <w:sz w:val="18"/>
          <w:szCs w:val="18"/>
        </w:rPr>
        <w:t>mbd</w:t>
      </w:r>
      <w:proofErr w:type="spellEnd"/>
      <w:r w:rsidRPr="00AF18C2">
        <w:rPr>
          <w:rFonts w:ascii="Arial" w:hAnsi="Arial" w:cs="Arial"/>
          <w:sz w:val="18"/>
          <w:szCs w:val="18"/>
        </w:rPr>
        <w:t xml:space="preserve">, por parte de ocho países miembros —adicionales a los 2 </w:t>
      </w:r>
      <w:proofErr w:type="spellStart"/>
      <w:r w:rsidRPr="00AF18C2">
        <w:rPr>
          <w:rFonts w:ascii="Arial" w:hAnsi="Arial" w:cs="Arial"/>
          <w:sz w:val="18"/>
          <w:szCs w:val="18"/>
        </w:rPr>
        <w:t>mbd</w:t>
      </w:r>
      <w:proofErr w:type="spellEnd"/>
      <w:r w:rsidRPr="00AF18C2">
        <w:rPr>
          <w:rFonts w:ascii="Arial" w:hAnsi="Arial" w:cs="Arial"/>
          <w:sz w:val="18"/>
          <w:szCs w:val="18"/>
        </w:rPr>
        <w:t xml:space="preserve"> previamente acordados en octubre del año pasado—, mientras que Rusia anunció que prolongaría su recorte de 500 </w:t>
      </w:r>
      <w:proofErr w:type="spellStart"/>
      <w:r w:rsidRPr="00AF18C2">
        <w:rPr>
          <w:rFonts w:ascii="Arial" w:hAnsi="Arial" w:cs="Arial"/>
          <w:sz w:val="18"/>
          <w:szCs w:val="18"/>
        </w:rPr>
        <w:t>mbd</w:t>
      </w:r>
      <w:proofErr w:type="spellEnd"/>
      <w:r w:rsidRPr="00AF18C2">
        <w:rPr>
          <w:rFonts w:ascii="Arial" w:hAnsi="Arial" w:cs="Arial"/>
          <w:sz w:val="18"/>
          <w:szCs w:val="18"/>
        </w:rPr>
        <w:t xml:space="preserve"> implementado en marzo, en ambos casos para concluir hasta finales de 2023, lo que ejerció presión al alza sobre los precios. En el mercado del gas natural, los precios de las referencias estadounidense Henry Hub y la europea TTF disminuyeron 40.3 y 36.2%, respectivamente, entre el cierre del primer trimestre de 2023 y el cuarto trimestre de 2022. Lo anterior se debió a un consumo más moderado y una importante acumulación de inventarios tanto en EE.UU. como en Europa, impulsados por un invierno más cálido al anticipado. </w:t>
      </w:r>
    </w:p>
    <w:p w14:paraId="0A4AE6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 otras materias primas industriales, los metales en general presentaron incrementos durante el primer trimestre, respaldados por la recuperación de la demanda en China a partir de febrero, ya que se observó fortaleza en la inversión en infraestructura de activos fijos y en la producción industrial. En este sentido, los precios del </w:t>
      </w:r>
      <w:r w:rsidRPr="00AF18C2">
        <w:rPr>
          <w:rFonts w:ascii="Arial" w:hAnsi="Arial" w:cs="Arial"/>
          <w:sz w:val="18"/>
          <w:szCs w:val="18"/>
        </w:rPr>
        <w:lastRenderedPageBreak/>
        <w:t xml:space="preserve">aluminio, el cobre y el acero presentaron incrementos de 1.4, 7.5 y 56.5%, respectivamente, entre el cierre de marzo de 2023 y diciembre del año previo. Por su parte, en marzo de 2023 el índice de precios de los alimentos de la FAO continuó con su tendencia a la baja por duodécimo mes consecutivo y cayó 3.7% con respecto a diciembre. Los precios de los granos presentaron disminuciones, apoyados por la prórroga de la Iniciativa de Granos del Mar Negro que se firmó el 18 de marzo. En particular, el precio del trigo se redujo 12.6% en el acumulado del año al cierre del primer trimestre, debido a la mayor oferta proveniente de Rusia y a las mejores previsiones de cultivos en Australia y la Unión Europea. El precio del maíz disminuyó 2.7% trimestral por el inicio de cosechas en algunos países en América del Sur como Paraguay, Perú y Chile, así como la expectativa de una mayor producción en Brasil; mientras que el precio del arroz cayó 3.5% en el mismo periodo por las cosechas en curso en los principales países exportadores, como India, Tailandia y Vietnam. </w:t>
      </w:r>
    </w:p>
    <w:p w14:paraId="078BFAA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el contrario, algunos de los alimentos que presentaron incrementos en precios fueron el azúcar y la carne de res, de 13.7 y 8.7% respectivamente, entre los cierres de marzo de 2023 y diciembre de 2022. Lo anterior se debió, en el caso del azúcar, a las previsiones de una menor producción en China, India y Tailandia durante el año agrícola en curso a causa de efectos climatológicos adversos, mientras que en el caso de la carne de res se previó que la oferta de ganado en EE.UU. sería más baja en los próximos meses.</w:t>
      </w:r>
    </w:p>
    <w:p w14:paraId="512BB43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se observaron señales mixtas en la política monetaria de las principales economías avanzadas. En EE.UU., durante enero y febrero, la fortaleza de la demanda interna y las sorpresas positivas en los indicadores de empleo e inflación provocaron que los mercados revisaran al alza su estimación de tasa terminal, incluso por encima de las proyecciones de la FED en diciembre 2022, acompañado de un periodo prolongado de altas tasas de interés durante el resto del año sin descartar posibles recortes hacia el final del año.</w:t>
      </w:r>
    </w:p>
    <w:p w14:paraId="76E89F4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Ante los recientes episodios de estrés en el sector financiero, se observó un menor apetito por riesgo hacia los mercados emergentes y periodos de volatilidad en el mercado cambiario. El índice de volatilidad implícita (VIX), tras un periodo de relativa calma en los dos primeros meses del año, registró entre el 8 y 13 de marzo de 2023 un incrementó de 38.8% por la quiebra de los dos bancos regionales ya mencionados en EE.UU., seguido de múltiples vaivenes, incluyendo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una semana después, hasta el 23 de marzo tras la disipación relativa de los riesgos de contagio en el sector bancario después de la intervención inmediata por parte de las autoridades financieras.</w:t>
      </w:r>
    </w:p>
    <w:p w14:paraId="7B4FE05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la actividad económica aceleró su ritmo de crecimiento. Su desempeño fue superior al promedio registrado entre 2011 y 2019. Lo anterior obedeció, principalmente, al comportamiento positivo del sector servicios, cuyo crecimiento trimestral no se había visto desde 2006. Otros componentes de la actividad económica relacionados con la demanda interna crecieron en el primer trimestre de 2023. En particular destacaron el consumo privado, el cual registró el aumento más alto desde 2013, y la inversión en construcción no residencial, la cual acumuló cinco meses de alzas consecutivas. Los principales factores que impulsaron al consumo privado fueron la creación de empleo, el aumento de los salarios reales y el crédito interno. </w:t>
      </w:r>
    </w:p>
    <w:p w14:paraId="58622A2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 cifras del IMSS, se crearon 423 mil empleos, un aumento superior a los registros estadísticos desde 1982. Asimismo, la tasa de desempleo registró un mínimo histórico de 2.7% en febrero de 2023. A la par, en el primer bimestre de 2023, se observó un crecimiento de los salarios reales en 1.7% anual y un aumento real anual del crédito al consumo en 9.6% por parte de la banca comercial. En ese contexto, de acuerdo con la estimación oportuna del PIB al primer trimestre de 2023, la actividad económica registró un crecimiento de 3.9% anual y, con cifras ajustadas por estacionalidad, aumentó 1.1% trimestral por arriba del trimestre previo de 0.5%. Con dichos resultados, la actividad creció por sexto trimestre consecutivo. En particular, respecto al trimestre anterior y con cifras ajustadas por estacionalidad, las actividades secundarias crecieron 0.7% y las terciarias 1.5%, mientras que las agropecuarias retrocedieron 3.2%. Con base en la información del Indicador Global de la Actividad Económica (IGAE) en el bimestre de enero a febrero de 2023, la economía creció 0.9%, con cifras ajustadas por estacionalidad. </w:t>
      </w:r>
    </w:p>
    <w:p w14:paraId="6334C02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su interior, el aumento del IGAE se debió al crecimiento bimestral de 1.4% en los servicios, y de 0.7% en las actividades secundarias, lo cual compensó la caída bimestral de 4.4% en las actividades primarias. En cuanto al detalle de los sectores destacaron los siguientes resultados bimestrales con cifras ajustadas por estacionalidad: </w:t>
      </w:r>
    </w:p>
    <w:p w14:paraId="582D6CA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 reducción de 4.4% en el sector agropecuario se debió principalmente a las condiciones climatológicas del país. Entre enero y febrero de 2023, el 44.0% del territorio nacional presentó condiciones de sequías, superior al </w:t>
      </w:r>
      <w:r w:rsidRPr="00AF18C2">
        <w:rPr>
          <w:rFonts w:ascii="Arial" w:hAnsi="Arial" w:cs="Arial"/>
          <w:sz w:val="18"/>
          <w:szCs w:val="18"/>
        </w:rPr>
        <w:lastRenderedPageBreak/>
        <w:t xml:space="preserve">14.1% registrado en el promedio histórico de 2011 a 2019. Lo anterior, debido al fenómeno de La Niña que estuvo presente en dichos meses y que redujo las precipitaciones, principalmente, en la región noroeste del país. </w:t>
      </w:r>
    </w:p>
    <w:p w14:paraId="53DDB78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El sector industrial registró un aumento bimestral de 0.7%, superior a su promedio histórico de 0.1%, con lo que hiló ocho bimestres de crecimiento consecutivo. Lo anterior derivado de los incrementos en la minería, la energía eléctrica y las manufacturas, los cuales más que compensaron el retroceso del sector de la construcción. </w:t>
      </w:r>
    </w:p>
    <w:p w14:paraId="1D7B66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continuación, se describe el detalle de enero a febrero respecto al bimestre previo, con cifras ajustadas por estacionalidad: </w:t>
      </w:r>
    </w:p>
    <w:p w14:paraId="3293D7E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minería aumentó 3.6%, lo cual fue superior al histórico de - 1.1% y creció de manera consecutiva por dos bimestres, derivado del crecimiento de todos sus subsectores. La extracción de petróleo y gas se incrementó en 1.5%, la minería de minerales metálicos y no metálicos aumentó en 2.1% y los servicios relacionados en 12.4%. </w:t>
      </w:r>
    </w:p>
    <w:p w14:paraId="34243F8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generación de energía eléctrica, suministro de agua y gas aumentó en 1.5%, por arriba de su promedio histórico de 1.0% y se incrementó por dos bimestres al hilo, derivado del incremento de 1.9% para energía eléctrica y 0.5% para el suministro de agua y gas. o En cuanto a la construcción, esta presentó una caída de 0.3% que se explicó por la contracción de las obras de ingeniería civil y trabajos especializados de 5.8 y 4.8%, respectivamente. No obstante, la edificación creció en 1.1%, dos bimestres al alza e igual a su promedio histórico entre 2011 a 2019. </w:t>
      </w:r>
    </w:p>
    <w:p w14:paraId="2A955CB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Las manufacturas aumentaron en 0.6%, ligeramente por arriba de su promedio histórico de 0.5%. Lo anterior se explicó por los crecimientos de 13 de los 21 subsectores, entre los que destacaron las industrias de los alimentos procesados (1.4%), el equipo de transporte (0.5%), la industria química (1.8%), la industria de las bebidas y tabaco (2.6%), la fabricación de aparatos eléctricos (2.4%) y la fabricación de las prendas de vestir (5.5%). Por otra parte, algunas de las actividades que retrocedieron fueron las industrias de la fabricación de equipo de computación (- 2.7%), la fabricación de maquinaria y equipo (- 2.3%), las industrias de metálicas básicas (- 1.2%) y las industrias de los derivados de petróleo y el carbón (- 7.2%). </w:t>
      </w:r>
    </w:p>
    <w:p w14:paraId="71CD8A2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Las actividades terciarias registraron el mejor desempeño al aumentar 1.4%, luego de la caída de 0.7% en el bimestre anterior. Con esto, su crecimiento fue tres veces mayor respecto a su promedio histórico. En su interior, y con cifras ajustadas por estacionalidad, el comportamiento fue el siguiente: </w:t>
      </w:r>
    </w:p>
    <w:p w14:paraId="2852BE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Se registraron aumentos en siete de sus nueve subsectores, entre los que destacó el incremento de 6.6% en los servicios de alojamiento temporal y preparación de alimentos, 4.6% en los servicios de transporte, 3.9% en los servicios profesionales y 3.5% en el comercio al por menor. </w:t>
      </w:r>
    </w:p>
    <w:p w14:paraId="69FC77F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Adicionalmente, el componente de servicios financieros y de seguros, inmobiliarios y de alquiler de bienes muebles e intangibles hiló siete bimestres de aumentos consecutivos, después de aumentar 0.4% en el primer bimestre de 2023, lo cual fue dos veces por arriba de su promedio histórico de 2011 a 2019. </w:t>
      </w:r>
    </w:p>
    <w:p w14:paraId="1592DDD4" w14:textId="77777777" w:rsidR="00AF18C2" w:rsidRPr="00AF18C2" w:rsidRDefault="00AF18C2" w:rsidP="00AF18C2">
      <w:pPr>
        <w:tabs>
          <w:tab w:val="left" w:pos="284"/>
        </w:tabs>
        <w:ind w:left="284"/>
        <w:jc w:val="both"/>
        <w:rPr>
          <w:rFonts w:ascii="Arial" w:hAnsi="Arial" w:cs="Arial"/>
          <w:sz w:val="18"/>
          <w:szCs w:val="18"/>
        </w:rPr>
      </w:pPr>
      <w:proofErr w:type="gramStart"/>
      <w:r w:rsidRPr="00AF18C2">
        <w:rPr>
          <w:rFonts w:ascii="Arial" w:hAnsi="Arial" w:cs="Arial"/>
          <w:sz w:val="18"/>
          <w:szCs w:val="18"/>
        </w:rPr>
        <w:t>o</w:t>
      </w:r>
      <w:proofErr w:type="gramEnd"/>
      <w:r w:rsidRPr="00AF18C2">
        <w:rPr>
          <w:rFonts w:ascii="Arial" w:hAnsi="Arial" w:cs="Arial"/>
          <w:sz w:val="18"/>
          <w:szCs w:val="18"/>
        </w:rPr>
        <w:t xml:space="preserve"> Por otro lado, se registraron reducciones en las actividades del gobierno y de organismos internacionales (- 1.6%) y los servicios educativos, de salud y asistencia social (- 0.2%). Su desempeño fue inferior al registrado en el promedio histórico de 2011 a 2019 para el mismo bimestre.</w:t>
      </w:r>
    </w:p>
    <w:p w14:paraId="56C0573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al desempeño del PIB por el lado del gasto, las últimas cifras publicadas al cuarto trimestre del 2022 indicaron que la demanda agregada cayó 0.1% respecto al trimestre anterior, con cifras ajustas por estacionalidad. Lo anterior se explicó por la contracción en las exportaciones de 5.0% trimestral afectadas por las exportaciones no petroleras que disminuyeron 6.1%. No obstante, la inversión total creció 3.0% trimestral con lo cual superó en 1.8% su nivel del cuarto trimestre de 2019 y acumuló cuatro trimestres de crecimiento trimestral consecutivo. En su interior, destacó el crecimiento de 8.9% trimestral de la inversión pública, con lo que se registró la más alta contribución anual positiva a la demanda agregada desde 2008. </w:t>
      </w:r>
    </w:p>
    <w:p w14:paraId="2AFA8A9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Mientras tanto, la inversión privada aumentó 2.2% trimestral, con crecimientos trimestrales en todo 2022. Por otra parte, el consumo total se incrementó en 0.5% trimestral e hiló cinco trimestres consecutivos al alza. Lo anterior se explicó por el componente privado que, con el crecimiento de 0.5% trimestral, acumuló diez trimestres consecutivos de incrementos continuos. Respecto a la demanda interna, con el dato más reciente de enero de 2023, el consumo privado interior aumentó 1.6% mensual, lo cual fue el crecimiento más alto desde 2013 para un mismo mes y registró dos meses consecutivos al alza. En su interior, el componente de bienes importados presentó un </w:t>
      </w:r>
      <w:r w:rsidRPr="00AF18C2">
        <w:rPr>
          <w:rFonts w:ascii="Arial" w:hAnsi="Arial" w:cs="Arial"/>
          <w:sz w:val="18"/>
          <w:szCs w:val="18"/>
        </w:rPr>
        <w:lastRenderedPageBreak/>
        <w:t xml:space="preserve">crecimiento mensual de 10.6% derivado de los bienes duraderos; mientras que el consumo de bienes de origen nacional aumentó en 0.9% mensual, también por los bienes duraderos que además hilaron cuatro meses al alza. </w:t>
      </w:r>
    </w:p>
    <w:p w14:paraId="7774956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 los servicios, su aumento de 0.7% mensual lo ubicó 1.9% por arriba de su nivel de febrero de 2020. Con base en la información de la ANTAD, las ventas totales en los supermercados, autoservicios y tiendas departamentales afiliados a la asociación reportaron un crecimiento trimestral de 0.2% durante el primer trimestre de 2023, con cifras ajustadas por estacionalidad</w:t>
      </w:r>
      <w:proofErr w:type="gramStart"/>
      <w:r w:rsidRPr="00AF18C2">
        <w:rPr>
          <w:rFonts w:ascii="Arial" w:hAnsi="Arial" w:cs="Arial"/>
          <w:sz w:val="18"/>
          <w:szCs w:val="18"/>
        </w:rPr>
        <w:t>3 .</w:t>
      </w:r>
      <w:proofErr w:type="gramEnd"/>
      <w:r w:rsidRPr="00AF18C2">
        <w:rPr>
          <w:rFonts w:ascii="Arial" w:hAnsi="Arial" w:cs="Arial"/>
          <w:sz w:val="18"/>
          <w:szCs w:val="18"/>
        </w:rPr>
        <w:t xml:space="preserve"> Lo anterior, derivado del crecimiento de 0.7% mensual en enero, el cual más que compensó los retrocesos a tasa mensual de 0.5% en febrero y 0.9% en marzo. Por tipo de tienda, los mayores aumentos respecto al trimestre anterior se registraron en autoservicios; y por tipo de mercancía, se observaron incrementos en ropa y calzado. </w:t>
      </w:r>
    </w:p>
    <w:p w14:paraId="388AA6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su parte, la inversión fija bruta registró una caída en enero de 0.5% respecto al mes anterior debido a la disminución de la inversión en construcción de 0.6% y el crecimiento moderado del componente de maquinaria y equipo en 0.1%. Al interior del rubro de la construcción, el componente residencial cayó 0.7% mensual, mientras que la no residencial aumentó en 0.4% mensual con lo que acumularon cinco meses de crecimientos continuos y creció por arriba de su promedio histórico de 2011 a 2019. Por su parte, el componente importado de la maquinaria y equipo se contrajo 1.7% mensual, mientras que el componente nacional aumentó 2.3% mensual por arriba de su promedio histórico para el mismo mes y registró cuatro meses consecutivos de crecimientos.</w:t>
      </w:r>
    </w:p>
    <w:p w14:paraId="3DBA5FE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 la ENOE, durante los primeros meses de 2023, la mayoría de los indicadores del mercado laboral registraron resultados positivos. Por un lado, se registraron caídas en la población ocupada en 2023, al igual que lo que ha sucedido para el primer bimestre de cada año desde que inició la encuesta en 2005. No obstante, este retroceso bimestral fue el más bajo desde que se tiene registro, al disminuir únicamente en 52 mil personas. En su interior, el sector formal registró una reducción bimestral de 93 mil personas, lo cual fue menor que la caída de 249 mil personas del promedio histórico para el periodo 2011 a 2019. Por su parte, en el sector informal, la población ocupada aumentó en 41 mil empleos. Por sectores económicos, el mejor desempeño en el empleo se registró en los servicios al aumentar en 100 mil la población ocupada en el bimestre. En su interior, destacó el incremento en los trabajadores del sector de comercio en 197 mil, seguido del gobierno y organismos internacionales y transporte en 81 mil cada uno, los servicios diversos en 47 mil, y los restaurantes y servicios de alojamiento en 25 mil. Respecto al sector secundario, se registró un aumento bimestral de 23 mil personas por las manufacturas que se incrementaron en 65 mil y acumularon dos bimestres consecutivos al alza. </w:t>
      </w:r>
    </w:p>
    <w:p w14:paraId="7A60F56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logró compensar los retrocesos del sector construcción y la industria extractiva en 33 y 10 mil personas, respectivamente. Por otro lado, el sector primario registró una caída bimestral de 138 mil personas. Adicionalmente, otros indicadores laborales registraron niveles históricos en el primer bimestre de 2023. Por un lado, la tasa de participación se ubicó en 60.2% en el primer bimestre de 2023, lo cual representó un máximo histórico. Lo anterior se debió, principalmente, al aumento de la población ocupada de las mujeres con trabajos de tiempo completo derivado de la mejora en las condiciones epidemiológicas y las reformas en materia laboral implementadas por esta administración. Así, la tasa de participación de las mujeres fue de 45.8% en el primer bimestre del año, la más alta desde 2005. Lo anterior no presionó a la tasa de informalidad, ya que ésta se ubicó en 55.2% en el bimestre, lo cual fue marginalmente mayor al bimestre anterior en sólo 0.1 pp. Ello se podría explicar por las reformas en materia laboral implementadas desde 2018, las cuales favorecen la formalidad como la que incentiva el registro a la seguridad social de las trabajadoras del hogar. </w:t>
      </w:r>
    </w:p>
    <w:p w14:paraId="445BF4D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Por otro lado, la tasa de desempleo registró un mínimo histórico para un primer bimestre desde que inició la ENOE, al ubicarse en 2.9% promedio de enero y febrero. También resaltó que en febrero se alcanzó el nivel más bajo para la tasa de desocupación desde el inicio de la encuesta en 2005. En cuanto a la población sub-ocupada, que es aquella que está dispuesta a trabajar más horas, se registró un aumento respecto al bimestre anterior de 59 mil personas; sin embargo, en términos anuales disminuyó en 716 mil personas. Así, la tasa de subocupación mostró un ligero aumento de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bimestre anterior. Por otro lado, la población disponible disminuyó en 222 mil personas respecto al bimestre de noviembre y diciembre de 2022, con lo cual acumuló seis bimestres con caídas consecutivas. Destacó también la reducción de 224 mil personas de la población disponible que no buscaron empleo porque consideran que no tienen posibilidades de encontrarlo, mientras que aumentaron en 2 mil las personas que desistieron de buscar empleo. </w:t>
      </w:r>
    </w:p>
    <w:p w14:paraId="451F659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del IMSS, a marzo de 2023 se crearon 423 mil plazas, cifra récord para un periodo similar desde que se inició el registro en 1982. Con cifras ajustadas por estacionalidad, el empleo formal en marzo aumentó en 242 mil respecto al cierre de 2022, con lo que se registraron 33 meses consecutivos de alza mensual. </w:t>
      </w:r>
      <w:r w:rsidRPr="00AF18C2">
        <w:rPr>
          <w:rFonts w:ascii="Arial" w:hAnsi="Arial" w:cs="Arial"/>
          <w:sz w:val="18"/>
          <w:szCs w:val="18"/>
        </w:rPr>
        <w:lastRenderedPageBreak/>
        <w:t>En su interior, el mayor aumento se registró en los empleos permanentes que se incrementaron en 201 mil durante marzo y sumaron ocho meses de alzas mensuales consecutivas. Por su parte, los empleos eventuales crecieron en 58 mil a marzo, cifra superior a las 8 mil plazas registradas de octubre a diciembre de 2022. La información sectorial del empleo del IMSS, con cifras ajustadas por estacionalidad, mostró aumentos en valores absolutos respecto al trimestre anterior en los siguientes subsectores: agropecuario (6 mil), construcción (44 mil), manufacturas (42 mil), comercio (63 mil), servicios de transportes (28 mil) y, los servicios de empresas y hogares (74 mil). Cabe destacar que los siguientes subsectores registraron alzas trimestrales consecutivas: las manufacturas, el transporte y la construcción con 11 trimestres respectivamente, el comercio con 10, y los servicios de empresas y hogares con seis. Además, la construcción y el comercio registraron sus mayores crecimientos trimestrales para un primer trimestre desde que se tiene registro.</w:t>
      </w:r>
    </w:p>
    <w:p w14:paraId="063381C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al empleo del IMSS por entidad federativa, en el primer trimestre de 2023 se registraron alzas superiores al crecimiento anual nacional de 3.8% para 17 entidades, entre las que destacaron Tabasco (10.9%), Baja California Sur (10.2%) y Quintana Roo (8.9%). Por otro lado, 15 entidades tuvieron crecimientos anuales en el trimestre por debajo del promedio nacional, como por ejemplo Tamaulipas y Durango con 0.2 y 0.7% respectivamente. Mientras tanto, Zacatecas fue la única entidad con una ligera disminución de 0.1% trimestral. Los salarios correspondientes al IMSS registraron un crecimiento real promedio de 3.5% anual durante el primer trimestre de 2023, principalmente en los sectores de agricultura (7.7%) y construcción (7.0%), mientras que por regiones destacaron los aumentos del noroeste (5.6%) y el sureste (4.8%). Con información de la ENOE, el salario promedio real registró un incremento de 1.7% anual durante el primer bimestre de 2023, con lo que hiló tres meses de alzas continuas. Por su parte, los salarios contractuales de jurisdicción federal aumentaron 1.6% anual en términos reales, con crecimientos continuos desde noviembre de 2022.</w:t>
      </w:r>
    </w:p>
    <w:p w14:paraId="1CA3CCE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nivel de precios del consumidor, durante el primer trimestre de 2023 continuó la tendencia a la baja de la inflación general y su desempeño fue mejor que lo previsto por el consenso de analistas. Lo anterior obedeció, principalmente, a la disminución del componente no subyacente por las menores variaciones anuales en pecuarios y energéticos. Estos resultados fueron apoyados por los menores precios de materias primas a nivel internacional, la continua normalización de las cadenas de valor, las mejores condiciones de la gripe aviar a finales del trimestre, así como por los efectos de las políticas públicas en el marco del Paquete Contra la Inflación y la Carestía (PACIC). En este contexto, la inflación anual disminuyó durante el primer trimestre, al pasar de 7.91% en enero a 6.85% en marzo, con lo cual el promedio se ubicó en 7.46%, inferior en 0.55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el trimestre previo. Con lo anterior, se acumularon dos trimestres a la baja, de los cuales la caída del primer trimestre fue la más grande desde el inicio de la pandemia en 2020. En su interior, la inflación subyacente anual pasó de 8.45% en enero a 8.09% en marzo, con lo que promedió 8.28% anual y disminuyó 0.15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la mayor caída desde el segundo trimestre de 2019. Por su parte, la inflación no subyacente fue menor en 1.71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y sumó dos caídas trimestrales consecutivas. </w:t>
      </w:r>
    </w:p>
    <w:p w14:paraId="1CC678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manera particular, la tendencia de descenso en la inflación subyacente se observó en los rubros de mercancías alimenticias y no alimenticias con una menor inflación trimestral de 0.49 y 0.72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respectivamente. En cuanto a las mercancías alimenticias con una alta ponderación, destacaron las disminuciones respecto al cuarto trimestre de 2022 en la tortilla de maíz (- 1.68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pan dulce (- 2.88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leche (- 0.98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aceites y grasas comestibles (- 3.75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su parte, dentro de las mercancías no alimenticias con una alta ponderación, las mayores disminuciones trimestrales se observaron en detergentes (- 5.52 </w:t>
      </w:r>
      <w:proofErr w:type="spellStart"/>
      <w:r w:rsidRPr="00AF18C2">
        <w:rPr>
          <w:rFonts w:ascii="Arial" w:hAnsi="Arial" w:cs="Arial"/>
          <w:sz w:val="18"/>
          <w:szCs w:val="18"/>
        </w:rPr>
        <w:t>pp</w:t>
      </w:r>
      <w:proofErr w:type="spellEnd"/>
      <w:r w:rsidRPr="00AF18C2">
        <w:rPr>
          <w:rFonts w:ascii="Arial" w:hAnsi="Arial" w:cs="Arial"/>
          <w:sz w:val="18"/>
          <w:szCs w:val="18"/>
        </w:rPr>
        <w:t xml:space="preserve">), películas y música (- 5.30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blancos y otros textiles para el hogar (- 4.54 </w:t>
      </w:r>
      <w:proofErr w:type="spellStart"/>
      <w:r w:rsidRPr="00AF18C2">
        <w:rPr>
          <w:rFonts w:ascii="Arial" w:hAnsi="Arial" w:cs="Arial"/>
          <w:sz w:val="18"/>
          <w:szCs w:val="18"/>
        </w:rPr>
        <w:t>pp</w:t>
      </w:r>
      <w:proofErr w:type="spellEnd"/>
      <w:r w:rsidRPr="00AF18C2">
        <w:rPr>
          <w:rFonts w:ascii="Arial" w:hAnsi="Arial" w:cs="Arial"/>
          <w:sz w:val="18"/>
          <w:szCs w:val="18"/>
        </w:rPr>
        <w:t xml:space="preserve">) y neumáticos (- 4.43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cuanto a la inflación de los servicios, de manera trimestral se presentaron disminuciones para las loncherías, fondas, torterías y taquerías (- 0.47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restaurantes y similares (- 0.28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transporte escolar (- 2.20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servicios para mascotas (- 1.23 </w:t>
      </w:r>
      <w:proofErr w:type="spellStart"/>
      <w:r w:rsidRPr="00AF18C2">
        <w:rPr>
          <w:rFonts w:ascii="Arial" w:hAnsi="Arial" w:cs="Arial"/>
          <w:sz w:val="18"/>
          <w:szCs w:val="18"/>
        </w:rPr>
        <w:t>pp</w:t>
      </w:r>
      <w:proofErr w:type="spellEnd"/>
      <w:r w:rsidRPr="00AF18C2">
        <w:rPr>
          <w:rFonts w:ascii="Arial" w:hAnsi="Arial" w:cs="Arial"/>
          <w:sz w:val="18"/>
          <w:szCs w:val="18"/>
        </w:rPr>
        <w:t xml:space="preserve">). No obstante, el componente de servicios aumentó 0.31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previo derivado de que pesaron las alzas trimestrales en la inflación de vivienda (0.31%) y educación (0.24%).</w:t>
      </w:r>
    </w:p>
    <w:p w14:paraId="05107D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Respecto a la inflación no subyacente, destacaron las reducciones entre trimestres de la inflación en los subíndices de pecuarios (- 4.18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energéticos (- 2.22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el primer caso, los genéricos con mayores reducciones en el trimestre fueron el pollo (- 7.34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manteca de cerdo (- 5.43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la carne de res (- 5.21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los energéticos, los mayores retrocesos se registraron en el gas natural (- 18.36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gasolina de bajo octanaje (- 3.30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alto octanaje (- 2.72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otro lado, el alza de 0.39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el subíndice de frutas y verduras fue producto, principalmente, de los factores estacionales y climatológicos en ciertos genéricos como el chile serrano (61.87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el jitomate (43.61 </w:t>
      </w:r>
      <w:proofErr w:type="spellStart"/>
      <w:r w:rsidRPr="00AF18C2">
        <w:rPr>
          <w:rFonts w:ascii="Arial" w:hAnsi="Arial" w:cs="Arial"/>
          <w:sz w:val="18"/>
          <w:szCs w:val="18"/>
        </w:rPr>
        <w:t>pp</w:t>
      </w:r>
      <w:proofErr w:type="spellEnd"/>
      <w:r w:rsidRPr="00AF18C2">
        <w:rPr>
          <w:rFonts w:ascii="Arial" w:hAnsi="Arial" w:cs="Arial"/>
          <w:sz w:val="18"/>
          <w:szCs w:val="18"/>
        </w:rPr>
        <w:t>).</w:t>
      </w:r>
    </w:p>
    <w:p w14:paraId="4CD92E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En el periodo de enero a marzo, y con cifras ajustadas por estacionalidad, el valor de las exportaciones no petroleras se incrementó 1.5% respecto al trimestre anterior. En su interior, el valor de las exportaciones agropecuarias, manufactureras no automotrices y automotrices crecieron 1.7, 1.2 y 1.8%, respectivamente, con relación al trimestre previo. Por destino, el valor de las exportaciones manufactureras dirigidas a EE.UU. registró un aumento trimestral de 2.1%, mientras que las enviadas al resto del mundo disminuyeron 2.0%. Cabe destacar que, en el primer bimestre de 2023, debido a la alta integración con EE.UU., México se ubicó como su principal socio comercial, en donde las manufacturas mexicanas representaron el 15.2% de sus importaciones manufactureras, esto equivale a un aumento de 1.4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participación de México en el mismo periodo de 2022. Los productos que más aumentaron su participación fueron: muebles (8.7 </w:t>
      </w:r>
      <w:proofErr w:type="spellStart"/>
      <w:r w:rsidRPr="00AF18C2">
        <w:rPr>
          <w:rFonts w:ascii="Arial" w:hAnsi="Arial" w:cs="Arial"/>
          <w:sz w:val="18"/>
          <w:szCs w:val="18"/>
        </w:rPr>
        <w:t>pp</w:t>
      </w:r>
      <w:proofErr w:type="spellEnd"/>
      <w:r w:rsidRPr="00AF18C2">
        <w:rPr>
          <w:rFonts w:ascii="Arial" w:hAnsi="Arial" w:cs="Arial"/>
          <w:sz w:val="18"/>
          <w:szCs w:val="18"/>
        </w:rPr>
        <w:t xml:space="preserve">), embarcaciones (7.2 </w:t>
      </w:r>
      <w:proofErr w:type="spellStart"/>
      <w:r w:rsidRPr="00AF18C2">
        <w:rPr>
          <w:rFonts w:ascii="Arial" w:hAnsi="Arial" w:cs="Arial"/>
          <w:sz w:val="18"/>
          <w:szCs w:val="18"/>
        </w:rPr>
        <w:t>pp</w:t>
      </w:r>
      <w:proofErr w:type="spellEnd"/>
      <w:r w:rsidRPr="00AF18C2">
        <w:rPr>
          <w:rFonts w:ascii="Arial" w:hAnsi="Arial" w:cs="Arial"/>
          <w:sz w:val="18"/>
          <w:szCs w:val="18"/>
        </w:rPr>
        <w:t xml:space="preserve">), electrodomésticos (7.0 </w:t>
      </w:r>
      <w:proofErr w:type="spellStart"/>
      <w:r w:rsidRPr="00AF18C2">
        <w:rPr>
          <w:rFonts w:ascii="Arial" w:hAnsi="Arial" w:cs="Arial"/>
          <w:sz w:val="18"/>
          <w:szCs w:val="18"/>
        </w:rPr>
        <w:t>pp</w:t>
      </w:r>
      <w:proofErr w:type="spellEnd"/>
      <w:r w:rsidRPr="00AF18C2">
        <w:rPr>
          <w:rFonts w:ascii="Arial" w:hAnsi="Arial" w:cs="Arial"/>
          <w:sz w:val="18"/>
          <w:szCs w:val="18"/>
        </w:rPr>
        <w:t xml:space="preserve">), otro equipo de transporte (5.0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herrajes (4.5 </w:t>
      </w:r>
      <w:proofErr w:type="spellStart"/>
      <w:r w:rsidRPr="00AF18C2">
        <w:rPr>
          <w:rFonts w:ascii="Arial" w:hAnsi="Arial" w:cs="Arial"/>
          <w:sz w:val="18"/>
          <w:szCs w:val="18"/>
        </w:rPr>
        <w:t>pp</w:t>
      </w:r>
      <w:proofErr w:type="spellEnd"/>
      <w:r w:rsidRPr="00AF18C2">
        <w:rPr>
          <w:rFonts w:ascii="Arial" w:hAnsi="Arial" w:cs="Arial"/>
          <w:sz w:val="18"/>
          <w:szCs w:val="18"/>
        </w:rPr>
        <w:t>), principalmente. Por su parte, el valor de las importaciones no petroleras registró un crecimiento de 0.8% respecto al trimestre previo, una vez descontado el efecto estacional. Sus componentes, registraron incrementos en los rubros de bienes de consumo (15.9%) y de bienes de capital (7.1%), con ello este último componente acumuló 11 trimestres consecutivos al alza; en tanto que los bienes intermedios no petroleros disminuyeron 1.9%.</w:t>
      </w:r>
    </w:p>
    <w:p w14:paraId="1080D39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adición a lo anterior, durante el primer bimestre de 2023, el flujo de remesas creció 1.4% respecto al bimestre previo, con información ajustada por estacionalidad, con lo que se acumuló un flujo de 10 mil 408 millones de dólares, nivel máximo histórico para el mismo periodo. No obstante, la ligera reducción del número de trabajadores de origen mexicano en EE.UU. de 0.4% respecto al periodo de noviembre a diciembre del año previo. Por otra parte, el turismo continuó con su tendencia al alza con niveles históricos en indicadores como ingresos por turismo internacional y la entrada aérea de pasajeros internacionales. Entre enero y febrero de 2023, los ingresos por turismo internacional crecieron 32.4% respecto al año anterior, con lo que acumuló un nivel récord de 5 mil 422 millones de dólares. En tanto que se registró la entrada de 3.7 millones de visitantes extranjeros por vía aérea, principalmente de EE.UU. y Canadá, lo cual fue el mayor monto para un mismo bimestre desde que se tiene registro en 2012.</w:t>
      </w:r>
    </w:p>
    <w:p w14:paraId="16C8C64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Finalmente, México registró una salida de recursos al exterior, después de entradas netas de capitales por tres trimestres consecutivos, de tal forma que en el cuarto trimestre de 2022 la cuenta financiera de la balanza de pagos registró un préstamo neto frente al resto del mundo por 4 mil 550 millones de dólares, mayor al observado en el mismo trimestre de 2021 (674 millones de dólares). Dicho incremento anual se atribuye a que el rubro de otra inversión registró una salida de recursos de 9 mil 931 millones de dólares, luego de cinco trimestres consecutivos de entradas, como resultado de la adquisición neta de activos por las Sociedades no financieras, Hogares e Instituciones sin fines de lucro al servicio de los hogares (ISFLSH), principalmente. Asimismo, se registró un endeudamiento neto en los derivados financieros de 932 millones de dólares, ligeramente mayor al del cuarto trimestre de 2021 de 817 millones de dólares. Lo anterior fue compensado por entradas de recursos registradas en inversión de cartera por 3 mil 202 millones de dólares en el cuarto trimestre de 2022 que contrasta con la salida de recursos por 14 mil 476 millones de dólares del mismo periodo del año previo. </w:t>
      </w:r>
    </w:p>
    <w:p w14:paraId="641C28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tanto, los activos de reserva tuvieron un endeudamiento neto de 2 mil 868 millones de dólares, menor a la entrada de recursos por 4 mil 161 millones de dólares del cuarto trimestre del 2021. Por su parte, la inversión directa registró una entrada por 243 millones de dólares, monto menor a los 7 mil 747 millones registrados en el mismo periodo del año previo. Dentro de este concepto destaca la inversión extranjera directa (IED), la cual de enero a diciembre de 2022 se ubicó en 35 mil 292 millones de dólares, y que se compara favorablemente contra el promedio 2011 a 2019 para un mismo periodo (32 mil 879 millones de dólares), apoyada por el creciente interés de inversionistas por aprovechar las condiciones competitivas de México con respecto a otras economías.</w:t>
      </w:r>
    </w:p>
    <w:p w14:paraId="555DB2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sistema financiero mexicano se mostró sólido durante el primer trimestre de 2023, a pesar de los episodios de volatilidad asociados a la incertidumbre sobre la tasa terminal de la FED y a un posible riesgo de contagio en el sistema financiero internacional tras la quiebra de dos bancos regionales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en Europa. Con respecto al sector bancario, su principal fuente de financiamiento provino de depósitos de exigibilidad inmediata, lo que reduce los riesgos de liquidez y la exposición a los ciclos y choques financieros de las economías avanzadas. En febrero de 2023, este tipo de depósitos representó en promedio cerca del 90% del financiamiento de corto plazo para los tres bancos más grandes medidos por su nivel de activos, que son BBVA, Citibanamex y Banorte; seguido de las obligaciones subordinadas en 4.5%, los títulos emitidos en 4.1% y los préstamos interbancarios con 1.6%.</w:t>
      </w:r>
    </w:p>
    <w:p w14:paraId="37DF421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4827E20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trimestre octubre-diciembre de 2022, a tasa trimestral y con cifras ajustadas estacionalmente, las entidades federativas que mostraron los aumentos más pronunciados en su actividad económica fueron: Oaxaca, Quintana Roo, México, Michoacán de Ocampo y Tabasco. En el cuarto trimestre de 2022, a tasa anual y con cifras desestacionalizadas, los estados que reportaron los avances más significativos en su actividad económica fueron: Oaxaca, Hidalgo, Quintana Roo, Tabasco y Puebla.</w:t>
      </w:r>
    </w:p>
    <w:p w14:paraId="5396F1CD" w14:textId="1866DCEF"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mc:AlternateContent>
          <mc:Choice Requires="wps">
            <w:drawing>
              <wp:anchor distT="0" distB="0" distL="114300" distR="114300" simplePos="0" relativeHeight="251709440" behindDoc="0" locked="0" layoutInCell="1" allowOverlap="1" wp14:anchorId="52EF9601" wp14:editId="3F1C4A4F">
                <wp:simplePos x="0" y="0"/>
                <wp:positionH relativeFrom="margin">
                  <wp:posOffset>4730695</wp:posOffset>
                </wp:positionH>
                <wp:positionV relativeFrom="paragraph">
                  <wp:posOffset>2890768</wp:posOffset>
                </wp:positionV>
                <wp:extent cx="147955" cy="52705"/>
                <wp:effectExtent l="19050" t="38100" r="61595" b="61595"/>
                <wp:wrapNone/>
                <wp:docPr id="884693783" name="Flecha: a l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188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372.5pt;margin-top:227.6pt;width:11.65pt;height:4.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8416" behindDoc="0" locked="0" layoutInCell="1" allowOverlap="1" wp14:anchorId="4C5A79DB" wp14:editId="2AC17E45">
                <wp:simplePos x="0" y="0"/>
                <wp:positionH relativeFrom="margin">
                  <wp:posOffset>3196701</wp:posOffset>
                </wp:positionH>
                <wp:positionV relativeFrom="paragraph">
                  <wp:posOffset>2799190</wp:posOffset>
                </wp:positionV>
                <wp:extent cx="147955" cy="52705"/>
                <wp:effectExtent l="19050" t="38100" r="61595" b="61595"/>
                <wp:wrapNone/>
                <wp:docPr id="154424586"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BE234F" id="Flecha: a la derecha 10" o:spid="_x0000_s1026" type="#_x0000_t13" style="position:absolute;margin-left:251.7pt;margin-top:220.4pt;width:11.65pt;height:4.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7392" behindDoc="0" locked="0" layoutInCell="1" allowOverlap="1" wp14:anchorId="4601AA10" wp14:editId="24275952">
                <wp:simplePos x="0" y="0"/>
                <wp:positionH relativeFrom="margin">
                  <wp:posOffset>48343</wp:posOffset>
                </wp:positionH>
                <wp:positionV relativeFrom="paragraph">
                  <wp:posOffset>3619030</wp:posOffset>
                </wp:positionV>
                <wp:extent cx="147955" cy="52705"/>
                <wp:effectExtent l="19050" t="38100" r="61595" b="61595"/>
                <wp:wrapNone/>
                <wp:docPr id="20"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54FE41" id="Flecha: a la derecha 9" o:spid="_x0000_s1026" type="#_x0000_t13" style="position:absolute;margin-left:3.8pt;margin-top:284.95pt;width:11.65pt;height: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w:drawing>
          <wp:inline distT="0" distB="0" distL="0" distR="0" wp14:anchorId="48E60A0B" wp14:editId="51FF6253">
            <wp:extent cx="2733746" cy="4309607"/>
            <wp:effectExtent l="0" t="0" r="0" b="0"/>
            <wp:docPr id="9451538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7238" t="21111" r="38321" b="12560"/>
                    <a:stretch>
                      <a:fillRect/>
                    </a:stretch>
                  </pic:blipFill>
                  <pic:spPr bwMode="auto">
                    <a:xfrm>
                      <a:off x="0" y="0"/>
                      <a:ext cx="2753372" cy="4340547"/>
                    </a:xfrm>
                    <a:prstGeom prst="rect">
                      <a:avLst/>
                    </a:prstGeom>
                    <a:noFill/>
                    <a:ln>
                      <a:noFill/>
                    </a:ln>
                  </pic:spPr>
                </pic:pic>
              </a:graphicData>
            </a:graphic>
          </wp:inline>
        </w:drawing>
      </w:r>
      <w:r w:rsidRPr="00AF18C2">
        <w:rPr>
          <w:rFonts w:ascii="Arial" w:hAnsi="Arial" w:cs="Arial"/>
          <w:sz w:val="18"/>
          <w:szCs w:val="18"/>
        </w:rPr>
        <w:t xml:space="preserve"> </w:t>
      </w:r>
      <w:r w:rsidRPr="00DE1C7A">
        <w:rPr>
          <w:noProof/>
          <w:lang w:eastAsia="es-MX"/>
        </w:rPr>
        <w:drawing>
          <wp:inline distT="0" distB="0" distL="0" distR="0" wp14:anchorId="123A2191" wp14:editId="3786ADB9">
            <wp:extent cx="2976654" cy="4245030"/>
            <wp:effectExtent l="0" t="0" r="0" b="3175"/>
            <wp:docPr id="17509575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2150" t="23889" r="31714" b="11272"/>
                    <a:stretch>
                      <a:fillRect/>
                    </a:stretch>
                  </pic:blipFill>
                  <pic:spPr bwMode="auto">
                    <a:xfrm>
                      <a:off x="0" y="0"/>
                      <a:ext cx="2983096" cy="4254217"/>
                    </a:xfrm>
                    <a:prstGeom prst="rect">
                      <a:avLst/>
                    </a:prstGeom>
                    <a:noFill/>
                    <a:ln>
                      <a:noFill/>
                    </a:ln>
                  </pic:spPr>
                </pic:pic>
              </a:graphicData>
            </a:graphic>
          </wp:inline>
        </w:drawing>
      </w:r>
    </w:p>
    <w:p w14:paraId="60C72C3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14:paraId="584957E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cuarto trimestre de 2022, el Indicador Trimestral de la Actividad Económica Estatal (ITAEE), muestra que el Estado de Tlaxcala ha tenido un crecimiento positivo, en relación al trimestre anterior y al mismo periodo de 2021; con una variación del 1.1%, destacándose la aportación del sector primario con un 5.3% a tasa anualizada.</w:t>
      </w:r>
    </w:p>
    <w:p w14:paraId="468EC27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tasa anual y con series ajustadas por estacionalidad, los estados que reportaron los crecimientos más significativos en su actividad económica, en el trimestre de referencia, fueron: Oaxaca, Hidalgo, Quintana Roo, Tabasco y Puebla. </w:t>
      </w:r>
    </w:p>
    <w:p w14:paraId="1F3731A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cuarto trimestre de 2022 y a tasa anual, la variación nacional del total de la economía 20 entidades federativas crecieron más que el país y la mitad presentan caídas en sus economías en el cuarto trimestre de 2022. Las entidades con los mayores crecimientos han sido, Oaxaca (6.5%), Quintana Roo (6.3%) y México (2.4%), mientras que las mayores caídas se observaron en Aguascalientes (-3.2%), Nayarit (-2.6%) y Zacatecas (-2.3%).</w:t>
      </w:r>
    </w:p>
    <w:p w14:paraId="3EEE3AD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la variación anualizada, que compara el cuarto trimestre del 2022 con el también cuarto trimestre de 2021, nueve entidades federativas presentan variaciones negativas y solo 11 crecieron más que el país. Los mejores lugares son para Oaxaca (13.2%), Hidalgo (9.6%) y Quintana Roo (8.7%). Los últimos corresponden a Campeche (-3.3%), Morelos (-2.1%) y Veracruz (-1.6%).</w:t>
      </w:r>
    </w:p>
    <w:p w14:paraId="32542F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4B6C639A" w14:textId="77777777" w:rsid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mes de mayo de 2023 la tasa de ocupación reflejó una participación del 0.52% al total nacional, presentando un incremento de 4,472, puestos de trabajo permanentes respecto a diciembre de 2022. Al mes de mayo de 2023, se tienen registrados 114,356 trabajadores asegurados en el IMSS, tal y como se muestra en los cuadros siguientes:</w:t>
      </w:r>
    </w:p>
    <w:p w14:paraId="7FF458A6" w14:textId="77777777" w:rsidR="00F31DD1" w:rsidRPr="00AF18C2" w:rsidRDefault="00F31DD1" w:rsidP="00AF18C2">
      <w:pPr>
        <w:tabs>
          <w:tab w:val="left" w:pos="284"/>
        </w:tabs>
        <w:ind w:left="284"/>
        <w:jc w:val="both"/>
        <w:rPr>
          <w:rFonts w:ascii="Arial" w:hAnsi="Arial" w:cs="Arial"/>
          <w:sz w:val="18"/>
          <w:szCs w:val="18"/>
        </w:rPr>
      </w:pPr>
    </w:p>
    <w:p w14:paraId="0BB8B442" w14:textId="042DFB14"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1F0B77C0" wp14:editId="21D1CC5A">
            <wp:extent cx="5943600" cy="4723075"/>
            <wp:effectExtent l="0" t="0" r="0" b="1905"/>
            <wp:docPr id="18801095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8566" t="28197" r="28764" b="14259"/>
                    <a:stretch>
                      <a:fillRect/>
                    </a:stretch>
                  </pic:blipFill>
                  <pic:spPr bwMode="auto">
                    <a:xfrm>
                      <a:off x="0" y="0"/>
                      <a:ext cx="5950852" cy="4728838"/>
                    </a:xfrm>
                    <a:prstGeom prst="rect">
                      <a:avLst/>
                    </a:prstGeom>
                    <a:noFill/>
                    <a:ln>
                      <a:noFill/>
                    </a:ln>
                  </pic:spPr>
                </pic:pic>
              </a:graphicData>
            </a:graphic>
          </wp:inline>
        </w:drawing>
      </w:r>
    </w:p>
    <w:p w14:paraId="47E80950" w14:textId="77777777" w:rsidR="00AF18C2" w:rsidRPr="00AF18C2" w:rsidRDefault="00AF18C2" w:rsidP="00AF18C2">
      <w:pPr>
        <w:tabs>
          <w:tab w:val="left" w:pos="284"/>
        </w:tabs>
        <w:ind w:left="284"/>
        <w:jc w:val="both"/>
        <w:rPr>
          <w:rFonts w:ascii="Arial" w:hAnsi="Arial" w:cs="Arial"/>
          <w:sz w:val="18"/>
          <w:szCs w:val="18"/>
        </w:rPr>
      </w:pPr>
    </w:p>
    <w:p w14:paraId="2BBA2AE4" w14:textId="01298716"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lastRenderedPageBreak/>
        <w:drawing>
          <wp:inline distT="0" distB="0" distL="0" distR="0" wp14:anchorId="15FDD293" wp14:editId="70156DFD">
            <wp:extent cx="5943600" cy="4341495"/>
            <wp:effectExtent l="0" t="0" r="0" b="1905"/>
            <wp:docPr id="159520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3303" t="22646" r="22878" b="7544"/>
                    <a:stretch>
                      <a:fillRect/>
                    </a:stretch>
                  </pic:blipFill>
                  <pic:spPr bwMode="auto">
                    <a:xfrm>
                      <a:off x="0" y="0"/>
                      <a:ext cx="5943600" cy="4341495"/>
                    </a:xfrm>
                    <a:prstGeom prst="rect">
                      <a:avLst/>
                    </a:prstGeom>
                    <a:noFill/>
                    <a:ln>
                      <a:noFill/>
                    </a:ln>
                  </pic:spPr>
                </pic:pic>
              </a:graphicData>
            </a:graphic>
          </wp:inline>
        </w:drawing>
      </w:r>
    </w:p>
    <w:p w14:paraId="200C24B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De acuerdo al Directorio Estadístico Nacional de Unidades Económicas, Tlaxcala cuenta con 82,520 Unidades Económicas al mes de junio de 2023, en los rubros siguientes:</w:t>
      </w:r>
    </w:p>
    <w:p w14:paraId="0CE9BA62" w14:textId="67374318"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4584125D" wp14:editId="700BEDE2">
            <wp:extent cx="3433775" cy="3394710"/>
            <wp:effectExtent l="0" t="0" r="0" b="0"/>
            <wp:docPr id="1857911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460" cy="3412194"/>
                    </a:xfrm>
                    <a:prstGeom prst="rect">
                      <a:avLst/>
                    </a:prstGeom>
                    <a:noFill/>
                    <a:ln>
                      <a:noFill/>
                    </a:ln>
                  </pic:spPr>
                </pic:pic>
              </a:graphicData>
            </a:graphic>
          </wp:inline>
        </w:drawing>
      </w:r>
    </w:p>
    <w:p w14:paraId="7D9FE7A9" w14:textId="77777777" w:rsidR="00AF18C2" w:rsidRPr="00F31DD1" w:rsidRDefault="00AF18C2" w:rsidP="00AF18C2">
      <w:pPr>
        <w:ind w:left="2127"/>
        <w:jc w:val="both"/>
        <w:rPr>
          <w:rFonts w:ascii="Arial" w:hAnsi="Arial" w:cs="Arial"/>
          <w:b/>
          <w:bCs/>
          <w:sz w:val="14"/>
          <w:szCs w:val="14"/>
        </w:rPr>
      </w:pPr>
      <w:r w:rsidRPr="00F31DD1">
        <w:rPr>
          <w:rFonts w:ascii="Arial" w:hAnsi="Arial" w:cs="Arial"/>
          <w:b/>
          <w:bCs/>
          <w:sz w:val="14"/>
          <w:szCs w:val="14"/>
        </w:rPr>
        <w:t>FUENTE: INEGI. DENUE. Junio 2023.</w:t>
      </w:r>
    </w:p>
    <w:p w14:paraId="7A87491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 que representa una participación del 1.5% del Estado en el total nacional. Al primer trimestre de 2023 la Población Económicamente Activa (PEA) ascendió a 650,681 personas, representando el 60.8% de la población en edad de trabajar. Del total de la PEA, el 96.8% está ocupada y el 3.2% se encuentra desocupada.</w:t>
      </w:r>
    </w:p>
    <w:p w14:paraId="62E770A4" w14:textId="3C0E3A6A"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76C16621" wp14:editId="1012CB4E">
            <wp:extent cx="5943600" cy="4048125"/>
            <wp:effectExtent l="0" t="0" r="0" b="9525"/>
            <wp:docPr id="1977958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3921" t="20799" r="23247" b="9082"/>
                    <a:stretch>
                      <a:fillRect/>
                    </a:stretch>
                  </pic:blipFill>
                  <pic:spPr bwMode="auto">
                    <a:xfrm>
                      <a:off x="0" y="0"/>
                      <a:ext cx="5943600" cy="4048125"/>
                    </a:xfrm>
                    <a:prstGeom prst="rect">
                      <a:avLst/>
                    </a:prstGeom>
                    <a:noFill/>
                    <a:ln>
                      <a:noFill/>
                    </a:ln>
                  </pic:spPr>
                </pic:pic>
              </a:graphicData>
            </a:graphic>
          </wp:inline>
        </w:drawing>
      </w:r>
    </w:p>
    <w:p w14:paraId="63D922BC" w14:textId="27D18EFF"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7477F2DA" wp14:editId="29311058">
            <wp:extent cx="5756744" cy="3665220"/>
            <wp:effectExtent l="0" t="0" r="0" b="0"/>
            <wp:docPr id="17714746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6556" t="21416" r="22984" b="10167"/>
                    <a:stretch>
                      <a:fillRect/>
                    </a:stretch>
                  </pic:blipFill>
                  <pic:spPr bwMode="auto">
                    <a:xfrm>
                      <a:off x="0" y="0"/>
                      <a:ext cx="5779950" cy="3679995"/>
                    </a:xfrm>
                    <a:prstGeom prst="rect">
                      <a:avLst/>
                    </a:prstGeom>
                    <a:noFill/>
                    <a:ln>
                      <a:noFill/>
                    </a:ln>
                  </pic:spPr>
                </pic:pic>
              </a:graphicData>
            </a:graphic>
          </wp:inline>
        </w:drawing>
      </w:r>
    </w:p>
    <w:p w14:paraId="1C167A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256103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primer trimestre de 2023, la Inversión Extranjera Directa Acumulada del año 2006 al mes de marzo de 2023 en el Estado de Tlaxcala fue de 3,078.3 millones de dólares, lo que representó un aporte del 0.57 % al total nacional, instalándose empresas de diversas nacionalidades, tal y como se observa en el cuadro comparativo siguiente:</w:t>
      </w:r>
    </w:p>
    <w:p w14:paraId="7D0D536B" w14:textId="5A4CC3A1"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38AC8091" wp14:editId="760E4887">
            <wp:extent cx="5943600" cy="3544570"/>
            <wp:effectExtent l="0" t="0" r="0" b="0"/>
            <wp:docPr id="157579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r w:rsidRPr="00AF18C2">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AF18C2">
        <w:rPr>
          <w:rFonts w:ascii="Arial" w:hAnsi="Arial" w:cs="Arial"/>
          <w:sz w:val="18"/>
          <w:szCs w:val="18"/>
        </w:rPr>
        <w:t>privada</w:t>
      </w:r>
      <w:proofErr w:type="gramEnd"/>
      <w:r w:rsidRPr="00AF18C2">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4AC91B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16806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F7E9ED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w:t>
      </w:r>
      <w:r>
        <w:rPr>
          <w:rFonts w:ascii="Arial" w:hAnsi="Arial" w:cs="Arial"/>
          <w:sz w:val="18"/>
          <w:szCs w:val="18"/>
        </w:rPr>
        <w:lastRenderedPageBreak/>
        <w:t>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22"/>
      <w:headerReference w:type="default" r:id="rId23"/>
      <w:footerReference w:type="even" r:id="rId24"/>
      <w:footerReference w:type="default" r:id="rId2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93A44" w14:textId="77777777" w:rsidR="00187F0A" w:rsidRDefault="00187F0A" w:rsidP="00EA5418">
      <w:pPr>
        <w:spacing w:after="0" w:line="240" w:lineRule="auto"/>
      </w:pPr>
      <w:r>
        <w:separator/>
      </w:r>
    </w:p>
  </w:endnote>
  <w:endnote w:type="continuationSeparator" w:id="0">
    <w:p w14:paraId="39C86234" w14:textId="77777777" w:rsidR="00187F0A" w:rsidRDefault="00187F0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5A5488F3"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BD6D26" w:rsidRPr="00BD6D26">
          <w:rPr>
            <w:rFonts w:ascii="Arial" w:hAnsi="Arial" w:cs="Arial"/>
            <w:noProof/>
            <w:sz w:val="20"/>
            <w:lang w:val="es-ES"/>
          </w:rPr>
          <w:t>16</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186B715C"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BD6D26" w:rsidRPr="00BD6D26">
          <w:rPr>
            <w:rFonts w:ascii="Arial" w:hAnsi="Arial" w:cs="Arial"/>
            <w:noProof/>
            <w:lang w:val="es-ES"/>
          </w:rPr>
          <w:t>17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BDCEE" w14:textId="77777777" w:rsidR="00187F0A" w:rsidRDefault="00187F0A" w:rsidP="00EA5418">
      <w:pPr>
        <w:spacing w:after="0" w:line="240" w:lineRule="auto"/>
      </w:pPr>
      <w:r>
        <w:separator/>
      </w:r>
    </w:p>
  </w:footnote>
  <w:footnote w:type="continuationSeparator" w:id="0">
    <w:p w14:paraId="35144595" w14:textId="77777777" w:rsidR="00187F0A" w:rsidRDefault="00187F0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2BDE"/>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0CB"/>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87F0A"/>
    <w:rsid w:val="00191085"/>
    <w:rsid w:val="00192770"/>
    <w:rsid w:val="00192B86"/>
    <w:rsid w:val="00193B2D"/>
    <w:rsid w:val="001951AF"/>
    <w:rsid w:val="001A26CD"/>
    <w:rsid w:val="001A3F6A"/>
    <w:rsid w:val="001A575F"/>
    <w:rsid w:val="001A78A4"/>
    <w:rsid w:val="001B011B"/>
    <w:rsid w:val="001B0197"/>
    <w:rsid w:val="001B12A5"/>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2013"/>
    <w:rsid w:val="002A2665"/>
    <w:rsid w:val="002A379D"/>
    <w:rsid w:val="002A62AF"/>
    <w:rsid w:val="002A70B3"/>
    <w:rsid w:val="002A728F"/>
    <w:rsid w:val="002A7396"/>
    <w:rsid w:val="002B0770"/>
    <w:rsid w:val="002B0858"/>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82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0A5D"/>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B4194"/>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0AA8"/>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2C1A"/>
    <w:rsid w:val="0064409F"/>
    <w:rsid w:val="006441E4"/>
    <w:rsid w:val="006443DF"/>
    <w:rsid w:val="00646603"/>
    <w:rsid w:val="00647478"/>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6578"/>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5F66"/>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084B"/>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5AA7"/>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33ADB"/>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32E8"/>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58D"/>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9E4"/>
    <w:rsid w:val="00974D23"/>
    <w:rsid w:val="00975CBF"/>
    <w:rsid w:val="009768AE"/>
    <w:rsid w:val="00980D38"/>
    <w:rsid w:val="00983E92"/>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1F96"/>
    <w:rsid w:val="00A02E76"/>
    <w:rsid w:val="00A045DD"/>
    <w:rsid w:val="00A06D66"/>
    <w:rsid w:val="00A073BF"/>
    <w:rsid w:val="00A07E0D"/>
    <w:rsid w:val="00A1075C"/>
    <w:rsid w:val="00A14DCC"/>
    <w:rsid w:val="00A16DA6"/>
    <w:rsid w:val="00A22834"/>
    <w:rsid w:val="00A235BA"/>
    <w:rsid w:val="00A23892"/>
    <w:rsid w:val="00A23B93"/>
    <w:rsid w:val="00A316C7"/>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13BC"/>
    <w:rsid w:val="00A52E61"/>
    <w:rsid w:val="00A54D75"/>
    <w:rsid w:val="00A55A0E"/>
    <w:rsid w:val="00A56327"/>
    <w:rsid w:val="00A56749"/>
    <w:rsid w:val="00A6063E"/>
    <w:rsid w:val="00A634CF"/>
    <w:rsid w:val="00A65407"/>
    <w:rsid w:val="00A70107"/>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6D26"/>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590D"/>
    <w:rsid w:val="00C66322"/>
    <w:rsid w:val="00C6715B"/>
    <w:rsid w:val="00C704C3"/>
    <w:rsid w:val="00C706E0"/>
    <w:rsid w:val="00C71D1F"/>
    <w:rsid w:val="00C735F9"/>
    <w:rsid w:val="00C74C79"/>
    <w:rsid w:val="00C74F3B"/>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3CDD"/>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0A30"/>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38E"/>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A61"/>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2A849-EC58-4890-90FA-E610F871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14306</Words>
  <Characters>78687</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cp:lastModifiedBy>
  <cp:revision>2</cp:revision>
  <cp:lastPrinted>2023-07-20T23:01:00Z</cp:lastPrinted>
  <dcterms:created xsi:type="dcterms:W3CDTF">2023-07-29T00:37:00Z</dcterms:created>
  <dcterms:modified xsi:type="dcterms:W3CDTF">2023-07-29T00:37:00Z</dcterms:modified>
</cp:coreProperties>
</file>