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5F66" w14:textId="77777777" w:rsidR="007D6E9A" w:rsidRDefault="0092158D" w:rsidP="003D5DBF">
      <w:pPr>
        <w:jc w:val="center"/>
      </w:pPr>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17.1pt;margin-top:15.9pt;width:721.1pt;height:668.6pt;z-index:-251625472;mso-position-horizontal-relative:text;mso-position-vertical-relative:text;mso-width-relative:page;mso-height-relative:page">
            <v:imagedata r:id="rId8" o:title=""/>
          </v:shape>
          <o:OLEObject Type="Embed" ProgID="Excel.Sheet.12" ShapeID="_x0000_s1077" DrawAspect="Content" ObjectID="_1751898565" r:id="rId9"/>
        </w:object>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77777777" w:rsidR="00215B92" w:rsidRDefault="0092158D" w:rsidP="003926A7">
      <w:pPr>
        <w:tabs>
          <w:tab w:val="right" w:pos="9360"/>
        </w:tabs>
      </w:pPr>
      <w:r>
        <w:rPr>
          <w:noProof/>
        </w:rPr>
        <w:lastRenderedPageBreak/>
        <w:object w:dxaOrig="1440" w:dyaOrig="1440" w14:anchorId="58913841">
          <v:shape id="_x0000_s1056" type="#_x0000_t75" style="position:absolute;margin-left:-45pt;margin-top:16.2pt;width:568.15pt;height:629.8pt;z-index:-251645952;mso-position-horizontal-relative:text;mso-position-vertical-relative:text">
            <v:imagedata r:id="rId10" o:title=""/>
            <w10:wrap side="right"/>
          </v:shape>
          <o:OLEObject Type="Embed" ProgID="Excel.Sheet.12" ShapeID="_x0000_s1056" DrawAspect="Content" ObjectID="_1751898566" r:id="rId11"/>
        </w:object>
      </w:r>
      <w:r w:rsidR="003926A7">
        <w:tab/>
      </w:r>
    </w:p>
    <w:p w14:paraId="78C71164" w14:textId="77777777"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215B92"/>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92158D" w:rsidP="00F90A31">
      <w:pPr>
        <w:tabs>
          <w:tab w:val="center" w:pos="4680"/>
        </w:tabs>
      </w:pPr>
      <w:r>
        <w:rPr>
          <w:noProof/>
        </w:rPr>
        <w:lastRenderedPageBreak/>
        <w:object w:dxaOrig="1440" w:dyaOrig="1440" w14:anchorId="5627ED0E">
          <v:shape id="_x0000_s1078" type="#_x0000_t75" style="position:absolute;margin-left:-53.4pt;margin-top:3.35pt;width:647.85pt;height:673.55pt;z-index:-251623424;mso-position-horizontal-relative:text;mso-position-vertical-relative:text;mso-width-relative:page;mso-height-relative:page">
            <v:imagedata r:id="rId12" o:title=""/>
          </v:shape>
          <o:OLEObject Type="Embed" ProgID="Excel.Sheet.12" ShapeID="_x0000_s1078" DrawAspect="Content" ObjectID="_1751898567"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7777777" w:rsidR="00215B92" w:rsidRDefault="000B54AD" w:rsidP="007769DF">
      <w:r>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586D42FC" w:rsidR="00215B92" w:rsidRDefault="0092158D" w:rsidP="00215B92">
      <w:pPr>
        <w:ind w:firstLine="708"/>
      </w:pPr>
      <w:r>
        <w:rPr>
          <w:noProof/>
        </w:rPr>
        <w:lastRenderedPageBreak/>
        <w:object w:dxaOrig="1440" w:dyaOrig="1440" w14:anchorId="54BE0AF3">
          <v:shape id="_x0000_s1071" type="#_x0000_t75" style="position:absolute;left:0;text-align:left;margin-left:-43.8pt;margin-top:28.4pt;width:560.45pt;height:643pt;z-index:251683840;mso-position-horizontal-relative:text;mso-position-vertical-relative:text">
            <v:imagedata r:id="rId14" o:title=""/>
            <w10:wrap side="right"/>
          </v:shape>
          <o:OLEObject Type="Embed" ProgID="Excel.Sheet.12" ShapeID="_x0000_s1071" DrawAspect="Content" ObjectID="_1751898568" r:id="rId15"/>
        </w:object>
      </w:r>
      <w:r w:rsidR="00F21F02">
        <w:t xml:space="preserve"> </w:t>
      </w:r>
    </w:p>
    <w:p w14:paraId="739824E7" w14:textId="59818236" w:rsidR="00215B92" w:rsidRDefault="00215B92" w:rsidP="00215B92">
      <w:pPr>
        <w:ind w:firstLine="708"/>
      </w:pP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92158D" w:rsidP="00215B92">
      <w:pPr>
        <w:ind w:firstLine="708"/>
      </w:pPr>
      <w:r>
        <w:rPr>
          <w:noProof/>
        </w:rPr>
        <w:lastRenderedPageBreak/>
        <w:object w:dxaOrig="1440" w:dyaOrig="1440" w14:anchorId="19B6F674">
          <v:shape id="_x0000_s1080" type="#_x0000_t75" style="position:absolute;left:0;text-align:left;margin-left:-56.4pt;margin-top:23.3pt;width:573.2pt;height:660.35pt;z-index:251697152;mso-position-horizontal-relative:text;mso-position-vertical-relative:text;mso-width-relative:page;mso-height-relative:page">
            <v:imagedata r:id="rId16" o:title=""/>
          </v:shape>
          <o:OLEObject Type="Embed" ProgID="Excel.Sheet.12" ShapeID="_x0000_s1080" DrawAspect="Content" ObjectID="_1751898569"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19DCFE88" w:rsidR="00954BB8" w:rsidRDefault="0092158D" w:rsidP="00215B92">
      <w:pPr>
        <w:ind w:firstLine="708"/>
      </w:pPr>
      <w:r>
        <w:rPr>
          <w:noProof/>
        </w:rPr>
        <w:lastRenderedPageBreak/>
        <w:object w:dxaOrig="1440" w:dyaOrig="1440" w14:anchorId="1B198261">
          <v:shape id="_x0000_s1064" type="#_x0000_t75" style="position:absolute;left:0;text-align:left;margin-left:-49.2pt;margin-top:19.2pt;width:548.8pt;height:636.05pt;z-index:251679744;mso-position-horizontal-relative:text;mso-position-vertical-relative:text">
            <v:imagedata r:id="rId18" o:title=""/>
            <w10:wrap side="right"/>
          </v:shape>
          <o:OLEObject Type="Embed" ProgID="Excel.Sheet.12" ShapeID="_x0000_s1064" DrawAspect="Content" ObjectID="_1751898570" r:id="rId19"/>
        </w:object>
      </w:r>
    </w:p>
    <w:p w14:paraId="40C9DB41" w14:textId="5B77B163"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92158D" w:rsidP="00215B92">
      <w:pPr>
        <w:ind w:firstLine="708"/>
      </w:pPr>
      <w:r>
        <w:rPr>
          <w:noProof/>
        </w:rPr>
        <w:lastRenderedPageBreak/>
        <w:object w:dxaOrig="1440" w:dyaOrig="1440" w14:anchorId="3CAB8C98">
          <v:shape id="_x0000_s1079" type="#_x0000_t75" style="position:absolute;left:0;text-align:left;margin-left:-51pt;margin-top:19.15pt;width:567.95pt;height:657.05pt;z-index:251695104;mso-position-horizontal-relative:text;mso-position-vertical-relative:text;mso-width-relative:page;mso-height-relative:page">
            <v:imagedata r:id="rId20" o:title=""/>
          </v:shape>
          <o:OLEObject Type="Embed" ProgID="Excel.Sheet.12" ShapeID="_x0000_s1079" DrawAspect="Content" ObjectID="_1751898571"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4EA9B58D" w14:textId="77777777" w:rsidR="00802877" w:rsidRDefault="00332091" w:rsidP="00802877">
      <w:pPr>
        <w:spacing w:after="0"/>
        <w:jc w:val="center"/>
        <w:rPr>
          <w:rFonts w:ascii="Arial" w:hAnsi="Arial" w:cs="Arial"/>
          <w:sz w:val="18"/>
          <w:szCs w:val="18"/>
        </w:rPr>
      </w:pPr>
      <w:r w:rsidRPr="00661A17">
        <w:rPr>
          <w:rFonts w:ascii="Arial" w:hAnsi="Arial" w:cs="Arial"/>
          <w:sz w:val="18"/>
          <w:szCs w:val="18"/>
        </w:rPr>
        <w:t>Informe de Pasivos Contingentes</w:t>
      </w:r>
    </w:p>
    <w:p w14:paraId="5FA6BDC9" w14:textId="77777777" w:rsidR="00802877" w:rsidRDefault="00802877" w:rsidP="00802877">
      <w:pPr>
        <w:spacing w:after="0"/>
        <w:rPr>
          <w:rFonts w:ascii="Arial" w:hAnsi="Arial" w:cs="Arial"/>
          <w:sz w:val="18"/>
          <w:szCs w:val="18"/>
        </w:rPr>
      </w:pPr>
    </w:p>
    <w:p w14:paraId="1ACBA083" w14:textId="77777777" w:rsidR="00802877" w:rsidRDefault="00802877" w:rsidP="00802877">
      <w:pPr>
        <w:spacing w:after="0"/>
        <w:rPr>
          <w:rFonts w:ascii="Arial" w:hAnsi="Arial" w:cs="Arial"/>
          <w:sz w:val="18"/>
          <w:szCs w:val="18"/>
        </w:rPr>
      </w:pPr>
    </w:p>
    <w:p w14:paraId="10D988ED" w14:textId="77777777" w:rsidR="00802877" w:rsidRDefault="00802877" w:rsidP="00802877">
      <w:pPr>
        <w:spacing w:after="0"/>
        <w:rPr>
          <w:rFonts w:ascii="Arial" w:hAnsi="Arial" w:cs="Arial"/>
          <w:sz w:val="18"/>
          <w:szCs w:val="18"/>
        </w:rPr>
      </w:pPr>
    </w:p>
    <w:p w14:paraId="04669C95" w14:textId="1CE400A6" w:rsidR="00332091" w:rsidRPr="00AE47E9" w:rsidRDefault="004466A7" w:rsidP="00802877">
      <w:pPr>
        <w:spacing w:after="0"/>
        <w:rPr>
          <w:rFonts w:ascii="Arial" w:hAnsi="Arial" w:cs="Arial"/>
          <w:sz w:val="18"/>
          <w:szCs w:val="18"/>
        </w:rPr>
      </w:pPr>
      <w:r>
        <w:rPr>
          <w:rFonts w:ascii="Arial" w:hAnsi="Arial" w:cs="Arial"/>
          <w:sz w:val="18"/>
          <w:szCs w:val="18"/>
        </w:rPr>
        <w:t xml:space="preserve">Al mes de </w:t>
      </w:r>
      <w:r w:rsidR="00AB7FCC">
        <w:rPr>
          <w:rFonts w:ascii="Arial" w:hAnsi="Arial" w:cs="Arial"/>
          <w:sz w:val="18"/>
          <w:szCs w:val="18"/>
        </w:rPr>
        <w:t>Junio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14:paraId="6F91A13F" w14:textId="77777777" w:rsidR="00332091" w:rsidRDefault="00332091">
      <w:pPr>
        <w:rPr>
          <w:rFonts w:ascii="Arial" w:hAnsi="Arial" w:cs="Arial"/>
          <w:sz w:val="18"/>
          <w:szCs w:val="18"/>
        </w:rPr>
      </w:pPr>
    </w:p>
    <w:p w14:paraId="40E3D2AA" w14:textId="77777777" w:rsidR="00332091" w:rsidRDefault="00332091">
      <w:pPr>
        <w:rPr>
          <w:rFonts w:ascii="Arial" w:hAnsi="Arial" w:cs="Arial"/>
          <w:sz w:val="18"/>
          <w:szCs w:val="18"/>
        </w:rPr>
      </w:pPr>
    </w:p>
    <w:p w14:paraId="7F15A96F" w14:textId="77777777" w:rsidR="00332091" w:rsidRDefault="00332091">
      <w:pPr>
        <w:rPr>
          <w:rFonts w:ascii="Arial" w:hAnsi="Arial" w:cs="Arial"/>
          <w:sz w:val="18"/>
          <w:szCs w:val="18"/>
        </w:rPr>
      </w:pPr>
    </w:p>
    <w:p w14:paraId="7D11F3D1" w14:textId="77777777" w:rsidR="00332091" w:rsidRDefault="00332091">
      <w:pPr>
        <w:rPr>
          <w:rFonts w:ascii="Arial" w:hAnsi="Arial" w:cs="Arial"/>
          <w:sz w:val="18"/>
          <w:szCs w:val="18"/>
        </w:rPr>
      </w:pPr>
    </w:p>
    <w:p w14:paraId="34C399BB" w14:textId="77777777" w:rsidR="00332091" w:rsidRDefault="00332091">
      <w:pPr>
        <w:rPr>
          <w:rFonts w:ascii="Arial" w:hAnsi="Arial" w:cs="Arial"/>
          <w:sz w:val="18"/>
          <w:szCs w:val="18"/>
        </w:rPr>
      </w:pPr>
    </w:p>
    <w:p w14:paraId="4EED57B3" w14:textId="77777777" w:rsidR="00332091" w:rsidRDefault="00332091">
      <w:pPr>
        <w:rPr>
          <w:rFonts w:ascii="Arial" w:hAnsi="Arial" w:cs="Arial"/>
          <w:sz w:val="18"/>
          <w:szCs w:val="18"/>
        </w:rPr>
      </w:pPr>
    </w:p>
    <w:p w14:paraId="024A53C9" w14:textId="77777777" w:rsidR="00332091" w:rsidRDefault="00332091">
      <w:pPr>
        <w:rPr>
          <w:rFonts w:ascii="Arial" w:hAnsi="Arial" w:cs="Arial"/>
          <w:sz w:val="18"/>
          <w:szCs w:val="18"/>
        </w:rPr>
      </w:pPr>
    </w:p>
    <w:p w14:paraId="787CECC1" w14:textId="77777777" w:rsidR="00332091" w:rsidRDefault="00332091">
      <w:pPr>
        <w:rPr>
          <w:rFonts w:ascii="Arial" w:hAnsi="Arial" w:cs="Arial"/>
          <w:sz w:val="18"/>
          <w:szCs w:val="18"/>
        </w:rPr>
      </w:pPr>
    </w:p>
    <w:p w14:paraId="6B93A4CB" w14:textId="77777777" w:rsidR="00332091" w:rsidRDefault="00332091">
      <w:pPr>
        <w:rPr>
          <w:rFonts w:ascii="Arial" w:hAnsi="Arial" w:cs="Arial"/>
          <w:sz w:val="18"/>
          <w:szCs w:val="18"/>
        </w:rPr>
      </w:pPr>
    </w:p>
    <w:p w14:paraId="1A25FA42" w14:textId="77777777" w:rsidR="00332091" w:rsidRDefault="00332091">
      <w:pPr>
        <w:rPr>
          <w:rFonts w:ascii="Arial" w:hAnsi="Arial" w:cs="Arial"/>
          <w:sz w:val="18"/>
          <w:szCs w:val="18"/>
        </w:rPr>
      </w:pPr>
    </w:p>
    <w:p w14:paraId="3DFE68DA" w14:textId="77777777" w:rsidR="00332091" w:rsidRDefault="00332091">
      <w:pPr>
        <w:rPr>
          <w:rFonts w:ascii="Arial" w:hAnsi="Arial" w:cs="Arial"/>
          <w:sz w:val="18"/>
          <w:szCs w:val="18"/>
        </w:rPr>
      </w:pPr>
    </w:p>
    <w:p w14:paraId="640959D8" w14:textId="77777777" w:rsidR="00332091" w:rsidRDefault="00332091">
      <w:pPr>
        <w:rPr>
          <w:rFonts w:ascii="Arial" w:hAnsi="Arial" w:cs="Arial"/>
          <w:sz w:val="18"/>
          <w:szCs w:val="18"/>
        </w:rPr>
      </w:pPr>
    </w:p>
    <w:p w14:paraId="55C8ADD3" w14:textId="77777777" w:rsidR="00332091" w:rsidRDefault="00332091">
      <w:pPr>
        <w:rPr>
          <w:rFonts w:ascii="Arial" w:hAnsi="Arial" w:cs="Arial"/>
          <w:sz w:val="18"/>
          <w:szCs w:val="18"/>
        </w:rPr>
      </w:pPr>
    </w:p>
    <w:p w14:paraId="0EC1693F" w14:textId="77777777" w:rsidR="00540418" w:rsidRPr="00661A17" w:rsidRDefault="00540418">
      <w:pPr>
        <w:rPr>
          <w:rFonts w:ascii="Arial" w:hAnsi="Arial" w:cs="Arial"/>
          <w:sz w:val="18"/>
          <w:szCs w:val="18"/>
        </w:rPr>
      </w:pPr>
      <w:r w:rsidRPr="00661A17">
        <w:rPr>
          <w:rFonts w:ascii="Arial" w:hAnsi="Arial" w:cs="Arial"/>
          <w:sz w:val="18"/>
          <w:szCs w:val="18"/>
        </w:rPr>
        <w:br w:type="page"/>
      </w:r>
    </w:p>
    <w:p w14:paraId="2CEF5773" w14:textId="77777777"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0674A7DF" w14:textId="77777777" w:rsidR="00332091" w:rsidRPr="0073056A" w:rsidRDefault="00332091" w:rsidP="00202B11">
      <w:pPr>
        <w:pStyle w:val="INCISO"/>
        <w:numPr>
          <w:ilvl w:val="0"/>
          <w:numId w:val="1"/>
        </w:numPr>
        <w:spacing w:after="0" w:line="276" w:lineRule="auto"/>
        <w:ind w:left="284" w:hanging="284"/>
        <w:rPr>
          <w:b/>
          <w:smallCaps/>
        </w:rPr>
      </w:pPr>
      <w:r w:rsidRPr="0073056A">
        <w:rPr>
          <w:b/>
          <w:smallCaps/>
        </w:rPr>
        <w:t>Notas al Estado de Situación Financiera</w:t>
      </w:r>
    </w:p>
    <w:p w14:paraId="4458B867" w14:textId="77777777" w:rsidR="00332091" w:rsidRPr="0073056A" w:rsidRDefault="00332091" w:rsidP="00332091">
      <w:pPr>
        <w:pStyle w:val="Texto"/>
        <w:spacing w:after="0" w:line="276" w:lineRule="auto"/>
        <w:rPr>
          <w:b/>
          <w:szCs w:val="18"/>
          <w:lang w:val="es-MX"/>
        </w:rPr>
      </w:pPr>
    </w:p>
    <w:p w14:paraId="1AA72F92" w14:textId="77777777" w:rsidR="00332091" w:rsidRPr="0073056A" w:rsidRDefault="00332091" w:rsidP="00332091">
      <w:pPr>
        <w:pStyle w:val="Texto"/>
        <w:spacing w:after="0" w:line="276" w:lineRule="auto"/>
        <w:rPr>
          <w:b/>
          <w:szCs w:val="18"/>
          <w:lang w:val="es-MX"/>
        </w:rPr>
      </w:pPr>
      <w:r w:rsidRPr="0073056A">
        <w:rPr>
          <w:b/>
          <w:szCs w:val="18"/>
          <w:lang w:val="es-MX"/>
        </w:rPr>
        <w:t>Activo</w:t>
      </w:r>
    </w:p>
    <w:p w14:paraId="1AD8B9F3"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076264D1" w14:textId="77777777"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14:paraId="64C2489E" w14:textId="6D28C9E7"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AB7FCC">
        <w:rPr>
          <w:rFonts w:ascii="Arial" w:hAnsi="Arial" w:cs="Arial"/>
          <w:sz w:val="18"/>
          <w:szCs w:val="18"/>
        </w:rPr>
        <w:t>3</w:t>
      </w:r>
      <w:r>
        <w:rPr>
          <w:rFonts w:ascii="Arial" w:hAnsi="Arial" w:cs="Arial"/>
          <w:sz w:val="18"/>
          <w:szCs w:val="18"/>
        </w:rPr>
        <w:t>,</w:t>
      </w:r>
      <w:r w:rsidR="00AB7FCC">
        <w:rPr>
          <w:rFonts w:ascii="Arial" w:hAnsi="Arial" w:cs="Arial"/>
          <w:sz w:val="18"/>
          <w:szCs w:val="18"/>
        </w:rPr>
        <w:t>904</w:t>
      </w:r>
      <w:r>
        <w:rPr>
          <w:rFonts w:ascii="Arial" w:hAnsi="Arial" w:cs="Arial"/>
          <w:sz w:val="18"/>
          <w:szCs w:val="18"/>
        </w:rPr>
        <w:t>,</w:t>
      </w:r>
      <w:r w:rsidR="00AB7FCC">
        <w:rPr>
          <w:rFonts w:ascii="Arial" w:hAnsi="Arial" w:cs="Arial"/>
          <w:sz w:val="18"/>
          <w:szCs w:val="18"/>
        </w:rPr>
        <w:t>486</w:t>
      </w:r>
      <w:r>
        <w:rPr>
          <w:rFonts w:ascii="Arial" w:hAnsi="Arial" w:cs="Arial"/>
          <w:sz w:val="18"/>
          <w:szCs w:val="18"/>
        </w:rPr>
        <w:t>,</w:t>
      </w:r>
      <w:r w:rsidR="00AB7FCC">
        <w:rPr>
          <w:rFonts w:ascii="Arial" w:hAnsi="Arial" w:cs="Arial"/>
          <w:sz w:val="18"/>
          <w:szCs w:val="18"/>
        </w:rPr>
        <w:t>22</w:t>
      </w:r>
      <w:r w:rsidR="006A291D">
        <w:rPr>
          <w:rFonts w:ascii="Arial" w:hAnsi="Arial" w:cs="Arial"/>
          <w:sz w:val="18"/>
          <w:szCs w:val="18"/>
        </w:rPr>
        <w:t>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AB7FCC">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w:t>
      </w:r>
      <w:r w:rsidR="006A291D">
        <w:rPr>
          <w:rFonts w:ascii="Arial" w:hAnsi="Arial" w:cs="Arial"/>
          <w:sz w:val="18"/>
          <w:szCs w:val="18"/>
        </w:rPr>
        <w:t>3</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xml:space="preserve">, observando una diferencia de </w:t>
      </w:r>
      <w:r w:rsidR="00676578">
        <w:rPr>
          <w:rFonts w:ascii="Arial" w:hAnsi="Arial" w:cs="Arial"/>
          <w:sz w:val="18"/>
          <w:szCs w:val="18"/>
        </w:rPr>
        <w:t>34%</w:t>
      </w:r>
      <w:r w:rsidR="00647478">
        <w:rPr>
          <w:rFonts w:ascii="Arial" w:hAnsi="Arial" w:cs="Arial"/>
          <w:sz w:val="18"/>
          <w:szCs w:val="18"/>
        </w:rPr>
        <w:t>,</w:t>
      </w:r>
      <w:r w:rsidR="00676578">
        <w:rPr>
          <w:rFonts w:ascii="Arial" w:hAnsi="Arial" w:cs="Arial"/>
          <w:sz w:val="18"/>
          <w:szCs w:val="18"/>
        </w:rPr>
        <w:t xml:space="preserve"> equivalente </w:t>
      </w:r>
      <w:r w:rsidR="00F3142D">
        <w:rPr>
          <w:rFonts w:ascii="Arial" w:hAnsi="Arial" w:cs="Arial"/>
          <w:sz w:val="18"/>
          <w:szCs w:val="18"/>
        </w:rPr>
        <w:t>$</w:t>
      </w:r>
      <w:r w:rsidR="00676578">
        <w:rPr>
          <w:rFonts w:ascii="Arial" w:hAnsi="Arial" w:cs="Arial"/>
          <w:sz w:val="18"/>
          <w:szCs w:val="18"/>
        </w:rPr>
        <w:t>992</w:t>
      </w:r>
      <w:r w:rsidR="00F3142D">
        <w:rPr>
          <w:rFonts w:ascii="Arial" w:hAnsi="Arial" w:cs="Arial"/>
          <w:sz w:val="18"/>
          <w:szCs w:val="18"/>
        </w:rPr>
        <w:t>,</w:t>
      </w:r>
      <w:r w:rsidR="00676578">
        <w:rPr>
          <w:rFonts w:ascii="Arial" w:hAnsi="Arial" w:cs="Arial"/>
          <w:sz w:val="18"/>
          <w:szCs w:val="18"/>
        </w:rPr>
        <w:t>370</w:t>
      </w:r>
      <w:r w:rsidR="00F3142D">
        <w:rPr>
          <w:rFonts w:ascii="Arial" w:hAnsi="Arial" w:cs="Arial"/>
          <w:sz w:val="18"/>
          <w:szCs w:val="18"/>
        </w:rPr>
        <w:t>,</w:t>
      </w:r>
      <w:r w:rsidR="00676578">
        <w:rPr>
          <w:rFonts w:ascii="Arial" w:hAnsi="Arial" w:cs="Arial"/>
          <w:sz w:val="18"/>
          <w:szCs w:val="18"/>
        </w:rPr>
        <w:t>192</w:t>
      </w:r>
      <w:r w:rsidR="00F3142D">
        <w:rPr>
          <w:rFonts w:ascii="Arial" w:hAnsi="Arial" w:cs="Arial"/>
          <w:sz w:val="18"/>
          <w:szCs w:val="18"/>
        </w:rPr>
        <w:t xml:space="preserve">, respecto al </w:t>
      </w:r>
      <w:r w:rsidR="00676578">
        <w:rPr>
          <w:rFonts w:ascii="Arial" w:hAnsi="Arial" w:cs="Arial"/>
          <w:sz w:val="18"/>
          <w:szCs w:val="18"/>
        </w:rPr>
        <w:t xml:space="preserve">mismo periodo del </w:t>
      </w:r>
      <w:r w:rsidR="007A327C">
        <w:rPr>
          <w:rFonts w:ascii="Arial" w:hAnsi="Arial" w:cs="Arial"/>
          <w:sz w:val="18"/>
          <w:szCs w:val="18"/>
        </w:rPr>
        <w:t>ejercicio</w:t>
      </w:r>
      <w:r w:rsidR="00F3142D">
        <w:rPr>
          <w:rFonts w:ascii="Arial" w:hAnsi="Arial" w:cs="Arial"/>
          <w:sz w:val="18"/>
          <w:szCs w:val="18"/>
        </w:rPr>
        <w:t xml:space="preserve"> 202</w:t>
      </w:r>
      <w:r w:rsidR="006A291D">
        <w:rPr>
          <w:rFonts w:ascii="Arial" w:hAnsi="Arial" w:cs="Arial"/>
          <w:sz w:val="18"/>
          <w:szCs w:val="18"/>
        </w:rPr>
        <w:t>2</w:t>
      </w:r>
      <w:r w:rsidR="00EA19C2">
        <w:rPr>
          <w:rFonts w:ascii="Arial" w:hAnsi="Arial" w:cs="Arial"/>
          <w:sz w:val="18"/>
          <w:szCs w:val="18"/>
        </w:rPr>
        <w:t>.</w:t>
      </w:r>
    </w:p>
    <w:p w14:paraId="0C68B310"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27AA223D" w14:textId="77777777"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4F04531" w14:textId="5DF70CCA"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3B710A">
        <w:rPr>
          <w:rFonts w:ascii="Arial" w:hAnsi="Arial" w:cs="Arial"/>
          <w:sz w:val="18"/>
          <w:szCs w:val="18"/>
        </w:rPr>
        <w:t>9</w:t>
      </w:r>
      <w:r w:rsidR="001340E0">
        <w:rPr>
          <w:rFonts w:ascii="Arial" w:hAnsi="Arial" w:cs="Arial"/>
          <w:sz w:val="18"/>
          <w:szCs w:val="18"/>
        </w:rPr>
        <w:t>,</w:t>
      </w:r>
      <w:r w:rsidR="003B710A">
        <w:rPr>
          <w:rFonts w:ascii="Arial" w:hAnsi="Arial" w:cs="Arial"/>
          <w:sz w:val="18"/>
          <w:szCs w:val="18"/>
        </w:rPr>
        <w:t>543</w:t>
      </w:r>
      <w:r w:rsidR="001340E0">
        <w:rPr>
          <w:rFonts w:ascii="Arial" w:hAnsi="Arial" w:cs="Arial"/>
          <w:sz w:val="18"/>
          <w:szCs w:val="18"/>
        </w:rPr>
        <w:t>,</w:t>
      </w:r>
      <w:r w:rsidR="003B710A">
        <w:rPr>
          <w:rFonts w:ascii="Arial" w:hAnsi="Arial" w:cs="Arial"/>
          <w:sz w:val="18"/>
          <w:szCs w:val="18"/>
        </w:rPr>
        <w:t>305</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3B710A">
        <w:rPr>
          <w:rFonts w:ascii="Arial" w:hAnsi="Arial" w:cs="Arial"/>
          <w:sz w:val="18"/>
          <w:szCs w:val="18"/>
        </w:rPr>
        <w:t>segundo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6A291D">
        <w:rPr>
          <w:rFonts w:ascii="Arial" w:hAnsi="Arial" w:cs="Arial"/>
          <w:sz w:val="18"/>
          <w:szCs w:val="18"/>
        </w:rPr>
        <w:t>3</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xml:space="preserve">, siendo </w:t>
      </w:r>
      <w:r w:rsidR="006A291D">
        <w:rPr>
          <w:rFonts w:ascii="Arial" w:hAnsi="Arial" w:cs="Arial"/>
          <w:sz w:val="18"/>
          <w:szCs w:val="18"/>
        </w:rPr>
        <w:t xml:space="preserve">menor en </w:t>
      </w:r>
      <w:r w:rsidR="00676578">
        <w:rPr>
          <w:rFonts w:ascii="Arial" w:hAnsi="Arial" w:cs="Arial"/>
          <w:sz w:val="18"/>
          <w:szCs w:val="18"/>
        </w:rPr>
        <w:t xml:space="preserve">un 3.6% equivalente a </w:t>
      </w:r>
      <w:r w:rsidR="003B710A">
        <w:rPr>
          <w:rFonts w:ascii="Arial" w:hAnsi="Arial" w:cs="Arial"/>
          <w:sz w:val="18"/>
          <w:szCs w:val="18"/>
        </w:rPr>
        <w:t>$3</w:t>
      </w:r>
      <w:r w:rsidR="00676578">
        <w:rPr>
          <w:rFonts w:ascii="Arial" w:hAnsi="Arial" w:cs="Arial"/>
          <w:sz w:val="18"/>
          <w:szCs w:val="18"/>
        </w:rPr>
        <w:t>62</w:t>
      </w:r>
      <w:r w:rsidR="003B710A">
        <w:rPr>
          <w:rFonts w:ascii="Arial" w:hAnsi="Arial" w:cs="Arial"/>
          <w:sz w:val="18"/>
          <w:szCs w:val="18"/>
        </w:rPr>
        <w:t>,</w:t>
      </w:r>
      <w:r w:rsidR="00676578">
        <w:rPr>
          <w:rFonts w:ascii="Arial" w:hAnsi="Arial" w:cs="Arial"/>
          <w:sz w:val="18"/>
          <w:szCs w:val="18"/>
        </w:rPr>
        <w:t>864</w:t>
      </w:r>
      <w:r w:rsidR="003B710A">
        <w:rPr>
          <w:rFonts w:ascii="Arial" w:hAnsi="Arial" w:cs="Arial"/>
          <w:sz w:val="18"/>
          <w:szCs w:val="18"/>
        </w:rPr>
        <w:t xml:space="preserve"> </w:t>
      </w:r>
      <w:r w:rsidR="00F3142D">
        <w:rPr>
          <w:rFonts w:ascii="Arial" w:hAnsi="Arial" w:cs="Arial"/>
          <w:sz w:val="18"/>
          <w:szCs w:val="18"/>
        </w:rPr>
        <w:t xml:space="preserve">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Pr>
          <w:rFonts w:ascii="Arial" w:hAnsi="Arial" w:cs="Arial"/>
          <w:sz w:val="18"/>
          <w:szCs w:val="18"/>
        </w:rPr>
        <w:t>.</w:t>
      </w:r>
    </w:p>
    <w:p w14:paraId="509B4A22" w14:textId="43D08B86"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3B710A">
        <w:rPr>
          <w:rFonts w:ascii="Arial" w:hAnsi="Arial" w:cs="Arial"/>
          <w:sz w:val="18"/>
          <w:szCs w:val="18"/>
        </w:rPr>
        <w:t>segundo</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w:t>
      </w:r>
      <w:r w:rsidR="003B710A">
        <w:rPr>
          <w:rFonts w:ascii="Arial" w:hAnsi="Arial" w:cs="Arial"/>
          <w:sz w:val="18"/>
          <w:szCs w:val="18"/>
        </w:rPr>
        <w:t>31</w:t>
      </w:r>
      <w:r w:rsidR="00D01486">
        <w:rPr>
          <w:rFonts w:ascii="Arial" w:hAnsi="Arial" w:cs="Arial"/>
          <w:sz w:val="18"/>
          <w:szCs w:val="18"/>
        </w:rPr>
        <w:t>,</w:t>
      </w:r>
      <w:r w:rsidR="003B710A">
        <w:rPr>
          <w:rFonts w:ascii="Arial" w:hAnsi="Arial" w:cs="Arial"/>
          <w:sz w:val="18"/>
          <w:szCs w:val="18"/>
        </w:rPr>
        <w:t>288</w:t>
      </w:r>
      <w:r w:rsidR="00D01486">
        <w:rPr>
          <w:rFonts w:ascii="Arial" w:hAnsi="Arial" w:cs="Arial"/>
          <w:sz w:val="18"/>
          <w:szCs w:val="18"/>
        </w:rPr>
        <w:t>,</w:t>
      </w:r>
      <w:r w:rsidR="003B710A">
        <w:rPr>
          <w:rFonts w:ascii="Arial" w:hAnsi="Arial" w:cs="Arial"/>
          <w:sz w:val="18"/>
          <w:szCs w:val="18"/>
        </w:rPr>
        <w:t>515</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14:paraId="7077D251" w14:textId="77777777" w:rsidR="00892C87" w:rsidRDefault="00892C87" w:rsidP="00332091">
      <w:pPr>
        <w:pStyle w:val="ROMANOS"/>
        <w:tabs>
          <w:tab w:val="clear" w:pos="720"/>
          <w:tab w:val="left" w:pos="284"/>
        </w:tabs>
        <w:spacing w:after="0" w:line="276" w:lineRule="auto"/>
        <w:ind w:left="284" w:firstLine="0"/>
        <w:rPr>
          <w:b/>
          <w:lang w:val="es-MX"/>
        </w:rPr>
      </w:pPr>
    </w:p>
    <w:p w14:paraId="3FCC50B5"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C40FD28" w14:textId="009F2857"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B710A">
        <w:rPr>
          <w:rFonts w:ascii="Arial" w:hAnsi="Arial" w:cs="Arial"/>
          <w:sz w:val="18"/>
          <w:szCs w:val="18"/>
        </w:rPr>
        <w:t>segundo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no cuenta con Bienes Disponibles para su Transformación o Consumo (inventarios).</w:t>
      </w:r>
    </w:p>
    <w:p w14:paraId="043CB35D" w14:textId="77777777"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14:paraId="27B9A35F" w14:textId="527B3988"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B710A">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cuenta con Inversiones Financieras a Largo Plazo por un importe de $</w:t>
      </w:r>
      <w:r w:rsidR="007D6C18">
        <w:rPr>
          <w:rFonts w:ascii="Arial" w:hAnsi="Arial" w:cs="Arial"/>
          <w:sz w:val="18"/>
          <w:szCs w:val="18"/>
        </w:rPr>
        <w:t>256</w:t>
      </w:r>
      <w:r>
        <w:rPr>
          <w:rFonts w:ascii="Arial" w:hAnsi="Arial" w:cs="Arial"/>
          <w:sz w:val="18"/>
          <w:szCs w:val="18"/>
        </w:rPr>
        <w:t>,</w:t>
      </w:r>
      <w:r w:rsidR="007D6C18">
        <w:rPr>
          <w:rFonts w:ascii="Arial" w:hAnsi="Arial" w:cs="Arial"/>
          <w:sz w:val="18"/>
          <w:szCs w:val="18"/>
        </w:rPr>
        <w:t>270</w:t>
      </w:r>
      <w:r>
        <w:rPr>
          <w:rFonts w:ascii="Arial" w:hAnsi="Arial" w:cs="Arial"/>
          <w:sz w:val="18"/>
          <w:szCs w:val="18"/>
        </w:rPr>
        <w:t>,</w:t>
      </w:r>
      <w:r w:rsidR="007D6C18">
        <w:rPr>
          <w:rFonts w:ascii="Arial" w:hAnsi="Arial" w:cs="Arial"/>
          <w:sz w:val="18"/>
          <w:szCs w:val="18"/>
        </w:rPr>
        <w:t>405</w:t>
      </w:r>
      <w:r>
        <w:rPr>
          <w:rFonts w:ascii="Arial" w:hAnsi="Arial" w:cs="Arial"/>
          <w:sz w:val="18"/>
          <w:szCs w:val="18"/>
        </w:rPr>
        <w:t>, que respaldan los diversos fondos de contingencia del Ejecutivo del Estado</w:t>
      </w:r>
      <w:r w:rsidR="00676578">
        <w:rPr>
          <w:rFonts w:ascii="Arial" w:hAnsi="Arial" w:cs="Arial"/>
          <w:sz w:val="18"/>
          <w:szCs w:val="18"/>
        </w:rPr>
        <w:t>, observando un i</w:t>
      </w:r>
      <w:r w:rsidR="006F5F66">
        <w:rPr>
          <w:rFonts w:ascii="Arial" w:hAnsi="Arial" w:cs="Arial"/>
          <w:sz w:val="18"/>
          <w:szCs w:val="18"/>
        </w:rPr>
        <w:t xml:space="preserve">ncremento de </w:t>
      </w:r>
      <w:r w:rsidR="0075084B">
        <w:rPr>
          <w:rFonts w:ascii="Arial" w:hAnsi="Arial" w:cs="Arial"/>
          <w:sz w:val="18"/>
          <w:szCs w:val="18"/>
        </w:rPr>
        <w:t>$109,572,744, respecto al mismo periodo de 2022</w:t>
      </w:r>
      <w:r w:rsidR="00D01486">
        <w:rPr>
          <w:rFonts w:ascii="Arial" w:hAnsi="Arial" w:cs="Arial"/>
          <w:sz w:val="18"/>
          <w:szCs w:val="18"/>
        </w:rPr>
        <w:t>.</w:t>
      </w:r>
    </w:p>
    <w:p w14:paraId="17BD29EA"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4EFDA48A" w14:textId="50D68825"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3B710A">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7D6C18">
        <w:rPr>
          <w:rFonts w:ascii="Arial" w:hAnsi="Arial" w:cs="Arial"/>
          <w:sz w:val="18"/>
          <w:szCs w:val="18"/>
        </w:rPr>
        <w:t>2</w:t>
      </w:r>
      <w:r w:rsidR="003B710A">
        <w:rPr>
          <w:rFonts w:ascii="Arial" w:hAnsi="Arial" w:cs="Arial"/>
          <w:sz w:val="18"/>
          <w:szCs w:val="18"/>
        </w:rPr>
        <w:t>70</w:t>
      </w:r>
      <w:r>
        <w:rPr>
          <w:rFonts w:ascii="Arial" w:hAnsi="Arial" w:cs="Arial"/>
          <w:sz w:val="18"/>
          <w:szCs w:val="18"/>
        </w:rPr>
        <w:t>,</w:t>
      </w:r>
      <w:r w:rsidR="003B710A">
        <w:rPr>
          <w:rFonts w:ascii="Arial" w:hAnsi="Arial" w:cs="Arial"/>
          <w:sz w:val="18"/>
          <w:szCs w:val="18"/>
        </w:rPr>
        <w:t>887</w:t>
      </w:r>
      <w:r>
        <w:rPr>
          <w:rFonts w:ascii="Arial" w:hAnsi="Arial" w:cs="Arial"/>
          <w:sz w:val="18"/>
          <w:szCs w:val="18"/>
        </w:rPr>
        <w:t>,</w:t>
      </w:r>
      <w:r w:rsidR="003B710A">
        <w:rPr>
          <w:rFonts w:ascii="Arial" w:hAnsi="Arial" w:cs="Arial"/>
          <w:sz w:val="18"/>
          <w:szCs w:val="18"/>
        </w:rPr>
        <w:t>055</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xml:space="preserve">, presentando un </w:t>
      </w:r>
      <w:r w:rsidR="003B710A">
        <w:rPr>
          <w:rFonts w:ascii="Arial" w:hAnsi="Arial" w:cs="Arial"/>
          <w:sz w:val="18"/>
          <w:szCs w:val="18"/>
        </w:rPr>
        <w:t>incremento</w:t>
      </w:r>
      <w:r w:rsidR="007D6C18">
        <w:rPr>
          <w:rFonts w:ascii="Arial" w:hAnsi="Arial" w:cs="Arial"/>
          <w:sz w:val="18"/>
          <w:szCs w:val="18"/>
        </w:rPr>
        <w:t xml:space="preserve"> del </w:t>
      </w:r>
      <w:r w:rsidR="0075084B">
        <w:rPr>
          <w:rFonts w:ascii="Arial" w:hAnsi="Arial" w:cs="Arial"/>
          <w:sz w:val="18"/>
          <w:szCs w:val="18"/>
        </w:rPr>
        <w:t>6</w:t>
      </w:r>
      <w:r w:rsidR="00D01486">
        <w:rPr>
          <w:rFonts w:ascii="Arial" w:hAnsi="Arial" w:cs="Arial"/>
          <w:sz w:val="18"/>
          <w:szCs w:val="18"/>
        </w:rPr>
        <w:t>.</w:t>
      </w:r>
      <w:r w:rsidR="0075084B">
        <w:rPr>
          <w:rFonts w:ascii="Arial" w:hAnsi="Arial" w:cs="Arial"/>
          <w:sz w:val="18"/>
          <w:szCs w:val="18"/>
        </w:rPr>
        <w:t>22</w:t>
      </w:r>
      <w:r w:rsidR="007D6C18">
        <w:rPr>
          <w:rFonts w:ascii="Arial" w:hAnsi="Arial" w:cs="Arial"/>
          <w:sz w:val="18"/>
          <w:szCs w:val="18"/>
        </w:rPr>
        <w:t>%</w:t>
      </w:r>
      <w:r w:rsidR="00647478">
        <w:rPr>
          <w:rFonts w:ascii="Arial" w:hAnsi="Arial" w:cs="Arial"/>
          <w:sz w:val="18"/>
          <w:szCs w:val="18"/>
        </w:rPr>
        <w:t>,</w:t>
      </w:r>
      <w:r w:rsidR="007D6C18">
        <w:rPr>
          <w:rFonts w:ascii="Arial" w:hAnsi="Arial" w:cs="Arial"/>
          <w:sz w:val="18"/>
          <w:szCs w:val="18"/>
        </w:rPr>
        <w:t xml:space="preserve"> respecto </w:t>
      </w:r>
      <w:r w:rsidR="0075084B">
        <w:rPr>
          <w:rFonts w:ascii="Arial" w:hAnsi="Arial" w:cs="Arial"/>
          <w:sz w:val="18"/>
          <w:szCs w:val="18"/>
        </w:rPr>
        <w:t xml:space="preserve">al mismo periodo del </w:t>
      </w:r>
      <w:r w:rsidR="007A327C">
        <w:rPr>
          <w:rFonts w:ascii="Arial" w:hAnsi="Arial" w:cs="Arial"/>
          <w:sz w:val="18"/>
          <w:szCs w:val="18"/>
        </w:rPr>
        <w:t>ejercicio</w:t>
      </w:r>
      <w:r w:rsidR="007D6C18">
        <w:rPr>
          <w:rFonts w:ascii="Arial" w:hAnsi="Arial" w:cs="Arial"/>
          <w:sz w:val="18"/>
          <w:szCs w:val="18"/>
        </w:rPr>
        <w:t xml:space="preserve"> 202</w:t>
      </w:r>
      <w:r w:rsidR="00D01486">
        <w:rPr>
          <w:rFonts w:ascii="Arial" w:hAnsi="Arial" w:cs="Arial"/>
          <w:sz w:val="18"/>
          <w:szCs w:val="18"/>
        </w:rPr>
        <w:t>2</w:t>
      </w:r>
      <w:r w:rsidRPr="0073056A">
        <w:rPr>
          <w:rFonts w:ascii="Arial" w:hAnsi="Arial" w:cs="Arial"/>
          <w:sz w:val="18"/>
          <w:szCs w:val="18"/>
        </w:rPr>
        <w:t>.</w:t>
      </w:r>
    </w:p>
    <w:p w14:paraId="739E1440" w14:textId="5131DC91"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6C18">
        <w:rPr>
          <w:rFonts w:ascii="Arial" w:hAnsi="Arial" w:cs="Arial"/>
          <w:sz w:val="18"/>
          <w:szCs w:val="18"/>
        </w:rPr>
        <w:t>8</w:t>
      </w:r>
      <w:r w:rsidRPr="00F619D6">
        <w:rPr>
          <w:rFonts w:ascii="Arial" w:hAnsi="Arial" w:cs="Arial"/>
          <w:sz w:val="18"/>
          <w:szCs w:val="18"/>
        </w:rPr>
        <w:t>,</w:t>
      </w:r>
      <w:r w:rsidR="00D01486">
        <w:rPr>
          <w:rFonts w:ascii="Arial" w:hAnsi="Arial" w:cs="Arial"/>
          <w:sz w:val="18"/>
          <w:szCs w:val="18"/>
        </w:rPr>
        <w:t>10</w:t>
      </w:r>
      <w:r w:rsidR="007B3E3B">
        <w:rPr>
          <w:rFonts w:ascii="Arial" w:hAnsi="Arial" w:cs="Arial"/>
          <w:sz w:val="18"/>
          <w:szCs w:val="18"/>
        </w:rPr>
        <w:t>4</w:t>
      </w:r>
      <w:r w:rsidRPr="00F619D6">
        <w:rPr>
          <w:rFonts w:ascii="Arial" w:hAnsi="Arial" w:cs="Arial"/>
          <w:sz w:val="18"/>
          <w:szCs w:val="18"/>
        </w:rPr>
        <w:t>,</w:t>
      </w:r>
      <w:r w:rsidR="007B3E3B">
        <w:rPr>
          <w:rFonts w:ascii="Arial" w:hAnsi="Arial" w:cs="Arial"/>
          <w:sz w:val="18"/>
          <w:szCs w:val="18"/>
        </w:rPr>
        <w:t>110</w:t>
      </w:r>
      <w:r w:rsidRPr="00F619D6">
        <w:rPr>
          <w:rFonts w:ascii="Arial" w:hAnsi="Arial" w:cs="Arial"/>
          <w:sz w:val="18"/>
          <w:szCs w:val="18"/>
        </w:rPr>
        <w:t>,</w:t>
      </w:r>
      <w:r w:rsidR="00D01486">
        <w:rPr>
          <w:rFonts w:ascii="Arial" w:hAnsi="Arial" w:cs="Arial"/>
          <w:sz w:val="18"/>
          <w:szCs w:val="18"/>
        </w:rPr>
        <w:t>88</w:t>
      </w:r>
      <w:r w:rsidR="007B3E3B">
        <w:rPr>
          <w:rFonts w:ascii="Arial" w:hAnsi="Arial" w:cs="Arial"/>
          <w:sz w:val="18"/>
          <w:szCs w:val="18"/>
        </w:rPr>
        <w:t>6</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reflejando un</w:t>
      </w:r>
      <w:r w:rsidR="0075084B">
        <w:rPr>
          <w:rFonts w:ascii="Arial" w:hAnsi="Arial" w:cs="Arial"/>
          <w:sz w:val="18"/>
          <w:szCs w:val="18"/>
        </w:rPr>
        <w:t xml:space="preserve"> incremento</w:t>
      </w:r>
      <w:r w:rsidR="007B3E3B">
        <w:rPr>
          <w:rFonts w:ascii="Arial" w:hAnsi="Arial" w:cs="Arial"/>
          <w:sz w:val="18"/>
          <w:szCs w:val="18"/>
        </w:rPr>
        <w:t xml:space="preserve"> </w:t>
      </w:r>
      <w:r w:rsidR="007D6C18">
        <w:rPr>
          <w:rFonts w:ascii="Arial" w:hAnsi="Arial" w:cs="Arial"/>
          <w:sz w:val="18"/>
          <w:szCs w:val="18"/>
        </w:rPr>
        <w:t xml:space="preserve">del </w:t>
      </w:r>
      <w:r w:rsidR="0075084B">
        <w:rPr>
          <w:rFonts w:ascii="Arial" w:hAnsi="Arial" w:cs="Arial"/>
          <w:sz w:val="18"/>
          <w:szCs w:val="18"/>
        </w:rPr>
        <w:t>46</w:t>
      </w:r>
      <w:r w:rsidR="007D6C18">
        <w:rPr>
          <w:rFonts w:ascii="Arial" w:hAnsi="Arial" w:cs="Arial"/>
          <w:sz w:val="18"/>
          <w:szCs w:val="18"/>
        </w:rPr>
        <w:t>.</w:t>
      </w:r>
      <w:r w:rsidR="007B3E3B">
        <w:rPr>
          <w:rFonts w:ascii="Arial" w:hAnsi="Arial" w:cs="Arial"/>
          <w:sz w:val="18"/>
          <w:szCs w:val="18"/>
        </w:rPr>
        <w:t>6</w:t>
      </w:r>
      <w:r w:rsidR="0075084B">
        <w:rPr>
          <w:rFonts w:ascii="Arial" w:hAnsi="Arial" w:cs="Arial"/>
          <w:sz w:val="18"/>
          <w:szCs w:val="18"/>
        </w:rPr>
        <w:t>3</w:t>
      </w:r>
      <w:r w:rsidR="007D6C18">
        <w:rPr>
          <w:rFonts w:ascii="Arial" w:hAnsi="Arial" w:cs="Arial"/>
          <w:sz w:val="18"/>
          <w:szCs w:val="18"/>
        </w:rPr>
        <w:t>%</w:t>
      </w:r>
      <w:r w:rsidR="00647478">
        <w:rPr>
          <w:rFonts w:ascii="Arial" w:hAnsi="Arial" w:cs="Arial"/>
          <w:sz w:val="18"/>
          <w:szCs w:val="18"/>
        </w:rPr>
        <w:t>,</w:t>
      </w:r>
      <w:r w:rsidR="007D6C18">
        <w:rPr>
          <w:rFonts w:ascii="Arial" w:hAnsi="Arial" w:cs="Arial"/>
          <w:sz w:val="18"/>
          <w:szCs w:val="18"/>
        </w:rPr>
        <w:t xml:space="preserve"> respecto al </w:t>
      </w:r>
      <w:r w:rsidR="0075084B">
        <w:rPr>
          <w:rFonts w:ascii="Arial" w:hAnsi="Arial" w:cs="Arial"/>
          <w:sz w:val="18"/>
          <w:szCs w:val="18"/>
        </w:rPr>
        <w:t xml:space="preserve">mismo periodo del </w:t>
      </w:r>
      <w:r w:rsidR="007A327C">
        <w:rPr>
          <w:rFonts w:ascii="Arial" w:hAnsi="Arial" w:cs="Arial"/>
          <w:sz w:val="18"/>
          <w:szCs w:val="18"/>
        </w:rPr>
        <w:t>ejercicio</w:t>
      </w:r>
      <w:r w:rsidR="007D6C18">
        <w:rPr>
          <w:rFonts w:ascii="Arial" w:hAnsi="Arial" w:cs="Arial"/>
          <w:sz w:val="18"/>
          <w:szCs w:val="18"/>
        </w:rPr>
        <w:t xml:space="preserve"> 202</w:t>
      </w:r>
      <w:r w:rsidR="00D01486">
        <w:rPr>
          <w:rFonts w:ascii="Arial" w:hAnsi="Arial" w:cs="Arial"/>
          <w:sz w:val="18"/>
          <w:szCs w:val="18"/>
        </w:rPr>
        <w:t>2</w:t>
      </w:r>
      <w:r>
        <w:rPr>
          <w:rFonts w:ascii="Arial" w:hAnsi="Arial" w:cs="Arial"/>
          <w:sz w:val="18"/>
          <w:szCs w:val="18"/>
        </w:rPr>
        <w:t>.</w:t>
      </w:r>
    </w:p>
    <w:p w14:paraId="127BDE74" w14:textId="00E77A73"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$1</w:t>
      </w:r>
      <w:r w:rsidR="007D6C18">
        <w:rPr>
          <w:rFonts w:ascii="Arial" w:hAnsi="Arial" w:cs="Arial"/>
          <w:sz w:val="18"/>
          <w:szCs w:val="18"/>
        </w:rPr>
        <w:t>9</w:t>
      </w:r>
      <w:r w:rsidR="007B3E3B">
        <w:rPr>
          <w:rFonts w:ascii="Arial" w:hAnsi="Arial" w:cs="Arial"/>
          <w:sz w:val="18"/>
          <w:szCs w:val="18"/>
        </w:rPr>
        <w:t>1</w:t>
      </w:r>
      <w:r w:rsidR="00B006FD">
        <w:rPr>
          <w:rFonts w:ascii="Arial" w:hAnsi="Arial" w:cs="Arial"/>
          <w:sz w:val="18"/>
          <w:szCs w:val="18"/>
        </w:rPr>
        <w:t>,</w:t>
      </w:r>
      <w:r w:rsidR="007B3E3B">
        <w:rPr>
          <w:rFonts w:ascii="Arial" w:hAnsi="Arial" w:cs="Arial"/>
          <w:sz w:val="18"/>
          <w:szCs w:val="18"/>
        </w:rPr>
        <w:t>564</w:t>
      </w:r>
      <w:r w:rsidR="00B006FD">
        <w:rPr>
          <w:rFonts w:ascii="Arial" w:hAnsi="Arial" w:cs="Arial"/>
          <w:sz w:val="18"/>
          <w:szCs w:val="18"/>
        </w:rPr>
        <w:t>,</w:t>
      </w:r>
      <w:r w:rsidR="007D6C18">
        <w:rPr>
          <w:rFonts w:ascii="Arial" w:hAnsi="Arial" w:cs="Arial"/>
          <w:sz w:val="18"/>
          <w:szCs w:val="18"/>
        </w:rPr>
        <w:t>851</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xml:space="preserve">, </w:t>
      </w:r>
      <w:r w:rsidR="00D01486">
        <w:rPr>
          <w:rFonts w:ascii="Arial" w:hAnsi="Arial" w:cs="Arial"/>
          <w:sz w:val="18"/>
          <w:szCs w:val="18"/>
        </w:rPr>
        <w:t xml:space="preserve">observándose </w:t>
      </w:r>
      <w:r w:rsidR="007B3E3B">
        <w:rPr>
          <w:rFonts w:ascii="Arial" w:hAnsi="Arial" w:cs="Arial"/>
          <w:sz w:val="18"/>
          <w:szCs w:val="18"/>
        </w:rPr>
        <w:t xml:space="preserve">una </w:t>
      </w:r>
      <w:r w:rsidR="00D01486">
        <w:rPr>
          <w:rFonts w:ascii="Arial" w:hAnsi="Arial" w:cs="Arial"/>
          <w:sz w:val="18"/>
          <w:szCs w:val="18"/>
        </w:rPr>
        <w:t>variaci</w:t>
      </w:r>
      <w:r w:rsidR="007B3E3B">
        <w:rPr>
          <w:rFonts w:ascii="Arial" w:hAnsi="Arial" w:cs="Arial"/>
          <w:sz w:val="18"/>
          <w:szCs w:val="18"/>
        </w:rPr>
        <w:t xml:space="preserve">ón del </w:t>
      </w:r>
      <w:r w:rsidR="0075084B">
        <w:rPr>
          <w:rFonts w:ascii="Arial" w:hAnsi="Arial" w:cs="Arial"/>
          <w:sz w:val="18"/>
          <w:szCs w:val="18"/>
        </w:rPr>
        <w:t>37</w:t>
      </w:r>
      <w:r w:rsidR="007B3E3B">
        <w:rPr>
          <w:rFonts w:ascii="Arial" w:hAnsi="Arial" w:cs="Arial"/>
          <w:sz w:val="18"/>
          <w:szCs w:val="18"/>
        </w:rPr>
        <w:t>.3</w:t>
      </w:r>
      <w:r w:rsidR="0075084B">
        <w:rPr>
          <w:rFonts w:ascii="Arial" w:hAnsi="Arial" w:cs="Arial"/>
          <w:sz w:val="18"/>
          <w:szCs w:val="18"/>
        </w:rPr>
        <w:t>2</w:t>
      </w:r>
      <w:r w:rsidR="007B3E3B">
        <w:rPr>
          <w:rFonts w:ascii="Arial" w:hAnsi="Arial" w:cs="Arial"/>
          <w:sz w:val="18"/>
          <w:szCs w:val="18"/>
        </w:rPr>
        <w:t>%</w:t>
      </w:r>
      <w:r w:rsidR="00647478">
        <w:rPr>
          <w:rFonts w:ascii="Arial" w:hAnsi="Arial" w:cs="Arial"/>
          <w:sz w:val="18"/>
          <w:szCs w:val="18"/>
        </w:rPr>
        <w:t>,</w:t>
      </w:r>
      <w:r w:rsidR="00D01486">
        <w:rPr>
          <w:rFonts w:ascii="Arial" w:hAnsi="Arial" w:cs="Arial"/>
          <w:sz w:val="18"/>
          <w:szCs w:val="18"/>
        </w:rPr>
        <w:t xml:space="preserve"> </w:t>
      </w:r>
      <w:r w:rsidR="007D6C18">
        <w:rPr>
          <w:rFonts w:ascii="Arial" w:hAnsi="Arial" w:cs="Arial"/>
          <w:sz w:val="18"/>
          <w:szCs w:val="18"/>
        </w:rPr>
        <w:t xml:space="preserve">en relación al </w:t>
      </w:r>
      <w:r w:rsidR="0075084B">
        <w:rPr>
          <w:rFonts w:ascii="Arial" w:hAnsi="Arial" w:cs="Arial"/>
          <w:sz w:val="18"/>
          <w:szCs w:val="18"/>
        </w:rPr>
        <w:t xml:space="preserve">mismo periodo del </w:t>
      </w:r>
      <w:r w:rsidR="007A327C">
        <w:rPr>
          <w:rFonts w:ascii="Arial" w:hAnsi="Arial" w:cs="Arial"/>
          <w:sz w:val="18"/>
          <w:szCs w:val="18"/>
        </w:rPr>
        <w:t>ejercicio</w:t>
      </w:r>
      <w:r w:rsidR="0075084B">
        <w:rPr>
          <w:rFonts w:ascii="Arial" w:hAnsi="Arial" w:cs="Arial"/>
          <w:sz w:val="18"/>
          <w:szCs w:val="18"/>
        </w:rPr>
        <w:t xml:space="preserve"> </w:t>
      </w:r>
      <w:r w:rsidR="007D6C18">
        <w:rPr>
          <w:rFonts w:ascii="Arial" w:hAnsi="Arial" w:cs="Arial"/>
          <w:sz w:val="18"/>
          <w:szCs w:val="18"/>
        </w:rPr>
        <w:t>202</w:t>
      </w:r>
      <w:r w:rsidR="00D01486">
        <w:rPr>
          <w:rFonts w:ascii="Arial" w:hAnsi="Arial" w:cs="Arial"/>
          <w:sz w:val="18"/>
          <w:szCs w:val="18"/>
        </w:rPr>
        <w:t>2</w:t>
      </w:r>
      <w:r w:rsidR="007D6C18" w:rsidRPr="00137E93">
        <w:rPr>
          <w:rFonts w:ascii="Arial" w:hAnsi="Arial" w:cs="Arial"/>
          <w:sz w:val="18"/>
          <w:szCs w:val="18"/>
        </w:rPr>
        <w:t>.</w:t>
      </w:r>
    </w:p>
    <w:p w14:paraId="5678F7A6" w14:textId="77777777" w:rsidR="00647478" w:rsidRDefault="00647478" w:rsidP="00332091">
      <w:pPr>
        <w:pStyle w:val="ROMANOS"/>
        <w:tabs>
          <w:tab w:val="clear" w:pos="720"/>
          <w:tab w:val="left" w:pos="284"/>
        </w:tabs>
        <w:spacing w:after="0" w:line="276" w:lineRule="auto"/>
        <w:ind w:left="284" w:firstLine="0"/>
        <w:rPr>
          <w:b/>
          <w:lang w:val="es-MX"/>
        </w:rPr>
      </w:pPr>
    </w:p>
    <w:p w14:paraId="21AC1B5E" w14:textId="1380FD10"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62A29B05" w14:textId="77777777" w:rsidR="00661352" w:rsidRPr="00FB6E0E" w:rsidRDefault="00661352" w:rsidP="00332091">
      <w:pPr>
        <w:pStyle w:val="ROMANOS"/>
        <w:tabs>
          <w:tab w:val="clear" w:pos="720"/>
          <w:tab w:val="left" w:pos="284"/>
        </w:tabs>
        <w:spacing w:after="0" w:line="276" w:lineRule="auto"/>
        <w:ind w:left="284" w:firstLine="0"/>
        <w:rPr>
          <w:b/>
          <w:lang w:val="es-MX"/>
        </w:rPr>
      </w:pPr>
    </w:p>
    <w:p w14:paraId="1321FFA9" w14:textId="77777777"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1A59BF01" w14:textId="77777777"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0013D38"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14:paraId="4A963521" w14:textId="097FD610"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7B3E3B">
        <w:rPr>
          <w:rFonts w:ascii="Arial" w:hAnsi="Arial" w:cs="Arial"/>
          <w:sz w:val="18"/>
          <w:szCs w:val="18"/>
        </w:rPr>
        <w:t>junio</w:t>
      </w:r>
      <w:r>
        <w:rPr>
          <w:rFonts w:ascii="Arial" w:hAnsi="Arial" w:cs="Arial"/>
          <w:sz w:val="18"/>
          <w:szCs w:val="18"/>
        </w:rPr>
        <w:t xml:space="preserve"> del ejercicio 20</w:t>
      </w:r>
      <w:r w:rsidR="00111884">
        <w:rPr>
          <w:rFonts w:ascii="Arial" w:hAnsi="Arial" w:cs="Arial"/>
          <w:sz w:val="18"/>
          <w:szCs w:val="18"/>
        </w:rPr>
        <w:t>2</w:t>
      </w:r>
      <w:r w:rsidR="000E5D7B">
        <w:rPr>
          <w:rFonts w:ascii="Arial" w:hAnsi="Arial" w:cs="Arial"/>
          <w:sz w:val="18"/>
          <w:szCs w:val="18"/>
        </w:rPr>
        <w:t>3</w:t>
      </w:r>
      <w:r>
        <w:rPr>
          <w:rFonts w:ascii="Arial" w:hAnsi="Arial" w:cs="Arial"/>
          <w:sz w:val="18"/>
          <w:szCs w:val="18"/>
        </w:rPr>
        <w:t>, el Poder Ejecutivo no cuenta con Otros Activos.</w:t>
      </w:r>
    </w:p>
    <w:p w14:paraId="7F811E22"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14:paraId="176E02AE" w14:textId="77777777"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269784B" w14:textId="77777777"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5338C018" w14:textId="4B51441A"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892C87">
        <w:rPr>
          <w:rFonts w:ascii="Arial" w:hAnsi="Arial" w:cs="Arial"/>
          <w:sz w:val="18"/>
          <w:szCs w:val="18"/>
        </w:rPr>
        <w:t>1,</w:t>
      </w:r>
      <w:r w:rsidR="007B3E3B">
        <w:rPr>
          <w:rFonts w:ascii="Arial" w:hAnsi="Arial" w:cs="Arial"/>
          <w:sz w:val="18"/>
          <w:szCs w:val="18"/>
        </w:rPr>
        <w:t>230</w:t>
      </w:r>
      <w:r w:rsidR="00B006FD">
        <w:rPr>
          <w:rFonts w:ascii="Arial" w:hAnsi="Arial" w:cs="Arial"/>
          <w:sz w:val="18"/>
          <w:szCs w:val="18"/>
        </w:rPr>
        <w:t>,</w:t>
      </w:r>
      <w:r w:rsidR="007B3E3B">
        <w:rPr>
          <w:rFonts w:ascii="Arial" w:hAnsi="Arial" w:cs="Arial"/>
          <w:sz w:val="18"/>
          <w:szCs w:val="18"/>
        </w:rPr>
        <w:t>503</w:t>
      </w:r>
      <w:r w:rsidR="00B006FD">
        <w:rPr>
          <w:rFonts w:ascii="Arial" w:hAnsi="Arial" w:cs="Arial"/>
          <w:sz w:val="18"/>
          <w:szCs w:val="18"/>
        </w:rPr>
        <w:t>,</w:t>
      </w:r>
      <w:r w:rsidR="007B3E3B">
        <w:rPr>
          <w:rFonts w:ascii="Arial" w:hAnsi="Arial" w:cs="Arial"/>
          <w:sz w:val="18"/>
          <w:szCs w:val="18"/>
        </w:rPr>
        <w:t>723</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r w:rsidR="00892C87">
        <w:rPr>
          <w:rFonts w:ascii="Arial" w:hAnsi="Arial" w:cs="Arial"/>
          <w:sz w:val="18"/>
          <w:szCs w:val="18"/>
        </w:rPr>
        <w:t xml:space="preserve"> En este rubro se tiene un </w:t>
      </w:r>
      <w:r w:rsidR="00C74F3B">
        <w:rPr>
          <w:rFonts w:ascii="Arial" w:hAnsi="Arial" w:cs="Arial"/>
          <w:sz w:val="18"/>
          <w:szCs w:val="18"/>
        </w:rPr>
        <w:t>incremento</w:t>
      </w:r>
      <w:r w:rsidR="00892C87">
        <w:rPr>
          <w:rFonts w:ascii="Arial" w:hAnsi="Arial" w:cs="Arial"/>
          <w:sz w:val="18"/>
          <w:szCs w:val="18"/>
        </w:rPr>
        <w:t xml:space="preserve"> del </w:t>
      </w:r>
      <w:r w:rsidR="00C74F3B">
        <w:rPr>
          <w:rFonts w:ascii="Arial" w:hAnsi="Arial" w:cs="Arial"/>
          <w:sz w:val="18"/>
          <w:szCs w:val="18"/>
        </w:rPr>
        <w:t>42.4</w:t>
      </w:r>
      <w:r w:rsidR="00892C87">
        <w:rPr>
          <w:rFonts w:ascii="Arial" w:hAnsi="Arial" w:cs="Arial"/>
          <w:sz w:val="18"/>
          <w:szCs w:val="18"/>
        </w:rPr>
        <w:t>%</w:t>
      </w:r>
      <w:r w:rsidR="00647478">
        <w:rPr>
          <w:rFonts w:ascii="Arial" w:hAnsi="Arial" w:cs="Arial"/>
          <w:sz w:val="18"/>
          <w:szCs w:val="18"/>
        </w:rPr>
        <w:t>,</w:t>
      </w:r>
      <w:r w:rsidR="00892C87">
        <w:rPr>
          <w:rFonts w:ascii="Arial" w:hAnsi="Arial" w:cs="Arial"/>
          <w:sz w:val="18"/>
          <w:szCs w:val="18"/>
        </w:rPr>
        <w:t xml:space="preserve"> respecto del </w:t>
      </w:r>
      <w:r w:rsidR="00C74F3B">
        <w:rPr>
          <w:rFonts w:ascii="Arial" w:hAnsi="Arial" w:cs="Arial"/>
          <w:sz w:val="18"/>
          <w:szCs w:val="18"/>
        </w:rPr>
        <w:t xml:space="preserve">mismo periodo del </w:t>
      </w:r>
      <w:r w:rsidR="00892C87">
        <w:rPr>
          <w:rFonts w:ascii="Arial" w:hAnsi="Arial" w:cs="Arial"/>
          <w:sz w:val="18"/>
          <w:szCs w:val="18"/>
        </w:rPr>
        <w:t>ejercicio 202</w:t>
      </w:r>
      <w:r w:rsidR="000E5D7B">
        <w:rPr>
          <w:rFonts w:ascii="Arial" w:hAnsi="Arial" w:cs="Arial"/>
          <w:sz w:val="18"/>
          <w:szCs w:val="18"/>
        </w:rPr>
        <w:t>2</w:t>
      </w:r>
      <w:r w:rsidR="00892C87">
        <w:rPr>
          <w:rFonts w:ascii="Arial" w:hAnsi="Arial" w:cs="Arial"/>
          <w:sz w:val="18"/>
          <w:szCs w:val="18"/>
        </w:rPr>
        <w:t>.</w:t>
      </w:r>
    </w:p>
    <w:p w14:paraId="432E3375" w14:textId="77777777"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3D39BB25"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7B3E3B">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874341">
        <w:rPr>
          <w:rFonts w:ascii="Arial" w:hAnsi="Arial" w:cs="Arial"/>
          <w:sz w:val="18"/>
          <w:szCs w:val="18"/>
        </w:rPr>
        <w:t>3</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7B3E3B">
        <w:rPr>
          <w:rFonts w:ascii="Arial" w:hAnsi="Arial" w:cs="Arial"/>
          <w:sz w:val="18"/>
          <w:szCs w:val="18"/>
        </w:rPr>
        <w:t>13</w:t>
      </w:r>
      <w:r>
        <w:rPr>
          <w:rFonts w:ascii="Arial" w:hAnsi="Arial" w:cs="Arial"/>
          <w:sz w:val="18"/>
          <w:szCs w:val="18"/>
        </w:rPr>
        <w:t>,</w:t>
      </w:r>
      <w:r w:rsidR="007B3E3B">
        <w:rPr>
          <w:rFonts w:ascii="Arial" w:hAnsi="Arial" w:cs="Arial"/>
          <w:sz w:val="18"/>
          <w:szCs w:val="18"/>
        </w:rPr>
        <w:t>839</w:t>
      </w:r>
      <w:r>
        <w:rPr>
          <w:rFonts w:ascii="Arial" w:hAnsi="Arial" w:cs="Arial"/>
          <w:sz w:val="18"/>
          <w:szCs w:val="18"/>
        </w:rPr>
        <w:t>,</w:t>
      </w:r>
      <w:r w:rsidR="007B3E3B">
        <w:rPr>
          <w:rFonts w:ascii="Arial" w:hAnsi="Arial" w:cs="Arial"/>
          <w:sz w:val="18"/>
          <w:szCs w:val="18"/>
        </w:rPr>
        <w:t>986</w:t>
      </w:r>
      <w:r>
        <w:rPr>
          <w:rFonts w:ascii="Arial" w:hAnsi="Arial" w:cs="Arial"/>
          <w:sz w:val="18"/>
          <w:szCs w:val="18"/>
        </w:rPr>
        <w:t>,</w:t>
      </w:r>
      <w:r w:rsidR="007B3E3B">
        <w:rPr>
          <w:rFonts w:ascii="Arial" w:hAnsi="Arial" w:cs="Arial"/>
          <w:sz w:val="18"/>
          <w:szCs w:val="18"/>
        </w:rPr>
        <w:t>853</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7B3E3B">
        <w:rPr>
          <w:rFonts w:ascii="Arial" w:hAnsi="Arial" w:cs="Arial"/>
          <w:sz w:val="18"/>
          <w:szCs w:val="18"/>
        </w:rPr>
        <w:t>11</w:t>
      </w:r>
      <w:r>
        <w:rPr>
          <w:rFonts w:ascii="Arial" w:hAnsi="Arial" w:cs="Arial"/>
          <w:sz w:val="18"/>
          <w:szCs w:val="18"/>
        </w:rPr>
        <w:t>,</w:t>
      </w:r>
      <w:r w:rsidR="007B3E3B">
        <w:rPr>
          <w:rFonts w:ascii="Arial" w:hAnsi="Arial" w:cs="Arial"/>
          <w:sz w:val="18"/>
          <w:szCs w:val="18"/>
        </w:rPr>
        <w:t>174</w:t>
      </w:r>
      <w:r>
        <w:rPr>
          <w:rFonts w:ascii="Arial" w:hAnsi="Arial" w:cs="Arial"/>
          <w:sz w:val="18"/>
          <w:szCs w:val="18"/>
        </w:rPr>
        <w:t>,</w:t>
      </w:r>
      <w:r w:rsidR="00BD6D26">
        <w:rPr>
          <w:rFonts w:ascii="Arial" w:hAnsi="Arial" w:cs="Arial"/>
          <w:sz w:val="18"/>
          <w:szCs w:val="18"/>
        </w:rPr>
        <w:t>914</w:t>
      </w:r>
      <w:r>
        <w:rPr>
          <w:rFonts w:ascii="Arial" w:hAnsi="Arial" w:cs="Arial"/>
          <w:sz w:val="18"/>
          <w:szCs w:val="18"/>
        </w:rPr>
        <w:t>,</w:t>
      </w:r>
      <w:r w:rsidR="00BD6D26">
        <w:rPr>
          <w:rFonts w:ascii="Arial" w:hAnsi="Arial" w:cs="Arial"/>
          <w:sz w:val="18"/>
          <w:szCs w:val="18"/>
        </w:rPr>
        <w:t>467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A634CF">
        <w:rPr>
          <w:rFonts w:ascii="Arial" w:hAnsi="Arial" w:cs="Arial"/>
          <w:sz w:val="18"/>
          <w:szCs w:val="18"/>
        </w:rPr>
        <w:t>2</w:t>
      </w:r>
      <w:r w:rsidR="007F6AFD">
        <w:rPr>
          <w:rFonts w:ascii="Arial" w:hAnsi="Arial" w:cs="Arial"/>
          <w:sz w:val="18"/>
          <w:szCs w:val="18"/>
        </w:rPr>
        <w:t>,</w:t>
      </w:r>
      <w:r w:rsidR="00A634CF">
        <w:rPr>
          <w:rFonts w:ascii="Arial" w:hAnsi="Arial" w:cs="Arial"/>
          <w:sz w:val="18"/>
          <w:szCs w:val="18"/>
        </w:rPr>
        <w:t>665</w:t>
      </w:r>
      <w:r>
        <w:rPr>
          <w:rFonts w:ascii="Arial" w:hAnsi="Arial" w:cs="Arial"/>
          <w:sz w:val="18"/>
          <w:szCs w:val="18"/>
        </w:rPr>
        <w:t>,</w:t>
      </w:r>
      <w:r w:rsidR="00A634CF">
        <w:rPr>
          <w:rFonts w:ascii="Arial" w:hAnsi="Arial" w:cs="Arial"/>
          <w:sz w:val="18"/>
          <w:szCs w:val="18"/>
        </w:rPr>
        <w:t>072</w:t>
      </w:r>
      <w:r>
        <w:rPr>
          <w:rFonts w:ascii="Arial" w:hAnsi="Arial" w:cs="Arial"/>
          <w:sz w:val="18"/>
          <w:szCs w:val="18"/>
        </w:rPr>
        <w:t>,</w:t>
      </w:r>
      <w:r w:rsidR="00A634CF">
        <w:rPr>
          <w:rFonts w:ascii="Arial" w:hAnsi="Arial" w:cs="Arial"/>
          <w:sz w:val="18"/>
          <w:szCs w:val="18"/>
        </w:rPr>
        <w:t>386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A634CF">
        <w:rPr>
          <w:rFonts w:ascii="Arial" w:hAnsi="Arial" w:cs="Arial"/>
          <w:sz w:val="18"/>
          <w:szCs w:val="18"/>
        </w:rPr>
        <w:t xml:space="preserve">mayor en un </w:t>
      </w:r>
      <w:r w:rsidR="00642C1A">
        <w:rPr>
          <w:rFonts w:ascii="Arial" w:hAnsi="Arial" w:cs="Arial"/>
          <w:sz w:val="18"/>
          <w:szCs w:val="18"/>
        </w:rPr>
        <w:t>27.6</w:t>
      </w:r>
      <w:r w:rsidR="00A634CF">
        <w:rPr>
          <w:rFonts w:ascii="Arial" w:hAnsi="Arial" w:cs="Arial"/>
          <w:sz w:val="18"/>
          <w:szCs w:val="18"/>
        </w:rPr>
        <w:t>%</w:t>
      </w:r>
      <w:r w:rsidR="00304672">
        <w:rPr>
          <w:rFonts w:ascii="Arial" w:hAnsi="Arial" w:cs="Arial"/>
          <w:sz w:val="18"/>
          <w:szCs w:val="18"/>
        </w:rPr>
        <w:t xml:space="preserve">, respecto al </w:t>
      </w:r>
      <w:r w:rsidR="00642C1A">
        <w:rPr>
          <w:rFonts w:ascii="Arial" w:hAnsi="Arial" w:cs="Arial"/>
          <w:sz w:val="18"/>
          <w:szCs w:val="18"/>
        </w:rPr>
        <w:t xml:space="preserve">mismo periodo del </w:t>
      </w:r>
      <w:r w:rsidR="007A327C">
        <w:rPr>
          <w:rFonts w:ascii="Arial" w:hAnsi="Arial" w:cs="Arial"/>
          <w:sz w:val="18"/>
          <w:szCs w:val="18"/>
        </w:rPr>
        <w:t xml:space="preserve">ejercicio </w:t>
      </w:r>
      <w:r w:rsidR="00304672">
        <w:rPr>
          <w:rFonts w:ascii="Arial" w:hAnsi="Arial" w:cs="Arial"/>
          <w:sz w:val="18"/>
          <w:szCs w:val="18"/>
        </w:rPr>
        <w:t>202</w:t>
      </w:r>
      <w:r w:rsidR="007A327C">
        <w:rPr>
          <w:rFonts w:ascii="Arial" w:hAnsi="Arial" w:cs="Arial"/>
          <w:sz w:val="18"/>
          <w:szCs w:val="18"/>
        </w:rPr>
        <w:t>2</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07AE6760"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A634CF">
        <w:rPr>
          <w:rFonts w:ascii="Arial" w:hAnsi="Arial" w:cs="Arial"/>
          <w:sz w:val="18"/>
          <w:szCs w:val="18"/>
        </w:rPr>
        <w:t>juni</w:t>
      </w:r>
      <w:r w:rsidR="00DC16A9">
        <w:rPr>
          <w:rFonts w:ascii="Arial" w:hAnsi="Arial" w:cs="Arial"/>
          <w:sz w:val="18"/>
          <w:szCs w:val="18"/>
        </w:rPr>
        <w:t>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DC16A9">
        <w:rPr>
          <w:rFonts w:ascii="Arial" w:hAnsi="Arial" w:cs="Arial"/>
          <w:sz w:val="18"/>
          <w:szCs w:val="18"/>
        </w:rPr>
        <w:t>3</w:t>
      </w:r>
      <w:r w:rsidRPr="0073056A">
        <w:rPr>
          <w:rFonts w:ascii="Arial" w:hAnsi="Arial" w:cs="Arial"/>
          <w:sz w:val="18"/>
          <w:szCs w:val="18"/>
        </w:rPr>
        <w:t xml:space="preserve"> se recaudó la cantidad de $</w:t>
      </w:r>
      <w:r w:rsidR="00A634CF">
        <w:rPr>
          <w:rFonts w:ascii="Arial" w:hAnsi="Arial" w:cs="Arial"/>
          <w:sz w:val="18"/>
          <w:szCs w:val="18"/>
        </w:rPr>
        <w:t>427</w:t>
      </w:r>
      <w:r>
        <w:rPr>
          <w:rFonts w:ascii="Arial" w:hAnsi="Arial" w:cs="Arial"/>
          <w:sz w:val="18"/>
          <w:szCs w:val="18"/>
        </w:rPr>
        <w:t>,</w:t>
      </w:r>
      <w:r w:rsidR="00A634CF">
        <w:rPr>
          <w:rFonts w:ascii="Arial" w:hAnsi="Arial" w:cs="Arial"/>
          <w:sz w:val="18"/>
          <w:szCs w:val="18"/>
        </w:rPr>
        <w:t>266</w:t>
      </w:r>
      <w:r>
        <w:rPr>
          <w:rFonts w:ascii="Arial" w:hAnsi="Arial" w:cs="Arial"/>
          <w:sz w:val="18"/>
          <w:szCs w:val="18"/>
        </w:rPr>
        <w:t>,</w:t>
      </w:r>
      <w:r w:rsidR="00A634CF">
        <w:rPr>
          <w:rFonts w:ascii="Arial" w:hAnsi="Arial" w:cs="Arial"/>
          <w:sz w:val="18"/>
          <w:szCs w:val="18"/>
        </w:rPr>
        <w:t>973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A634CF">
        <w:rPr>
          <w:rFonts w:ascii="Arial" w:hAnsi="Arial" w:cs="Arial"/>
          <w:sz w:val="18"/>
          <w:szCs w:val="18"/>
        </w:rPr>
        <w:t>378</w:t>
      </w:r>
      <w:r w:rsidR="00E004F0">
        <w:rPr>
          <w:rFonts w:ascii="Arial" w:hAnsi="Arial" w:cs="Arial"/>
          <w:sz w:val="18"/>
          <w:szCs w:val="18"/>
        </w:rPr>
        <w:t>,</w:t>
      </w:r>
      <w:r w:rsidR="00A634CF">
        <w:rPr>
          <w:rFonts w:ascii="Arial" w:hAnsi="Arial" w:cs="Arial"/>
          <w:sz w:val="18"/>
          <w:szCs w:val="18"/>
        </w:rPr>
        <w:t>474</w:t>
      </w:r>
      <w:r w:rsidR="00AB0983">
        <w:rPr>
          <w:rFonts w:ascii="Arial" w:hAnsi="Arial" w:cs="Arial"/>
          <w:sz w:val="18"/>
          <w:szCs w:val="18"/>
        </w:rPr>
        <w:t>,</w:t>
      </w:r>
      <w:r w:rsidR="00A634CF">
        <w:rPr>
          <w:rFonts w:ascii="Arial" w:hAnsi="Arial" w:cs="Arial"/>
          <w:sz w:val="18"/>
          <w:szCs w:val="18"/>
        </w:rPr>
        <w:t>688</w:t>
      </w:r>
      <w:r>
        <w:rPr>
          <w:rFonts w:ascii="Arial" w:hAnsi="Arial" w:cs="Arial"/>
          <w:sz w:val="18"/>
          <w:szCs w:val="18"/>
        </w:rPr>
        <w:t>; sobre la Producción, el Consumo y las transacciones por un importe de $</w:t>
      </w:r>
      <w:r w:rsidR="00A634CF">
        <w:rPr>
          <w:rFonts w:ascii="Arial" w:hAnsi="Arial" w:cs="Arial"/>
          <w:sz w:val="18"/>
          <w:szCs w:val="18"/>
        </w:rPr>
        <w:t>26</w:t>
      </w:r>
      <w:r>
        <w:rPr>
          <w:rFonts w:ascii="Arial" w:hAnsi="Arial" w:cs="Arial"/>
          <w:sz w:val="18"/>
          <w:szCs w:val="18"/>
        </w:rPr>
        <w:t>,</w:t>
      </w:r>
      <w:r w:rsidR="00A634CF">
        <w:rPr>
          <w:rFonts w:ascii="Arial" w:hAnsi="Arial" w:cs="Arial"/>
          <w:sz w:val="18"/>
          <w:szCs w:val="18"/>
        </w:rPr>
        <w:t>720</w:t>
      </w:r>
      <w:r>
        <w:rPr>
          <w:rFonts w:ascii="Arial" w:hAnsi="Arial" w:cs="Arial"/>
          <w:sz w:val="18"/>
          <w:szCs w:val="18"/>
        </w:rPr>
        <w:t>,</w:t>
      </w:r>
      <w:r w:rsidR="00A634CF">
        <w:rPr>
          <w:rFonts w:ascii="Arial" w:hAnsi="Arial" w:cs="Arial"/>
          <w:sz w:val="18"/>
          <w:szCs w:val="18"/>
        </w:rPr>
        <w:t>191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A634CF">
        <w:rPr>
          <w:rFonts w:ascii="Arial" w:hAnsi="Arial" w:cs="Arial"/>
          <w:sz w:val="18"/>
          <w:szCs w:val="18"/>
        </w:rPr>
        <w:t>5</w:t>
      </w:r>
      <w:r>
        <w:rPr>
          <w:rFonts w:ascii="Arial" w:hAnsi="Arial" w:cs="Arial"/>
          <w:sz w:val="18"/>
          <w:szCs w:val="18"/>
        </w:rPr>
        <w:t>,</w:t>
      </w:r>
      <w:r w:rsidR="00A634CF">
        <w:rPr>
          <w:rFonts w:ascii="Arial" w:hAnsi="Arial" w:cs="Arial"/>
          <w:sz w:val="18"/>
          <w:szCs w:val="18"/>
        </w:rPr>
        <w:t>583</w:t>
      </w:r>
      <w:r>
        <w:rPr>
          <w:rFonts w:ascii="Arial" w:hAnsi="Arial" w:cs="Arial"/>
          <w:sz w:val="18"/>
          <w:szCs w:val="18"/>
        </w:rPr>
        <w:t>,</w:t>
      </w:r>
      <w:r w:rsidR="00A634CF">
        <w:rPr>
          <w:rFonts w:ascii="Arial" w:hAnsi="Arial" w:cs="Arial"/>
          <w:sz w:val="18"/>
          <w:szCs w:val="18"/>
        </w:rPr>
        <w:t>848</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642C1A">
        <w:rPr>
          <w:rFonts w:ascii="Arial" w:hAnsi="Arial" w:cs="Arial"/>
          <w:sz w:val="18"/>
          <w:szCs w:val="18"/>
        </w:rPr>
        <w:t>in</w:t>
      </w:r>
      <w:r w:rsidR="00304672">
        <w:rPr>
          <w:rFonts w:ascii="Arial" w:hAnsi="Arial" w:cs="Arial"/>
          <w:sz w:val="18"/>
          <w:szCs w:val="18"/>
        </w:rPr>
        <w:t xml:space="preserve">cremento en impuestos del </w:t>
      </w:r>
      <w:r w:rsidR="00A634CF">
        <w:rPr>
          <w:rFonts w:ascii="Arial" w:hAnsi="Arial" w:cs="Arial"/>
          <w:sz w:val="18"/>
          <w:szCs w:val="18"/>
        </w:rPr>
        <w:t>4</w:t>
      </w:r>
      <w:r w:rsidR="00304672">
        <w:rPr>
          <w:rFonts w:ascii="Arial" w:hAnsi="Arial" w:cs="Arial"/>
          <w:sz w:val="18"/>
          <w:szCs w:val="18"/>
        </w:rPr>
        <w:t>.</w:t>
      </w:r>
      <w:r w:rsidR="00A634CF">
        <w:rPr>
          <w:rFonts w:ascii="Arial" w:hAnsi="Arial" w:cs="Arial"/>
          <w:sz w:val="18"/>
          <w:szCs w:val="18"/>
        </w:rPr>
        <w:t>7</w:t>
      </w:r>
      <w:r w:rsidR="00304672">
        <w:rPr>
          <w:rFonts w:ascii="Arial" w:hAnsi="Arial" w:cs="Arial"/>
          <w:sz w:val="18"/>
          <w:szCs w:val="18"/>
        </w:rPr>
        <w:t>%</w:t>
      </w:r>
      <w:r w:rsidR="00647478">
        <w:rPr>
          <w:rFonts w:ascii="Arial" w:hAnsi="Arial" w:cs="Arial"/>
          <w:sz w:val="18"/>
          <w:szCs w:val="18"/>
        </w:rPr>
        <w:t>,</w:t>
      </w:r>
      <w:r w:rsidR="00304672">
        <w:rPr>
          <w:rFonts w:ascii="Arial" w:hAnsi="Arial" w:cs="Arial"/>
          <w:sz w:val="18"/>
          <w:szCs w:val="18"/>
        </w:rPr>
        <w:t xml:space="preserve"> respecto del </w:t>
      </w:r>
      <w:r w:rsidR="00642C1A">
        <w:rPr>
          <w:rFonts w:ascii="Arial" w:hAnsi="Arial" w:cs="Arial"/>
          <w:sz w:val="18"/>
          <w:szCs w:val="18"/>
        </w:rPr>
        <w:t xml:space="preserve">mismo periodo del </w:t>
      </w:r>
      <w:r w:rsidR="00304672">
        <w:rPr>
          <w:rFonts w:ascii="Arial" w:hAnsi="Arial" w:cs="Arial"/>
          <w:sz w:val="18"/>
          <w:szCs w:val="18"/>
        </w:rPr>
        <w:t>ejercicio 202</w:t>
      </w:r>
      <w:r w:rsidR="00DC16A9">
        <w:rPr>
          <w:rFonts w:ascii="Arial" w:hAnsi="Arial" w:cs="Arial"/>
          <w:sz w:val="18"/>
          <w:szCs w:val="18"/>
        </w:rPr>
        <w:t>2</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48C08938"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A634CF">
        <w:rPr>
          <w:rFonts w:ascii="Arial" w:hAnsi="Arial" w:cs="Arial"/>
          <w:sz w:val="18"/>
          <w:szCs w:val="18"/>
        </w:rPr>
        <w:t>juni</w:t>
      </w:r>
      <w:r w:rsidR="007A327C">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sidR="00A634CF">
        <w:rPr>
          <w:rFonts w:ascii="Arial" w:hAnsi="Arial" w:cs="Arial"/>
          <w:sz w:val="18"/>
          <w:szCs w:val="18"/>
        </w:rPr>
        <w:t>413</w:t>
      </w:r>
      <w:r>
        <w:rPr>
          <w:rFonts w:ascii="Arial" w:hAnsi="Arial" w:cs="Arial"/>
          <w:sz w:val="18"/>
          <w:szCs w:val="18"/>
        </w:rPr>
        <w:t>,</w:t>
      </w:r>
      <w:r w:rsidR="00A634CF">
        <w:rPr>
          <w:rFonts w:ascii="Arial" w:hAnsi="Arial" w:cs="Arial"/>
          <w:sz w:val="18"/>
          <w:szCs w:val="18"/>
        </w:rPr>
        <w:t>096</w:t>
      </w:r>
      <w:r>
        <w:rPr>
          <w:rFonts w:ascii="Arial" w:hAnsi="Arial" w:cs="Arial"/>
          <w:sz w:val="18"/>
          <w:szCs w:val="18"/>
        </w:rPr>
        <w:t>,</w:t>
      </w:r>
      <w:r w:rsidR="00A634CF">
        <w:rPr>
          <w:rFonts w:ascii="Arial" w:hAnsi="Arial" w:cs="Arial"/>
          <w:sz w:val="18"/>
          <w:szCs w:val="18"/>
        </w:rPr>
        <w:t>178</w:t>
      </w:r>
      <w:r w:rsidRPr="0073056A">
        <w:rPr>
          <w:rFonts w:ascii="Arial" w:hAnsi="Arial" w:cs="Arial"/>
          <w:sz w:val="18"/>
          <w:szCs w:val="18"/>
        </w:rPr>
        <w:t>.</w:t>
      </w:r>
      <w:r w:rsidR="00304672">
        <w:rPr>
          <w:rFonts w:ascii="Arial" w:hAnsi="Arial" w:cs="Arial"/>
          <w:sz w:val="18"/>
          <w:szCs w:val="18"/>
        </w:rPr>
        <w:t xml:space="preserve"> Mostrando un </w:t>
      </w:r>
      <w:r w:rsidR="00642C1A">
        <w:rPr>
          <w:rFonts w:ascii="Arial" w:hAnsi="Arial" w:cs="Arial"/>
          <w:sz w:val="18"/>
          <w:szCs w:val="18"/>
        </w:rPr>
        <w:t>in</w:t>
      </w:r>
      <w:r w:rsidR="00304672">
        <w:rPr>
          <w:rFonts w:ascii="Arial" w:hAnsi="Arial" w:cs="Arial"/>
          <w:sz w:val="18"/>
          <w:szCs w:val="18"/>
        </w:rPr>
        <w:t xml:space="preserve">cremento del </w:t>
      </w:r>
      <w:r w:rsidR="00642C1A">
        <w:rPr>
          <w:rFonts w:ascii="Arial" w:hAnsi="Arial" w:cs="Arial"/>
          <w:sz w:val="18"/>
          <w:szCs w:val="18"/>
        </w:rPr>
        <w:t>37.7</w:t>
      </w:r>
      <w:r w:rsidR="00304672">
        <w:rPr>
          <w:rFonts w:ascii="Arial" w:hAnsi="Arial" w:cs="Arial"/>
          <w:sz w:val="18"/>
          <w:szCs w:val="18"/>
        </w:rPr>
        <w:t>%</w:t>
      </w:r>
      <w:r w:rsidR="00647478">
        <w:rPr>
          <w:rFonts w:ascii="Arial" w:hAnsi="Arial" w:cs="Arial"/>
          <w:sz w:val="18"/>
          <w:szCs w:val="18"/>
        </w:rPr>
        <w:t>,</w:t>
      </w:r>
      <w:r w:rsidR="00304672">
        <w:rPr>
          <w:rFonts w:ascii="Arial" w:hAnsi="Arial" w:cs="Arial"/>
          <w:sz w:val="18"/>
          <w:szCs w:val="18"/>
        </w:rPr>
        <w:t xml:space="preserve"> respecto </w:t>
      </w:r>
      <w:r w:rsidR="00642C1A">
        <w:rPr>
          <w:rFonts w:ascii="Arial" w:hAnsi="Arial" w:cs="Arial"/>
          <w:sz w:val="18"/>
          <w:szCs w:val="18"/>
        </w:rPr>
        <w:t>del mismo periodo de</w:t>
      </w:r>
      <w:r w:rsidR="00304672">
        <w:rPr>
          <w:rFonts w:ascii="Arial" w:hAnsi="Arial" w:cs="Arial"/>
          <w:sz w:val="18"/>
          <w:szCs w:val="18"/>
        </w:rPr>
        <w:t xml:space="preserve">l </w:t>
      </w:r>
      <w:r w:rsidR="007A327C">
        <w:rPr>
          <w:rFonts w:ascii="Arial" w:hAnsi="Arial" w:cs="Arial"/>
          <w:sz w:val="18"/>
          <w:szCs w:val="18"/>
        </w:rPr>
        <w:t>ejercicio</w:t>
      </w:r>
      <w:r w:rsidR="00304672">
        <w:rPr>
          <w:rFonts w:ascii="Arial" w:hAnsi="Arial" w:cs="Arial"/>
          <w:sz w:val="18"/>
          <w:szCs w:val="18"/>
        </w:rPr>
        <w:t xml:space="preserve"> 202</w:t>
      </w:r>
      <w:r w:rsidR="007A327C">
        <w:rPr>
          <w:rFonts w:ascii="Arial" w:hAnsi="Arial" w:cs="Arial"/>
          <w:sz w:val="18"/>
          <w:szCs w:val="18"/>
        </w:rPr>
        <w:t>2</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1D5CFDCA"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A634CF">
        <w:rPr>
          <w:rFonts w:ascii="Arial" w:hAnsi="Arial" w:cs="Arial"/>
          <w:sz w:val="18"/>
          <w:szCs w:val="18"/>
        </w:rPr>
        <w:t>juni</w:t>
      </w:r>
      <w:r w:rsidR="007A327C">
        <w:rPr>
          <w:rFonts w:ascii="Arial" w:hAnsi="Arial" w:cs="Arial"/>
          <w:sz w:val="18"/>
          <w:szCs w:val="18"/>
        </w:rPr>
        <w:t>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A634CF">
        <w:rPr>
          <w:rFonts w:ascii="Arial" w:hAnsi="Arial" w:cs="Arial"/>
          <w:sz w:val="18"/>
          <w:szCs w:val="18"/>
        </w:rPr>
        <w:t>127</w:t>
      </w:r>
      <w:r w:rsidRPr="00502DDD">
        <w:rPr>
          <w:rFonts w:ascii="Arial" w:hAnsi="Arial" w:cs="Arial"/>
          <w:sz w:val="18"/>
          <w:szCs w:val="18"/>
        </w:rPr>
        <w:t>,</w:t>
      </w:r>
      <w:r w:rsidR="00A634CF">
        <w:rPr>
          <w:rFonts w:ascii="Arial" w:hAnsi="Arial" w:cs="Arial"/>
          <w:sz w:val="18"/>
          <w:szCs w:val="18"/>
        </w:rPr>
        <w:t>574</w:t>
      </w:r>
      <w:r w:rsidRPr="00502DDD">
        <w:rPr>
          <w:rFonts w:ascii="Arial" w:hAnsi="Arial" w:cs="Arial"/>
          <w:sz w:val="18"/>
          <w:szCs w:val="18"/>
        </w:rPr>
        <w:t>,</w:t>
      </w:r>
      <w:r w:rsidR="00A634CF">
        <w:rPr>
          <w:rFonts w:ascii="Arial" w:hAnsi="Arial" w:cs="Arial"/>
          <w:sz w:val="18"/>
          <w:szCs w:val="18"/>
        </w:rPr>
        <w:t>370</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642C1A">
        <w:rPr>
          <w:rFonts w:ascii="Arial" w:hAnsi="Arial" w:cs="Arial"/>
          <w:sz w:val="18"/>
          <w:szCs w:val="18"/>
        </w:rPr>
        <w:t>in</w:t>
      </w:r>
      <w:r w:rsidR="00304672">
        <w:rPr>
          <w:rFonts w:ascii="Arial" w:hAnsi="Arial" w:cs="Arial"/>
          <w:sz w:val="18"/>
          <w:szCs w:val="18"/>
        </w:rPr>
        <w:t xml:space="preserve">cremento del </w:t>
      </w:r>
      <w:r w:rsidR="00642C1A">
        <w:rPr>
          <w:rFonts w:ascii="Arial" w:hAnsi="Arial" w:cs="Arial"/>
          <w:sz w:val="18"/>
          <w:szCs w:val="18"/>
        </w:rPr>
        <w:t>80</w:t>
      </w:r>
      <w:r w:rsidR="00EC5C97">
        <w:rPr>
          <w:rFonts w:ascii="Arial" w:hAnsi="Arial" w:cs="Arial"/>
          <w:sz w:val="18"/>
          <w:szCs w:val="18"/>
        </w:rPr>
        <w:t>.</w:t>
      </w:r>
      <w:r w:rsidR="0014373E">
        <w:rPr>
          <w:rFonts w:ascii="Arial" w:hAnsi="Arial" w:cs="Arial"/>
          <w:sz w:val="18"/>
          <w:szCs w:val="18"/>
        </w:rPr>
        <w:t>8</w:t>
      </w:r>
      <w:r w:rsidR="00304672">
        <w:rPr>
          <w:rFonts w:ascii="Arial" w:hAnsi="Arial" w:cs="Arial"/>
          <w:sz w:val="18"/>
          <w:szCs w:val="18"/>
        </w:rPr>
        <w:t>%</w:t>
      </w:r>
      <w:r w:rsidR="00647478">
        <w:rPr>
          <w:rFonts w:ascii="Arial" w:hAnsi="Arial" w:cs="Arial"/>
          <w:sz w:val="18"/>
          <w:szCs w:val="18"/>
        </w:rPr>
        <w:t>,</w:t>
      </w:r>
      <w:r w:rsidR="00304672">
        <w:rPr>
          <w:rFonts w:ascii="Arial" w:hAnsi="Arial" w:cs="Arial"/>
          <w:sz w:val="18"/>
          <w:szCs w:val="18"/>
        </w:rPr>
        <w:t xml:space="preserve"> respecto del </w:t>
      </w:r>
      <w:r w:rsidR="00642C1A">
        <w:rPr>
          <w:rFonts w:ascii="Arial" w:hAnsi="Arial" w:cs="Arial"/>
          <w:sz w:val="18"/>
          <w:szCs w:val="18"/>
        </w:rPr>
        <w:t xml:space="preserve">mismo periodo del </w:t>
      </w:r>
      <w:r w:rsidR="00304672">
        <w:rPr>
          <w:rFonts w:ascii="Arial" w:hAnsi="Arial" w:cs="Arial"/>
          <w:sz w:val="18"/>
          <w:szCs w:val="18"/>
        </w:rPr>
        <w:t>ejercicio 202</w:t>
      </w:r>
      <w:r w:rsidR="007A327C">
        <w:rPr>
          <w:rFonts w:ascii="Arial" w:hAnsi="Arial" w:cs="Arial"/>
          <w:sz w:val="18"/>
          <w:szCs w:val="18"/>
        </w:rPr>
        <w:t>2</w:t>
      </w:r>
      <w:r w:rsidR="00304672">
        <w:rPr>
          <w:rFonts w:ascii="Arial" w:hAnsi="Arial" w:cs="Arial"/>
          <w:sz w:val="18"/>
          <w:szCs w:val="18"/>
        </w:rPr>
        <w:t>.</w:t>
      </w:r>
    </w:p>
    <w:p w14:paraId="3629EEAD" w14:textId="77777777" w:rsidR="00304672" w:rsidRDefault="00304672" w:rsidP="00304672">
      <w:pPr>
        <w:tabs>
          <w:tab w:val="left" w:pos="284"/>
        </w:tabs>
        <w:spacing w:after="0"/>
        <w:ind w:left="284"/>
        <w:jc w:val="both"/>
        <w:rPr>
          <w:rFonts w:ascii="Arial" w:hAnsi="Arial" w:cs="Arial"/>
          <w:b/>
          <w:sz w:val="18"/>
          <w:szCs w:val="18"/>
        </w:rPr>
      </w:pP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Aprovechamientos</w:t>
      </w:r>
    </w:p>
    <w:p w14:paraId="2D0EAFDD" w14:textId="12F2D4E1"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1054F7">
        <w:rPr>
          <w:rFonts w:ascii="Arial" w:hAnsi="Arial" w:cs="Arial"/>
          <w:sz w:val="18"/>
          <w:szCs w:val="18"/>
        </w:rPr>
        <w:t>juni</w:t>
      </w:r>
      <w:r w:rsidR="007A327C">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7A327C">
        <w:rPr>
          <w:rFonts w:ascii="Arial" w:hAnsi="Arial" w:cs="Arial"/>
          <w:sz w:val="18"/>
          <w:szCs w:val="18"/>
        </w:rPr>
        <w:t>3</w:t>
      </w:r>
      <w:r w:rsidRPr="0073056A">
        <w:rPr>
          <w:rFonts w:ascii="Arial" w:hAnsi="Arial" w:cs="Arial"/>
          <w:sz w:val="18"/>
          <w:szCs w:val="18"/>
        </w:rPr>
        <w:t>, el Estado obtuvo ingresos por concepto de Aprovechamientos por un monto de $</w:t>
      </w:r>
      <w:r w:rsidR="001054F7">
        <w:rPr>
          <w:rFonts w:ascii="Arial" w:hAnsi="Arial" w:cs="Arial"/>
          <w:sz w:val="18"/>
          <w:szCs w:val="18"/>
        </w:rPr>
        <w:t>6</w:t>
      </w:r>
      <w:r>
        <w:rPr>
          <w:rFonts w:ascii="Arial" w:hAnsi="Arial" w:cs="Arial"/>
          <w:sz w:val="18"/>
          <w:szCs w:val="18"/>
        </w:rPr>
        <w:t>,</w:t>
      </w:r>
      <w:r w:rsidR="007A327C">
        <w:rPr>
          <w:rFonts w:ascii="Arial" w:hAnsi="Arial" w:cs="Arial"/>
          <w:sz w:val="18"/>
          <w:szCs w:val="18"/>
        </w:rPr>
        <w:t>781</w:t>
      </w:r>
      <w:r w:rsidR="00363494">
        <w:rPr>
          <w:rFonts w:ascii="Arial" w:hAnsi="Arial" w:cs="Arial"/>
          <w:sz w:val="18"/>
          <w:szCs w:val="18"/>
        </w:rPr>
        <w:t>,</w:t>
      </w:r>
      <w:r w:rsidR="007A327C">
        <w:rPr>
          <w:rFonts w:ascii="Arial" w:hAnsi="Arial" w:cs="Arial"/>
          <w:sz w:val="18"/>
          <w:szCs w:val="18"/>
        </w:rPr>
        <w:t>715</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7A327C">
        <w:rPr>
          <w:rFonts w:ascii="Arial" w:hAnsi="Arial" w:cs="Arial"/>
          <w:sz w:val="18"/>
          <w:szCs w:val="18"/>
        </w:rPr>
        <w:t>de</w:t>
      </w:r>
      <w:r w:rsidR="00EC5C97">
        <w:rPr>
          <w:rFonts w:ascii="Arial" w:hAnsi="Arial" w:cs="Arial"/>
          <w:sz w:val="18"/>
          <w:szCs w:val="18"/>
        </w:rPr>
        <w:t xml:space="preserve">cremento del </w:t>
      </w:r>
      <w:r w:rsidR="001054F7">
        <w:rPr>
          <w:rFonts w:ascii="Arial" w:hAnsi="Arial" w:cs="Arial"/>
          <w:sz w:val="18"/>
          <w:szCs w:val="18"/>
        </w:rPr>
        <w:t>59</w:t>
      </w:r>
      <w:r w:rsidR="00EC5C97">
        <w:rPr>
          <w:rFonts w:ascii="Arial" w:hAnsi="Arial" w:cs="Arial"/>
          <w:sz w:val="18"/>
          <w:szCs w:val="18"/>
        </w:rPr>
        <w:t>.</w:t>
      </w:r>
      <w:r w:rsidR="001054F7">
        <w:rPr>
          <w:rFonts w:ascii="Arial" w:hAnsi="Arial" w:cs="Arial"/>
          <w:sz w:val="18"/>
          <w:szCs w:val="18"/>
        </w:rPr>
        <w:t>1</w:t>
      </w:r>
      <w:r w:rsidR="00EC5C97">
        <w:rPr>
          <w:rFonts w:ascii="Arial" w:hAnsi="Arial" w:cs="Arial"/>
          <w:sz w:val="18"/>
          <w:szCs w:val="18"/>
        </w:rPr>
        <w:t>%</w:t>
      </w:r>
      <w:r w:rsidR="00647478">
        <w:rPr>
          <w:rFonts w:ascii="Arial" w:hAnsi="Arial" w:cs="Arial"/>
          <w:sz w:val="18"/>
          <w:szCs w:val="18"/>
        </w:rPr>
        <w:t>,</w:t>
      </w:r>
      <w:r w:rsidR="00EC5C97">
        <w:rPr>
          <w:rFonts w:ascii="Arial" w:hAnsi="Arial" w:cs="Arial"/>
          <w:sz w:val="18"/>
          <w:szCs w:val="18"/>
        </w:rPr>
        <w:t xml:space="preserve"> en relación al </w:t>
      </w:r>
      <w:r w:rsidR="00647478">
        <w:rPr>
          <w:rFonts w:ascii="Arial" w:hAnsi="Arial" w:cs="Arial"/>
          <w:sz w:val="18"/>
          <w:szCs w:val="18"/>
        </w:rPr>
        <w:t xml:space="preserve">mismo periodo del </w:t>
      </w:r>
      <w:r w:rsidR="007A327C">
        <w:rPr>
          <w:rFonts w:ascii="Arial" w:hAnsi="Arial" w:cs="Arial"/>
          <w:sz w:val="18"/>
          <w:szCs w:val="18"/>
        </w:rPr>
        <w:t>ejercicio</w:t>
      </w:r>
      <w:r w:rsidR="00EC5C97">
        <w:rPr>
          <w:rFonts w:ascii="Arial" w:hAnsi="Arial" w:cs="Arial"/>
          <w:sz w:val="18"/>
          <w:szCs w:val="18"/>
        </w:rPr>
        <w:t xml:space="preserve"> de 202</w:t>
      </w:r>
      <w:r w:rsidR="007A327C">
        <w:rPr>
          <w:rFonts w:ascii="Arial" w:hAnsi="Arial" w:cs="Arial"/>
          <w:sz w:val="18"/>
          <w:szCs w:val="18"/>
        </w:rPr>
        <w:t>2</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08DD6421"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1054F7">
        <w:rPr>
          <w:rFonts w:ascii="Arial" w:hAnsi="Arial" w:cs="Arial"/>
          <w:sz w:val="18"/>
          <w:szCs w:val="18"/>
        </w:rPr>
        <w:t>76</w:t>
      </w:r>
      <w:r>
        <w:rPr>
          <w:rFonts w:ascii="Arial" w:hAnsi="Arial" w:cs="Arial"/>
          <w:sz w:val="18"/>
          <w:szCs w:val="18"/>
        </w:rPr>
        <w:t>,</w:t>
      </w:r>
      <w:r w:rsidR="001054F7">
        <w:rPr>
          <w:rFonts w:ascii="Arial" w:hAnsi="Arial" w:cs="Arial"/>
          <w:sz w:val="18"/>
          <w:szCs w:val="18"/>
        </w:rPr>
        <w:t>961</w:t>
      </w:r>
      <w:r>
        <w:rPr>
          <w:rFonts w:ascii="Arial" w:hAnsi="Arial" w:cs="Arial"/>
          <w:sz w:val="18"/>
          <w:szCs w:val="18"/>
        </w:rPr>
        <w:t>,</w:t>
      </w:r>
      <w:r w:rsidR="001054F7">
        <w:rPr>
          <w:rFonts w:ascii="Arial" w:hAnsi="Arial" w:cs="Arial"/>
          <w:sz w:val="18"/>
          <w:szCs w:val="18"/>
        </w:rPr>
        <w:t>997</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642C1A">
        <w:rPr>
          <w:rFonts w:ascii="Arial" w:hAnsi="Arial" w:cs="Arial"/>
          <w:sz w:val="18"/>
          <w:szCs w:val="18"/>
        </w:rPr>
        <w:t>in</w:t>
      </w:r>
      <w:r w:rsidR="00EC5C97">
        <w:rPr>
          <w:rFonts w:ascii="Arial" w:hAnsi="Arial" w:cs="Arial"/>
          <w:sz w:val="18"/>
          <w:szCs w:val="18"/>
        </w:rPr>
        <w:t xml:space="preserve">cremento </w:t>
      </w:r>
      <w:r w:rsidR="00642C1A">
        <w:rPr>
          <w:rFonts w:ascii="Arial" w:hAnsi="Arial" w:cs="Arial"/>
          <w:sz w:val="18"/>
          <w:szCs w:val="18"/>
        </w:rPr>
        <w:t>de más de 100%</w:t>
      </w:r>
      <w:r w:rsidR="00647478">
        <w:rPr>
          <w:rFonts w:ascii="Arial" w:hAnsi="Arial" w:cs="Arial"/>
          <w:sz w:val="18"/>
          <w:szCs w:val="18"/>
        </w:rPr>
        <w:t>,</w:t>
      </w:r>
      <w:r w:rsidR="00642C1A">
        <w:rPr>
          <w:rFonts w:ascii="Arial" w:hAnsi="Arial" w:cs="Arial"/>
          <w:sz w:val="18"/>
          <w:szCs w:val="18"/>
        </w:rPr>
        <w:t xml:space="preserve"> en relación al mismo periodo del </w:t>
      </w:r>
      <w:r w:rsidR="00EC5C97">
        <w:rPr>
          <w:rFonts w:ascii="Arial" w:hAnsi="Arial" w:cs="Arial"/>
          <w:sz w:val="18"/>
          <w:szCs w:val="18"/>
        </w:rPr>
        <w:t>ejercicio 202</w:t>
      </w:r>
      <w:r w:rsidR="007A327C">
        <w:rPr>
          <w:rFonts w:ascii="Arial" w:hAnsi="Arial" w:cs="Arial"/>
          <w:sz w:val="18"/>
          <w:szCs w:val="18"/>
        </w:rPr>
        <w:t>2</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3AE5D0D5"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1054F7">
        <w:rPr>
          <w:rFonts w:ascii="Arial" w:hAnsi="Arial" w:cs="Arial"/>
          <w:sz w:val="18"/>
          <w:szCs w:val="18"/>
        </w:rPr>
        <w:t>12</w:t>
      </w:r>
      <w:r>
        <w:rPr>
          <w:rFonts w:ascii="Arial" w:hAnsi="Arial" w:cs="Arial"/>
          <w:sz w:val="18"/>
          <w:szCs w:val="18"/>
        </w:rPr>
        <w:t>,</w:t>
      </w:r>
      <w:r w:rsidR="001054F7">
        <w:rPr>
          <w:rFonts w:ascii="Arial" w:hAnsi="Arial" w:cs="Arial"/>
          <w:sz w:val="18"/>
          <w:szCs w:val="18"/>
        </w:rPr>
        <w:t>788</w:t>
      </w:r>
      <w:r>
        <w:rPr>
          <w:rFonts w:ascii="Arial" w:hAnsi="Arial" w:cs="Arial"/>
          <w:sz w:val="18"/>
          <w:szCs w:val="18"/>
        </w:rPr>
        <w:t>,</w:t>
      </w:r>
      <w:r w:rsidR="001054F7">
        <w:rPr>
          <w:rFonts w:ascii="Arial" w:hAnsi="Arial" w:cs="Arial"/>
          <w:sz w:val="18"/>
          <w:szCs w:val="18"/>
        </w:rPr>
        <w:t>305</w:t>
      </w:r>
      <w:r>
        <w:rPr>
          <w:rFonts w:ascii="Arial" w:hAnsi="Arial" w:cs="Arial"/>
          <w:sz w:val="18"/>
          <w:szCs w:val="18"/>
        </w:rPr>
        <w:t>,</w:t>
      </w:r>
      <w:r w:rsidR="001054F7">
        <w:rPr>
          <w:rFonts w:ascii="Arial" w:hAnsi="Arial" w:cs="Arial"/>
          <w:sz w:val="18"/>
          <w:szCs w:val="18"/>
        </w:rPr>
        <w:t>620</w:t>
      </w:r>
      <w:r>
        <w:rPr>
          <w:rFonts w:ascii="Arial" w:hAnsi="Arial" w:cs="Arial"/>
          <w:sz w:val="18"/>
          <w:szCs w:val="18"/>
        </w:rPr>
        <w:t xml:space="preserve"> al mes de </w:t>
      </w:r>
      <w:r w:rsidR="001054F7">
        <w:rPr>
          <w:rFonts w:ascii="Arial" w:hAnsi="Arial" w:cs="Arial"/>
          <w:sz w:val="18"/>
          <w:szCs w:val="18"/>
        </w:rPr>
        <w:t>junio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222D09">
        <w:rPr>
          <w:rFonts w:ascii="Arial" w:hAnsi="Arial" w:cs="Arial"/>
          <w:sz w:val="18"/>
          <w:szCs w:val="18"/>
        </w:rPr>
        <w:t>3</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A01F96">
        <w:rPr>
          <w:rFonts w:ascii="Arial" w:hAnsi="Arial" w:cs="Arial"/>
          <w:sz w:val="18"/>
          <w:szCs w:val="18"/>
        </w:rPr>
        <w:t xml:space="preserve">mismo periodo del </w:t>
      </w:r>
      <w:r w:rsidR="00222D09">
        <w:rPr>
          <w:rFonts w:ascii="Arial" w:hAnsi="Arial" w:cs="Arial"/>
          <w:sz w:val="18"/>
          <w:szCs w:val="18"/>
        </w:rPr>
        <w:t>ejercicio</w:t>
      </w:r>
      <w:r w:rsidR="00EC5C97">
        <w:rPr>
          <w:rFonts w:ascii="Arial" w:hAnsi="Arial" w:cs="Arial"/>
          <w:sz w:val="18"/>
          <w:szCs w:val="18"/>
        </w:rPr>
        <w:t xml:space="preserve"> de 202</w:t>
      </w:r>
      <w:r w:rsidR="00222D09">
        <w:rPr>
          <w:rFonts w:ascii="Arial" w:hAnsi="Arial" w:cs="Arial"/>
          <w:sz w:val="18"/>
          <w:szCs w:val="18"/>
        </w:rPr>
        <w:t>2</w:t>
      </w:r>
      <w:r w:rsidR="00EC5C97">
        <w:rPr>
          <w:rFonts w:ascii="Arial" w:hAnsi="Arial" w:cs="Arial"/>
          <w:sz w:val="18"/>
          <w:szCs w:val="18"/>
        </w:rPr>
        <w:t xml:space="preserve">, presenta un </w:t>
      </w:r>
      <w:r w:rsidR="00642C1A">
        <w:rPr>
          <w:rFonts w:ascii="Arial" w:hAnsi="Arial" w:cs="Arial"/>
          <w:sz w:val="18"/>
          <w:szCs w:val="18"/>
        </w:rPr>
        <w:t>in</w:t>
      </w:r>
      <w:r w:rsidR="00EC5C97">
        <w:rPr>
          <w:rFonts w:ascii="Arial" w:hAnsi="Arial" w:cs="Arial"/>
          <w:sz w:val="18"/>
          <w:szCs w:val="18"/>
        </w:rPr>
        <w:t xml:space="preserve">cremento del </w:t>
      </w:r>
      <w:r w:rsidR="00A01F96">
        <w:rPr>
          <w:rFonts w:ascii="Arial" w:hAnsi="Arial" w:cs="Arial"/>
          <w:sz w:val="18"/>
          <w:szCs w:val="18"/>
        </w:rPr>
        <w:t>14</w:t>
      </w:r>
      <w:r w:rsidR="00222D09">
        <w:rPr>
          <w:rFonts w:ascii="Arial" w:hAnsi="Arial" w:cs="Arial"/>
          <w:sz w:val="18"/>
          <w:szCs w:val="18"/>
        </w:rPr>
        <w:t>.</w:t>
      </w:r>
      <w:r w:rsidR="00A01F96">
        <w:rPr>
          <w:rFonts w:ascii="Arial" w:hAnsi="Arial" w:cs="Arial"/>
          <w:sz w:val="18"/>
          <w:szCs w:val="18"/>
        </w:rPr>
        <w:t>4</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4C2211EA"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1054F7">
        <w:rPr>
          <w:rFonts w:ascii="Arial" w:hAnsi="Arial" w:cs="Arial"/>
          <w:sz w:val="18"/>
          <w:szCs w:val="18"/>
        </w:rPr>
        <w:t>6</w:t>
      </w:r>
      <w:r>
        <w:rPr>
          <w:rFonts w:ascii="Arial" w:hAnsi="Arial" w:cs="Arial"/>
          <w:sz w:val="18"/>
          <w:szCs w:val="18"/>
        </w:rPr>
        <w:t>,</w:t>
      </w:r>
      <w:r w:rsidR="001054F7">
        <w:rPr>
          <w:rFonts w:ascii="Arial" w:hAnsi="Arial" w:cs="Arial"/>
          <w:sz w:val="18"/>
          <w:szCs w:val="18"/>
        </w:rPr>
        <w:t>084</w:t>
      </w:r>
      <w:r>
        <w:rPr>
          <w:rFonts w:ascii="Arial" w:hAnsi="Arial" w:cs="Arial"/>
          <w:sz w:val="18"/>
          <w:szCs w:val="18"/>
        </w:rPr>
        <w:t>,</w:t>
      </w:r>
      <w:r w:rsidR="001054F7">
        <w:rPr>
          <w:rFonts w:ascii="Arial" w:hAnsi="Arial" w:cs="Arial"/>
          <w:sz w:val="18"/>
          <w:szCs w:val="18"/>
        </w:rPr>
        <w:t>312</w:t>
      </w:r>
      <w:r>
        <w:rPr>
          <w:rFonts w:ascii="Arial" w:hAnsi="Arial" w:cs="Arial"/>
          <w:sz w:val="18"/>
          <w:szCs w:val="18"/>
        </w:rPr>
        <w:t>,</w:t>
      </w:r>
      <w:r w:rsidR="001054F7">
        <w:rPr>
          <w:rFonts w:ascii="Arial" w:hAnsi="Arial" w:cs="Arial"/>
          <w:sz w:val="18"/>
          <w:szCs w:val="18"/>
        </w:rPr>
        <w:t>154</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1054F7">
        <w:rPr>
          <w:rFonts w:ascii="Arial" w:hAnsi="Arial" w:cs="Arial"/>
          <w:sz w:val="18"/>
          <w:szCs w:val="18"/>
        </w:rPr>
        <w:t>7</w:t>
      </w:r>
      <w:r w:rsidR="00222D09">
        <w:rPr>
          <w:rFonts w:ascii="Arial" w:hAnsi="Arial" w:cs="Arial"/>
          <w:sz w:val="18"/>
          <w:szCs w:val="18"/>
        </w:rPr>
        <w:t>.</w:t>
      </w:r>
      <w:r w:rsidR="001054F7">
        <w:rPr>
          <w:rFonts w:ascii="Arial" w:hAnsi="Arial" w:cs="Arial"/>
          <w:sz w:val="18"/>
          <w:szCs w:val="18"/>
        </w:rPr>
        <w:t>2</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5DE67521"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1054F7">
        <w:rPr>
          <w:rFonts w:ascii="Arial" w:hAnsi="Arial" w:cs="Arial"/>
          <w:sz w:val="18"/>
          <w:szCs w:val="18"/>
        </w:rPr>
        <w:t>junio</w:t>
      </w:r>
      <w:r>
        <w:rPr>
          <w:rFonts w:ascii="Arial" w:hAnsi="Arial" w:cs="Arial"/>
          <w:sz w:val="18"/>
          <w:szCs w:val="18"/>
        </w:rPr>
        <w:t xml:space="preserve"> de 20</w:t>
      </w:r>
      <w:r w:rsidR="00B27A40">
        <w:rPr>
          <w:rFonts w:ascii="Arial" w:hAnsi="Arial" w:cs="Arial"/>
          <w:sz w:val="18"/>
          <w:szCs w:val="18"/>
        </w:rPr>
        <w:t>2</w:t>
      </w:r>
      <w:r w:rsidR="00222D09">
        <w:rPr>
          <w:rFonts w:ascii="Arial" w:hAnsi="Arial" w:cs="Arial"/>
          <w:sz w:val="18"/>
          <w:szCs w:val="18"/>
        </w:rPr>
        <w:t>3</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2F36C557" w:rsidR="00AE0E84" w:rsidRPr="0004135F" w:rsidRDefault="0058137B"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2,169</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536</w:t>
            </w:r>
            <w:r w:rsidR="00363494">
              <w:rPr>
                <w:rFonts w:eastAsia="Times New Roman" w:cstheme="minorHAnsi"/>
                <w:color w:val="000000"/>
                <w:sz w:val="20"/>
                <w:szCs w:val="18"/>
                <w:lang w:eastAsia="es-MX"/>
              </w:rPr>
              <w:t>,</w:t>
            </w:r>
            <w:r w:rsidR="00EC5C97">
              <w:rPr>
                <w:rFonts w:eastAsia="Times New Roman" w:cstheme="minorHAnsi"/>
                <w:color w:val="000000"/>
                <w:sz w:val="20"/>
                <w:szCs w:val="18"/>
                <w:lang w:eastAsia="es-MX"/>
              </w:rPr>
              <w:t>14</w:t>
            </w:r>
            <w:r w:rsidR="00222D09">
              <w:rPr>
                <w:rFonts w:eastAsia="Times New Roman" w:cstheme="minorHAnsi"/>
                <w:color w:val="000000"/>
                <w:sz w:val="20"/>
                <w:szCs w:val="18"/>
                <w:lang w:eastAsia="es-MX"/>
              </w:rPr>
              <w:t>2</w:t>
            </w:r>
          </w:p>
        </w:tc>
        <w:tc>
          <w:tcPr>
            <w:tcW w:w="1214" w:type="dxa"/>
            <w:tcBorders>
              <w:top w:val="nil"/>
              <w:left w:val="nil"/>
              <w:bottom w:val="single" w:sz="8" w:space="0" w:color="auto"/>
              <w:right w:val="single" w:sz="8" w:space="0" w:color="auto"/>
            </w:tcBorders>
            <w:shd w:val="clear" w:color="auto" w:fill="auto"/>
            <w:noWrap/>
            <w:vAlign w:val="center"/>
          </w:tcPr>
          <w:p w14:paraId="6E3D10BF" w14:textId="28ED0EF8"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w:t>
            </w:r>
            <w:r w:rsidR="009E71C0">
              <w:rPr>
                <w:rFonts w:eastAsia="Times New Roman" w:cstheme="minorHAnsi"/>
                <w:color w:val="000000"/>
                <w:sz w:val="20"/>
                <w:szCs w:val="18"/>
                <w:lang w:eastAsia="es-MX"/>
              </w:rPr>
              <w:t>9</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2</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59E699F9"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1,108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146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461</w:t>
            </w:r>
          </w:p>
        </w:tc>
        <w:tc>
          <w:tcPr>
            <w:tcW w:w="1214" w:type="dxa"/>
            <w:tcBorders>
              <w:top w:val="nil"/>
              <w:left w:val="nil"/>
              <w:bottom w:val="single" w:sz="8" w:space="0" w:color="auto"/>
              <w:right w:val="single" w:sz="8" w:space="0" w:color="auto"/>
            </w:tcBorders>
            <w:shd w:val="clear" w:color="auto" w:fill="auto"/>
            <w:noWrap/>
            <w:vAlign w:val="center"/>
          </w:tcPr>
          <w:p w14:paraId="279F69EC" w14:textId="0A700F43"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9E71C0">
              <w:rPr>
                <w:rFonts w:eastAsia="Times New Roman" w:cstheme="minorHAnsi"/>
                <w:color w:val="000000"/>
                <w:sz w:val="20"/>
                <w:szCs w:val="18"/>
                <w:lang w:eastAsia="es-MX"/>
              </w:rPr>
              <w:t>0</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0</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5C381FE6"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85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317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210</w:t>
            </w:r>
          </w:p>
        </w:tc>
        <w:tc>
          <w:tcPr>
            <w:tcW w:w="1214" w:type="dxa"/>
            <w:tcBorders>
              <w:top w:val="nil"/>
              <w:left w:val="nil"/>
              <w:bottom w:val="single" w:sz="8" w:space="0" w:color="auto"/>
              <w:right w:val="single" w:sz="8" w:space="0" w:color="auto"/>
            </w:tcBorders>
            <w:shd w:val="clear" w:color="auto" w:fill="auto"/>
            <w:noWrap/>
            <w:vAlign w:val="center"/>
          </w:tcPr>
          <w:p w14:paraId="5E3983A1" w14:textId="73D00DF6"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9E71C0">
              <w:rPr>
                <w:rFonts w:eastAsia="Times New Roman" w:cstheme="minorHAnsi"/>
                <w:color w:val="000000"/>
                <w:sz w:val="20"/>
                <w:szCs w:val="18"/>
                <w:lang w:eastAsia="es-MX"/>
              </w:rPr>
              <w:t>5</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76C09C4E"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618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535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842</w:t>
            </w:r>
          </w:p>
        </w:tc>
        <w:tc>
          <w:tcPr>
            <w:tcW w:w="1214" w:type="dxa"/>
            <w:tcBorders>
              <w:top w:val="nil"/>
              <w:left w:val="nil"/>
              <w:bottom w:val="single" w:sz="8" w:space="0" w:color="auto"/>
              <w:right w:val="single" w:sz="8" w:space="0" w:color="auto"/>
            </w:tcBorders>
            <w:shd w:val="clear" w:color="auto" w:fill="auto"/>
            <w:noWrap/>
            <w:vAlign w:val="center"/>
          </w:tcPr>
          <w:p w14:paraId="7F8B696D" w14:textId="623CB044"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9E71C0">
              <w:rPr>
                <w:rFonts w:eastAsia="Times New Roman" w:cstheme="minorHAnsi"/>
                <w:color w:val="000000"/>
                <w:sz w:val="20"/>
                <w:szCs w:val="18"/>
                <w:lang w:eastAsia="es-MX"/>
              </w:rPr>
              <w:t>1</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2</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7EE05E35"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w:t>
            </w:r>
            <w:r w:rsidR="00FE59F7">
              <w:rPr>
                <w:rFonts w:eastAsia="Times New Roman" w:cstheme="minorHAnsi"/>
                <w:color w:val="000000"/>
                <w:sz w:val="20"/>
                <w:szCs w:val="18"/>
                <w:lang w:eastAsia="es-MX"/>
              </w:rPr>
              <w:t>99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114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160</w:t>
            </w:r>
          </w:p>
        </w:tc>
        <w:tc>
          <w:tcPr>
            <w:tcW w:w="1214" w:type="dxa"/>
            <w:tcBorders>
              <w:top w:val="nil"/>
              <w:left w:val="nil"/>
              <w:bottom w:val="single" w:sz="8" w:space="0" w:color="auto"/>
              <w:right w:val="single" w:sz="8" w:space="0" w:color="auto"/>
            </w:tcBorders>
            <w:shd w:val="clear" w:color="auto" w:fill="auto"/>
            <w:noWrap/>
            <w:vAlign w:val="center"/>
          </w:tcPr>
          <w:p w14:paraId="7186E41E" w14:textId="47B4B112" w:rsidR="000B552D"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9E71C0">
              <w:rPr>
                <w:rFonts w:eastAsia="Times New Roman" w:cstheme="minorHAnsi"/>
                <w:color w:val="000000"/>
                <w:sz w:val="20"/>
                <w:szCs w:val="18"/>
                <w:lang w:eastAsia="es-MX"/>
              </w:rPr>
              <w:t>0</w:t>
            </w:r>
            <w:r w:rsidR="004F5AA8">
              <w:rPr>
                <w:rFonts w:eastAsia="Times New Roman" w:cstheme="minorHAnsi"/>
                <w:color w:val="000000"/>
                <w:sz w:val="20"/>
                <w:szCs w:val="18"/>
                <w:lang w:eastAsia="es-MX"/>
              </w:rPr>
              <w:t>.</w:t>
            </w:r>
            <w:r w:rsidR="009E71C0">
              <w:rPr>
                <w:rFonts w:eastAsia="Times New Roman" w:cstheme="minorHAnsi"/>
                <w:color w:val="000000"/>
                <w:sz w:val="20"/>
                <w:szCs w:val="18"/>
                <w:lang w:eastAsia="es-MX"/>
              </w:rPr>
              <w:t>8</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26F56472" w:rsidR="00E828CB"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334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682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064</w:t>
            </w:r>
          </w:p>
        </w:tc>
        <w:tc>
          <w:tcPr>
            <w:tcW w:w="1214" w:type="dxa"/>
            <w:tcBorders>
              <w:top w:val="nil"/>
              <w:left w:val="nil"/>
              <w:bottom w:val="single" w:sz="8" w:space="0" w:color="auto"/>
              <w:right w:val="single" w:sz="8" w:space="0" w:color="auto"/>
            </w:tcBorders>
            <w:shd w:val="clear" w:color="auto" w:fill="auto"/>
            <w:noWrap/>
            <w:vAlign w:val="center"/>
          </w:tcPr>
          <w:p w14:paraId="173E7ADB" w14:textId="022083E3" w:rsidR="00E828CB"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72758C">
              <w:rPr>
                <w:rFonts w:eastAsia="Times New Roman" w:cstheme="minorHAnsi"/>
                <w:color w:val="000000"/>
                <w:sz w:val="20"/>
                <w:szCs w:val="18"/>
                <w:lang w:eastAsia="es-MX"/>
              </w:rPr>
              <w:t>.</w:t>
            </w:r>
            <w:r w:rsidR="009E71C0">
              <w:rPr>
                <w:rFonts w:eastAsia="Times New Roman" w:cstheme="minorHAnsi"/>
                <w:color w:val="000000"/>
                <w:sz w:val="20"/>
                <w:szCs w:val="18"/>
                <w:lang w:eastAsia="es-MX"/>
              </w:rPr>
              <w:t>1</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31B02349"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639</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161</w:t>
            </w:r>
          </w:p>
        </w:tc>
        <w:tc>
          <w:tcPr>
            <w:tcW w:w="1214" w:type="dxa"/>
            <w:tcBorders>
              <w:top w:val="nil"/>
              <w:left w:val="nil"/>
              <w:bottom w:val="single" w:sz="8" w:space="0" w:color="auto"/>
              <w:right w:val="single" w:sz="8" w:space="0" w:color="auto"/>
            </w:tcBorders>
            <w:shd w:val="clear" w:color="auto" w:fill="auto"/>
            <w:noWrap/>
            <w:vAlign w:val="center"/>
          </w:tcPr>
          <w:p w14:paraId="6C945F4F" w14:textId="77777777"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279A447F"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994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998</w:t>
            </w:r>
          </w:p>
        </w:tc>
        <w:tc>
          <w:tcPr>
            <w:tcW w:w="1214" w:type="dxa"/>
            <w:tcBorders>
              <w:top w:val="nil"/>
              <w:left w:val="nil"/>
              <w:bottom w:val="single" w:sz="8" w:space="0" w:color="auto"/>
              <w:right w:val="single" w:sz="8" w:space="0" w:color="auto"/>
            </w:tcBorders>
            <w:shd w:val="clear" w:color="auto" w:fill="auto"/>
            <w:noWrap/>
            <w:vAlign w:val="center"/>
          </w:tcPr>
          <w:p w14:paraId="4FDD53D7" w14:textId="53914539"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w:t>
            </w:r>
            <w:r w:rsidR="009E71C0">
              <w:rPr>
                <w:rFonts w:eastAsia="Times New Roman" w:cstheme="minorHAnsi"/>
                <w:color w:val="000000"/>
                <w:sz w:val="20"/>
                <w:szCs w:val="18"/>
                <w:lang w:eastAsia="es-MX"/>
              </w:rPr>
              <w:t>5</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5C6E4C6B"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111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881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502</w:t>
            </w:r>
          </w:p>
        </w:tc>
        <w:tc>
          <w:tcPr>
            <w:tcW w:w="1214" w:type="dxa"/>
            <w:tcBorders>
              <w:top w:val="nil"/>
              <w:left w:val="nil"/>
              <w:bottom w:val="single" w:sz="8" w:space="0" w:color="auto"/>
              <w:right w:val="single" w:sz="8" w:space="0" w:color="auto"/>
            </w:tcBorders>
            <w:shd w:val="clear" w:color="auto" w:fill="auto"/>
            <w:noWrap/>
            <w:vAlign w:val="center"/>
          </w:tcPr>
          <w:p w14:paraId="73AE023E" w14:textId="7A20869A"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4F5AA8">
              <w:rPr>
                <w:rFonts w:eastAsia="Times New Roman" w:cstheme="minorHAnsi"/>
                <w:color w:val="000000"/>
                <w:sz w:val="20"/>
                <w:szCs w:val="18"/>
                <w:lang w:eastAsia="es-MX"/>
              </w:rPr>
              <w:t>.</w:t>
            </w:r>
            <w:r w:rsidR="009E71C0">
              <w:rPr>
                <w:rFonts w:eastAsia="Times New Roman" w:cstheme="minorHAnsi"/>
                <w:color w:val="000000"/>
                <w:sz w:val="20"/>
                <w:szCs w:val="18"/>
                <w:lang w:eastAsia="es-MX"/>
              </w:rPr>
              <w:t>1</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050E8004"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w:t>
            </w:r>
            <w:r w:rsidR="0058137B">
              <w:rPr>
                <w:rFonts w:eastAsia="Times New Roman" w:cstheme="minorHAnsi"/>
                <w:color w:val="000000"/>
                <w:sz w:val="20"/>
                <w:szCs w:val="18"/>
                <w:lang w:eastAsia="es-MX"/>
              </w:rPr>
              <w:t>48</w:t>
            </w:r>
            <w:r w:rsidR="006141F9">
              <w:rPr>
                <w:rFonts w:eastAsia="Times New Roman" w:cstheme="minorHAnsi"/>
                <w:color w:val="000000"/>
                <w:sz w:val="20"/>
                <w:szCs w:val="18"/>
                <w:lang w:eastAsia="es-MX"/>
              </w:rPr>
              <w:t>,</w:t>
            </w:r>
            <w:r w:rsidR="0058137B">
              <w:rPr>
                <w:rFonts w:eastAsia="Times New Roman" w:cstheme="minorHAnsi"/>
                <w:color w:val="000000"/>
                <w:sz w:val="20"/>
                <w:szCs w:val="18"/>
                <w:lang w:eastAsia="es-MX"/>
              </w:rPr>
              <w:t>697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w:t>
            </w:r>
            <w:r w:rsidR="0058137B">
              <w:rPr>
                <w:rFonts w:eastAsia="Times New Roman" w:cstheme="minorHAnsi"/>
                <w:color w:val="000000"/>
                <w:sz w:val="20"/>
                <w:szCs w:val="18"/>
                <w:lang w:eastAsia="es-MX"/>
              </w:rPr>
              <w:t>58</w:t>
            </w:r>
          </w:p>
        </w:tc>
        <w:tc>
          <w:tcPr>
            <w:tcW w:w="1214" w:type="dxa"/>
            <w:tcBorders>
              <w:top w:val="nil"/>
              <w:left w:val="nil"/>
              <w:bottom w:val="single" w:sz="8" w:space="0" w:color="auto"/>
              <w:right w:val="single" w:sz="8" w:space="0" w:color="auto"/>
            </w:tcBorders>
            <w:shd w:val="clear" w:color="auto" w:fill="auto"/>
            <w:noWrap/>
            <w:vAlign w:val="center"/>
          </w:tcPr>
          <w:p w14:paraId="2DD88D54" w14:textId="1032163D" w:rsidR="00AE0E84" w:rsidRPr="0004135F" w:rsidRDefault="009E71C0"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1</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2D39C2F0"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 xml:space="preserve">  </w:t>
            </w:r>
            <w:r w:rsidR="009E71C0">
              <w:rPr>
                <w:rFonts w:eastAsia="Times New Roman" w:cstheme="minorHAnsi"/>
                <w:color w:val="000000"/>
                <w:sz w:val="20"/>
                <w:szCs w:val="18"/>
                <w:lang w:eastAsia="es-MX"/>
              </w:rPr>
              <w:t>5</w:t>
            </w:r>
            <w:r w:rsidR="00AE0E84"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5</w:t>
            </w:r>
            <w:r w:rsidR="009E71C0">
              <w:rPr>
                <w:rFonts w:eastAsia="Times New Roman" w:cstheme="minorHAnsi"/>
                <w:color w:val="000000"/>
                <w:sz w:val="20"/>
                <w:szCs w:val="18"/>
                <w:lang w:eastAsia="es-MX"/>
              </w:rPr>
              <w:t>28</w:t>
            </w:r>
            <w:r w:rsidR="00AE0E84" w:rsidRPr="0004135F">
              <w:rPr>
                <w:rFonts w:eastAsia="Times New Roman" w:cstheme="minorHAnsi"/>
                <w:color w:val="000000"/>
                <w:sz w:val="20"/>
                <w:szCs w:val="18"/>
                <w:lang w:eastAsia="es-MX"/>
              </w:rPr>
              <w:t>,</w:t>
            </w:r>
            <w:r w:rsidR="009E71C0">
              <w:rPr>
                <w:rFonts w:eastAsia="Times New Roman" w:cstheme="minorHAnsi"/>
                <w:color w:val="000000"/>
                <w:sz w:val="20"/>
                <w:szCs w:val="18"/>
                <w:lang w:eastAsia="es-MX"/>
              </w:rPr>
              <w:t>545</w:t>
            </w:r>
            <w:r w:rsidR="00AE0E84" w:rsidRPr="0004135F">
              <w:rPr>
                <w:rFonts w:eastAsia="Times New Roman" w:cstheme="minorHAnsi"/>
                <w:color w:val="000000"/>
                <w:sz w:val="20"/>
                <w:szCs w:val="18"/>
                <w:lang w:eastAsia="es-MX"/>
              </w:rPr>
              <w:t>,</w:t>
            </w:r>
            <w:r w:rsidR="009E71C0">
              <w:rPr>
                <w:rFonts w:eastAsia="Times New Roman" w:cstheme="minorHAnsi"/>
                <w:color w:val="000000"/>
                <w:sz w:val="20"/>
                <w:szCs w:val="18"/>
                <w:lang w:eastAsia="es-MX"/>
              </w:rPr>
              <w:t>498</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77777777"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50FA604A"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E71C0">
        <w:rPr>
          <w:rFonts w:ascii="Arial" w:hAnsi="Arial" w:cs="Arial"/>
          <w:sz w:val="18"/>
          <w:szCs w:val="18"/>
        </w:rPr>
        <w:t>junio</w:t>
      </w:r>
      <w:r>
        <w:rPr>
          <w:rFonts w:ascii="Arial" w:hAnsi="Arial" w:cs="Arial"/>
          <w:sz w:val="18"/>
          <w:szCs w:val="18"/>
        </w:rPr>
        <w:t xml:space="preserve"> del ejercicio 20</w:t>
      </w:r>
      <w:r w:rsidR="001340E0">
        <w:rPr>
          <w:rFonts w:ascii="Arial" w:hAnsi="Arial" w:cs="Arial"/>
          <w:sz w:val="18"/>
          <w:szCs w:val="18"/>
        </w:rPr>
        <w:t>2</w:t>
      </w:r>
      <w:r w:rsidR="00F50835">
        <w:rPr>
          <w:rFonts w:ascii="Arial" w:hAnsi="Arial" w:cs="Arial"/>
          <w:sz w:val="18"/>
          <w:szCs w:val="18"/>
        </w:rPr>
        <w:t>3</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E71C0">
        <w:rPr>
          <w:rFonts w:ascii="Arial" w:hAnsi="Arial" w:cs="Arial"/>
          <w:sz w:val="18"/>
          <w:szCs w:val="18"/>
        </w:rPr>
        <w:t>1,160</w:t>
      </w:r>
      <w:r w:rsidR="0098545B">
        <w:rPr>
          <w:rFonts w:ascii="Arial" w:hAnsi="Arial" w:cs="Arial"/>
          <w:sz w:val="18"/>
          <w:szCs w:val="18"/>
        </w:rPr>
        <w:t>,</w:t>
      </w:r>
      <w:r w:rsidR="009E71C0">
        <w:rPr>
          <w:rFonts w:ascii="Arial" w:hAnsi="Arial" w:cs="Arial"/>
          <w:sz w:val="18"/>
          <w:szCs w:val="18"/>
        </w:rPr>
        <w:t>476</w:t>
      </w:r>
      <w:r w:rsidR="0098545B">
        <w:rPr>
          <w:rFonts w:ascii="Arial" w:hAnsi="Arial" w:cs="Arial"/>
          <w:sz w:val="18"/>
          <w:szCs w:val="18"/>
        </w:rPr>
        <w:t>,</w:t>
      </w:r>
      <w:r w:rsidR="009E71C0">
        <w:rPr>
          <w:rFonts w:ascii="Arial" w:hAnsi="Arial" w:cs="Arial"/>
          <w:sz w:val="18"/>
          <w:szCs w:val="18"/>
        </w:rPr>
        <w:t>675</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3056F5CB"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9E71C0">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50835">
        <w:rPr>
          <w:rFonts w:ascii="Arial" w:hAnsi="Arial" w:cs="Arial"/>
          <w:sz w:val="18"/>
          <w:szCs w:val="18"/>
        </w:rPr>
        <w:t>3</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E71C0">
        <w:rPr>
          <w:rFonts w:ascii="Arial" w:hAnsi="Arial" w:cs="Arial"/>
          <w:sz w:val="18"/>
          <w:szCs w:val="18"/>
        </w:rPr>
        <w:t>junio</w:t>
      </w:r>
      <w:r w:rsidR="00134F21">
        <w:rPr>
          <w:rFonts w:ascii="Arial" w:hAnsi="Arial" w:cs="Arial"/>
          <w:sz w:val="18"/>
          <w:szCs w:val="18"/>
        </w:rPr>
        <w:t xml:space="preserve"> por este concepto un monto de $</w:t>
      </w:r>
      <w:r w:rsidR="009E71C0">
        <w:rPr>
          <w:rFonts w:ascii="Arial" w:hAnsi="Arial" w:cs="Arial"/>
          <w:sz w:val="18"/>
          <w:szCs w:val="18"/>
        </w:rPr>
        <w:t>1,436</w:t>
      </w:r>
      <w:r w:rsidR="00134F21">
        <w:rPr>
          <w:rFonts w:ascii="Arial" w:hAnsi="Arial" w:cs="Arial"/>
          <w:sz w:val="18"/>
          <w:szCs w:val="18"/>
        </w:rPr>
        <w:t>,</w:t>
      </w:r>
      <w:r w:rsidR="009E71C0">
        <w:rPr>
          <w:rFonts w:ascii="Arial" w:hAnsi="Arial" w:cs="Arial"/>
          <w:sz w:val="18"/>
          <w:szCs w:val="18"/>
        </w:rPr>
        <w:t>982</w:t>
      </w:r>
      <w:r w:rsidR="00134F21">
        <w:rPr>
          <w:rFonts w:ascii="Arial" w:hAnsi="Arial" w:cs="Arial"/>
          <w:sz w:val="18"/>
          <w:szCs w:val="18"/>
        </w:rPr>
        <w:t>,</w:t>
      </w:r>
      <w:r w:rsidR="009E71C0">
        <w:rPr>
          <w:rFonts w:ascii="Arial" w:hAnsi="Arial" w:cs="Arial"/>
          <w:sz w:val="18"/>
          <w:szCs w:val="18"/>
        </w:rPr>
        <w:t>719</w:t>
      </w:r>
      <w:r w:rsidR="003E33EF">
        <w:rPr>
          <w:rFonts w:ascii="Arial" w:hAnsi="Arial" w:cs="Arial"/>
          <w:sz w:val="18"/>
          <w:szCs w:val="18"/>
        </w:rPr>
        <w:t xml:space="preserve">; en apego </w:t>
      </w:r>
      <w:r w:rsidR="003E33EF">
        <w:rPr>
          <w:rFonts w:ascii="Arial" w:hAnsi="Arial" w:cs="Arial"/>
          <w:sz w:val="18"/>
          <w:szCs w:val="18"/>
        </w:rPr>
        <w:lastRenderedPageBreak/>
        <w:t>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A01F96">
        <w:rPr>
          <w:rFonts w:ascii="Arial" w:hAnsi="Arial" w:cs="Arial"/>
          <w:sz w:val="18"/>
          <w:szCs w:val="18"/>
        </w:rPr>
        <w:t>in</w:t>
      </w:r>
      <w:r w:rsidR="007615D9">
        <w:rPr>
          <w:rFonts w:ascii="Arial" w:hAnsi="Arial" w:cs="Arial"/>
          <w:sz w:val="18"/>
          <w:szCs w:val="18"/>
        </w:rPr>
        <w:t xml:space="preserve">cremento del </w:t>
      </w:r>
      <w:r w:rsidR="00A01F96">
        <w:rPr>
          <w:rFonts w:ascii="Arial" w:hAnsi="Arial" w:cs="Arial"/>
          <w:sz w:val="18"/>
          <w:szCs w:val="18"/>
        </w:rPr>
        <w:t>12</w:t>
      </w:r>
      <w:r w:rsidR="007615D9">
        <w:rPr>
          <w:rFonts w:ascii="Arial" w:hAnsi="Arial" w:cs="Arial"/>
          <w:sz w:val="18"/>
          <w:szCs w:val="18"/>
        </w:rPr>
        <w:t>.</w:t>
      </w:r>
      <w:r w:rsidR="00A01F96">
        <w:rPr>
          <w:rFonts w:ascii="Arial" w:hAnsi="Arial" w:cs="Arial"/>
          <w:sz w:val="18"/>
          <w:szCs w:val="18"/>
        </w:rPr>
        <w:t>5</w:t>
      </w:r>
      <w:r w:rsidR="007615D9">
        <w:rPr>
          <w:rFonts w:ascii="Arial" w:hAnsi="Arial" w:cs="Arial"/>
          <w:sz w:val="18"/>
          <w:szCs w:val="18"/>
        </w:rPr>
        <w:t>%</w:t>
      </w:r>
      <w:r w:rsidR="00647478">
        <w:rPr>
          <w:rFonts w:ascii="Arial" w:hAnsi="Arial" w:cs="Arial"/>
          <w:sz w:val="18"/>
          <w:szCs w:val="18"/>
        </w:rPr>
        <w:t>,</w:t>
      </w:r>
      <w:r w:rsidR="007615D9">
        <w:rPr>
          <w:rFonts w:ascii="Arial" w:hAnsi="Arial" w:cs="Arial"/>
          <w:sz w:val="18"/>
          <w:szCs w:val="18"/>
        </w:rPr>
        <w:t xml:space="preserve"> respecto al </w:t>
      </w:r>
      <w:r w:rsidR="00A01F96">
        <w:rPr>
          <w:rFonts w:ascii="Arial" w:hAnsi="Arial" w:cs="Arial"/>
          <w:sz w:val="18"/>
          <w:szCs w:val="18"/>
        </w:rPr>
        <w:t xml:space="preserve">mismo periodo del </w:t>
      </w:r>
      <w:r w:rsidR="007615D9">
        <w:rPr>
          <w:rFonts w:ascii="Arial" w:hAnsi="Arial" w:cs="Arial"/>
          <w:sz w:val="18"/>
          <w:szCs w:val="18"/>
        </w:rPr>
        <w:t>ejercicio 202</w:t>
      </w:r>
      <w:r w:rsidR="00F50835">
        <w:rPr>
          <w:rFonts w:ascii="Arial" w:hAnsi="Arial" w:cs="Arial"/>
          <w:sz w:val="18"/>
          <w:szCs w:val="18"/>
        </w:rPr>
        <w:t>2</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17E55AA1"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9E71C0">
        <w:rPr>
          <w:rFonts w:ascii="Arial" w:hAnsi="Arial" w:cs="Arial"/>
          <w:sz w:val="18"/>
          <w:szCs w:val="18"/>
        </w:rPr>
        <w:t>166</w:t>
      </w:r>
      <w:r>
        <w:rPr>
          <w:rFonts w:ascii="Arial" w:hAnsi="Arial" w:cs="Arial"/>
          <w:sz w:val="18"/>
          <w:szCs w:val="18"/>
        </w:rPr>
        <w:t>,</w:t>
      </w:r>
      <w:r w:rsidR="009E71C0">
        <w:rPr>
          <w:rFonts w:ascii="Arial" w:hAnsi="Arial" w:cs="Arial"/>
          <w:sz w:val="18"/>
          <w:szCs w:val="18"/>
        </w:rPr>
        <w:t>319</w:t>
      </w:r>
      <w:r>
        <w:rPr>
          <w:rFonts w:ascii="Arial" w:hAnsi="Arial" w:cs="Arial"/>
          <w:sz w:val="18"/>
          <w:szCs w:val="18"/>
        </w:rPr>
        <w:t>,</w:t>
      </w:r>
      <w:r w:rsidR="009E71C0">
        <w:rPr>
          <w:rFonts w:ascii="Arial" w:hAnsi="Arial" w:cs="Arial"/>
          <w:sz w:val="18"/>
          <w:szCs w:val="18"/>
        </w:rPr>
        <w:t>305</w:t>
      </w:r>
      <w:r w:rsidRPr="0073056A">
        <w:rPr>
          <w:rFonts w:ascii="Arial" w:hAnsi="Arial" w:cs="Arial"/>
          <w:sz w:val="18"/>
          <w:szCs w:val="18"/>
        </w:rPr>
        <w:t>.</w:t>
      </w:r>
      <w:r w:rsidR="00647478">
        <w:rPr>
          <w:rFonts w:ascii="Arial" w:hAnsi="Arial" w:cs="Arial"/>
          <w:sz w:val="18"/>
          <w:szCs w:val="18"/>
        </w:rPr>
        <w:t xml:space="preserve"> Lo que representa un incremento de más del 100%, respecto al mismo periodo del ejercicio 2022.</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1E585A22"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E71C0">
        <w:rPr>
          <w:rFonts w:ascii="Arial" w:hAnsi="Arial" w:cs="Arial"/>
          <w:sz w:val="18"/>
          <w:szCs w:val="18"/>
        </w:rPr>
        <w:t>juni</w:t>
      </w:r>
      <w:r w:rsidR="00663540">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9E71C0">
        <w:rPr>
          <w:rFonts w:ascii="Arial" w:hAnsi="Arial" w:cs="Arial"/>
          <w:sz w:val="18"/>
          <w:szCs w:val="18"/>
        </w:rPr>
        <w:t>142,084</w:t>
      </w:r>
      <w:r w:rsidR="00BA3B1D">
        <w:rPr>
          <w:rFonts w:ascii="Arial" w:hAnsi="Arial" w:cs="Arial"/>
          <w:sz w:val="18"/>
          <w:szCs w:val="18"/>
        </w:rPr>
        <w:t>,</w:t>
      </w:r>
      <w:r w:rsidR="009E71C0">
        <w:rPr>
          <w:rFonts w:ascii="Arial" w:hAnsi="Arial" w:cs="Arial"/>
          <w:sz w:val="18"/>
          <w:szCs w:val="18"/>
        </w:rPr>
        <w:t>651</w:t>
      </w:r>
      <w:r w:rsidRPr="0073056A">
        <w:rPr>
          <w:rFonts w:ascii="Arial" w:hAnsi="Arial" w:cs="Arial"/>
          <w:sz w:val="18"/>
          <w:szCs w:val="18"/>
        </w:rPr>
        <w:t>.</w:t>
      </w:r>
      <w:r w:rsidR="007615D9">
        <w:rPr>
          <w:rFonts w:ascii="Arial" w:hAnsi="Arial" w:cs="Arial"/>
          <w:sz w:val="18"/>
          <w:szCs w:val="18"/>
        </w:rPr>
        <w:t xml:space="preserve"> Lo que representa un </w:t>
      </w:r>
      <w:r w:rsidR="00663540">
        <w:rPr>
          <w:rFonts w:ascii="Arial" w:hAnsi="Arial" w:cs="Arial"/>
          <w:sz w:val="18"/>
          <w:szCs w:val="18"/>
        </w:rPr>
        <w:t>de</w:t>
      </w:r>
      <w:r w:rsidR="007615D9">
        <w:rPr>
          <w:rFonts w:ascii="Arial" w:hAnsi="Arial" w:cs="Arial"/>
          <w:sz w:val="18"/>
          <w:szCs w:val="18"/>
        </w:rPr>
        <w:t>cremento del</w:t>
      </w:r>
      <w:r w:rsidR="00A01F96">
        <w:rPr>
          <w:rFonts w:ascii="Arial" w:hAnsi="Arial" w:cs="Arial"/>
          <w:sz w:val="18"/>
          <w:szCs w:val="18"/>
        </w:rPr>
        <w:t xml:space="preserve"> 3</w:t>
      </w:r>
      <w:r w:rsidR="007615D9">
        <w:rPr>
          <w:rFonts w:ascii="Arial" w:hAnsi="Arial" w:cs="Arial"/>
          <w:sz w:val="18"/>
          <w:szCs w:val="18"/>
        </w:rPr>
        <w:t>.</w:t>
      </w:r>
      <w:r w:rsidR="00A01F96">
        <w:rPr>
          <w:rFonts w:ascii="Arial" w:hAnsi="Arial" w:cs="Arial"/>
          <w:sz w:val="18"/>
          <w:szCs w:val="18"/>
        </w:rPr>
        <w:t>2</w:t>
      </w:r>
      <w:r w:rsidR="007615D9">
        <w:rPr>
          <w:rFonts w:ascii="Arial" w:hAnsi="Arial" w:cs="Arial"/>
          <w:sz w:val="18"/>
          <w:szCs w:val="18"/>
        </w:rPr>
        <w:t>% respecto al</w:t>
      </w:r>
      <w:r w:rsidR="00A01F96">
        <w:rPr>
          <w:rFonts w:ascii="Arial" w:hAnsi="Arial" w:cs="Arial"/>
          <w:sz w:val="18"/>
          <w:szCs w:val="18"/>
        </w:rPr>
        <w:t xml:space="preserve"> mismo periodo del </w:t>
      </w:r>
      <w:r w:rsidR="007615D9">
        <w:rPr>
          <w:rFonts w:ascii="Arial" w:hAnsi="Arial" w:cs="Arial"/>
          <w:sz w:val="18"/>
          <w:szCs w:val="18"/>
        </w:rPr>
        <w:t>ejercicio 202</w:t>
      </w:r>
      <w:r w:rsidR="00663540">
        <w:rPr>
          <w:rFonts w:ascii="Arial" w:hAnsi="Arial" w:cs="Arial"/>
          <w:sz w:val="18"/>
          <w:szCs w:val="18"/>
        </w:rPr>
        <w:t>2</w:t>
      </w:r>
      <w:r w:rsidR="00A01F96">
        <w:rPr>
          <w:rFonts w:ascii="Arial" w:hAnsi="Arial" w:cs="Arial"/>
          <w:sz w:val="18"/>
          <w:szCs w:val="18"/>
        </w:rPr>
        <w:t>.</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310EE5D6"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r w:rsidR="00BD6D26">
        <w:rPr>
          <w:rFonts w:ascii="Arial" w:hAnsi="Arial" w:cs="Arial"/>
          <w:sz w:val="18"/>
          <w:szCs w:val="18"/>
        </w:rPr>
        <w:t>que,</w:t>
      </w:r>
      <w:r>
        <w:rPr>
          <w:rFonts w:ascii="Arial" w:hAnsi="Arial" w:cs="Arial"/>
          <w:sz w:val="18"/>
          <w:szCs w:val="18"/>
        </w:rPr>
        <w:t xml:space="preserve"> al mes de </w:t>
      </w:r>
      <w:r w:rsidR="009E71C0">
        <w:rPr>
          <w:rFonts w:ascii="Arial" w:hAnsi="Arial" w:cs="Arial"/>
          <w:sz w:val="18"/>
          <w:szCs w:val="18"/>
        </w:rPr>
        <w:t>juni</w:t>
      </w:r>
      <w:r w:rsidR="00663540">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observan un monto de $</w:t>
      </w:r>
      <w:r w:rsidR="009E71C0">
        <w:rPr>
          <w:rFonts w:ascii="Arial" w:hAnsi="Arial" w:cs="Arial"/>
          <w:sz w:val="18"/>
          <w:szCs w:val="18"/>
        </w:rPr>
        <w:t>6</w:t>
      </w:r>
      <w:r w:rsidR="001A78A4">
        <w:rPr>
          <w:rFonts w:ascii="Arial" w:hAnsi="Arial" w:cs="Arial"/>
          <w:sz w:val="18"/>
          <w:szCs w:val="18"/>
        </w:rPr>
        <w:t>,</w:t>
      </w:r>
      <w:r w:rsidR="009E71C0">
        <w:rPr>
          <w:rFonts w:ascii="Arial" w:hAnsi="Arial" w:cs="Arial"/>
          <w:sz w:val="18"/>
          <w:szCs w:val="18"/>
        </w:rPr>
        <w:t>715</w:t>
      </w:r>
      <w:r>
        <w:rPr>
          <w:rFonts w:ascii="Arial" w:hAnsi="Arial" w:cs="Arial"/>
          <w:sz w:val="18"/>
          <w:szCs w:val="18"/>
        </w:rPr>
        <w:t>,</w:t>
      </w:r>
      <w:r w:rsidR="009E71C0">
        <w:rPr>
          <w:rFonts w:ascii="Arial" w:hAnsi="Arial" w:cs="Arial"/>
          <w:sz w:val="18"/>
          <w:szCs w:val="18"/>
        </w:rPr>
        <w:t>661</w:t>
      </w:r>
      <w:r>
        <w:rPr>
          <w:rFonts w:ascii="Arial" w:hAnsi="Arial" w:cs="Arial"/>
          <w:sz w:val="18"/>
          <w:szCs w:val="18"/>
        </w:rPr>
        <w:t>,</w:t>
      </w:r>
      <w:r w:rsidR="009E71C0">
        <w:rPr>
          <w:rFonts w:ascii="Arial" w:hAnsi="Arial" w:cs="Arial"/>
          <w:sz w:val="18"/>
          <w:szCs w:val="18"/>
        </w:rPr>
        <w:t>543</w:t>
      </w:r>
      <w:r>
        <w:rPr>
          <w:rFonts w:ascii="Arial" w:hAnsi="Arial" w:cs="Arial"/>
          <w:sz w:val="18"/>
          <w:szCs w:val="18"/>
        </w:rPr>
        <w:t xml:space="preserve"> de los cuales los principales sectores que reciben estas asignaciones son el sector educativo al cual le corresponde el </w:t>
      </w:r>
      <w:r w:rsidR="009E71C0">
        <w:rPr>
          <w:rFonts w:ascii="Arial" w:hAnsi="Arial" w:cs="Arial"/>
          <w:sz w:val="18"/>
          <w:szCs w:val="18"/>
        </w:rPr>
        <w:t>60</w:t>
      </w:r>
      <w:r w:rsidR="00663540">
        <w:rPr>
          <w:rFonts w:ascii="Arial" w:hAnsi="Arial" w:cs="Arial"/>
          <w:sz w:val="18"/>
          <w:szCs w:val="18"/>
        </w:rPr>
        <w:t>.</w:t>
      </w:r>
      <w:r w:rsidR="009E71C0">
        <w:rPr>
          <w:rFonts w:ascii="Arial" w:hAnsi="Arial" w:cs="Arial"/>
          <w:sz w:val="18"/>
          <w:szCs w:val="18"/>
        </w:rPr>
        <w:t>0</w:t>
      </w:r>
      <w:r>
        <w:rPr>
          <w:rFonts w:ascii="Arial" w:hAnsi="Arial" w:cs="Arial"/>
          <w:sz w:val="18"/>
          <w:szCs w:val="18"/>
        </w:rPr>
        <w:t xml:space="preserve">% y el sector salud con un </w:t>
      </w:r>
      <w:r w:rsidR="00663540">
        <w:rPr>
          <w:rFonts w:ascii="Arial" w:hAnsi="Arial" w:cs="Arial"/>
          <w:sz w:val="18"/>
          <w:szCs w:val="18"/>
        </w:rPr>
        <w:t>3</w:t>
      </w:r>
      <w:r w:rsidR="009E71C0">
        <w:rPr>
          <w:rFonts w:ascii="Arial" w:hAnsi="Arial" w:cs="Arial"/>
          <w:sz w:val="18"/>
          <w:szCs w:val="18"/>
        </w:rPr>
        <w:t>1</w:t>
      </w:r>
      <w:r w:rsidR="00663540">
        <w:rPr>
          <w:rFonts w:ascii="Arial" w:hAnsi="Arial" w:cs="Arial"/>
          <w:sz w:val="18"/>
          <w:szCs w:val="18"/>
        </w:rPr>
        <w:t>.</w:t>
      </w:r>
      <w:r w:rsidR="009E71C0">
        <w:rPr>
          <w:rFonts w:ascii="Arial" w:hAnsi="Arial" w:cs="Arial"/>
          <w:sz w:val="18"/>
          <w:szCs w:val="18"/>
        </w:rPr>
        <w:t>7</w:t>
      </w:r>
      <w:r>
        <w:rPr>
          <w:rFonts w:ascii="Arial" w:hAnsi="Arial" w:cs="Arial"/>
          <w:sz w:val="18"/>
          <w:szCs w:val="18"/>
        </w:rPr>
        <w:t xml:space="preserve">% y el restante </w:t>
      </w:r>
      <w:r w:rsidR="00663540">
        <w:rPr>
          <w:rFonts w:ascii="Arial" w:hAnsi="Arial" w:cs="Arial"/>
          <w:sz w:val="18"/>
          <w:szCs w:val="18"/>
        </w:rPr>
        <w:t>8</w:t>
      </w:r>
      <w:r w:rsidR="009E71C0">
        <w:rPr>
          <w:rFonts w:ascii="Arial" w:hAnsi="Arial" w:cs="Arial"/>
          <w:sz w:val="18"/>
          <w:szCs w:val="18"/>
        </w:rPr>
        <w:t>.3</w:t>
      </w:r>
      <w:r>
        <w:rPr>
          <w:rFonts w:ascii="Arial" w:hAnsi="Arial" w:cs="Arial"/>
          <w:sz w:val="18"/>
          <w:szCs w:val="18"/>
        </w:rPr>
        <w:t>% a otros organismos del sector público</w:t>
      </w:r>
      <w:r w:rsidR="00FF6FFD">
        <w:rPr>
          <w:rFonts w:ascii="Arial" w:hAnsi="Arial" w:cs="Arial"/>
          <w:sz w:val="18"/>
          <w:szCs w:val="18"/>
        </w:rPr>
        <w:t>.</w:t>
      </w:r>
      <w:r w:rsidR="001550CB">
        <w:rPr>
          <w:rFonts w:ascii="Arial" w:hAnsi="Arial" w:cs="Arial"/>
          <w:sz w:val="18"/>
          <w:szCs w:val="18"/>
        </w:rPr>
        <w:t xml:space="preserve"> Lo que en su conjunto representa un incremento del 9.13%</w:t>
      </w:r>
      <w:r w:rsidR="005E0AA8">
        <w:rPr>
          <w:rFonts w:ascii="Arial" w:hAnsi="Arial" w:cs="Arial"/>
          <w:sz w:val="18"/>
          <w:szCs w:val="18"/>
        </w:rPr>
        <w:t>,</w:t>
      </w:r>
      <w:r w:rsidR="001550CB">
        <w:rPr>
          <w:rFonts w:ascii="Arial" w:hAnsi="Arial" w:cs="Arial"/>
          <w:sz w:val="18"/>
          <w:szCs w:val="18"/>
        </w:rPr>
        <w:t xml:space="preserve"> respecto al mismo periodo del ejercicio 2022.</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12BE5518"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8F164F">
        <w:rPr>
          <w:rFonts w:ascii="Arial" w:hAnsi="Arial" w:cs="Arial"/>
          <w:sz w:val="18"/>
          <w:szCs w:val="18"/>
        </w:rPr>
        <w:t>junio</w:t>
      </w:r>
      <w:r>
        <w:rPr>
          <w:rFonts w:ascii="Arial" w:hAnsi="Arial" w:cs="Arial"/>
          <w:sz w:val="18"/>
          <w:szCs w:val="18"/>
        </w:rPr>
        <w:t xml:space="preserve"> de 20</w:t>
      </w:r>
      <w:r w:rsidR="005F4F7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8F164F">
        <w:rPr>
          <w:rFonts w:ascii="Arial" w:hAnsi="Arial" w:cs="Arial"/>
          <w:sz w:val="18"/>
          <w:szCs w:val="18"/>
        </w:rPr>
        <w:t>2</w:t>
      </w:r>
      <w:r w:rsidR="00303EA9">
        <w:rPr>
          <w:rFonts w:ascii="Arial" w:hAnsi="Arial" w:cs="Arial"/>
          <w:sz w:val="18"/>
          <w:szCs w:val="18"/>
        </w:rPr>
        <w:t>,</w:t>
      </w:r>
      <w:r w:rsidR="008F164F">
        <w:rPr>
          <w:rFonts w:ascii="Arial" w:hAnsi="Arial" w:cs="Arial"/>
          <w:sz w:val="18"/>
          <w:szCs w:val="18"/>
        </w:rPr>
        <w:t>665</w:t>
      </w:r>
      <w:r>
        <w:rPr>
          <w:rFonts w:ascii="Arial" w:hAnsi="Arial" w:cs="Arial"/>
          <w:sz w:val="18"/>
          <w:szCs w:val="18"/>
        </w:rPr>
        <w:t>,</w:t>
      </w:r>
      <w:r w:rsidR="008F164F">
        <w:rPr>
          <w:rFonts w:ascii="Arial" w:hAnsi="Arial" w:cs="Arial"/>
          <w:sz w:val="18"/>
          <w:szCs w:val="18"/>
        </w:rPr>
        <w:t>072</w:t>
      </w:r>
      <w:r>
        <w:rPr>
          <w:rFonts w:ascii="Arial" w:hAnsi="Arial" w:cs="Arial"/>
          <w:sz w:val="18"/>
          <w:szCs w:val="18"/>
        </w:rPr>
        <w:t>,</w:t>
      </w:r>
      <w:r w:rsidR="008F164F">
        <w:rPr>
          <w:rFonts w:ascii="Arial" w:hAnsi="Arial" w:cs="Arial"/>
          <w:sz w:val="18"/>
          <w:szCs w:val="18"/>
        </w:rPr>
        <w:t>386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8F164F">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8F164F">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8F164F">
        <w:rPr>
          <w:rFonts w:ascii="Arial" w:hAnsi="Arial" w:cs="Arial"/>
          <w:sz w:val="18"/>
          <w:szCs w:val="18"/>
        </w:rPr>
        <w:t>juni</w:t>
      </w:r>
      <w:r w:rsidR="00663540">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8F164F">
        <w:rPr>
          <w:rFonts w:ascii="Arial" w:hAnsi="Arial" w:cs="Arial"/>
          <w:sz w:val="18"/>
          <w:szCs w:val="18"/>
        </w:rPr>
        <w:t>positiva</w:t>
      </w:r>
      <w:r w:rsidR="005E0AA8">
        <w:rPr>
          <w:rFonts w:ascii="Arial" w:hAnsi="Arial" w:cs="Arial"/>
          <w:sz w:val="18"/>
          <w:szCs w:val="18"/>
        </w:rPr>
        <w:t>,</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1550CB">
        <w:rPr>
          <w:rFonts w:ascii="Arial" w:hAnsi="Arial" w:cs="Arial"/>
          <w:sz w:val="18"/>
          <w:szCs w:val="18"/>
        </w:rPr>
        <w:t xml:space="preserve">mismo periodo de </w:t>
      </w:r>
      <w:r w:rsidR="007615D9">
        <w:rPr>
          <w:rFonts w:ascii="Arial" w:hAnsi="Arial" w:cs="Arial"/>
          <w:sz w:val="18"/>
          <w:szCs w:val="18"/>
        </w:rPr>
        <w:t>202</w:t>
      </w:r>
      <w:r w:rsidR="00663540">
        <w:rPr>
          <w:rFonts w:ascii="Arial" w:hAnsi="Arial" w:cs="Arial"/>
          <w:sz w:val="18"/>
          <w:szCs w:val="18"/>
        </w:rPr>
        <w:t>2</w:t>
      </w:r>
      <w:r w:rsidR="001550CB">
        <w:rPr>
          <w:rFonts w:ascii="Arial" w:hAnsi="Arial" w:cs="Arial"/>
          <w:sz w:val="18"/>
          <w:szCs w:val="18"/>
        </w:rPr>
        <w:t xml:space="preserve"> de 27.6%.</w:t>
      </w:r>
    </w:p>
    <w:p w14:paraId="33CF0007" w14:textId="77777777" w:rsidR="009B20EA" w:rsidRDefault="009B20EA" w:rsidP="009B20EA">
      <w:pPr>
        <w:tabs>
          <w:tab w:val="left" w:pos="284"/>
        </w:tabs>
        <w:spacing w:after="0"/>
        <w:ind w:left="284"/>
        <w:jc w:val="both"/>
        <w:rPr>
          <w:rFonts w:ascii="Arial" w:hAnsi="Arial" w:cs="Arial"/>
          <w:sz w:val="18"/>
          <w:szCs w:val="18"/>
        </w:rPr>
      </w:pP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762268">
        <w:rPr>
          <w:b/>
          <w:smallCaps/>
        </w:rPr>
        <w:t>III)</w:t>
      </w:r>
      <w:r w:rsidRPr="00762268">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0E5A056D"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F164F">
        <w:rPr>
          <w:rFonts w:ascii="Arial" w:hAnsi="Arial" w:cs="Arial"/>
          <w:sz w:val="18"/>
          <w:szCs w:val="18"/>
        </w:rPr>
        <w:t>junio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A90730">
        <w:rPr>
          <w:rFonts w:ascii="Arial" w:hAnsi="Arial" w:cs="Arial"/>
          <w:sz w:val="18"/>
          <w:szCs w:val="18"/>
        </w:rPr>
        <w:t>3</w:t>
      </w:r>
      <w:r>
        <w:rPr>
          <w:rFonts w:ascii="Arial" w:hAnsi="Arial" w:cs="Arial"/>
          <w:sz w:val="18"/>
          <w:szCs w:val="18"/>
        </w:rPr>
        <w:t xml:space="preserve"> </w:t>
      </w:r>
      <w:r w:rsidRPr="0073056A">
        <w:rPr>
          <w:rFonts w:ascii="Arial" w:hAnsi="Arial" w:cs="Arial"/>
          <w:sz w:val="18"/>
          <w:szCs w:val="18"/>
        </w:rPr>
        <w:t>es por la cantidad de $</w:t>
      </w:r>
      <w:r w:rsidR="008F164F">
        <w:rPr>
          <w:rFonts w:ascii="Arial" w:hAnsi="Arial" w:cs="Arial"/>
          <w:sz w:val="18"/>
          <w:szCs w:val="18"/>
        </w:rPr>
        <w:t>2</w:t>
      </w:r>
      <w:r w:rsidR="008A4453">
        <w:rPr>
          <w:rFonts w:ascii="Arial" w:hAnsi="Arial" w:cs="Arial"/>
          <w:sz w:val="18"/>
          <w:szCs w:val="18"/>
        </w:rPr>
        <w:t>,</w:t>
      </w:r>
      <w:r w:rsidR="008F164F">
        <w:rPr>
          <w:rFonts w:ascii="Arial" w:hAnsi="Arial" w:cs="Arial"/>
          <w:sz w:val="18"/>
          <w:szCs w:val="18"/>
        </w:rPr>
        <w:t>67</w:t>
      </w:r>
      <w:r w:rsidR="001550CB">
        <w:rPr>
          <w:rFonts w:ascii="Arial" w:hAnsi="Arial" w:cs="Arial"/>
          <w:sz w:val="18"/>
          <w:szCs w:val="18"/>
        </w:rPr>
        <w:t>8</w:t>
      </w:r>
      <w:r>
        <w:rPr>
          <w:rFonts w:ascii="Arial" w:eastAsia="Times New Roman" w:hAnsi="Arial" w:cs="Arial"/>
          <w:bCs/>
          <w:sz w:val="18"/>
          <w:szCs w:val="18"/>
          <w:lang w:eastAsia="es-MX"/>
        </w:rPr>
        <w:t>,</w:t>
      </w:r>
      <w:r w:rsidR="001550CB">
        <w:rPr>
          <w:rFonts w:ascii="Arial" w:eastAsia="Times New Roman" w:hAnsi="Arial" w:cs="Arial"/>
          <w:bCs/>
          <w:sz w:val="18"/>
          <w:szCs w:val="18"/>
          <w:lang w:eastAsia="es-MX"/>
        </w:rPr>
        <w:t>47</w:t>
      </w:r>
      <w:r w:rsidR="008F164F">
        <w:rPr>
          <w:rFonts w:ascii="Arial" w:eastAsia="Times New Roman" w:hAnsi="Arial" w:cs="Arial"/>
          <w:bCs/>
          <w:sz w:val="18"/>
          <w:szCs w:val="18"/>
          <w:lang w:eastAsia="es-MX"/>
        </w:rPr>
        <w:t>8</w:t>
      </w:r>
      <w:r>
        <w:rPr>
          <w:rFonts w:ascii="Arial" w:eastAsia="Times New Roman" w:hAnsi="Arial" w:cs="Arial"/>
          <w:bCs/>
          <w:sz w:val="18"/>
          <w:szCs w:val="18"/>
          <w:lang w:eastAsia="es-MX"/>
        </w:rPr>
        <w:t>,</w:t>
      </w:r>
      <w:r w:rsidR="001550CB">
        <w:rPr>
          <w:rFonts w:ascii="Arial" w:eastAsia="Times New Roman" w:hAnsi="Arial" w:cs="Arial"/>
          <w:bCs/>
          <w:sz w:val="18"/>
          <w:szCs w:val="18"/>
          <w:lang w:eastAsia="es-MX"/>
        </w:rPr>
        <w:t>555</w:t>
      </w:r>
      <w:r w:rsidR="007156AF">
        <w:rPr>
          <w:rFonts w:ascii="Arial" w:eastAsia="Times New Roman" w:hAnsi="Arial" w:cs="Arial"/>
          <w:bCs/>
          <w:sz w:val="18"/>
          <w:szCs w:val="18"/>
          <w:lang w:eastAsia="es-MX"/>
        </w:rPr>
        <w:t>.</w:t>
      </w:r>
    </w:p>
    <w:p w14:paraId="26152A80" w14:textId="77777777" w:rsidR="00762268" w:rsidRDefault="00762268" w:rsidP="005C02A4">
      <w:pPr>
        <w:ind w:left="284"/>
        <w:jc w:val="both"/>
        <w:rPr>
          <w:rFonts w:ascii="Arial" w:eastAsia="Times New Roman" w:hAnsi="Arial" w:cs="Arial"/>
          <w:bCs/>
          <w:sz w:val="18"/>
          <w:szCs w:val="18"/>
          <w:lang w:eastAsia="es-MX"/>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2AD325B4"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reflejando un</w:t>
      </w:r>
      <w:r w:rsidR="001550CB">
        <w:rPr>
          <w:lang w:val="es-MX"/>
        </w:rPr>
        <w:t>a</w:t>
      </w:r>
      <w:r w:rsidR="00817DFF">
        <w:rPr>
          <w:lang w:val="es-MX"/>
        </w:rPr>
        <w:t xml:space="preserve"> </w:t>
      </w:r>
      <w:r w:rsidR="001550CB">
        <w:rPr>
          <w:lang w:val="es-MX"/>
        </w:rPr>
        <w:t>disminución</w:t>
      </w:r>
      <w:r w:rsidR="004B263B">
        <w:rPr>
          <w:lang w:val="es-MX"/>
        </w:rPr>
        <w:t xml:space="preserve"> </w:t>
      </w:r>
      <w:r w:rsidR="00817DFF">
        <w:rPr>
          <w:lang w:val="es-MX"/>
        </w:rPr>
        <w:t>de</w:t>
      </w:r>
      <w:r w:rsidR="00EC56A4">
        <w:rPr>
          <w:lang w:val="es-MX"/>
        </w:rPr>
        <w:t xml:space="preserve"> </w:t>
      </w:r>
      <w:r w:rsidR="00817DFF">
        <w:rPr>
          <w:lang w:val="es-MX"/>
        </w:rPr>
        <w:t>$</w:t>
      </w:r>
      <w:r w:rsidR="000D2BDE">
        <w:rPr>
          <w:lang w:val="es-MX"/>
        </w:rPr>
        <w:t>713</w:t>
      </w:r>
      <w:r w:rsidR="00AC2CB6">
        <w:rPr>
          <w:lang w:val="es-MX"/>
        </w:rPr>
        <w:t>,</w:t>
      </w:r>
      <w:r w:rsidR="000D2BDE">
        <w:rPr>
          <w:lang w:val="es-MX"/>
        </w:rPr>
        <w:t>845</w:t>
      </w:r>
      <w:r w:rsidR="00AC2CB6">
        <w:rPr>
          <w:lang w:val="es-MX"/>
        </w:rPr>
        <w:t>,</w:t>
      </w:r>
      <w:r w:rsidR="000D2BDE">
        <w:rPr>
          <w:lang w:val="es-MX"/>
        </w:rPr>
        <w:t xml:space="preserve">224; </w:t>
      </w:r>
      <w:r w:rsidR="000D2BDE">
        <w:t>lo que representa una variación porcentual del 41.8%</w:t>
      </w:r>
      <w:r w:rsidR="005E0AA8">
        <w:t>,</w:t>
      </w:r>
      <w:r w:rsidR="000D2BDE">
        <w:t xml:space="preserve"> respecto al mismo periodo del 2022,</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7F2F8E24"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8F164F">
        <w:rPr>
          <w:lang w:val="es-MX"/>
        </w:rPr>
        <w:t>2,665</w:t>
      </w:r>
      <w:r w:rsidR="008F5C9C">
        <w:rPr>
          <w:lang w:val="es-MX"/>
        </w:rPr>
        <w:t>,</w:t>
      </w:r>
      <w:r w:rsidR="008F164F">
        <w:rPr>
          <w:lang w:val="es-MX"/>
        </w:rPr>
        <w:t>072</w:t>
      </w:r>
      <w:r>
        <w:rPr>
          <w:lang w:val="es-MX"/>
        </w:rPr>
        <w:t>,</w:t>
      </w:r>
      <w:r w:rsidR="008F164F">
        <w:rPr>
          <w:lang w:val="es-MX"/>
        </w:rPr>
        <w:t>386</w:t>
      </w:r>
      <w:r w:rsidR="000D2BDE">
        <w:rPr>
          <w:lang w:val="es-MX"/>
        </w:rPr>
        <w:t xml:space="preserve">, </w:t>
      </w:r>
      <w:r w:rsidR="000D2BDE">
        <w:t>lo que representa una variación porcentual positiva del 27.6%</w:t>
      </w:r>
      <w:r w:rsidR="005B4194">
        <w:t>,</w:t>
      </w:r>
      <w:r w:rsidR="000D2BDE">
        <w:t xml:space="preserve"> respecto al mismo periodo del ejercicio 2022.</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lastRenderedPageBreak/>
        <w:t>Actividades de Inversión</w:t>
      </w:r>
    </w:p>
    <w:p w14:paraId="7970C10E" w14:textId="6E42ACB4"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8F164F">
        <w:rPr>
          <w:lang w:val="es-MX"/>
        </w:rPr>
        <w:t>juni</w:t>
      </w:r>
      <w:r w:rsidR="00A90730">
        <w:rPr>
          <w:lang w:val="es-MX"/>
        </w:rPr>
        <w:t>o</w:t>
      </w:r>
      <w:r>
        <w:rPr>
          <w:lang w:val="es-MX"/>
        </w:rPr>
        <w:t xml:space="preserve"> un importe de </w:t>
      </w:r>
      <w:r w:rsidR="000D2BDE">
        <w:rPr>
          <w:lang w:val="es-MX"/>
        </w:rPr>
        <w:t>-</w:t>
      </w:r>
      <w:r w:rsidRPr="004466A7">
        <w:rPr>
          <w:lang w:val="es-MX"/>
        </w:rPr>
        <w:t>$</w:t>
      </w:r>
      <w:r w:rsidR="000D2BDE">
        <w:rPr>
          <w:lang w:val="es-MX"/>
        </w:rPr>
        <w:t>1,</w:t>
      </w:r>
      <w:r w:rsidR="008F164F">
        <w:rPr>
          <w:lang w:val="es-MX"/>
        </w:rPr>
        <w:t>8</w:t>
      </w:r>
      <w:r w:rsidR="000D2BDE">
        <w:rPr>
          <w:lang w:val="es-MX"/>
        </w:rPr>
        <w:t>72</w:t>
      </w:r>
      <w:r>
        <w:rPr>
          <w:lang w:val="es-MX"/>
        </w:rPr>
        <w:t>,</w:t>
      </w:r>
      <w:r w:rsidR="008F164F">
        <w:rPr>
          <w:lang w:val="es-MX"/>
        </w:rPr>
        <w:t>2</w:t>
      </w:r>
      <w:r w:rsidR="000D2BDE">
        <w:rPr>
          <w:lang w:val="es-MX"/>
        </w:rPr>
        <w:t>63</w:t>
      </w:r>
      <w:r>
        <w:rPr>
          <w:lang w:val="es-MX"/>
        </w:rPr>
        <w:t>,</w:t>
      </w:r>
      <w:r w:rsidR="00A90730">
        <w:rPr>
          <w:lang w:val="es-MX"/>
        </w:rPr>
        <w:t>9</w:t>
      </w:r>
      <w:r w:rsidR="000D2BDE">
        <w:rPr>
          <w:lang w:val="es-MX"/>
        </w:rPr>
        <w:t>15, lo que representa una variación significativa respecto al mismo periodo del ejercicio 2022.</w:t>
      </w:r>
    </w:p>
    <w:p w14:paraId="75AB3F20" w14:textId="77777777" w:rsidR="00661352" w:rsidRDefault="0066135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14:paraId="68047E04" w14:textId="43AD426D"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8516F3">
        <w:rPr>
          <w:lang w:val="es-MX"/>
        </w:rPr>
        <w:t>0</w:t>
      </w:r>
      <w:r w:rsidRPr="00DA18AC">
        <w:rPr>
          <w:lang w:val="es-MX"/>
        </w:rPr>
        <w:t xml:space="preserve"> de </w:t>
      </w:r>
      <w:r w:rsidR="008516F3">
        <w:rPr>
          <w:lang w:val="es-MX"/>
        </w:rPr>
        <w:t>juni</w:t>
      </w:r>
      <w:r w:rsidR="00A90730">
        <w:rPr>
          <w:lang w:val="es-MX"/>
        </w:rPr>
        <w:t>o</w:t>
      </w:r>
      <w:r w:rsidRPr="00DA18AC">
        <w:rPr>
          <w:lang w:val="es-MX"/>
        </w:rPr>
        <w:t xml:space="preserve"> de 20</w:t>
      </w:r>
      <w:r w:rsidR="00466C1E">
        <w:rPr>
          <w:lang w:val="es-MX"/>
        </w:rPr>
        <w:t>2</w:t>
      </w:r>
      <w:r w:rsidR="00A90730">
        <w:rPr>
          <w:lang w:val="es-MX"/>
        </w:rPr>
        <w:t>3</w:t>
      </w:r>
      <w:r w:rsidRPr="00DA18AC">
        <w:rPr>
          <w:lang w:val="es-MX"/>
        </w:rPr>
        <w:t xml:space="preserve"> de $</w:t>
      </w:r>
      <w:r w:rsidR="000D2BDE">
        <w:rPr>
          <w:lang w:val="es-MX"/>
        </w:rPr>
        <w:t>199</w:t>
      </w:r>
      <w:r w:rsidR="00A16DA6">
        <w:rPr>
          <w:lang w:val="es-MX"/>
        </w:rPr>
        <w:t>,</w:t>
      </w:r>
      <w:r w:rsidR="000D2BDE">
        <w:rPr>
          <w:lang w:val="es-MX"/>
        </w:rPr>
        <w:t>561</w:t>
      </w:r>
      <w:r w:rsidR="00A16DA6">
        <w:rPr>
          <w:lang w:val="es-MX"/>
        </w:rPr>
        <w:t>,</w:t>
      </w:r>
      <w:r w:rsidR="000D2BDE">
        <w:rPr>
          <w:lang w:val="es-MX"/>
        </w:rPr>
        <w:t>721</w:t>
      </w:r>
      <w:r w:rsidRPr="00DA18AC">
        <w:rPr>
          <w:lang w:val="es-MX"/>
        </w:rPr>
        <w:t>.</w:t>
      </w:r>
    </w:p>
    <w:p w14:paraId="0F635CBD" w14:textId="77777777" w:rsidR="005C02A4" w:rsidRDefault="0092158D" w:rsidP="005F52B3">
      <w:pPr>
        <w:pStyle w:val="ROMANOS"/>
        <w:tabs>
          <w:tab w:val="clear" w:pos="720"/>
          <w:tab w:val="left" w:pos="284"/>
        </w:tabs>
        <w:spacing w:after="0" w:line="276" w:lineRule="auto"/>
        <w:ind w:left="284" w:firstLine="0"/>
        <w:rPr>
          <w:lang w:val="es-MX"/>
        </w:rPr>
      </w:pPr>
      <w:r>
        <w:rPr>
          <w:noProof/>
        </w:rPr>
        <w:object w:dxaOrig="1440" w:dyaOrig="1440" w14:anchorId="1C3D7664">
          <v:shape id="_x0000_s1081" type="#_x0000_t75" style="position:absolute;left:0;text-align:left;margin-left:-48.55pt;margin-top:12.7pt;width:576.7pt;height:592.05pt;z-index:251699200;mso-position-horizontal-relative:text;mso-position-vertical-relative:text;mso-width-relative:page;mso-height-relative:page">
            <v:imagedata r:id="rId22" o:title=""/>
          </v:shape>
          <o:OLEObject Type="Embed" ProgID="Excel.Sheet.12" ShapeID="_x0000_s1081" DrawAspect="Content" ObjectID="_1751898572" r:id="rId23"/>
        </w:object>
      </w:r>
    </w:p>
    <w:p w14:paraId="71E966BE" w14:textId="77777777" w:rsidR="00802877" w:rsidRDefault="00802877" w:rsidP="00C50527">
      <w:pPr>
        <w:pStyle w:val="INCISO"/>
        <w:tabs>
          <w:tab w:val="left" w:pos="284"/>
        </w:tabs>
        <w:spacing w:after="0" w:line="276" w:lineRule="auto"/>
        <w:ind w:left="284" w:firstLine="0"/>
        <w:rPr>
          <w:b/>
          <w:smallCaps/>
        </w:rPr>
      </w:pPr>
    </w:p>
    <w:p w14:paraId="22178E0C" w14:textId="7777777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3276EF35" w14:textId="77777777"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7777777" w:rsidR="00802877" w:rsidRDefault="00802877" w:rsidP="00C50527">
      <w:pPr>
        <w:pStyle w:val="INCISO"/>
        <w:tabs>
          <w:tab w:val="left" w:pos="284"/>
        </w:tabs>
        <w:spacing w:after="0" w:line="276" w:lineRule="auto"/>
        <w:ind w:left="284" w:firstLine="0"/>
        <w:rPr>
          <w:b/>
          <w:smallCaps/>
        </w:rPr>
      </w:pPr>
    </w:p>
    <w:p w14:paraId="7E0708B4" w14:textId="77777777" w:rsidR="00802877" w:rsidRDefault="00802877" w:rsidP="00C50527">
      <w:pPr>
        <w:pStyle w:val="INCISO"/>
        <w:tabs>
          <w:tab w:val="left" w:pos="284"/>
        </w:tabs>
        <w:spacing w:after="0" w:line="276" w:lineRule="auto"/>
        <w:ind w:left="284" w:firstLine="0"/>
        <w:rPr>
          <w:b/>
          <w:smallCaps/>
        </w:rPr>
      </w:pPr>
    </w:p>
    <w:p w14:paraId="6EE5D12E" w14:textId="77777777" w:rsidR="00802877" w:rsidRDefault="00802877" w:rsidP="00C50527">
      <w:pPr>
        <w:pStyle w:val="INCISO"/>
        <w:tabs>
          <w:tab w:val="left" w:pos="284"/>
        </w:tabs>
        <w:spacing w:after="0" w:line="276" w:lineRule="auto"/>
        <w:ind w:left="284" w:firstLine="0"/>
        <w:rPr>
          <w:b/>
          <w:smallCaps/>
        </w:rPr>
      </w:pPr>
    </w:p>
    <w:p w14:paraId="0196D238" w14:textId="77777777" w:rsidR="00802877" w:rsidRDefault="00802877" w:rsidP="00C50527">
      <w:pPr>
        <w:pStyle w:val="INCISO"/>
        <w:tabs>
          <w:tab w:val="left" w:pos="284"/>
        </w:tabs>
        <w:spacing w:after="0" w:line="276" w:lineRule="auto"/>
        <w:ind w:left="284" w:firstLine="0"/>
        <w:rPr>
          <w:b/>
          <w:smallCaps/>
        </w:rPr>
      </w:pPr>
    </w:p>
    <w:p w14:paraId="120B4F3E" w14:textId="77777777" w:rsidR="00802877" w:rsidRDefault="00802877" w:rsidP="00C50527">
      <w:pPr>
        <w:pStyle w:val="INCISO"/>
        <w:tabs>
          <w:tab w:val="left" w:pos="284"/>
        </w:tabs>
        <w:spacing w:after="0" w:line="276" w:lineRule="auto"/>
        <w:ind w:left="284" w:firstLine="0"/>
        <w:rPr>
          <w:b/>
          <w:smallCaps/>
        </w:rPr>
      </w:pPr>
    </w:p>
    <w:p w14:paraId="56EBA709" w14:textId="77777777" w:rsidR="00802877" w:rsidRDefault="00802877" w:rsidP="00C50527">
      <w:pPr>
        <w:pStyle w:val="INCISO"/>
        <w:tabs>
          <w:tab w:val="left" w:pos="284"/>
        </w:tabs>
        <w:spacing w:after="0" w:line="276" w:lineRule="auto"/>
        <w:ind w:left="284" w:firstLine="0"/>
        <w:rPr>
          <w:b/>
          <w:smallCaps/>
        </w:rPr>
      </w:pPr>
    </w:p>
    <w:p w14:paraId="2973DB60" w14:textId="77777777" w:rsidR="00802877" w:rsidRDefault="00802877" w:rsidP="00C50527">
      <w:pPr>
        <w:pStyle w:val="INCISO"/>
        <w:tabs>
          <w:tab w:val="left" w:pos="284"/>
        </w:tabs>
        <w:spacing w:after="0" w:line="276" w:lineRule="auto"/>
        <w:ind w:left="284" w:firstLine="0"/>
        <w:rPr>
          <w:b/>
          <w:smallCaps/>
        </w:rPr>
      </w:pPr>
    </w:p>
    <w:p w14:paraId="5CB3BE9A" w14:textId="77777777" w:rsidR="00802877" w:rsidRDefault="00802877" w:rsidP="00C50527">
      <w:pPr>
        <w:pStyle w:val="INCISO"/>
        <w:tabs>
          <w:tab w:val="left" w:pos="284"/>
        </w:tabs>
        <w:spacing w:after="0" w:line="276" w:lineRule="auto"/>
        <w:ind w:left="284" w:firstLine="0"/>
        <w:rPr>
          <w:b/>
          <w:smallCaps/>
        </w:rPr>
      </w:pPr>
    </w:p>
    <w:p w14:paraId="76A3F3C8" w14:textId="77777777" w:rsidR="00802877" w:rsidRDefault="00802877" w:rsidP="00C50527">
      <w:pPr>
        <w:pStyle w:val="INCISO"/>
        <w:tabs>
          <w:tab w:val="left" w:pos="284"/>
        </w:tabs>
        <w:spacing w:after="0" w:line="276" w:lineRule="auto"/>
        <w:ind w:left="284" w:firstLine="0"/>
        <w:rPr>
          <w:b/>
          <w:smallCaps/>
        </w:rPr>
      </w:pPr>
    </w:p>
    <w:p w14:paraId="0ACC37B2" w14:textId="77777777" w:rsidR="00802877" w:rsidRDefault="00802877" w:rsidP="00C50527">
      <w:pPr>
        <w:pStyle w:val="INCISO"/>
        <w:tabs>
          <w:tab w:val="left" w:pos="284"/>
        </w:tabs>
        <w:spacing w:after="0" w:line="276" w:lineRule="auto"/>
        <w:ind w:left="284" w:firstLine="0"/>
        <w:rPr>
          <w:b/>
          <w:smallCaps/>
        </w:rPr>
      </w:pPr>
    </w:p>
    <w:p w14:paraId="57815AD7" w14:textId="77777777" w:rsidR="00802877" w:rsidRDefault="00802877" w:rsidP="00C50527">
      <w:pPr>
        <w:pStyle w:val="INCISO"/>
        <w:tabs>
          <w:tab w:val="left" w:pos="284"/>
        </w:tabs>
        <w:spacing w:after="0" w:line="276" w:lineRule="auto"/>
        <w:ind w:left="284" w:firstLine="0"/>
        <w:rPr>
          <w:b/>
          <w:smallCaps/>
        </w:rPr>
      </w:pPr>
    </w:p>
    <w:p w14:paraId="1886C645" w14:textId="77777777" w:rsidR="00802877" w:rsidRDefault="00802877" w:rsidP="00C50527">
      <w:pPr>
        <w:pStyle w:val="INCISO"/>
        <w:tabs>
          <w:tab w:val="left" w:pos="284"/>
        </w:tabs>
        <w:spacing w:after="0" w:line="276" w:lineRule="auto"/>
        <w:ind w:left="284" w:firstLine="0"/>
        <w:rPr>
          <w:b/>
          <w:smallCaps/>
        </w:rPr>
      </w:pPr>
    </w:p>
    <w:p w14:paraId="05710895" w14:textId="77777777" w:rsidR="00802877" w:rsidRDefault="00802877" w:rsidP="00C50527">
      <w:pPr>
        <w:pStyle w:val="INCISO"/>
        <w:tabs>
          <w:tab w:val="left" w:pos="284"/>
        </w:tabs>
        <w:spacing w:after="0" w:line="276" w:lineRule="auto"/>
        <w:ind w:left="284" w:firstLine="0"/>
        <w:rPr>
          <w:b/>
          <w:smallCaps/>
        </w:rPr>
      </w:pPr>
    </w:p>
    <w:p w14:paraId="5C62E27E" w14:textId="77777777" w:rsidR="00802877" w:rsidRDefault="00802877" w:rsidP="00C50527">
      <w:pPr>
        <w:pStyle w:val="INCISO"/>
        <w:tabs>
          <w:tab w:val="left" w:pos="284"/>
        </w:tabs>
        <w:spacing w:after="0" w:line="276" w:lineRule="auto"/>
        <w:ind w:left="284" w:firstLine="0"/>
        <w:rPr>
          <w:b/>
          <w:smallCaps/>
        </w:rPr>
      </w:pPr>
    </w:p>
    <w:p w14:paraId="5897D59C" w14:textId="77777777" w:rsidR="00802877" w:rsidRDefault="00802877" w:rsidP="00C50527">
      <w:pPr>
        <w:pStyle w:val="INCISO"/>
        <w:tabs>
          <w:tab w:val="left" w:pos="284"/>
        </w:tabs>
        <w:spacing w:after="0" w:line="276" w:lineRule="auto"/>
        <w:ind w:left="284" w:firstLine="0"/>
        <w:rPr>
          <w:b/>
          <w:smallCaps/>
        </w:rPr>
      </w:pPr>
    </w:p>
    <w:p w14:paraId="53EAB9B5" w14:textId="77777777" w:rsidR="00802877" w:rsidRDefault="00802877" w:rsidP="00C50527">
      <w:pPr>
        <w:pStyle w:val="INCISO"/>
        <w:tabs>
          <w:tab w:val="left" w:pos="284"/>
        </w:tabs>
        <w:spacing w:after="0" w:line="276" w:lineRule="auto"/>
        <w:ind w:left="284" w:firstLine="0"/>
        <w:rPr>
          <w:b/>
          <w:smallCaps/>
        </w:rPr>
      </w:pPr>
    </w:p>
    <w:p w14:paraId="6EE32E24" w14:textId="77777777" w:rsidR="00802877" w:rsidRDefault="00802877" w:rsidP="00C50527">
      <w:pPr>
        <w:pStyle w:val="INCISO"/>
        <w:tabs>
          <w:tab w:val="left" w:pos="284"/>
        </w:tabs>
        <w:spacing w:after="0" w:line="276" w:lineRule="auto"/>
        <w:ind w:left="284" w:firstLine="0"/>
        <w:rPr>
          <w:b/>
          <w:smallCaps/>
        </w:rPr>
      </w:pPr>
    </w:p>
    <w:p w14:paraId="1C6E0FAB" w14:textId="77777777" w:rsidR="00802877" w:rsidRDefault="00802877"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7082035A" w14:textId="77777777" w:rsidR="00802877" w:rsidRDefault="00802877" w:rsidP="00C50527">
      <w:pPr>
        <w:pStyle w:val="INCISO"/>
        <w:tabs>
          <w:tab w:val="left" w:pos="284"/>
        </w:tabs>
        <w:spacing w:after="0" w:line="276" w:lineRule="auto"/>
        <w:ind w:left="284" w:firstLine="0"/>
        <w:rPr>
          <w:b/>
          <w:smallCaps/>
        </w:rPr>
      </w:pPr>
    </w:p>
    <w:p w14:paraId="46C77494" w14:textId="77777777" w:rsidR="00802877" w:rsidRDefault="00802877" w:rsidP="00C50527">
      <w:pPr>
        <w:pStyle w:val="INCISO"/>
        <w:tabs>
          <w:tab w:val="left" w:pos="284"/>
        </w:tabs>
        <w:spacing w:after="0" w:line="276" w:lineRule="auto"/>
        <w:ind w:left="284" w:firstLine="0"/>
        <w:rPr>
          <w:b/>
          <w:smallCaps/>
        </w:rPr>
      </w:pPr>
    </w:p>
    <w:p w14:paraId="6CD0265B" w14:textId="77777777" w:rsidR="00802877" w:rsidRDefault="00802877" w:rsidP="00C50527">
      <w:pPr>
        <w:pStyle w:val="INCISO"/>
        <w:tabs>
          <w:tab w:val="left" w:pos="284"/>
        </w:tabs>
        <w:spacing w:after="0" w:line="276" w:lineRule="auto"/>
        <w:ind w:left="284" w:firstLine="0"/>
        <w:rPr>
          <w:b/>
          <w:smallCaps/>
        </w:rPr>
      </w:pPr>
    </w:p>
    <w:p w14:paraId="085C7409" w14:textId="77777777" w:rsidR="00802877" w:rsidRDefault="00802877" w:rsidP="00C50527">
      <w:pPr>
        <w:pStyle w:val="INCISO"/>
        <w:tabs>
          <w:tab w:val="left" w:pos="284"/>
        </w:tabs>
        <w:spacing w:after="0" w:line="276" w:lineRule="auto"/>
        <w:ind w:left="284" w:firstLine="0"/>
        <w:rPr>
          <w:b/>
          <w:smallCaps/>
        </w:rPr>
      </w:pPr>
    </w:p>
    <w:p w14:paraId="5DDC443A" w14:textId="77777777" w:rsidR="00802877" w:rsidRDefault="00802877" w:rsidP="00C50527">
      <w:pPr>
        <w:pStyle w:val="INCISO"/>
        <w:tabs>
          <w:tab w:val="left" w:pos="284"/>
        </w:tabs>
        <w:spacing w:after="0" w:line="276" w:lineRule="auto"/>
        <w:ind w:left="284" w:firstLine="0"/>
        <w:rPr>
          <w:b/>
          <w:smallCaps/>
        </w:rPr>
      </w:pPr>
    </w:p>
    <w:p w14:paraId="66323F6F" w14:textId="77777777" w:rsidR="00802877" w:rsidRDefault="00802877" w:rsidP="00C50527">
      <w:pPr>
        <w:pStyle w:val="INCISO"/>
        <w:tabs>
          <w:tab w:val="left" w:pos="284"/>
        </w:tabs>
        <w:spacing w:after="0" w:line="276" w:lineRule="auto"/>
        <w:ind w:left="284" w:firstLine="0"/>
        <w:rPr>
          <w:b/>
          <w:smallCaps/>
        </w:rPr>
      </w:pPr>
    </w:p>
    <w:p w14:paraId="30B8616A" w14:textId="77777777" w:rsidR="00802877" w:rsidRDefault="00802877" w:rsidP="00C50527">
      <w:pPr>
        <w:pStyle w:val="INCISO"/>
        <w:tabs>
          <w:tab w:val="left" w:pos="284"/>
        </w:tabs>
        <w:spacing w:after="0" w:line="276" w:lineRule="auto"/>
        <w:ind w:left="284" w:firstLine="0"/>
        <w:rPr>
          <w:b/>
          <w:smallCaps/>
        </w:rPr>
      </w:pPr>
    </w:p>
    <w:p w14:paraId="2C7DDC0D" w14:textId="77777777" w:rsidR="00802877" w:rsidRDefault="00802877" w:rsidP="00C50527">
      <w:pPr>
        <w:pStyle w:val="INCISO"/>
        <w:tabs>
          <w:tab w:val="left" w:pos="284"/>
        </w:tabs>
        <w:spacing w:after="0" w:line="276" w:lineRule="auto"/>
        <w:ind w:left="284" w:firstLine="0"/>
        <w:rPr>
          <w:b/>
          <w:smallCaps/>
        </w:rPr>
      </w:pPr>
    </w:p>
    <w:p w14:paraId="736FAF91" w14:textId="77777777" w:rsidR="00802877" w:rsidRDefault="00802877" w:rsidP="00C50527">
      <w:pPr>
        <w:pStyle w:val="INCISO"/>
        <w:tabs>
          <w:tab w:val="left" w:pos="284"/>
        </w:tabs>
        <w:spacing w:after="0" w:line="276" w:lineRule="auto"/>
        <w:ind w:left="284" w:firstLine="0"/>
        <w:rPr>
          <w:b/>
          <w:smallCaps/>
        </w:rPr>
      </w:pPr>
    </w:p>
    <w:p w14:paraId="1EAF4D81" w14:textId="77777777" w:rsidR="00802877" w:rsidRDefault="00802877" w:rsidP="00C50527">
      <w:pPr>
        <w:pStyle w:val="INCISO"/>
        <w:tabs>
          <w:tab w:val="left" w:pos="284"/>
        </w:tabs>
        <w:spacing w:after="0" w:line="276" w:lineRule="auto"/>
        <w:ind w:left="284" w:firstLine="0"/>
        <w:rPr>
          <w:b/>
          <w:smallCaps/>
        </w:rPr>
      </w:pPr>
    </w:p>
    <w:p w14:paraId="463D2335" w14:textId="77777777" w:rsidR="00802877" w:rsidRDefault="00802877" w:rsidP="00C50527">
      <w:pPr>
        <w:pStyle w:val="INCISO"/>
        <w:tabs>
          <w:tab w:val="left" w:pos="284"/>
        </w:tabs>
        <w:spacing w:after="0" w:line="276" w:lineRule="auto"/>
        <w:ind w:left="284" w:firstLine="0"/>
        <w:rPr>
          <w:b/>
          <w:smallCaps/>
        </w:rPr>
      </w:pPr>
    </w:p>
    <w:p w14:paraId="327C7DD3" w14:textId="77777777" w:rsidR="00802877" w:rsidRDefault="00802877" w:rsidP="00C50527">
      <w:pPr>
        <w:pStyle w:val="INCISO"/>
        <w:tabs>
          <w:tab w:val="left" w:pos="284"/>
        </w:tabs>
        <w:spacing w:after="0" w:line="276" w:lineRule="auto"/>
        <w:ind w:left="284" w:firstLine="0"/>
        <w:rPr>
          <w:b/>
          <w:smallCaps/>
        </w:rPr>
      </w:pPr>
    </w:p>
    <w:p w14:paraId="6CF3CBC2" w14:textId="77777777" w:rsidR="00802877" w:rsidRDefault="00802877" w:rsidP="00C50527">
      <w:pPr>
        <w:pStyle w:val="INCISO"/>
        <w:tabs>
          <w:tab w:val="left" w:pos="284"/>
        </w:tabs>
        <w:spacing w:after="0" w:line="276" w:lineRule="auto"/>
        <w:ind w:left="284" w:firstLine="0"/>
        <w:rPr>
          <w:b/>
          <w:smallCaps/>
        </w:rPr>
      </w:pPr>
    </w:p>
    <w:p w14:paraId="5FDCD5F3" w14:textId="77777777" w:rsidR="00802877" w:rsidRDefault="00802877" w:rsidP="00C50527">
      <w:pPr>
        <w:pStyle w:val="INCISO"/>
        <w:tabs>
          <w:tab w:val="left" w:pos="284"/>
        </w:tabs>
        <w:spacing w:after="0" w:line="276" w:lineRule="auto"/>
        <w:ind w:left="284" w:firstLine="0"/>
        <w:rPr>
          <w:b/>
          <w:smallCaps/>
        </w:rPr>
      </w:pPr>
    </w:p>
    <w:p w14:paraId="3608AA83" w14:textId="77777777" w:rsidR="00802877" w:rsidRDefault="00802877" w:rsidP="00C50527">
      <w:pPr>
        <w:pStyle w:val="INCISO"/>
        <w:tabs>
          <w:tab w:val="left" w:pos="284"/>
        </w:tabs>
        <w:spacing w:after="0" w:line="276" w:lineRule="auto"/>
        <w:ind w:left="284" w:firstLine="0"/>
        <w:rPr>
          <w:b/>
          <w:smallCaps/>
        </w:rPr>
      </w:pPr>
    </w:p>
    <w:p w14:paraId="05823843" w14:textId="77777777" w:rsidR="00802877" w:rsidRDefault="00802877" w:rsidP="00C50527">
      <w:pPr>
        <w:pStyle w:val="INCISO"/>
        <w:tabs>
          <w:tab w:val="left" w:pos="284"/>
        </w:tabs>
        <w:spacing w:after="0" w:line="276" w:lineRule="auto"/>
        <w:ind w:left="284" w:firstLine="0"/>
        <w:rPr>
          <w:b/>
          <w:smallCaps/>
        </w:rPr>
      </w:pPr>
    </w:p>
    <w:p w14:paraId="6FB51F8E" w14:textId="77777777" w:rsidR="00802877" w:rsidRDefault="00802877" w:rsidP="00C50527">
      <w:pPr>
        <w:pStyle w:val="INCISO"/>
        <w:tabs>
          <w:tab w:val="left" w:pos="284"/>
        </w:tabs>
        <w:spacing w:after="0" w:line="276" w:lineRule="auto"/>
        <w:ind w:left="284" w:firstLine="0"/>
        <w:rPr>
          <w:b/>
          <w:smallCaps/>
        </w:rPr>
      </w:pPr>
    </w:p>
    <w:p w14:paraId="128873CA" w14:textId="77777777" w:rsidR="00802877" w:rsidRDefault="00802877" w:rsidP="00C50527">
      <w:pPr>
        <w:pStyle w:val="INCISO"/>
        <w:tabs>
          <w:tab w:val="left" w:pos="284"/>
        </w:tabs>
        <w:spacing w:after="0" w:line="276" w:lineRule="auto"/>
        <w:ind w:left="284" w:firstLine="0"/>
        <w:rPr>
          <w:b/>
          <w:smallCaps/>
        </w:rPr>
      </w:pPr>
    </w:p>
    <w:p w14:paraId="17CEC0C3" w14:textId="77777777" w:rsidR="00802877" w:rsidRDefault="00802877" w:rsidP="00C50527">
      <w:pPr>
        <w:pStyle w:val="INCISO"/>
        <w:tabs>
          <w:tab w:val="left" w:pos="284"/>
        </w:tabs>
        <w:spacing w:after="0" w:line="276" w:lineRule="auto"/>
        <w:ind w:left="284" w:firstLine="0"/>
        <w:rPr>
          <w:b/>
          <w:smallCaps/>
        </w:rPr>
      </w:pPr>
    </w:p>
    <w:p w14:paraId="71C5AB0A" w14:textId="77777777" w:rsidR="00802877" w:rsidRDefault="00802877" w:rsidP="00C50527">
      <w:pPr>
        <w:pStyle w:val="INCISO"/>
        <w:tabs>
          <w:tab w:val="left" w:pos="284"/>
        </w:tabs>
        <w:spacing w:after="0" w:line="276" w:lineRule="auto"/>
        <w:ind w:left="284" w:firstLine="0"/>
        <w:rPr>
          <w:b/>
          <w:smallCaps/>
        </w:rPr>
      </w:pPr>
    </w:p>
    <w:p w14:paraId="5077C0E6"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77777777" w:rsidR="006942ED" w:rsidRPr="006942ED" w:rsidRDefault="0092158D" w:rsidP="006942ED">
      <w:pPr>
        <w:rPr>
          <w:lang w:eastAsia="es-ES"/>
        </w:rPr>
      </w:pPr>
      <w:r>
        <w:rPr>
          <w:noProof/>
          <w:szCs w:val="18"/>
          <w:lang w:val="es-ES" w:eastAsia="es-MX"/>
        </w:rPr>
        <w:object w:dxaOrig="1440" w:dyaOrig="1440" w14:anchorId="7CF3A5A1">
          <v:shape id="_x0000_s1046" type="#_x0000_t75" style="position:absolute;margin-left:-26.6pt;margin-top:24.9pt;width:555.85pt;height:477.85pt;z-index:251663360">
            <v:imagedata r:id="rId24" o:title=""/>
            <w10:wrap type="topAndBottom"/>
          </v:shape>
          <o:OLEObject Type="Embed" ProgID="Excel.Sheet.12" ShapeID="_x0000_s1046" DrawAspect="Content" ObjectID="_1751898573" r:id="rId25"/>
        </w:object>
      </w:r>
    </w:p>
    <w:p w14:paraId="59649526" w14:textId="77777777" w:rsidR="006942ED" w:rsidRPr="006942ED" w:rsidRDefault="006942ED" w:rsidP="006942ED">
      <w:pPr>
        <w:rPr>
          <w:lang w:eastAsia="es-ES"/>
        </w:rPr>
      </w:pPr>
    </w:p>
    <w:p w14:paraId="02BAADB2" w14:textId="77777777" w:rsidR="002A62AF" w:rsidRDefault="002A62AF" w:rsidP="006942ED">
      <w:pPr>
        <w:ind w:firstLine="708"/>
        <w:rPr>
          <w:lang w:eastAsia="es-ES"/>
        </w:rPr>
      </w:pPr>
    </w:p>
    <w:p w14:paraId="4EA645CD" w14:textId="77777777" w:rsidR="002C55F6" w:rsidRDefault="0092158D" w:rsidP="006942ED">
      <w:pPr>
        <w:ind w:firstLine="708"/>
        <w:rPr>
          <w:lang w:eastAsia="es-ES"/>
        </w:rPr>
      </w:pPr>
      <w:r>
        <w:rPr>
          <w:b/>
          <w:smallCaps/>
          <w:noProof/>
          <w:szCs w:val="18"/>
          <w:lang w:eastAsia="es-MX"/>
        </w:rPr>
        <w:lastRenderedPageBreak/>
        <w:object w:dxaOrig="1440" w:dyaOrig="1440" w14:anchorId="2A260062">
          <v:shape id="_x0000_s1047" type="#_x0000_t75" style="position:absolute;left:0;text-align:left;margin-left:-40pt;margin-top:9.7pt;width:542.75pt;height:614.6pt;z-index:251664384">
            <v:imagedata r:id="rId26" o:title=""/>
            <w10:wrap type="topAndBottom"/>
          </v:shape>
          <o:OLEObject Type="Embed" ProgID="Excel.Sheet.12" ShapeID="_x0000_s1047" DrawAspect="Content" ObjectID="_1751898574" r:id="rId27"/>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3DFA0DF2"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AF18C2">
        <w:rPr>
          <w:rFonts w:ascii="Arial" w:hAnsi="Arial" w:cs="Arial"/>
          <w:sz w:val="18"/>
          <w:szCs w:val="18"/>
        </w:rPr>
        <w:t>juni</w:t>
      </w:r>
      <w:r w:rsidR="002615F9">
        <w:rPr>
          <w:rFonts w:ascii="Arial" w:hAnsi="Arial" w:cs="Arial"/>
          <w:sz w:val="18"/>
          <w:szCs w:val="18"/>
        </w:rPr>
        <w:t>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2615F9">
        <w:rPr>
          <w:rFonts w:ascii="Arial" w:hAnsi="Arial" w:cs="Arial"/>
          <w:sz w:val="18"/>
          <w:szCs w:val="18"/>
        </w:rPr>
        <w:t>3</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p w14:paraId="1A08EFEF"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3E96F93" w14:textId="77777777" w:rsidR="005F52B3" w:rsidRDefault="005F52B3" w:rsidP="005F52B3">
      <w:pPr>
        <w:pStyle w:val="Texto"/>
        <w:tabs>
          <w:tab w:val="left" w:pos="284"/>
        </w:tabs>
        <w:spacing w:after="0" w:line="276" w:lineRule="auto"/>
        <w:ind w:left="284" w:firstLine="0"/>
        <w:rPr>
          <w:b/>
          <w:szCs w:val="18"/>
          <w:lang w:val="es-MX"/>
        </w:rPr>
      </w:pPr>
    </w:p>
    <w:p w14:paraId="0D6A4CBF" w14:textId="77777777"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14:paraId="420EF5E8"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52FC99CD"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3FA5231E" w14:textId="77777777"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3D4100FA" w14:textId="77777777"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14:paraId="585F9AE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14:paraId="66C7825D" w14:textId="77777777" w:rsidR="002615F9" w:rsidRPr="002615F9" w:rsidRDefault="002615F9" w:rsidP="002615F9">
      <w:pPr>
        <w:tabs>
          <w:tab w:val="left" w:pos="284"/>
        </w:tabs>
        <w:ind w:left="284"/>
        <w:jc w:val="both"/>
        <w:rPr>
          <w:rFonts w:ascii="Arial" w:hAnsi="Arial" w:cs="Arial"/>
          <w:sz w:val="18"/>
          <w:szCs w:val="18"/>
        </w:rPr>
      </w:pPr>
    </w:p>
    <w:p w14:paraId="0EE104D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5CF423B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7C8B1A3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4CCD1FC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se registraron señales mixtas en la actividad económica global. Por un lado, el comportamiento de algunas variables mostró signos de moderación en el ritmo de la actividad económica, mientras que, por otro, algunos indicadores presentaron un alto dinamismo y resultados positivos que anticipan un menor riesgo de recesión. Estos resultados generaron un entorno donde prevaleció la incertidumbre sobre la permanencia de posturas monetarias restrictivas de los principales bancos centrales. Un factor que contribuyó a reducir las presiones inflacionarias desde inicios del año fue la reapertura económica en China. Este entorno se vio favorecido por una reducción significativa en los costos de transporte marítimo, al tiempo que los precios de los energéticos continuaron con la tendencia a la baja observada desde la segunda mitad de 2022, misma que se estabilizó hacia el final de marzo de 2023, en un nivel cercano al periodo previo a la pandemia. </w:t>
      </w:r>
    </w:p>
    <w:p w14:paraId="0ABD281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No obstante, los precios agrícolas continuaron en niveles relativamente altos respecto al periodo previo a la pandemia, aunque en niveles menores a los que se observaron en 2022 después de la invasión de Rusia a Ucrania. A la par, algunos precios de servicios como renta de vivienda, restaurantes y transporte permanecieron elevados, lo que ocasionó que la inflación subyacente continuara presionada al alza. Aunado a ello, las condiciones laborales de escasez de mano de obra incidieron en el crecimiento real de los salarios, que a nivel global presentaron aumentos importantes, particularmente en el sector de servicios relacionados al entretenimiento y el ocio. </w:t>
      </w:r>
    </w:p>
    <w:p w14:paraId="6BC43BA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otra parte, los problemas que enfrentaron dos bancos regionales en Estados Unidos (EE.UU.) y un banco global sistémico en Europa incrementaron temporalmente los riesgos en torno a un mayor deterioro en los balances del sector y una posible contracción crediticia. No obstante, la respuesta inmediata por parte de las autoridades para proveer de liquidez al sistema financiero y la fusión entre bancos limitó los riesgos de contagio y de pérdida de confianza en los inversionistas. Asociado con los eventos ocurridos en el sistema financiero, las condiciones crediticias se tornaron más restrictivas en la mayoría de los países por una aversión al riesgo en el otorgamiento de crédito. Esta situación favoreció el ciclo alcista de la política monetaria de la mayoría de los bancos centrales que continuó durante el primer trimestre, aunque con aumentos en las tasas a un ritmo más moderado.</w:t>
      </w:r>
    </w:p>
    <w:p w14:paraId="468E309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Tal es el caso de la FED, que ubicó su tasa de referencia en un rango de 4.75-5.00% con dos incrementos de 25 puntos base (pb) el 1 de febrero y el 22 de marzo, mientras que el Banco Central Europeo aumentó en dos ocasiones sus tres tasas de referencia en 50 pb, situando su tasa de refinanciamiento en 3.50%, a pesar de los episodios de volatilidad observados en los mercados financieros. En este contexto de volatilidad y condiciones financieras más restrictivas, al primer trimestre de 2023, las economías de EE.UU. y China registraron un crecimiento trimestral por encima de lo proyectado a principios de enero por el consenso de analistas. En ambos casos, el consumo privado asociado al sector servicios fue el principal motor de crecimiento para la actividad económica. En el caso de EE.UU., se debió a la fortaleza del mercado laboral y la recuperación del ingreso real </w:t>
      </w:r>
      <w:r w:rsidRPr="00AF18C2">
        <w:rPr>
          <w:rFonts w:ascii="Arial" w:hAnsi="Arial" w:cs="Arial"/>
          <w:sz w:val="18"/>
          <w:szCs w:val="18"/>
        </w:rPr>
        <w:lastRenderedPageBreak/>
        <w:t xml:space="preserve">disponible, mientras que en China provino de la reapertura económica y el mayor dinamismo de sus exportaciones, a pesar de la ralentización de su producción industrial. </w:t>
      </w:r>
    </w:p>
    <w:p w14:paraId="5F535DE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La economía mexicana no fue ajena a los retos financieros que enfrentaron las economías a nivel global durante el primer trimestre de 2023. No obstante, la estabilidad macroeconómica y la fortaleza del sistema financiero nacional, así como el dinamismo del mercado laboral contribuyeron a que la economía mexicana continuara en una senda de crecimiento cuya fuente principal de dinamismo provino del mercado interno. De acuerdo con la estimación oportuna del PIB, en el primer trimestre de 2023 la economía aumentó 3.9% anual y con cifras ajustadas por estacionalidad mostró un crecimiento de 1.1% con respecto al trimestre anterior. Este último resultado se debió al crecimiento de las actividades terciarias en 1.5% y las secundarias en 0.7%, las cuales registraron aumentos superiores al trimestre pasado; mientras que la agricultura cayó en 3.2%. </w:t>
      </w:r>
    </w:p>
    <w:p w14:paraId="5B60AC3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Cabe destacar que, con el dato preliminar del primer trimestre de 2023, el PIB aumentó más que el trimestre anterior y ligó seis trimestres consecutivos de crecimiento por arriba de su tendencia histórica. Uno de los factores que más contribuyó al desempeño positivo de la actividad económica fue el consumo privado, indicador que ha crecido de manera acelerada desde finales de 2021 y que en enero de 2023 registró un alza mensual no vista desde 2013. Este rubro, en particular, se vio favorecido por la solidez del mercado laboral ya que, de acuerdo con los registros del IMSS, durante el primer trimestre del 2023 se generaron 423 mil empleos, la mayor creación desde que se tiene registro. Otro indicador laboral que mostró resultados positivos fue la tasa de desempleo de febrero de 2023, la cual se ubicó en 2.7% y alcanzó un nivel mínimo desde que inició la Encuesta Nacional de Ocupación y Empleo (ENOE) en 2005. </w:t>
      </w:r>
    </w:p>
    <w:p w14:paraId="614E2DA3"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Lo anterior se explicó por la mayor población ocupada que, en el primer bimestre de 2023, creció en 2.6 millones de personas respecto al año anterior e hiló 23 meses de aumentos anuales consecutivos. Así, la participación laboral registró niveles históricamente altos desde que se tiene registro. En su interior, destacó que la tasa de participación laboral de las mujeres contribuyó de manera significativa a dicho resultado, al alcanzar un máximo histórico de 45.8% en el primer bimestre de 2023 derivado de un aumento en los empleos de tiempo completo. El consumo privado también fue impulsado por los altos niveles de remesas y por el crédito al consumo de la banca comercial, que en febrero 2023 creció 1.8% en términos reales con respecto a diciembre del año pasado, con cifras ajustadas por estacionalidad. Asimismo, la apreciación de 8.1% del tipo de cambio respecto al cierre del trimestre anterior favoreció el consumo de bienes importados, principalmente los no duraderos. </w:t>
      </w:r>
    </w:p>
    <w:p w14:paraId="352D77A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otra parte, en enero de 2023, la inversión fija bruta total se redujo en 0.5% por el retroceso en la maquinaria y equipo importado, luego de tres meses consecutivos de aumentos. No obstante, la construcción no residencial aumentó 0.4% mensual y al acumular cinco meses de crecimientos continuos mostró un cambio importante en su tendencia. Lo anterior obedeció, principalmente, a la construcción de los proyectos de infraestructura del Gobierno Federal, así como al reciente fenómeno de relocalización de empresas hacia territorio nacional que ya muestra la ampliación de la capacidad productiva con la construcción de oficinas y plantas industriales. En relación con el nivel general de precios, las presiones provenientes del exterior disminuyeron, lo que benefició principalmente a los componentes de pecuarios, energéticos y mercancías alimenticias. Así, la inflación del primer trimestre fue de 7.46% anual, disminuyendo 0.5 puntos porcentuales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 la inflación del trimestre previo, con lo cual acumuló dos trimestres a la baja y registró la mayor reducción desde el inicio de la pandemia en 2020. </w:t>
      </w:r>
    </w:p>
    <w:p w14:paraId="51A20BF7"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El sector externo también mostró resultados positivos, entre los cuales destacaron los incrementos de las exportaciones manufactureras por la demanda proveniente de EE.UU. Sobresalió también que los ingresos por turismo internacional acumularon 5.4 mil millones de dólares, nivel histórico en el primer bimestre. Asimismo, el número de extranjeros que ingresó por vía aérea en el primer bimestre fue de 3.7 millones de visitantes, la mayor cantidad desde que se tiene registro. Finalmente, los flujos de remesas también alcanzaron en el primer bimestre un nivel histórico. En este contexto, a pesar de los recientes episodios de volatilidad ocasionados por algunos segmentos del sistema bancario en EE.UU. y Europa, el sector bancario en México se mantuvo bien capitalizado y sin riesgos de contagio. Si bien la banca privada cuenta con una alta participación de origen extranjero, el sistema bancario se encuentra respaldado principalmente por depósitos, lo que reduce los riesgos de liquidez y la exposición a los ciclos y choques financieros de las economías avanzadas.</w:t>
      </w:r>
    </w:p>
    <w:p w14:paraId="0E88CF6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se registraron signos mixtos en la actividad económica global a pesar de la acumulación de choques económicos observados en 2022. La fortaleza en la demanda interna de países avanzados, la reapertura económica de China, una menor presión en las cadenas globales de valor y menores presiones en los precios de materias primas y energéticos sorprendieron positivamente y contribuyeron a mejorar </w:t>
      </w:r>
      <w:r w:rsidRPr="00AF18C2">
        <w:rPr>
          <w:rFonts w:ascii="Arial" w:hAnsi="Arial" w:cs="Arial"/>
          <w:sz w:val="18"/>
          <w:szCs w:val="18"/>
        </w:rPr>
        <w:lastRenderedPageBreak/>
        <w:t xml:space="preserve">las perspectivas de crecimiento en los primeros tres meses del año. Sin embargo, los acontecimientos ocurridos a inicios de marzo en el sector bancario – con la quiebra de los bancos regionales Silicon Valley y </w:t>
      </w:r>
      <w:proofErr w:type="spellStart"/>
      <w:r w:rsidRPr="00AF18C2">
        <w:rPr>
          <w:rFonts w:ascii="Arial" w:hAnsi="Arial" w:cs="Arial"/>
          <w:sz w:val="18"/>
          <w:szCs w:val="18"/>
        </w:rPr>
        <w:t>Signature</w:t>
      </w:r>
      <w:proofErr w:type="spellEnd"/>
      <w:r w:rsidRPr="00AF18C2">
        <w:rPr>
          <w:rFonts w:ascii="Arial" w:hAnsi="Arial" w:cs="Arial"/>
          <w:sz w:val="18"/>
          <w:szCs w:val="18"/>
        </w:rPr>
        <w:t xml:space="preserve"> en EE.UU. y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un banco global de importancia sistémica en Europa– elevaron la incertidumbre en torno a la solidez del sector bancario frente a la coyuntura de las tasas de interés a nivel internacional por parte de los bancos centrales. Si bien hasta el momento el riesgo de contagio a lo largo del sector bancario parece estar contenido debido a la exposición sistémica y la intervención inmediata de las autoridades, los riesgos financieros se sesgaron al alza respecto a condiciones crediticias más restrictivas y una desaceleración temprana de la actividad económica global. </w:t>
      </w:r>
    </w:p>
    <w:p w14:paraId="54C34FB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Adicionalmente, la persistencia de las presiones inflacionarias continuó presente en las principales economías avanzadas y emergentes, y a pesar de que la inflación general disminuyó por los efectos de las políticas monetarias restrictivas y por menores presiones del lado de la oferta, la inflación se mantuvo por encima de los objetivos de los bancos centrales. Por su parte, la inflación subyacente permaneció elevada en países avanzados debido a una demanda laboral por encima de su oferta y a un sector servicios presionado por los altos costos salariales y los altos precios de alimentos importados. Esto, nuevamente, generó incertidumbre en torno al nivel de la tasa terminal y ante el efecto rezagado de la política monetaria sobre la actividad económica. Estados Unidos Durante el primer trimestre de 2023, el PIB de la economía estadounidense presentó un crecimiento real de 0.3% en su variación trimestral, de acuerdo con cifras preliminares. Si bien esta cifra se ubicó por debajo del crecimiento observado en el trimestre previo, de 0.6%, fue mayor a lo esperado por el consenso de Blue Chip de -0.1% el 10 de enero de 2023, atribuido a la fortaleza de la demanda interna. </w:t>
      </w:r>
    </w:p>
    <w:p w14:paraId="50ABC00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Así, el consumo privado continuó como el principal impulsor del PIB con una contribución a su crecimiento de 0.6 </w:t>
      </w:r>
      <w:proofErr w:type="spellStart"/>
      <w:r w:rsidRPr="00AF18C2">
        <w:rPr>
          <w:rFonts w:ascii="Arial" w:hAnsi="Arial" w:cs="Arial"/>
          <w:sz w:val="18"/>
          <w:szCs w:val="18"/>
        </w:rPr>
        <w:t>pp</w:t>
      </w:r>
      <w:proofErr w:type="spellEnd"/>
      <w:r w:rsidRPr="00AF18C2">
        <w:rPr>
          <w:rFonts w:ascii="Arial" w:hAnsi="Arial" w:cs="Arial"/>
          <w:sz w:val="18"/>
          <w:szCs w:val="18"/>
        </w:rPr>
        <w:t xml:space="preserve">, en particular, por los rubros de servicios y bienes duraderos debido a la fortaleza del empleo y las menores presiones inflacionarias, seguido por el componente de gasto de gobierno con una contribución de 0.2 </w:t>
      </w:r>
      <w:proofErr w:type="spellStart"/>
      <w:r w:rsidRPr="00AF18C2">
        <w:rPr>
          <w:rFonts w:ascii="Arial" w:hAnsi="Arial" w:cs="Arial"/>
          <w:sz w:val="18"/>
          <w:szCs w:val="18"/>
        </w:rPr>
        <w:t>pp</w:t>
      </w:r>
      <w:proofErr w:type="spellEnd"/>
      <w:r w:rsidRPr="00AF18C2">
        <w:rPr>
          <w:rFonts w:ascii="Arial" w:hAnsi="Arial" w:cs="Arial"/>
          <w:sz w:val="18"/>
          <w:szCs w:val="18"/>
        </w:rPr>
        <w:t xml:space="preserve">, mientras que las exportaciones netas e inversión no residencial tuvieron una ligera contribución positiva. En contraste, se registró una contracción en la acumulación de inventarios con lo cual su contribución al PIB, con respecto al trimestre previo, pasó de 0.4 a –0.6 </w:t>
      </w:r>
      <w:proofErr w:type="spellStart"/>
      <w:r w:rsidRPr="00AF18C2">
        <w:rPr>
          <w:rFonts w:ascii="Arial" w:hAnsi="Arial" w:cs="Arial"/>
          <w:sz w:val="18"/>
          <w:szCs w:val="18"/>
        </w:rPr>
        <w:t>pp</w:t>
      </w:r>
      <w:proofErr w:type="spellEnd"/>
      <w:r w:rsidRPr="00AF18C2">
        <w:rPr>
          <w:rFonts w:ascii="Arial" w:hAnsi="Arial" w:cs="Arial"/>
          <w:sz w:val="18"/>
          <w:szCs w:val="18"/>
        </w:rPr>
        <w:t xml:space="preserve">; mientras que la inversión residencial moderó su caída, aunque con una contribución negativa derivado de la pérdida de dinamismo en el sector ante el incremento de tasas por parte de la FED y los precios de las casas. </w:t>
      </w:r>
    </w:p>
    <w:p w14:paraId="67F2F58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 pesar de que en marzo aumentó la probabilidad de recesión en EE.UU., principalmente por la incertidumbre en torno a la estabilidad bancaria y la persistencia inflacionaria, indicadores oportunos, como el consumo privado y el empleo, e indicadores adelantados, como los Índices de Gerentes de Compras (PMI, por sus siglas en inglés) asociados al sector servicios, aún sugieren un desempeño positivo para la actividad económica, aunque a un ritmo más moderado al menos hacia la primera mitad del año. </w:t>
      </w:r>
    </w:p>
    <w:p w14:paraId="07C2565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continuó la fortaleza en la creación de empleos, aunque con un ritmo más moderado en el mes de marzo. En promedio, durante el periodo, se generaron 345 mil plazas de trabajo, superior a las 284 mil plazas observadas en el cuarto trimestre del año previo y por encima del promedio histórico de 134 mil plazas mensuales. Asimismo, la tasa de desempleo se mantuvo en un rango de 3.4-3.6%, por debajo de su media histórica de 5.9%. Por su parte, las contracciones observadas en términos reales de las remuneraciones medias por hora por trabajador disminuyeron en línea con menores presiones inflacionarias. En marzo de 2023, presentaron una variación real anual de -0.7%, mejor a la observada en diciembre de 2022 de -1.6% y del mínimo alcanzado en junio de ese mismo año de -3.2%. Asimismo, con base en las últimas cifras disponibles, la demanda de mano de obra permaneció por encima de su oferta, aunque el déficit de plazas laborales se redujo, de 5.5 a 3.9 millones entre diciembre de 2022 y febrero de 2023. Esto, debido a un menor nivel de vacantes abiertas que pasó de 10.6 a 9.9 millones, cifra similar a la observada en mayo de 2021, mientras que la tasa de participación laboral se incrementó ligeramente en 0.2 </w:t>
      </w:r>
      <w:proofErr w:type="spellStart"/>
      <w:r w:rsidRPr="00AF18C2">
        <w:rPr>
          <w:rFonts w:ascii="Arial" w:hAnsi="Arial" w:cs="Arial"/>
          <w:sz w:val="18"/>
          <w:szCs w:val="18"/>
        </w:rPr>
        <w:t>pp</w:t>
      </w:r>
      <w:proofErr w:type="spellEnd"/>
      <w:r w:rsidRPr="00AF18C2">
        <w:rPr>
          <w:rFonts w:ascii="Arial" w:hAnsi="Arial" w:cs="Arial"/>
          <w:sz w:val="18"/>
          <w:szCs w:val="18"/>
        </w:rPr>
        <w:t xml:space="preserve"> a 62.5% en febrero, equivalente a 1.2 millones de nuevas personas empleadas o que buscaron empleo. Por grupos de edad, el principal rezago provino de la menor participación laboral de adultos de 55 años en adelante, debido a un retiro anticipado ocasionado por el COVID-19, en tanto que el grupo de 25-54 años recuperó los niveles previos al inicio de la pandemia.</w:t>
      </w:r>
    </w:p>
    <w:p w14:paraId="231AD83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El consumo privado registró en promedio una variación trimestral real de 0.9% en el primer trimestre de 2023, por encima del observado el trimestre previo de 0.2%. El mayor ritmo de crecimiento estuvo apoyado por el sólido desempeño del mercado laboral y la disminución relativa en la inflación que permitió una recuperación parcial del ingreso real disponible. Dicho ingreso, por primera vez desde diciembre de 2021, mostró una variación anual positiva en enero y febrero de 2023 de 3.0 y 3.3%, respectivamente. Al interior de los componentes del consumo, sobresalió el consumo de bienes durables con una variación trimestral de 4.0% real, después de una contracción </w:t>
      </w:r>
      <w:r w:rsidRPr="00AF18C2">
        <w:rPr>
          <w:rFonts w:ascii="Arial" w:hAnsi="Arial" w:cs="Arial"/>
          <w:sz w:val="18"/>
          <w:szCs w:val="18"/>
        </w:rPr>
        <w:lastRenderedPageBreak/>
        <w:t xml:space="preserve">en el periodo previo de -0.3%. En específico, el gasto en vehículos y autopartes creció 9.8% real trimestral, asociado a menores tiempos de entrega, una disminución en precios relativos y a la normalización de las cadenas de suministro. Por su parte, el consumo relacionado con servicios registró un incremento trimestral de 0.6% real, impulsado por un mayor gasto en servicios recreativos, salud, y preparación de alimentos y alojamiento con un crecimiento real trimestral de 1.4, 1.4 y 1.2%, respectivamente. </w:t>
      </w:r>
    </w:p>
    <w:p w14:paraId="3B83DB2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la producción industrial presentó una variación trimestral real prácticamente nula, en particular para el sector de bienes durables. A pesar de ello, la producción manufacturera creció 0.1% en el mismo periodo, con crecimientos mensuales positivos en enero y febrero de 1.5 y 0.6%, hasta registrar una contracción en marzo de 0.5%. En particular, en su variación trimestral, los sectores de aeroespacial, vehículos y autopartes, electrónicos y equipo eléctrico registraron variaciones negativas de 1.4, 0.6, 0.5 y 0.3%, respectivamente, las cuales fueron compensadas por variaciones trimestrales positivas de 0.1, 1.2, 2.5 y 3.5% en los sectores de maquinaria, productos no metálicos, químicos, así como ropa y cuero, respectivamente. Entre los factores que explicaron el desempeño en la producción industrial se encontraron las menores presiones en las cadenas globales de valor y los menores precios relativos de materias primas que favorecieron los tiempos de entrega y el gradual reabastecimiento de inventarios. Por otra parte, se presentaron vientos en contra por los elevados precios de importación de semiconductores que se mantuvieron por encima del nivel previo a la pandemia, y cuya falta de insumos se reflejó en un menor ensamblaje de vehículos en febrero y marzo; sumado al encarecimiento del financiamiento por las mayores tasas de interés y, recientemente, a condiciones más restrictivas en el otorgamiento de crédito. </w:t>
      </w:r>
    </w:p>
    <w:p w14:paraId="07B4457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la inflación general en EE.UU., medida por el Índice de Precios al Consumidor (IPC), mantuvo su trayectoria descendente con una variación anual de 5.0% en marzo, mientras que la inflación subyacente mostró mayor persistencia que la anticipada con una variación anual de 5.6%, 0.1 </w:t>
      </w:r>
      <w:proofErr w:type="spellStart"/>
      <w:r w:rsidRPr="00AF18C2">
        <w:rPr>
          <w:rFonts w:ascii="Arial" w:hAnsi="Arial" w:cs="Arial"/>
          <w:sz w:val="18"/>
          <w:szCs w:val="18"/>
        </w:rPr>
        <w:t>pp</w:t>
      </w:r>
      <w:proofErr w:type="spellEnd"/>
      <w:r w:rsidRPr="00AF18C2">
        <w:rPr>
          <w:rFonts w:ascii="Arial" w:hAnsi="Arial" w:cs="Arial"/>
          <w:sz w:val="18"/>
          <w:szCs w:val="18"/>
        </w:rPr>
        <w:t xml:space="preserve"> mayor a lo registrado el mes previo. Los servicios registraron la mayor contribución a la inflación general anual en marzo con 4.1 </w:t>
      </w:r>
      <w:proofErr w:type="spellStart"/>
      <w:r w:rsidRPr="00AF18C2">
        <w:rPr>
          <w:rFonts w:ascii="Arial" w:hAnsi="Arial" w:cs="Arial"/>
          <w:sz w:val="18"/>
          <w:szCs w:val="18"/>
        </w:rPr>
        <w:t>pp</w:t>
      </w:r>
      <w:proofErr w:type="spellEnd"/>
      <w:r w:rsidRPr="00AF18C2">
        <w:rPr>
          <w:rFonts w:ascii="Arial" w:hAnsi="Arial" w:cs="Arial"/>
          <w:sz w:val="18"/>
          <w:szCs w:val="18"/>
        </w:rPr>
        <w:t xml:space="preserve">, similar a lo observado en diciembre del año previo. Las rentas de vivienda contribuyeron en 2.7 </w:t>
      </w:r>
      <w:proofErr w:type="spellStart"/>
      <w:r w:rsidRPr="00AF18C2">
        <w:rPr>
          <w:rFonts w:ascii="Arial" w:hAnsi="Arial" w:cs="Arial"/>
          <w:sz w:val="18"/>
          <w:szCs w:val="18"/>
        </w:rPr>
        <w:t>pp</w:t>
      </w:r>
      <w:proofErr w:type="spellEnd"/>
      <w:r w:rsidRPr="00AF18C2">
        <w:rPr>
          <w:rFonts w:ascii="Arial" w:hAnsi="Arial" w:cs="Arial"/>
          <w:sz w:val="18"/>
          <w:szCs w:val="18"/>
        </w:rPr>
        <w:t xml:space="preserve">, con una variación anual de 8.2%; sin embargo, indicadores adelantados para la renta de inmuebles en EE.UU. reportados por la empresa </w:t>
      </w:r>
      <w:proofErr w:type="spellStart"/>
      <w:r w:rsidRPr="00AF18C2">
        <w:rPr>
          <w:rFonts w:ascii="Arial" w:hAnsi="Arial" w:cs="Arial"/>
          <w:sz w:val="18"/>
          <w:szCs w:val="18"/>
        </w:rPr>
        <w:t>Zillow</w:t>
      </w:r>
      <w:proofErr w:type="spellEnd"/>
      <w:r w:rsidRPr="00AF18C2">
        <w:rPr>
          <w:rFonts w:ascii="Arial" w:hAnsi="Arial" w:cs="Arial"/>
          <w:sz w:val="18"/>
          <w:szCs w:val="18"/>
        </w:rPr>
        <w:t xml:space="preserve"> anticiparon una desaceleración anual de este indicador. En cuanto al rubro de alimentos, la inflación anual continuó elevada con una variación anual de 8.5% en marzo y una contribución de 1.1 </w:t>
      </w:r>
      <w:proofErr w:type="spellStart"/>
      <w:r w:rsidRPr="00AF18C2">
        <w:rPr>
          <w:rFonts w:ascii="Arial" w:hAnsi="Arial" w:cs="Arial"/>
          <w:sz w:val="18"/>
          <w:szCs w:val="18"/>
        </w:rPr>
        <w:t>pp</w:t>
      </w:r>
      <w:proofErr w:type="spellEnd"/>
      <w:r w:rsidRPr="00AF18C2">
        <w:rPr>
          <w:rFonts w:ascii="Arial" w:hAnsi="Arial" w:cs="Arial"/>
          <w:sz w:val="18"/>
          <w:szCs w:val="18"/>
        </w:rPr>
        <w:t xml:space="preserve"> a la inflación general, aunque 0.3 </w:t>
      </w:r>
      <w:proofErr w:type="spellStart"/>
      <w:r w:rsidRPr="00AF18C2">
        <w:rPr>
          <w:rFonts w:ascii="Arial" w:hAnsi="Arial" w:cs="Arial"/>
          <w:sz w:val="18"/>
          <w:szCs w:val="18"/>
        </w:rPr>
        <w:t>pp</w:t>
      </w:r>
      <w:proofErr w:type="spellEnd"/>
      <w:r w:rsidRPr="00AF18C2">
        <w:rPr>
          <w:rFonts w:ascii="Arial" w:hAnsi="Arial" w:cs="Arial"/>
          <w:sz w:val="18"/>
          <w:szCs w:val="18"/>
        </w:rPr>
        <w:t xml:space="preserve"> por debajo de lo observado en diciembre de 2022. </w:t>
      </w:r>
    </w:p>
    <w:p w14:paraId="2A27627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Con respecto al rubro de bienes, destacaron los menores precios de autos nuevos y usados que en conjunto compensaron el incremento en la inflación con una contribución negativa que pasó de - 0.1 a - 0.2 </w:t>
      </w:r>
      <w:proofErr w:type="spellStart"/>
      <w:r w:rsidRPr="00AF18C2">
        <w:rPr>
          <w:rFonts w:ascii="Arial" w:hAnsi="Arial" w:cs="Arial"/>
          <w:sz w:val="18"/>
          <w:szCs w:val="18"/>
        </w:rPr>
        <w:t>pp</w:t>
      </w:r>
      <w:proofErr w:type="spellEnd"/>
      <w:r w:rsidRPr="00AF18C2">
        <w:rPr>
          <w:rFonts w:ascii="Arial" w:hAnsi="Arial" w:cs="Arial"/>
          <w:sz w:val="18"/>
          <w:szCs w:val="18"/>
        </w:rPr>
        <w:t xml:space="preserve"> de diciembre a marzo 2023, en línea con las menores presiones en las cadenas globales de valor. Mientras que, en el caso del rubro de energía, en marzo registró su primera contribución negativa por los menores precios de gasolinas en 0.5 pp. Por otra parte, los precios al productor también moderaron su crecimiento y se ubicaron en 2.7% en marzo desde el 6.6% observado en diciembre del año previo, lo cual sugiere una disminución en la presión en costos de las empresas y un menor traslado en precios al consumidor final. Las expectativas de inflación general de corto plazo, medidas por la Reserva Federal de Nueva York, si bien se mantuvieron a la baja desde el pico alcanzado en junio de 2022, mostraron su primer incremento en marzo de este año, a 4.7%, desde un 4.2% esperado en febrero. Esto responde a una mayor expectativa de incremento en costos de colegiaturas y precios de vivienda, aunque éste permanece por debajo del nivel previo a la pandemia. Para el mediano plazo (3 y 5 años), las expectativas disminuyeron a 2.8 y 2.5%, respectivamente, aunque permanecieron por encima de un nivel consistente con el 2.0% objetivo de la FED.</w:t>
      </w:r>
    </w:p>
    <w:p w14:paraId="29AEE53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del año, los indicadores oportunos y adelantados sugirieron un crecimiento económico positivo para la zona euro, apoyado por la fortaleza del sector servicios y por la resiliencia de la producción industrial, a pesar de los recientes episodios de volatilidad en el sector financiero, en particular tras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a UBS el 19 de marzo de 2023. Así, en un contexto de mejores expectativas comerciales por la reapertura económica en China y menores costos de transporte global, la producción industrial en el primer bimestre del año registró un crecimiento promedio mensual de 1.3% en términos reales y de 2.5% en su variación acumulada contra diciembre del año pasado. Esto provino de un desempeño positivo en fabricación de productos químicos, así como vehículos y autopartes, mientras que productos farmacéuticos, maquinaria y equipo se contrajeron. Sin embargo, indicadores adelantados en marzo mostraron que si bien el PMI de producción de manufacturas se ubicó en terreno de expansión, debido a la normalización de las cadenas de suministro y a menores tiempos de entrega, las nuevas órdenes se contrajeron derivado de los menores niveles de confianza del consumidor y las empresas, mientras que Alemania y Francia registraron una desaceleración en su producción en </w:t>
      </w:r>
      <w:r w:rsidRPr="00AF18C2">
        <w:rPr>
          <w:rFonts w:ascii="Arial" w:hAnsi="Arial" w:cs="Arial"/>
          <w:sz w:val="18"/>
          <w:szCs w:val="18"/>
        </w:rPr>
        <w:lastRenderedPageBreak/>
        <w:t xml:space="preserve">línea con una menor demanda agregada, lo que sugirió una menor fortaleza en la industria de la región para los próximos meses. Aunque estos indicadores disiparon temporalmente los temores de recesión en la región tras la pérdida de dinamismo en la actividad económica observada durante la segunda mitad del año pasado, la mediana del consenso de analistas de Bloomberg al 8 de marzo proyectó una ligera contracción del PIB real en el primer trimestre de 0.1% con respecto al trimestre previo, seguido de incrementos moderados en los trimestres subsecuentes, debido al incremento de las tasas de política monetaria del Banco Central Europeo y a las condiciones financieras más restrictivas tras los recientes episodios de incertidumbre en el sistema financiero. Por su parte, si bien la inflación general anual se desaceleró al pasar de 9.2% en diciembre 2022 a 6.9% en marzo de 2023, la inflación subyacente ha sido persistente, con un incremento de 5.2 a 5.7%, en el mismo periodo. La principal contribución a la inflación provino del sector servicios, producto de una mayor demanda en rubros como hotelería y restaurantes y a mayores costos salariales, aunado a la tasa de desempleo que permaneció en niveles históricamente bajos de 6.6% en febrero. </w:t>
      </w:r>
    </w:p>
    <w:p w14:paraId="713992E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el primer trimestre de 2023, la actividad económica de China repuntó tras la reapertura de su economía a principios del año asociada a la relajación de su política de tolerancia cero al COVID-19. Como resultado de ello, el PIB registró un crecimiento de 2.2% a tasa trimestral, por encima del 0.6% observado en el último trimestre de 2022, debido a factores como un mayor dinamismo en el consumo privado y en el sector servicios. Por lo anterior, la expectativa de comercio mundial mejoró debido a la relevancia de China en las cadenas globales de valor. No obstante que las exportaciones de China sorprendieron al alza con un crecimiento de 14.8% a tasa anual en marzo, después de registrar una contracción en enero y febrero de 6.8% en promedio anual, indicadores adelantados de manufacturas (PMI-</w:t>
      </w:r>
      <w:proofErr w:type="spellStart"/>
      <w:r w:rsidRPr="00AF18C2">
        <w:rPr>
          <w:rFonts w:ascii="Arial" w:hAnsi="Arial" w:cs="Arial"/>
          <w:sz w:val="18"/>
          <w:szCs w:val="18"/>
        </w:rPr>
        <w:t>Caixin</w:t>
      </w:r>
      <w:proofErr w:type="spellEnd"/>
      <w:r w:rsidRPr="00AF18C2">
        <w:rPr>
          <w:rFonts w:ascii="Arial" w:hAnsi="Arial" w:cs="Arial"/>
          <w:sz w:val="18"/>
          <w:szCs w:val="18"/>
        </w:rPr>
        <w:t>) registraron en el mismo mes una desaceleración de 51.6 a 50 puntos, aunque aún dentro del umbral de expansión. Esto generó incertidumbre en torno a la fortaleza del mercado interno en China afectado aún por la fragilidad del sector inmobiliario y la volatilidad en los mercados financieros a nivel internacional.</w:t>
      </w:r>
    </w:p>
    <w:p w14:paraId="105D26D4"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Asimismo, destacó la inversión fija bruta con un crecimiento anual en el trimestre de 5.1% respaldada por la inversión en infraestructura de los gobiernos locales, así como por un ligero incremento en nuevas construcciones, particularmente oficinas, y el apoyo de la política monetaria acomodaticia del Banco Central de China. De esta manera, al 31 de marzo de 2023, la mediana de especialistas encuestados por Bloomberg proyectó un crecimiento anual de la economía china del 5.3% para 2023, por encima de la meta oficial de aproximadamente 5.0%, aunque pronosticó una disminución para 2024 en 0.3 pp. </w:t>
      </w:r>
    </w:p>
    <w:p w14:paraId="0B200EC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los índices de precios de materias primas mantuvieron su tendencia a la baja. Al 31 de marzo, el índice de Bloomberg disminuyó 6.5% con respecto al cierre del cuarto trimestre de 2022. Si bien los precios mostraron un repunte durante enero, por la reapertura de las fronteras de China después de tres años, éste se desvaneció para la mayoría de las materias primas debido a las preocupaciones de un menor crecimiento económico global y de una mayor incertidumbre financiera ante la inestabilidad de algunos segmentos del sistema bancario en economías avanzadas. En el mercado petrolero, los precios del Brent, el WTI y la mezcla mexicana cayeron 6.2, 5.7 y 7.9%, respectivamente, entre los cierres del primer trimestre de 2023 y el cuarto trimestre de 2022. Los factores que contribuyeron a este descenso en los precios fueron la menor demanda de crudo por parte de las refinerías en EE.UU., debido a que en febrero y marzo algunas de ellas estuvieron en mantenimiento y a factores climatológicos desfavorables, como tormentas invernales, aunado a una mayor acumulación de inventarios de petróleo crudo a nivel global. </w:t>
      </w:r>
    </w:p>
    <w:p w14:paraId="67E3511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trimestre también se presentaron nuevos choques de oferta en el mercado de petróleo. El 5 de febrero entró en vigor la prohibición de importación de petrolíferos rusos por parte de la Unión Europea y nuevos topes de precios de 100 dpb para los petrolíferos rusos de alto valor, como gasolina y diésel, y 45 dpb para los de bajo valor, como combustóleo y nafta. Adicionalmente, el 2 de abril, la OPEP+ anunció un recorte voluntario de 1.16 </w:t>
      </w:r>
      <w:proofErr w:type="spellStart"/>
      <w:r w:rsidRPr="00AF18C2">
        <w:rPr>
          <w:rFonts w:ascii="Arial" w:hAnsi="Arial" w:cs="Arial"/>
          <w:sz w:val="18"/>
          <w:szCs w:val="18"/>
        </w:rPr>
        <w:t>mbd</w:t>
      </w:r>
      <w:proofErr w:type="spellEnd"/>
      <w:r w:rsidRPr="00AF18C2">
        <w:rPr>
          <w:rFonts w:ascii="Arial" w:hAnsi="Arial" w:cs="Arial"/>
          <w:sz w:val="18"/>
          <w:szCs w:val="18"/>
        </w:rPr>
        <w:t xml:space="preserve">, por parte de ocho países miembros —adicionales a los 2 </w:t>
      </w:r>
      <w:proofErr w:type="spellStart"/>
      <w:r w:rsidRPr="00AF18C2">
        <w:rPr>
          <w:rFonts w:ascii="Arial" w:hAnsi="Arial" w:cs="Arial"/>
          <w:sz w:val="18"/>
          <w:szCs w:val="18"/>
        </w:rPr>
        <w:t>mbd</w:t>
      </w:r>
      <w:proofErr w:type="spellEnd"/>
      <w:r w:rsidRPr="00AF18C2">
        <w:rPr>
          <w:rFonts w:ascii="Arial" w:hAnsi="Arial" w:cs="Arial"/>
          <w:sz w:val="18"/>
          <w:szCs w:val="18"/>
        </w:rPr>
        <w:t xml:space="preserve"> previamente acordados en octubre del año pasado—, mientras que Rusia anunció que prolongaría su recorte de 500 </w:t>
      </w:r>
      <w:proofErr w:type="spellStart"/>
      <w:r w:rsidRPr="00AF18C2">
        <w:rPr>
          <w:rFonts w:ascii="Arial" w:hAnsi="Arial" w:cs="Arial"/>
          <w:sz w:val="18"/>
          <w:szCs w:val="18"/>
        </w:rPr>
        <w:t>mbd</w:t>
      </w:r>
      <w:proofErr w:type="spellEnd"/>
      <w:r w:rsidRPr="00AF18C2">
        <w:rPr>
          <w:rFonts w:ascii="Arial" w:hAnsi="Arial" w:cs="Arial"/>
          <w:sz w:val="18"/>
          <w:szCs w:val="18"/>
        </w:rPr>
        <w:t xml:space="preserve"> implementado en marzo, en ambos casos para concluir hasta finales de 2023, lo que ejerció presión al alza sobre los precios. En el mercado del gas natural, los precios de las referencias estadounidense Henry Hub y la europea TTF disminuyeron 40.3 y 36.2%, respectivamente, entre el cierre del primer trimestre de 2023 y el cuarto trimestre de 2022. Lo anterior se debió a un consumo más moderado y una importante acumulación de inventarios tanto en EE.UU. como en Europa, impulsados por un invierno más cálido al anticipado. </w:t>
      </w:r>
    </w:p>
    <w:p w14:paraId="0A4AE69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cuanto a otras materias primas industriales, los metales en general presentaron incrementos durante el primer trimestre, respaldados por la recuperación de la demanda en China a partir de febrero, ya que se observó fortaleza en la inversión en infraestructura de activos fijos y en la producción industrial. En este sentido, los precios del </w:t>
      </w:r>
      <w:r w:rsidRPr="00AF18C2">
        <w:rPr>
          <w:rFonts w:ascii="Arial" w:hAnsi="Arial" w:cs="Arial"/>
          <w:sz w:val="18"/>
          <w:szCs w:val="18"/>
        </w:rPr>
        <w:lastRenderedPageBreak/>
        <w:t xml:space="preserve">aluminio, el cobre y el acero presentaron incrementos de 1.4, 7.5 y 56.5%, respectivamente, entre el cierre de marzo de 2023 y diciembre del año previo. Por su parte, en marzo de 2023 el índice de precios de los alimentos de la FAO continuó con su tendencia a la baja por duodécimo mes consecutivo y cayó 3.7% con respecto a diciembre. Los precios de los granos presentaron disminuciones, apoyados por la prórroga de la Iniciativa de Granos del Mar Negro que se firmó el 18 de marzo. En particular, el precio del trigo se redujo 12.6% en el acumulado del año al cierre del primer trimestre, debido a la mayor oferta proveniente de Rusia y a las mejores previsiones de cultivos en Australia y la Unión Europea. El precio del maíz disminuyó 2.7% trimestral por el inicio de cosechas en algunos países en América del Sur como Paraguay, Perú y Chile, así como la expectativa de una mayor producción en Brasil; mientras que el precio del arroz cayó 3.5% en el mismo periodo por las cosechas en curso en los principales países exportadores, como India, Tailandia y Vietnam. </w:t>
      </w:r>
    </w:p>
    <w:p w14:paraId="078BFAA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el contrario, algunos de los alimentos que presentaron incrementos en precios fueron el azúcar y la carne de res, de 13.7 y 8.7% respectivamente, entre los cierres de marzo de 2023 y diciembre de 2022. Lo anterior se debió, en el caso del azúcar, a las previsiones de una menor producción en China, India y Tailandia durante el año agrícola en curso a causa de efectos climatológicos adversos, mientras que en el caso de la carne de res se previó que la oferta de ganado en EE.UU. sería más baja en los próximos meses.</w:t>
      </w:r>
    </w:p>
    <w:p w14:paraId="512BB43B"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el primer trimestre de 2023, se observaron señales mixtas en la política monetaria de las principales economías avanzadas. En EE.UU., durante enero y febrero, la fortaleza de la demanda interna y las sorpresas positivas en los indicadores de empleo e inflación provocaron que los mercados revisaran al alza su estimación de tasa terminal, incluso por encima de las proyecciones de la FED en diciembre 2022, acompañado de un periodo prolongado de altas tasas de interés durante el resto del año sin descartar posibles recortes hacia el final del año.</w:t>
      </w:r>
    </w:p>
    <w:p w14:paraId="76E89F4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Ante los recientes episodios de estrés en el sector financiero, se observó un menor apetito por riesgo hacia los mercados emergentes y periodos de volatilidad en el mercado cambiario. El índice de volatilidad implícita (VIX), tras un periodo de relativa calma en los dos primeros meses del año, registró entre el 8 y 13 de marzo de 2023 un incrementó de 38.8% por la quiebra de los dos bancos regionales ya mencionados en EE.UU., seguido de múltiples vaivenes, incluyendo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una semana después, hasta el 23 de marzo tras la disipación relativa de los riesgos de contagio en el sector bancario después de la intervención inmediata por parte de las autoridades financieras.</w:t>
      </w:r>
    </w:p>
    <w:p w14:paraId="7B4FE05C"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la actividad económica aceleró su ritmo de crecimiento. Su desempeño fue superior al promedio registrado entre 2011 y 2019. Lo anterior obedeció, principalmente, al comportamiento positivo del sector servicios, cuyo crecimiento trimestral no se había visto desde 2006. Otros componentes de la actividad económica relacionados con la demanda interna crecieron en el primer trimestre de 2023. En particular destacaron el consumo privado, el cual registró el aumento más alto desde 2013, y la inversión en construcción no residencial, la cual acumuló cinco meses de alzas consecutivas. Los principales factores que impulsaron al consumo privado fueron la creación de empleo, el aumento de los salarios reales y el crédito interno. </w:t>
      </w:r>
    </w:p>
    <w:p w14:paraId="58622A2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con cifras del IMSS, se crearon 423 mil empleos, un aumento superior a los registros estadísticos desde 1982. Asimismo, la tasa de desempleo registró un mínimo histórico de 2.7% en febrero de 2023. A la par, en el primer bimestre de 2023, se observó un crecimiento de los salarios reales en 1.7% anual y un aumento real anual del crédito al consumo en 9.6% por parte de la banca comercial. En ese contexto, de acuerdo con la estimación oportuna del PIB al primer trimestre de 2023, la actividad económica registró un crecimiento de 3.9% anual y, con cifras ajustadas por estacionalidad, aumentó 1.1% trimestral por arriba del trimestre previo de 0.5%. Con dichos resultados, la actividad creció por sexto trimestre consecutivo. En particular, respecto al trimestre anterior y con cifras ajustadas por estacionalidad, las actividades secundarias crecieron 0.7% y las terciarias 1.5%, mientras que las agropecuarias retrocedieron 3.2%. Con base en la información del Indicador Global de la Actividad Económica (IGAE) en el bimestre de enero a febrero de 2023, la economía creció 0.9%, con cifras ajustadas por estacionalidad. </w:t>
      </w:r>
    </w:p>
    <w:p w14:paraId="6334C028"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su interior, el aumento del IGAE se debió al crecimiento bimestral de 1.4% en los servicios, y de 0.7% en las actividades secundarias, lo cual compensó la caída bimestral de 4.4% en las actividades primarias. En cuanto al detalle de los sectores destacaron los siguientes resultados bimestrales con cifras ajustadas por estacionalidad: </w:t>
      </w:r>
    </w:p>
    <w:p w14:paraId="582D6CA2"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sym w:font="Symbol" w:char="F0B7"/>
      </w:r>
      <w:r w:rsidRPr="00AF18C2">
        <w:rPr>
          <w:rFonts w:ascii="Arial" w:hAnsi="Arial" w:cs="Arial"/>
          <w:sz w:val="18"/>
          <w:szCs w:val="18"/>
        </w:rPr>
        <w:t xml:space="preserve"> La reducción de 4.4% en el sector agropecuario se debió principalmente a las condiciones climatológicas del país. Entre enero y febrero de 2023, el 44.0% del territorio nacional presentó condiciones de sequías, superior al </w:t>
      </w:r>
      <w:r w:rsidRPr="00AF18C2">
        <w:rPr>
          <w:rFonts w:ascii="Arial" w:hAnsi="Arial" w:cs="Arial"/>
          <w:sz w:val="18"/>
          <w:szCs w:val="18"/>
        </w:rPr>
        <w:lastRenderedPageBreak/>
        <w:t xml:space="preserve">14.1% registrado en el promedio histórico de 2011 a 2019. Lo anterior, debido al fenómeno de La Niña que estuvo presente en dichos meses y que redujo las precipitaciones, principalmente, en la región noroeste del país. </w:t>
      </w:r>
    </w:p>
    <w:p w14:paraId="53DDB78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sym w:font="Symbol" w:char="F0B7"/>
      </w:r>
      <w:r w:rsidRPr="00AF18C2">
        <w:rPr>
          <w:rFonts w:ascii="Arial" w:hAnsi="Arial" w:cs="Arial"/>
          <w:sz w:val="18"/>
          <w:szCs w:val="18"/>
        </w:rPr>
        <w:t xml:space="preserve"> El sector industrial registró un aumento bimestral de 0.7%, superior a su promedio histórico de 0.1%, con lo que hiló ocho bimestres de crecimiento consecutivo. Lo anterior derivado de los incrementos en la minería, la energía eléctrica y las manufacturas, los cuales más que compensaron el retroceso del sector de la construcción. </w:t>
      </w:r>
    </w:p>
    <w:p w14:paraId="1D7B668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 continuación, se describe el detalle de enero a febrero respecto al bimestre previo, con cifras ajustadas por estacionalidad: </w:t>
      </w:r>
    </w:p>
    <w:p w14:paraId="3293D7E3"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La minería aumentó 3.6%, lo cual fue superior al histórico de - 1.1% y creció de manera consecutiva por dos bimestres, derivado del crecimiento de todos sus subsectores. La extracción de petróleo y gas se incrementó en 1.5%, la minería de minerales metálicos y no metálicos aumentó en 2.1% y los servicios relacionados en 12.4%. </w:t>
      </w:r>
    </w:p>
    <w:p w14:paraId="34243F8B"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La generación de energía eléctrica, suministro de agua y gas aumentó en 1.5%, por arriba de su promedio histórico de 1.0% y se incrementó por dos bimestres al hilo, derivado del incremento de 1.9% para energía eléctrica y 0.5% para el suministro de agua y gas. o En cuanto a la construcción, esta presentó una caída de 0.3% que se explicó por la contracción de las obras de ingeniería civil y trabajos especializados de 5.8 y 4.8%, respectivamente. No obstante, la edificación creció en 1.1%, dos bimestres al alza e igual a su promedio histórico entre 2011 a 2019. </w:t>
      </w:r>
    </w:p>
    <w:p w14:paraId="2A955CB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Las manufacturas aumentaron en 0.6%, ligeramente por arriba de su promedio histórico de 0.5%. Lo anterior se explicó por los crecimientos de 13 de los 21 subsectores, entre los que destacaron las industrias de los alimentos procesados (1.4%), el equipo de transporte (0.5%), la industria química (1.8%), la industria de las bebidas y tabaco (2.6%), la fabricación de aparatos eléctricos (2.4%) y la fabricación de las prendas de vestir (5.5%). Por otra parte, algunas de las actividades que retrocedieron fueron las industrias de la fabricación de equipo de computación (- 2.7%), la fabricación de maquinaria y equipo (- 2.3%), las industrias de metálicas básicas (- 1.2%) y las industrias de los derivados de petróleo y el carbón (- 7.2%). </w:t>
      </w:r>
    </w:p>
    <w:p w14:paraId="71CD8A2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sym w:font="Symbol" w:char="F0B7"/>
      </w:r>
      <w:r w:rsidRPr="00AF18C2">
        <w:rPr>
          <w:rFonts w:ascii="Arial" w:hAnsi="Arial" w:cs="Arial"/>
          <w:sz w:val="18"/>
          <w:szCs w:val="18"/>
        </w:rPr>
        <w:t xml:space="preserve"> Las actividades terciarias registraron el mejor desempeño al aumentar 1.4%, luego de la caída de 0.7% en el bimestre anterior. Con esto, su crecimiento fue tres veces mayor respecto a su promedio histórico. En su interior, y con cifras ajustadas por estacionalidad, el comportamiento fue el siguiente: </w:t>
      </w:r>
    </w:p>
    <w:p w14:paraId="2852BE5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Se registraron aumentos en siete de sus nueve subsectores, entre los que destacó el incremento de 6.6% en los servicios de alojamiento temporal y preparación de alimentos, 4.6% en los servicios de transporte, 3.9% en los servicios profesionales y 3.5% en el comercio al por menor. </w:t>
      </w:r>
    </w:p>
    <w:p w14:paraId="69FC77F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Adicionalmente, el componente de servicios financieros y de seguros, inmobiliarios y de alquiler de bienes muebles e intangibles hiló siete bimestres de aumentos consecutivos, después de aumentar 0.4% en el primer bimestre de 2023, lo cual fue dos veces por arriba de su promedio histórico de 2011 a 2019. </w:t>
      </w:r>
    </w:p>
    <w:p w14:paraId="1592DDD4" w14:textId="77777777" w:rsidR="00AF18C2" w:rsidRPr="00AF18C2" w:rsidRDefault="00AF18C2" w:rsidP="00AF18C2">
      <w:pPr>
        <w:tabs>
          <w:tab w:val="left" w:pos="284"/>
        </w:tabs>
        <w:ind w:left="284"/>
        <w:jc w:val="both"/>
        <w:rPr>
          <w:rFonts w:ascii="Arial" w:hAnsi="Arial" w:cs="Arial"/>
          <w:sz w:val="18"/>
          <w:szCs w:val="18"/>
        </w:rPr>
      </w:pPr>
      <w:proofErr w:type="gramStart"/>
      <w:r w:rsidRPr="00AF18C2">
        <w:rPr>
          <w:rFonts w:ascii="Arial" w:hAnsi="Arial" w:cs="Arial"/>
          <w:sz w:val="18"/>
          <w:szCs w:val="18"/>
        </w:rPr>
        <w:t>o</w:t>
      </w:r>
      <w:proofErr w:type="gramEnd"/>
      <w:r w:rsidRPr="00AF18C2">
        <w:rPr>
          <w:rFonts w:ascii="Arial" w:hAnsi="Arial" w:cs="Arial"/>
          <w:sz w:val="18"/>
          <w:szCs w:val="18"/>
        </w:rPr>
        <w:t xml:space="preserve"> Por otro lado, se registraron reducciones en las actividades del gobierno y de organismos internacionales (- 1.6%) y los servicios educativos, de salud y asistencia social (- 0.2%). Su desempeño fue inferior al registrado en el promedio histórico de 2011 a 2019 para el mismo bimestre.</w:t>
      </w:r>
    </w:p>
    <w:p w14:paraId="56C0573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cuanto al desempeño del PIB por el lado del gasto, las últimas cifras publicadas al cuarto trimestre del 2022 indicaron que la demanda agregada cayó 0.1% respecto al trimestre anterior, con cifras ajustas por estacionalidad. Lo anterior se explicó por la contracción en las exportaciones de 5.0% trimestral afectadas por las exportaciones no petroleras que disminuyeron 6.1%. No obstante, la inversión total creció 3.0% trimestral con lo cual superó en 1.8% su nivel del cuarto trimestre de 2019 y acumuló cuatro trimestres de crecimiento trimestral consecutivo. En su interior, destacó el crecimiento de 8.9% trimestral de la inversión pública, con lo que se registró la más alta contribución anual positiva a la demanda agregada desde 2008. </w:t>
      </w:r>
    </w:p>
    <w:p w14:paraId="2AFA8A9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Mientras tanto, la inversión privada aumentó 2.2% trimestral, con crecimientos trimestrales en todo 2022. Por otra parte, el consumo total se incrementó en 0.5% trimestral e hiló cinco trimestres consecutivos al alza. Lo anterior se explicó por el componente privado que, con el crecimiento de 0.5% trimestral, acumuló diez trimestres consecutivos de incrementos continuos. Respecto a la demanda interna, con el dato más reciente de enero de 2023, el consumo privado interior aumentó 1.6% mensual, lo cual fue el crecimiento más alto desde 2013 para un mismo mes y registró dos meses consecutivos al alza. En su interior, el componente de bienes importados presentó un </w:t>
      </w:r>
      <w:r w:rsidRPr="00AF18C2">
        <w:rPr>
          <w:rFonts w:ascii="Arial" w:hAnsi="Arial" w:cs="Arial"/>
          <w:sz w:val="18"/>
          <w:szCs w:val="18"/>
        </w:rPr>
        <w:lastRenderedPageBreak/>
        <w:t xml:space="preserve">crecimiento mensual de 10.6% derivado de los bienes duraderos; mientras que el consumo de bienes de origen nacional aumentó en 0.9% mensual, también por los bienes duraderos que además hilaron cuatro meses al alza. </w:t>
      </w:r>
    </w:p>
    <w:p w14:paraId="77749568"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cuanto a los servicios, su aumento de 0.7% mensual lo ubicó 1.9% por arriba de su nivel de febrero de 2020. Con base en la información de la ANTAD, las ventas totales en los supermercados, autoservicios y tiendas departamentales afiliados a la asociación reportaron un crecimiento trimestral de 0.2% durante el primer trimestre de 2023, con cifras ajustadas por estacionalidad</w:t>
      </w:r>
      <w:proofErr w:type="gramStart"/>
      <w:r w:rsidRPr="00AF18C2">
        <w:rPr>
          <w:rFonts w:ascii="Arial" w:hAnsi="Arial" w:cs="Arial"/>
          <w:sz w:val="18"/>
          <w:szCs w:val="18"/>
        </w:rPr>
        <w:t>3 .</w:t>
      </w:r>
      <w:proofErr w:type="gramEnd"/>
      <w:r w:rsidRPr="00AF18C2">
        <w:rPr>
          <w:rFonts w:ascii="Arial" w:hAnsi="Arial" w:cs="Arial"/>
          <w:sz w:val="18"/>
          <w:szCs w:val="18"/>
        </w:rPr>
        <w:t xml:space="preserve"> Lo anterior, derivado del crecimiento de 0.7% mensual en enero, el cual más que compensó los retrocesos a tasa mensual de 0.5% en febrero y 0.9% en marzo. Por tipo de tienda, los mayores aumentos respecto al trimestre anterior se registraron en autoservicios; y por tipo de mercancía, se observaron incrementos en ropa y calzado. </w:t>
      </w:r>
    </w:p>
    <w:p w14:paraId="388AA6B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su parte, la inversión fija bruta registró una caída en enero de 0.5% respecto al mes anterior debido a la disminución de la inversión en construcción de 0.6% y el crecimiento moderado del componente de maquinaria y equipo en 0.1%. Al interior del rubro de la construcción, el componente residencial cayó 0.7% mensual, mientras que la no residencial aumentó en 0.4% mensual con lo que acumularon cinco meses de crecimientos continuos y creció por arriba de su promedio histórico de 2011 a 2019. Por su parte, el componente importado de la maquinaria y equipo se contrajo 1.7% mensual, mientras que el componente nacional aumentó 2.3% mensual por arriba de su promedio histórico para el mismo mes y registró cuatro meses consecutivos de crecimientos.</w:t>
      </w:r>
    </w:p>
    <w:p w14:paraId="3DBA5FE8"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De acuerdo con la información de la ENOE, durante los primeros meses de 2023, la mayoría de los indicadores del mercado laboral registraron resultados positivos. Por un lado, se registraron caídas en la población ocupada en 2023, al igual que lo que ha sucedido para el primer bimestre de cada año desde que inició la encuesta en 2005. No obstante, este retroceso bimestral fue el más bajo desde que se tiene registro, al disminuir únicamente en 52 mil personas. En su interior, el sector formal registró una reducción bimestral de 93 mil personas, lo cual fue menor que la caída de 249 mil personas del promedio histórico para el periodo 2011 a 2019. Por su parte, en el sector informal, la población ocupada aumentó en 41 mil empleos. Por sectores económicos, el mejor desempeño en el empleo se registró en los servicios al aumentar en 100 mil la población ocupada en el bimestre. En su interior, destacó el incremento en los trabajadores del sector de comercio en 197 mil, seguido del gobierno y organismos internacionales y transporte en 81 mil cada uno, los servicios diversos en 47 mil, y los restaurantes y servicios de alojamiento en 25 mil. Respecto al sector secundario, se registró un aumento bimestral de 23 mil personas por las manufacturas que se incrementaron en 65 mil y acumularon dos bimestres consecutivos al alza. </w:t>
      </w:r>
    </w:p>
    <w:p w14:paraId="7A60F56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Lo anterior logró compensar los retrocesos del sector construcción y la industria extractiva en 33 y 10 mil personas, respectivamente. Por otro lado, el sector primario registró una caída bimestral de 138 mil personas. Adicionalmente, otros indicadores laborales registraron niveles históricos en el primer bimestre de 2023. Por un lado, la tasa de participación se ubicó en 60.2% en el primer bimestre de 2023, lo cual representó un máximo histórico. Lo anterior se debió, principalmente, al aumento de la población ocupada de las mujeres con trabajos de tiempo completo derivado de la mejora en las condiciones epidemiológicas y las reformas en materia laboral implementadas por esta administración. Así, la tasa de participación de las mujeres fue de 45.8% en el primer bimestre del año, la más alta desde 2005. Lo anterior no presionó a la tasa de informalidad, ya que ésta se ubicó en 55.2% en el bimestre, lo cual fue marginalmente mayor al bimestre anterior en sólo 0.1 pp. Ello se podría explicar por las reformas en materia laboral implementadas desde 2018, las cuales favorecen la formalidad como la que incentiva el registro a la seguridad social de las trabajadoras del hogar. </w:t>
      </w:r>
    </w:p>
    <w:p w14:paraId="445BF4D7"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Por otro lado, la tasa de desempleo registró un mínimo histórico para un primer bimestre desde que inició la ENOE, al ubicarse en 2.9% promedio de enero y febrero. También resaltó que en febrero se alcanzó el nivel más bajo para la tasa de desocupación desde el inicio de la encuesta en 2005. En cuanto a la población </w:t>
      </w:r>
      <w:proofErr w:type="spellStart"/>
      <w:r w:rsidRPr="00AF18C2">
        <w:rPr>
          <w:rFonts w:ascii="Arial" w:hAnsi="Arial" w:cs="Arial"/>
          <w:sz w:val="18"/>
          <w:szCs w:val="18"/>
        </w:rPr>
        <w:t>sub-ocupada</w:t>
      </w:r>
      <w:proofErr w:type="spellEnd"/>
      <w:r w:rsidRPr="00AF18C2">
        <w:rPr>
          <w:rFonts w:ascii="Arial" w:hAnsi="Arial" w:cs="Arial"/>
          <w:sz w:val="18"/>
          <w:szCs w:val="18"/>
        </w:rPr>
        <w:t xml:space="preserve">, que es aquella que está dispuesta a trabajar más horas, se registró un aumento respecto al bimestre anterior de 59 mil personas; sin embargo, en términos anuales disminuyó en 716 mil personas. Así, la tasa de subocupación mostró un ligero aumento de 0.1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bimestre anterior. Por otro lado, la población disponible disminuyó en 222 mil personas respecto al bimestre de noviembre y diciembre de 2022, con lo cual acumuló seis bimestres con caídas consecutivas. Destacó también la reducción de 224 mil personas de la población disponible que no buscaron empleo porque consideran que no tienen posibilidades de encontrarlo, mientras que aumentaron en 2 mil las personas que desistieron de buscar empleo. </w:t>
      </w:r>
    </w:p>
    <w:p w14:paraId="451F659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De acuerdo con la información del IMSS, a marzo de 2023 se crearon 423 mil plazas, cifra récord para un periodo similar desde que se inició el registro en 1982. Con cifras ajustadas por estacionalidad, el empleo formal en marzo aumentó en 242 mil respecto al cierre de 2022, con lo que se registraron 33 meses consecutivos de alza mensual. </w:t>
      </w:r>
      <w:r w:rsidRPr="00AF18C2">
        <w:rPr>
          <w:rFonts w:ascii="Arial" w:hAnsi="Arial" w:cs="Arial"/>
          <w:sz w:val="18"/>
          <w:szCs w:val="18"/>
        </w:rPr>
        <w:lastRenderedPageBreak/>
        <w:t>En su interior, el mayor aumento se registró en los empleos permanentes que se incrementaron en 201 mil durante marzo y sumaron ocho meses de alzas mensuales consecutivas. Por su parte, los empleos eventuales crecieron en 58 mil a marzo, cifra superior a las 8 mil plazas registradas de octubre a diciembre de 2022. La información sectorial del empleo del IMSS, con cifras ajustadas por estacionalidad, mostró aumentos en valores absolutos respecto al trimestre anterior en los siguientes subsectores: agropecuario (6 mil), construcción (44 mil), manufacturas (42 mil), comercio (63 mil), servicios de transportes (28 mil) y, los servicios de empresas y hogares (74 mil). Cabe destacar que los siguientes subsectores registraron alzas trimestrales consecutivas: las manufacturas, el transporte y la construcción con 11 trimestres respectivamente, el comercio con 10, y los servicios de empresas y hogares con seis. Además, la construcción y el comercio registraron sus mayores crecimientos trimestrales para un primer trimestre desde que se tiene registro.</w:t>
      </w:r>
    </w:p>
    <w:p w14:paraId="063381C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cuanto al empleo del IMSS por entidad federativa, en el primer trimestre de 2023 se registraron alzas superiores al crecimiento anual nacional de 3.8% para 17 entidades, entre las que destacaron Tabasco (10.9%), Baja California Sur (10.2%) y Quintana Roo (8.9%). Por otro lado, 15 entidades tuvieron crecimientos anuales en el trimestre por debajo del promedio nacional, como por ejemplo Tamaulipas y Durango con 0.2 y 0.7% respectivamente. Mientras tanto, Zacatecas fue la única entidad con una ligera disminución de 0.1% trimestral. Los salarios correspondientes al IMSS registraron un crecimiento real promedio de 3.5% anual durante el primer trimestre de 2023, principalmente en los sectores de agricultura (7.7%) y construcción (7.0%), mientras que por regiones destacaron los aumentos del noroeste (5.6%) y el sureste (4.8%). Con información de la ENOE, el salario promedio real registró un incremento de 1.7% anual durante el primer bimestre de 2023, con lo que hiló tres meses de alzas continuas. Por su parte, los salarios contractuales de jurisdicción federal aumentaron 1.6% anual en términos reales, con crecimientos continuos desde noviembre de 2022.</w:t>
      </w:r>
    </w:p>
    <w:p w14:paraId="1CA3CCE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Con respecto al nivel de precios del consumidor, durante el primer trimestre de 2023 continuó la tendencia a la baja de la inflación general y su desempeño fue mejor que lo previsto por el consenso de analistas. Lo anterior obedeció, principalmente, a la disminución del componente no subyacente por las menores variaciones anuales en pecuarios y energéticos. Estos resultados fueron apoyados por los menores precios de materias primas a nivel internacional, la continua normalización de las cadenas de valor, las mejores condiciones de la gripe aviar a finales del trimestre, así como por los efectos de las políticas públicas en el marco del Paquete Contra la Inflación y la Carestía (PACIC). En este contexto, la inflación anual disminuyó durante el primer trimestre, al pasar de 7.91% en enero a 6.85% en marzo, con lo cual el promedio se ubicó en 7.46%, inferior en 0.55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el trimestre previo. Con lo anterior, se acumularon dos trimestres a la baja, de los cuales la caída del primer trimestre fue la más grande desde el inicio de la pandemia en 2020. En su interior, la inflación subyacente anual pasó de 8.45% en enero a 8.09% en marzo, con lo que promedió 8.28% anual y disminuyó 0.15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trimestre anterior, la mayor caída desde el segundo trimestre de 2019. Por su parte, la inflación no subyacente fue menor en 1.71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trimestre anterior y sumó dos caídas trimestrales consecutivas. </w:t>
      </w:r>
    </w:p>
    <w:p w14:paraId="1CC678A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De manera particular, la tendencia de descenso en la inflación subyacente se observó en los rubros de mercancías alimenticias y no alimenticias con una menor inflación trimestral de 0.49 y 0.72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respectivamente. En cuanto a las mercancías alimenticias con una alta ponderación, destacaron las disminuciones respecto al cuarto trimestre de 2022 en la tortilla de maíz (- 1.68 </w:t>
      </w:r>
      <w:proofErr w:type="spellStart"/>
      <w:r w:rsidRPr="00AF18C2">
        <w:rPr>
          <w:rFonts w:ascii="Arial" w:hAnsi="Arial" w:cs="Arial"/>
          <w:sz w:val="18"/>
          <w:szCs w:val="18"/>
        </w:rPr>
        <w:t>pp</w:t>
      </w:r>
      <w:proofErr w:type="spellEnd"/>
      <w:r w:rsidRPr="00AF18C2">
        <w:rPr>
          <w:rFonts w:ascii="Arial" w:hAnsi="Arial" w:cs="Arial"/>
          <w:sz w:val="18"/>
          <w:szCs w:val="18"/>
        </w:rPr>
        <w:t xml:space="preserve">), el pan dulce (- 2.88 </w:t>
      </w:r>
      <w:proofErr w:type="spellStart"/>
      <w:r w:rsidRPr="00AF18C2">
        <w:rPr>
          <w:rFonts w:ascii="Arial" w:hAnsi="Arial" w:cs="Arial"/>
          <w:sz w:val="18"/>
          <w:szCs w:val="18"/>
        </w:rPr>
        <w:t>pp</w:t>
      </w:r>
      <w:proofErr w:type="spellEnd"/>
      <w:r w:rsidRPr="00AF18C2">
        <w:rPr>
          <w:rFonts w:ascii="Arial" w:hAnsi="Arial" w:cs="Arial"/>
          <w:sz w:val="18"/>
          <w:szCs w:val="18"/>
        </w:rPr>
        <w:t xml:space="preserve">), la leche (- 0.98 </w:t>
      </w:r>
      <w:proofErr w:type="spellStart"/>
      <w:r w:rsidRPr="00AF18C2">
        <w:rPr>
          <w:rFonts w:ascii="Arial" w:hAnsi="Arial" w:cs="Arial"/>
          <w:sz w:val="18"/>
          <w:szCs w:val="18"/>
        </w:rPr>
        <w:t>pp</w:t>
      </w:r>
      <w:proofErr w:type="spellEnd"/>
      <w:r w:rsidRPr="00AF18C2">
        <w:rPr>
          <w:rFonts w:ascii="Arial" w:hAnsi="Arial" w:cs="Arial"/>
          <w:sz w:val="18"/>
          <w:szCs w:val="18"/>
        </w:rPr>
        <w:t xml:space="preserve">) y los aceites y grasas comestibles (- 3.75 </w:t>
      </w:r>
      <w:proofErr w:type="spellStart"/>
      <w:r w:rsidRPr="00AF18C2">
        <w:rPr>
          <w:rFonts w:ascii="Arial" w:hAnsi="Arial" w:cs="Arial"/>
          <w:sz w:val="18"/>
          <w:szCs w:val="18"/>
        </w:rPr>
        <w:t>pp</w:t>
      </w:r>
      <w:proofErr w:type="spellEnd"/>
      <w:r w:rsidRPr="00AF18C2">
        <w:rPr>
          <w:rFonts w:ascii="Arial" w:hAnsi="Arial" w:cs="Arial"/>
          <w:sz w:val="18"/>
          <w:szCs w:val="18"/>
        </w:rPr>
        <w:t xml:space="preserve">). Por su parte, dentro de las mercancías no alimenticias con una alta ponderación, las mayores disminuciones trimestrales se observaron en detergentes (- 5.52 </w:t>
      </w:r>
      <w:proofErr w:type="spellStart"/>
      <w:r w:rsidRPr="00AF18C2">
        <w:rPr>
          <w:rFonts w:ascii="Arial" w:hAnsi="Arial" w:cs="Arial"/>
          <w:sz w:val="18"/>
          <w:szCs w:val="18"/>
        </w:rPr>
        <w:t>pp</w:t>
      </w:r>
      <w:proofErr w:type="spellEnd"/>
      <w:r w:rsidRPr="00AF18C2">
        <w:rPr>
          <w:rFonts w:ascii="Arial" w:hAnsi="Arial" w:cs="Arial"/>
          <w:sz w:val="18"/>
          <w:szCs w:val="18"/>
        </w:rPr>
        <w:t xml:space="preserve">), películas y música (- 5.30 </w:t>
      </w:r>
      <w:proofErr w:type="spellStart"/>
      <w:r w:rsidRPr="00AF18C2">
        <w:rPr>
          <w:rFonts w:ascii="Arial" w:hAnsi="Arial" w:cs="Arial"/>
          <w:sz w:val="18"/>
          <w:szCs w:val="18"/>
        </w:rPr>
        <w:t>pp</w:t>
      </w:r>
      <w:proofErr w:type="spellEnd"/>
      <w:r w:rsidRPr="00AF18C2">
        <w:rPr>
          <w:rFonts w:ascii="Arial" w:hAnsi="Arial" w:cs="Arial"/>
          <w:sz w:val="18"/>
          <w:szCs w:val="18"/>
        </w:rPr>
        <w:t xml:space="preserve">), los blancos y otros textiles para el hogar (- 4.54 </w:t>
      </w:r>
      <w:proofErr w:type="spellStart"/>
      <w:r w:rsidRPr="00AF18C2">
        <w:rPr>
          <w:rFonts w:ascii="Arial" w:hAnsi="Arial" w:cs="Arial"/>
          <w:sz w:val="18"/>
          <w:szCs w:val="18"/>
        </w:rPr>
        <w:t>pp</w:t>
      </w:r>
      <w:proofErr w:type="spellEnd"/>
      <w:r w:rsidRPr="00AF18C2">
        <w:rPr>
          <w:rFonts w:ascii="Arial" w:hAnsi="Arial" w:cs="Arial"/>
          <w:sz w:val="18"/>
          <w:szCs w:val="18"/>
        </w:rPr>
        <w:t xml:space="preserve">) y neumáticos (- 4.43 </w:t>
      </w:r>
      <w:proofErr w:type="spellStart"/>
      <w:r w:rsidRPr="00AF18C2">
        <w:rPr>
          <w:rFonts w:ascii="Arial" w:hAnsi="Arial" w:cs="Arial"/>
          <w:sz w:val="18"/>
          <w:szCs w:val="18"/>
        </w:rPr>
        <w:t>pp</w:t>
      </w:r>
      <w:proofErr w:type="spellEnd"/>
      <w:r w:rsidRPr="00AF18C2">
        <w:rPr>
          <w:rFonts w:ascii="Arial" w:hAnsi="Arial" w:cs="Arial"/>
          <w:sz w:val="18"/>
          <w:szCs w:val="18"/>
        </w:rPr>
        <w:t xml:space="preserve">). En cuanto a la inflación de los servicios, de manera trimestral se presentaron disminuciones para las loncherías, fondas, torterías y taquerías (- 0.47 </w:t>
      </w:r>
      <w:proofErr w:type="spellStart"/>
      <w:r w:rsidRPr="00AF18C2">
        <w:rPr>
          <w:rFonts w:ascii="Arial" w:hAnsi="Arial" w:cs="Arial"/>
          <w:sz w:val="18"/>
          <w:szCs w:val="18"/>
        </w:rPr>
        <w:t>pp</w:t>
      </w:r>
      <w:proofErr w:type="spellEnd"/>
      <w:r w:rsidRPr="00AF18C2">
        <w:rPr>
          <w:rFonts w:ascii="Arial" w:hAnsi="Arial" w:cs="Arial"/>
          <w:sz w:val="18"/>
          <w:szCs w:val="18"/>
        </w:rPr>
        <w:t xml:space="preserve">), los restaurantes y similares (- 0.28 </w:t>
      </w:r>
      <w:proofErr w:type="spellStart"/>
      <w:r w:rsidRPr="00AF18C2">
        <w:rPr>
          <w:rFonts w:ascii="Arial" w:hAnsi="Arial" w:cs="Arial"/>
          <w:sz w:val="18"/>
          <w:szCs w:val="18"/>
        </w:rPr>
        <w:t>pp</w:t>
      </w:r>
      <w:proofErr w:type="spellEnd"/>
      <w:r w:rsidRPr="00AF18C2">
        <w:rPr>
          <w:rFonts w:ascii="Arial" w:hAnsi="Arial" w:cs="Arial"/>
          <w:sz w:val="18"/>
          <w:szCs w:val="18"/>
        </w:rPr>
        <w:t xml:space="preserve">), el transporte escolar (- 2.20 </w:t>
      </w:r>
      <w:proofErr w:type="spellStart"/>
      <w:r w:rsidRPr="00AF18C2">
        <w:rPr>
          <w:rFonts w:ascii="Arial" w:hAnsi="Arial" w:cs="Arial"/>
          <w:sz w:val="18"/>
          <w:szCs w:val="18"/>
        </w:rPr>
        <w:t>pp</w:t>
      </w:r>
      <w:proofErr w:type="spellEnd"/>
      <w:r w:rsidRPr="00AF18C2">
        <w:rPr>
          <w:rFonts w:ascii="Arial" w:hAnsi="Arial" w:cs="Arial"/>
          <w:sz w:val="18"/>
          <w:szCs w:val="18"/>
        </w:rPr>
        <w:t xml:space="preserve">) y los servicios para mascotas (- 1.23 </w:t>
      </w:r>
      <w:proofErr w:type="spellStart"/>
      <w:r w:rsidRPr="00AF18C2">
        <w:rPr>
          <w:rFonts w:ascii="Arial" w:hAnsi="Arial" w:cs="Arial"/>
          <w:sz w:val="18"/>
          <w:szCs w:val="18"/>
        </w:rPr>
        <w:t>pp</w:t>
      </w:r>
      <w:proofErr w:type="spellEnd"/>
      <w:r w:rsidRPr="00AF18C2">
        <w:rPr>
          <w:rFonts w:ascii="Arial" w:hAnsi="Arial" w:cs="Arial"/>
          <w:sz w:val="18"/>
          <w:szCs w:val="18"/>
        </w:rPr>
        <w:t xml:space="preserve">). No obstante, el componente de servicios aumentó 0.31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trimestre previo derivado de que pesaron las alzas trimestrales en la inflación de vivienda (0.31%) y educación (0.24%).</w:t>
      </w:r>
    </w:p>
    <w:p w14:paraId="05107D3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Respecto a la inflación no subyacente, destacaron las reducciones entre trimestres de la inflación en los subíndices de pecuarios (- 4.18 </w:t>
      </w:r>
      <w:proofErr w:type="spellStart"/>
      <w:r w:rsidRPr="00AF18C2">
        <w:rPr>
          <w:rFonts w:ascii="Arial" w:hAnsi="Arial" w:cs="Arial"/>
          <w:sz w:val="18"/>
          <w:szCs w:val="18"/>
        </w:rPr>
        <w:t>pp</w:t>
      </w:r>
      <w:proofErr w:type="spellEnd"/>
      <w:r w:rsidRPr="00AF18C2">
        <w:rPr>
          <w:rFonts w:ascii="Arial" w:hAnsi="Arial" w:cs="Arial"/>
          <w:sz w:val="18"/>
          <w:szCs w:val="18"/>
        </w:rPr>
        <w:t xml:space="preserve">) y energéticos (- 2.22 </w:t>
      </w:r>
      <w:proofErr w:type="spellStart"/>
      <w:r w:rsidRPr="00AF18C2">
        <w:rPr>
          <w:rFonts w:ascii="Arial" w:hAnsi="Arial" w:cs="Arial"/>
          <w:sz w:val="18"/>
          <w:szCs w:val="18"/>
        </w:rPr>
        <w:t>pp</w:t>
      </w:r>
      <w:proofErr w:type="spellEnd"/>
      <w:r w:rsidRPr="00AF18C2">
        <w:rPr>
          <w:rFonts w:ascii="Arial" w:hAnsi="Arial" w:cs="Arial"/>
          <w:sz w:val="18"/>
          <w:szCs w:val="18"/>
        </w:rPr>
        <w:t xml:space="preserve">). Para el primer caso, los genéricos con mayores reducciones en el trimestre fueron el pollo (- 7.34 </w:t>
      </w:r>
      <w:proofErr w:type="spellStart"/>
      <w:r w:rsidRPr="00AF18C2">
        <w:rPr>
          <w:rFonts w:ascii="Arial" w:hAnsi="Arial" w:cs="Arial"/>
          <w:sz w:val="18"/>
          <w:szCs w:val="18"/>
        </w:rPr>
        <w:t>pp</w:t>
      </w:r>
      <w:proofErr w:type="spellEnd"/>
      <w:r w:rsidRPr="00AF18C2">
        <w:rPr>
          <w:rFonts w:ascii="Arial" w:hAnsi="Arial" w:cs="Arial"/>
          <w:sz w:val="18"/>
          <w:szCs w:val="18"/>
        </w:rPr>
        <w:t xml:space="preserve">), la manteca de cerdo (- 5.43 </w:t>
      </w:r>
      <w:proofErr w:type="spellStart"/>
      <w:r w:rsidRPr="00AF18C2">
        <w:rPr>
          <w:rFonts w:ascii="Arial" w:hAnsi="Arial" w:cs="Arial"/>
          <w:sz w:val="18"/>
          <w:szCs w:val="18"/>
        </w:rPr>
        <w:t>pp</w:t>
      </w:r>
      <w:proofErr w:type="spellEnd"/>
      <w:r w:rsidRPr="00AF18C2">
        <w:rPr>
          <w:rFonts w:ascii="Arial" w:hAnsi="Arial" w:cs="Arial"/>
          <w:sz w:val="18"/>
          <w:szCs w:val="18"/>
        </w:rPr>
        <w:t xml:space="preserve">) y la carne de res (- 5.21 </w:t>
      </w:r>
      <w:proofErr w:type="spellStart"/>
      <w:r w:rsidRPr="00AF18C2">
        <w:rPr>
          <w:rFonts w:ascii="Arial" w:hAnsi="Arial" w:cs="Arial"/>
          <w:sz w:val="18"/>
          <w:szCs w:val="18"/>
        </w:rPr>
        <w:t>pp</w:t>
      </w:r>
      <w:proofErr w:type="spellEnd"/>
      <w:r w:rsidRPr="00AF18C2">
        <w:rPr>
          <w:rFonts w:ascii="Arial" w:hAnsi="Arial" w:cs="Arial"/>
          <w:sz w:val="18"/>
          <w:szCs w:val="18"/>
        </w:rPr>
        <w:t xml:space="preserve">). Para los energéticos, los mayores retrocesos se registraron en el gas natural (- 18.36 </w:t>
      </w:r>
      <w:proofErr w:type="spellStart"/>
      <w:r w:rsidRPr="00AF18C2">
        <w:rPr>
          <w:rFonts w:ascii="Arial" w:hAnsi="Arial" w:cs="Arial"/>
          <w:sz w:val="18"/>
          <w:szCs w:val="18"/>
        </w:rPr>
        <w:t>pp</w:t>
      </w:r>
      <w:proofErr w:type="spellEnd"/>
      <w:r w:rsidRPr="00AF18C2">
        <w:rPr>
          <w:rFonts w:ascii="Arial" w:hAnsi="Arial" w:cs="Arial"/>
          <w:sz w:val="18"/>
          <w:szCs w:val="18"/>
        </w:rPr>
        <w:t xml:space="preserve">), la gasolina de bajo octanaje (- 3.30 </w:t>
      </w:r>
      <w:proofErr w:type="spellStart"/>
      <w:r w:rsidRPr="00AF18C2">
        <w:rPr>
          <w:rFonts w:ascii="Arial" w:hAnsi="Arial" w:cs="Arial"/>
          <w:sz w:val="18"/>
          <w:szCs w:val="18"/>
        </w:rPr>
        <w:t>pp</w:t>
      </w:r>
      <w:proofErr w:type="spellEnd"/>
      <w:r w:rsidRPr="00AF18C2">
        <w:rPr>
          <w:rFonts w:ascii="Arial" w:hAnsi="Arial" w:cs="Arial"/>
          <w:sz w:val="18"/>
          <w:szCs w:val="18"/>
        </w:rPr>
        <w:t xml:space="preserve">) y alto octanaje (- 2.72 </w:t>
      </w:r>
      <w:proofErr w:type="spellStart"/>
      <w:r w:rsidRPr="00AF18C2">
        <w:rPr>
          <w:rFonts w:ascii="Arial" w:hAnsi="Arial" w:cs="Arial"/>
          <w:sz w:val="18"/>
          <w:szCs w:val="18"/>
        </w:rPr>
        <w:t>pp</w:t>
      </w:r>
      <w:proofErr w:type="spellEnd"/>
      <w:r w:rsidRPr="00AF18C2">
        <w:rPr>
          <w:rFonts w:ascii="Arial" w:hAnsi="Arial" w:cs="Arial"/>
          <w:sz w:val="18"/>
          <w:szCs w:val="18"/>
        </w:rPr>
        <w:t xml:space="preserve">). Por otro lado, el alza de 0.39 </w:t>
      </w:r>
      <w:proofErr w:type="spellStart"/>
      <w:r w:rsidRPr="00AF18C2">
        <w:rPr>
          <w:rFonts w:ascii="Arial" w:hAnsi="Arial" w:cs="Arial"/>
          <w:sz w:val="18"/>
          <w:szCs w:val="18"/>
        </w:rPr>
        <w:t>pp</w:t>
      </w:r>
      <w:proofErr w:type="spellEnd"/>
      <w:r w:rsidRPr="00AF18C2">
        <w:rPr>
          <w:rFonts w:ascii="Arial" w:hAnsi="Arial" w:cs="Arial"/>
          <w:sz w:val="18"/>
          <w:szCs w:val="18"/>
        </w:rPr>
        <w:t xml:space="preserve"> en el subíndice de frutas y verduras fue producto, principalmente, de los factores estacionales y climatológicos en ciertos genéricos como el chile serrano (61.87 </w:t>
      </w:r>
      <w:proofErr w:type="spellStart"/>
      <w:r w:rsidRPr="00AF18C2">
        <w:rPr>
          <w:rFonts w:ascii="Arial" w:hAnsi="Arial" w:cs="Arial"/>
          <w:sz w:val="18"/>
          <w:szCs w:val="18"/>
        </w:rPr>
        <w:t>pp</w:t>
      </w:r>
      <w:proofErr w:type="spellEnd"/>
      <w:r w:rsidRPr="00AF18C2">
        <w:rPr>
          <w:rFonts w:ascii="Arial" w:hAnsi="Arial" w:cs="Arial"/>
          <w:sz w:val="18"/>
          <w:szCs w:val="18"/>
        </w:rPr>
        <w:t xml:space="preserve">) y el jitomate (43.61 </w:t>
      </w:r>
      <w:proofErr w:type="spellStart"/>
      <w:r w:rsidRPr="00AF18C2">
        <w:rPr>
          <w:rFonts w:ascii="Arial" w:hAnsi="Arial" w:cs="Arial"/>
          <w:sz w:val="18"/>
          <w:szCs w:val="18"/>
        </w:rPr>
        <w:t>pp</w:t>
      </w:r>
      <w:proofErr w:type="spellEnd"/>
      <w:r w:rsidRPr="00AF18C2">
        <w:rPr>
          <w:rFonts w:ascii="Arial" w:hAnsi="Arial" w:cs="Arial"/>
          <w:sz w:val="18"/>
          <w:szCs w:val="18"/>
        </w:rPr>
        <w:t>).</w:t>
      </w:r>
    </w:p>
    <w:p w14:paraId="4CD92E9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 xml:space="preserve">En el periodo de enero a marzo, y con cifras ajustadas por estacionalidad, el valor de las exportaciones no petroleras se incrementó 1.5% respecto al trimestre anterior. En su interior, el valor de las exportaciones agropecuarias, manufactureras no automotrices y automotrices crecieron 1.7, 1.2 y 1.8%, respectivamente, con relación al trimestre previo. Por destino, el valor de las exportaciones manufactureras dirigidas a EE.UU. registró un aumento trimestral de 2.1%, mientras que las enviadas al resto del mundo disminuyeron 2.0%. Cabe destacar que, en el primer bimestre de 2023, debido a la alta integración con EE.UU., México se ubicó como su principal socio comercial, en donde las manufacturas mexicanas representaron el 15.2% de sus importaciones manufactureras, esto equivale a un aumento de 1.4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 la participación de México en el mismo periodo de 2022. Los productos que más aumentaron su participación fueron: muebles (8.7 </w:t>
      </w:r>
      <w:proofErr w:type="spellStart"/>
      <w:r w:rsidRPr="00AF18C2">
        <w:rPr>
          <w:rFonts w:ascii="Arial" w:hAnsi="Arial" w:cs="Arial"/>
          <w:sz w:val="18"/>
          <w:szCs w:val="18"/>
        </w:rPr>
        <w:t>pp</w:t>
      </w:r>
      <w:proofErr w:type="spellEnd"/>
      <w:r w:rsidRPr="00AF18C2">
        <w:rPr>
          <w:rFonts w:ascii="Arial" w:hAnsi="Arial" w:cs="Arial"/>
          <w:sz w:val="18"/>
          <w:szCs w:val="18"/>
        </w:rPr>
        <w:t xml:space="preserve">), embarcaciones (7.2 </w:t>
      </w:r>
      <w:proofErr w:type="spellStart"/>
      <w:r w:rsidRPr="00AF18C2">
        <w:rPr>
          <w:rFonts w:ascii="Arial" w:hAnsi="Arial" w:cs="Arial"/>
          <w:sz w:val="18"/>
          <w:szCs w:val="18"/>
        </w:rPr>
        <w:t>pp</w:t>
      </w:r>
      <w:proofErr w:type="spellEnd"/>
      <w:r w:rsidRPr="00AF18C2">
        <w:rPr>
          <w:rFonts w:ascii="Arial" w:hAnsi="Arial" w:cs="Arial"/>
          <w:sz w:val="18"/>
          <w:szCs w:val="18"/>
        </w:rPr>
        <w:t xml:space="preserve">), electrodomésticos (7.0 </w:t>
      </w:r>
      <w:proofErr w:type="spellStart"/>
      <w:r w:rsidRPr="00AF18C2">
        <w:rPr>
          <w:rFonts w:ascii="Arial" w:hAnsi="Arial" w:cs="Arial"/>
          <w:sz w:val="18"/>
          <w:szCs w:val="18"/>
        </w:rPr>
        <w:t>pp</w:t>
      </w:r>
      <w:proofErr w:type="spellEnd"/>
      <w:r w:rsidRPr="00AF18C2">
        <w:rPr>
          <w:rFonts w:ascii="Arial" w:hAnsi="Arial" w:cs="Arial"/>
          <w:sz w:val="18"/>
          <w:szCs w:val="18"/>
        </w:rPr>
        <w:t xml:space="preserve">), otro equipo de transporte (5.0 </w:t>
      </w:r>
      <w:proofErr w:type="spellStart"/>
      <w:r w:rsidRPr="00AF18C2">
        <w:rPr>
          <w:rFonts w:ascii="Arial" w:hAnsi="Arial" w:cs="Arial"/>
          <w:sz w:val="18"/>
          <w:szCs w:val="18"/>
        </w:rPr>
        <w:t>pp</w:t>
      </w:r>
      <w:proofErr w:type="spellEnd"/>
      <w:r w:rsidRPr="00AF18C2">
        <w:rPr>
          <w:rFonts w:ascii="Arial" w:hAnsi="Arial" w:cs="Arial"/>
          <w:sz w:val="18"/>
          <w:szCs w:val="18"/>
        </w:rPr>
        <w:t xml:space="preserve">) y herrajes (4.5 </w:t>
      </w:r>
      <w:proofErr w:type="spellStart"/>
      <w:r w:rsidRPr="00AF18C2">
        <w:rPr>
          <w:rFonts w:ascii="Arial" w:hAnsi="Arial" w:cs="Arial"/>
          <w:sz w:val="18"/>
          <w:szCs w:val="18"/>
        </w:rPr>
        <w:t>pp</w:t>
      </w:r>
      <w:proofErr w:type="spellEnd"/>
      <w:r w:rsidRPr="00AF18C2">
        <w:rPr>
          <w:rFonts w:ascii="Arial" w:hAnsi="Arial" w:cs="Arial"/>
          <w:sz w:val="18"/>
          <w:szCs w:val="18"/>
        </w:rPr>
        <w:t>), principalmente. Por su parte, el valor de las importaciones no petroleras registró un crecimiento de 0.8% respecto al trimestre previo, una vez descontado el efecto estacional. Sus componentes, registraron incrementos en los rubros de bienes de consumo (15.9%) y de bienes de capital (7.1%), con ello este último componente acumuló 11 trimestres consecutivos al alza; en tanto que los bienes intermedios no petroleros disminuyeron 1.9%.</w:t>
      </w:r>
    </w:p>
    <w:p w14:paraId="1080D392"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adición a lo anterior, durante el primer bimestre de 2023, el flujo de remesas creció 1.4% respecto al bimestre previo, con información ajustada por estacionalidad, con lo que se acumuló un flujo de 10 mil 408 millones de dólares, nivel máximo histórico para el mismo periodo. No obstante, la ligera reducción del número de trabajadores de origen mexicano en EE.UU. de 0.4% respecto al periodo de noviembre a diciembre del año previo. Por otra parte, el turismo continuó con su tendencia al alza con niveles históricos en indicadores como ingresos por turismo internacional y la entrada aérea de pasajeros internacionales. Entre enero y febrero de 2023, los ingresos por turismo internacional crecieron 32.4% respecto al año anterior, con lo que acumuló un nivel récord de 5 mil 422 millones de dólares. En tanto que se registró la entrada de 3.7 millones de visitantes extranjeros por vía aérea, principalmente de EE.UU. y Canadá, lo cual fue el mayor monto para un mismo bimestre desde que se tiene registro en 2012.</w:t>
      </w:r>
    </w:p>
    <w:p w14:paraId="16C8C64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Finalmente, México registró una salida de recursos al exterior, después de entradas netas de capitales por tres trimestres consecutivos, de tal forma que en el cuarto trimestre de 2022 la cuenta financiera de la balanza de pagos registró un préstamo neto frente al resto del mundo por 4 mil 550 millones de dólares, mayor al observado en el mismo trimestre de 2021 (674 millones de dólares). Dicho incremento anual se atribuye a que el rubro de otra inversión registró una salida de recursos de 9 mil 931 millones de dólares, luego de cinco trimestres consecutivos de entradas, como resultado de la adquisición neta de activos por las Sociedades no financieras, Hogares e Instituciones sin fines de lucro al servicio de los hogares (ISFLSH), principalmente. Asimismo, se registró un endeudamiento neto en los derivados financieros de 932 millones de dólares, ligeramente mayor al del cuarto trimestre de 2021 de 817 millones de dólares. Lo anterior fue compensado por entradas de recursos registradas en inversión de cartera por 3 mil 202 millones de dólares en el cuarto trimestre de 2022 que contrasta con la salida de recursos por 14 mil 476 millones de dólares del mismo periodo del año previo. </w:t>
      </w:r>
    </w:p>
    <w:p w14:paraId="641C28D4"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tanto, los activos de reserva tuvieron un endeudamiento neto de 2 mil 868 millones de dólares, menor a la entrada de recursos por 4 mil 161 millones de dólares del cuarto trimestre del 2021. Por su parte, la inversión directa registró una entrada por 243 millones de dólares, monto menor a los 7 mil 747 millones registrados en el mismo periodo del año previo. Dentro de este concepto destaca la inversión extranjera directa (IED), la cual de enero a diciembre de 2022 se ubicó en 35 mil 292 millones de dólares, y que se compara favorablemente contra el promedio 2011 a 2019 para un mismo periodo (32 mil 879 millones de dólares), apoyada por el creciente interés de inversionistas por aprovechar las condiciones competitivas de México con respecto a otras economías.</w:t>
      </w:r>
    </w:p>
    <w:p w14:paraId="555DB28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El sistema financiero mexicano se mostró sólido durante el primer trimestre de 2023, a pesar de los episodios de volatilidad asociados a la incertidumbre sobre la tasa terminal de la FED y a un posible riesgo de contagio en el sistema financiero internacional tras la quiebra de dos bancos regionales en EE.UU. y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en Europa. Con respecto al sector bancario, su principal fuente de financiamiento provino de depósitos de exigibilidad inmediata, lo que reduce los riesgos de liquidez y la exposición a los ciclos y choques financieros de las economías avanzadas. En febrero de 2023, este tipo de depósitos representó en promedio cerca del 90% del financiamiento de corto plazo para los tres bancos más grandes medidos por su nivel de activos, que son BBVA, Citibanamex y Banorte; seguido de las obligaciones subordinadas en 4.5%, los títulos emitidos en 4.1% y los préstamos interbancarios con 1.6%.</w:t>
      </w:r>
    </w:p>
    <w:p w14:paraId="37DF4217"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w:t>
      </w:r>
    </w:p>
    <w:p w14:paraId="4827E20C"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Durante el trimestre octubre-diciembre de 2022, a tasa trimestral y con cifras ajustadas estacionalmente, las entidades federativas que mostraron los aumentos más pronunciados en su actividad económica fueron: Oaxaca, Quintana Roo, México, Michoacán de Ocampo y Tabasco. En el cuarto trimestre de 2022, a tasa anual y con cifras desestacionalizadas, los estados que reportaron los avances más significativos en su actividad económica fueron: Oaxaca, Hidalgo, Quintana Roo, Tabasco y Puebla.</w:t>
      </w:r>
    </w:p>
    <w:p w14:paraId="5396F1CD" w14:textId="1866DCEF"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mc:AlternateContent>
          <mc:Choice Requires="wps">
            <w:drawing>
              <wp:anchor distT="0" distB="0" distL="114300" distR="114300" simplePos="0" relativeHeight="251709440" behindDoc="0" locked="0" layoutInCell="1" allowOverlap="1" wp14:anchorId="52EF9601" wp14:editId="3F1C4A4F">
                <wp:simplePos x="0" y="0"/>
                <wp:positionH relativeFrom="margin">
                  <wp:posOffset>4730695</wp:posOffset>
                </wp:positionH>
                <wp:positionV relativeFrom="paragraph">
                  <wp:posOffset>2890768</wp:posOffset>
                </wp:positionV>
                <wp:extent cx="147955" cy="52705"/>
                <wp:effectExtent l="19050" t="38100" r="61595" b="61595"/>
                <wp:wrapNone/>
                <wp:docPr id="884693783" name="Flecha: a la derech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887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1" o:spid="_x0000_s1026" type="#_x0000_t13" style="position:absolute;margin-left:372.5pt;margin-top:227.6pt;width:11.65pt;height:4.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" adj="13194" fillcolor="red" strokecolor="red" strokeweight="3pt">
                <v:shadow on="t" color="#823b0b" opacity=".5" offset="1pt"/>
                <w10:wrap anchorx="margin"/>
              </v:shape>
            </w:pict>
          </mc:Fallback>
        </mc:AlternateContent>
      </w:r>
      <w:r w:rsidRPr="00AF18C2">
        <w:rPr>
          <w:rFonts w:ascii="Arial" w:hAnsi="Arial" w:cs="Arial"/>
          <w:noProof/>
          <w:sz w:val="18"/>
          <w:szCs w:val="18"/>
          <w:lang w:eastAsia="es-MX"/>
        </w:rPr>
        <mc:AlternateContent>
          <mc:Choice Requires="wps">
            <w:drawing>
              <wp:anchor distT="0" distB="0" distL="114300" distR="114300" simplePos="0" relativeHeight="251708416" behindDoc="0" locked="0" layoutInCell="1" allowOverlap="1" wp14:anchorId="4C5A79DB" wp14:editId="2AC17E45">
                <wp:simplePos x="0" y="0"/>
                <wp:positionH relativeFrom="margin">
                  <wp:posOffset>3196701</wp:posOffset>
                </wp:positionH>
                <wp:positionV relativeFrom="paragraph">
                  <wp:posOffset>2799190</wp:posOffset>
                </wp:positionV>
                <wp:extent cx="147955" cy="52705"/>
                <wp:effectExtent l="19050" t="38100" r="61595" b="61595"/>
                <wp:wrapNone/>
                <wp:docPr id="154424586" name="Flecha: a la derech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E234F" id="Flecha: a la derecha 10" o:spid="_x0000_s1026" type="#_x0000_t13" style="position:absolute;margin-left:251.7pt;margin-top:220.4pt;width:11.65pt;height:4.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" adj="13194" fillcolor="red" strokecolor="red" strokeweight="3pt">
                <v:shadow on="t" color="#823b0b" opacity=".5" offset="1pt"/>
                <w10:wrap anchorx="margin"/>
              </v:shape>
            </w:pict>
          </mc:Fallback>
        </mc:AlternateContent>
      </w:r>
      <w:r w:rsidRPr="00AF18C2">
        <w:rPr>
          <w:rFonts w:ascii="Arial" w:hAnsi="Arial" w:cs="Arial"/>
          <w:noProof/>
          <w:sz w:val="18"/>
          <w:szCs w:val="18"/>
          <w:lang w:eastAsia="es-MX"/>
        </w:rPr>
        <mc:AlternateContent>
          <mc:Choice Requires="wps">
            <w:drawing>
              <wp:anchor distT="0" distB="0" distL="114300" distR="114300" simplePos="0" relativeHeight="251707392" behindDoc="0" locked="0" layoutInCell="1" allowOverlap="1" wp14:anchorId="4601AA10" wp14:editId="24275952">
                <wp:simplePos x="0" y="0"/>
                <wp:positionH relativeFrom="margin">
                  <wp:posOffset>48343</wp:posOffset>
                </wp:positionH>
                <wp:positionV relativeFrom="paragraph">
                  <wp:posOffset>3619030</wp:posOffset>
                </wp:positionV>
                <wp:extent cx="147955" cy="52705"/>
                <wp:effectExtent l="19050" t="38100" r="61595" b="61595"/>
                <wp:wrapNone/>
                <wp:docPr id="20" name="Flecha: a la derech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4FE41" id="Flecha: a la derecha 9" o:spid="_x0000_s1026" type="#_x0000_t13" style="position:absolute;margin-left:3.8pt;margin-top:284.95pt;width:11.65pt;height:4.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" adj="13194" fillcolor="red" strokecolor="red" strokeweight="3pt">
                <v:shadow on="t" color="#823b0b" opacity=".5" offset="1pt"/>
                <w10:wrap anchorx="margin"/>
              </v:shape>
            </w:pict>
          </mc:Fallback>
        </mc:AlternateContent>
      </w:r>
      <w:r w:rsidRPr="00AF18C2">
        <w:rPr>
          <w:rFonts w:ascii="Arial" w:hAnsi="Arial" w:cs="Arial"/>
          <w:noProof/>
          <w:sz w:val="18"/>
          <w:szCs w:val="18"/>
          <w:lang w:eastAsia="es-MX"/>
        </w:rPr>
        <w:drawing>
          <wp:inline distT="0" distB="0" distL="0" distR="0" wp14:anchorId="48E60A0B" wp14:editId="51FF6253">
            <wp:extent cx="2733746" cy="4309607"/>
            <wp:effectExtent l="0" t="0" r="0" b="0"/>
            <wp:docPr id="9451538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37238" t="21111" r="38321" b="12560"/>
                    <a:stretch>
                      <a:fillRect/>
                    </a:stretch>
                  </pic:blipFill>
                  <pic:spPr bwMode="auto">
                    <a:xfrm>
                      <a:off x="0" y="0"/>
                      <a:ext cx="2753372" cy="4340547"/>
                    </a:xfrm>
                    <a:prstGeom prst="rect">
                      <a:avLst/>
                    </a:prstGeom>
                    <a:noFill/>
                    <a:ln>
                      <a:noFill/>
                    </a:ln>
                  </pic:spPr>
                </pic:pic>
              </a:graphicData>
            </a:graphic>
          </wp:inline>
        </w:drawing>
      </w:r>
      <w:r w:rsidRPr="00AF18C2">
        <w:rPr>
          <w:rFonts w:ascii="Arial" w:hAnsi="Arial" w:cs="Arial"/>
          <w:sz w:val="18"/>
          <w:szCs w:val="18"/>
        </w:rPr>
        <w:t xml:space="preserve"> </w:t>
      </w:r>
      <w:r w:rsidRPr="00DE1C7A">
        <w:rPr>
          <w:noProof/>
          <w:lang w:eastAsia="es-MX"/>
        </w:rPr>
        <w:drawing>
          <wp:inline distT="0" distB="0" distL="0" distR="0" wp14:anchorId="123A2191" wp14:editId="3786ADB9">
            <wp:extent cx="2976654" cy="4245030"/>
            <wp:effectExtent l="0" t="0" r="0" b="3175"/>
            <wp:docPr id="17509575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32150" t="23889" r="31714" b="11272"/>
                    <a:stretch>
                      <a:fillRect/>
                    </a:stretch>
                  </pic:blipFill>
                  <pic:spPr bwMode="auto">
                    <a:xfrm>
                      <a:off x="0" y="0"/>
                      <a:ext cx="2983096" cy="4254217"/>
                    </a:xfrm>
                    <a:prstGeom prst="rect">
                      <a:avLst/>
                    </a:prstGeom>
                    <a:noFill/>
                    <a:ln>
                      <a:noFill/>
                    </a:ln>
                  </pic:spPr>
                </pic:pic>
              </a:graphicData>
            </a:graphic>
          </wp:inline>
        </w:drawing>
      </w:r>
    </w:p>
    <w:p w14:paraId="60C72C33"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w:t>
      </w:r>
      <w:proofErr w:type="gramStart"/>
      <w:r w:rsidRPr="00AF18C2">
        <w:rPr>
          <w:rFonts w:ascii="Arial" w:hAnsi="Arial" w:cs="Arial"/>
          <w:sz w:val="18"/>
          <w:szCs w:val="18"/>
        </w:rPr>
        <w:t>ésta</w:t>
      </w:r>
      <w:proofErr w:type="gramEnd"/>
      <w:r w:rsidRPr="00AF18C2">
        <w:rPr>
          <w:rFonts w:ascii="Arial" w:hAnsi="Arial" w:cs="Arial"/>
          <w:sz w:val="18"/>
          <w:szCs w:val="18"/>
        </w:rPr>
        <w:t xml:space="preserve"> industria, continúe con su dinamismo en el mediano plazo.</w:t>
      </w:r>
    </w:p>
    <w:p w14:paraId="584957E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Durante el cuarto trimestre de 2022, el Indicador Trimestral de la Actividad Económica Estatal (ITAEE), muestra que el Estado de Tlaxcala ha tenido un crecimiento positivo, en relación al trimestre anterior y al mismo periodo de 2021; con una variación del 1.1%, destacándose la aportación del sector primario con un 5.3% a tasa anualizada.</w:t>
      </w:r>
    </w:p>
    <w:p w14:paraId="468EC27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 tasa anual y con series ajustadas por estacionalidad, los estados que reportaron los crecimientos más significativos en su actividad económica, en el trimestre de referencia, fueron: Oaxaca, Hidalgo, Quintana Roo, Tabasco y Puebla. </w:t>
      </w:r>
    </w:p>
    <w:p w14:paraId="1F3731A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el cuarto trimestre de 2022 y a tasa anual, la variación nacional del total de la economía 20 entidades federativas crecieron más que el país y la mitad presentan caídas en sus economías en el cuarto trimestre de 2022. Las entidades con los mayores crecimientos han sido, Oaxaca (6.5%), Quintana Roo (6.3%) y México (2.4%), mientras que las mayores caídas se observaron en Aguascalientes (-3.2%), Nayarit (-2.6%) y Zacatecas (-2.3%).</w:t>
      </w:r>
    </w:p>
    <w:p w14:paraId="3EEE3AD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En la variación anualizada, que compara el cuarto trimestre del 2022 con el también cuarto trimestre de 2021, nueve entidades federativas presentan variaciones negativas y solo 11 crecieron más que el país. Los mejores lugares son para Oaxaca (13.2%), Hidalgo (9.6%) y Quintana Roo (8.7%). Los últimos corresponden a Campeche (-3.3%), Morelos (-2.1%) y Veracruz (-1.6%).</w:t>
      </w:r>
    </w:p>
    <w:p w14:paraId="32542FE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14:paraId="4B6C639A" w14:textId="77777777" w:rsid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Al mes de mayo de 2023 la tasa de ocupación reflejó una participación del 0.52% al total nacional, presentando un incremento de 4,472, puestos de trabajo permanentes respecto a diciembre de 2022. Al mes de mayo de 2023, se tienen registrados 114,356 trabajadores asegurados en el IMSS, tal y como se muestra en los cuadros siguientes:</w:t>
      </w:r>
    </w:p>
    <w:p w14:paraId="7FF458A6" w14:textId="77777777" w:rsidR="00F31DD1" w:rsidRPr="00AF18C2" w:rsidRDefault="00F31DD1" w:rsidP="00AF18C2">
      <w:pPr>
        <w:tabs>
          <w:tab w:val="left" w:pos="284"/>
        </w:tabs>
        <w:ind w:left="284"/>
        <w:jc w:val="both"/>
        <w:rPr>
          <w:rFonts w:ascii="Arial" w:hAnsi="Arial" w:cs="Arial"/>
          <w:sz w:val="18"/>
          <w:szCs w:val="18"/>
        </w:rPr>
      </w:pPr>
    </w:p>
    <w:p w14:paraId="0BB8B442" w14:textId="042DFB14"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drawing>
          <wp:inline distT="0" distB="0" distL="0" distR="0" wp14:anchorId="1F0B77C0" wp14:editId="21D1CC5A">
            <wp:extent cx="5943600" cy="4723075"/>
            <wp:effectExtent l="0" t="0" r="0" b="1905"/>
            <wp:docPr id="18801095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8566" t="28197" r="28764" b="14259"/>
                    <a:stretch>
                      <a:fillRect/>
                    </a:stretch>
                  </pic:blipFill>
                  <pic:spPr bwMode="auto">
                    <a:xfrm>
                      <a:off x="0" y="0"/>
                      <a:ext cx="5950852" cy="4728838"/>
                    </a:xfrm>
                    <a:prstGeom prst="rect">
                      <a:avLst/>
                    </a:prstGeom>
                    <a:noFill/>
                    <a:ln>
                      <a:noFill/>
                    </a:ln>
                  </pic:spPr>
                </pic:pic>
              </a:graphicData>
            </a:graphic>
          </wp:inline>
        </w:drawing>
      </w:r>
    </w:p>
    <w:p w14:paraId="47E80950" w14:textId="77777777" w:rsidR="00AF18C2" w:rsidRPr="00AF18C2" w:rsidRDefault="00AF18C2" w:rsidP="00AF18C2">
      <w:pPr>
        <w:tabs>
          <w:tab w:val="left" w:pos="284"/>
        </w:tabs>
        <w:ind w:left="284"/>
        <w:jc w:val="both"/>
        <w:rPr>
          <w:rFonts w:ascii="Arial" w:hAnsi="Arial" w:cs="Arial"/>
          <w:sz w:val="18"/>
          <w:szCs w:val="18"/>
        </w:rPr>
      </w:pPr>
    </w:p>
    <w:p w14:paraId="2BBA2AE4" w14:textId="01298716"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lastRenderedPageBreak/>
        <w:drawing>
          <wp:inline distT="0" distB="0" distL="0" distR="0" wp14:anchorId="15FDD293" wp14:editId="70156DFD">
            <wp:extent cx="5943600" cy="4341495"/>
            <wp:effectExtent l="0" t="0" r="0" b="1905"/>
            <wp:docPr id="1595205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3303" t="22646" r="22878" b="7544"/>
                    <a:stretch>
                      <a:fillRect/>
                    </a:stretch>
                  </pic:blipFill>
                  <pic:spPr bwMode="auto">
                    <a:xfrm>
                      <a:off x="0" y="0"/>
                      <a:ext cx="5943600" cy="4341495"/>
                    </a:xfrm>
                    <a:prstGeom prst="rect">
                      <a:avLst/>
                    </a:prstGeom>
                    <a:noFill/>
                    <a:ln>
                      <a:noFill/>
                    </a:ln>
                  </pic:spPr>
                </pic:pic>
              </a:graphicData>
            </a:graphic>
          </wp:inline>
        </w:drawing>
      </w:r>
    </w:p>
    <w:p w14:paraId="200C24B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De acuerdo al Directorio Estadístico Nacional de Unidades Económicas, Tlaxcala cuenta con 82,520 Unidades Económicas al mes de junio de 2023, en los rubros siguientes:</w:t>
      </w:r>
    </w:p>
    <w:p w14:paraId="0CE9BA62" w14:textId="67374318" w:rsidR="00AF18C2" w:rsidRPr="00AF18C2" w:rsidRDefault="00AF18C2" w:rsidP="00AF18C2">
      <w:pPr>
        <w:tabs>
          <w:tab w:val="left" w:pos="284"/>
        </w:tabs>
        <w:ind w:left="284"/>
        <w:jc w:val="center"/>
        <w:rPr>
          <w:rFonts w:ascii="Arial" w:hAnsi="Arial" w:cs="Arial"/>
          <w:sz w:val="18"/>
          <w:szCs w:val="18"/>
        </w:rPr>
      </w:pPr>
      <w:r w:rsidRPr="00AF18C2">
        <w:rPr>
          <w:rFonts w:ascii="Arial" w:hAnsi="Arial" w:cs="Arial"/>
          <w:noProof/>
          <w:sz w:val="18"/>
          <w:szCs w:val="18"/>
          <w:lang w:eastAsia="es-MX"/>
        </w:rPr>
        <w:drawing>
          <wp:inline distT="0" distB="0" distL="0" distR="0" wp14:anchorId="4584125D" wp14:editId="700BEDE2">
            <wp:extent cx="3433775" cy="3394710"/>
            <wp:effectExtent l="0" t="0" r="0" b="0"/>
            <wp:docPr id="18579111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1460" cy="3412194"/>
                    </a:xfrm>
                    <a:prstGeom prst="rect">
                      <a:avLst/>
                    </a:prstGeom>
                    <a:noFill/>
                    <a:ln>
                      <a:noFill/>
                    </a:ln>
                  </pic:spPr>
                </pic:pic>
              </a:graphicData>
            </a:graphic>
          </wp:inline>
        </w:drawing>
      </w:r>
    </w:p>
    <w:p w14:paraId="7D9FE7A9" w14:textId="77777777" w:rsidR="00AF18C2" w:rsidRPr="00F31DD1" w:rsidRDefault="00AF18C2" w:rsidP="00AF18C2">
      <w:pPr>
        <w:ind w:left="2127"/>
        <w:jc w:val="both"/>
        <w:rPr>
          <w:rFonts w:ascii="Arial" w:hAnsi="Arial" w:cs="Arial"/>
          <w:b/>
          <w:bCs/>
          <w:sz w:val="14"/>
          <w:szCs w:val="14"/>
        </w:rPr>
      </w:pPr>
      <w:r w:rsidRPr="00F31DD1">
        <w:rPr>
          <w:rFonts w:ascii="Arial" w:hAnsi="Arial" w:cs="Arial"/>
          <w:b/>
          <w:bCs/>
          <w:sz w:val="14"/>
          <w:szCs w:val="14"/>
        </w:rPr>
        <w:t>FUENTE: INEGI. DENUE. Junio 2023.</w:t>
      </w:r>
    </w:p>
    <w:p w14:paraId="7A87491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Lo que representa una participación del 1.5% del Estado en el total nacional. Al primer trimestre de 2023 la Población Económicamente Activa (PEA) ascendió a 650,681 personas, representando el 60.8% de la población en edad de trabajar. Del total de la PEA, el 96.8% está ocupada y el 3.2% se encuentra desocupada.</w:t>
      </w:r>
    </w:p>
    <w:p w14:paraId="62E770A4" w14:textId="3C0E3A6A"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drawing>
          <wp:inline distT="0" distB="0" distL="0" distR="0" wp14:anchorId="76C16621" wp14:editId="1012CB4E">
            <wp:extent cx="5943600" cy="4048125"/>
            <wp:effectExtent l="0" t="0" r="0" b="9525"/>
            <wp:docPr id="19779588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23921" t="20799" r="23247" b="9082"/>
                    <a:stretch>
                      <a:fillRect/>
                    </a:stretch>
                  </pic:blipFill>
                  <pic:spPr bwMode="auto">
                    <a:xfrm>
                      <a:off x="0" y="0"/>
                      <a:ext cx="5943600" cy="4048125"/>
                    </a:xfrm>
                    <a:prstGeom prst="rect">
                      <a:avLst/>
                    </a:prstGeom>
                    <a:noFill/>
                    <a:ln>
                      <a:noFill/>
                    </a:ln>
                  </pic:spPr>
                </pic:pic>
              </a:graphicData>
            </a:graphic>
          </wp:inline>
        </w:drawing>
      </w:r>
    </w:p>
    <w:p w14:paraId="63D922BC" w14:textId="27D18EFF" w:rsidR="00AF18C2" w:rsidRPr="00AF18C2" w:rsidRDefault="00AF18C2" w:rsidP="00AF18C2">
      <w:pPr>
        <w:tabs>
          <w:tab w:val="left" w:pos="284"/>
        </w:tabs>
        <w:ind w:left="284"/>
        <w:jc w:val="center"/>
        <w:rPr>
          <w:rFonts w:ascii="Arial" w:hAnsi="Arial" w:cs="Arial"/>
          <w:sz w:val="18"/>
          <w:szCs w:val="18"/>
        </w:rPr>
      </w:pPr>
      <w:r w:rsidRPr="00AF18C2">
        <w:rPr>
          <w:rFonts w:ascii="Arial" w:hAnsi="Arial" w:cs="Arial"/>
          <w:noProof/>
          <w:sz w:val="18"/>
          <w:szCs w:val="18"/>
          <w:lang w:eastAsia="es-MX"/>
        </w:rPr>
        <w:drawing>
          <wp:inline distT="0" distB="0" distL="0" distR="0" wp14:anchorId="7477F2DA" wp14:editId="29311058">
            <wp:extent cx="5756744" cy="3665220"/>
            <wp:effectExtent l="0" t="0" r="0" b="0"/>
            <wp:docPr id="17714746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26556" t="21416" r="22984" b="10167"/>
                    <a:stretch>
                      <a:fillRect/>
                    </a:stretch>
                  </pic:blipFill>
                  <pic:spPr bwMode="auto">
                    <a:xfrm>
                      <a:off x="0" y="0"/>
                      <a:ext cx="5779950" cy="3679995"/>
                    </a:xfrm>
                    <a:prstGeom prst="rect">
                      <a:avLst/>
                    </a:prstGeom>
                    <a:noFill/>
                    <a:ln>
                      <a:noFill/>
                    </a:ln>
                  </pic:spPr>
                </pic:pic>
              </a:graphicData>
            </a:graphic>
          </wp:inline>
        </w:drawing>
      </w:r>
    </w:p>
    <w:p w14:paraId="1C167A5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El año 2020 marcó el inicio de una década de acción ambiciosa a fin de alcanzar los objetivos para el 2030, por lo que en nuestro Estado conscientes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14:paraId="2561032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Al primer trimestre de 2023, la Inversión Extranjera Directa Acumulada del año 2006 al mes de marzo de 2023 en el Estado de Tlaxcala fue de 3,078.3 millones de dólares, lo que representó un aporte del 0.57 % al total nacional, instalándose empresas de diversas nacionalidades, tal y como se observa en el cuadro comparativo siguiente:</w:t>
      </w:r>
    </w:p>
    <w:p w14:paraId="7D0D536B" w14:textId="5A4CC3A1"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drawing>
          <wp:inline distT="0" distB="0" distL="0" distR="0" wp14:anchorId="38AC8091" wp14:editId="760E4887">
            <wp:extent cx="5943600" cy="3544570"/>
            <wp:effectExtent l="0" t="0" r="0" b="0"/>
            <wp:docPr id="1575799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544570"/>
                    </a:xfrm>
                    <a:prstGeom prst="rect">
                      <a:avLst/>
                    </a:prstGeom>
                    <a:noFill/>
                    <a:ln>
                      <a:noFill/>
                    </a:ln>
                  </pic:spPr>
                </pic:pic>
              </a:graphicData>
            </a:graphic>
          </wp:inline>
        </w:drawing>
      </w:r>
      <w:r w:rsidRPr="00AF18C2">
        <w:rPr>
          <w:rFonts w:ascii="Arial" w:hAnsi="Arial" w:cs="Arial"/>
          <w:sz w:val="18"/>
          <w:szCs w:val="18"/>
        </w:rPr>
        <w:t xml:space="preserve">La economía del Estado es débil en relación con otras Entidades Federativas, lo que limita su capacidad de generación de ingresos de la base fiscal regional; se espera que la recuperación en las actividades productivas del Estado sea a la par de la nacional en el ejercicio 2023, derivado de la crisis sanitaria ocasionada por el COVID-19 y por las expectativas a la baja en el precio de los energéticos. Para promover la normalización de las actividades económicas, el Gobierno del Estado ha llevado a cabo una serie de acciones, entre las que encontramos una mayor promoción de la inversión pública y </w:t>
      </w:r>
      <w:proofErr w:type="gramStart"/>
      <w:r w:rsidRPr="00AF18C2">
        <w:rPr>
          <w:rFonts w:ascii="Arial" w:hAnsi="Arial" w:cs="Arial"/>
          <w:sz w:val="18"/>
          <w:szCs w:val="18"/>
        </w:rPr>
        <w:t>privada</w:t>
      </w:r>
      <w:proofErr w:type="gramEnd"/>
      <w:r w:rsidRPr="00AF18C2">
        <w:rPr>
          <w:rFonts w:ascii="Arial" w:hAnsi="Arial" w:cs="Arial"/>
          <w:sz w:val="18"/>
          <w:szCs w:val="18"/>
        </w:rPr>
        <w:t xml:space="preserve"> así como del turismo, la incorporación de causantes informales, intensificar la fiscalización y el cobro de impuestos para fomentar la economía e incrementar la recaudación de ingresos propios.</w:t>
      </w:r>
    </w:p>
    <w:p w14:paraId="34AC91B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716806A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0F7E9ED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77B701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Autorización e Historia</w:t>
      </w:r>
    </w:p>
    <w:p w14:paraId="6587C2F3"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44EBE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7BF475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C52DD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420E9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44417AD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1F12B2F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0ECB1289"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Organización y Objeto Social</w:t>
      </w:r>
    </w:p>
    <w:p w14:paraId="1F92C53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w:t>
      </w:r>
      <w:r>
        <w:rPr>
          <w:rFonts w:ascii="Arial" w:hAnsi="Arial" w:cs="Arial"/>
          <w:sz w:val="18"/>
          <w:szCs w:val="18"/>
        </w:rPr>
        <w:lastRenderedPageBreak/>
        <w:t>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CA5D38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25114DD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Bases de Preparación de los Estados Financieros</w:t>
      </w:r>
    </w:p>
    <w:p w14:paraId="23E3B022"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70E8D454"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2F267B6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7258CC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C21765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Políticas de Contabilidad Significativas</w:t>
      </w:r>
    </w:p>
    <w:p w14:paraId="4AC54EE1"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0E6FE9D4" w14:textId="77777777" w:rsidR="0087691B" w:rsidRDefault="0087691B" w:rsidP="0087691B">
      <w:pPr>
        <w:tabs>
          <w:tab w:val="left" w:pos="284"/>
        </w:tabs>
        <w:ind w:left="284"/>
        <w:jc w:val="both"/>
        <w:rPr>
          <w:rFonts w:ascii="Arial" w:hAnsi="Arial" w:cs="Arial"/>
          <w:sz w:val="18"/>
          <w:szCs w:val="18"/>
        </w:rPr>
      </w:pPr>
      <w:proofErr w:type="gramStart"/>
      <w:r>
        <w:rPr>
          <w:rFonts w:ascii="Arial" w:hAnsi="Arial" w:cs="Arial"/>
          <w:sz w:val="18"/>
          <w:szCs w:val="18"/>
        </w:rPr>
        <w:t>Los registros de las operaciones están en apego a los Postulados Básicos de Contabilidad Gubernamental y a las normas y manuales vigentes;</w:t>
      </w:r>
      <w:proofErr w:type="gramEnd"/>
      <w:r>
        <w:rPr>
          <w:rFonts w:ascii="Arial" w:hAnsi="Arial" w:cs="Arial"/>
          <w:sz w:val="18"/>
          <w:szCs w:val="18"/>
        </w:rPr>
        <w:t xml:space="preserve">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766A268E"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61560CCC"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lastRenderedPageBreak/>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3D35C7A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4DE04A1B"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Información sobre la Deuda y el Reporte Analítico de la Deuda</w:t>
      </w:r>
    </w:p>
    <w:p w14:paraId="3087BA8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620BF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p w14:paraId="03C2BEB3" w14:textId="77777777" w:rsidR="0087691B" w:rsidRDefault="0087691B" w:rsidP="002615F9">
      <w:pPr>
        <w:tabs>
          <w:tab w:val="left" w:pos="284"/>
        </w:tabs>
        <w:ind w:left="284"/>
        <w:jc w:val="both"/>
        <w:rPr>
          <w:rFonts w:ascii="Arial" w:hAnsi="Arial" w:cs="Arial"/>
          <w:sz w:val="18"/>
          <w:szCs w:val="18"/>
        </w:rPr>
      </w:pPr>
    </w:p>
    <w:p w14:paraId="537B97CD" w14:textId="77777777" w:rsidR="0087691B" w:rsidRPr="002615F9" w:rsidRDefault="0087691B" w:rsidP="002615F9">
      <w:pPr>
        <w:tabs>
          <w:tab w:val="left" w:pos="284"/>
        </w:tabs>
        <w:ind w:left="284"/>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14:paraId="2DC33FAD" w14:textId="77777777" w:rsidTr="0074488D">
        <w:trPr>
          <w:trHeight w:val="1671"/>
        </w:trPr>
        <w:tc>
          <w:tcPr>
            <w:tcW w:w="9350" w:type="dxa"/>
            <w:gridSpan w:val="3"/>
          </w:tcPr>
          <w:p w14:paraId="0ED1991C" w14:textId="77777777"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19EB721C" w14:textId="77777777" w:rsidR="005B3728" w:rsidRDefault="005B3728" w:rsidP="00540418">
            <w:pPr>
              <w:pStyle w:val="Texto"/>
              <w:spacing w:after="0" w:line="240" w:lineRule="exact"/>
              <w:ind w:firstLine="0"/>
              <w:rPr>
                <w:szCs w:val="18"/>
              </w:rPr>
            </w:pPr>
          </w:p>
          <w:p w14:paraId="788552B7" w14:textId="77777777" w:rsidR="005B3728" w:rsidRDefault="005B3728" w:rsidP="00540418">
            <w:pPr>
              <w:pStyle w:val="Texto"/>
              <w:spacing w:after="0" w:line="240" w:lineRule="exact"/>
              <w:ind w:firstLine="0"/>
              <w:rPr>
                <w:szCs w:val="18"/>
              </w:rPr>
            </w:pPr>
          </w:p>
        </w:tc>
      </w:tr>
      <w:tr w:rsidR="005B3728" w14:paraId="611616CE" w14:textId="77777777" w:rsidTr="0074488D">
        <w:tc>
          <w:tcPr>
            <w:tcW w:w="4106" w:type="dxa"/>
          </w:tcPr>
          <w:p w14:paraId="366E99CE" w14:textId="77777777" w:rsidR="005B3728" w:rsidRDefault="005B3728" w:rsidP="005B3728">
            <w:pPr>
              <w:jc w:val="center"/>
              <w:rPr>
                <w:rFonts w:ascii="Arial" w:hAnsi="Arial" w:cs="Arial"/>
                <w:color w:val="000000"/>
                <w:sz w:val="18"/>
                <w:szCs w:val="18"/>
              </w:rPr>
            </w:pPr>
          </w:p>
          <w:p w14:paraId="4C0F3207" w14:textId="77777777" w:rsidR="005B3728" w:rsidRDefault="005B3728" w:rsidP="005B3728">
            <w:pPr>
              <w:jc w:val="center"/>
              <w:rPr>
                <w:rFonts w:ascii="Arial" w:hAnsi="Arial" w:cs="Arial"/>
                <w:color w:val="000000"/>
                <w:sz w:val="18"/>
                <w:szCs w:val="18"/>
              </w:rPr>
            </w:pPr>
          </w:p>
          <w:p w14:paraId="7DFF073D" w14:textId="77777777"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14:paraId="3BC5A10D" w14:textId="77777777"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27C04D29" w14:textId="77777777"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75CE4C8" w14:textId="77777777" w:rsidR="005B3728" w:rsidRDefault="005B3728" w:rsidP="005B3728">
            <w:pPr>
              <w:pStyle w:val="Texto"/>
              <w:spacing w:after="0" w:line="240" w:lineRule="exact"/>
              <w:ind w:firstLine="0"/>
              <w:jc w:val="center"/>
              <w:rPr>
                <w:szCs w:val="18"/>
              </w:rPr>
            </w:pPr>
          </w:p>
        </w:tc>
        <w:tc>
          <w:tcPr>
            <w:tcW w:w="1134" w:type="dxa"/>
          </w:tcPr>
          <w:p w14:paraId="61C179B0" w14:textId="77777777" w:rsidR="005B3728" w:rsidRDefault="005B3728" w:rsidP="00540418">
            <w:pPr>
              <w:pStyle w:val="Texto"/>
              <w:spacing w:after="0" w:line="240" w:lineRule="exact"/>
              <w:ind w:firstLine="0"/>
              <w:rPr>
                <w:szCs w:val="18"/>
              </w:rPr>
            </w:pPr>
          </w:p>
        </w:tc>
        <w:tc>
          <w:tcPr>
            <w:tcW w:w="4110" w:type="dxa"/>
          </w:tcPr>
          <w:p w14:paraId="56663525" w14:textId="77777777" w:rsidR="005B3728" w:rsidRPr="00F3142D" w:rsidRDefault="005B3728" w:rsidP="005B3728">
            <w:pPr>
              <w:pStyle w:val="Texto"/>
              <w:spacing w:after="0" w:line="240" w:lineRule="exact"/>
              <w:ind w:firstLine="0"/>
              <w:jc w:val="center"/>
              <w:rPr>
                <w:color w:val="000000"/>
                <w:szCs w:val="18"/>
              </w:rPr>
            </w:pPr>
          </w:p>
          <w:p w14:paraId="2A11AEF9" w14:textId="77777777" w:rsidR="005B3728" w:rsidRPr="00F3142D" w:rsidRDefault="005B3728" w:rsidP="005B3728">
            <w:pPr>
              <w:pStyle w:val="Texto"/>
              <w:spacing w:after="0" w:line="240" w:lineRule="exact"/>
              <w:ind w:firstLine="0"/>
              <w:jc w:val="center"/>
              <w:rPr>
                <w:color w:val="000000"/>
                <w:szCs w:val="18"/>
              </w:rPr>
            </w:pPr>
          </w:p>
          <w:p w14:paraId="03725AD5"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14:paraId="55133EB9"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14:paraId="5E5A1287" w14:textId="77777777"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40859E48" w14:textId="77777777" w:rsidR="005B3728" w:rsidRDefault="005B3728" w:rsidP="005B3728">
            <w:pPr>
              <w:pStyle w:val="Texto"/>
              <w:spacing w:after="0" w:line="240" w:lineRule="exact"/>
              <w:ind w:firstLine="0"/>
              <w:jc w:val="center"/>
              <w:rPr>
                <w:szCs w:val="18"/>
              </w:rPr>
            </w:pPr>
          </w:p>
        </w:tc>
      </w:tr>
    </w:tbl>
    <w:p w14:paraId="2775D732" w14:textId="77777777" w:rsidR="00757C3E" w:rsidRPr="00661A17" w:rsidRDefault="00757C3E" w:rsidP="00540418">
      <w:pPr>
        <w:pStyle w:val="Texto"/>
        <w:spacing w:after="0" w:line="240" w:lineRule="exact"/>
        <w:rPr>
          <w:szCs w:val="18"/>
        </w:rPr>
      </w:pPr>
    </w:p>
    <w:sectPr w:rsidR="00757C3E" w:rsidRPr="00661A17" w:rsidSect="00215B92">
      <w:headerReference w:type="even" r:id="rId36"/>
      <w:headerReference w:type="default" r:id="rId37"/>
      <w:footerReference w:type="even" r:id="rId38"/>
      <w:footerReference w:type="default" r:id="rId39"/>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93A44" w14:textId="77777777" w:rsidR="00187F0A" w:rsidRDefault="00187F0A" w:rsidP="00EA5418">
      <w:pPr>
        <w:spacing w:after="0" w:line="240" w:lineRule="auto"/>
      </w:pPr>
      <w:r>
        <w:separator/>
      </w:r>
    </w:p>
  </w:endnote>
  <w:endnote w:type="continuationSeparator" w:id="0">
    <w:p w14:paraId="39C86234" w14:textId="77777777" w:rsidR="00187F0A" w:rsidRDefault="00187F0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E62F" w14:textId="5A5488F3"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BD6D26" w:rsidRPr="00BD6D26">
          <w:rPr>
            <w:rFonts w:ascii="Arial" w:hAnsi="Arial" w:cs="Arial"/>
            <w:noProof/>
            <w:sz w:val="20"/>
            <w:lang w:val="es-ES"/>
          </w:rPr>
          <w:t>16</w:t>
        </w:r>
        <w:r w:rsidRPr="004E3EA4">
          <w:rPr>
            <w:rFonts w:ascii="Arial" w:hAnsi="Arial" w:cs="Arial"/>
            <w:sz w:val="20"/>
          </w:rPr>
          <w:fldChar w:fldCharType="end"/>
        </w:r>
      </w:sdtContent>
    </w:sdt>
  </w:p>
  <w:p w14:paraId="62447935" w14:textId="77777777"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476C" w14:textId="186B715C"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BD6D26" w:rsidRPr="00BD6D26">
          <w:rPr>
            <w:rFonts w:ascii="Arial" w:hAnsi="Arial" w:cs="Arial"/>
            <w:noProof/>
            <w:lang w:val="es-ES"/>
          </w:rPr>
          <w:t>17</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BDCEE" w14:textId="77777777" w:rsidR="00187F0A" w:rsidRDefault="00187F0A" w:rsidP="00EA5418">
      <w:pPr>
        <w:spacing w:after="0" w:line="240" w:lineRule="auto"/>
      </w:pPr>
      <w:r>
        <w:separator/>
      </w:r>
    </w:p>
  </w:footnote>
  <w:footnote w:type="continuationSeparator" w:id="0">
    <w:p w14:paraId="35144595" w14:textId="77777777" w:rsidR="00187F0A" w:rsidRDefault="00187F0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78E5" w14:textId="77777777"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1BBA" w14:textId="77777777"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35872561">
    <w:abstractNumId w:val="2"/>
  </w:num>
  <w:num w:numId="2" w16cid:durableId="1673415115">
    <w:abstractNumId w:val="0"/>
  </w:num>
  <w:num w:numId="3" w16cid:durableId="126191523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1B4"/>
    <w:rsid w:val="00040466"/>
    <w:rsid w:val="0004135F"/>
    <w:rsid w:val="000417DA"/>
    <w:rsid w:val="00043D1E"/>
    <w:rsid w:val="00043F64"/>
    <w:rsid w:val="0004567A"/>
    <w:rsid w:val="00045A10"/>
    <w:rsid w:val="0004695D"/>
    <w:rsid w:val="00046F70"/>
    <w:rsid w:val="00054C4D"/>
    <w:rsid w:val="00056EDF"/>
    <w:rsid w:val="000574E6"/>
    <w:rsid w:val="00057C1C"/>
    <w:rsid w:val="00062509"/>
    <w:rsid w:val="00063159"/>
    <w:rsid w:val="000655E4"/>
    <w:rsid w:val="0006610A"/>
    <w:rsid w:val="0006668A"/>
    <w:rsid w:val="0006755E"/>
    <w:rsid w:val="00071309"/>
    <w:rsid w:val="00072BA1"/>
    <w:rsid w:val="00074536"/>
    <w:rsid w:val="0007519E"/>
    <w:rsid w:val="00075588"/>
    <w:rsid w:val="00076E1D"/>
    <w:rsid w:val="00077A1F"/>
    <w:rsid w:val="0008099F"/>
    <w:rsid w:val="00080D6B"/>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6E95"/>
    <w:rsid w:val="000C7FBB"/>
    <w:rsid w:val="000D01E9"/>
    <w:rsid w:val="000D0EE3"/>
    <w:rsid w:val="000D2BDE"/>
    <w:rsid w:val="000D4D45"/>
    <w:rsid w:val="000D553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373E"/>
    <w:rsid w:val="001443EA"/>
    <w:rsid w:val="00144A5D"/>
    <w:rsid w:val="0014540D"/>
    <w:rsid w:val="001528B7"/>
    <w:rsid w:val="001547B6"/>
    <w:rsid w:val="001550CB"/>
    <w:rsid w:val="00155BEA"/>
    <w:rsid w:val="001562E4"/>
    <w:rsid w:val="00160E16"/>
    <w:rsid w:val="00161865"/>
    <w:rsid w:val="0016242F"/>
    <w:rsid w:val="001635E1"/>
    <w:rsid w:val="00165BB4"/>
    <w:rsid w:val="001660FE"/>
    <w:rsid w:val="00167E33"/>
    <w:rsid w:val="00171788"/>
    <w:rsid w:val="00172B7D"/>
    <w:rsid w:val="00174F47"/>
    <w:rsid w:val="001769D8"/>
    <w:rsid w:val="001778B1"/>
    <w:rsid w:val="0018009C"/>
    <w:rsid w:val="0018055B"/>
    <w:rsid w:val="001837A5"/>
    <w:rsid w:val="001854C3"/>
    <w:rsid w:val="0018603D"/>
    <w:rsid w:val="0018652F"/>
    <w:rsid w:val="001872A3"/>
    <w:rsid w:val="00187F0A"/>
    <w:rsid w:val="00191085"/>
    <w:rsid w:val="00192770"/>
    <w:rsid w:val="00192B86"/>
    <w:rsid w:val="00193B2D"/>
    <w:rsid w:val="001951AF"/>
    <w:rsid w:val="001A26CD"/>
    <w:rsid w:val="001A3F6A"/>
    <w:rsid w:val="001A575F"/>
    <w:rsid w:val="001A78A4"/>
    <w:rsid w:val="001B011B"/>
    <w:rsid w:val="001B0197"/>
    <w:rsid w:val="001B12A5"/>
    <w:rsid w:val="001B13BF"/>
    <w:rsid w:val="001B1579"/>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B11"/>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58C7"/>
    <w:rsid w:val="00287C7B"/>
    <w:rsid w:val="00287D90"/>
    <w:rsid w:val="00290A24"/>
    <w:rsid w:val="00295D09"/>
    <w:rsid w:val="00295FCC"/>
    <w:rsid w:val="00297D52"/>
    <w:rsid w:val="002A15A9"/>
    <w:rsid w:val="002A2013"/>
    <w:rsid w:val="002A2665"/>
    <w:rsid w:val="002A379D"/>
    <w:rsid w:val="002A62AF"/>
    <w:rsid w:val="002A70B3"/>
    <w:rsid w:val="002A728F"/>
    <w:rsid w:val="002A7396"/>
    <w:rsid w:val="002B0770"/>
    <w:rsid w:val="002B0858"/>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35FE"/>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82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41A"/>
    <w:rsid w:val="004C0ECA"/>
    <w:rsid w:val="004C1616"/>
    <w:rsid w:val="004C187E"/>
    <w:rsid w:val="004C3F0D"/>
    <w:rsid w:val="004C4F16"/>
    <w:rsid w:val="004C5E7B"/>
    <w:rsid w:val="004D30E1"/>
    <w:rsid w:val="004D3E91"/>
    <w:rsid w:val="004D41B8"/>
    <w:rsid w:val="004D5BEA"/>
    <w:rsid w:val="004E283B"/>
    <w:rsid w:val="004E2DD2"/>
    <w:rsid w:val="004E3EA4"/>
    <w:rsid w:val="004E4A13"/>
    <w:rsid w:val="004E6076"/>
    <w:rsid w:val="004F53E3"/>
    <w:rsid w:val="004F542A"/>
    <w:rsid w:val="004F5641"/>
    <w:rsid w:val="004F5AA8"/>
    <w:rsid w:val="004F6EBD"/>
    <w:rsid w:val="005008D3"/>
    <w:rsid w:val="0050183B"/>
    <w:rsid w:val="00502DDD"/>
    <w:rsid w:val="00503454"/>
    <w:rsid w:val="00510A5D"/>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B4194"/>
    <w:rsid w:val="005C02A4"/>
    <w:rsid w:val="005C0524"/>
    <w:rsid w:val="005C0DBF"/>
    <w:rsid w:val="005C0F25"/>
    <w:rsid w:val="005C1613"/>
    <w:rsid w:val="005C1E73"/>
    <w:rsid w:val="005C36E3"/>
    <w:rsid w:val="005C4BC3"/>
    <w:rsid w:val="005C58B3"/>
    <w:rsid w:val="005D0D10"/>
    <w:rsid w:val="005D296A"/>
    <w:rsid w:val="005D2D11"/>
    <w:rsid w:val="005D3D25"/>
    <w:rsid w:val="005D5223"/>
    <w:rsid w:val="005D568E"/>
    <w:rsid w:val="005D67E1"/>
    <w:rsid w:val="005E0AA8"/>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2C1A"/>
    <w:rsid w:val="0064409F"/>
    <w:rsid w:val="006441E4"/>
    <w:rsid w:val="006443DF"/>
    <w:rsid w:val="00646603"/>
    <w:rsid w:val="00647478"/>
    <w:rsid w:val="00650760"/>
    <w:rsid w:val="006519BC"/>
    <w:rsid w:val="00651FB7"/>
    <w:rsid w:val="006537A5"/>
    <w:rsid w:val="00653A66"/>
    <w:rsid w:val="0065446E"/>
    <w:rsid w:val="00654B92"/>
    <w:rsid w:val="0065525F"/>
    <w:rsid w:val="00655EB2"/>
    <w:rsid w:val="00660015"/>
    <w:rsid w:val="00661352"/>
    <w:rsid w:val="00661A17"/>
    <w:rsid w:val="00663540"/>
    <w:rsid w:val="006653EB"/>
    <w:rsid w:val="00667535"/>
    <w:rsid w:val="00672D27"/>
    <w:rsid w:val="0067443A"/>
    <w:rsid w:val="00675B86"/>
    <w:rsid w:val="00676578"/>
    <w:rsid w:val="00677384"/>
    <w:rsid w:val="006774BF"/>
    <w:rsid w:val="006822AA"/>
    <w:rsid w:val="006900AA"/>
    <w:rsid w:val="0069052B"/>
    <w:rsid w:val="00693B49"/>
    <w:rsid w:val="006942ED"/>
    <w:rsid w:val="006944EF"/>
    <w:rsid w:val="006952D9"/>
    <w:rsid w:val="006966D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5F66"/>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81C"/>
    <w:rsid w:val="00736F40"/>
    <w:rsid w:val="007375D6"/>
    <w:rsid w:val="007420CD"/>
    <w:rsid w:val="00742C34"/>
    <w:rsid w:val="007439D3"/>
    <w:rsid w:val="00743BF7"/>
    <w:rsid w:val="0074488D"/>
    <w:rsid w:val="0075084B"/>
    <w:rsid w:val="00751158"/>
    <w:rsid w:val="00753BE8"/>
    <w:rsid w:val="00757C3E"/>
    <w:rsid w:val="007615D9"/>
    <w:rsid w:val="00762268"/>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5AA7"/>
    <w:rsid w:val="008167D5"/>
    <w:rsid w:val="008168EE"/>
    <w:rsid w:val="00817DFF"/>
    <w:rsid w:val="00820352"/>
    <w:rsid w:val="00820DB7"/>
    <w:rsid w:val="00822CD5"/>
    <w:rsid w:val="00823256"/>
    <w:rsid w:val="00823500"/>
    <w:rsid w:val="00826474"/>
    <w:rsid w:val="008276B2"/>
    <w:rsid w:val="0083223B"/>
    <w:rsid w:val="00832955"/>
    <w:rsid w:val="00832F7A"/>
    <w:rsid w:val="0083335C"/>
    <w:rsid w:val="00833ADB"/>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4D8"/>
    <w:rsid w:val="008630BA"/>
    <w:rsid w:val="0086433A"/>
    <w:rsid w:val="008643A9"/>
    <w:rsid w:val="00864C50"/>
    <w:rsid w:val="00864FE6"/>
    <w:rsid w:val="008659FD"/>
    <w:rsid w:val="00866F4E"/>
    <w:rsid w:val="00870F4E"/>
    <w:rsid w:val="00872C30"/>
    <w:rsid w:val="008742BD"/>
    <w:rsid w:val="00874341"/>
    <w:rsid w:val="0087478F"/>
    <w:rsid w:val="00876082"/>
    <w:rsid w:val="0087691B"/>
    <w:rsid w:val="008805C8"/>
    <w:rsid w:val="00881BEF"/>
    <w:rsid w:val="008838EF"/>
    <w:rsid w:val="00883D58"/>
    <w:rsid w:val="00885671"/>
    <w:rsid w:val="00885AD1"/>
    <w:rsid w:val="0089054E"/>
    <w:rsid w:val="00892C87"/>
    <w:rsid w:val="00894C50"/>
    <w:rsid w:val="00895EF7"/>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32E8"/>
    <w:rsid w:val="008F45AC"/>
    <w:rsid w:val="008F4733"/>
    <w:rsid w:val="008F4EF3"/>
    <w:rsid w:val="008F5430"/>
    <w:rsid w:val="008F5933"/>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58D"/>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610B"/>
    <w:rsid w:val="00966C57"/>
    <w:rsid w:val="00970543"/>
    <w:rsid w:val="0097113C"/>
    <w:rsid w:val="009729F0"/>
    <w:rsid w:val="009743B6"/>
    <w:rsid w:val="009749E4"/>
    <w:rsid w:val="00974D23"/>
    <w:rsid w:val="00975CBF"/>
    <w:rsid w:val="009768AE"/>
    <w:rsid w:val="00980D38"/>
    <w:rsid w:val="00983E92"/>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1F96"/>
    <w:rsid w:val="00A02E76"/>
    <w:rsid w:val="00A045DD"/>
    <w:rsid w:val="00A06D66"/>
    <w:rsid w:val="00A073BF"/>
    <w:rsid w:val="00A07E0D"/>
    <w:rsid w:val="00A1075C"/>
    <w:rsid w:val="00A14DCC"/>
    <w:rsid w:val="00A16DA6"/>
    <w:rsid w:val="00A22834"/>
    <w:rsid w:val="00A235BA"/>
    <w:rsid w:val="00A23892"/>
    <w:rsid w:val="00A23B93"/>
    <w:rsid w:val="00A316C7"/>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4CF"/>
    <w:rsid w:val="00A65407"/>
    <w:rsid w:val="00A70107"/>
    <w:rsid w:val="00A74CAF"/>
    <w:rsid w:val="00A764EF"/>
    <w:rsid w:val="00A8050B"/>
    <w:rsid w:val="00A8077E"/>
    <w:rsid w:val="00A8166B"/>
    <w:rsid w:val="00A83676"/>
    <w:rsid w:val="00A852D6"/>
    <w:rsid w:val="00A85EE5"/>
    <w:rsid w:val="00A86A0C"/>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4311"/>
    <w:rsid w:val="00AF4C0F"/>
    <w:rsid w:val="00AF4DBC"/>
    <w:rsid w:val="00AF68D1"/>
    <w:rsid w:val="00B006FD"/>
    <w:rsid w:val="00B0402E"/>
    <w:rsid w:val="00B04DFA"/>
    <w:rsid w:val="00B052B4"/>
    <w:rsid w:val="00B06D4E"/>
    <w:rsid w:val="00B073ED"/>
    <w:rsid w:val="00B10AE5"/>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7BC6"/>
    <w:rsid w:val="00B73EB9"/>
    <w:rsid w:val="00B818B2"/>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6D26"/>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590D"/>
    <w:rsid w:val="00C66322"/>
    <w:rsid w:val="00C6715B"/>
    <w:rsid w:val="00C704C3"/>
    <w:rsid w:val="00C706E0"/>
    <w:rsid w:val="00C71D1F"/>
    <w:rsid w:val="00C735F9"/>
    <w:rsid w:val="00C74C79"/>
    <w:rsid w:val="00C74F3B"/>
    <w:rsid w:val="00C7680C"/>
    <w:rsid w:val="00C77A1D"/>
    <w:rsid w:val="00C81A32"/>
    <w:rsid w:val="00C81B7E"/>
    <w:rsid w:val="00C83A20"/>
    <w:rsid w:val="00C862B1"/>
    <w:rsid w:val="00C86C59"/>
    <w:rsid w:val="00C87443"/>
    <w:rsid w:val="00C90A40"/>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CF3CDD"/>
    <w:rsid w:val="00D00E92"/>
    <w:rsid w:val="00D01486"/>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0A30"/>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4022"/>
    <w:rsid w:val="00E442EC"/>
    <w:rsid w:val="00E449D6"/>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2F7C"/>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38E"/>
    <w:rsid w:val="00EE3D4E"/>
    <w:rsid w:val="00EE46FB"/>
    <w:rsid w:val="00EF2991"/>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A0F"/>
    <w:rsid w:val="00FC4B1B"/>
    <w:rsid w:val="00FC6EA4"/>
    <w:rsid w:val="00FD16BF"/>
    <w:rsid w:val="00FD5A63"/>
    <w:rsid w:val="00FE00AA"/>
    <w:rsid w:val="00FE0968"/>
    <w:rsid w:val="00FE1848"/>
    <w:rsid w:val="00FE3B85"/>
    <w:rsid w:val="00FE4810"/>
    <w:rsid w:val="00FE59F7"/>
    <w:rsid w:val="00FE6B37"/>
    <w:rsid w:val="00FE75AC"/>
    <w:rsid w:val="00FE7EF5"/>
    <w:rsid w:val="00FF1A61"/>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2.xml"/><Relationship Id="rId21" Type="http://schemas.openxmlformats.org/officeDocument/2006/relationships/package" Target="embeddings/Microsoft_Excel_Worksheet6.xlsx"/><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image" Target="media/image18.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CBAAC-F6F1-438D-A5AC-6084FED4A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14359</Words>
  <Characters>78976</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93149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Contabilidad</cp:lastModifiedBy>
  <cp:revision>2</cp:revision>
  <cp:lastPrinted>2023-07-20T23:01:00Z</cp:lastPrinted>
  <dcterms:created xsi:type="dcterms:W3CDTF">2023-07-26T23:43:00Z</dcterms:created>
  <dcterms:modified xsi:type="dcterms:W3CDTF">2023-07-26T23:43:00Z</dcterms:modified>
</cp:coreProperties>
</file>