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3DC49" w14:textId="77777777" w:rsidR="00182E26" w:rsidRDefault="00182E26" w:rsidP="00182E26">
      <w:pPr>
        <w:spacing w:line="360" w:lineRule="auto"/>
        <w:jc w:val="center"/>
        <w:rPr>
          <w:b/>
          <w:sz w:val="20"/>
          <w:szCs w:val="20"/>
        </w:rPr>
      </w:pPr>
      <w:r>
        <w:rPr>
          <w:b/>
          <w:sz w:val="20"/>
          <w:szCs w:val="20"/>
        </w:rPr>
        <w:t>CRITERIOS DE POLÍTICA ECONÓMICA DEL ESTADO DE TLAXCALA</w:t>
      </w:r>
    </w:p>
    <w:p w14:paraId="78468F65" w14:textId="77777777" w:rsidR="00182E26" w:rsidRDefault="00182E26" w:rsidP="00182E26">
      <w:pPr>
        <w:spacing w:line="360" w:lineRule="auto"/>
        <w:jc w:val="center"/>
        <w:rPr>
          <w:sz w:val="20"/>
          <w:szCs w:val="20"/>
        </w:rPr>
      </w:pPr>
    </w:p>
    <w:p w14:paraId="45F7FC58" w14:textId="77777777" w:rsidR="00182E26" w:rsidRDefault="00182E26" w:rsidP="00182E26">
      <w:pPr>
        <w:spacing w:line="360" w:lineRule="auto"/>
        <w:jc w:val="center"/>
        <w:rPr>
          <w:sz w:val="20"/>
          <w:szCs w:val="20"/>
        </w:rPr>
      </w:pPr>
    </w:p>
    <w:p w14:paraId="5598901D" w14:textId="77777777" w:rsidR="00182E26" w:rsidRDefault="00182E26" w:rsidP="00800CF7">
      <w:pPr>
        <w:pStyle w:val="PRIMERAPLANA"/>
        <w:numPr>
          <w:ilvl w:val="0"/>
          <w:numId w:val="17"/>
        </w:numPr>
        <w:spacing w:line="360" w:lineRule="auto"/>
        <w:ind w:left="567" w:hanging="567"/>
        <w:rPr>
          <w:rFonts w:ascii="Times New Roman" w:hAnsi="Times New Roman"/>
          <w:b/>
          <w:lang w:val="es-ES"/>
        </w:rPr>
      </w:pPr>
      <w:r>
        <w:rPr>
          <w:rFonts w:ascii="Times New Roman" w:hAnsi="Times New Roman"/>
          <w:b/>
          <w:lang w:val="es-ES"/>
        </w:rPr>
        <w:t>INTRODUCCIÓN</w:t>
      </w:r>
    </w:p>
    <w:p w14:paraId="58DD81B3" w14:textId="77777777" w:rsidR="00182E26" w:rsidRDefault="00182E26" w:rsidP="00182E26">
      <w:pPr>
        <w:pStyle w:val="PRIMERAPLANA"/>
        <w:spacing w:line="360" w:lineRule="auto"/>
        <w:rPr>
          <w:rFonts w:ascii="Times New Roman" w:hAnsi="Times New Roman"/>
          <w:bCs/>
          <w:lang w:val="es-ES"/>
        </w:rPr>
      </w:pPr>
    </w:p>
    <w:p w14:paraId="44C58FB6"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Los Criterios de Política Económica del Estado de Tlaxcala, para el Ejercicio Fiscal 2021, son elaborados y entregados por el Ejecutivo Estatal al Congreso del Estado, con el objeto de facilitar el análisis de las iniciativas de Ley de Ingresos, así como del Decreto de Presupuesto de Egresos del Estado de Tlaxcala para el Ejercicio Fiscal 2021.</w:t>
      </w:r>
    </w:p>
    <w:p w14:paraId="6A27113B" w14:textId="77777777" w:rsidR="00182E26" w:rsidRDefault="00182E26" w:rsidP="00182E26">
      <w:pPr>
        <w:pStyle w:val="PRIMERAPLANA"/>
        <w:spacing w:line="360" w:lineRule="auto"/>
        <w:rPr>
          <w:rFonts w:ascii="Times New Roman" w:hAnsi="Times New Roman"/>
          <w:bCs/>
          <w:lang w:val="es-ES"/>
        </w:rPr>
      </w:pPr>
    </w:p>
    <w:p w14:paraId="77CCF5A6"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 xml:space="preserve">Los Criterios de Política Económica, se elaboran con base a los lineamientos definidos por el Gobierno Federal y a las prioridades que el Ejecutivo del Estado ha definido para el año 2021. En este documento, se definen las metas para el crecimiento económico estatal, considerando las expectativas del crecimiento económico nacional y mundial para 2021, así como el impacto que tendrán en la creación de nuevas empresas y en la generación de empleos. </w:t>
      </w:r>
    </w:p>
    <w:p w14:paraId="0CF8CCC1" w14:textId="77777777" w:rsidR="00182E26" w:rsidRDefault="00182E26" w:rsidP="00182E26">
      <w:pPr>
        <w:pStyle w:val="PRIMERAPLANA"/>
        <w:spacing w:line="360" w:lineRule="auto"/>
        <w:rPr>
          <w:rFonts w:ascii="Times New Roman" w:hAnsi="Times New Roman"/>
          <w:bCs/>
          <w:lang w:val="es-ES"/>
        </w:rPr>
      </w:pPr>
    </w:p>
    <w:p w14:paraId="3FD3CDDF"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Finalmente, se integran los principales lineamientos estratégicos y acciones que habrán de impulsarse en materia de ingreso y gasto, así como la política de deuda a seguir, definidos en la Iniciativa de Ley de Ingresos y en el Proyecto de Decreto de Presupuesto de Egresos 2021, en los que se establecen los recursos necesarios a obtener para satisfacer las demandas y necesidades de la población, impulsar el crecimiento económico del Estado siguiendo el rumbo definido en el Plan Estatal de Desarrollo 2017-2021.</w:t>
      </w:r>
    </w:p>
    <w:p w14:paraId="3B8DC1F9" w14:textId="77777777" w:rsidR="00182E26" w:rsidRDefault="00182E26" w:rsidP="00182E26">
      <w:pPr>
        <w:pStyle w:val="PRIMERAPLANA"/>
        <w:spacing w:line="360" w:lineRule="auto"/>
        <w:rPr>
          <w:rFonts w:ascii="Times New Roman" w:hAnsi="Times New Roman"/>
          <w:bCs/>
          <w:lang w:val="es-ES"/>
        </w:rPr>
      </w:pPr>
    </w:p>
    <w:p w14:paraId="48573EC1"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Se han fortalecido las potestades tributarias del Estado, incrementando los niveles de eficiencia del sistema tributario, para incidir de manera positiva en los coeficientes de distribución de participaciones federales a la Entidad. Esta administración, ha insistido en la participación activa de la ciudadanía en el quehacer gubernamental, con el firme propósito de mantener una estabilidad política, económica y social.</w:t>
      </w:r>
    </w:p>
    <w:p w14:paraId="560F4F06" w14:textId="77777777" w:rsidR="00182E26" w:rsidRDefault="00182E26" w:rsidP="00182E26">
      <w:pPr>
        <w:pStyle w:val="PRIMERAPLANA"/>
        <w:spacing w:line="360" w:lineRule="auto"/>
        <w:rPr>
          <w:rFonts w:ascii="Times New Roman" w:hAnsi="Times New Roman"/>
          <w:bCs/>
          <w:lang w:val="es-ES"/>
        </w:rPr>
      </w:pPr>
    </w:p>
    <w:p w14:paraId="24577C03"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 xml:space="preserve">La creciente demanda de bienes y servicios públicos de la población tlaxcalteca nos impulsa a servir con mayor calidad y eficiencia, atendiendo los valores y principios de honestidad, transparencia y rendición de cuentas, optimizando el uso de los recursos públicos para lograr el bienestar general. Para el logro de ese propósito, es indispensable conjuntar voluntades, esfuerzos y principalmente, es </w:t>
      </w:r>
      <w:r>
        <w:rPr>
          <w:rFonts w:ascii="Times New Roman" w:hAnsi="Times New Roman"/>
          <w:bCs/>
          <w:lang w:val="es-ES"/>
        </w:rPr>
        <w:lastRenderedPageBreak/>
        <w:t>necesario contar con los medios económicos que permitan sufragar los programas, proyectos, obras y acciones destinados a atender los servicios públicos y los justos reclamos sociales.</w:t>
      </w:r>
    </w:p>
    <w:p w14:paraId="4B3D48F8" w14:textId="77777777" w:rsidR="00182E26" w:rsidRDefault="00182E26" w:rsidP="00182E26">
      <w:pPr>
        <w:pStyle w:val="PRIMERAPLANA"/>
        <w:spacing w:line="360" w:lineRule="auto"/>
        <w:rPr>
          <w:rFonts w:ascii="Times New Roman" w:hAnsi="Times New Roman"/>
          <w:bCs/>
          <w:lang w:val="es-ES"/>
        </w:rPr>
      </w:pPr>
    </w:p>
    <w:p w14:paraId="09252FAF"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Uno de los principios rectores de la actual administración, ha sido conducir las finanzas del Estado con total responsabilidad hacendaria y transparencia presupuestal, lo cual ha permitido dar seguimiento puntual a los objetivos de los programas y proyectos emanados del Plan Estatal de Desarrollo 2017-2021.</w:t>
      </w:r>
    </w:p>
    <w:p w14:paraId="72A2FB07" w14:textId="77777777" w:rsidR="00182E26" w:rsidRDefault="00182E26" w:rsidP="00182E26">
      <w:pPr>
        <w:pStyle w:val="PRIMERAPLANA"/>
        <w:spacing w:line="360" w:lineRule="auto"/>
        <w:rPr>
          <w:rFonts w:ascii="Times New Roman" w:hAnsi="Times New Roman"/>
          <w:bCs/>
          <w:lang w:val="es-ES"/>
        </w:rPr>
      </w:pPr>
    </w:p>
    <w:p w14:paraId="71852D0E"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 xml:space="preserve">La política de ingresos está apegada a los objetivos, estrategias y líneas de acción establecidas en el Plan Estatal de Desarrollo 2017-2021, concentrando los esfuerzos del Gobierno del Estado en: </w:t>
      </w:r>
    </w:p>
    <w:p w14:paraId="1D1E797C" w14:textId="77777777" w:rsidR="00182E26" w:rsidRDefault="00182E26" w:rsidP="00182E26">
      <w:pPr>
        <w:pStyle w:val="PRIMERAPLANA"/>
        <w:spacing w:line="360" w:lineRule="auto"/>
        <w:rPr>
          <w:rFonts w:ascii="Times New Roman" w:hAnsi="Times New Roman"/>
          <w:bCs/>
          <w:lang w:val="es-ES"/>
        </w:rPr>
      </w:pPr>
    </w:p>
    <w:p w14:paraId="35274637" w14:textId="77777777" w:rsidR="00182E26" w:rsidRDefault="00182E26" w:rsidP="00800CF7">
      <w:pPr>
        <w:pStyle w:val="PRIMERAPLANA"/>
        <w:numPr>
          <w:ilvl w:val="0"/>
          <w:numId w:val="18"/>
        </w:numPr>
        <w:rPr>
          <w:rFonts w:ascii="Times New Roman" w:hAnsi="Times New Roman"/>
          <w:bCs/>
          <w:lang w:val="es-ES"/>
        </w:rPr>
      </w:pPr>
      <w:r>
        <w:rPr>
          <w:rFonts w:ascii="Times New Roman" w:hAnsi="Times New Roman"/>
          <w:bCs/>
          <w:lang w:val="es-ES"/>
        </w:rPr>
        <w:t>Fortalecer la recaudación de ingresos propios y atraer mayores recursos federales.</w:t>
      </w:r>
    </w:p>
    <w:p w14:paraId="3EBD805A" w14:textId="77777777" w:rsidR="00182E26" w:rsidRDefault="00182E26" w:rsidP="00182E26">
      <w:pPr>
        <w:pStyle w:val="PRIMERAPLANA"/>
        <w:ind w:left="1080"/>
        <w:rPr>
          <w:rFonts w:ascii="Times New Roman" w:hAnsi="Times New Roman"/>
          <w:bCs/>
          <w:lang w:val="es-ES"/>
        </w:rPr>
      </w:pPr>
    </w:p>
    <w:p w14:paraId="06F1C468" w14:textId="77777777" w:rsidR="00182E26" w:rsidRDefault="00182E26" w:rsidP="00800CF7">
      <w:pPr>
        <w:pStyle w:val="PRIMERAPLANA"/>
        <w:numPr>
          <w:ilvl w:val="0"/>
          <w:numId w:val="18"/>
        </w:numPr>
        <w:rPr>
          <w:rFonts w:ascii="Times New Roman" w:hAnsi="Times New Roman"/>
          <w:bCs/>
          <w:lang w:val="es-ES"/>
        </w:rPr>
      </w:pPr>
      <w:r>
        <w:rPr>
          <w:rFonts w:ascii="Times New Roman" w:hAnsi="Times New Roman"/>
          <w:bCs/>
          <w:lang w:val="es-ES"/>
        </w:rPr>
        <w:t>Consolidar el sistema de recaudación, a través de la mejora continua de la administración tributaria del Estado, y</w:t>
      </w:r>
    </w:p>
    <w:p w14:paraId="040876BE" w14:textId="77777777" w:rsidR="00182E26" w:rsidRDefault="00182E26" w:rsidP="00182E26">
      <w:pPr>
        <w:pStyle w:val="PRIMERAPLANA"/>
        <w:ind w:left="1080"/>
        <w:rPr>
          <w:rFonts w:ascii="Times New Roman" w:hAnsi="Times New Roman"/>
          <w:bCs/>
          <w:lang w:val="es-ES"/>
        </w:rPr>
      </w:pPr>
    </w:p>
    <w:p w14:paraId="53C009E6" w14:textId="77777777" w:rsidR="00182E26" w:rsidRDefault="00182E26" w:rsidP="00800CF7">
      <w:pPr>
        <w:pStyle w:val="PRIMERAPLANA"/>
        <w:numPr>
          <w:ilvl w:val="0"/>
          <w:numId w:val="18"/>
        </w:numPr>
        <w:rPr>
          <w:rFonts w:ascii="Times New Roman" w:hAnsi="Times New Roman"/>
          <w:bCs/>
          <w:lang w:val="es-ES"/>
        </w:rPr>
      </w:pPr>
      <w:r>
        <w:rPr>
          <w:rFonts w:ascii="Times New Roman" w:hAnsi="Times New Roman"/>
          <w:bCs/>
          <w:lang w:val="es-ES"/>
        </w:rPr>
        <w:t>Mantener la salud y fortaleza de las finanzas públicas estatales.</w:t>
      </w:r>
    </w:p>
    <w:p w14:paraId="0948A336" w14:textId="77777777" w:rsidR="00182E26" w:rsidRDefault="00182E26" w:rsidP="00182E26">
      <w:pPr>
        <w:pStyle w:val="PRIMERAPLANA"/>
        <w:spacing w:line="360" w:lineRule="auto"/>
        <w:rPr>
          <w:rFonts w:ascii="Times New Roman" w:hAnsi="Times New Roman"/>
          <w:bCs/>
          <w:lang w:val="es-ES"/>
        </w:rPr>
      </w:pPr>
    </w:p>
    <w:p w14:paraId="42A9FC40" w14:textId="77777777" w:rsidR="00182E26" w:rsidRDefault="00182E26" w:rsidP="00182E26">
      <w:pPr>
        <w:pStyle w:val="PRIMERAPLANA"/>
        <w:spacing w:line="360" w:lineRule="auto"/>
        <w:rPr>
          <w:rFonts w:ascii="Times New Roman" w:hAnsi="Times New Roman"/>
          <w:bCs/>
          <w:lang w:val="es-ES"/>
        </w:rPr>
      </w:pPr>
    </w:p>
    <w:p w14:paraId="0E3EEE7B"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Los esfuerzos del Estado en materia de planeación, programación y presupuestación, consideran metas de ingresos prudentes y realistas, en relación a los supuestos del marco macroeconómico y fiscal que ha definido el Gobierno Federal en el Documento relativo al Cumplimiento de las Disposiciones Contenidas en el artículo 42, fracción I, de la Ley Federal de Presupuesto y Responsabilidad Hacendaria y de los Criterios Generales de Política Económica para la Iniciativa de Ley de Ingresos y el Proyecto de Presupuesto de Egresos de la Federación correspondientes al Ejercicio Fiscal 2021.</w:t>
      </w:r>
    </w:p>
    <w:p w14:paraId="1F4FA640" w14:textId="77777777" w:rsidR="00182E26" w:rsidRDefault="00182E26" w:rsidP="00182E26">
      <w:pPr>
        <w:pStyle w:val="PRIMERAPLANA"/>
        <w:spacing w:line="360" w:lineRule="auto"/>
        <w:rPr>
          <w:rFonts w:ascii="Times New Roman" w:hAnsi="Times New Roman"/>
          <w:bCs/>
          <w:lang w:val="es-ES"/>
        </w:rPr>
      </w:pPr>
    </w:p>
    <w:p w14:paraId="4DA99641"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lang w:val="es-ES"/>
        </w:rPr>
        <w:t xml:space="preserve">El artículo 5 de la Ley de Disciplina Financiera de las Entidades Federativas y los Municipios, establece que las iniciativas de la Ley de Ingresos y el Proyecto de Presupuesto de Egresos deben elaborarse conforme a lo establecido en la legislación local. Además, contendrán entre otros los apartados siguientes: </w:t>
      </w:r>
    </w:p>
    <w:p w14:paraId="7DF60D82" w14:textId="77777777" w:rsidR="00182E26" w:rsidRDefault="00182E26" w:rsidP="00182E26">
      <w:pPr>
        <w:pStyle w:val="PRIMERAPLANA"/>
        <w:spacing w:line="360" w:lineRule="auto"/>
        <w:rPr>
          <w:rFonts w:ascii="Times New Roman" w:hAnsi="Times New Roman"/>
          <w:bCs/>
          <w:lang w:val="es-ES"/>
        </w:rPr>
      </w:pPr>
    </w:p>
    <w:p w14:paraId="63712285" w14:textId="77777777" w:rsidR="00182E26" w:rsidRDefault="00182E26" w:rsidP="00800CF7">
      <w:pPr>
        <w:pStyle w:val="PRIMERAPLANA"/>
        <w:numPr>
          <w:ilvl w:val="0"/>
          <w:numId w:val="19"/>
        </w:numPr>
        <w:spacing w:line="360" w:lineRule="auto"/>
        <w:rPr>
          <w:rFonts w:ascii="Times New Roman" w:hAnsi="Times New Roman"/>
          <w:bCs/>
          <w:lang w:val="es-ES"/>
        </w:rPr>
      </w:pPr>
      <w:r>
        <w:rPr>
          <w:rFonts w:ascii="Times New Roman" w:hAnsi="Times New Roman"/>
          <w:bCs/>
          <w:lang w:val="es-ES"/>
        </w:rPr>
        <w:t xml:space="preserve">Los objetivos anuales, las estrategias y las metas; </w:t>
      </w:r>
    </w:p>
    <w:p w14:paraId="0646308C" w14:textId="77777777" w:rsidR="00182E26" w:rsidRDefault="00182E26" w:rsidP="00182E26">
      <w:pPr>
        <w:pStyle w:val="PRIMERAPLANA"/>
        <w:spacing w:line="360" w:lineRule="auto"/>
        <w:rPr>
          <w:rFonts w:ascii="Times New Roman" w:hAnsi="Times New Roman"/>
          <w:bCs/>
          <w:lang w:val="es-ES"/>
        </w:rPr>
      </w:pPr>
    </w:p>
    <w:p w14:paraId="4DC1115F" w14:textId="77777777" w:rsidR="00182E26" w:rsidRDefault="00182E26" w:rsidP="00800CF7">
      <w:pPr>
        <w:pStyle w:val="PRIMERAPLANA"/>
        <w:numPr>
          <w:ilvl w:val="0"/>
          <w:numId w:val="19"/>
        </w:numPr>
        <w:spacing w:line="360" w:lineRule="auto"/>
        <w:rPr>
          <w:rFonts w:ascii="Times New Roman" w:hAnsi="Times New Roman"/>
          <w:bCs/>
          <w:lang w:val="es-ES"/>
        </w:rPr>
      </w:pPr>
      <w:r>
        <w:rPr>
          <w:rFonts w:ascii="Times New Roman" w:hAnsi="Times New Roman"/>
          <w:bCs/>
          <w:lang w:val="es-ES"/>
        </w:rPr>
        <w:t xml:space="preserve">Las proyecciones de finanzas públicas a partir de los Criterios Generales de Política Económica del Gobierno Federal, así como la estimación de las transferencias federales etiquetadas y no etiquetadas; y </w:t>
      </w:r>
    </w:p>
    <w:p w14:paraId="02C4514B" w14:textId="77777777" w:rsidR="00182E26" w:rsidRDefault="00182E26" w:rsidP="00182E26">
      <w:pPr>
        <w:pStyle w:val="PRIMERAPLANA"/>
        <w:spacing w:line="360" w:lineRule="auto"/>
        <w:rPr>
          <w:rFonts w:ascii="Times New Roman" w:hAnsi="Times New Roman"/>
          <w:bCs/>
          <w:lang w:val="es-ES"/>
        </w:rPr>
      </w:pPr>
    </w:p>
    <w:p w14:paraId="406F4D50" w14:textId="77777777" w:rsidR="00182E26" w:rsidRDefault="00182E26" w:rsidP="00800CF7">
      <w:pPr>
        <w:pStyle w:val="PRIMERAPLANA"/>
        <w:numPr>
          <w:ilvl w:val="0"/>
          <w:numId w:val="19"/>
        </w:numPr>
        <w:spacing w:line="360" w:lineRule="auto"/>
        <w:rPr>
          <w:rFonts w:ascii="Times New Roman" w:hAnsi="Times New Roman"/>
          <w:bCs/>
          <w:lang w:val="es-ES"/>
        </w:rPr>
      </w:pPr>
      <w:r>
        <w:rPr>
          <w:rFonts w:ascii="Times New Roman" w:hAnsi="Times New Roman"/>
          <w:bCs/>
          <w:lang w:val="es-ES"/>
        </w:rPr>
        <w:t xml:space="preserve">La identificación de los riesgos relevantes para las finanzas públicas, incluyendo los montos de la deuda contingente. </w:t>
      </w:r>
    </w:p>
    <w:p w14:paraId="08F5D035" w14:textId="77777777" w:rsidR="00182E26" w:rsidRDefault="00182E26" w:rsidP="00182E26">
      <w:pPr>
        <w:pStyle w:val="PRIMERAPLANA"/>
        <w:spacing w:line="360" w:lineRule="auto"/>
        <w:rPr>
          <w:rFonts w:ascii="Times New Roman" w:hAnsi="Times New Roman"/>
          <w:bCs/>
        </w:rPr>
      </w:pPr>
    </w:p>
    <w:p w14:paraId="59413913" w14:textId="77777777" w:rsidR="00182E26" w:rsidRDefault="00182E26" w:rsidP="00182E26">
      <w:pPr>
        <w:pStyle w:val="PRIMERAPLANA"/>
        <w:spacing w:line="360" w:lineRule="auto"/>
        <w:rPr>
          <w:rFonts w:ascii="Times New Roman" w:hAnsi="Times New Roman"/>
          <w:bCs/>
          <w:lang w:val="es-ES"/>
        </w:rPr>
      </w:pPr>
      <w:r>
        <w:rPr>
          <w:rFonts w:ascii="Times New Roman" w:hAnsi="Times New Roman"/>
          <w:bCs/>
        </w:rPr>
        <w:t xml:space="preserve">Para </w:t>
      </w:r>
      <w:r>
        <w:rPr>
          <w:rFonts w:ascii="Times New Roman" w:hAnsi="Times New Roman"/>
          <w:bCs/>
          <w:lang w:val="es-ES"/>
        </w:rPr>
        <w:t>el uso eficiente de los recursos públicos y la promoción óptima del desarrollo del Estado, esta</w:t>
      </w:r>
      <w:r>
        <w:rPr>
          <w:rFonts w:ascii="Times New Roman" w:hAnsi="Times New Roman"/>
          <w:bCs/>
        </w:rPr>
        <w:t xml:space="preserve"> Administración ha considerado </w:t>
      </w:r>
      <w:r>
        <w:rPr>
          <w:rFonts w:ascii="Times New Roman" w:hAnsi="Times New Roman"/>
          <w:bCs/>
          <w:lang w:val="es-ES"/>
        </w:rPr>
        <w:t>como un pilar fundamental la gestión basada en resultados, cuyo objetivo es el construir un gobierno abierto, democrático, organizado y orientado al logro de resultados.</w:t>
      </w:r>
    </w:p>
    <w:p w14:paraId="381863C5" w14:textId="77777777" w:rsidR="00182E26" w:rsidRDefault="00182E26" w:rsidP="00182E26">
      <w:pPr>
        <w:pStyle w:val="PRIMERAPLANA"/>
        <w:spacing w:line="360" w:lineRule="auto"/>
        <w:rPr>
          <w:rFonts w:ascii="Times New Roman" w:hAnsi="Times New Roman"/>
          <w:bCs/>
          <w:lang w:val="es-ES"/>
        </w:rPr>
      </w:pPr>
    </w:p>
    <w:p w14:paraId="7F108702" w14:textId="77777777" w:rsidR="00182E26" w:rsidRDefault="00182E26" w:rsidP="00800CF7">
      <w:pPr>
        <w:pStyle w:val="Prrafodelista"/>
        <w:numPr>
          <w:ilvl w:val="0"/>
          <w:numId w:val="20"/>
        </w:numPr>
        <w:spacing w:line="360" w:lineRule="auto"/>
        <w:ind w:left="709"/>
        <w:contextualSpacing/>
        <w:rPr>
          <w:b/>
          <w:sz w:val="20"/>
          <w:szCs w:val="20"/>
        </w:rPr>
      </w:pPr>
      <w:r>
        <w:rPr>
          <w:b/>
          <w:sz w:val="20"/>
          <w:szCs w:val="20"/>
        </w:rPr>
        <w:t>EN MATERIA DE INGRESOS</w:t>
      </w:r>
    </w:p>
    <w:p w14:paraId="2E682C73" w14:textId="77777777" w:rsidR="003A4F1C" w:rsidRDefault="003A4F1C" w:rsidP="00AA2E86">
      <w:pPr>
        <w:pStyle w:val="PRIMERAPLANA"/>
        <w:spacing w:line="360" w:lineRule="auto"/>
        <w:rPr>
          <w:rFonts w:ascii="Times New Roman" w:hAnsi="Times New Roman"/>
          <w:bCs/>
          <w:lang w:val="es-ES"/>
        </w:rPr>
      </w:pPr>
    </w:p>
    <w:p w14:paraId="40AFDA05" w14:textId="523CA48A" w:rsidR="001A6658" w:rsidRPr="00D17328" w:rsidRDefault="001A04E3" w:rsidP="001A6658">
      <w:pPr>
        <w:pStyle w:val="PRIMERAPLANA"/>
        <w:spacing w:line="360" w:lineRule="auto"/>
        <w:rPr>
          <w:rFonts w:ascii="Times New Roman" w:hAnsi="Times New Roman"/>
          <w:bCs/>
          <w:lang w:val="es-ES"/>
        </w:rPr>
      </w:pPr>
      <w:r w:rsidRPr="00D17328">
        <w:rPr>
          <w:rFonts w:ascii="Times New Roman" w:hAnsi="Times New Roman"/>
          <w:bCs/>
          <w:lang w:val="es-ES"/>
        </w:rPr>
        <w:t>La iniciativa de Ley de Ingresos del Estado de Tlaxcala para el Ejercicio Fiscal 202</w:t>
      </w:r>
      <w:r w:rsidR="001C05DD" w:rsidRPr="00D17328">
        <w:rPr>
          <w:rFonts w:ascii="Times New Roman" w:hAnsi="Times New Roman"/>
          <w:bCs/>
          <w:lang w:val="es-ES"/>
        </w:rPr>
        <w:t>1</w:t>
      </w:r>
      <w:r w:rsidRPr="00D17328">
        <w:rPr>
          <w:rFonts w:ascii="Times New Roman" w:hAnsi="Times New Roman"/>
          <w:bCs/>
          <w:lang w:val="es-ES"/>
        </w:rPr>
        <w:t xml:space="preserve">, que se somete a consideración de esa Legislatura, </w:t>
      </w:r>
      <w:r w:rsidR="00334525" w:rsidRPr="00D17328">
        <w:rPr>
          <w:rFonts w:ascii="Times New Roman" w:hAnsi="Times New Roman"/>
          <w:bCs/>
          <w:lang w:val="es-ES"/>
        </w:rPr>
        <w:t>reflej</w:t>
      </w:r>
      <w:r w:rsidR="001C05DD" w:rsidRPr="00D17328">
        <w:rPr>
          <w:rFonts w:ascii="Times New Roman" w:hAnsi="Times New Roman"/>
          <w:bCs/>
          <w:lang w:val="es-ES"/>
        </w:rPr>
        <w:t>a una serie de aspectos económicos y sociales</w:t>
      </w:r>
      <w:r w:rsidRPr="00D17328">
        <w:rPr>
          <w:rFonts w:ascii="Times New Roman" w:hAnsi="Times New Roman"/>
          <w:bCs/>
          <w:lang w:val="es-ES"/>
        </w:rPr>
        <w:t xml:space="preserve"> </w:t>
      </w:r>
      <w:r w:rsidR="00334525" w:rsidRPr="00D17328">
        <w:rPr>
          <w:rFonts w:ascii="Times New Roman" w:hAnsi="Times New Roman"/>
          <w:bCs/>
          <w:lang w:val="es-ES"/>
        </w:rPr>
        <w:t xml:space="preserve">que han afectado no sólo </w:t>
      </w:r>
      <w:r w:rsidR="001A6658" w:rsidRPr="00D17328">
        <w:rPr>
          <w:rFonts w:ascii="Times New Roman" w:hAnsi="Times New Roman"/>
          <w:bCs/>
          <w:lang w:val="es-ES"/>
        </w:rPr>
        <w:t>a</w:t>
      </w:r>
      <w:r w:rsidR="00334525" w:rsidRPr="00D17328">
        <w:rPr>
          <w:rFonts w:ascii="Times New Roman" w:hAnsi="Times New Roman"/>
          <w:bCs/>
          <w:lang w:val="es-ES"/>
        </w:rPr>
        <w:t xml:space="preserve"> nuestra entidad sino a nivel mundial. El brote y posterior evolución del virus SARS-CoV2 (COVID-19), como pandemia declarada por la Organización Mundial de la Salud</w:t>
      </w:r>
      <w:r w:rsidR="00335A81" w:rsidRPr="00D17328">
        <w:rPr>
          <w:rFonts w:ascii="Times New Roman" w:hAnsi="Times New Roman"/>
          <w:bCs/>
          <w:lang w:val="es-ES"/>
        </w:rPr>
        <w:t xml:space="preserve">, no sólo ha implicado riesgos a la salud de la población ya que ha modificado de manera sustancial el desarrollo de las actividades cotidianas, limitando el desarrollo laboral tanto en el sector público como en el privado. </w:t>
      </w:r>
      <w:r w:rsidR="001A6658" w:rsidRPr="00D17328">
        <w:rPr>
          <w:rFonts w:ascii="Times New Roman" w:hAnsi="Times New Roman"/>
          <w:bCs/>
          <w:lang w:val="es-ES"/>
        </w:rPr>
        <w:t>El brote pandémico del COVID-19</w:t>
      </w:r>
      <w:r w:rsidR="00585928" w:rsidRPr="00D17328">
        <w:rPr>
          <w:rFonts w:ascii="Times New Roman" w:hAnsi="Times New Roman"/>
          <w:bCs/>
          <w:lang w:val="es-ES"/>
        </w:rPr>
        <w:t>, ha impuesto costos a la sociedad en su conjunto, siendo el mayor</w:t>
      </w:r>
      <w:r w:rsidR="00B711B8" w:rsidRPr="00D17328">
        <w:rPr>
          <w:rFonts w:ascii="Times New Roman" w:hAnsi="Times New Roman"/>
          <w:bCs/>
          <w:lang w:val="es-ES"/>
        </w:rPr>
        <w:t>,</w:t>
      </w:r>
      <w:r w:rsidR="00585928" w:rsidRPr="00D17328">
        <w:rPr>
          <w:rFonts w:ascii="Times New Roman" w:hAnsi="Times New Roman"/>
          <w:bCs/>
          <w:lang w:val="es-ES"/>
        </w:rPr>
        <w:t xml:space="preserve"> la desafortunada pérdida de vidas humanas. Mi solidaridad y más sentido pésame a las familias tlaxcaltecas que han tenido que enfrentar el dolor de perder a un ser querido</w:t>
      </w:r>
      <w:r w:rsidR="005E3D6D" w:rsidRPr="00D17328">
        <w:rPr>
          <w:rFonts w:ascii="Times New Roman" w:hAnsi="Times New Roman"/>
          <w:bCs/>
          <w:lang w:val="es-ES"/>
        </w:rPr>
        <w:t>,</w:t>
      </w:r>
      <w:r w:rsidR="00585928" w:rsidRPr="00D17328">
        <w:rPr>
          <w:rFonts w:ascii="Times New Roman" w:hAnsi="Times New Roman"/>
          <w:bCs/>
          <w:lang w:val="es-ES"/>
        </w:rPr>
        <w:t xml:space="preserve"> y mi más amplio reconocimiento a los trabajadores del sector salud quienes con vocación y responsabilidad</w:t>
      </w:r>
      <w:r w:rsidR="005E3D6D" w:rsidRPr="00D17328">
        <w:rPr>
          <w:rFonts w:ascii="Times New Roman" w:hAnsi="Times New Roman"/>
          <w:bCs/>
          <w:lang w:val="es-ES"/>
        </w:rPr>
        <w:t>,</w:t>
      </w:r>
      <w:r w:rsidR="00585928" w:rsidRPr="00D17328">
        <w:rPr>
          <w:rFonts w:ascii="Times New Roman" w:hAnsi="Times New Roman"/>
          <w:bCs/>
          <w:lang w:val="es-ES"/>
        </w:rPr>
        <w:t xml:space="preserve"> están haciendo un gran trabajo</w:t>
      </w:r>
      <w:r w:rsidR="005E3D6D" w:rsidRPr="00D17328">
        <w:rPr>
          <w:rFonts w:ascii="Times New Roman" w:hAnsi="Times New Roman"/>
          <w:bCs/>
          <w:lang w:val="es-ES"/>
        </w:rPr>
        <w:t xml:space="preserve"> en la lucha contra el coronavirus.</w:t>
      </w:r>
    </w:p>
    <w:p w14:paraId="3C1D2AFD" w14:textId="77777777" w:rsidR="001A6658" w:rsidRPr="00D17328" w:rsidRDefault="001A6658" w:rsidP="001A6658">
      <w:pPr>
        <w:pStyle w:val="PRIMERAPLANA"/>
        <w:spacing w:line="360" w:lineRule="auto"/>
        <w:rPr>
          <w:rFonts w:ascii="Times New Roman" w:hAnsi="Times New Roman"/>
          <w:bCs/>
          <w:lang w:val="es-ES"/>
        </w:rPr>
      </w:pPr>
    </w:p>
    <w:p w14:paraId="1FA594EA" w14:textId="406F97DF" w:rsidR="001A6658" w:rsidRPr="00D17328" w:rsidRDefault="00335A81" w:rsidP="001A6658">
      <w:pPr>
        <w:pStyle w:val="PRIMERAPLANA"/>
        <w:spacing w:line="360" w:lineRule="auto"/>
        <w:rPr>
          <w:rFonts w:ascii="Times New Roman" w:hAnsi="Times New Roman"/>
          <w:bCs/>
          <w:lang w:val="es-ES"/>
        </w:rPr>
      </w:pPr>
      <w:r w:rsidRPr="00D17328">
        <w:rPr>
          <w:rFonts w:ascii="Times New Roman" w:hAnsi="Times New Roman"/>
          <w:bCs/>
          <w:lang w:val="es-ES"/>
        </w:rPr>
        <w:t xml:space="preserve">Como una primera medida de contención, emitimos el “Acuerdo por el que se adoptan medidas extraordinarias para atender la emergencia sanitaria generada por el virus SARS-COV2 (COVID-19)”, </w:t>
      </w:r>
      <w:r w:rsidR="009C5299" w:rsidRPr="00D17328">
        <w:rPr>
          <w:rFonts w:ascii="Times New Roman" w:hAnsi="Times New Roman"/>
          <w:bCs/>
          <w:lang w:val="es-ES"/>
        </w:rPr>
        <w:t>en el que se establecieron diversas acciones con el objeto de controlar la propagación de dicho virus</w:t>
      </w:r>
      <w:r w:rsidR="00C219CA" w:rsidRPr="00D17328">
        <w:rPr>
          <w:rFonts w:ascii="Times New Roman" w:hAnsi="Times New Roman"/>
          <w:bCs/>
          <w:lang w:val="es-ES"/>
        </w:rPr>
        <w:t>;</w:t>
      </w:r>
      <w:r w:rsidR="009C5299" w:rsidRPr="00D17328">
        <w:rPr>
          <w:rFonts w:ascii="Times New Roman" w:hAnsi="Times New Roman"/>
          <w:bCs/>
          <w:lang w:val="es-ES"/>
        </w:rPr>
        <w:t xml:space="preserve"> tales como</w:t>
      </w:r>
      <w:r w:rsidR="00C219CA" w:rsidRPr="00D17328">
        <w:rPr>
          <w:rFonts w:ascii="Times New Roman" w:hAnsi="Times New Roman"/>
          <w:bCs/>
          <w:lang w:val="es-ES"/>
        </w:rPr>
        <w:t>,</w:t>
      </w:r>
      <w:r w:rsidR="009C5299" w:rsidRPr="00D17328">
        <w:rPr>
          <w:rFonts w:ascii="Times New Roman" w:hAnsi="Times New Roman"/>
          <w:bCs/>
          <w:lang w:val="es-ES"/>
        </w:rPr>
        <w:t xml:space="preserve"> la suspensión de clases en todos los niveles educativos, la suspensión de eventos gubernamentales en los que se consideraba la asistencia de público en general, la promoción de la colaboración de las instituciones de los sectores público y privado, evitando aglomeraciones y suspendiendo todas las actividades conside</w:t>
      </w:r>
      <w:r w:rsidR="003C18FA" w:rsidRPr="00D17328">
        <w:rPr>
          <w:rFonts w:ascii="Times New Roman" w:hAnsi="Times New Roman"/>
          <w:bCs/>
          <w:lang w:val="es-ES"/>
        </w:rPr>
        <w:t>radas como no esenciales</w:t>
      </w:r>
      <w:r w:rsidRPr="00D17328">
        <w:rPr>
          <w:rFonts w:ascii="Times New Roman" w:hAnsi="Times New Roman"/>
          <w:bCs/>
          <w:lang w:val="es-ES"/>
        </w:rPr>
        <w:t xml:space="preserve">. </w:t>
      </w:r>
      <w:r w:rsidR="003C18FA" w:rsidRPr="00D17328">
        <w:rPr>
          <w:rFonts w:ascii="Times New Roman" w:hAnsi="Times New Roman"/>
          <w:bCs/>
          <w:lang w:val="es-ES"/>
        </w:rPr>
        <w:t xml:space="preserve">En este sentido, las actividades económicas y productivas de la entidad se vieron interrumpidas con el fin de evitar la propagación del virus COVID-19 a fábricas, oficinas, transporte público, centros comerciales, incluso </w:t>
      </w:r>
      <w:r w:rsidR="00C219CA" w:rsidRPr="00D17328">
        <w:rPr>
          <w:rFonts w:ascii="Times New Roman" w:hAnsi="Times New Roman"/>
          <w:bCs/>
          <w:lang w:val="es-ES"/>
        </w:rPr>
        <w:t>en iglesias y centros de culto, quienes se sumaron al ser conscientes de la gravedad de esta enfermedad. Con la finalidad de atenuar las pérdidas económicas que ha provocado la pandemia y de apoyar el empleo y los sectores productivos,</w:t>
      </w:r>
      <w:r w:rsidR="007B7CF6" w:rsidRPr="00D17328">
        <w:rPr>
          <w:rFonts w:ascii="Times New Roman" w:hAnsi="Times New Roman"/>
          <w:bCs/>
          <w:lang w:val="es-ES"/>
        </w:rPr>
        <w:t xml:space="preserve"> firmamos un “Acuerdo para la Defensa del Empleo y del Sector Productivo”, </w:t>
      </w:r>
      <w:r w:rsidR="007B7CF6" w:rsidRPr="00D17328">
        <w:rPr>
          <w:rFonts w:ascii="Times New Roman" w:hAnsi="Times New Roman"/>
          <w:bCs/>
          <w:lang w:val="es-ES"/>
        </w:rPr>
        <w:lastRenderedPageBreak/>
        <w:t xml:space="preserve">con empresarios de todas las ramas productivas y organizaciones de trabajadores, </w:t>
      </w:r>
      <w:r w:rsidR="00C45FEB" w:rsidRPr="00D17328">
        <w:rPr>
          <w:rFonts w:ascii="Times New Roman" w:hAnsi="Times New Roman"/>
          <w:bCs/>
          <w:lang w:val="es-ES"/>
        </w:rPr>
        <w:t xml:space="preserve">en el que se </w:t>
      </w:r>
      <w:r w:rsidR="001A6658" w:rsidRPr="00D17328">
        <w:rPr>
          <w:rFonts w:ascii="Times New Roman" w:hAnsi="Times New Roman"/>
          <w:bCs/>
          <w:lang w:val="es-ES"/>
        </w:rPr>
        <w:t>establece que el Gobierno del Estado realizará los compromisos económicos y administrativos que sean de su jurisdicción en favor de las empresas; buscará el financiamiento en las mejores condiciones posibles para apoyar a las compañías que lo necesiten; reforzará la seguridad, especialmente en las empresas con actividades esenciales que siguen laborando y cuidará que las empresas catalogadas con actividades no esenciales que tengan necesidad de manera excepcional de trabajar para no romper la cadena de proveeduría crítica, lo puedan hacer.</w:t>
      </w:r>
    </w:p>
    <w:p w14:paraId="2E4EA721" w14:textId="6C7CAEE4" w:rsidR="001A6658" w:rsidRPr="00D17328" w:rsidRDefault="001A6658" w:rsidP="001A6658">
      <w:pPr>
        <w:pStyle w:val="PRIMERAPLANA"/>
        <w:spacing w:line="360" w:lineRule="auto"/>
        <w:rPr>
          <w:rFonts w:ascii="Times New Roman" w:hAnsi="Times New Roman"/>
          <w:bCs/>
          <w:lang w:val="es-ES"/>
        </w:rPr>
      </w:pPr>
    </w:p>
    <w:p w14:paraId="1A6E79D4" w14:textId="48E12BB7" w:rsidR="001A6658" w:rsidRPr="00D17328" w:rsidRDefault="001A6658" w:rsidP="001A6658">
      <w:pPr>
        <w:pStyle w:val="PRIMERAPLANA"/>
        <w:spacing w:line="360" w:lineRule="auto"/>
        <w:rPr>
          <w:rFonts w:ascii="Times New Roman" w:hAnsi="Times New Roman"/>
          <w:bCs/>
          <w:lang w:val="es-ES"/>
        </w:rPr>
      </w:pPr>
      <w:r w:rsidRPr="00D17328">
        <w:rPr>
          <w:rFonts w:ascii="Times New Roman" w:hAnsi="Times New Roman"/>
          <w:bCs/>
          <w:lang w:val="es-ES"/>
        </w:rPr>
        <w:t xml:space="preserve">En tanto, el sector industrial se compromete a difundir por todos los medios posibles las medidas de prevención que ayuden a contener la expansión del </w:t>
      </w:r>
      <w:r w:rsidR="00C45FEB" w:rsidRPr="00D17328">
        <w:rPr>
          <w:rFonts w:ascii="Times New Roman" w:hAnsi="Times New Roman"/>
          <w:bCs/>
          <w:lang w:val="es-ES"/>
        </w:rPr>
        <w:t>COVID</w:t>
      </w:r>
      <w:r w:rsidRPr="00D17328">
        <w:rPr>
          <w:rFonts w:ascii="Times New Roman" w:hAnsi="Times New Roman"/>
          <w:bCs/>
          <w:lang w:val="es-ES"/>
        </w:rPr>
        <w:t>-19; a apoyar a las y los trabajadores que por su situación de vulnerabilidad no estén laborando; a promover las medidas preventivas en las fuentes de empleo, sus comedores, sus transportes, sus instalaciones de uso general y establecer una campaña permanente de retroalimentación informativa, facilitando el uso de productos desinfectantes, mascarillas y las acciones que sean necesarias conforme lo que establezca el Consejo de Salubridad General.</w:t>
      </w:r>
    </w:p>
    <w:p w14:paraId="1B446F84" w14:textId="11B4F04B" w:rsidR="001A6658" w:rsidRPr="00D17328" w:rsidRDefault="001A6658" w:rsidP="001A6658">
      <w:pPr>
        <w:pStyle w:val="PRIMERAPLANA"/>
        <w:spacing w:line="360" w:lineRule="auto"/>
        <w:rPr>
          <w:rFonts w:ascii="Times New Roman" w:hAnsi="Times New Roman"/>
          <w:bCs/>
          <w:lang w:val="es-ES"/>
        </w:rPr>
      </w:pPr>
    </w:p>
    <w:p w14:paraId="2B76E8F4" w14:textId="77777777" w:rsidR="001A6658" w:rsidRPr="00D17328" w:rsidRDefault="001A6658" w:rsidP="001A6658">
      <w:pPr>
        <w:pStyle w:val="PRIMERAPLANA"/>
        <w:spacing w:line="360" w:lineRule="auto"/>
        <w:rPr>
          <w:rFonts w:ascii="Times New Roman" w:hAnsi="Times New Roman"/>
          <w:bCs/>
          <w:lang w:val="es-ES"/>
        </w:rPr>
      </w:pPr>
      <w:r w:rsidRPr="00D17328">
        <w:rPr>
          <w:rFonts w:ascii="Times New Roman" w:hAnsi="Times New Roman"/>
          <w:bCs/>
          <w:lang w:val="es-ES"/>
        </w:rPr>
        <w:t>El sector sindical establece el compromiso de realizar los mejores convenios solidarios, entre empresas y trabajadores para conservar las fuentes de empleo y mantener un clima de estabilidad y paz laboral al interior de las empresas.</w:t>
      </w:r>
    </w:p>
    <w:p w14:paraId="0BD3B5DB" w14:textId="566C0897" w:rsidR="001A6658" w:rsidRPr="00D17328" w:rsidRDefault="001A6658" w:rsidP="001A6658">
      <w:pPr>
        <w:pStyle w:val="PRIMERAPLANA"/>
        <w:spacing w:line="360" w:lineRule="auto"/>
        <w:rPr>
          <w:rFonts w:ascii="Times New Roman" w:hAnsi="Times New Roman"/>
          <w:bCs/>
          <w:lang w:val="es-ES"/>
        </w:rPr>
      </w:pPr>
    </w:p>
    <w:p w14:paraId="53F44489" w14:textId="65DD5AFA" w:rsidR="001A6658" w:rsidRPr="00D17328" w:rsidRDefault="001A6658" w:rsidP="001A6658">
      <w:pPr>
        <w:pStyle w:val="PRIMERAPLANA"/>
        <w:spacing w:line="360" w:lineRule="auto"/>
        <w:rPr>
          <w:rFonts w:ascii="Times New Roman" w:hAnsi="Times New Roman"/>
          <w:bCs/>
          <w:lang w:val="es-ES"/>
        </w:rPr>
      </w:pPr>
      <w:r w:rsidRPr="00D17328">
        <w:rPr>
          <w:rFonts w:ascii="Times New Roman" w:hAnsi="Times New Roman"/>
          <w:bCs/>
          <w:lang w:val="es-ES"/>
        </w:rPr>
        <w:t>Cabe señalar que</w:t>
      </w:r>
      <w:r w:rsidR="00C45FEB" w:rsidRPr="00D17328">
        <w:rPr>
          <w:rFonts w:ascii="Times New Roman" w:hAnsi="Times New Roman"/>
          <w:bCs/>
          <w:lang w:val="es-ES"/>
        </w:rPr>
        <w:t xml:space="preserve"> las partes involucradas en el A</w:t>
      </w:r>
      <w:r w:rsidRPr="00D17328">
        <w:rPr>
          <w:rFonts w:ascii="Times New Roman" w:hAnsi="Times New Roman"/>
          <w:bCs/>
          <w:lang w:val="es-ES"/>
        </w:rPr>
        <w:t xml:space="preserve">cuerdo realizarán reuniones </w:t>
      </w:r>
      <w:r w:rsidR="003F6470" w:rsidRPr="00D17328">
        <w:rPr>
          <w:rFonts w:ascii="Times New Roman" w:hAnsi="Times New Roman"/>
          <w:bCs/>
          <w:lang w:val="es-ES"/>
        </w:rPr>
        <w:t>periódicas</w:t>
      </w:r>
      <w:r w:rsidRPr="00D17328">
        <w:rPr>
          <w:rFonts w:ascii="Times New Roman" w:hAnsi="Times New Roman"/>
          <w:bCs/>
          <w:lang w:val="es-ES"/>
        </w:rPr>
        <w:t xml:space="preserve"> de evaluación y seguimiento, con la finalidad de tomar las medidas que sean necesarias y posibles para reforzar el objetivo de defen</w:t>
      </w:r>
      <w:r w:rsidR="003F6470" w:rsidRPr="00D17328">
        <w:rPr>
          <w:rFonts w:ascii="Times New Roman" w:hAnsi="Times New Roman"/>
          <w:bCs/>
          <w:lang w:val="es-ES"/>
        </w:rPr>
        <w:t>der</w:t>
      </w:r>
      <w:r w:rsidRPr="00D17328">
        <w:rPr>
          <w:rFonts w:ascii="Times New Roman" w:hAnsi="Times New Roman"/>
          <w:bCs/>
          <w:lang w:val="es-ES"/>
        </w:rPr>
        <w:t xml:space="preserve"> </w:t>
      </w:r>
      <w:r w:rsidR="003F6470" w:rsidRPr="00D17328">
        <w:rPr>
          <w:rFonts w:ascii="Times New Roman" w:hAnsi="Times New Roman"/>
          <w:bCs/>
          <w:lang w:val="es-ES"/>
        </w:rPr>
        <w:t>la salud y el empleo en el E</w:t>
      </w:r>
      <w:r w:rsidRPr="00D17328">
        <w:rPr>
          <w:rFonts w:ascii="Times New Roman" w:hAnsi="Times New Roman"/>
          <w:bCs/>
          <w:lang w:val="es-ES"/>
        </w:rPr>
        <w:t xml:space="preserve">stado, mientras dure </w:t>
      </w:r>
      <w:r w:rsidR="003F6470" w:rsidRPr="00D17328">
        <w:rPr>
          <w:rFonts w:ascii="Times New Roman" w:hAnsi="Times New Roman"/>
          <w:bCs/>
          <w:lang w:val="es-ES"/>
        </w:rPr>
        <w:t>la contingencia sanitaria</w:t>
      </w:r>
      <w:r w:rsidRPr="00D17328">
        <w:rPr>
          <w:rFonts w:ascii="Times New Roman" w:hAnsi="Times New Roman"/>
          <w:bCs/>
          <w:lang w:val="es-ES"/>
        </w:rPr>
        <w:t>.</w:t>
      </w:r>
    </w:p>
    <w:p w14:paraId="33AD6BA0" w14:textId="77777777" w:rsidR="001A6658" w:rsidRPr="00D17328" w:rsidRDefault="001A6658" w:rsidP="007B7CF6">
      <w:pPr>
        <w:pStyle w:val="PRIMERAPLANA"/>
        <w:spacing w:line="360" w:lineRule="auto"/>
        <w:rPr>
          <w:rFonts w:ascii="Times New Roman" w:hAnsi="Times New Roman"/>
          <w:bCs/>
          <w:lang w:val="es-ES"/>
        </w:rPr>
      </w:pPr>
    </w:p>
    <w:p w14:paraId="4E9BC048" w14:textId="15D65D91" w:rsidR="007B7CF6" w:rsidRPr="00D17328" w:rsidRDefault="00C45FEB" w:rsidP="007B7CF6">
      <w:pPr>
        <w:pStyle w:val="PRIMERAPLANA"/>
        <w:spacing w:line="360" w:lineRule="auto"/>
        <w:rPr>
          <w:rFonts w:ascii="Times New Roman" w:hAnsi="Times New Roman"/>
          <w:bCs/>
          <w:lang w:val="es-ES"/>
        </w:rPr>
      </w:pPr>
      <w:r w:rsidRPr="00D17328">
        <w:rPr>
          <w:rFonts w:ascii="Times New Roman" w:hAnsi="Times New Roman"/>
          <w:bCs/>
          <w:lang w:val="es-ES"/>
        </w:rPr>
        <w:t>Dentro de las principales medidas, el</w:t>
      </w:r>
      <w:r w:rsidR="007B7CF6" w:rsidRPr="00D17328">
        <w:rPr>
          <w:rFonts w:ascii="Times New Roman" w:hAnsi="Times New Roman"/>
          <w:bCs/>
          <w:lang w:val="es-ES"/>
        </w:rPr>
        <w:t xml:space="preserve"> </w:t>
      </w:r>
      <w:r w:rsidRPr="00D17328">
        <w:rPr>
          <w:rFonts w:ascii="Times New Roman" w:hAnsi="Times New Roman"/>
          <w:bCs/>
          <w:lang w:val="es-ES"/>
        </w:rPr>
        <w:t>Acuerdo</w:t>
      </w:r>
      <w:r w:rsidR="007B7CF6" w:rsidRPr="00D17328">
        <w:rPr>
          <w:rFonts w:ascii="Times New Roman" w:hAnsi="Times New Roman"/>
          <w:bCs/>
          <w:lang w:val="es-ES"/>
        </w:rPr>
        <w:t xml:space="preserve"> contempla las siguientes:</w:t>
      </w:r>
    </w:p>
    <w:p w14:paraId="462DAE35" w14:textId="77777777" w:rsidR="007B7CF6" w:rsidRPr="00D17328" w:rsidRDefault="007B7CF6" w:rsidP="007B7CF6">
      <w:pPr>
        <w:pStyle w:val="PRIMERAPLANA"/>
        <w:spacing w:line="360" w:lineRule="auto"/>
        <w:rPr>
          <w:rFonts w:ascii="Times New Roman" w:hAnsi="Times New Roman"/>
          <w:bCs/>
          <w:lang w:val="es-ES"/>
        </w:rPr>
      </w:pPr>
    </w:p>
    <w:p w14:paraId="482C7860" w14:textId="46DDCDD1"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Mantener empleos.</w:t>
      </w:r>
    </w:p>
    <w:p w14:paraId="0793D55A" w14:textId="05C0BB4D"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Que la planta productiva reinicie actividades una vez superada la emergencia</w:t>
      </w:r>
      <w:r w:rsidR="003F6470" w:rsidRPr="00D17328">
        <w:rPr>
          <w:rFonts w:ascii="Times New Roman" w:hAnsi="Times New Roman"/>
          <w:bCs/>
          <w:lang w:val="es-ES"/>
        </w:rPr>
        <w:t xml:space="preserve"> sanitaria</w:t>
      </w:r>
      <w:r w:rsidRPr="00D17328">
        <w:rPr>
          <w:rFonts w:ascii="Times New Roman" w:hAnsi="Times New Roman"/>
          <w:bCs/>
          <w:lang w:val="es-ES"/>
        </w:rPr>
        <w:t>.</w:t>
      </w:r>
    </w:p>
    <w:p w14:paraId="5B153F1E"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Aislamiento voluntario y distanciamiento social.</w:t>
      </w:r>
    </w:p>
    <w:p w14:paraId="3A3B765D"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Créditos para micro y pequeñas empresas.</w:t>
      </w:r>
    </w:p>
    <w:p w14:paraId="16163BB7"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Convenios solidarios entre empresas y organizaciones sindicales, a fin de conservar las fuentes de empleos.</w:t>
      </w:r>
    </w:p>
    <w:p w14:paraId="33C99A05"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Plan emergente de obra pública.</w:t>
      </w:r>
    </w:p>
    <w:p w14:paraId="58269073" w14:textId="77777777" w:rsidR="007B7CF6" w:rsidRPr="00D17328" w:rsidRDefault="007B7CF6" w:rsidP="007B7CF6">
      <w:pPr>
        <w:pStyle w:val="PRIMERAPLANA"/>
        <w:spacing w:line="360" w:lineRule="auto"/>
        <w:rPr>
          <w:rFonts w:ascii="Times New Roman" w:hAnsi="Times New Roman"/>
          <w:bCs/>
          <w:lang w:val="es-ES"/>
        </w:rPr>
      </w:pPr>
    </w:p>
    <w:p w14:paraId="5A80756D" w14:textId="7B811F91"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lastRenderedPageBreak/>
        <w:t>Creación de un Fondo para la Protección del Empleo e Ingreso de las Micro, Pequeñas y Medianas Empresas (Mipymes) por 50 millones de pesos</w:t>
      </w:r>
      <w:r w:rsidR="00B711B8" w:rsidRPr="00D17328">
        <w:rPr>
          <w:rFonts w:ascii="Times New Roman" w:hAnsi="Times New Roman"/>
          <w:bCs/>
          <w:lang w:val="es-ES"/>
        </w:rPr>
        <w:t>.</w:t>
      </w:r>
    </w:p>
    <w:p w14:paraId="7A9542DB"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El Fondo Macro para el Desarrollo Integral de Tlaxcala (Fomtlax) otorgará créditos de hasta 50 mil pesos y pospondrá el pago de los financiamientos vigentes hasta agosto, sin recargo alguno.</w:t>
      </w:r>
    </w:p>
    <w:p w14:paraId="755B599F" w14:textId="23A4EAEC"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El sector turístico contará con 10 millones de pesos para reducir el impacto por la crisis sanitaria y económica del Covid-19</w:t>
      </w:r>
      <w:r w:rsidR="00B711B8" w:rsidRPr="00D17328">
        <w:rPr>
          <w:rFonts w:ascii="Times New Roman" w:hAnsi="Times New Roman"/>
          <w:bCs/>
          <w:lang w:val="es-ES"/>
        </w:rPr>
        <w:t>.</w:t>
      </w:r>
    </w:p>
    <w:p w14:paraId="68641F4E"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El Gobierno de Tlaxcala y Nacional Financiera (Nafin) destinarán un fondo de 200 millones de pesos para que negocios y comercios accedan a créditos en bancos, con garantía de la institución federal.</w:t>
      </w:r>
    </w:p>
    <w:p w14:paraId="1C350F49" w14:textId="21F59DDE"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Se duplicará el apoyo de paquetes de aves de traspatio para respaldar al campo local y alcanzar las 25 mil familias beneficiadas con un pres</w:t>
      </w:r>
      <w:r w:rsidR="00B711B8" w:rsidRPr="00D17328">
        <w:rPr>
          <w:rFonts w:ascii="Times New Roman" w:hAnsi="Times New Roman"/>
          <w:bCs/>
          <w:lang w:val="es-ES"/>
        </w:rPr>
        <w:t>upuesto de 15 millones de pesos.</w:t>
      </w:r>
    </w:p>
    <w:p w14:paraId="7B3ABDD4"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Posponer tres meses los pagos del Impuesto Sobre Nómina para diferirlos entre julio y diciembre de 2020.</w:t>
      </w:r>
    </w:p>
    <w:p w14:paraId="3D97F632" w14:textId="77777777" w:rsidR="007B7CF6" w:rsidRPr="00D17328" w:rsidRDefault="007B7CF6" w:rsidP="00800CF7">
      <w:pPr>
        <w:pStyle w:val="PRIMERAPLANA"/>
        <w:numPr>
          <w:ilvl w:val="0"/>
          <w:numId w:val="8"/>
        </w:numPr>
        <w:spacing w:line="360" w:lineRule="auto"/>
        <w:rPr>
          <w:rFonts w:ascii="Times New Roman" w:hAnsi="Times New Roman"/>
          <w:bCs/>
          <w:lang w:val="es-ES"/>
        </w:rPr>
      </w:pPr>
      <w:r w:rsidRPr="00D17328">
        <w:rPr>
          <w:rFonts w:ascii="Times New Roman" w:hAnsi="Times New Roman"/>
          <w:bCs/>
          <w:lang w:val="es-ES"/>
        </w:rPr>
        <w:t>Eliminar de abril a diciembre de 2020, el Impuesto por la Prestación de Servicios de Hospedaje, en respaldo del sector turístico de la entidad.</w:t>
      </w:r>
    </w:p>
    <w:p w14:paraId="6CF85B13" w14:textId="77777777" w:rsidR="00335A81" w:rsidRPr="00D17328" w:rsidRDefault="00335A81" w:rsidP="001A04E3">
      <w:pPr>
        <w:pStyle w:val="PRIMERAPLANA"/>
        <w:spacing w:line="360" w:lineRule="auto"/>
        <w:rPr>
          <w:rFonts w:ascii="Times New Roman" w:hAnsi="Times New Roman"/>
          <w:bCs/>
          <w:lang w:val="es-ES"/>
        </w:rPr>
      </w:pPr>
    </w:p>
    <w:p w14:paraId="661945A0" w14:textId="0B11A982" w:rsidR="00D50394" w:rsidRPr="00D17328" w:rsidRDefault="005A2455" w:rsidP="001A04E3">
      <w:pPr>
        <w:pStyle w:val="PRIMERAPLANA"/>
        <w:spacing w:line="360" w:lineRule="auto"/>
        <w:rPr>
          <w:rFonts w:ascii="Times New Roman" w:hAnsi="Times New Roman"/>
          <w:bCs/>
          <w:lang w:val="es-ES"/>
        </w:rPr>
      </w:pPr>
      <w:r w:rsidRPr="00D17328">
        <w:rPr>
          <w:rFonts w:ascii="Times New Roman" w:hAnsi="Times New Roman"/>
          <w:bCs/>
          <w:lang w:val="es-ES"/>
        </w:rPr>
        <w:t xml:space="preserve">En un contexto de emergencia sanitaria y de una recuperación paulatina de los ingresos públicos, resulta clave </w:t>
      </w:r>
      <w:r w:rsidR="001A04E3" w:rsidRPr="00D17328">
        <w:rPr>
          <w:rFonts w:ascii="Times New Roman" w:hAnsi="Times New Roman"/>
          <w:bCs/>
          <w:lang w:val="es-ES"/>
        </w:rPr>
        <w:t>una propuesta objetiva, responsable y sobre todo, comprometida con el bienestar de las familias tlaxcalteca</w:t>
      </w:r>
      <w:r w:rsidR="00610000" w:rsidRPr="00D17328">
        <w:rPr>
          <w:rFonts w:ascii="Times New Roman" w:hAnsi="Times New Roman"/>
          <w:bCs/>
          <w:lang w:val="es-ES"/>
        </w:rPr>
        <w:t>s</w:t>
      </w:r>
      <w:r w:rsidR="001A04E3" w:rsidRPr="00D17328">
        <w:rPr>
          <w:rFonts w:ascii="Times New Roman" w:hAnsi="Times New Roman"/>
          <w:bCs/>
          <w:lang w:val="es-ES"/>
        </w:rPr>
        <w:t xml:space="preserve">, </w:t>
      </w:r>
      <w:r w:rsidR="00D50394" w:rsidRPr="00D17328">
        <w:rPr>
          <w:rFonts w:ascii="Times New Roman" w:hAnsi="Times New Roman"/>
          <w:bCs/>
          <w:lang w:val="es-ES"/>
        </w:rPr>
        <w:t xml:space="preserve">que </w:t>
      </w:r>
      <w:r w:rsidR="001A04E3" w:rsidRPr="00D17328">
        <w:rPr>
          <w:rFonts w:ascii="Times New Roman" w:hAnsi="Times New Roman"/>
          <w:bCs/>
          <w:lang w:val="es-ES"/>
        </w:rPr>
        <w:t>garanti</w:t>
      </w:r>
      <w:r w:rsidR="00D50394" w:rsidRPr="00D17328">
        <w:rPr>
          <w:rFonts w:ascii="Times New Roman" w:hAnsi="Times New Roman"/>
          <w:bCs/>
          <w:lang w:val="es-ES"/>
        </w:rPr>
        <w:t>ce</w:t>
      </w:r>
      <w:r w:rsidR="001A04E3" w:rsidRPr="00D17328">
        <w:rPr>
          <w:rFonts w:ascii="Times New Roman" w:hAnsi="Times New Roman"/>
          <w:bCs/>
          <w:lang w:val="es-ES"/>
        </w:rPr>
        <w:t xml:space="preserve"> la implementación de políticas públicas </w:t>
      </w:r>
      <w:r w:rsidR="00D50394" w:rsidRPr="00D17328">
        <w:rPr>
          <w:rFonts w:ascii="Times New Roman" w:hAnsi="Times New Roman"/>
          <w:bCs/>
          <w:lang w:val="es-ES"/>
        </w:rPr>
        <w:t>relacionadas a los sectores más sensibles como la salud, la seguridad pública y la inversión</w:t>
      </w:r>
      <w:r w:rsidR="001A04E3" w:rsidRPr="00D17328">
        <w:rPr>
          <w:rFonts w:ascii="Times New Roman" w:hAnsi="Times New Roman"/>
          <w:bCs/>
          <w:lang w:val="es-ES"/>
        </w:rPr>
        <w:t xml:space="preserve">, a través de un presupuesto equilibrado y del manejo responsable de los recursos, </w:t>
      </w:r>
      <w:r w:rsidR="00D50394" w:rsidRPr="00D17328">
        <w:rPr>
          <w:rFonts w:ascii="Times New Roman" w:hAnsi="Times New Roman"/>
          <w:bCs/>
          <w:lang w:val="es-ES"/>
        </w:rPr>
        <w:t>que se consoliden como detonantes de la recuperación de las condiciones económicas</w:t>
      </w:r>
      <w:r w:rsidR="00E11349" w:rsidRPr="00D17328">
        <w:rPr>
          <w:rFonts w:ascii="Times New Roman" w:hAnsi="Times New Roman"/>
          <w:bCs/>
          <w:lang w:val="es-ES"/>
        </w:rPr>
        <w:t xml:space="preserve"> que garanticen el bienestar de la población.</w:t>
      </w:r>
    </w:p>
    <w:p w14:paraId="2E2593E4" w14:textId="11D4DF0C" w:rsidR="00D50394" w:rsidRPr="00D17328" w:rsidRDefault="00D50394" w:rsidP="001A04E3">
      <w:pPr>
        <w:pStyle w:val="PRIMERAPLANA"/>
        <w:spacing w:line="360" w:lineRule="auto"/>
        <w:rPr>
          <w:rFonts w:ascii="Times New Roman" w:hAnsi="Times New Roman"/>
          <w:bCs/>
          <w:lang w:val="es-ES"/>
        </w:rPr>
      </w:pPr>
    </w:p>
    <w:p w14:paraId="3C08F28C" w14:textId="1C526979" w:rsidR="001F1E88" w:rsidRPr="00D17328" w:rsidRDefault="003253A4" w:rsidP="003253A4">
      <w:pPr>
        <w:pStyle w:val="PRIMERAPLANA"/>
        <w:spacing w:line="360" w:lineRule="auto"/>
        <w:rPr>
          <w:rFonts w:ascii="Times New Roman" w:hAnsi="Times New Roman"/>
          <w:bCs/>
          <w:lang w:val="es-ES"/>
        </w:rPr>
      </w:pPr>
      <w:r w:rsidRPr="00D17328">
        <w:rPr>
          <w:rFonts w:ascii="Times New Roman" w:hAnsi="Times New Roman"/>
          <w:bCs/>
          <w:lang w:val="es-ES"/>
        </w:rPr>
        <w:t>Este gobierno ha asumido con responsabilidad su papel de fomentar las actividades económicas, atrayendo inversiones y, en consecuencia, contribuyendo a generar fuentes de empleo. Muestra de ello es que se han otorgado líneas de crédito para financiar proyectos que permitan a los emprendedores, así como a los micro, pequeños y medianos empresarios, materializar sus planes de negocio.</w:t>
      </w:r>
    </w:p>
    <w:p w14:paraId="20A4FCD5" w14:textId="7284AF85" w:rsidR="003253A4" w:rsidRPr="00D17328" w:rsidRDefault="003253A4" w:rsidP="003253A4">
      <w:pPr>
        <w:pStyle w:val="PRIMERAPLANA"/>
        <w:spacing w:line="360" w:lineRule="auto"/>
        <w:rPr>
          <w:rFonts w:ascii="Times New Roman" w:hAnsi="Times New Roman"/>
          <w:bCs/>
          <w:lang w:val="es-ES"/>
        </w:rPr>
      </w:pPr>
    </w:p>
    <w:p w14:paraId="674E6B0A" w14:textId="26C9A4BD" w:rsidR="003253A4" w:rsidRPr="00D17328" w:rsidRDefault="003253A4" w:rsidP="003253A4">
      <w:pPr>
        <w:pStyle w:val="PRIMERAPLANA"/>
        <w:spacing w:line="360" w:lineRule="auto"/>
        <w:rPr>
          <w:rFonts w:ascii="Times New Roman" w:hAnsi="Times New Roman"/>
          <w:bCs/>
          <w:lang w:val="es-ES"/>
        </w:rPr>
      </w:pPr>
      <w:r w:rsidRPr="00D17328">
        <w:rPr>
          <w:rFonts w:ascii="Times New Roman" w:hAnsi="Times New Roman"/>
          <w:bCs/>
          <w:lang w:val="es-ES"/>
        </w:rPr>
        <w:t xml:space="preserve">Revalorizar el trabajo de los policías es un asunto de primera importancia para este gobierno. Es por ello que se siguen mejorando sus condiciones de trabajo y sus prestaciones laborales, Un logro muy importante de esta administración es el relativo a la seguridad pública ya que Tlaxcala se mantiene como una de las entidades federativas más seguras del país y la incidencia de los delitos es </w:t>
      </w:r>
      <w:r w:rsidR="003028D7" w:rsidRPr="00D17328">
        <w:rPr>
          <w:rFonts w:ascii="Times New Roman" w:hAnsi="Times New Roman"/>
          <w:bCs/>
          <w:lang w:val="es-ES"/>
        </w:rPr>
        <w:t xml:space="preserve">una </w:t>
      </w:r>
      <w:r w:rsidRPr="00D17328">
        <w:rPr>
          <w:rFonts w:ascii="Times New Roman" w:hAnsi="Times New Roman"/>
          <w:bCs/>
          <w:lang w:val="es-ES"/>
        </w:rPr>
        <w:t>de las más bajas a nivel nacional.</w:t>
      </w:r>
    </w:p>
    <w:p w14:paraId="2B5D0C51" w14:textId="0FB60EF8" w:rsidR="003253A4" w:rsidRPr="00D17328" w:rsidRDefault="003253A4" w:rsidP="003253A4">
      <w:pPr>
        <w:pStyle w:val="PRIMERAPLANA"/>
        <w:spacing w:line="360" w:lineRule="auto"/>
        <w:rPr>
          <w:rFonts w:ascii="Times New Roman" w:hAnsi="Times New Roman"/>
          <w:bCs/>
          <w:lang w:val="es-ES"/>
        </w:rPr>
      </w:pPr>
    </w:p>
    <w:p w14:paraId="566909F9" w14:textId="264F3576" w:rsidR="003028D7" w:rsidRPr="00D17328" w:rsidRDefault="003028D7" w:rsidP="003253A4">
      <w:pPr>
        <w:pStyle w:val="PRIMERAPLANA"/>
        <w:spacing w:line="360" w:lineRule="auto"/>
        <w:rPr>
          <w:rFonts w:ascii="Times New Roman" w:hAnsi="Times New Roman"/>
          <w:bCs/>
          <w:lang w:val="es-ES"/>
        </w:rPr>
      </w:pPr>
      <w:r w:rsidRPr="00D17328">
        <w:rPr>
          <w:rFonts w:ascii="Times New Roman" w:hAnsi="Times New Roman"/>
          <w:bCs/>
          <w:lang w:val="es-ES"/>
        </w:rPr>
        <w:t>La atención y cuidado de la salud es uno de los temas de mayor importancia para el Gobierno del Estado. Es así que se ha atendido a las demandas sanitarias de la población y se elevó la calidad de los servicios prestados en las instituciones públicas de salud, continuando con la construcción del Hospital General de Tlaxcala, que contempla una inversión estatal y federal de más de 576 millones de pesos. El nuevo hospital sustituirá al actual edificio ubicado en la ciudad de Tlaxcala tras 72 años de funcionamiento, reduciendo los tiempos de consulta y mejorando la atención de segundo nivel</w:t>
      </w:r>
      <w:r w:rsidR="002E2358" w:rsidRPr="00D17328">
        <w:rPr>
          <w:rFonts w:ascii="Times New Roman" w:hAnsi="Times New Roman"/>
          <w:bCs/>
          <w:lang w:val="es-ES"/>
        </w:rPr>
        <w:t>.</w:t>
      </w:r>
    </w:p>
    <w:p w14:paraId="0D66F7F8" w14:textId="77777777" w:rsidR="0092022D" w:rsidRPr="00D17328" w:rsidRDefault="0092022D" w:rsidP="0092022D">
      <w:pPr>
        <w:pStyle w:val="PRIMERAPLANA"/>
        <w:spacing w:line="360" w:lineRule="auto"/>
        <w:rPr>
          <w:rFonts w:ascii="Times New Roman" w:hAnsi="Times New Roman"/>
          <w:bCs/>
          <w:lang w:val="es-ES"/>
        </w:rPr>
      </w:pPr>
    </w:p>
    <w:p w14:paraId="243F1722" w14:textId="55BEA258" w:rsidR="0092022D" w:rsidRPr="00D17328" w:rsidRDefault="0092022D" w:rsidP="0092022D">
      <w:pPr>
        <w:pStyle w:val="PRIMERAPLANA"/>
        <w:spacing w:line="360" w:lineRule="auto"/>
        <w:rPr>
          <w:rFonts w:ascii="Times New Roman" w:hAnsi="Times New Roman"/>
          <w:bCs/>
          <w:lang w:val="es-ES"/>
        </w:rPr>
      </w:pPr>
      <w:r w:rsidRPr="00D17328">
        <w:rPr>
          <w:rFonts w:ascii="Times New Roman" w:hAnsi="Times New Roman"/>
          <w:bCs/>
          <w:lang w:val="es-ES"/>
        </w:rPr>
        <w:t>La estrategia de construir mecanismos y rediseñar estrategias que consoliden la economía, para fortalecer la infraestructura estatal, su equipamiento y modernización de los servicios que proporciona el Estado, ha permitido disminuir la brecha de la pobreza entre los ciudadanos tlaxcaltecas, mejorando su calidad de vida, consolidando a nuestra Entidad en una de las más prósperas y competitivas dentro del mercado nacional e internacional.</w:t>
      </w:r>
    </w:p>
    <w:p w14:paraId="0DE47A89" w14:textId="095C1C33" w:rsidR="003253A4" w:rsidRPr="00D17328" w:rsidRDefault="003253A4" w:rsidP="003253A4">
      <w:pPr>
        <w:pStyle w:val="PRIMERAPLANA"/>
        <w:spacing w:line="360" w:lineRule="auto"/>
        <w:rPr>
          <w:rFonts w:ascii="Times New Roman" w:hAnsi="Times New Roman"/>
          <w:bCs/>
          <w:lang w:val="es-ES"/>
        </w:rPr>
      </w:pPr>
    </w:p>
    <w:p w14:paraId="2DB28BDF" w14:textId="1A260327" w:rsidR="002E2358" w:rsidRPr="00D17328" w:rsidRDefault="002E2358" w:rsidP="002E2358">
      <w:pPr>
        <w:pStyle w:val="PRIMERAPLANA"/>
        <w:spacing w:line="360" w:lineRule="auto"/>
        <w:rPr>
          <w:rFonts w:ascii="Times New Roman" w:hAnsi="Times New Roman"/>
          <w:bCs/>
          <w:lang w:val="es-ES"/>
        </w:rPr>
      </w:pPr>
      <w:r w:rsidRPr="00D17328">
        <w:rPr>
          <w:rFonts w:ascii="Times New Roman" w:hAnsi="Times New Roman"/>
          <w:bCs/>
          <w:lang w:val="es-ES"/>
        </w:rPr>
        <w:t>El fin último de todas las acciones gubernamentales, es el mejorar las condiciones de vida de los tlaxcaltecas, especialmente de los que menos tienen. Al respecto, de acuerdo a las últimas mediciones oficiales a cargo del Consejo Nacional de Evaluación de la Política de Desarrollo Social (CONEVAL), la pobreza en Tlaxcala ha disminuido. En lo que va de este gobierno, bajó de 53.9 a 48.4</w:t>
      </w:r>
      <w:r w:rsidR="00963CDF" w:rsidRPr="00D17328">
        <w:rPr>
          <w:rFonts w:ascii="Times New Roman" w:hAnsi="Times New Roman"/>
          <w:bCs/>
          <w:lang w:val="es-ES"/>
        </w:rPr>
        <w:t>%</w:t>
      </w:r>
      <w:r w:rsidRPr="00D17328">
        <w:rPr>
          <w:rFonts w:ascii="Times New Roman" w:hAnsi="Times New Roman"/>
          <w:bCs/>
          <w:lang w:val="es-ES"/>
        </w:rPr>
        <w:t>. Esta es una caída de 5.5 puntos porcentuales y la tercera disminución más grande del país en este indicador. Más aún: es equivalente a 3.2 veces la mejoría que hubo en el promedio de todos los Estados de la República; es decir, en el Estado se está reduciendo la pobreza a un ritmo tres veces más acelerado que el promedio nacional. En el mismo periodo, la pobreza extrema pasó de 5.7 a 3</w:t>
      </w:r>
      <w:r w:rsidR="006849EE" w:rsidRPr="00D17328">
        <w:rPr>
          <w:rFonts w:ascii="Times New Roman" w:hAnsi="Times New Roman"/>
          <w:bCs/>
          <w:lang w:val="es-ES"/>
        </w:rPr>
        <w:t>.</w:t>
      </w:r>
      <w:r w:rsidRPr="00D17328">
        <w:rPr>
          <w:rFonts w:ascii="Times New Roman" w:hAnsi="Times New Roman"/>
          <w:bCs/>
          <w:lang w:val="es-ES"/>
        </w:rPr>
        <w:t>1</w:t>
      </w:r>
      <w:r w:rsidR="00963CDF" w:rsidRPr="00D17328">
        <w:rPr>
          <w:rFonts w:ascii="Times New Roman" w:hAnsi="Times New Roman"/>
          <w:bCs/>
          <w:lang w:val="es-ES"/>
        </w:rPr>
        <w:t>%</w:t>
      </w:r>
      <w:r w:rsidRPr="00D17328">
        <w:rPr>
          <w:rFonts w:ascii="Times New Roman" w:hAnsi="Times New Roman"/>
          <w:bCs/>
          <w:lang w:val="es-ES"/>
        </w:rPr>
        <w:t xml:space="preserve">, lo que representa una reducción de 2.6 puntos porcentuales en este indicador; esta es la tercera baja más grande entre todas las entidades del país. En términos globales, Tlaxcala pasó del séptimo al octavo lugar nacional en población </w:t>
      </w:r>
      <w:r w:rsidR="006849EE" w:rsidRPr="00D17328">
        <w:rPr>
          <w:rFonts w:ascii="Times New Roman" w:hAnsi="Times New Roman"/>
          <w:bCs/>
          <w:lang w:val="es-ES"/>
        </w:rPr>
        <w:t>con</w:t>
      </w:r>
      <w:r w:rsidRPr="00D17328">
        <w:rPr>
          <w:rFonts w:ascii="Times New Roman" w:hAnsi="Times New Roman"/>
          <w:bCs/>
          <w:lang w:val="es-ES"/>
        </w:rPr>
        <w:t xml:space="preserve"> pobreza, y del decimoquinto al decimonoveno en pobreza extrema. </w:t>
      </w:r>
    </w:p>
    <w:p w14:paraId="4CF81549" w14:textId="570E3161" w:rsidR="00BB4A43" w:rsidRPr="00D17328" w:rsidRDefault="00BB4A43" w:rsidP="001A04E3">
      <w:pPr>
        <w:pStyle w:val="PRIMERAPLANA"/>
        <w:spacing w:line="360" w:lineRule="auto"/>
        <w:rPr>
          <w:rFonts w:ascii="Times New Roman" w:hAnsi="Times New Roman"/>
          <w:bCs/>
          <w:lang w:val="es-ES"/>
        </w:rPr>
      </w:pPr>
    </w:p>
    <w:p w14:paraId="568939AB" w14:textId="665C0866" w:rsidR="0090364E" w:rsidRPr="00D17328" w:rsidRDefault="0090364E" w:rsidP="001A04E3">
      <w:pPr>
        <w:pStyle w:val="PRIMERAPLANA"/>
        <w:spacing w:line="360" w:lineRule="auto"/>
        <w:rPr>
          <w:rFonts w:ascii="Times New Roman" w:hAnsi="Times New Roman"/>
          <w:bCs/>
          <w:lang w:val="es-ES"/>
        </w:rPr>
      </w:pPr>
      <w:r w:rsidRPr="00D17328">
        <w:rPr>
          <w:rFonts w:ascii="Times New Roman" w:hAnsi="Times New Roman"/>
          <w:bCs/>
          <w:lang w:val="es-ES"/>
        </w:rPr>
        <w:t xml:space="preserve">En 2021 las políticas públicas deberán continuar adaptándose a la trayectoria de la pandemia del COVID-19, garantizando la disponibilidad de atención médica, </w:t>
      </w:r>
      <w:r w:rsidR="0092022D" w:rsidRPr="00D17328">
        <w:rPr>
          <w:rFonts w:ascii="Times New Roman" w:hAnsi="Times New Roman"/>
          <w:bCs/>
          <w:lang w:val="es-ES"/>
        </w:rPr>
        <w:t>gestionando</w:t>
      </w:r>
      <w:r w:rsidRPr="00D17328">
        <w:rPr>
          <w:rFonts w:ascii="Times New Roman" w:hAnsi="Times New Roman"/>
          <w:bCs/>
          <w:lang w:val="es-ES"/>
        </w:rPr>
        <w:t xml:space="preserve"> una recuperación económica sostenida pero segura en términos sanitarios</w:t>
      </w:r>
      <w:r w:rsidR="0092022D" w:rsidRPr="00D17328">
        <w:rPr>
          <w:rFonts w:ascii="Times New Roman" w:hAnsi="Times New Roman"/>
          <w:bCs/>
          <w:lang w:val="es-ES"/>
        </w:rPr>
        <w:t xml:space="preserve"> y</w:t>
      </w:r>
      <w:r w:rsidRPr="00D17328">
        <w:rPr>
          <w:rFonts w:ascii="Times New Roman" w:hAnsi="Times New Roman"/>
          <w:bCs/>
          <w:lang w:val="es-ES"/>
        </w:rPr>
        <w:t xml:space="preserve"> preservando finanzas públicas sanas, a fin de contribuir a la estabilidad económica y disponer de recursos para cumplir los objetivos del Estado</w:t>
      </w:r>
      <w:r w:rsidR="0092022D" w:rsidRPr="00D17328">
        <w:rPr>
          <w:rFonts w:ascii="Times New Roman" w:hAnsi="Times New Roman"/>
          <w:bCs/>
          <w:lang w:val="es-ES"/>
        </w:rPr>
        <w:t xml:space="preserve"> planteados en el Plan Estatal de Desarrollo 2017-2021.</w:t>
      </w:r>
    </w:p>
    <w:p w14:paraId="43F83942" w14:textId="11846563" w:rsidR="0090364E" w:rsidRPr="00D17328" w:rsidRDefault="0090364E" w:rsidP="001A04E3">
      <w:pPr>
        <w:pStyle w:val="PRIMERAPLANA"/>
        <w:spacing w:line="360" w:lineRule="auto"/>
        <w:rPr>
          <w:rFonts w:ascii="Times New Roman" w:hAnsi="Times New Roman"/>
          <w:bCs/>
          <w:lang w:val="es-ES"/>
        </w:rPr>
      </w:pPr>
    </w:p>
    <w:p w14:paraId="1F323ECA" w14:textId="43257DF3" w:rsidR="0090364E" w:rsidRPr="00D17328" w:rsidRDefault="000243FF" w:rsidP="001A04E3">
      <w:pPr>
        <w:pStyle w:val="PRIMERAPLANA"/>
        <w:spacing w:line="360" w:lineRule="auto"/>
        <w:rPr>
          <w:rFonts w:ascii="Times New Roman" w:hAnsi="Times New Roman"/>
          <w:bCs/>
          <w:lang w:val="es-ES"/>
        </w:rPr>
      </w:pPr>
      <w:r w:rsidRPr="00D17328">
        <w:rPr>
          <w:rFonts w:ascii="Times New Roman" w:hAnsi="Times New Roman"/>
          <w:bCs/>
          <w:lang w:val="es-ES"/>
        </w:rPr>
        <w:t xml:space="preserve">No existen datos recientes para dimensionar la situación que se está enfrentando a nivel mundial en el año 2020. El virus SARS-CoV-2, causante de la enfermedad COVID-19, es nuevo y se </w:t>
      </w:r>
      <w:r w:rsidR="00F7217B" w:rsidRPr="00D17328">
        <w:rPr>
          <w:rFonts w:ascii="Times New Roman" w:hAnsi="Times New Roman"/>
          <w:bCs/>
          <w:lang w:val="es-ES"/>
        </w:rPr>
        <w:t>está</w:t>
      </w:r>
      <w:r w:rsidRPr="00D17328">
        <w:rPr>
          <w:rFonts w:ascii="Times New Roman" w:hAnsi="Times New Roman"/>
          <w:bCs/>
          <w:lang w:val="es-ES"/>
        </w:rPr>
        <w:t xml:space="preserve"> </w:t>
      </w:r>
      <w:r w:rsidRPr="00D17328">
        <w:rPr>
          <w:rFonts w:ascii="Times New Roman" w:hAnsi="Times New Roman"/>
          <w:bCs/>
          <w:lang w:val="es-ES"/>
        </w:rPr>
        <w:lastRenderedPageBreak/>
        <w:t>aprendi</w:t>
      </w:r>
      <w:r w:rsidR="00F7217B" w:rsidRPr="00D17328">
        <w:rPr>
          <w:rFonts w:ascii="Times New Roman" w:hAnsi="Times New Roman"/>
          <w:bCs/>
          <w:lang w:val="es-ES"/>
        </w:rPr>
        <w:t>en</w:t>
      </w:r>
      <w:r w:rsidRPr="00D17328">
        <w:rPr>
          <w:rFonts w:ascii="Times New Roman" w:hAnsi="Times New Roman"/>
          <w:bCs/>
          <w:lang w:val="es-ES"/>
        </w:rPr>
        <w:t>do conforme ha avanzado la pandemia. Por lo que el alcance, la magnitud y la duración de las medidas de confinamiento y distanciamiento social tomadas para mitigar la propagación de la enfermedad no tienen precedentes</w:t>
      </w:r>
      <w:r w:rsidR="00F7217B" w:rsidRPr="00D17328">
        <w:rPr>
          <w:rFonts w:ascii="Times New Roman" w:hAnsi="Times New Roman"/>
          <w:bCs/>
          <w:lang w:val="es-ES"/>
        </w:rPr>
        <w:t>.</w:t>
      </w:r>
    </w:p>
    <w:p w14:paraId="401374A7" w14:textId="77777777" w:rsidR="000243FF" w:rsidRPr="00D17328" w:rsidRDefault="000243FF" w:rsidP="008B23A2">
      <w:pPr>
        <w:pStyle w:val="PRIMERAPLANA"/>
        <w:spacing w:line="360" w:lineRule="auto"/>
        <w:rPr>
          <w:rFonts w:ascii="Times New Roman" w:hAnsi="Times New Roman"/>
          <w:bCs/>
          <w:lang w:val="es-ES"/>
        </w:rPr>
      </w:pPr>
    </w:p>
    <w:p w14:paraId="1AC8B0DC" w14:textId="2895E7AD" w:rsidR="00870279" w:rsidRPr="00D17328" w:rsidRDefault="00D153A7" w:rsidP="00AA2E86">
      <w:pPr>
        <w:pStyle w:val="PRIMERAPLANA"/>
        <w:spacing w:line="360" w:lineRule="auto"/>
        <w:rPr>
          <w:rFonts w:ascii="Times New Roman" w:hAnsi="Times New Roman"/>
          <w:bCs/>
          <w:lang w:val="es-ES"/>
        </w:rPr>
      </w:pPr>
      <w:r w:rsidRPr="00D17328">
        <w:rPr>
          <w:rFonts w:ascii="Times New Roman" w:hAnsi="Times New Roman"/>
          <w:bCs/>
          <w:lang w:val="es-ES"/>
        </w:rPr>
        <w:t xml:space="preserve">En </w:t>
      </w:r>
      <w:r w:rsidR="007E05E2" w:rsidRPr="00D17328">
        <w:rPr>
          <w:rFonts w:ascii="Times New Roman" w:hAnsi="Times New Roman"/>
          <w:bCs/>
          <w:lang w:val="es-ES"/>
        </w:rPr>
        <w:t>la</w:t>
      </w:r>
      <w:r w:rsidR="00832872" w:rsidRPr="00D17328">
        <w:rPr>
          <w:rFonts w:ascii="Times New Roman" w:hAnsi="Times New Roman"/>
          <w:bCs/>
          <w:lang w:val="es-ES"/>
        </w:rPr>
        <w:t xml:space="preserve"> </w:t>
      </w:r>
      <w:r w:rsidR="007E05E2" w:rsidRPr="00D17328">
        <w:rPr>
          <w:rFonts w:ascii="Times New Roman" w:hAnsi="Times New Roman"/>
          <w:bCs/>
          <w:lang w:val="es-ES"/>
        </w:rPr>
        <w:t>Iniciativa de Ley de Ingresos del Estado de Tlaxcala para el Ejercicio Fiscal 20</w:t>
      </w:r>
      <w:r w:rsidR="00B536FC" w:rsidRPr="00D17328">
        <w:rPr>
          <w:rFonts w:ascii="Times New Roman" w:hAnsi="Times New Roman"/>
          <w:bCs/>
          <w:lang w:val="es-ES"/>
        </w:rPr>
        <w:t>2</w:t>
      </w:r>
      <w:r w:rsidR="00081031" w:rsidRPr="00D17328">
        <w:rPr>
          <w:rFonts w:ascii="Times New Roman" w:hAnsi="Times New Roman"/>
          <w:bCs/>
          <w:lang w:val="es-ES"/>
        </w:rPr>
        <w:t>1</w:t>
      </w:r>
      <w:r w:rsidR="007E05E2" w:rsidRPr="00D17328">
        <w:rPr>
          <w:rFonts w:ascii="Times New Roman" w:hAnsi="Times New Roman"/>
          <w:bCs/>
          <w:lang w:val="es-ES"/>
        </w:rPr>
        <w:t>,</w:t>
      </w:r>
      <w:r w:rsidRPr="00D17328">
        <w:rPr>
          <w:rFonts w:ascii="Times New Roman" w:hAnsi="Times New Roman"/>
          <w:bCs/>
          <w:lang w:val="es-ES"/>
        </w:rPr>
        <w:t xml:space="preserve"> </w:t>
      </w:r>
      <w:r w:rsidR="000760AB" w:rsidRPr="00D17328">
        <w:rPr>
          <w:rFonts w:ascii="Times New Roman" w:hAnsi="Times New Roman"/>
          <w:bCs/>
          <w:lang w:val="es-ES"/>
        </w:rPr>
        <w:t xml:space="preserve">que se somete a consideración </w:t>
      </w:r>
      <w:r w:rsidR="007E05E2" w:rsidRPr="00D17328">
        <w:rPr>
          <w:rFonts w:ascii="Times New Roman" w:hAnsi="Times New Roman"/>
          <w:bCs/>
          <w:lang w:val="es-ES"/>
        </w:rPr>
        <w:t>de esa Legislatura, se encuentra</w:t>
      </w:r>
      <w:r w:rsidRPr="00D17328">
        <w:rPr>
          <w:rFonts w:ascii="Times New Roman" w:hAnsi="Times New Roman"/>
          <w:bCs/>
          <w:lang w:val="es-ES"/>
        </w:rPr>
        <w:t xml:space="preserve"> implícito el compromiso de </w:t>
      </w:r>
      <w:r w:rsidR="00870279" w:rsidRPr="00D17328">
        <w:rPr>
          <w:rFonts w:ascii="Times New Roman" w:hAnsi="Times New Roman"/>
          <w:bCs/>
          <w:lang w:val="es-ES"/>
        </w:rPr>
        <w:t xml:space="preserve">esta Administración de </w:t>
      </w:r>
      <w:r w:rsidRPr="00D17328">
        <w:rPr>
          <w:rFonts w:ascii="Times New Roman" w:hAnsi="Times New Roman"/>
          <w:bCs/>
          <w:lang w:val="es-ES"/>
        </w:rPr>
        <w:t xml:space="preserve">eficientar la recaudación y </w:t>
      </w:r>
      <w:r w:rsidR="00870279" w:rsidRPr="00D17328">
        <w:rPr>
          <w:rFonts w:ascii="Times New Roman" w:hAnsi="Times New Roman"/>
          <w:bCs/>
          <w:lang w:val="es-ES"/>
        </w:rPr>
        <w:t xml:space="preserve">fortalecer </w:t>
      </w:r>
      <w:r w:rsidRPr="00D17328">
        <w:rPr>
          <w:rFonts w:ascii="Times New Roman" w:hAnsi="Times New Roman"/>
          <w:bCs/>
          <w:lang w:val="es-ES"/>
        </w:rPr>
        <w:t>las acciones de fiscalización, coadyuv</w:t>
      </w:r>
      <w:r w:rsidR="00C001FB" w:rsidRPr="00D17328">
        <w:rPr>
          <w:rFonts w:ascii="Times New Roman" w:hAnsi="Times New Roman"/>
          <w:bCs/>
          <w:lang w:val="es-ES"/>
        </w:rPr>
        <w:t>ando</w:t>
      </w:r>
      <w:r w:rsidRPr="00D17328">
        <w:rPr>
          <w:rFonts w:ascii="Times New Roman" w:hAnsi="Times New Roman"/>
          <w:bCs/>
          <w:lang w:val="es-ES"/>
        </w:rPr>
        <w:t xml:space="preserve"> a </w:t>
      </w:r>
      <w:r w:rsidR="000760AB" w:rsidRPr="00D17328">
        <w:rPr>
          <w:rFonts w:ascii="Times New Roman" w:hAnsi="Times New Roman"/>
          <w:bCs/>
          <w:lang w:val="es-ES"/>
        </w:rPr>
        <w:t>incrementar los</w:t>
      </w:r>
      <w:r w:rsidRPr="00D17328">
        <w:rPr>
          <w:rFonts w:ascii="Times New Roman" w:hAnsi="Times New Roman"/>
          <w:bCs/>
          <w:lang w:val="es-ES"/>
        </w:rPr>
        <w:t xml:space="preserve"> ingresos propios</w:t>
      </w:r>
      <w:r w:rsidR="000760AB" w:rsidRPr="00D17328">
        <w:rPr>
          <w:rFonts w:ascii="Times New Roman" w:hAnsi="Times New Roman"/>
          <w:bCs/>
          <w:lang w:val="es-ES"/>
        </w:rPr>
        <w:t xml:space="preserve"> del Estado</w:t>
      </w:r>
      <w:r w:rsidR="00ED313A" w:rsidRPr="00D17328">
        <w:rPr>
          <w:rFonts w:ascii="Times New Roman" w:hAnsi="Times New Roman"/>
          <w:bCs/>
          <w:lang w:val="es-ES"/>
        </w:rPr>
        <w:t>, para lo cual debemos de considerar los siguientes factores derivados de la crisis sanitaria:</w:t>
      </w:r>
    </w:p>
    <w:p w14:paraId="715A0E6F" w14:textId="77777777" w:rsidR="00ED313A" w:rsidRPr="00D17328" w:rsidRDefault="00ED313A" w:rsidP="00AA2E86">
      <w:pPr>
        <w:pStyle w:val="PRIMERAPLANA"/>
        <w:spacing w:line="360" w:lineRule="auto"/>
        <w:rPr>
          <w:rFonts w:ascii="Times New Roman" w:hAnsi="Times New Roman"/>
          <w:bCs/>
          <w:lang w:val="es-ES"/>
        </w:rPr>
      </w:pPr>
    </w:p>
    <w:p w14:paraId="4B3DCA47" w14:textId="63051678" w:rsidR="00ED313A" w:rsidRPr="00F532D5" w:rsidRDefault="00870279" w:rsidP="00800CF7">
      <w:pPr>
        <w:pStyle w:val="PRIMERAPLANA"/>
        <w:numPr>
          <w:ilvl w:val="0"/>
          <w:numId w:val="9"/>
        </w:numPr>
        <w:spacing w:line="360" w:lineRule="auto"/>
        <w:rPr>
          <w:rFonts w:ascii="Times New Roman" w:hAnsi="Times New Roman"/>
          <w:bCs/>
          <w:lang w:val="es-ES"/>
        </w:rPr>
      </w:pPr>
      <w:r w:rsidRPr="00F532D5">
        <w:rPr>
          <w:rFonts w:ascii="Times New Roman" w:hAnsi="Times New Roman"/>
          <w:bCs/>
          <w:lang w:val="es-ES"/>
        </w:rPr>
        <w:t>Un incremento del gasto en salud</w:t>
      </w:r>
      <w:r w:rsidR="00ED313A" w:rsidRPr="00F532D5">
        <w:rPr>
          <w:rFonts w:ascii="Times New Roman" w:hAnsi="Times New Roman"/>
          <w:bCs/>
          <w:lang w:val="es-ES"/>
        </w:rPr>
        <w:t>.</w:t>
      </w:r>
    </w:p>
    <w:p w14:paraId="0F5E0891" w14:textId="506425E7" w:rsidR="00ED313A" w:rsidRPr="00F532D5" w:rsidRDefault="00870279" w:rsidP="00800CF7">
      <w:pPr>
        <w:pStyle w:val="PRIMERAPLANA"/>
        <w:numPr>
          <w:ilvl w:val="0"/>
          <w:numId w:val="9"/>
        </w:numPr>
        <w:spacing w:line="360" w:lineRule="auto"/>
        <w:rPr>
          <w:rFonts w:ascii="Times New Roman" w:hAnsi="Times New Roman"/>
          <w:bCs/>
          <w:lang w:val="es-ES"/>
        </w:rPr>
      </w:pPr>
      <w:r w:rsidRPr="00F532D5">
        <w:rPr>
          <w:rFonts w:ascii="Times New Roman" w:hAnsi="Times New Roman"/>
          <w:bCs/>
          <w:lang w:val="es-ES"/>
        </w:rPr>
        <w:t>Una mayor asignación d</w:t>
      </w:r>
      <w:r w:rsidR="00ED313A" w:rsidRPr="00F532D5">
        <w:rPr>
          <w:rFonts w:ascii="Times New Roman" w:hAnsi="Times New Roman"/>
          <w:bCs/>
          <w:lang w:val="es-ES"/>
        </w:rPr>
        <w:t>e recursos a programas sociales.</w:t>
      </w:r>
    </w:p>
    <w:p w14:paraId="12EFFC54" w14:textId="0F74045C" w:rsidR="00ED313A" w:rsidRPr="00F532D5" w:rsidRDefault="00870279" w:rsidP="00800CF7">
      <w:pPr>
        <w:pStyle w:val="PRIMERAPLANA"/>
        <w:numPr>
          <w:ilvl w:val="0"/>
          <w:numId w:val="9"/>
        </w:numPr>
        <w:spacing w:line="360" w:lineRule="auto"/>
        <w:rPr>
          <w:rFonts w:ascii="Times New Roman" w:hAnsi="Times New Roman"/>
          <w:bCs/>
          <w:lang w:val="es-ES"/>
        </w:rPr>
      </w:pPr>
      <w:r w:rsidRPr="00F532D5">
        <w:rPr>
          <w:rFonts w:ascii="Times New Roman" w:hAnsi="Times New Roman"/>
          <w:bCs/>
          <w:lang w:val="es-ES"/>
        </w:rPr>
        <w:t>Otorgamiento de facilidades y apoyos económicos a los sectores productivos</w:t>
      </w:r>
      <w:r w:rsidR="00ED313A" w:rsidRPr="00F532D5">
        <w:rPr>
          <w:rFonts w:ascii="Times New Roman" w:hAnsi="Times New Roman"/>
          <w:bCs/>
          <w:lang w:val="es-ES"/>
        </w:rPr>
        <w:t>.</w:t>
      </w:r>
    </w:p>
    <w:p w14:paraId="04F61B33" w14:textId="6103BEE8" w:rsidR="00870279" w:rsidRPr="00F532D5" w:rsidRDefault="00870279" w:rsidP="00800CF7">
      <w:pPr>
        <w:pStyle w:val="PRIMERAPLANA"/>
        <w:numPr>
          <w:ilvl w:val="0"/>
          <w:numId w:val="9"/>
        </w:numPr>
        <w:spacing w:line="360" w:lineRule="auto"/>
        <w:rPr>
          <w:rFonts w:ascii="Times New Roman" w:hAnsi="Times New Roman"/>
          <w:bCs/>
          <w:lang w:val="es-ES"/>
        </w:rPr>
      </w:pPr>
      <w:r w:rsidRPr="00F532D5">
        <w:rPr>
          <w:rFonts w:ascii="Times New Roman" w:hAnsi="Times New Roman"/>
          <w:bCs/>
          <w:lang w:val="es-ES"/>
        </w:rPr>
        <w:t>Una disminución en los ingresos tributarios y no tributarios del Estado, por efecto de la disminución de las actividades económicas</w:t>
      </w:r>
      <w:r w:rsidR="00ED313A" w:rsidRPr="00F532D5">
        <w:rPr>
          <w:rFonts w:ascii="Times New Roman" w:hAnsi="Times New Roman"/>
          <w:bCs/>
          <w:lang w:val="es-ES"/>
        </w:rPr>
        <w:t>.</w:t>
      </w:r>
    </w:p>
    <w:p w14:paraId="7938E372" w14:textId="67BFC77C" w:rsidR="00FC2D4B" w:rsidRPr="00D17328" w:rsidRDefault="00ED313A" w:rsidP="00870279">
      <w:pPr>
        <w:pStyle w:val="PRIMERAPLANA"/>
        <w:spacing w:line="360" w:lineRule="auto"/>
        <w:rPr>
          <w:rFonts w:ascii="Times New Roman" w:hAnsi="Times New Roman"/>
          <w:bCs/>
          <w:lang w:val="es-ES"/>
        </w:rPr>
      </w:pPr>
      <w:r w:rsidRPr="00D17328">
        <w:rPr>
          <w:rFonts w:ascii="Times New Roman" w:hAnsi="Times New Roman"/>
          <w:bCs/>
          <w:lang w:val="es-ES"/>
        </w:rPr>
        <w:t xml:space="preserve">Para contrarrestar los efectos económicos de la pandemia y dar paso a la reactivación económica </w:t>
      </w:r>
      <w:r w:rsidR="00FC2D4B" w:rsidRPr="00D17328">
        <w:rPr>
          <w:rFonts w:ascii="Times New Roman" w:hAnsi="Times New Roman"/>
          <w:bCs/>
          <w:lang w:val="es-ES"/>
        </w:rPr>
        <w:t>se tomarán las siguientes medidas:</w:t>
      </w:r>
    </w:p>
    <w:p w14:paraId="6F42B104" w14:textId="1B19D480" w:rsidR="00FC2D4B" w:rsidRPr="00F532D5" w:rsidRDefault="00FC2D4B" w:rsidP="00800CF7">
      <w:pPr>
        <w:pStyle w:val="PRIMERAPLANA"/>
        <w:numPr>
          <w:ilvl w:val="0"/>
          <w:numId w:val="10"/>
        </w:numPr>
        <w:spacing w:line="360" w:lineRule="auto"/>
        <w:rPr>
          <w:rFonts w:ascii="Times New Roman" w:hAnsi="Times New Roman"/>
          <w:bCs/>
          <w:lang w:val="es-ES"/>
        </w:rPr>
      </w:pPr>
      <w:r w:rsidRPr="00F532D5">
        <w:rPr>
          <w:rFonts w:ascii="Times New Roman" w:hAnsi="Times New Roman"/>
          <w:bCs/>
          <w:lang w:val="es-ES"/>
        </w:rPr>
        <w:t>Flexibilizar las restricciones a las actividades no esenciales de forma gradual, en la misma medida que se reactiven los sectores económicos de la Entidad.</w:t>
      </w:r>
    </w:p>
    <w:p w14:paraId="07F35358" w14:textId="32C69A80" w:rsidR="00FC2D4B" w:rsidRPr="00F532D5" w:rsidRDefault="00FC2D4B" w:rsidP="00800CF7">
      <w:pPr>
        <w:pStyle w:val="PRIMERAPLANA"/>
        <w:numPr>
          <w:ilvl w:val="0"/>
          <w:numId w:val="10"/>
        </w:numPr>
        <w:spacing w:line="360" w:lineRule="auto"/>
        <w:ind w:left="709"/>
        <w:rPr>
          <w:rFonts w:ascii="Times New Roman" w:hAnsi="Times New Roman"/>
          <w:bCs/>
          <w:lang w:val="es-ES"/>
        </w:rPr>
      </w:pPr>
      <w:r w:rsidRPr="00F532D5">
        <w:rPr>
          <w:rFonts w:ascii="Times New Roman" w:hAnsi="Times New Roman"/>
          <w:bCs/>
          <w:lang w:val="es-ES"/>
        </w:rPr>
        <w:t>Continuar otorgando facilidades económicas y administrativas a</w:t>
      </w:r>
      <w:r w:rsidR="00ED313A" w:rsidRPr="00F532D5">
        <w:rPr>
          <w:rFonts w:ascii="Times New Roman" w:hAnsi="Times New Roman"/>
          <w:bCs/>
          <w:lang w:val="es-ES"/>
        </w:rPr>
        <w:t xml:space="preserve"> </w:t>
      </w:r>
      <w:r w:rsidRPr="00F532D5">
        <w:rPr>
          <w:rFonts w:ascii="Times New Roman" w:hAnsi="Times New Roman"/>
          <w:bCs/>
          <w:lang w:val="es-ES"/>
        </w:rPr>
        <w:t>l</w:t>
      </w:r>
      <w:r w:rsidR="00515A70" w:rsidRPr="00F532D5">
        <w:rPr>
          <w:rFonts w:ascii="Times New Roman" w:hAnsi="Times New Roman"/>
          <w:bCs/>
          <w:lang w:val="es-ES"/>
        </w:rPr>
        <w:t>os micro y pequeños empresarios.</w:t>
      </w:r>
    </w:p>
    <w:p w14:paraId="7E8A2B59" w14:textId="48116074" w:rsidR="00FC2D4B" w:rsidRPr="00F532D5" w:rsidRDefault="00EF58FA" w:rsidP="00800CF7">
      <w:pPr>
        <w:pStyle w:val="PRIMERAPLANA"/>
        <w:numPr>
          <w:ilvl w:val="0"/>
          <w:numId w:val="10"/>
        </w:numPr>
        <w:spacing w:line="360" w:lineRule="auto"/>
        <w:rPr>
          <w:rFonts w:ascii="Times New Roman" w:hAnsi="Times New Roman"/>
          <w:bCs/>
          <w:lang w:val="es-ES"/>
        </w:rPr>
      </w:pPr>
      <w:r w:rsidRPr="00F532D5">
        <w:rPr>
          <w:rFonts w:ascii="Times New Roman" w:hAnsi="Times New Roman"/>
          <w:bCs/>
          <w:lang w:val="es-ES"/>
        </w:rPr>
        <w:t>Fortalecer</w:t>
      </w:r>
      <w:r w:rsidR="00FC2D4B" w:rsidRPr="00F532D5">
        <w:rPr>
          <w:rFonts w:ascii="Times New Roman" w:hAnsi="Times New Roman"/>
          <w:bCs/>
          <w:lang w:val="es-ES"/>
        </w:rPr>
        <w:t xml:space="preserve"> la inversión en proyectos de infraestructura estratégica de la Entidad</w:t>
      </w:r>
      <w:r w:rsidR="00515A70" w:rsidRPr="00F532D5">
        <w:rPr>
          <w:rFonts w:ascii="Times New Roman" w:hAnsi="Times New Roman"/>
          <w:bCs/>
          <w:lang w:val="es-ES"/>
        </w:rPr>
        <w:t>.</w:t>
      </w:r>
    </w:p>
    <w:p w14:paraId="3D6441D0" w14:textId="79ACD12C" w:rsidR="00FC2D4B" w:rsidRPr="00D17328" w:rsidRDefault="00EF58FA" w:rsidP="00800CF7">
      <w:pPr>
        <w:pStyle w:val="PRIMERAPLANA"/>
        <w:numPr>
          <w:ilvl w:val="0"/>
          <w:numId w:val="10"/>
        </w:numPr>
        <w:spacing w:line="360" w:lineRule="auto"/>
        <w:rPr>
          <w:rFonts w:ascii="Times New Roman" w:hAnsi="Times New Roman"/>
          <w:bCs/>
          <w:lang w:val="es-ES"/>
        </w:rPr>
      </w:pPr>
      <w:r w:rsidRPr="00D17328">
        <w:rPr>
          <w:rFonts w:ascii="Times New Roman" w:hAnsi="Times New Roman"/>
          <w:bCs/>
          <w:lang w:val="es-ES"/>
        </w:rPr>
        <w:t>Dar continuidad a los Programas dirigidos a las personas en condiciones de pobreza, marginación o en situación de vulnerabilidad en el Estado</w:t>
      </w:r>
      <w:r w:rsidR="00515A70" w:rsidRPr="00D17328">
        <w:rPr>
          <w:rFonts w:ascii="Times New Roman" w:hAnsi="Times New Roman"/>
          <w:bCs/>
          <w:lang w:val="es-ES"/>
        </w:rPr>
        <w:t>.</w:t>
      </w:r>
    </w:p>
    <w:p w14:paraId="1BEF35C3" w14:textId="77777777" w:rsidR="00FC2D4B" w:rsidRPr="00D17328" w:rsidRDefault="00FC2D4B" w:rsidP="00870279">
      <w:pPr>
        <w:pStyle w:val="PRIMERAPLANA"/>
        <w:spacing w:line="360" w:lineRule="auto"/>
        <w:rPr>
          <w:rFonts w:ascii="Times New Roman" w:hAnsi="Times New Roman"/>
          <w:bCs/>
          <w:lang w:val="es-ES"/>
        </w:rPr>
      </w:pPr>
    </w:p>
    <w:p w14:paraId="1AC4743A" w14:textId="72F2EF70" w:rsidR="001E4CD6" w:rsidRPr="00D17328" w:rsidRDefault="00EF58FA" w:rsidP="00EF58FA">
      <w:pPr>
        <w:pStyle w:val="PRIMERAPLANA"/>
        <w:spacing w:line="360" w:lineRule="auto"/>
        <w:rPr>
          <w:rFonts w:ascii="Times New Roman" w:hAnsi="Times New Roman"/>
          <w:bCs/>
          <w:lang w:val="es-ES"/>
        </w:rPr>
      </w:pPr>
      <w:r w:rsidRPr="00D17328">
        <w:rPr>
          <w:rFonts w:ascii="Times New Roman" w:hAnsi="Times New Roman"/>
          <w:bCs/>
          <w:lang w:val="es-ES"/>
        </w:rPr>
        <w:t>Es por ello que</w:t>
      </w:r>
      <w:r w:rsidR="00E31B8C" w:rsidRPr="00D17328">
        <w:rPr>
          <w:rFonts w:ascii="Times New Roman" w:hAnsi="Times New Roman"/>
          <w:bCs/>
          <w:lang w:val="es-ES"/>
        </w:rPr>
        <w:t>,</w:t>
      </w:r>
      <w:r w:rsidRPr="00D17328">
        <w:rPr>
          <w:rFonts w:ascii="Times New Roman" w:hAnsi="Times New Roman"/>
          <w:bCs/>
          <w:lang w:val="es-ES"/>
        </w:rPr>
        <w:t xml:space="preserve"> considerando el entorno económico local y nacional, y la evolución de las diversas variables económicas y la incertidumbre que prevalece por la pandemia del COVID-19</w:t>
      </w:r>
      <w:r w:rsidR="00E31B8C" w:rsidRPr="00D17328">
        <w:rPr>
          <w:rFonts w:ascii="Times New Roman" w:hAnsi="Times New Roman"/>
          <w:bCs/>
          <w:lang w:val="es-ES"/>
        </w:rPr>
        <w:t>, se estima una reactivación económica paulatina</w:t>
      </w:r>
      <w:r w:rsidR="001E4CD6" w:rsidRPr="00D17328">
        <w:rPr>
          <w:rFonts w:ascii="Times New Roman" w:hAnsi="Times New Roman"/>
          <w:bCs/>
          <w:lang w:val="es-ES"/>
        </w:rPr>
        <w:t xml:space="preserve"> acorde a las expectativas del mercado, con la finalidad de que el presupuesto de ingresos refleje el balance de riesgos que presenta la economía actualmente.</w:t>
      </w:r>
    </w:p>
    <w:p w14:paraId="25CCC954" w14:textId="77777777" w:rsidR="001E4CD6" w:rsidRPr="00D17328" w:rsidRDefault="001E4CD6" w:rsidP="00EF58FA">
      <w:pPr>
        <w:pStyle w:val="PRIMERAPLANA"/>
        <w:spacing w:line="360" w:lineRule="auto"/>
        <w:rPr>
          <w:rFonts w:ascii="Times New Roman" w:hAnsi="Times New Roman"/>
          <w:bCs/>
          <w:lang w:val="es-ES"/>
        </w:rPr>
      </w:pPr>
    </w:p>
    <w:p w14:paraId="60D8391C" w14:textId="49AA9FB1" w:rsidR="003A4F1C" w:rsidRPr="00D17328" w:rsidRDefault="003A4F1C" w:rsidP="00AA2E86">
      <w:pPr>
        <w:pStyle w:val="PRIMERAPLANA"/>
        <w:spacing w:line="360" w:lineRule="auto"/>
        <w:rPr>
          <w:rFonts w:ascii="Times New Roman" w:hAnsi="Times New Roman"/>
          <w:bCs/>
          <w:lang w:val="es-ES"/>
        </w:rPr>
      </w:pPr>
      <w:r w:rsidRPr="00D17328">
        <w:rPr>
          <w:rFonts w:ascii="Times New Roman" w:hAnsi="Times New Roman"/>
          <w:bCs/>
          <w:lang w:val="es-ES"/>
        </w:rPr>
        <w:t xml:space="preserve">En </w:t>
      </w:r>
      <w:r w:rsidR="004B2BAE" w:rsidRPr="00D17328">
        <w:rPr>
          <w:rFonts w:ascii="Times New Roman" w:hAnsi="Times New Roman"/>
          <w:bCs/>
          <w:lang w:val="es-ES"/>
        </w:rPr>
        <w:t xml:space="preserve">este marco, para 2021, </w:t>
      </w:r>
      <w:r w:rsidRPr="00D17328">
        <w:rPr>
          <w:rFonts w:ascii="Times New Roman" w:hAnsi="Times New Roman"/>
          <w:bCs/>
          <w:lang w:val="es-ES"/>
        </w:rPr>
        <w:t xml:space="preserve">la Ley de Ingresos del Estado de Tlaxcala es el instrumento jurídico mediante el cual se establecen las fuentes de ingreso y los recursos que anualmente son necesarios para satisfacer </w:t>
      </w:r>
      <w:r w:rsidR="00224146" w:rsidRPr="00D17328">
        <w:rPr>
          <w:rFonts w:ascii="Times New Roman" w:hAnsi="Times New Roman"/>
          <w:bCs/>
          <w:lang w:val="es-ES"/>
        </w:rPr>
        <w:t xml:space="preserve">las necesidades y </w:t>
      </w:r>
      <w:r w:rsidRPr="00D17328">
        <w:rPr>
          <w:rFonts w:ascii="Times New Roman" w:hAnsi="Times New Roman"/>
          <w:bCs/>
          <w:lang w:val="es-ES"/>
        </w:rPr>
        <w:t xml:space="preserve">los requerimientos de la población tlaxcalteca, y en la </w:t>
      </w:r>
      <w:r w:rsidR="00224146" w:rsidRPr="00D17328">
        <w:rPr>
          <w:rFonts w:ascii="Times New Roman" w:hAnsi="Times New Roman"/>
          <w:bCs/>
          <w:lang w:val="es-ES"/>
        </w:rPr>
        <w:t xml:space="preserve">perspectiva </w:t>
      </w:r>
      <w:r w:rsidRPr="00D17328">
        <w:rPr>
          <w:rFonts w:ascii="Times New Roman" w:hAnsi="Times New Roman"/>
          <w:bCs/>
          <w:lang w:val="es-ES"/>
        </w:rPr>
        <w:t>del Gobierno del Estado, la política fiscal estatal est</w:t>
      </w:r>
      <w:r w:rsidR="004B2BAE" w:rsidRPr="00D17328">
        <w:rPr>
          <w:rFonts w:ascii="Times New Roman" w:hAnsi="Times New Roman"/>
          <w:bCs/>
          <w:lang w:val="es-ES"/>
        </w:rPr>
        <w:t>ará</w:t>
      </w:r>
      <w:r w:rsidRPr="00D17328">
        <w:rPr>
          <w:rFonts w:ascii="Times New Roman" w:hAnsi="Times New Roman"/>
          <w:bCs/>
          <w:lang w:val="es-ES"/>
        </w:rPr>
        <w:t xml:space="preserve"> orientada a </w:t>
      </w:r>
      <w:r w:rsidR="004B2BAE" w:rsidRPr="00D17328">
        <w:rPr>
          <w:rFonts w:ascii="Times New Roman" w:hAnsi="Times New Roman"/>
          <w:bCs/>
          <w:lang w:val="es-ES"/>
        </w:rPr>
        <w:t xml:space="preserve">recuperar los ingresos presupuestarios y al manejo </w:t>
      </w:r>
      <w:r w:rsidR="004B2BAE" w:rsidRPr="00D17328">
        <w:rPr>
          <w:rFonts w:ascii="Times New Roman" w:hAnsi="Times New Roman"/>
          <w:bCs/>
          <w:lang w:val="es-ES"/>
        </w:rPr>
        <w:lastRenderedPageBreak/>
        <w:t xml:space="preserve">eficiente del gasto público, que </w:t>
      </w:r>
      <w:r w:rsidRPr="00D17328">
        <w:rPr>
          <w:rFonts w:ascii="Times New Roman" w:hAnsi="Times New Roman"/>
          <w:bCs/>
          <w:lang w:val="es-ES"/>
        </w:rPr>
        <w:t>garanti</w:t>
      </w:r>
      <w:r w:rsidR="004B2BAE" w:rsidRPr="00D17328">
        <w:rPr>
          <w:rFonts w:ascii="Times New Roman" w:hAnsi="Times New Roman"/>
          <w:bCs/>
          <w:lang w:val="es-ES"/>
        </w:rPr>
        <w:t>ce</w:t>
      </w:r>
      <w:r w:rsidRPr="00D17328">
        <w:rPr>
          <w:rFonts w:ascii="Times New Roman" w:hAnsi="Times New Roman"/>
          <w:bCs/>
          <w:lang w:val="es-ES"/>
        </w:rPr>
        <w:t xml:space="preserve"> el respeto</w:t>
      </w:r>
      <w:r w:rsidR="00202AAF" w:rsidRPr="00D17328">
        <w:rPr>
          <w:rFonts w:ascii="Times New Roman" w:hAnsi="Times New Roman"/>
          <w:bCs/>
          <w:lang w:val="es-ES"/>
        </w:rPr>
        <w:t xml:space="preserve"> </w:t>
      </w:r>
      <w:r w:rsidRPr="00D17328">
        <w:rPr>
          <w:rFonts w:ascii="Times New Roman" w:hAnsi="Times New Roman"/>
          <w:bCs/>
          <w:lang w:val="es-ES"/>
        </w:rPr>
        <w:t>a los principios fundamentales de proporcionalidad, equidad y legalidad consagrados en la fracción IV del artículo 31 de la Constitución Política de los Estados Unidos Mexicanos.</w:t>
      </w:r>
    </w:p>
    <w:p w14:paraId="3B8B4C7B" w14:textId="77777777" w:rsidR="003A4F1C" w:rsidRPr="00D17328" w:rsidRDefault="003A4F1C" w:rsidP="00AA2E86">
      <w:pPr>
        <w:pStyle w:val="PRIMERAPLANA"/>
        <w:spacing w:line="360" w:lineRule="auto"/>
        <w:rPr>
          <w:rFonts w:ascii="Times New Roman" w:hAnsi="Times New Roman"/>
          <w:bCs/>
          <w:lang w:val="es-ES"/>
        </w:rPr>
      </w:pPr>
    </w:p>
    <w:p w14:paraId="70AD33A2" w14:textId="43BF05BB" w:rsidR="00AA2E86" w:rsidRPr="00D17328" w:rsidRDefault="00AA2E86" w:rsidP="00AA2E86">
      <w:pPr>
        <w:pStyle w:val="PRIMERAPLANA"/>
        <w:spacing w:line="360" w:lineRule="auto"/>
        <w:rPr>
          <w:rFonts w:ascii="Times New Roman" w:hAnsi="Times New Roman"/>
          <w:bCs/>
          <w:lang w:val="es-ES"/>
        </w:rPr>
      </w:pPr>
      <w:r w:rsidRPr="00D17328">
        <w:rPr>
          <w:rFonts w:ascii="Times New Roman" w:hAnsi="Times New Roman"/>
          <w:bCs/>
          <w:lang w:val="es-ES"/>
        </w:rPr>
        <w:t xml:space="preserve">La política de ingresos </w:t>
      </w:r>
      <w:r w:rsidR="007B2B9D" w:rsidRPr="00D17328">
        <w:rPr>
          <w:rFonts w:ascii="Times New Roman" w:hAnsi="Times New Roman"/>
          <w:bCs/>
          <w:lang w:val="es-ES"/>
        </w:rPr>
        <w:t xml:space="preserve">para el ejercicio 2021 </w:t>
      </w:r>
      <w:r w:rsidR="0047190E" w:rsidRPr="00D17328">
        <w:rPr>
          <w:rFonts w:ascii="Times New Roman" w:hAnsi="Times New Roman"/>
          <w:bCs/>
          <w:lang w:val="es-ES"/>
        </w:rPr>
        <w:t xml:space="preserve">está </w:t>
      </w:r>
      <w:r w:rsidR="007B2B9D" w:rsidRPr="00D17328">
        <w:rPr>
          <w:rFonts w:ascii="Times New Roman" w:hAnsi="Times New Roman"/>
          <w:bCs/>
          <w:lang w:val="es-ES"/>
        </w:rPr>
        <w:t>definida en el marco de la compleja situación por la que atraviesa la economía mexicana</w:t>
      </w:r>
      <w:r w:rsidR="00A94222" w:rsidRPr="00D17328">
        <w:rPr>
          <w:rFonts w:ascii="Times New Roman" w:hAnsi="Times New Roman"/>
          <w:bCs/>
          <w:lang w:val="es-ES"/>
        </w:rPr>
        <w:t>, considerando que el panorama económico global se ha deteriorado en un periodo relativamente corto, y en el que las medidas sanitarias para la contención de la pandemia generaron efectos negativos sobre la actividad económica, por lo que se</w:t>
      </w:r>
      <w:r w:rsidRPr="00D17328">
        <w:rPr>
          <w:rFonts w:ascii="Times New Roman" w:hAnsi="Times New Roman"/>
          <w:bCs/>
          <w:lang w:val="es-ES"/>
        </w:rPr>
        <w:t xml:space="preserve"> </w:t>
      </w:r>
      <w:r w:rsidR="0047190E" w:rsidRPr="00D17328">
        <w:rPr>
          <w:rFonts w:ascii="Times New Roman" w:hAnsi="Times New Roman"/>
          <w:bCs/>
          <w:lang w:val="es-ES"/>
        </w:rPr>
        <w:t>concentra</w:t>
      </w:r>
      <w:r w:rsidR="00A94222" w:rsidRPr="00D17328">
        <w:rPr>
          <w:rFonts w:ascii="Times New Roman" w:hAnsi="Times New Roman"/>
          <w:bCs/>
          <w:lang w:val="es-ES"/>
        </w:rPr>
        <w:t>rán</w:t>
      </w:r>
      <w:r w:rsidRPr="00D17328">
        <w:rPr>
          <w:rFonts w:ascii="Times New Roman" w:hAnsi="Times New Roman"/>
          <w:bCs/>
          <w:lang w:val="es-ES"/>
        </w:rPr>
        <w:t xml:space="preserve"> los esfuerzos del Gobierno del Estado en: </w:t>
      </w:r>
    </w:p>
    <w:p w14:paraId="64A7F6BE" w14:textId="77777777" w:rsidR="00AA2E86" w:rsidRPr="00D17328" w:rsidRDefault="00AA2E86" w:rsidP="00AA2E86">
      <w:pPr>
        <w:pStyle w:val="PRIMERAPLANA"/>
        <w:spacing w:line="360" w:lineRule="auto"/>
        <w:rPr>
          <w:rFonts w:ascii="Times New Roman" w:hAnsi="Times New Roman"/>
          <w:bCs/>
          <w:lang w:val="es-ES"/>
        </w:rPr>
      </w:pPr>
    </w:p>
    <w:p w14:paraId="583C89F3" w14:textId="484AB4D9" w:rsidR="00AA2E86" w:rsidRPr="00F532D5" w:rsidRDefault="00AA2E86" w:rsidP="00800CF7">
      <w:pPr>
        <w:pStyle w:val="PRIMERAPLANA"/>
        <w:numPr>
          <w:ilvl w:val="0"/>
          <w:numId w:val="6"/>
        </w:numPr>
        <w:spacing w:line="360" w:lineRule="auto"/>
        <w:rPr>
          <w:rFonts w:ascii="Times New Roman" w:hAnsi="Times New Roman"/>
          <w:bCs/>
          <w:lang w:val="es-ES"/>
        </w:rPr>
      </w:pPr>
      <w:r w:rsidRPr="00F532D5">
        <w:rPr>
          <w:rFonts w:ascii="Times New Roman" w:hAnsi="Times New Roman"/>
          <w:bCs/>
          <w:lang w:val="es-ES"/>
        </w:rPr>
        <w:t>Fortalecer la recaudación de ingresos propios y at</w:t>
      </w:r>
      <w:r w:rsidR="005D159C" w:rsidRPr="00F532D5">
        <w:rPr>
          <w:rFonts w:ascii="Times New Roman" w:hAnsi="Times New Roman"/>
          <w:bCs/>
          <w:lang w:val="es-ES"/>
        </w:rPr>
        <w:t>raer mayores recursos federales;</w:t>
      </w:r>
    </w:p>
    <w:p w14:paraId="7F508C50" w14:textId="1F95E95E" w:rsidR="00AA2E86" w:rsidRPr="00F532D5" w:rsidRDefault="00AA2E86" w:rsidP="00800CF7">
      <w:pPr>
        <w:pStyle w:val="PRIMERAPLANA"/>
        <w:numPr>
          <w:ilvl w:val="0"/>
          <w:numId w:val="6"/>
        </w:numPr>
        <w:spacing w:line="360" w:lineRule="auto"/>
        <w:rPr>
          <w:rFonts w:ascii="Times New Roman" w:hAnsi="Times New Roman"/>
          <w:bCs/>
          <w:lang w:val="es-ES"/>
        </w:rPr>
      </w:pPr>
      <w:r w:rsidRPr="00F532D5">
        <w:rPr>
          <w:rFonts w:ascii="Times New Roman" w:hAnsi="Times New Roman"/>
          <w:bCs/>
          <w:lang w:val="es-ES"/>
        </w:rPr>
        <w:t>Consolidar el sistema de recaudación, a través de la mejora continua de la administración tributaria del Estado, y</w:t>
      </w:r>
    </w:p>
    <w:p w14:paraId="2EA3266F" w14:textId="77684D14" w:rsidR="00AA2E86" w:rsidRPr="00D17328" w:rsidRDefault="00AA2E86" w:rsidP="00800CF7">
      <w:pPr>
        <w:pStyle w:val="PRIMERAPLANA"/>
        <w:numPr>
          <w:ilvl w:val="0"/>
          <w:numId w:val="6"/>
        </w:numPr>
        <w:spacing w:line="360" w:lineRule="auto"/>
        <w:rPr>
          <w:rFonts w:ascii="Times New Roman" w:hAnsi="Times New Roman"/>
          <w:bCs/>
          <w:lang w:val="es-ES"/>
        </w:rPr>
      </w:pPr>
      <w:r w:rsidRPr="00D17328">
        <w:rPr>
          <w:rFonts w:ascii="Times New Roman" w:hAnsi="Times New Roman"/>
          <w:bCs/>
          <w:lang w:val="es-ES"/>
        </w:rPr>
        <w:t>Mantener la salud y fortaleza de las finanzas públicas estatales.</w:t>
      </w:r>
    </w:p>
    <w:p w14:paraId="7761E895" w14:textId="77777777" w:rsidR="00AA2E86" w:rsidRPr="00D17328" w:rsidRDefault="00AA2E86" w:rsidP="00AA2E86">
      <w:pPr>
        <w:pStyle w:val="PRIMERAPLANA"/>
        <w:spacing w:line="360" w:lineRule="auto"/>
        <w:rPr>
          <w:rFonts w:ascii="Times New Roman" w:hAnsi="Times New Roman"/>
          <w:bCs/>
          <w:lang w:val="es-ES"/>
        </w:rPr>
      </w:pPr>
    </w:p>
    <w:p w14:paraId="20B0ADC7" w14:textId="6C4AD083" w:rsidR="00AA2E86" w:rsidRPr="00D17328" w:rsidRDefault="00AA2E86" w:rsidP="00AA2E86">
      <w:pPr>
        <w:pStyle w:val="PRIMERAPLANA"/>
        <w:spacing w:line="360" w:lineRule="auto"/>
        <w:rPr>
          <w:rFonts w:ascii="Times New Roman" w:hAnsi="Times New Roman"/>
          <w:bCs/>
          <w:lang w:val="es-ES"/>
        </w:rPr>
      </w:pPr>
      <w:r w:rsidRPr="00D17328">
        <w:rPr>
          <w:rFonts w:ascii="Times New Roman" w:hAnsi="Times New Roman"/>
          <w:bCs/>
          <w:lang w:val="es-ES"/>
        </w:rPr>
        <w:t>La Iniciativa de Ley de Ingresos del Estado de Tlaxcala para el Ejercicio Fiscal 20</w:t>
      </w:r>
      <w:r w:rsidR="00785E11" w:rsidRPr="00D17328">
        <w:rPr>
          <w:rFonts w:ascii="Times New Roman" w:hAnsi="Times New Roman"/>
          <w:bCs/>
          <w:lang w:val="es-ES"/>
        </w:rPr>
        <w:t>2</w:t>
      </w:r>
      <w:r w:rsidR="007B2B9D" w:rsidRPr="00D17328">
        <w:rPr>
          <w:rFonts w:ascii="Times New Roman" w:hAnsi="Times New Roman"/>
          <w:bCs/>
          <w:lang w:val="es-ES"/>
        </w:rPr>
        <w:t>1</w:t>
      </w:r>
      <w:r w:rsidR="007A2650" w:rsidRPr="00D17328">
        <w:rPr>
          <w:rFonts w:ascii="Times New Roman" w:hAnsi="Times New Roman"/>
          <w:bCs/>
          <w:lang w:val="es-ES"/>
        </w:rPr>
        <w:t>,</w:t>
      </w:r>
      <w:r w:rsidR="00F37EBE" w:rsidRPr="00D17328">
        <w:rPr>
          <w:rFonts w:ascii="Times New Roman" w:hAnsi="Times New Roman"/>
          <w:bCs/>
          <w:lang w:val="es-ES"/>
        </w:rPr>
        <w:t xml:space="preserve"> se elaboró con base en</w:t>
      </w:r>
      <w:r w:rsidRPr="00D17328">
        <w:rPr>
          <w:rFonts w:ascii="Times New Roman" w:hAnsi="Times New Roman"/>
          <w:bCs/>
          <w:lang w:val="es-ES"/>
        </w:rPr>
        <w:t xml:space="preserve"> las proyecciones económicas previstas por la Secretaría de Hacienda y Crédito Público</w:t>
      </w:r>
      <w:r w:rsidR="002A0B0A" w:rsidRPr="00D17328">
        <w:rPr>
          <w:rFonts w:ascii="Times New Roman" w:hAnsi="Times New Roman"/>
          <w:bCs/>
          <w:lang w:val="es-ES"/>
        </w:rPr>
        <w:t xml:space="preserve">, </w:t>
      </w:r>
      <w:r w:rsidR="00785E11" w:rsidRPr="00D17328">
        <w:rPr>
          <w:rFonts w:ascii="Times New Roman" w:hAnsi="Times New Roman"/>
          <w:bCs/>
          <w:lang w:val="es-ES"/>
        </w:rPr>
        <w:t>a través de los Criterios Generales de Política Económica</w:t>
      </w:r>
      <w:r w:rsidR="001E34A0" w:rsidRPr="00D17328">
        <w:rPr>
          <w:rFonts w:ascii="Times New Roman" w:hAnsi="Times New Roman"/>
          <w:bCs/>
          <w:lang w:val="es-ES"/>
        </w:rPr>
        <w:t xml:space="preserve"> para la Iniciativa de Ley de Ingresos y el Proyecto de Presupuesto de Egresos de la Federación correspondientes al Ejercicio Fiscal </w:t>
      </w:r>
      <w:r w:rsidR="00785E11" w:rsidRPr="00D17328">
        <w:rPr>
          <w:rFonts w:ascii="Times New Roman" w:hAnsi="Times New Roman"/>
          <w:bCs/>
          <w:lang w:val="es-ES"/>
        </w:rPr>
        <w:t>202</w:t>
      </w:r>
      <w:r w:rsidR="007B2B9D" w:rsidRPr="00D17328">
        <w:rPr>
          <w:rFonts w:ascii="Times New Roman" w:hAnsi="Times New Roman"/>
          <w:bCs/>
          <w:lang w:val="es-ES"/>
        </w:rPr>
        <w:t>1</w:t>
      </w:r>
      <w:r w:rsidR="002A0B0A" w:rsidRPr="00D17328">
        <w:rPr>
          <w:rFonts w:ascii="Times New Roman" w:hAnsi="Times New Roman"/>
          <w:bCs/>
          <w:lang w:val="es-ES"/>
        </w:rPr>
        <w:t xml:space="preserve">, </w:t>
      </w:r>
      <w:r w:rsidR="007B2B9D" w:rsidRPr="00D17328">
        <w:rPr>
          <w:rFonts w:ascii="Times New Roman" w:hAnsi="Times New Roman"/>
          <w:bCs/>
          <w:lang w:val="es-ES"/>
        </w:rPr>
        <w:t>por lo que se estima que los ingresos presupuestarios sean menores a los aprobados en 2020</w:t>
      </w:r>
      <w:r w:rsidR="00515A70" w:rsidRPr="00D17328">
        <w:rPr>
          <w:rFonts w:ascii="Times New Roman" w:hAnsi="Times New Roman"/>
          <w:bCs/>
          <w:lang w:val="es-ES"/>
        </w:rPr>
        <w:t xml:space="preserve">, </w:t>
      </w:r>
      <w:r w:rsidR="00BB3822" w:rsidRPr="00D17328">
        <w:rPr>
          <w:rFonts w:ascii="Times New Roman" w:hAnsi="Times New Roman"/>
          <w:bCs/>
          <w:lang w:val="es-ES"/>
        </w:rPr>
        <w:t>ten</w:t>
      </w:r>
      <w:r w:rsidR="00515A70" w:rsidRPr="00D17328">
        <w:rPr>
          <w:rFonts w:ascii="Times New Roman" w:hAnsi="Times New Roman"/>
          <w:bCs/>
          <w:lang w:val="es-ES"/>
        </w:rPr>
        <w:t xml:space="preserve">iendo </w:t>
      </w:r>
      <w:r w:rsidR="00BB3822" w:rsidRPr="00D17328">
        <w:rPr>
          <w:rFonts w:ascii="Times New Roman" w:hAnsi="Times New Roman"/>
          <w:bCs/>
          <w:lang w:val="es-ES"/>
        </w:rPr>
        <w:t>el</w:t>
      </w:r>
      <w:r w:rsidR="00515A70" w:rsidRPr="00D17328">
        <w:rPr>
          <w:rFonts w:ascii="Times New Roman" w:hAnsi="Times New Roman"/>
          <w:bCs/>
          <w:lang w:val="es-ES"/>
        </w:rPr>
        <w:t xml:space="preserve"> </w:t>
      </w:r>
      <w:r w:rsidR="00BB3822" w:rsidRPr="00D17328">
        <w:rPr>
          <w:rFonts w:ascii="Times New Roman" w:hAnsi="Times New Roman"/>
          <w:bCs/>
          <w:lang w:val="es-ES"/>
        </w:rPr>
        <w:t>reto</w:t>
      </w:r>
      <w:r w:rsidR="00515A70" w:rsidRPr="00D17328">
        <w:rPr>
          <w:rFonts w:ascii="Times New Roman" w:hAnsi="Times New Roman"/>
          <w:bCs/>
          <w:lang w:val="es-ES"/>
        </w:rPr>
        <w:t xml:space="preserve"> de </w:t>
      </w:r>
      <w:r w:rsidR="00BB3822" w:rsidRPr="00D17328">
        <w:rPr>
          <w:rFonts w:ascii="Times New Roman" w:hAnsi="Times New Roman"/>
          <w:bCs/>
          <w:lang w:val="es-ES"/>
        </w:rPr>
        <w:t>impulsar la actividad económica estatal</w:t>
      </w:r>
      <w:r w:rsidR="003B2F1B" w:rsidRPr="00D17328">
        <w:rPr>
          <w:rFonts w:ascii="Times New Roman" w:hAnsi="Times New Roman"/>
          <w:bCs/>
          <w:lang w:val="es-ES"/>
        </w:rPr>
        <w:t xml:space="preserve"> y</w:t>
      </w:r>
      <w:r w:rsidR="00BB3822" w:rsidRPr="00D17328">
        <w:rPr>
          <w:rFonts w:ascii="Times New Roman" w:hAnsi="Times New Roman"/>
          <w:bCs/>
          <w:lang w:val="es-ES"/>
        </w:rPr>
        <w:t xml:space="preserve"> mejorar la gestión tributaria</w:t>
      </w:r>
      <w:r w:rsidR="003B2F1B" w:rsidRPr="00D17328">
        <w:rPr>
          <w:rFonts w:ascii="Times New Roman" w:hAnsi="Times New Roman"/>
          <w:bCs/>
          <w:lang w:val="es-ES"/>
        </w:rPr>
        <w:t>, para</w:t>
      </w:r>
      <w:r w:rsidR="00BE1989" w:rsidRPr="00D17328">
        <w:rPr>
          <w:rFonts w:ascii="Times New Roman" w:hAnsi="Times New Roman"/>
          <w:bCs/>
          <w:lang w:val="es-ES"/>
        </w:rPr>
        <w:t xml:space="preserve"> </w:t>
      </w:r>
      <w:r w:rsidRPr="00D17328">
        <w:rPr>
          <w:rFonts w:ascii="Times New Roman" w:hAnsi="Times New Roman"/>
          <w:bCs/>
          <w:lang w:val="es-ES"/>
        </w:rPr>
        <w:t xml:space="preserve">generar </w:t>
      </w:r>
      <w:r w:rsidR="003B2F1B" w:rsidRPr="00D17328">
        <w:rPr>
          <w:rFonts w:ascii="Times New Roman" w:hAnsi="Times New Roman"/>
          <w:bCs/>
          <w:lang w:val="es-ES"/>
        </w:rPr>
        <w:t>los</w:t>
      </w:r>
      <w:r w:rsidRPr="00D17328">
        <w:rPr>
          <w:rFonts w:ascii="Times New Roman" w:hAnsi="Times New Roman"/>
          <w:bCs/>
          <w:lang w:val="es-ES"/>
        </w:rPr>
        <w:t xml:space="preserve"> recursos </w:t>
      </w:r>
      <w:r w:rsidR="003B2F1B" w:rsidRPr="00D17328">
        <w:rPr>
          <w:rFonts w:ascii="Times New Roman" w:hAnsi="Times New Roman"/>
          <w:bCs/>
          <w:lang w:val="es-ES"/>
        </w:rPr>
        <w:t xml:space="preserve">necesarios </w:t>
      </w:r>
      <w:r w:rsidRPr="00D17328">
        <w:rPr>
          <w:rFonts w:ascii="Times New Roman" w:hAnsi="Times New Roman"/>
          <w:bCs/>
          <w:lang w:val="es-ES"/>
        </w:rPr>
        <w:t xml:space="preserve">para el financiamiento del gasto social y la inversión pública, </w:t>
      </w:r>
      <w:r w:rsidR="00BE1989" w:rsidRPr="00D17328">
        <w:rPr>
          <w:rFonts w:ascii="Times New Roman" w:hAnsi="Times New Roman"/>
          <w:bCs/>
          <w:lang w:val="es-ES"/>
        </w:rPr>
        <w:t xml:space="preserve">logrando </w:t>
      </w:r>
      <w:r w:rsidRPr="00D17328">
        <w:rPr>
          <w:rFonts w:ascii="Times New Roman" w:hAnsi="Times New Roman"/>
          <w:bCs/>
          <w:lang w:val="es-ES"/>
        </w:rPr>
        <w:t>un balance presupuestario sostenible</w:t>
      </w:r>
      <w:r w:rsidR="002A0B0A" w:rsidRPr="00D17328">
        <w:rPr>
          <w:rFonts w:ascii="Times New Roman" w:hAnsi="Times New Roman"/>
          <w:bCs/>
          <w:lang w:val="es-ES"/>
        </w:rPr>
        <w:t>.</w:t>
      </w:r>
    </w:p>
    <w:p w14:paraId="771919BE" w14:textId="77777777" w:rsidR="00AA2E86" w:rsidRPr="00D17328" w:rsidRDefault="00AA2E86" w:rsidP="00AA2E86">
      <w:pPr>
        <w:pStyle w:val="PRIMERAPLANA"/>
        <w:spacing w:line="360" w:lineRule="auto"/>
        <w:rPr>
          <w:rFonts w:ascii="Times New Roman" w:hAnsi="Times New Roman"/>
          <w:bCs/>
          <w:lang w:val="es-ES"/>
        </w:rPr>
      </w:pPr>
    </w:p>
    <w:p w14:paraId="23858393" w14:textId="19E5ADA5" w:rsidR="00AA2E86" w:rsidRPr="00D17328" w:rsidRDefault="00AA2E86" w:rsidP="00AA2E86">
      <w:pPr>
        <w:pStyle w:val="PRIMERAPLANA"/>
        <w:spacing w:line="360" w:lineRule="auto"/>
        <w:rPr>
          <w:rFonts w:ascii="Times New Roman" w:hAnsi="Times New Roman"/>
          <w:bCs/>
          <w:lang w:val="es-ES"/>
        </w:rPr>
      </w:pPr>
      <w:r w:rsidRPr="00D17328">
        <w:rPr>
          <w:rFonts w:ascii="Times New Roman" w:hAnsi="Times New Roman"/>
          <w:bCs/>
          <w:lang w:val="es-ES"/>
        </w:rPr>
        <w:t xml:space="preserve">Los esfuerzos del Estado en materia de planeación, programación y presupuestación, consideran metas de ingresos prudentes y realistas, </w:t>
      </w:r>
      <w:r w:rsidR="00BE1989" w:rsidRPr="00D17328">
        <w:rPr>
          <w:rFonts w:ascii="Times New Roman" w:hAnsi="Times New Roman"/>
          <w:bCs/>
          <w:lang w:val="es-ES"/>
        </w:rPr>
        <w:t>en relación</w:t>
      </w:r>
      <w:r w:rsidRPr="00D17328">
        <w:rPr>
          <w:rFonts w:ascii="Times New Roman" w:hAnsi="Times New Roman"/>
          <w:bCs/>
          <w:lang w:val="es-ES"/>
        </w:rPr>
        <w:t xml:space="preserve"> a los supuestos del marco macroeconómico y fiscal que ha definido el Gobierno Federal en </w:t>
      </w:r>
      <w:r w:rsidR="003B03E9" w:rsidRPr="00D17328">
        <w:rPr>
          <w:rFonts w:ascii="Times New Roman" w:hAnsi="Times New Roman"/>
          <w:bCs/>
          <w:lang w:val="es-ES"/>
        </w:rPr>
        <w:t xml:space="preserve">el Documento relativo al Cumplimiento de las Disposiciones Contenidas en el </w:t>
      </w:r>
      <w:r w:rsidR="00944DB6" w:rsidRPr="00D17328">
        <w:rPr>
          <w:rFonts w:ascii="Times New Roman" w:hAnsi="Times New Roman"/>
          <w:bCs/>
          <w:lang w:val="es-ES"/>
        </w:rPr>
        <w:t>a</w:t>
      </w:r>
      <w:r w:rsidR="003B03E9" w:rsidRPr="00D17328">
        <w:rPr>
          <w:rFonts w:ascii="Times New Roman" w:hAnsi="Times New Roman"/>
          <w:bCs/>
          <w:lang w:val="es-ES"/>
        </w:rPr>
        <w:t xml:space="preserve">rtículo 42, </w:t>
      </w:r>
      <w:r w:rsidR="00944DB6" w:rsidRPr="00D17328">
        <w:rPr>
          <w:rFonts w:ascii="Times New Roman" w:hAnsi="Times New Roman"/>
          <w:bCs/>
          <w:lang w:val="es-ES"/>
        </w:rPr>
        <w:t>f</w:t>
      </w:r>
      <w:r w:rsidR="003B03E9" w:rsidRPr="00D17328">
        <w:rPr>
          <w:rFonts w:ascii="Times New Roman" w:hAnsi="Times New Roman"/>
          <w:bCs/>
          <w:lang w:val="es-ES"/>
        </w:rPr>
        <w:t>racción I, de la Ley Federal de Presupuesto y Responsabilidad Hacendaria (Pre-Criterios 20</w:t>
      </w:r>
      <w:r w:rsidR="00AA2D5B" w:rsidRPr="00D17328">
        <w:rPr>
          <w:rFonts w:ascii="Times New Roman" w:hAnsi="Times New Roman"/>
          <w:bCs/>
          <w:lang w:val="es-ES"/>
        </w:rPr>
        <w:t>2</w:t>
      </w:r>
      <w:r w:rsidR="003B2F1B" w:rsidRPr="00D17328">
        <w:rPr>
          <w:rFonts w:ascii="Times New Roman" w:hAnsi="Times New Roman"/>
          <w:bCs/>
          <w:lang w:val="es-ES"/>
        </w:rPr>
        <w:t>1</w:t>
      </w:r>
      <w:r w:rsidR="003B03E9" w:rsidRPr="00D17328">
        <w:rPr>
          <w:rFonts w:ascii="Times New Roman" w:hAnsi="Times New Roman"/>
          <w:bCs/>
          <w:lang w:val="es-ES"/>
        </w:rPr>
        <w:t>)</w:t>
      </w:r>
      <w:r w:rsidR="00AA2D5B" w:rsidRPr="00D17328">
        <w:rPr>
          <w:rFonts w:ascii="Times New Roman" w:hAnsi="Times New Roman"/>
          <w:bCs/>
          <w:lang w:val="es-ES"/>
        </w:rPr>
        <w:t xml:space="preserve"> y de los Criterios Generales de Política Económica para la Iniciativa de Ley de Ingresos y el Proyecto de Presupuesto de Egresos de la Federación correspondientes al Ejercicio Fiscal 202</w:t>
      </w:r>
      <w:r w:rsidR="00081031" w:rsidRPr="00D17328">
        <w:rPr>
          <w:rFonts w:ascii="Times New Roman" w:hAnsi="Times New Roman"/>
          <w:bCs/>
          <w:lang w:val="es-ES"/>
        </w:rPr>
        <w:t>1</w:t>
      </w:r>
      <w:r w:rsidR="005D159C" w:rsidRPr="00D17328">
        <w:rPr>
          <w:rFonts w:ascii="Times New Roman" w:hAnsi="Times New Roman"/>
          <w:bCs/>
          <w:lang w:val="es-ES"/>
        </w:rPr>
        <w:t xml:space="preserve"> (CGPE</w:t>
      </w:r>
      <w:r w:rsidR="00C0710F" w:rsidRPr="00D17328">
        <w:rPr>
          <w:rFonts w:ascii="Times New Roman" w:hAnsi="Times New Roman"/>
          <w:bCs/>
          <w:lang w:val="es-ES"/>
        </w:rPr>
        <w:t>_</w:t>
      </w:r>
      <w:r w:rsidR="005D159C" w:rsidRPr="00D17328">
        <w:rPr>
          <w:rFonts w:ascii="Times New Roman" w:hAnsi="Times New Roman"/>
          <w:bCs/>
          <w:lang w:val="es-ES"/>
        </w:rPr>
        <w:t>202</w:t>
      </w:r>
      <w:r w:rsidR="003B2F1B" w:rsidRPr="00D17328">
        <w:rPr>
          <w:rFonts w:ascii="Times New Roman" w:hAnsi="Times New Roman"/>
          <w:bCs/>
          <w:lang w:val="es-ES"/>
        </w:rPr>
        <w:t>1</w:t>
      </w:r>
      <w:r w:rsidR="005D159C" w:rsidRPr="00D17328">
        <w:rPr>
          <w:rFonts w:ascii="Times New Roman" w:hAnsi="Times New Roman"/>
          <w:bCs/>
          <w:lang w:val="es-ES"/>
        </w:rPr>
        <w:t>)</w:t>
      </w:r>
      <w:r w:rsidRPr="00D17328">
        <w:rPr>
          <w:rFonts w:ascii="Times New Roman" w:hAnsi="Times New Roman"/>
          <w:bCs/>
          <w:lang w:val="es-ES"/>
        </w:rPr>
        <w:t>.</w:t>
      </w:r>
    </w:p>
    <w:p w14:paraId="54157458" w14:textId="77777777" w:rsidR="00AA2E86" w:rsidRPr="00D17328" w:rsidRDefault="00AA2E86" w:rsidP="00AA2E86">
      <w:pPr>
        <w:pStyle w:val="PRIMERAPLANA"/>
        <w:spacing w:line="360" w:lineRule="auto"/>
        <w:rPr>
          <w:rFonts w:ascii="Times New Roman" w:hAnsi="Times New Roman"/>
          <w:bCs/>
          <w:lang w:val="es-ES"/>
        </w:rPr>
      </w:pPr>
    </w:p>
    <w:p w14:paraId="6AC465DC" w14:textId="77777777" w:rsidR="00AA2D5B" w:rsidRPr="00D17328" w:rsidRDefault="009728A7" w:rsidP="001B3D7F">
      <w:pPr>
        <w:pStyle w:val="PRIMERAPLANA"/>
        <w:spacing w:line="360" w:lineRule="auto"/>
        <w:rPr>
          <w:rFonts w:ascii="Times New Roman" w:hAnsi="Times New Roman"/>
          <w:bCs/>
          <w:lang w:val="es-ES"/>
        </w:rPr>
      </w:pPr>
      <w:r w:rsidRPr="00D17328">
        <w:rPr>
          <w:rFonts w:ascii="Times New Roman" w:hAnsi="Times New Roman"/>
          <w:bCs/>
          <w:lang w:val="es-ES"/>
        </w:rPr>
        <w:t>El</w:t>
      </w:r>
      <w:r w:rsidR="0004561E" w:rsidRPr="00D17328">
        <w:rPr>
          <w:rFonts w:ascii="Times New Roman" w:hAnsi="Times New Roman"/>
          <w:bCs/>
          <w:lang w:val="es-ES"/>
        </w:rPr>
        <w:t xml:space="preserve"> artículo 5 de la Ley de Disciplina Financiera de las Entidades Federativas y los Municipios</w:t>
      </w:r>
      <w:r w:rsidR="00BE1989" w:rsidRPr="00D17328">
        <w:rPr>
          <w:rFonts w:ascii="Times New Roman" w:hAnsi="Times New Roman"/>
          <w:bCs/>
          <w:lang w:val="es-ES"/>
        </w:rPr>
        <w:t>,</w:t>
      </w:r>
      <w:r w:rsidR="0004561E" w:rsidRPr="00D17328">
        <w:rPr>
          <w:rFonts w:ascii="Times New Roman" w:hAnsi="Times New Roman"/>
          <w:bCs/>
          <w:lang w:val="es-ES"/>
        </w:rPr>
        <w:t xml:space="preserve"> establece que las iniciativas de la Ley de Ingresos y el Proyecto de Presupuesto de Egresos deben elaborarse </w:t>
      </w:r>
      <w:r w:rsidR="0004561E" w:rsidRPr="00D17328">
        <w:rPr>
          <w:rFonts w:ascii="Times New Roman" w:hAnsi="Times New Roman"/>
          <w:bCs/>
          <w:lang w:val="es-ES"/>
        </w:rPr>
        <w:lastRenderedPageBreak/>
        <w:t xml:space="preserve">conforme a lo establecido en la legislación local. Además, contendrán entre otros los </w:t>
      </w:r>
      <w:r w:rsidR="00BE1989" w:rsidRPr="00D17328">
        <w:rPr>
          <w:rFonts w:ascii="Times New Roman" w:hAnsi="Times New Roman"/>
          <w:bCs/>
          <w:lang w:val="es-ES"/>
        </w:rPr>
        <w:t xml:space="preserve">apartados </w:t>
      </w:r>
      <w:r w:rsidR="0004561E" w:rsidRPr="00D17328">
        <w:rPr>
          <w:rFonts w:ascii="Times New Roman" w:hAnsi="Times New Roman"/>
          <w:bCs/>
          <w:lang w:val="es-ES"/>
        </w:rPr>
        <w:t xml:space="preserve">siguientes: </w:t>
      </w:r>
    </w:p>
    <w:p w14:paraId="08F2505C" w14:textId="77777777" w:rsidR="00AA2D5B" w:rsidRPr="00D17328" w:rsidRDefault="00AA2D5B" w:rsidP="001B3D7F">
      <w:pPr>
        <w:pStyle w:val="PRIMERAPLANA"/>
        <w:spacing w:line="360" w:lineRule="auto"/>
        <w:rPr>
          <w:rFonts w:ascii="Times New Roman" w:hAnsi="Times New Roman"/>
          <w:bCs/>
          <w:lang w:val="es-ES"/>
        </w:rPr>
      </w:pPr>
    </w:p>
    <w:p w14:paraId="1AA4A82A" w14:textId="5A1C29C6" w:rsidR="00AA2D5B" w:rsidRPr="00F532D5" w:rsidRDefault="0004561E" w:rsidP="00800CF7">
      <w:pPr>
        <w:pStyle w:val="PRIMERAPLANA"/>
        <w:numPr>
          <w:ilvl w:val="0"/>
          <w:numId w:val="7"/>
        </w:numPr>
        <w:spacing w:line="360" w:lineRule="auto"/>
        <w:rPr>
          <w:rFonts w:ascii="Times New Roman" w:hAnsi="Times New Roman"/>
          <w:bCs/>
          <w:lang w:val="es-ES"/>
        </w:rPr>
      </w:pPr>
      <w:r w:rsidRPr="00F532D5">
        <w:rPr>
          <w:rFonts w:ascii="Times New Roman" w:hAnsi="Times New Roman"/>
          <w:bCs/>
          <w:lang w:val="es-ES"/>
        </w:rPr>
        <w:t>Los objetivos anuales, las estrategias y las metas</w:t>
      </w:r>
      <w:r w:rsidR="00BE1989" w:rsidRPr="00F532D5">
        <w:rPr>
          <w:rFonts w:ascii="Times New Roman" w:hAnsi="Times New Roman"/>
          <w:bCs/>
          <w:lang w:val="es-ES"/>
        </w:rPr>
        <w:t>;</w:t>
      </w:r>
      <w:r w:rsidRPr="00F532D5">
        <w:rPr>
          <w:rFonts w:ascii="Times New Roman" w:hAnsi="Times New Roman"/>
          <w:bCs/>
          <w:lang w:val="es-ES"/>
        </w:rPr>
        <w:t xml:space="preserve"> </w:t>
      </w:r>
    </w:p>
    <w:p w14:paraId="74C081A2" w14:textId="257D701B" w:rsidR="00AA2D5B" w:rsidRPr="00F532D5" w:rsidRDefault="0004561E" w:rsidP="00800CF7">
      <w:pPr>
        <w:pStyle w:val="PRIMERAPLANA"/>
        <w:numPr>
          <w:ilvl w:val="0"/>
          <w:numId w:val="7"/>
        </w:numPr>
        <w:spacing w:line="360" w:lineRule="auto"/>
        <w:rPr>
          <w:rFonts w:ascii="Times New Roman" w:hAnsi="Times New Roman"/>
          <w:bCs/>
          <w:lang w:val="es-ES"/>
        </w:rPr>
      </w:pPr>
      <w:r w:rsidRPr="00F532D5">
        <w:rPr>
          <w:rFonts w:ascii="Times New Roman" w:hAnsi="Times New Roman"/>
          <w:bCs/>
          <w:lang w:val="es-ES"/>
        </w:rPr>
        <w:t xml:space="preserve">Las proyecciones de finanzas públicas a partir de los Criterios Generales de Política Económica del </w:t>
      </w:r>
      <w:r w:rsidR="00944DB6" w:rsidRPr="00F532D5">
        <w:rPr>
          <w:rFonts w:ascii="Times New Roman" w:hAnsi="Times New Roman"/>
          <w:bCs/>
          <w:lang w:val="es-ES"/>
        </w:rPr>
        <w:t>G</w:t>
      </w:r>
      <w:r w:rsidRPr="00F532D5">
        <w:rPr>
          <w:rFonts w:ascii="Times New Roman" w:hAnsi="Times New Roman"/>
          <w:bCs/>
          <w:lang w:val="es-ES"/>
        </w:rPr>
        <w:t xml:space="preserve">obierno </w:t>
      </w:r>
      <w:r w:rsidR="00944DB6" w:rsidRPr="00F532D5">
        <w:rPr>
          <w:rFonts w:ascii="Times New Roman" w:hAnsi="Times New Roman"/>
          <w:bCs/>
          <w:lang w:val="es-ES"/>
        </w:rPr>
        <w:t>F</w:t>
      </w:r>
      <w:r w:rsidRPr="00F532D5">
        <w:rPr>
          <w:rFonts w:ascii="Times New Roman" w:hAnsi="Times New Roman"/>
          <w:bCs/>
          <w:lang w:val="es-ES"/>
        </w:rPr>
        <w:t>ederal, así como la estimación de las transferencias federales etiquetadas y no etiquetadas</w:t>
      </w:r>
      <w:r w:rsidR="00BE1989" w:rsidRPr="00F532D5">
        <w:rPr>
          <w:rFonts w:ascii="Times New Roman" w:hAnsi="Times New Roman"/>
          <w:bCs/>
          <w:lang w:val="es-ES"/>
        </w:rPr>
        <w:t>;</w:t>
      </w:r>
      <w:r w:rsidRPr="00F532D5">
        <w:rPr>
          <w:rFonts w:ascii="Times New Roman" w:hAnsi="Times New Roman"/>
          <w:bCs/>
          <w:lang w:val="es-ES"/>
        </w:rPr>
        <w:t xml:space="preserve"> y </w:t>
      </w:r>
    </w:p>
    <w:p w14:paraId="52D39BAE" w14:textId="0C581402" w:rsidR="003A4F1C" w:rsidRPr="00D17328" w:rsidRDefault="00BE1989" w:rsidP="00800CF7">
      <w:pPr>
        <w:pStyle w:val="PRIMERAPLANA"/>
        <w:numPr>
          <w:ilvl w:val="0"/>
          <w:numId w:val="7"/>
        </w:numPr>
        <w:spacing w:line="360" w:lineRule="auto"/>
        <w:rPr>
          <w:rFonts w:ascii="Times New Roman" w:hAnsi="Times New Roman"/>
          <w:bCs/>
          <w:lang w:val="es-ES"/>
        </w:rPr>
      </w:pPr>
      <w:r w:rsidRPr="00D17328">
        <w:rPr>
          <w:rFonts w:ascii="Times New Roman" w:hAnsi="Times New Roman"/>
          <w:bCs/>
          <w:lang w:val="es-ES"/>
        </w:rPr>
        <w:t xml:space="preserve">La </w:t>
      </w:r>
      <w:r w:rsidR="0004561E" w:rsidRPr="00D17328">
        <w:rPr>
          <w:rFonts w:ascii="Times New Roman" w:hAnsi="Times New Roman"/>
          <w:bCs/>
          <w:lang w:val="es-ES"/>
        </w:rPr>
        <w:t>identificación de los riesgos relevantes para las finanzas públicas, incluyendo los montos de la deuda contingente.</w:t>
      </w:r>
      <w:r w:rsidR="001B3D7F" w:rsidRPr="00D17328">
        <w:rPr>
          <w:rFonts w:ascii="Times New Roman" w:hAnsi="Times New Roman"/>
          <w:bCs/>
          <w:lang w:val="es-ES"/>
        </w:rPr>
        <w:t xml:space="preserve"> </w:t>
      </w:r>
    </w:p>
    <w:p w14:paraId="1A570301" w14:textId="77777777" w:rsidR="004E7B04" w:rsidRPr="00D17328" w:rsidRDefault="004E7B04" w:rsidP="00DF521A">
      <w:pPr>
        <w:pStyle w:val="PRIMERAPLANA"/>
        <w:spacing w:line="360" w:lineRule="auto"/>
        <w:rPr>
          <w:rFonts w:ascii="Times New Roman" w:hAnsi="Times New Roman"/>
          <w:bCs/>
        </w:rPr>
      </w:pPr>
    </w:p>
    <w:p w14:paraId="621FAEF0" w14:textId="0710E3CE" w:rsidR="004E7B04" w:rsidRPr="00D17328" w:rsidRDefault="009728A7" w:rsidP="00DF521A">
      <w:pPr>
        <w:pStyle w:val="PRIMERAPLANA"/>
        <w:spacing w:line="360" w:lineRule="auto"/>
        <w:rPr>
          <w:rFonts w:ascii="Times New Roman" w:hAnsi="Times New Roman"/>
          <w:bCs/>
          <w:lang w:val="es-ES"/>
        </w:rPr>
      </w:pPr>
      <w:r w:rsidRPr="00D17328">
        <w:rPr>
          <w:rFonts w:ascii="Times New Roman" w:hAnsi="Times New Roman"/>
          <w:bCs/>
        </w:rPr>
        <w:t>P</w:t>
      </w:r>
      <w:r w:rsidR="004E7B04" w:rsidRPr="00D17328">
        <w:rPr>
          <w:rFonts w:ascii="Times New Roman" w:hAnsi="Times New Roman"/>
          <w:bCs/>
        </w:rPr>
        <w:t xml:space="preserve">ara </w:t>
      </w:r>
      <w:r w:rsidR="004E7B04" w:rsidRPr="00D17328">
        <w:rPr>
          <w:rFonts w:ascii="Times New Roman" w:hAnsi="Times New Roman"/>
          <w:bCs/>
          <w:lang w:val="es-ES"/>
        </w:rPr>
        <w:t>el uso eficiente de los recursos públicos y la promoción óptima del desarrollo del Estado, esta</w:t>
      </w:r>
      <w:r w:rsidR="00D24615" w:rsidRPr="00D17328">
        <w:rPr>
          <w:rFonts w:ascii="Times New Roman" w:hAnsi="Times New Roman"/>
          <w:bCs/>
        </w:rPr>
        <w:t xml:space="preserve"> Administración ha considerado </w:t>
      </w:r>
      <w:r w:rsidR="003229EB" w:rsidRPr="00D17328">
        <w:rPr>
          <w:rFonts w:ascii="Times New Roman" w:hAnsi="Times New Roman"/>
          <w:bCs/>
          <w:lang w:val="es-ES"/>
        </w:rPr>
        <w:t>como</w:t>
      </w:r>
      <w:r w:rsidR="00D24615" w:rsidRPr="00D17328">
        <w:rPr>
          <w:rFonts w:ascii="Times New Roman" w:hAnsi="Times New Roman"/>
          <w:bCs/>
          <w:lang w:val="es-ES"/>
        </w:rPr>
        <w:t xml:space="preserve"> un pilar fundamental </w:t>
      </w:r>
      <w:r w:rsidR="00E53733" w:rsidRPr="00D17328">
        <w:rPr>
          <w:rFonts w:ascii="Times New Roman" w:hAnsi="Times New Roman"/>
          <w:bCs/>
          <w:lang w:val="es-ES"/>
        </w:rPr>
        <w:t>la gestión basada en resultados, cuyo objetivo es el construir un gobierno abierto, democrático, organizado y orientado al logro de resultados.</w:t>
      </w:r>
    </w:p>
    <w:p w14:paraId="7DA38C80" w14:textId="77777777" w:rsidR="004E7B04" w:rsidRPr="00D17328" w:rsidRDefault="004E7B04" w:rsidP="00DF521A">
      <w:pPr>
        <w:pStyle w:val="PRIMERAPLANA"/>
        <w:spacing w:line="360" w:lineRule="auto"/>
        <w:rPr>
          <w:rFonts w:ascii="Times New Roman" w:hAnsi="Times New Roman"/>
          <w:bCs/>
          <w:lang w:val="es-ES"/>
        </w:rPr>
      </w:pPr>
    </w:p>
    <w:p w14:paraId="09A7FB76" w14:textId="4128C316" w:rsidR="00E53733" w:rsidRPr="00D17328" w:rsidRDefault="004E7B04" w:rsidP="00DF521A">
      <w:pPr>
        <w:pStyle w:val="PRIMERAPLANA"/>
        <w:spacing w:line="360" w:lineRule="auto"/>
        <w:rPr>
          <w:rFonts w:ascii="Times New Roman" w:hAnsi="Times New Roman"/>
          <w:bCs/>
          <w:lang w:val="es-ES"/>
        </w:rPr>
      </w:pPr>
      <w:r w:rsidRPr="00D17328">
        <w:rPr>
          <w:rFonts w:ascii="Times New Roman" w:hAnsi="Times New Roman"/>
          <w:bCs/>
          <w:lang w:val="es-ES"/>
        </w:rPr>
        <w:t>Por otra parte, de conformidad con las Normas emitidas por el Consejo Nacional de Armonización Contable (CONAC), organismo competente en términos de lo dispuesto en los artículos 9, fracciones I y IX, 14 y 61 de la Ley General de Contabilidad Gubernamental</w:t>
      </w:r>
      <w:r w:rsidR="00562EA0" w:rsidRPr="00D17328">
        <w:rPr>
          <w:rFonts w:ascii="Times New Roman" w:hAnsi="Times New Roman"/>
          <w:bCs/>
          <w:lang w:val="es-ES"/>
        </w:rPr>
        <w:t>,</w:t>
      </w:r>
      <w:r w:rsidRPr="00D17328">
        <w:rPr>
          <w:rFonts w:ascii="Times New Roman" w:hAnsi="Times New Roman"/>
          <w:bCs/>
          <w:lang w:val="es-ES"/>
        </w:rPr>
        <w:t xml:space="preserve"> se somete a la consideració</w:t>
      </w:r>
      <w:r w:rsidR="005D6609" w:rsidRPr="00D17328">
        <w:rPr>
          <w:rFonts w:ascii="Times New Roman" w:hAnsi="Times New Roman"/>
          <w:bCs/>
          <w:lang w:val="es-ES"/>
        </w:rPr>
        <w:t>n de esa</w:t>
      </w:r>
      <w:r w:rsidRPr="00D17328">
        <w:rPr>
          <w:rFonts w:ascii="Times New Roman" w:hAnsi="Times New Roman"/>
          <w:bCs/>
          <w:lang w:val="es-ES"/>
        </w:rPr>
        <w:t xml:space="preserve"> Legislatura, la presente Iniciativa de Ley en el formato aprobado por dicho Ente Público, donde se desglosan los rubros e importes que el Estado estima percibir de conformidad con el Clasificador por Rubro de Ingresos. </w:t>
      </w:r>
      <w:r w:rsidR="00E53733" w:rsidRPr="00D17328">
        <w:rPr>
          <w:rFonts w:ascii="Times New Roman" w:hAnsi="Times New Roman"/>
          <w:bCs/>
          <w:lang w:val="es-ES"/>
        </w:rPr>
        <w:t>Por lo anterior,</w:t>
      </w:r>
      <w:r w:rsidR="00D24615" w:rsidRPr="00D17328">
        <w:rPr>
          <w:rFonts w:ascii="Times New Roman" w:hAnsi="Times New Roman"/>
          <w:bCs/>
          <w:lang w:val="es-ES"/>
        </w:rPr>
        <w:t xml:space="preserve"> y</w:t>
      </w:r>
      <w:r w:rsidR="00E53733" w:rsidRPr="00D17328">
        <w:rPr>
          <w:rFonts w:ascii="Times New Roman" w:hAnsi="Times New Roman"/>
          <w:bCs/>
          <w:lang w:val="es-ES"/>
        </w:rPr>
        <w:t xml:space="preserve"> </w:t>
      </w:r>
      <w:r w:rsidR="00D24615" w:rsidRPr="00D17328">
        <w:rPr>
          <w:rFonts w:ascii="Times New Roman" w:hAnsi="Times New Roman"/>
          <w:bCs/>
          <w:lang w:val="es-ES"/>
        </w:rPr>
        <w:t xml:space="preserve">con la </w:t>
      </w:r>
      <w:r w:rsidR="00E53733" w:rsidRPr="00D17328">
        <w:rPr>
          <w:rFonts w:ascii="Times New Roman" w:hAnsi="Times New Roman"/>
          <w:bCs/>
          <w:lang w:val="es-ES"/>
        </w:rPr>
        <w:t>fin</w:t>
      </w:r>
      <w:r w:rsidR="00D24615" w:rsidRPr="00D17328">
        <w:rPr>
          <w:rFonts w:ascii="Times New Roman" w:hAnsi="Times New Roman"/>
          <w:bCs/>
          <w:lang w:val="es-ES"/>
        </w:rPr>
        <w:t>alidad</w:t>
      </w:r>
      <w:r w:rsidR="00E53733" w:rsidRPr="00D17328">
        <w:rPr>
          <w:rFonts w:ascii="Times New Roman" w:hAnsi="Times New Roman"/>
          <w:bCs/>
          <w:lang w:val="es-ES"/>
        </w:rPr>
        <w:t xml:space="preserve"> de </w:t>
      </w:r>
      <w:r w:rsidR="00D24615" w:rsidRPr="00D17328">
        <w:rPr>
          <w:rFonts w:ascii="Times New Roman" w:hAnsi="Times New Roman"/>
          <w:bCs/>
          <w:lang w:val="es-ES"/>
        </w:rPr>
        <w:t>proveer</w:t>
      </w:r>
      <w:r w:rsidR="00E53733" w:rsidRPr="00D17328">
        <w:rPr>
          <w:rFonts w:ascii="Times New Roman" w:hAnsi="Times New Roman"/>
          <w:bCs/>
          <w:lang w:val="es-ES"/>
        </w:rPr>
        <w:t xml:space="preserve"> los recursos </w:t>
      </w:r>
      <w:r w:rsidR="00D24615" w:rsidRPr="00D17328">
        <w:rPr>
          <w:rFonts w:ascii="Times New Roman" w:hAnsi="Times New Roman"/>
          <w:bCs/>
          <w:lang w:val="es-ES"/>
        </w:rPr>
        <w:t>necesarios</w:t>
      </w:r>
      <w:r w:rsidR="00E53733" w:rsidRPr="00D17328">
        <w:rPr>
          <w:rFonts w:ascii="Times New Roman" w:hAnsi="Times New Roman"/>
          <w:bCs/>
          <w:lang w:val="es-ES"/>
        </w:rPr>
        <w:t xml:space="preserve"> para l</w:t>
      </w:r>
      <w:r w:rsidR="00B61A02" w:rsidRPr="00D17328">
        <w:rPr>
          <w:rFonts w:ascii="Times New Roman" w:hAnsi="Times New Roman"/>
          <w:bCs/>
          <w:lang w:val="es-ES"/>
        </w:rPr>
        <w:t xml:space="preserve">a consecución de los objetivos planteados en el </w:t>
      </w:r>
      <w:r w:rsidR="00E53733" w:rsidRPr="00D17328">
        <w:rPr>
          <w:rFonts w:ascii="Times New Roman" w:hAnsi="Times New Roman"/>
          <w:bCs/>
          <w:lang w:val="es-ES"/>
        </w:rPr>
        <w:t>Plan Estatal de Desarrollo 201</w:t>
      </w:r>
      <w:r w:rsidR="00DC529B" w:rsidRPr="00D17328">
        <w:rPr>
          <w:rFonts w:ascii="Times New Roman" w:hAnsi="Times New Roman"/>
          <w:bCs/>
          <w:lang w:val="es-ES"/>
        </w:rPr>
        <w:t>7</w:t>
      </w:r>
      <w:r w:rsidR="00E53733" w:rsidRPr="00D17328">
        <w:rPr>
          <w:rFonts w:ascii="Times New Roman" w:hAnsi="Times New Roman"/>
          <w:bCs/>
          <w:lang w:val="es-ES"/>
        </w:rPr>
        <w:t xml:space="preserve">-2021, se exponen las </w:t>
      </w:r>
      <w:r w:rsidR="00B61A02" w:rsidRPr="00D17328">
        <w:rPr>
          <w:rFonts w:ascii="Times New Roman" w:hAnsi="Times New Roman"/>
          <w:bCs/>
          <w:lang w:val="es-ES"/>
        </w:rPr>
        <w:t>políticas</w:t>
      </w:r>
      <w:r w:rsidR="00E53733" w:rsidRPr="00D17328">
        <w:rPr>
          <w:rFonts w:ascii="Times New Roman" w:hAnsi="Times New Roman"/>
          <w:bCs/>
          <w:lang w:val="es-ES"/>
        </w:rPr>
        <w:t xml:space="preserve"> económicas y financieras que sustentan esta </w:t>
      </w:r>
      <w:r w:rsidR="00B61A02" w:rsidRPr="00D17328">
        <w:rPr>
          <w:rFonts w:ascii="Times New Roman" w:hAnsi="Times New Roman"/>
          <w:bCs/>
          <w:lang w:val="es-ES"/>
        </w:rPr>
        <w:t>I</w:t>
      </w:r>
      <w:r w:rsidR="00E53733" w:rsidRPr="00D17328">
        <w:rPr>
          <w:rFonts w:ascii="Times New Roman" w:hAnsi="Times New Roman"/>
          <w:bCs/>
          <w:lang w:val="es-ES"/>
        </w:rPr>
        <w:t>niciativa de Ley de Ingresos</w:t>
      </w:r>
      <w:r w:rsidR="00B61A02" w:rsidRPr="00D17328">
        <w:rPr>
          <w:rFonts w:ascii="Times New Roman" w:hAnsi="Times New Roman"/>
          <w:bCs/>
          <w:lang w:val="es-ES"/>
        </w:rPr>
        <w:t xml:space="preserve">, </w:t>
      </w:r>
      <w:r w:rsidR="00E53733" w:rsidRPr="00D17328">
        <w:rPr>
          <w:rFonts w:ascii="Times New Roman" w:hAnsi="Times New Roman"/>
          <w:bCs/>
          <w:lang w:val="es-ES"/>
        </w:rPr>
        <w:t>considera</w:t>
      </w:r>
      <w:r w:rsidR="00B61A02" w:rsidRPr="00D17328">
        <w:rPr>
          <w:rFonts w:ascii="Times New Roman" w:hAnsi="Times New Roman"/>
          <w:bCs/>
          <w:lang w:val="es-ES"/>
        </w:rPr>
        <w:t>ndo</w:t>
      </w:r>
      <w:r w:rsidR="00E53733" w:rsidRPr="00D17328">
        <w:rPr>
          <w:rFonts w:ascii="Times New Roman" w:hAnsi="Times New Roman"/>
          <w:bCs/>
          <w:lang w:val="es-ES"/>
        </w:rPr>
        <w:t xml:space="preserve"> </w:t>
      </w:r>
      <w:r w:rsidR="001721BC" w:rsidRPr="00D17328">
        <w:rPr>
          <w:rFonts w:ascii="Times New Roman" w:hAnsi="Times New Roman"/>
          <w:bCs/>
          <w:lang w:val="es-ES"/>
        </w:rPr>
        <w:t>los principios de la Ley General de Contabilidad Gubernamental, la Ley de Disciplina Financiera de las Entidades Federativas y los Municipios</w:t>
      </w:r>
      <w:r w:rsidR="00562EA0" w:rsidRPr="00D17328">
        <w:rPr>
          <w:rFonts w:ascii="Times New Roman" w:hAnsi="Times New Roman"/>
          <w:bCs/>
          <w:lang w:val="es-ES"/>
        </w:rPr>
        <w:t>,</w:t>
      </w:r>
      <w:r w:rsidR="001721BC" w:rsidRPr="00D17328">
        <w:rPr>
          <w:rFonts w:ascii="Times New Roman" w:hAnsi="Times New Roman"/>
          <w:bCs/>
          <w:lang w:val="es-ES"/>
        </w:rPr>
        <w:t xml:space="preserve"> y el Código Financiero para el Estado de Tlaxcala y sus Municipios, así como </w:t>
      </w:r>
      <w:r w:rsidR="00562EA0" w:rsidRPr="00D17328">
        <w:rPr>
          <w:rFonts w:ascii="Times New Roman" w:hAnsi="Times New Roman"/>
          <w:bCs/>
          <w:lang w:val="es-ES"/>
        </w:rPr>
        <w:t>d</w:t>
      </w:r>
      <w:r w:rsidR="00E53733" w:rsidRPr="00D17328">
        <w:rPr>
          <w:rFonts w:ascii="Times New Roman" w:hAnsi="Times New Roman"/>
          <w:bCs/>
          <w:lang w:val="es-ES"/>
        </w:rPr>
        <w:t xml:space="preserve">el entorno económico </w:t>
      </w:r>
      <w:r w:rsidR="00B61A02" w:rsidRPr="00D17328">
        <w:rPr>
          <w:rFonts w:ascii="Times New Roman" w:hAnsi="Times New Roman"/>
          <w:bCs/>
          <w:lang w:val="es-ES"/>
        </w:rPr>
        <w:t xml:space="preserve">internacional, </w:t>
      </w:r>
      <w:r w:rsidR="00E53733" w:rsidRPr="00D17328">
        <w:rPr>
          <w:rFonts w:ascii="Times New Roman" w:hAnsi="Times New Roman"/>
          <w:bCs/>
          <w:lang w:val="es-ES"/>
        </w:rPr>
        <w:t xml:space="preserve">nacional y </w:t>
      </w:r>
      <w:r w:rsidR="00B61A02" w:rsidRPr="00D17328">
        <w:rPr>
          <w:rFonts w:ascii="Times New Roman" w:hAnsi="Times New Roman"/>
          <w:bCs/>
          <w:lang w:val="es-ES"/>
        </w:rPr>
        <w:t>local</w:t>
      </w:r>
      <w:r w:rsidR="00E53733" w:rsidRPr="00D17328">
        <w:rPr>
          <w:rFonts w:ascii="Times New Roman" w:hAnsi="Times New Roman"/>
          <w:bCs/>
          <w:lang w:val="es-ES"/>
        </w:rPr>
        <w:t>, permit</w:t>
      </w:r>
      <w:r w:rsidR="00B61A02" w:rsidRPr="00D17328">
        <w:rPr>
          <w:rFonts w:ascii="Times New Roman" w:hAnsi="Times New Roman"/>
          <w:bCs/>
          <w:lang w:val="es-ES"/>
        </w:rPr>
        <w:t>iendo</w:t>
      </w:r>
      <w:r w:rsidR="00E53733" w:rsidRPr="00D17328">
        <w:rPr>
          <w:rFonts w:ascii="Times New Roman" w:hAnsi="Times New Roman"/>
          <w:bCs/>
          <w:lang w:val="es-ES"/>
        </w:rPr>
        <w:t xml:space="preserve"> realizar la propuesta de los</w:t>
      </w:r>
      <w:r w:rsidR="0085182B" w:rsidRPr="00D17328">
        <w:rPr>
          <w:rFonts w:ascii="Times New Roman" w:hAnsi="Times New Roman"/>
          <w:bCs/>
          <w:lang w:val="es-ES"/>
        </w:rPr>
        <w:t xml:space="preserve"> montos que en ingresos federales y locales </w:t>
      </w:r>
      <w:r w:rsidR="00E53733" w:rsidRPr="00D17328">
        <w:rPr>
          <w:rFonts w:ascii="Times New Roman" w:hAnsi="Times New Roman"/>
          <w:bCs/>
          <w:lang w:val="es-ES"/>
        </w:rPr>
        <w:t>estima recibir el Estado</w:t>
      </w:r>
      <w:r w:rsidR="001721BC" w:rsidRPr="00D17328">
        <w:rPr>
          <w:rFonts w:ascii="Times New Roman" w:hAnsi="Times New Roman"/>
          <w:bCs/>
          <w:lang w:val="es-ES"/>
        </w:rPr>
        <w:t xml:space="preserve"> en el ejercicio </w:t>
      </w:r>
      <w:r w:rsidR="000A59C5" w:rsidRPr="00D17328">
        <w:rPr>
          <w:rFonts w:ascii="Times New Roman" w:hAnsi="Times New Roman"/>
          <w:bCs/>
          <w:lang w:val="es-ES"/>
        </w:rPr>
        <w:t xml:space="preserve">fiscal </w:t>
      </w:r>
      <w:r w:rsidR="001721BC" w:rsidRPr="00D17328">
        <w:rPr>
          <w:rFonts w:ascii="Times New Roman" w:hAnsi="Times New Roman"/>
          <w:bCs/>
          <w:lang w:val="es-ES"/>
        </w:rPr>
        <w:t>20</w:t>
      </w:r>
      <w:r w:rsidR="00B51856" w:rsidRPr="00D17328">
        <w:rPr>
          <w:rFonts w:ascii="Times New Roman" w:hAnsi="Times New Roman"/>
          <w:bCs/>
          <w:lang w:val="es-ES"/>
        </w:rPr>
        <w:t>2</w:t>
      </w:r>
      <w:r w:rsidR="000A2FD9" w:rsidRPr="00D17328">
        <w:rPr>
          <w:rFonts w:ascii="Times New Roman" w:hAnsi="Times New Roman"/>
          <w:bCs/>
          <w:lang w:val="es-ES"/>
        </w:rPr>
        <w:t>1</w:t>
      </w:r>
      <w:r w:rsidR="000A59C5" w:rsidRPr="00D17328">
        <w:rPr>
          <w:rFonts w:ascii="Times New Roman" w:hAnsi="Times New Roman"/>
          <w:bCs/>
          <w:lang w:val="es-ES"/>
        </w:rPr>
        <w:t>.</w:t>
      </w:r>
    </w:p>
    <w:p w14:paraId="0C6681E9" w14:textId="77777777" w:rsidR="00E53733" w:rsidRPr="00D17328" w:rsidRDefault="00E53733" w:rsidP="00DF521A">
      <w:pPr>
        <w:pStyle w:val="PRIMERAPLANA"/>
        <w:spacing w:line="360" w:lineRule="auto"/>
        <w:rPr>
          <w:rFonts w:ascii="Times New Roman" w:hAnsi="Times New Roman"/>
          <w:bCs/>
          <w:lang w:val="es-ES"/>
        </w:rPr>
      </w:pPr>
    </w:p>
    <w:p w14:paraId="727EA0BD" w14:textId="6B108E35" w:rsidR="00A90B5C" w:rsidRPr="00D17328" w:rsidRDefault="00DF521A" w:rsidP="00A90B5C">
      <w:pPr>
        <w:pStyle w:val="PRIMERAPLANA"/>
        <w:spacing w:line="360" w:lineRule="auto"/>
        <w:rPr>
          <w:rFonts w:ascii="Times New Roman" w:hAnsi="Times New Roman"/>
          <w:bCs/>
          <w:lang w:val="es-ES"/>
        </w:rPr>
      </w:pPr>
      <w:r w:rsidRPr="00D17328">
        <w:rPr>
          <w:rFonts w:ascii="Times New Roman" w:hAnsi="Times New Roman"/>
          <w:bCs/>
          <w:lang w:val="es-ES"/>
        </w:rPr>
        <w:t>De conformidad con lo establecido en la Constitución Política del Estado Libre y Soberano de Tlaxcala y</w:t>
      </w:r>
      <w:r w:rsidR="00562EA0" w:rsidRPr="00D17328">
        <w:rPr>
          <w:rFonts w:ascii="Times New Roman" w:hAnsi="Times New Roman"/>
          <w:bCs/>
          <w:lang w:val="es-ES"/>
        </w:rPr>
        <w:t xml:space="preserve"> </w:t>
      </w:r>
      <w:r w:rsidRPr="00D17328">
        <w:rPr>
          <w:rFonts w:ascii="Times New Roman" w:hAnsi="Times New Roman"/>
          <w:bCs/>
          <w:lang w:val="es-ES"/>
        </w:rPr>
        <w:t xml:space="preserve">el Código Financiero para el Estado de Tlaxcala y sus Municipios, el Ejecutivo del Estado somete a consideración de esa Soberanía la Iniciativa de Ley de Ingresos del Estado </w:t>
      </w:r>
      <w:r w:rsidR="008B5DDC" w:rsidRPr="00D17328">
        <w:rPr>
          <w:rFonts w:ascii="Times New Roman" w:hAnsi="Times New Roman"/>
          <w:bCs/>
          <w:lang w:val="es-ES"/>
        </w:rPr>
        <w:t>de Tlaxcala</w:t>
      </w:r>
      <w:r w:rsidR="0010294B" w:rsidRPr="00D17328">
        <w:rPr>
          <w:rFonts w:ascii="Times New Roman" w:hAnsi="Times New Roman"/>
          <w:bCs/>
          <w:lang w:val="es-ES"/>
        </w:rPr>
        <w:t xml:space="preserve"> </w:t>
      </w:r>
      <w:r w:rsidRPr="00D17328">
        <w:rPr>
          <w:rFonts w:ascii="Times New Roman" w:hAnsi="Times New Roman"/>
          <w:bCs/>
          <w:lang w:val="es-ES"/>
        </w:rPr>
        <w:t>para el Ejercicio Fiscal</w:t>
      </w:r>
      <w:r w:rsidR="000A59C5" w:rsidRPr="00D17328">
        <w:rPr>
          <w:rFonts w:ascii="Times New Roman" w:hAnsi="Times New Roman"/>
          <w:bCs/>
          <w:lang w:val="es-ES"/>
        </w:rPr>
        <w:t xml:space="preserve"> </w:t>
      </w:r>
      <w:r w:rsidRPr="00D17328">
        <w:rPr>
          <w:rFonts w:ascii="Times New Roman" w:hAnsi="Times New Roman"/>
          <w:bCs/>
          <w:lang w:val="es-ES"/>
        </w:rPr>
        <w:t>20</w:t>
      </w:r>
      <w:r w:rsidR="00A9745B" w:rsidRPr="00D17328">
        <w:rPr>
          <w:rFonts w:ascii="Times New Roman" w:hAnsi="Times New Roman"/>
          <w:bCs/>
          <w:lang w:val="es-ES"/>
        </w:rPr>
        <w:t>2</w:t>
      </w:r>
      <w:r w:rsidR="000A2FD9" w:rsidRPr="00D17328">
        <w:rPr>
          <w:rFonts w:ascii="Times New Roman" w:hAnsi="Times New Roman"/>
          <w:bCs/>
          <w:lang w:val="es-ES"/>
        </w:rPr>
        <w:t>1</w:t>
      </w:r>
      <w:r w:rsidR="00562EA0" w:rsidRPr="00D17328">
        <w:rPr>
          <w:rFonts w:ascii="Times New Roman" w:hAnsi="Times New Roman"/>
          <w:bCs/>
          <w:lang w:val="es-ES"/>
        </w:rPr>
        <w:t xml:space="preserve">; </w:t>
      </w:r>
      <w:r w:rsidR="00A90B5C" w:rsidRPr="00D17328">
        <w:rPr>
          <w:rFonts w:ascii="Times New Roman" w:hAnsi="Times New Roman"/>
          <w:bCs/>
          <w:lang w:val="es-ES"/>
        </w:rPr>
        <w:t>la cual se da bajo una coyuntura sanitaria y económica extraordinaria derivada por la pandemia del COVID-19, misma que ha conducido al Gobierno Federal a ampliar la capacidad en los suministro</w:t>
      </w:r>
      <w:r w:rsidR="005D6609" w:rsidRPr="00D17328">
        <w:rPr>
          <w:rFonts w:ascii="Times New Roman" w:hAnsi="Times New Roman"/>
          <w:bCs/>
          <w:lang w:val="es-ES"/>
        </w:rPr>
        <w:t>s</w:t>
      </w:r>
      <w:r w:rsidR="00A90B5C" w:rsidRPr="00D17328">
        <w:rPr>
          <w:rFonts w:ascii="Times New Roman" w:hAnsi="Times New Roman"/>
          <w:bCs/>
          <w:lang w:val="es-ES"/>
        </w:rPr>
        <w:t xml:space="preserve"> de los servicios de salud y al reforzamiento del gasto orientado a fortalecer las funciones </w:t>
      </w:r>
      <w:r w:rsidR="00A90B5C" w:rsidRPr="00D17328">
        <w:rPr>
          <w:rFonts w:ascii="Times New Roman" w:hAnsi="Times New Roman"/>
          <w:bCs/>
          <w:lang w:val="es-ES"/>
        </w:rPr>
        <w:lastRenderedPageBreak/>
        <w:t>de desarrollo económico y social, con el propósito de apoyar la economía de hogares y empresas. Bajo este contexto, en las proyecciones de</w:t>
      </w:r>
      <w:r w:rsidR="00F12E88" w:rsidRPr="00D17328">
        <w:rPr>
          <w:rFonts w:ascii="Times New Roman" w:hAnsi="Times New Roman"/>
          <w:bCs/>
          <w:lang w:val="es-ES"/>
        </w:rPr>
        <w:t xml:space="preserve"> </w:t>
      </w:r>
      <w:r w:rsidR="00A90B5C" w:rsidRPr="00D17328">
        <w:rPr>
          <w:rFonts w:ascii="Times New Roman" w:hAnsi="Times New Roman"/>
          <w:bCs/>
          <w:lang w:val="es-ES"/>
        </w:rPr>
        <w:t>finanzas públicas de 2021 se utiliza una tasa de crecimiento puntual del PIB de</w:t>
      </w:r>
      <w:r w:rsidR="00F12E88" w:rsidRPr="00D17328">
        <w:rPr>
          <w:rFonts w:ascii="Times New Roman" w:hAnsi="Times New Roman"/>
          <w:bCs/>
          <w:lang w:val="es-ES"/>
        </w:rPr>
        <w:t xml:space="preserve"> </w:t>
      </w:r>
      <w:r w:rsidR="00A90B5C" w:rsidRPr="00D17328">
        <w:rPr>
          <w:rFonts w:ascii="Times New Roman" w:hAnsi="Times New Roman"/>
          <w:bCs/>
          <w:lang w:val="es-ES"/>
        </w:rPr>
        <w:t>4.6</w:t>
      </w:r>
      <w:r w:rsidR="00963CDF" w:rsidRPr="00D17328">
        <w:rPr>
          <w:rFonts w:ascii="Times New Roman" w:hAnsi="Times New Roman"/>
          <w:bCs/>
          <w:lang w:val="es-ES"/>
        </w:rPr>
        <w:t>%</w:t>
      </w:r>
      <w:r w:rsidR="00A90B5C" w:rsidRPr="00D17328">
        <w:rPr>
          <w:rFonts w:ascii="Times New Roman" w:hAnsi="Times New Roman"/>
          <w:bCs/>
          <w:lang w:val="es-ES"/>
        </w:rPr>
        <w:t>, cifra que podría ajustarse de acuerdo a la trayectoria de la</w:t>
      </w:r>
      <w:r w:rsidR="00F12E88" w:rsidRPr="00D17328">
        <w:rPr>
          <w:rFonts w:ascii="Times New Roman" w:hAnsi="Times New Roman"/>
          <w:bCs/>
          <w:lang w:val="es-ES"/>
        </w:rPr>
        <w:t xml:space="preserve"> </w:t>
      </w:r>
      <w:r w:rsidR="005D6609" w:rsidRPr="00D17328">
        <w:rPr>
          <w:rFonts w:ascii="Times New Roman" w:hAnsi="Times New Roman"/>
          <w:bCs/>
          <w:lang w:val="es-ES"/>
        </w:rPr>
        <w:t>pandemia;</w:t>
      </w:r>
      <w:r w:rsidR="002C2247" w:rsidRPr="00D17328">
        <w:rPr>
          <w:rFonts w:ascii="Times New Roman" w:hAnsi="Times New Roman"/>
          <w:bCs/>
          <w:lang w:val="es-ES"/>
        </w:rPr>
        <w:t xml:space="preserve"> e</w:t>
      </w:r>
      <w:r w:rsidR="00A90B5C" w:rsidRPr="00D17328">
        <w:rPr>
          <w:rFonts w:ascii="Times New Roman" w:hAnsi="Times New Roman"/>
          <w:bCs/>
          <w:lang w:val="es-ES"/>
        </w:rPr>
        <w:t>l precio de la mezcla mexicana de exportación es de 42.1 dólares</w:t>
      </w:r>
      <w:r w:rsidR="00F12E88" w:rsidRPr="00D17328">
        <w:rPr>
          <w:rFonts w:ascii="Times New Roman" w:hAnsi="Times New Roman"/>
          <w:bCs/>
          <w:lang w:val="es-ES"/>
        </w:rPr>
        <w:t xml:space="preserve"> </w:t>
      </w:r>
      <w:r w:rsidR="00A90B5C" w:rsidRPr="00D17328">
        <w:rPr>
          <w:rFonts w:ascii="Times New Roman" w:hAnsi="Times New Roman"/>
          <w:bCs/>
          <w:lang w:val="es-ES"/>
        </w:rPr>
        <w:t>por barril, con una plataforma de producción de petróleo de 1 millón 857 mil</w:t>
      </w:r>
      <w:r w:rsidR="00F12E88" w:rsidRPr="00D17328">
        <w:rPr>
          <w:rFonts w:ascii="Times New Roman" w:hAnsi="Times New Roman"/>
          <w:bCs/>
          <w:lang w:val="es-ES"/>
        </w:rPr>
        <w:t xml:space="preserve"> </w:t>
      </w:r>
      <w:r w:rsidR="00A90B5C" w:rsidRPr="00D17328">
        <w:rPr>
          <w:rFonts w:ascii="Times New Roman" w:hAnsi="Times New Roman"/>
          <w:bCs/>
          <w:lang w:val="es-ES"/>
        </w:rPr>
        <w:t>barriles diarios</w:t>
      </w:r>
      <w:r w:rsidR="005D6609" w:rsidRPr="00D17328">
        <w:rPr>
          <w:rFonts w:ascii="Times New Roman" w:hAnsi="Times New Roman"/>
          <w:bCs/>
          <w:lang w:val="es-ES"/>
        </w:rPr>
        <w:t>;</w:t>
      </w:r>
      <w:r w:rsidR="00A90B5C" w:rsidRPr="00D17328">
        <w:rPr>
          <w:rFonts w:ascii="Times New Roman" w:hAnsi="Times New Roman"/>
          <w:bCs/>
          <w:lang w:val="es-ES"/>
        </w:rPr>
        <w:t xml:space="preserve"> Se prevé una inflación anual de 3.0</w:t>
      </w:r>
      <w:r w:rsidR="00963CDF" w:rsidRPr="00D17328">
        <w:rPr>
          <w:rFonts w:ascii="Times New Roman" w:hAnsi="Times New Roman"/>
          <w:bCs/>
          <w:lang w:val="es-ES"/>
        </w:rPr>
        <w:t>%</w:t>
      </w:r>
      <w:r w:rsidR="00A90B5C" w:rsidRPr="00D17328">
        <w:rPr>
          <w:rFonts w:ascii="Times New Roman" w:hAnsi="Times New Roman"/>
          <w:bCs/>
          <w:lang w:val="es-ES"/>
        </w:rPr>
        <w:t>, en línea con las</w:t>
      </w:r>
      <w:r w:rsidR="00F12E88" w:rsidRPr="00D17328">
        <w:rPr>
          <w:rFonts w:ascii="Times New Roman" w:hAnsi="Times New Roman"/>
          <w:bCs/>
          <w:lang w:val="es-ES"/>
        </w:rPr>
        <w:t xml:space="preserve"> </w:t>
      </w:r>
      <w:r w:rsidR="00A90B5C" w:rsidRPr="00D17328">
        <w:rPr>
          <w:rFonts w:ascii="Times New Roman" w:hAnsi="Times New Roman"/>
          <w:bCs/>
          <w:lang w:val="es-ES"/>
        </w:rPr>
        <w:t>proyecciones y el objetivo del Banco de México; una tasa de interés de 4.0</w:t>
      </w:r>
      <w:r w:rsidR="00963CDF" w:rsidRPr="00D17328">
        <w:rPr>
          <w:rFonts w:ascii="Times New Roman" w:hAnsi="Times New Roman"/>
          <w:bCs/>
          <w:lang w:val="es-ES"/>
        </w:rPr>
        <w:t>%</w:t>
      </w:r>
      <w:r w:rsidR="00A90B5C" w:rsidRPr="00D17328">
        <w:rPr>
          <w:rFonts w:ascii="Times New Roman" w:hAnsi="Times New Roman"/>
          <w:bCs/>
          <w:lang w:val="es-ES"/>
        </w:rPr>
        <w:t xml:space="preserve"> y un tipo de cambio promedio de 21.9 pesos por dólar.</w:t>
      </w:r>
    </w:p>
    <w:p w14:paraId="4E6D525D" w14:textId="5E670AAF" w:rsidR="00A90B5C" w:rsidRPr="00D17328" w:rsidRDefault="00A90B5C" w:rsidP="000A59C5">
      <w:pPr>
        <w:pStyle w:val="PRIMERAPLANA"/>
        <w:spacing w:line="360" w:lineRule="auto"/>
        <w:rPr>
          <w:rFonts w:ascii="Times New Roman" w:hAnsi="Times New Roman"/>
          <w:bCs/>
          <w:lang w:val="es-ES"/>
        </w:rPr>
      </w:pPr>
    </w:p>
    <w:p w14:paraId="21FA90D0" w14:textId="0A756842" w:rsidR="00F12E88" w:rsidRPr="00D17328" w:rsidRDefault="00F12E88" w:rsidP="00F12E88">
      <w:pPr>
        <w:pStyle w:val="PRIMERAPLANA"/>
        <w:spacing w:line="360" w:lineRule="auto"/>
        <w:rPr>
          <w:rFonts w:ascii="Times New Roman" w:hAnsi="Times New Roman"/>
          <w:bCs/>
          <w:lang w:val="es-ES"/>
        </w:rPr>
      </w:pPr>
      <w:r w:rsidRPr="00D17328">
        <w:rPr>
          <w:rFonts w:ascii="Times New Roman" w:hAnsi="Times New Roman"/>
          <w:bCs/>
          <w:lang w:val="es-ES"/>
        </w:rPr>
        <w:t xml:space="preserve">Para el cierre de 2020, la actualización de las principales variables macroeconómicas se encuentra dentro de un contexto en el que la recuperación económica global es aún incierta; no obstante, considera, entre otros factores, la recuperación del sector manufacturero conforme lo haga la producción industrial de Estados Unidos y apoyado por la certidumbre que ofrece el T-MEC; así como del mejor dinamismo que presenten otros sectores como la construcción (a medida que se retomen los proyectos suspendidos), el comercio (en línea con la reapertura gradual y el mayor uso de herramientas digitales) y el sector servicios. </w:t>
      </w:r>
    </w:p>
    <w:p w14:paraId="16566B50" w14:textId="77777777" w:rsidR="00F12E88" w:rsidRPr="00D17328" w:rsidRDefault="00F12E88" w:rsidP="00F12E88">
      <w:pPr>
        <w:pStyle w:val="PRIMERAPLANA"/>
        <w:spacing w:line="360" w:lineRule="auto"/>
        <w:rPr>
          <w:rFonts w:ascii="Times New Roman" w:hAnsi="Times New Roman"/>
          <w:bCs/>
          <w:lang w:val="es-ES"/>
        </w:rPr>
      </w:pPr>
    </w:p>
    <w:p w14:paraId="3211C466" w14:textId="4131B916" w:rsidR="00A90B5C" w:rsidRPr="00D17328" w:rsidRDefault="00F12E88" w:rsidP="00F12E88">
      <w:pPr>
        <w:pStyle w:val="PRIMERAPLANA"/>
        <w:spacing w:line="360" w:lineRule="auto"/>
        <w:rPr>
          <w:rFonts w:ascii="Times New Roman" w:hAnsi="Times New Roman"/>
          <w:bCs/>
          <w:lang w:val="es-ES"/>
        </w:rPr>
      </w:pPr>
      <w:r w:rsidRPr="00D17328">
        <w:rPr>
          <w:rFonts w:ascii="Times New Roman" w:hAnsi="Times New Roman"/>
          <w:bCs/>
          <w:lang w:val="es-ES"/>
        </w:rPr>
        <w:t>Las políticas fiscal y financiera que se proponen, están orientadas a ampliar y fortalecer las capacidades del sistema de salud, particularmente los servicios orientados a la atención de los grupos más vulnerables; promover un restablecimiento rápido y sostenido del empleo y de la actividad económica; continuar reduciendo la desigualdad y sentando las bases para un desarrollo equilibrado y vigoroso en el largo plazo; y asegurar la sostenibilidad fiscal de largo plazo.</w:t>
      </w:r>
    </w:p>
    <w:p w14:paraId="479EF285" w14:textId="07D4EA51" w:rsidR="00F12E88" w:rsidRPr="00D17328" w:rsidRDefault="00F12E88" w:rsidP="000A59C5">
      <w:pPr>
        <w:pStyle w:val="PRIMERAPLANA"/>
        <w:spacing w:line="360" w:lineRule="auto"/>
        <w:rPr>
          <w:rFonts w:ascii="Times New Roman" w:hAnsi="Times New Roman"/>
          <w:bCs/>
          <w:lang w:val="es-ES"/>
        </w:rPr>
      </w:pPr>
    </w:p>
    <w:p w14:paraId="0E2DE9C4" w14:textId="0D4CDD6C" w:rsidR="00F12E88" w:rsidRPr="00D17328" w:rsidRDefault="00F12E88" w:rsidP="00F12E88">
      <w:pPr>
        <w:pStyle w:val="PRIMERAPLANA"/>
        <w:spacing w:line="360" w:lineRule="auto"/>
        <w:rPr>
          <w:rFonts w:ascii="Times New Roman" w:hAnsi="Times New Roman"/>
          <w:bCs/>
          <w:lang w:val="es-ES"/>
        </w:rPr>
      </w:pPr>
      <w:r w:rsidRPr="00D17328">
        <w:rPr>
          <w:rFonts w:ascii="Times New Roman" w:hAnsi="Times New Roman"/>
          <w:bCs/>
          <w:lang w:val="es-ES"/>
        </w:rPr>
        <w:t>Para 2021, se parte de un Marco Macroeconómico prudente, considerando la evolución de las variables económicas y la incertidumbre que prevalece tras el impacto de la pandemia del COVID-19. De esa forma, se estima que continuará la reactivación económica iniciada en la segunda parte de 2020; se prevé que la contención de la pandemia en México y en el exterior permita la remoción paulatina de las medidas de confinamiento, una mayor utilización de la capacidad productiva instalada, que el T-MEC potencie a los sectores integrados a la economía global y la invers</w:t>
      </w:r>
      <w:r w:rsidR="00D50D0F" w:rsidRPr="00D17328">
        <w:rPr>
          <w:rFonts w:ascii="Times New Roman" w:hAnsi="Times New Roman"/>
          <w:bCs/>
          <w:lang w:val="es-ES"/>
        </w:rPr>
        <w:t>i</w:t>
      </w:r>
      <w:r w:rsidRPr="00D17328">
        <w:rPr>
          <w:rFonts w:ascii="Times New Roman" w:hAnsi="Times New Roman"/>
          <w:bCs/>
          <w:lang w:val="es-ES"/>
        </w:rPr>
        <w:t>ón estratégica; que la inversión pública y privada en infraestructura impulsen la generación de empleo y el derrame económico sobre otros sectores; en tanto que el sector financiero apoye el flujo de recursos hacia hogares, empresas y proyectos productivos, apoyados por la política monetaria acomodaticia que lleva a cabo tanto en México como en el exterior.</w:t>
      </w:r>
    </w:p>
    <w:p w14:paraId="6241372B" w14:textId="77777777" w:rsidR="00F12E88" w:rsidRPr="00D17328" w:rsidRDefault="00F12E88" w:rsidP="000A59C5">
      <w:pPr>
        <w:pStyle w:val="PRIMERAPLANA"/>
        <w:spacing w:line="360" w:lineRule="auto"/>
        <w:rPr>
          <w:rFonts w:ascii="Times New Roman" w:hAnsi="Times New Roman"/>
          <w:bCs/>
          <w:lang w:val="es-ES"/>
        </w:rPr>
      </w:pPr>
    </w:p>
    <w:p w14:paraId="3ECA81D0" w14:textId="0752F24E" w:rsidR="00614704" w:rsidRPr="00D17328" w:rsidRDefault="00614704" w:rsidP="00D50D0F">
      <w:pPr>
        <w:pStyle w:val="PRIMERAPLANA"/>
        <w:spacing w:line="360" w:lineRule="auto"/>
        <w:rPr>
          <w:rFonts w:ascii="Times New Roman" w:hAnsi="Times New Roman"/>
          <w:bCs/>
          <w:lang w:val="es-ES"/>
        </w:rPr>
      </w:pPr>
      <w:r w:rsidRPr="00D17328">
        <w:rPr>
          <w:rFonts w:ascii="Times New Roman" w:hAnsi="Times New Roman"/>
          <w:bCs/>
          <w:lang w:val="es-ES"/>
        </w:rPr>
        <w:lastRenderedPageBreak/>
        <w:t>La propagación de la pandemia llevó al cierre de fronteras y al paro de</w:t>
      </w:r>
      <w:r w:rsidR="00D50D0F" w:rsidRPr="00D17328">
        <w:rPr>
          <w:rFonts w:ascii="Times New Roman" w:hAnsi="Times New Roman"/>
          <w:bCs/>
          <w:lang w:val="es-ES"/>
        </w:rPr>
        <w:t xml:space="preserve"> </w:t>
      </w:r>
      <w:r w:rsidRPr="00D17328">
        <w:rPr>
          <w:rFonts w:ascii="Times New Roman" w:hAnsi="Times New Roman"/>
          <w:bCs/>
          <w:lang w:val="es-ES"/>
        </w:rPr>
        <w:t>actividades que trajeron consigo caídas en el comercio mundial y la actividad</w:t>
      </w:r>
      <w:r w:rsidR="00D50D0F" w:rsidRPr="00D17328">
        <w:rPr>
          <w:rFonts w:ascii="Times New Roman" w:hAnsi="Times New Roman"/>
          <w:bCs/>
          <w:lang w:val="es-ES"/>
        </w:rPr>
        <w:t xml:space="preserve"> </w:t>
      </w:r>
      <w:r w:rsidRPr="00D17328">
        <w:rPr>
          <w:rFonts w:ascii="Times New Roman" w:hAnsi="Times New Roman"/>
          <w:bCs/>
          <w:lang w:val="es-ES"/>
        </w:rPr>
        <w:t>económica. En los mercados financieros prevaleció la incertidumbre y la</w:t>
      </w:r>
      <w:r w:rsidR="00D50D0F" w:rsidRPr="00D17328">
        <w:rPr>
          <w:rFonts w:ascii="Times New Roman" w:hAnsi="Times New Roman"/>
          <w:bCs/>
          <w:lang w:val="es-ES"/>
        </w:rPr>
        <w:t xml:space="preserve"> </w:t>
      </w:r>
      <w:r w:rsidRPr="00D17328">
        <w:rPr>
          <w:rFonts w:ascii="Times New Roman" w:hAnsi="Times New Roman"/>
          <w:bCs/>
          <w:lang w:val="es-ES"/>
        </w:rPr>
        <w:t>aversión al riesgo, lo que ocasionó una salida de capitales de los mercados</w:t>
      </w:r>
      <w:r w:rsidR="00D50D0F" w:rsidRPr="00D17328">
        <w:rPr>
          <w:rFonts w:ascii="Times New Roman" w:hAnsi="Times New Roman"/>
          <w:bCs/>
          <w:lang w:val="es-ES"/>
        </w:rPr>
        <w:t xml:space="preserve"> </w:t>
      </w:r>
      <w:r w:rsidRPr="00D17328">
        <w:rPr>
          <w:rFonts w:ascii="Times New Roman" w:hAnsi="Times New Roman"/>
          <w:bCs/>
          <w:lang w:val="es-ES"/>
        </w:rPr>
        <w:t>emergentes hacia activos más seguros, generando depreciaciones en sus</w:t>
      </w:r>
      <w:r w:rsidR="00D50D0F" w:rsidRPr="00D17328">
        <w:rPr>
          <w:rFonts w:ascii="Times New Roman" w:hAnsi="Times New Roman"/>
          <w:bCs/>
          <w:lang w:val="es-ES"/>
        </w:rPr>
        <w:t xml:space="preserve"> </w:t>
      </w:r>
      <w:r w:rsidRPr="00D17328">
        <w:rPr>
          <w:rFonts w:ascii="Times New Roman" w:hAnsi="Times New Roman"/>
          <w:bCs/>
          <w:lang w:val="es-ES"/>
        </w:rPr>
        <w:t>monedas locales, e incrementos en las primas de riesgo; por su parte, en los</w:t>
      </w:r>
      <w:r w:rsidR="00D50D0F" w:rsidRPr="00D17328">
        <w:rPr>
          <w:rFonts w:ascii="Times New Roman" w:hAnsi="Times New Roman"/>
          <w:bCs/>
          <w:lang w:val="es-ES"/>
        </w:rPr>
        <w:t xml:space="preserve"> </w:t>
      </w:r>
      <w:r w:rsidRPr="00D17328">
        <w:rPr>
          <w:rFonts w:ascii="Times New Roman" w:hAnsi="Times New Roman"/>
          <w:bCs/>
          <w:lang w:val="es-ES"/>
        </w:rPr>
        <w:t>mercados de materias primas se observó una contracción pronunciada de la</w:t>
      </w:r>
      <w:r w:rsidR="00D50D0F" w:rsidRPr="00D17328">
        <w:rPr>
          <w:rFonts w:ascii="Times New Roman" w:hAnsi="Times New Roman"/>
          <w:bCs/>
          <w:lang w:val="es-ES"/>
        </w:rPr>
        <w:t xml:space="preserve"> </w:t>
      </w:r>
      <w:r w:rsidRPr="00D17328">
        <w:rPr>
          <w:rFonts w:ascii="Times New Roman" w:hAnsi="Times New Roman"/>
          <w:bCs/>
          <w:lang w:val="es-ES"/>
        </w:rPr>
        <w:t>demanda, en particular del petróleo ante las restricciones a la actividad</w:t>
      </w:r>
      <w:r w:rsidR="00D50D0F" w:rsidRPr="00D17328">
        <w:rPr>
          <w:rFonts w:ascii="Times New Roman" w:hAnsi="Times New Roman"/>
          <w:bCs/>
          <w:lang w:val="es-ES"/>
        </w:rPr>
        <w:t xml:space="preserve"> </w:t>
      </w:r>
      <w:r w:rsidRPr="00D17328">
        <w:rPr>
          <w:rFonts w:ascii="Times New Roman" w:hAnsi="Times New Roman"/>
          <w:bCs/>
          <w:lang w:val="es-ES"/>
        </w:rPr>
        <w:t>económica para contener la pandemia.</w:t>
      </w:r>
    </w:p>
    <w:p w14:paraId="14265F6C" w14:textId="77777777" w:rsidR="00D50D0F" w:rsidRPr="00D17328" w:rsidRDefault="00D50D0F" w:rsidP="00D50D0F">
      <w:pPr>
        <w:pStyle w:val="PRIMERAPLANA"/>
        <w:spacing w:line="360" w:lineRule="auto"/>
        <w:rPr>
          <w:rFonts w:ascii="Times New Roman" w:hAnsi="Times New Roman"/>
          <w:bCs/>
          <w:lang w:val="es-ES"/>
        </w:rPr>
      </w:pPr>
    </w:p>
    <w:p w14:paraId="77104BEA" w14:textId="5DCAAB1C" w:rsidR="00614704" w:rsidRPr="00D17328" w:rsidRDefault="00614704" w:rsidP="00D50D0F">
      <w:pPr>
        <w:pStyle w:val="PRIMERAPLANA"/>
        <w:spacing w:line="360" w:lineRule="auto"/>
        <w:rPr>
          <w:rFonts w:ascii="Times New Roman" w:hAnsi="Times New Roman"/>
          <w:bCs/>
          <w:lang w:val="es-ES"/>
        </w:rPr>
      </w:pPr>
      <w:r w:rsidRPr="00D17328">
        <w:rPr>
          <w:rFonts w:ascii="Times New Roman" w:hAnsi="Times New Roman"/>
          <w:bCs/>
          <w:lang w:val="es-ES"/>
        </w:rPr>
        <w:t>En las Perspectivas Económicas de junio 2020</w:t>
      </w:r>
      <w:r w:rsidR="00D50D0F" w:rsidRPr="00D17328">
        <w:rPr>
          <w:rFonts w:ascii="Times New Roman" w:hAnsi="Times New Roman"/>
          <w:bCs/>
          <w:lang w:val="es-ES"/>
        </w:rPr>
        <w:t xml:space="preserve"> </w:t>
      </w:r>
      <w:r w:rsidRPr="00D17328">
        <w:rPr>
          <w:rFonts w:ascii="Times New Roman" w:hAnsi="Times New Roman"/>
          <w:bCs/>
          <w:lang w:val="es-ES"/>
        </w:rPr>
        <w:t>del Fondo Monetario Internacional (FMI), que prevé una contracción de la</w:t>
      </w:r>
      <w:r w:rsidR="00D50D0F" w:rsidRPr="00D17328">
        <w:rPr>
          <w:rFonts w:ascii="Times New Roman" w:hAnsi="Times New Roman"/>
          <w:bCs/>
          <w:lang w:val="es-ES"/>
        </w:rPr>
        <w:t xml:space="preserve"> </w:t>
      </w:r>
      <w:r w:rsidRPr="00D17328">
        <w:rPr>
          <w:rFonts w:ascii="Times New Roman" w:hAnsi="Times New Roman"/>
          <w:bCs/>
          <w:lang w:val="es-ES"/>
        </w:rPr>
        <w:t>economía global de 4.9% para 2020, aunque se espera una recuperación de</w:t>
      </w:r>
      <w:r w:rsidR="00D50D0F" w:rsidRPr="00D17328">
        <w:rPr>
          <w:rFonts w:ascii="Times New Roman" w:hAnsi="Times New Roman"/>
          <w:bCs/>
          <w:lang w:val="es-ES"/>
        </w:rPr>
        <w:t xml:space="preserve"> </w:t>
      </w:r>
      <w:r w:rsidRPr="00D17328">
        <w:rPr>
          <w:rFonts w:ascii="Times New Roman" w:hAnsi="Times New Roman"/>
          <w:bCs/>
          <w:lang w:val="es-ES"/>
        </w:rPr>
        <w:t>5.4% para 2021, cifras menores en 1.9 y 0.4 puntos porcentuales a las</w:t>
      </w:r>
      <w:r w:rsidR="00D50D0F" w:rsidRPr="00D17328">
        <w:rPr>
          <w:rFonts w:ascii="Times New Roman" w:hAnsi="Times New Roman"/>
          <w:bCs/>
          <w:lang w:val="es-ES"/>
        </w:rPr>
        <w:t xml:space="preserve"> </w:t>
      </w:r>
      <w:r w:rsidRPr="00D17328">
        <w:rPr>
          <w:rFonts w:ascii="Times New Roman" w:hAnsi="Times New Roman"/>
          <w:bCs/>
          <w:lang w:val="es-ES"/>
        </w:rPr>
        <w:t>estimaciones hechas por este organismo en abril de 2020.</w:t>
      </w:r>
    </w:p>
    <w:p w14:paraId="5C97DDD1" w14:textId="23E62F00" w:rsidR="00A90B5C" w:rsidRPr="00D17328" w:rsidRDefault="00A90B5C" w:rsidP="00614704">
      <w:pPr>
        <w:pStyle w:val="PRIMERAPLANA"/>
        <w:spacing w:line="360" w:lineRule="auto"/>
        <w:rPr>
          <w:rFonts w:ascii="Times New Roman" w:hAnsi="Times New Roman"/>
          <w:bCs/>
          <w:lang w:val="es-ES"/>
        </w:rPr>
      </w:pPr>
    </w:p>
    <w:p w14:paraId="66C28C8C" w14:textId="6EC2AC5C" w:rsidR="00614704" w:rsidRPr="00D17328" w:rsidRDefault="00614704" w:rsidP="00D50D0F">
      <w:pPr>
        <w:pStyle w:val="PRIMERAPLANA"/>
        <w:spacing w:line="360" w:lineRule="auto"/>
        <w:rPr>
          <w:rFonts w:ascii="Times New Roman" w:hAnsi="Times New Roman"/>
          <w:bCs/>
          <w:lang w:val="es-ES"/>
        </w:rPr>
      </w:pPr>
      <w:r w:rsidRPr="00D17328">
        <w:rPr>
          <w:rFonts w:ascii="Times New Roman" w:hAnsi="Times New Roman"/>
          <w:bCs/>
          <w:lang w:val="es-ES"/>
        </w:rPr>
        <w:t>En solo unos meses, la</w:t>
      </w:r>
      <w:r w:rsidR="0018794B" w:rsidRPr="00D17328">
        <w:rPr>
          <w:rFonts w:ascii="Times New Roman" w:hAnsi="Times New Roman"/>
          <w:bCs/>
          <w:lang w:val="es-ES"/>
        </w:rPr>
        <w:t xml:space="preserve"> </w:t>
      </w:r>
      <w:r w:rsidRPr="00D17328">
        <w:rPr>
          <w:rFonts w:ascii="Times New Roman" w:hAnsi="Times New Roman"/>
          <w:bCs/>
          <w:lang w:val="es-ES"/>
        </w:rPr>
        <w:t>pandemia de COVID-19 diezmó a la economía de Estados Unidos. El PIB se</w:t>
      </w:r>
      <w:r w:rsidR="0018794B" w:rsidRPr="00D17328">
        <w:rPr>
          <w:rFonts w:ascii="Times New Roman" w:hAnsi="Times New Roman"/>
          <w:bCs/>
          <w:lang w:val="es-ES"/>
        </w:rPr>
        <w:t xml:space="preserve"> </w:t>
      </w:r>
      <w:r w:rsidRPr="00D17328">
        <w:rPr>
          <w:rFonts w:ascii="Times New Roman" w:hAnsi="Times New Roman"/>
          <w:bCs/>
          <w:lang w:val="es-ES"/>
        </w:rPr>
        <w:t>redujo en 5</w:t>
      </w:r>
      <w:r w:rsidR="00963CDF" w:rsidRPr="00D17328">
        <w:rPr>
          <w:rFonts w:ascii="Times New Roman" w:hAnsi="Times New Roman"/>
          <w:bCs/>
          <w:lang w:val="es-ES"/>
        </w:rPr>
        <w:t>%</w:t>
      </w:r>
      <w:r w:rsidRPr="00D17328">
        <w:rPr>
          <w:rFonts w:ascii="Times New Roman" w:hAnsi="Times New Roman"/>
          <w:bCs/>
          <w:lang w:val="es-ES"/>
        </w:rPr>
        <w:t xml:space="preserve"> a tasa anualizada para el primer trimestre de 2020 y</w:t>
      </w:r>
      <w:r w:rsidR="0018794B" w:rsidRPr="00D17328">
        <w:rPr>
          <w:rFonts w:ascii="Times New Roman" w:hAnsi="Times New Roman"/>
          <w:bCs/>
          <w:lang w:val="es-ES"/>
        </w:rPr>
        <w:t xml:space="preserve"> </w:t>
      </w:r>
      <w:r w:rsidRPr="00D17328">
        <w:rPr>
          <w:rFonts w:ascii="Times New Roman" w:hAnsi="Times New Roman"/>
          <w:bCs/>
          <w:lang w:val="es-ES"/>
        </w:rPr>
        <w:t>para el segundo trimestre la caída fue mayor, al registrar una contracción de</w:t>
      </w:r>
      <w:r w:rsidR="0018794B" w:rsidRPr="00D17328">
        <w:rPr>
          <w:rFonts w:ascii="Times New Roman" w:hAnsi="Times New Roman"/>
          <w:bCs/>
          <w:lang w:val="es-ES"/>
        </w:rPr>
        <w:t xml:space="preserve"> </w:t>
      </w:r>
      <w:r w:rsidRPr="00D17328">
        <w:rPr>
          <w:rFonts w:ascii="Times New Roman" w:hAnsi="Times New Roman"/>
          <w:bCs/>
          <w:lang w:val="es-ES"/>
        </w:rPr>
        <w:t>31.7</w:t>
      </w:r>
      <w:r w:rsidR="00963CDF" w:rsidRPr="00D17328">
        <w:rPr>
          <w:rFonts w:ascii="Times New Roman" w:hAnsi="Times New Roman"/>
          <w:bCs/>
          <w:lang w:val="es-ES"/>
        </w:rPr>
        <w:t>%</w:t>
      </w:r>
      <w:r w:rsidRPr="00D17328">
        <w:rPr>
          <w:rFonts w:ascii="Times New Roman" w:hAnsi="Times New Roman"/>
          <w:bCs/>
          <w:lang w:val="es-ES"/>
        </w:rPr>
        <w:t>. La Oficina de Presupuesto del Congreso de Estados Unidos</w:t>
      </w:r>
      <w:r w:rsidR="0018794B" w:rsidRPr="00D17328">
        <w:rPr>
          <w:rFonts w:ascii="Times New Roman" w:hAnsi="Times New Roman"/>
          <w:bCs/>
          <w:lang w:val="es-ES"/>
        </w:rPr>
        <w:t xml:space="preserve"> </w:t>
      </w:r>
      <w:r w:rsidRPr="00D17328">
        <w:rPr>
          <w:rFonts w:ascii="Times New Roman" w:hAnsi="Times New Roman"/>
          <w:bCs/>
          <w:lang w:val="es-ES"/>
        </w:rPr>
        <w:t>(CBO, por sus siglas en inglés) pronostica que para el segundo semestre la</w:t>
      </w:r>
      <w:r w:rsidR="0018794B" w:rsidRPr="00D17328">
        <w:rPr>
          <w:rFonts w:ascii="Times New Roman" w:hAnsi="Times New Roman"/>
          <w:bCs/>
          <w:lang w:val="es-ES"/>
        </w:rPr>
        <w:t xml:space="preserve"> </w:t>
      </w:r>
      <w:r w:rsidRPr="00D17328">
        <w:rPr>
          <w:rFonts w:ascii="Times New Roman" w:hAnsi="Times New Roman"/>
          <w:bCs/>
          <w:lang w:val="es-ES"/>
        </w:rPr>
        <w:t>economía crezca a una tasa anualizada de 12.4</w:t>
      </w:r>
      <w:r w:rsidR="00963CDF" w:rsidRPr="00D17328">
        <w:rPr>
          <w:rFonts w:ascii="Times New Roman" w:hAnsi="Times New Roman"/>
          <w:bCs/>
          <w:lang w:val="es-ES"/>
        </w:rPr>
        <w:t>%</w:t>
      </w:r>
      <w:r w:rsidRPr="00D17328">
        <w:rPr>
          <w:rFonts w:ascii="Times New Roman" w:hAnsi="Times New Roman"/>
          <w:bCs/>
          <w:lang w:val="es-ES"/>
        </w:rPr>
        <w:t xml:space="preserve"> y se recupere a su</w:t>
      </w:r>
      <w:r w:rsidR="0018794B" w:rsidRPr="00D17328">
        <w:rPr>
          <w:rFonts w:ascii="Times New Roman" w:hAnsi="Times New Roman"/>
          <w:bCs/>
          <w:lang w:val="es-ES"/>
        </w:rPr>
        <w:t xml:space="preserve"> </w:t>
      </w:r>
      <w:r w:rsidRPr="00D17328">
        <w:rPr>
          <w:rFonts w:ascii="Times New Roman" w:hAnsi="Times New Roman"/>
          <w:bCs/>
          <w:lang w:val="es-ES"/>
        </w:rPr>
        <w:t>nivel previo a la pandemia para mediados de 2022.</w:t>
      </w:r>
    </w:p>
    <w:p w14:paraId="50A5D5D6" w14:textId="1F65DFC6" w:rsidR="00F12E88" w:rsidRPr="00D17328" w:rsidRDefault="00F12E88" w:rsidP="000A59C5">
      <w:pPr>
        <w:pStyle w:val="PRIMERAPLANA"/>
        <w:spacing w:line="360" w:lineRule="auto"/>
        <w:rPr>
          <w:rFonts w:ascii="Times New Roman" w:hAnsi="Times New Roman"/>
          <w:bCs/>
          <w:lang w:val="es-ES"/>
        </w:rPr>
      </w:pPr>
    </w:p>
    <w:p w14:paraId="224669E7" w14:textId="61D74649" w:rsidR="00F12E88" w:rsidRPr="00D17328" w:rsidRDefault="0018794B" w:rsidP="00775FEF">
      <w:pPr>
        <w:pStyle w:val="PRIMERAPLANA"/>
        <w:spacing w:line="360" w:lineRule="auto"/>
        <w:rPr>
          <w:rFonts w:ascii="Times New Roman" w:hAnsi="Times New Roman"/>
          <w:bCs/>
          <w:lang w:val="es-ES"/>
        </w:rPr>
      </w:pPr>
      <w:r w:rsidRPr="00D17328">
        <w:rPr>
          <w:rFonts w:ascii="Times New Roman" w:hAnsi="Times New Roman"/>
          <w:bCs/>
          <w:lang w:val="es-ES"/>
        </w:rPr>
        <w:t>La producción económica</w:t>
      </w:r>
      <w:r w:rsidR="00775FEF" w:rsidRPr="00D17328">
        <w:rPr>
          <w:rFonts w:ascii="Times New Roman" w:hAnsi="Times New Roman"/>
          <w:bCs/>
          <w:lang w:val="es-ES"/>
        </w:rPr>
        <w:t xml:space="preserve"> </w:t>
      </w:r>
      <w:r w:rsidRPr="00D17328">
        <w:rPr>
          <w:rFonts w:ascii="Times New Roman" w:hAnsi="Times New Roman"/>
          <w:bCs/>
          <w:lang w:val="es-ES"/>
        </w:rPr>
        <w:t xml:space="preserve">mensual de Estados Unidos se contrajo en abril y mayo de </w:t>
      </w:r>
      <w:r w:rsidR="00775FEF" w:rsidRPr="00D17328">
        <w:rPr>
          <w:rFonts w:ascii="Times New Roman" w:hAnsi="Times New Roman"/>
          <w:bCs/>
          <w:lang w:val="es-ES"/>
        </w:rPr>
        <w:t>2020</w:t>
      </w:r>
      <w:r w:rsidRPr="00D17328">
        <w:rPr>
          <w:rFonts w:ascii="Times New Roman" w:hAnsi="Times New Roman"/>
          <w:bCs/>
          <w:lang w:val="es-ES"/>
        </w:rPr>
        <w:t xml:space="preserve"> en 16.3 y</w:t>
      </w:r>
      <w:r w:rsidR="00775FEF" w:rsidRPr="00D17328">
        <w:rPr>
          <w:rFonts w:ascii="Times New Roman" w:hAnsi="Times New Roman"/>
          <w:bCs/>
          <w:lang w:val="es-ES"/>
        </w:rPr>
        <w:t xml:space="preserve"> </w:t>
      </w:r>
      <w:r w:rsidRPr="00D17328">
        <w:rPr>
          <w:rFonts w:ascii="Times New Roman" w:hAnsi="Times New Roman"/>
          <w:bCs/>
          <w:lang w:val="es-ES"/>
        </w:rPr>
        <w:t>15.8</w:t>
      </w:r>
      <w:r w:rsidR="00963CDF" w:rsidRPr="00D17328">
        <w:rPr>
          <w:rFonts w:ascii="Times New Roman" w:hAnsi="Times New Roman"/>
          <w:bCs/>
          <w:lang w:val="es-ES"/>
        </w:rPr>
        <w:t>%</w:t>
      </w:r>
      <w:r w:rsidRPr="00D17328">
        <w:rPr>
          <w:rFonts w:ascii="Times New Roman" w:hAnsi="Times New Roman"/>
          <w:bCs/>
          <w:lang w:val="es-ES"/>
        </w:rPr>
        <w:t>, respectivamente en términos anuales, estas cifras responden</w:t>
      </w:r>
      <w:r w:rsidR="00775FEF" w:rsidRPr="00D17328">
        <w:rPr>
          <w:rFonts w:ascii="Times New Roman" w:hAnsi="Times New Roman"/>
          <w:bCs/>
          <w:lang w:val="es-ES"/>
        </w:rPr>
        <w:t xml:space="preserve"> </w:t>
      </w:r>
      <w:r w:rsidRPr="00D17328">
        <w:rPr>
          <w:rFonts w:ascii="Times New Roman" w:hAnsi="Times New Roman"/>
          <w:bCs/>
          <w:lang w:val="es-ES"/>
        </w:rPr>
        <w:t>al cierre total de la economía debido a la pandemia. Sin embargo, en los dos</w:t>
      </w:r>
      <w:r w:rsidR="00145B3A" w:rsidRPr="00D17328">
        <w:rPr>
          <w:rFonts w:ascii="Times New Roman" w:hAnsi="Times New Roman"/>
          <w:bCs/>
          <w:lang w:val="es-ES"/>
        </w:rPr>
        <w:t xml:space="preserve"> </w:t>
      </w:r>
      <w:r w:rsidRPr="00D17328">
        <w:rPr>
          <w:rFonts w:ascii="Times New Roman" w:hAnsi="Times New Roman"/>
          <w:bCs/>
          <w:lang w:val="es-ES"/>
        </w:rPr>
        <w:t>meses posteriores, se aminoró la caída en la producción industrial (-11.0 y</w:t>
      </w:r>
      <w:r w:rsidR="00145B3A" w:rsidRPr="00D17328">
        <w:rPr>
          <w:rFonts w:ascii="Times New Roman" w:hAnsi="Times New Roman"/>
          <w:bCs/>
          <w:lang w:val="es-ES"/>
        </w:rPr>
        <w:t xml:space="preserve"> </w:t>
      </w:r>
      <w:r w:rsidRPr="00D17328">
        <w:rPr>
          <w:rFonts w:ascii="Times New Roman" w:hAnsi="Times New Roman"/>
          <w:bCs/>
          <w:lang w:val="es-ES"/>
        </w:rPr>
        <w:t>-8.2%, en igual orden). Por lo anterior, de enero a julio la producción fabril</w:t>
      </w:r>
      <w:r w:rsidR="00145B3A" w:rsidRPr="00D17328">
        <w:rPr>
          <w:rFonts w:ascii="Times New Roman" w:hAnsi="Times New Roman"/>
          <w:bCs/>
          <w:lang w:val="es-ES"/>
        </w:rPr>
        <w:t xml:space="preserve"> </w:t>
      </w:r>
      <w:r w:rsidRPr="00D17328">
        <w:rPr>
          <w:rFonts w:ascii="Times New Roman" w:hAnsi="Times New Roman"/>
          <w:bCs/>
          <w:lang w:val="es-ES"/>
        </w:rPr>
        <w:t>cayó 8.1</w:t>
      </w:r>
      <w:r w:rsidR="00963CDF" w:rsidRPr="00D17328">
        <w:rPr>
          <w:rFonts w:ascii="Times New Roman" w:hAnsi="Times New Roman"/>
          <w:bCs/>
          <w:lang w:val="es-ES"/>
        </w:rPr>
        <w:t>%</w:t>
      </w:r>
      <w:r w:rsidRPr="00D17328">
        <w:rPr>
          <w:rFonts w:ascii="Times New Roman" w:hAnsi="Times New Roman"/>
          <w:bCs/>
          <w:lang w:val="es-ES"/>
        </w:rPr>
        <w:t xml:space="preserve"> en comparación con 2019.</w:t>
      </w:r>
      <w:r w:rsidR="00775FEF" w:rsidRPr="00D17328">
        <w:rPr>
          <w:rFonts w:ascii="Times New Roman" w:hAnsi="Times New Roman"/>
          <w:bCs/>
          <w:lang w:val="es-ES"/>
        </w:rPr>
        <w:t xml:space="preserve"> Para 2021 se espera una</w:t>
      </w:r>
      <w:r w:rsidR="00145B3A" w:rsidRPr="00D17328">
        <w:rPr>
          <w:rFonts w:ascii="Times New Roman" w:hAnsi="Times New Roman"/>
          <w:bCs/>
          <w:lang w:val="es-ES"/>
        </w:rPr>
        <w:t xml:space="preserve"> </w:t>
      </w:r>
      <w:r w:rsidR="00775FEF" w:rsidRPr="00D17328">
        <w:rPr>
          <w:rFonts w:ascii="Times New Roman" w:hAnsi="Times New Roman"/>
          <w:bCs/>
          <w:lang w:val="es-ES"/>
        </w:rPr>
        <w:t>recuperación, acorde a las expectativas de un mejor</w:t>
      </w:r>
      <w:r w:rsidR="00145B3A" w:rsidRPr="00D17328">
        <w:rPr>
          <w:rFonts w:ascii="Times New Roman" w:hAnsi="Times New Roman"/>
          <w:bCs/>
          <w:lang w:val="es-ES"/>
        </w:rPr>
        <w:t xml:space="preserve"> </w:t>
      </w:r>
      <w:r w:rsidR="00775FEF" w:rsidRPr="00D17328">
        <w:rPr>
          <w:rFonts w:ascii="Times New Roman" w:hAnsi="Times New Roman"/>
          <w:bCs/>
          <w:lang w:val="es-ES"/>
        </w:rPr>
        <w:t>dinamismo global al actual, que</w:t>
      </w:r>
      <w:r w:rsidR="00145B3A" w:rsidRPr="00D17328">
        <w:rPr>
          <w:rFonts w:ascii="Times New Roman" w:hAnsi="Times New Roman"/>
          <w:bCs/>
          <w:lang w:val="es-ES"/>
        </w:rPr>
        <w:t xml:space="preserve"> </w:t>
      </w:r>
      <w:r w:rsidR="00775FEF" w:rsidRPr="00D17328">
        <w:rPr>
          <w:rFonts w:ascii="Times New Roman" w:hAnsi="Times New Roman"/>
          <w:bCs/>
          <w:lang w:val="es-ES"/>
        </w:rPr>
        <w:t>podría aumentar la demanda</w:t>
      </w:r>
      <w:r w:rsidR="00145B3A" w:rsidRPr="00D17328">
        <w:rPr>
          <w:rFonts w:ascii="Times New Roman" w:hAnsi="Times New Roman"/>
          <w:bCs/>
          <w:lang w:val="es-ES"/>
        </w:rPr>
        <w:t xml:space="preserve"> </w:t>
      </w:r>
      <w:r w:rsidR="00775FEF" w:rsidRPr="00D17328">
        <w:rPr>
          <w:rFonts w:ascii="Times New Roman" w:hAnsi="Times New Roman"/>
          <w:bCs/>
          <w:lang w:val="es-ES"/>
        </w:rPr>
        <w:t>externa del país, derivado de la</w:t>
      </w:r>
      <w:r w:rsidR="00145B3A" w:rsidRPr="00D17328">
        <w:rPr>
          <w:rFonts w:ascii="Times New Roman" w:hAnsi="Times New Roman"/>
          <w:bCs/>
          <w:lang w:val="es-ES"/>
        </w:rPr>
        <w:t xml:space="preserve"> </w:t>
      </w:r>
      <w:r w:rsidR="00775FEF" w:rsidRPr="00D17328">
        <w:rPr>
          <w:rFonts w:ascii="Times New Roman" w:hAnsi="Times New Roman"/>
          <w:bCs/>
          <w:lang w:val="es-ES"/>
        </w:rPr>
        <w:t>entrada en vigor del Tratado de</w:t>
      </w:r>
      <w:r w:rsidR="00145B3A" w:rsidRPr="00D17328">
        <w:rPr>
          <w:rFonts w:ascii="Times New Roman" w:hAnsi="Times New Roman"/>
          <w:bCs/>
          <w:lang w:val="es-ES"/>
        </w:rPr>
        <w:t xml:space="preserve"> </w:t>
      </w:r>
      <w:r w:rsidR="00775FEF" w:rsidRPr="00D17328">
        <w:rPr>
          <w:rFonts w:ascii="Times New Roman" w:hAnsi="Times New Roman"/>
          <w:bCs/>
          <w:lang w:val="es-ES"/>
        </w:rPr>
        <w:t>libre comercio con Canadá y</w:t>
      </w:r>
      <w:r w:rsidR="00145B3A" w:rsidRPr="00D17328">
        <w:rPr>
          <w:rFonts w:ascii="Times New Roman" w:hAnsi="Times New Roman"/>
          <w:bCs/>
          <w:lang w:val="es-ES"/>
        </w:rPr>
        <w:t xml:space="preserve"> </w:t>
      </w:r>
      <w:r w:rsidR="00775FEF" w:rsidRPr="00D17328">
        <w:rPr>
          <w:rFonts w:ascii="Times New Roman" w:hAnsi="Times New Roman"/>
          <w:bCs/>
          <w:lang w:val="es-ES"/>
        </w:rPr>
        <w:t>México (T-MEC), lo que incrementaría el comercio</w:t>
      </w:r>
      <w:r w:rsidR="00145B3A" w:rsidRPr="00D17328">
        <w:rPr>
          <w:rFonts w:ascii="Times New Roman" w:hAnsi="Times New Roman"/>
          <w:bCs/>
          <w:lang w:val="es-ES"/>
        </w:rPr>
        <w:t xml:space="preserve"> </w:t>
      </w:r>
      <w:r w:rsidR="00775FEF" w:rsidRPr="00D17328">
        <w:rPr>
          <w:rFonts w:ascii="Times New Roman" w:hAnsi="Times New Roman"/>
          <w:bCs/>
          <w:lang w:val="es-ES"/>
        </w:rPr>
        <w:t>internacional y la confianza de</w:t>
      </w:r>
      <w:r w:rsidR="00145B3A" w:rsidRPr="00D17328">
        <w:rPr>
          <w:rFonts w:ascii="Times New Roman" w:hAnsi="Times New Roman"/>
          <w:bCs/>
          <w:lang w:val="es-ES"/>
        </w:rPr>
        <w:t xml:space="preserve"> </w:t>
      </w:r>
      <w:r w:rsidR="00775FEF" w:rsidRPr="00D17328">
        <w:rPr>
          <w:rFonts w:ascii="Times New Roman" w:hAnsi="Times New Roman"/>
          <w:bCs/>
          <w:lang w:val="es-ES"/>
        </w:rPr>
        <w:t>los inversionistas, para continuar con sus planes de inversión a mediano y largo</w:t>
      </w:r>
      <w:r w:rsidR="00145B3A" w:rsidRPr="00D17328">
        <w:rPr>
          <w:rFonts w:ascii="Times New Roman" w:hAnsi="Times New Roman"/>
          <w:bCs/>
          <w:lang w:val="es-ES"/>
        </w:rPr>
        <w:t xml:space="preserve"> </w:t>
      </w:r>
      <w:r w:rsidR="00775FEF" w:rsidRPr="00D17328">
        <w:rPr>
          <w:rFonts w:ascii="Times New Roman" w:hAnsi="Times New Roman"/>
          <w:bCs/>
          <w:lang w:val="es-ES"/>
        </w:rPr>
        <w:t>plazo.</w:t>
      </w:r>
    </w:p>
    <w:p w14:paraId="32F839F5" w14:textId="5FC6D511" w:rsidR="00F12E88" w:rsidRPr="00D17328" w:rsidRDefault="00F12E88" w:rsidP="000A59C5">
      <w:pPr>
        <w:pStyle w:val="PRIMERAPLANA"/>
        <w:spacing w:line="360" w:lineRule="auto"/>
        <w:rPr>
          <w:rFonts w:ascii="Times New Roman" w:hAnsi="Times New Roman"/>
          <w:bCs/>
          <w:lang w:val="es-ES"/>
        </w:rPr>
      </w:pPr>
    </w:p>
    <w:p w14:paraId="4E210A9C" w14:textId="77777777" w:rsidR="00E66664" w:rsidRPr="00D17328" w:rsidRDefault="00CD4F28" w:rsidP="00CD4F28">
      <w:pPr>
        <w:pStyle w:val="PRIMERAPLANA"/>
        <w:spacing w:line="360" w:lineRule="auto"/>
        <w:rPr>
          <w:rFonts w:ascii="Times New Roman" w:hAnsi="Times New Roman"/>
          <w:bCs/>
          <w:lang w:val="es-ES"/>
        </w:rPr>
      </w:pPr>
      <w:r w:rsidRPr="00D17328">
        <w:rPr>
          <w:rFonts w:ascii="Times New Roman" w:hAnsi="Times New Roman"/>
          <w:bCs/>
          <w:lang w:val="es-ES"/>
        </w:rPr>
        <w:t>Si bien a principios de año la economía nacional venía favorecida por la ratificación del T-MEC, un nivel de riesgo país bajo y un precio promedio del petróleo superior a lo estimado para finanzas públicas, el brote de la pandemia del coronavirus (COVID-19) y la implementación de restricciones a la movilidad, el cierre de fronteras y el paro de actividades productivas no estratégicas propiciaron que la actividad económica nacional disminuyera.</w:t>
      </w:r>
    </w:p>
    <w:p w14:paraId="094CA9DF" w14:textId="77777777" w:rsidR="00E66664" w:rsidRPr="00D17328" w:rsidRDefault="00E66664" w:rsidP="00CD4F28">
      <w:pPr>
        <w:pStyle w:val="PRIMERAPLANA"/>
        <w:spacing w:line="360" w:lineRule="auto"/>
        <w:rPr>
          <w:rFonts w:ascii="Times New Roman" w:hAnsi="Times New Roman"/>
          <w:bCs/>
          <w:lang w:val="es-ES"/>
        </w:rPr>
      </w:pPr>
    </w:p>
    <w:p w14:paraId="66AFFFFF" w14:textId="0ED3AA12" w:rsidR="00CD4F28" w:rsidRPr="00D17328" w:rsidRDefault="00CD4F28" w:rsidP="00CD4F28">
      <w:pPr>
        <w:pStyle w:val="PRIMERAPLANA"/>
        <w:spacing w:line="360" w:lineRule="auto"/>
        <w:rPr>
          <w:rFonts w:ascii="Times New Roman" w:hAnsi="Times New Roman"/>
          <w:bCs/>
          <w:lang w:val="es-ES"/>
        </w:rPr>
      </w:pPr>
      <w:r w:rsidRPr="00D17328">
        <w:rPr>
          <w:rFonts w:ascii="Times New Roman" w:hAnsi="Times New Roman"/>
          <w:bCs/>
          <w:lang w:val="es-ES"/>
        </w:rPr>
        <w:t>Durante el primer semestre de 2020, el Producto Interno Bruto (PIB) bajó 10.06</w:t>
      </w:r>
      <w:r w:rsidR="00963CDF" w:rsidRPr="00D17328">
        <w:rPr>
          <w:rFonts w:ascii="Times New Roman" w:hAnsi="Times New Roman"/>
          <w:bCs/>
          <w:lang w:val="es-ES"/>
        </w:rPr>
        <w:t>%</w:t>
      </w:r>
      <w:r w:rsidRPr="00D17328">
        <w:rPr>
          <w:rFonts w:ascii="Times New Roman" w:hAnsi="Times New Roman"/>
          <w:bCs/>
          <w:lang w:val="es-ES"/>
        </w:rPr>
        <w:t>, lo que contrasta con la estabilidad que registró un año atrás (-0.03%). Se espera que, en lo que resta del año, la actividad económica se recupere ante un entorno externo más favorable, la flexibilización de las restricciones, la mejoría en el empleo, la solidez de los salarios, la llegada de remesas familiares y, por lo tanto, la reactivació</w:t>
      </w:r>
      <w:r w:rsidR="00D17276" w:rsidRPr="00D17328">
        <w:rPr>
          <w:rFonts w:ascii="Times New Roman" w:hAnsi="Times New Roman"/>
          <w:bCs/>
          <w:lang w:val="es-ES"/>
        </w:rPr>
        <w:t>n del consumo privado. Los CGPE_</w:t>
      </w:r>
      <w:r w:rsidRPr="00D17328">
        <w:rPr>
          <w:rFonts w:ascii="Times New Roman" w:hAnsi="Times New Roman"/>
          <w:bCs/>
          <w:lang w:val="es-ES"/>
        </w:rPr>
        <w:t>21 estiman una variación negativa de la actividad productiva de entre 10.0 y 7.0% (-8.0% para efectos de estimación de finanza</w:t>
      </w:r>
      <w:r w:rsidR="00E66664" w:rsidRPr="00D17328">
        <w:rPr>
          <w:rFonts w:ascii="Times New Roman" w:hAnsi="Times New Roman"/>
          <w:bCs/>
          <w:lang w:val="es-ES"/>
        </w:rPr>
        <w:t>s públicas). En la e</w:t>
      </w:r>
      <w:r w:rsidR="00561799" w:rsidRPr="00D17328">
        <w:rPr>
          <w:rFonts w:ascii="Times New Roman" w:hAnsi="Times New Roman"/>
          <w:bCs/>
          <w:lang w:val="es-ES"/>
        </w:rPr>
        <w:t>ncuesta de l</w:t>
      </w:r>
      <w:r w:rsidRPr="00D17328">
        <w:rPr>
          <w:rFonts w:ascii="Times New Roman" w:hAnsi="Times New Roman"/>
          <w:bCs/>
          <w:lang w:val="es-ES"/>
        </w:rPr>
        <w:t>os especialistas del sector privado de Banxico se pronostica un decremento de 9.97% para 2020.</w:t>
      </w:r>
    </w:p>
    <w:p w14:paraId="0D4566B0" w14:textId="77777777" w:rsidR="00CD4F28" w:rsidRPr="00D17328" w:rsidRDefault="00CD4F28" w:rsidP="00CD4F28">
      <w:pPr>
        <w:pStyle w:val="PRIMERAPLANA"/>
        <w:spacing w:line="360" w:lineRule="auto"/>
        <w:rPr>
          <w:rFonts w:ascii="Times New Roman" w:hAnsi="Times New Roman"/>
          <w:bCs/>
          <w:lang w:val="es-ES"/>
        </w:rPr>
      </w:pPr>
    </w:p>
    <w:p w14:paraId="4ADD4221" w14:textId="3BF27C71" w:rsidR="00CD4F28" w:rsidRPr="00D17328" w:rsidRDefault="00CD4F28" w:rsidP="00CD4F28">
      <w:pPr>
        <w:pStyle w:val="PRIMERAPLANA"/>
        <w:spacing w:line="360" w:lineRule="auto"/>
        <w:rPr>
          <w:rFonts w:ascii="Times New Roman" w:hAnsi="Times New Roman"/>
          <w:bCs/>
          <w:lang w:val="es-ES"/>
        </w:rPr>
      </w:pPr>
      <w:r w:rsidRPr="00D17328">
        <w:rPr>
          <w:rFonts w:ascii="Times New Roman" w:hAnsi="Times New Roman"/>
          <w:bCs/>
          <w:lang w:val="es-ES"/>
        </w:rPr>
        <w:t xml:space="preserve">Para 2021, se prevé que continúe la reactivación de la economía conforme los sectores productivos se adaptan al nuevo entorno y se vayan eliminando las medidas de confinamiento según la contención </w:t>
      </w:r>
      <w:r w:rsidR="00E66664" w:rsidRPr="00D17328">
        <w:rPr>
          <w:rFonts w:ascii="Times New Roman" w:hAnsi="Times New Roman"/>
          <w:bCs/>
          <w:lang w:val="es-ES"/>
        </w:rPr>
        <w:t xml:space="preserve">que </w:t>
      </w:r>
      <w:r w:rsidRPr="00D17328">
        <w:rPr>
          <w:rFonts w:ascii="Times New Roman" w:hAnsi="Times New Roman"/>
          <w:bCs/>
          <w:lang w:val="es-ES"/>
        </w:rPr>
        <w:t>la pandemia lo permita; así como por una mayor utilización de la capacidad productiva instalada que estaría apoyada por el T-MEC, un mayor dinamismo de la demanda interna y externa y de inversión estratégica. Los CGPE</w:t>
      </w:r>
      <w:r w:rsidR="00D17276" w:rsidRPr="00D17328">
        <w:rPr>
          <w:rFonts w:ascii="Times New Roman" w:hAnsi="Times New Roman"/>
          <w:bCs/>
          <w:lang w:val="es-ES"/>
        </w:rPr>
        <w:t>_21</w:t>
      </w:r>
      <w:r w:rsidRPr="00D17328">
        <w:rPr>
          <w:rFonts w:ascii="Times New Roman" w:hAnsi="Times New Roman"/>
          <w:bCs/>
          <w:lang w:val="es-ES"/>
        </w:rPr>
        <w:t xml:space="preserve"> estima</w:t>
      </w:r>
      <w:r w:rsidR="00561799" w:rsidRPr="00D17328">
        <w:rPr>
          <w:rFonts w:ascii="Times New Roman" w:hAnsi="Times New Roman"/>
          <w:bCs/>
          <w:lang w:val="es-ES"/>
        </w:rPr>
        <w:t>n</w:t>
      </w:r>
      <w:r w:rsidRPr="00D17328">
        <w:rPr>
          <w:rFonts w:ascii="Times New Roman" w:hAnsi="Times New Roman"/>
          <w:bCs/>
          <w:lang w:val="es-ES"/>
        </w:rPr>
        <w:t xml:space="preserve"> un crecimiento del PIB de entre 3.6 y 5.6</w:t>
      </w:r>
      <w:r w:rsidR="00561799" w:rsidRPr="00D17328">
        <w:rPr>
          <w:rFonts w:ascii="Times New Roman" w:hAnsi="Times New Roman"/>
          <w:bCs/>
          <w:lang w:val="es-ES"/>
        </w:rPr>
        <w:t xml:space="preserve">% </w:t>
      </w:r>
      <w:r w:rsidRPr="00D17328">
        <w:rPr>
          <w:rFonts w:ascii="Times New Roman" w:hAnsi="Times New Roman"/>
          <w:bCs/>
          <w:lang w:val="es-ES"/>
        </w:rPr>
        <w:t xml:space="preserve">para 2021 (4.6% para efectos de estimación de finanzas públicas). El pronóstico de la </w:t>
      </w:r>
      <w:r w:rsidR="0028184E" w:rsidRPr="00D17328">
        <w:rPr>
          <w:rFonts w:ascii="Times New Roman" w:hAnsi="Times New Roman"/>
          <w:bCs/>
          <w:lang w:val="es-ES"/>
        </w:rPr>
        <w:t>e</w:t>
      </w:r>
      <w:r w:rsidRPr="00D17328">
        <w:rPr>
          <w:rFonts w:ascii="Times New Roman" w:hAnsi="Times New Roman"/>
          <w:bCs/>
          <w:lang w:val="es-ES"/>
        </w:rPr>
        <w:t>ncuesta se sitúa en 3.01</w:t>
      </w:r>
      <w:r w:rsidR="00561799" w:rsidRPr="00D17328">
        <w:rPr>
          <w:rFonts w:ascii="Times New Roman" w:hAnsi="Times New Roman"/>
          <w:bCs/>
          <w:lang w:val="es-ES"/>
        </w:rPr>
        <w:t>%</w:t>
      </w:r>
      <w:r w:rsidRPr="00D17328">
        <w:rPr>
          <w:rFonts w:ascii="Times New Roman" w:hAnsi="Times New Roman"/>
          <w:bCs/>
          <w:lang w:val="es-ES"/>
        </w:rPr>
        <w:t>, quedando por debajo del intervalo anunciado por los CGPE</w:t>
      </w:r>
      <w:r w:rsidR="00D17276" w:rsidRPr="00D17328">
        <w:rPr>
          <w:rFonts w:ascii="Times New Roman" w:hAnsi="Times New Roman"/>
          <w:bCs/>
          <w:lang w:val="es-ES"/>
        </w:rPr>
        <w:t>_</w:t>
      </w:r>
      <w:r w:rsidRPr="00D17328">
        <w:rPr>
          <w:rFonts w:ascii="Times New Roman" w:hAnsi="Times New Roman"/>
          <w:bCs/>
          <w:lang w:val="es-ES"/>
        </w:rPr>
        <w:t>21.</w:t>
      </w:r>
    </w:p>
    <w:p w14:paraId="253EB81E" w14:textId="77777777" w:rsidR="00CD4F28" w:rsidRPr="00D17328" w:rsidRDefault="00CD4F28" w:rsidP="00CD4F28">
      <w:pPr>
        <w:pStyle w:val="PRIMERAPLANA"/>
        <w:spacing w:line="360" w:lineRule="auto"/>
        <w:rPr>
          <w:rFonts w:ascii="Times New Roman" w:hAnsi="Times New Roman"/>
          <w:bCs/>
          <w:lang w:val="es-ES"/>
        </w:rPr>
      </w:pPr>
    </w:p>
    <w:p w14:paraId="69E8E1FD" w14:textId="0533218F" w:rsidR="00614704" w:rsidRPr="00D17328" w:rsidRDefault="00CD4F28" w:rsidP="00CD4F28">
      <w:pPr>
        <w:pStyle w:val="PRIMERAPLANA"/>
        <w:spacing w:line="360" w:lineRule="auto"/>
        <w:rPr>
          <w:rFonts w:ascii="Times New Roman" w:hAnsi="Times New Roman"/>
          <w:bCs/>
          <w:lang w:val="es-ES"/>
        </w:rPr>
      </w:pPr>
      <w:r w:rsidRPr="00D17328">
        <w:rPr>
          <w:rFonts w:ascii="Times New Roman" w:hAnsi="Times New Roman"/>
          <w:bCs/>
          <w:lang w:val="es-ES"/>
        </w:rPr>
        <w:t>Es de señalar que un crecimiento económico real de medio punto porcentual por arriba de lo estimado incrementará los ingresos públicos en 15 mil 411.0 millones de pesos (0.06% del PIB) debido a una mayor recaudación de los impuestos (IVA, ISR y otros).</w:t>
      </w:r>
    </w:p>
    <w:p w14:paraId="6E81F685" w14:textId="0FD29E03" w:rsidR="00393B3F" w:rsidRPr="00D17328" w:rsidRDefault="0065505B" w:rsidP="0065505B">
      <w:pPr>
        <w:pStyle w:val="PRIMERAPLANA"/>
        <w:spacing w:line="360" w:lineRule="auto"/>
        <w:rPr>
          <w:rFonts w:ascii="Times New Roman" w:hAnsi="Times New Roman"/>
          <w:bCs/>
          <w:lang w:val="es-ES"/>
        </w:rPr>
      </w:pPr>
      <w:r w:rsidRPr="00D17328">
        <w:rPr>
          <w:rFonts w:ascii="Times New Roman" w:hAnsi="Times New Roman"/>
          <w:bCs/>
          <w:lang w:val="es-ES"/>
        </w:rPr>
        <w:t>El consumo se vio afectado por la contingencia sanitaria, las medidas de confinamiento y distanciamiento social y la reducción del empleo, lo que implicó que disminuyera; si bien, en junio, comenzó la recuperación del consumo apoyado por el incremento del empleo, el aumento en los salarios reales, el gasto social y la llegada de remesas familiares. Se observó que el consumo total tuvo un incremento de 0.12</w:t>
      </w:r>
      <w:r w:rsidR="00561799" w:rsidRPr="00D17328">
        <w:rPr>
          <w:rFonts w:ascii="Times New Roman" w:hAnsi="Times New Roman"/>
          <w:bCs/>
          <w:lang w:val="es-ES"/>
        </w:rPr>
        <w:t>%</w:t>
      </w:r>
      <w:r w:rsidRPr="00D17328">
        <w:rPr>
          <w:rFonts w:ascii="Times New Roman" w:hAnsi="Times New Roman"/>
          <w:bCs/>
          <w:lang w:val="es-ES"/>
        </w:rPr>
        <w:t xml:space="preserve"> en el primer trimestre de 2020 (0.57% en el mismo periodo de 2019). No</w:t>
      </w:r>
      <w:r w:rsidR="00393B3F" w:rsidRPr="00D17328">
        <w:rPr>
          <w:rFonts w:ascii="Times New Roman" w:hAnsi="Times New Roman"/>
          <w:bCs/>
          <w:lang w:val="es-ES"/>
        </w:rPr>
        <w:t xml:space="preserve"> </w:t>
      </w:r>
      <w:r w:rsidRPr="00D17328">
        <w:rPr>
          <w:rFonts w:ascii="Times New Roman" w:hAnsi="Times New Roman"/>
          <w:bCs/>
          <w:lang w:val="es-ES"/>
        </w:rPr>
        <w:t xml:space="preserve">obstante, para </w:t>
      </w:r>
      <w:r w:rsidR="00C71B6E" w:rsidRPr="00D17328">
        <w:rPr>
          <w:rFonts w:ascii="Times New Roman" w:hAnsi="Times New Roman"/>
          <w:bCs/>
          <w:lang w:val="es-ES"/>
        </w:rPr>
        <w:t xml:space="preserve">el año </w:t>
      </w:r>
      <w:r w:rsidRPr="00D17328">
        <w:rPr>
          <w:rFonts w:ascii="Times New Roman" w:hAnsi="Times New Roman"/>
          <w:bCs/>
          <w:lang w:val="es-ES"/>
        </w:rPr>
        <w:t>2020, el sector privado (Scotiabank) ubica una reducción del</w:t>
      </w:r>
      <w:r w:rsidR="00393B3F" w:rsidRPr="00D17328">
        <w:rPr>
          <w:rFonts w:ascii="Times New Roman" w:hAnsi="Times New Roman"/>
          <w:bCs/>
          <w:lang w:val="es-ES"/>
        </w:rPr>
        <w:t xml:space="preserve"> </w:t>
      </w:r>
      <w:r w:rsidRPr="00D17328">
        <w:rPr>
          <w:rFonts w:ascii="Times New Roman" w:hAnsi="Times New Roman"/>
          <w:bCs/>
          <w:lang w:val="es-ES"/>
        </w:rPr>
        <w:t>nivel del consumo total en 6.81</w:t>
      </w:r>
      <w:r w:rsidR="0028184E" w:rsidRPr="00D17328">
        <w:rPr>
          <w:rFonts w:ascii="Times New Roman" w:hAnsi="Times New Roman"/>
          <w:bCs/>
          <w:lang w:val="es-ES"/>
        </w:rPr>
        <w:t>%</w:t>
      </w:r>
      <w:r w:rsidRPr="00D17328">
        <w:rPr>
          <w:rFonts w:ascii="Times New Roman" w:hAnsi="Times New Roman"/>
          <w:bCs/>
          <w:lang w:val="es-ES"/>
        </w:rPr>
        <w:t>, el cual repuntará en 2021 al</w:t>
      </w:r>
      <w:r w:rsidR="00393B3F" w:rsidRPr="00D17328">
        <w:rPr>
          <w:rFonts w:ascii="Times New Roman" w:hAnsi="Times New Roman"/>
          <w:bCs/>
          <w:lang w:val="es-ES"/>
        </w:rPr>
        <w:t xml:space="preserve"> </w:t>
      </w:r>
      <w:r w:rsidRPr="00D17328">
        <w:rPr>
          <w:rFonts w:ascii="Times New Roman" w:hAnsi="Times New Roman"/>
          <w:bCs/>
          <w:lang w:val="es-ES"/>
        </w:rPr>
        <w:t>anticipar un ascenso de 2.74</w:t>
      </w:r>
      <w:r w:rsidR="0028184E" w:rsidRPr="00D17328">
        <w:rPr>
          <w:rFonts w:ascii="Times New Roman" w:hAnsi="Times New Roman"/>
          <w:bCs/>
          <w:lang w:val="es-ES"/>
        </w:rPr>
        <w:t>%</w:t>
      </w:r>
      <w:r w:rsidRPr="00D17328">
        <w:rPr>
          <w:rFonts w:ascii="Times New Roman" w:hAnsi="Times New Roman"/>
          <w:bCs/>
          <w:lang w:val="es-ES"/>
        </w:rPr>
        <w:t xml:space="preserve"> acorde a la eliminación de las</w:t>
      </w:r>
      <w:r w:rsidR="00393B3F" w:rsidRPr="00D17328">
        <w:rPr>
          <w:rFonts w:ascii="Times New Roman" w:hAnsi="Times New Roman"/>
          <w:bCs/>
          <w:lang w:val="es-ES"/>
        </w:rPr>
        <w:t xml:space="preserve"> </w:t>
      </w:r>
      <w:r w:rsidRPr="00D17328">
        <w:rPr>
          <w:rFonts w:ascii="Times New Roman" w:hAnsi="Times New Roman"/>
          <w:bCs/>
          <w:lang w:val="es-ES"/>
        </w:rPr>
        <w:t>medidas de confinamiento en la magnitud en que se vaya conteniendo la</w:t>
      </w:r>
      <w:r w:rsidR="00393B3F" w:rsidRPr="00D17328">
        <w:rPr>
          <w:rFonts w:ascii="Times New Roman" w:hAnsi="Times New Roman"/>
          <w:bCs/>
          <w:lang w:val="es-ES"/>
        </w:rPr>
        <w:t xml:space="preserve"> </w:t>
      </w:r>
      <w:r w:rsidRPr="00D17328">
        <w:rPr>
          <w:rFonts w:ascii="Times New Roman" w:hAnsi="Times New Roman"/>
          <w:bCs/>
          <w:lang w:val="es-ES"/>
        </w:rPr>
        <w:t>pandemia, la mejoría en las cifras de empleo, la solidez mostrada por los</w:t>
      </w:r>
      <w:r w:rsidR="00393B3F" w:rsidRPr="00D17328">
        <w:rPr>
          <w:rFonts w:ascii="Times New Roman" w:hAnsi="Times New Roman"/>
          <w:bCs/>
          <w:lang w:val="es-ES"/>
        </w:rPr>
        <w:t xml:space="preserve"> </w:t>
      </w:r>
      <w:r w:rsidRPr="00D17328">
        <w:rPr>
          <w:rFonts w:ascii="Times New Roman" w:hAnsi="Times New Roman"/>
          <w:bCs/>
          <w:lang w:val="es-ES"/>
        </w:rPr>
        <w:t>salarios, la llegada de remesas familiares, mayor certidumbre sobre los</w:t>
      </w:r>
      <w:r w:rsidR="00393B3F" w:rsidRPr="00D17328">
        <w:rPr>
          <w:rFonts w:ascii="Times New Roman" w:hAnsi="Times New Roman"/>
          <w:bCs/>
          <w:lang w:val="es-ES"/>
        </w:rPr>
        <w:t xml:space="preserve"> </w:t>
      </w:r>
      <w:r w:rsidRPr="00D17328">
        <w:rPr>
          <w:rFonts w:ascii="Times New Roman" w:hAnsi="Times New Roman"/>
          <w:bCs/>
          <w:lang w:val="es-ES"/>
        </w:rPr>
        <w:t>desarrollos médicos alrededor del COVID-19 y la situación futura de la</w:t>
      </w:r>
      <w:r w:rsidR="00393B3F" w:rsidRPr="00D17328">
        <w:rPr>
          <w:rFonts w:ascii="Times New Roman" w:hAnsi="Times New Roman"/>
          <w:bCs/>
          <w:lang w:val="es-ES"/>
        </w:rPr>
        <w:t xml:space="preserve"> </w:t>
      </w:r>
      <w:r w:rsidRPr="00D17328">
        <w:rPr>
          <w:rFonts w:ascii="Times New Roman" w:hAnsi="Times New Roman"/>
          <w:bCs/>
          <w:lang w:val="es-ES"/>
        </w:rPr>
        <w:t>economía, lo que abonará a la reactivación del consumo privado.</w:t>
      </w:r>
    </w:p>
    <w:p w14:paraId="6D711B11" w14:textId="77777777" w:rsidR="00393B3F" w:rsidRPr="00D17328" w:rsidRDefault="00393B3F" w:rsidP="0065505B">
      <w:pPr>
        <w:pStyle w:val="PRIMERAPLANA"/>
        <w:spacing w:line="360" w:lineRule="auto"/>
        <w:rPr>
          <w:rFonts w:ascii="Times New Roman" w:hAnsi="Times New Roman"/>
          <w:bCs/>
          <w:lang w:val="es-ES"/>
        </w:rPr>
      </w:pPr>
    </w:p>
    <w:p w14:paraId="7EA0674C" w14:textId="4771BB4E" w:rsidR="0065505B" w:rsidRPr="00D17328" w:rsidRDefault="0065505B" w:rsidP="0065505B">
      <w:pPr>
        <w:pStyle w:val="PRIMERAPLANA"/>
        <w:spacing w:line="360" w:lineRule="auto"/>
        <w:rPr>
          <w:rFonts w:ascii="Times New Roman" w:hAnsi="Times New Roman"/>
          <w:bCs/>
          <w:lang w:val="es-ES"/>
        </w:rPr>
      </w:pPr>
      <w:r w:rsidRPr="00D17328">
        <w:rPr>
          <w:rFonts w:ascii="Times New Roman" w:hAnsi="Times New Roman"/>
          <w:bCs/>
          <w:lang w:val="es-ES"/>
        </w:rPr>
        <w:t>Derivado de la contingencia</w:t>
      </w:r>
      <w:r w:rsidR="00393B3F" w:rsidRPr="00D17328">
        <w:rPr>
          <w:rFonts w:ascii="Times New Roman" w:hAnsi="Times New Roman"/>
          <w:bCs/>
          <w:lang w:val="es-ES"/>
        </w:rPr>
        <w:t xml:space="preserve"> </w:t>
      </w:r>
      <w:r w:rsidRPr="00D17328">
        <w:rPr>
          <w:rFonts w:ascii="Times New Roman" w:hAnsi="Times New Roman"/>
          <w:bCs/>
          <w:lang w:val="es-ES"/>
        </w:rPr>
        <w:t>sanitaria por COVID-19, el mercado laboral mexicano se ha visto afectado</w:t>
      </w:r>
      <w:r w:rsidR="00393B3F" w:rsidRPr="00D17328">
        <w:rPr>
          <w:rFonts w:ascii="Times New Roman" w:hAnsi="Times New Roman"/>
          <w:bCs/>
          <w:lang w:val="es-ES"/>
        </w:rPr>
        <w:t xml:space="preserve"> </w:t>
      </w:r>
      <w:r w:rsidRPr="00D17328">
        <w:rPr>
          <w:rFonts w:ascii="Times New Roman" w:hAnsi="Times New Roman"/>
          <w:bCs/>
          <w:lang w:val="es-ES"/>
        </w:rPr>
        <w:t>significativamente, traduciéndose en menor nivel de empleo y, por ende, en</w:t>
      </w:r>
      <w:r w:rsidR="00393B3F" w:rsidRPr="00D17328">
        <w:rPr>
          <w:rFonts w:ascii="Times New Roman" w:hAnsi="Times New Roman"/>
          <w:bCs/>
          <w:lang w:val="es-ES"/>
        </w:rPr>
        <w:t xml:space="preserve"> </w:t>
      </w:r>
      <w:r w:rsidRPr="00D17328">
        <w:rPr>
          <w:rFonts w:ascii="Times New Roman" w:hAnsi="Times New Roman"/>
          <w:bCs/>
          <w:lang w:val="es-ES"/>
        </w:rPr>
        <w:t xml:space="preserve">un menor número de </w:t>
      </w:r>
      <w:r w:rsidRPr="00D17328">
        <w:rPr>
          <w:rFonts w:ascii="Times New Roman" w:hAnsi="Times New Roman"/>
          <w:bCs/>
          <w:lang w:val="es-ES"/>
        </w:rPr>
        <w:lastRenderedPageBreak/>
        <w:t>asegurados al IMSS. En cuanto al empleo informal, el</w:t>
      </w:r>
      <w:r w:rsidR="00393B3F" w:rsidRPr="00D17328">
        <w:rPr>
          <w:rFonts w:ascii="Times New Roman" w:hAnsi="Times New Roman"/>
          <w:bCs/>
          <w:lang w:val="es-ES"/>
        </w:rPr>
        <w:t xml:space="preserve"> </w:t>
      </w:r>
      <w:r w:rsidRPr="00D17328">
        <w:rPr>
          <w:rFonts w:ascii="Times New Roman" w:hAnsi="Times New Roman"/>
          <w:bCs/>
          <w:lang w:val="es-ES"/>
        </w:rPr>
        <w:t>INEGI reportó 12.5 millones de ocupaciones perdidas entre marzo y abril,</w:t>
      </w:r>
      <w:r w:rsidR="00393B3F" w:rsidRPr="00D17328">
        <w:rPr>
          <w:rFonts w:ascii="Times New Roman" w:hAnsi="Times New Roman"/>
          <w:bCs/>
          <w:lang w:val="es-ES"/>
        </w:rPr>
        <w:t xml:space="preserve"> </w:t>
      </w:r>
      <w:r w:rsidRPr="00D17328">
        <w:rPr>
          <w:rFonts w:ascii="Times New Roman" w:hAnsi="Times New Roman"/>
          <w:bCs/>
          <w:lang w:val="es-ES"/>
        </w:rPr>
        <w:t>posteriormente, entre los meses de mayo y julio se recuperaron 6.6 millones de</w:t>
      </w:r>
      <w:r w:rsidR="00393B3F" w:rsidRPr="00D17328">
        <w:rPr>
          <w:rFonts w:ascii="Times New Roman" w:hAnsi="Times New Roman"/>
          <w:bCs/>
          <w:lang w:val="es-ES"/>
        </w:rPr>
        <w:t xml:space="preserve"> </w:t>
      </w:r>
      <w:r w:rsidRPr="00D17328">
        <w:rPr>
          <w:rFonts w:ascii="Times New Roman" w:hAnsi="Times New Roman"/>
          <w:bCs/>
          <w:lang w:val="es-ES"/>
        </w:rPr>
        <w:t>ocupaciones. En lo que respecta al empleo formal, en el bimestre de abril</w:t>
      </w:r>
      <w:r w:rsidR="00393B3F" w:rsidRPr="00D17328">
        <w:rPr>
          <w:rFonts w:ascii="Times New Roman" w:hAnsi="Times New Roman"/>
          <w:bCs/>
          <w:lang w:val="es-ES"/>
        </w:rPr>
        <w:t>-</w:t>
      </w:r>
      <w:r w:rsidRPr="00D17328">
        <w:rPr>
          <w:rFonts w:ascii="Times New Roman" w:hAnsi="Times New Roman"/>
          <w:bCs/>
          <w:lang w:val="es-ES"/>
        </w:rPr>
        <w:t>mayo</w:t>
      </w:r>
      <w:r w:rsidR="00393B3F" w:rsidRPr="00D17328">
        <w:rPr>
          <w:rFonts w:ascii="Times New Roman" w:hAnsi="Times New Roman"/>
          <w:bCs/>
          <w:lang w:val="es-ES"/>
        </w:rPr>
        <w:t xml:space="preserve"> </w:t>
      </w:r>
      <w:r w:rsidRPr="00D17328">
        <w:rPr>
          <w:rFonts w:ascii="Times New Roman" w:hAnsi="Times New Roman"/>
          <w:bCs/>
          <w:lang w:val="es-ES"/>
        </w:rPr>
        <w:t>se</w:t>
      </w:r>
      <w:r w:rsidR="00393B3F" w:rsidRPr="00D17328">
        <w:rPr>
          <w:rFonts w:ascii="Times New Roman" w:hAnsi="Times New Roman"/>
          <w:bCs/>
          <w:lang w:val="es-ES"/>
        </w:rPr>
        <w:t xml:space="preserve"> </w:t>
      </w:r>
      <w:r w:rsidRPr="00D17328">
        <w:rPr>
          <w:rFonts w:ascii="Times New Roman" w:hAnsi="Times New Roman"/>
          <w:bCs/>
          <w:lang w:val="es-ES"/>
        </w:rPr>
        <w:t>perdieron</w:t>
      </w:r>
      <w:r w:rsidR="00393B3F" w:rsidRPr="00D17328">
        <w:rPr>
          <w:rFonts w:ascii="Times New Roman" w:hAnsi="Times New Roman"/>
          <w:bCs/>
          <w:lang w:val="es-ES"/>
        </w:rPr>
        <w:t xml:space="preserve"> </w:t>
      </w:r>
      <w:r w:rsidRPr="00D17328">
        <w:rPr>
          <w:rFonts w:ascii="Times New Roman" w:hAnsi="Times New Roman"/>
          <w:bCs/>
          <w:lang w:val="es-ES"/>
        </w:rPr>
        <w:t>4</w:t>
      </w:r>
      <w:r w:rsidR="00393B3F" w:rsidRPr="00D17328">
        <w:rPr>
          <w:rFonts w:ascii="Times New Roman" w:hAnsi="Times New Roman"/>
          <w:bCs/>
          <w:lang w:val="es-ES"/>
        </w:rPr>
        <w:t xml:space="preserve"> </w:t>
      </w:r>
      <w:r w:rsidRPr="00D17328">
        <w:rPr>
          <w:rFonts w:ascii="Times New Roman" w:hAnsi="Times New Roman"/>
          <w:bCs/>
          <w:lang w:val="es-ES"/>
        </w:rPr>
        <w:t>millones</w:t>
      </w:r>
      <w:r w:rsidR="00393B3F" w:rsidRPr="00D17328">
        <w:rPr>
          <w:rFonts w:ascii="Times New Roman" w:hAnsi="Times New Roman"/>
          <w:bCs/>
          <w:lang w:val="es-ES"/>
        </w:rPr>
        <w:t xml:space="preserve"> </w:t>
      </w:r>
      <w:r w:rsidRPr="00D17328">
        <w:rPr>
          <w:rFonts w:ascii="Times New Roman" w:hAnsi="Times New Roman"/>
          <w:bCs/>
          <w:lang w:val="es-ES"/>
        </w:rPr>
        <w:t>de</w:t>
      </w:r>
      <w:r w:rsidR="00393B3F" w:rsidRPr="00D17328">
        <w:rPr>
          <w:rFonts w:ascii="Times New Roman" w:hAnsi="Times New Roman"/>
          <w:bCs/>
          <w:lang w:val="es-ES"/>
        </w:rPr>
        <w:t xml:space="preserve"> </w:t>
      </w:r>
      <w:r w:rsidRPr="00D17328">
        <w:rPr>
          <w:rFonts w:ascii="Times New Roman" w:hAnsi="Times New Roman"/>
          <w:bCs/>
          <w:lang w:val="es-ES"/>
        </w:rPr>
        <w:t>empleos</w:t>
      </w:r>
      <w:r w:rsidR="00393B3F" w:rsidRPr="00D17328">
        <w:rPr>
          <w:rFonts w:ascii="Times New Roman" w:hAnsi="Times New Roman"/>
          <w:bCs/>
          <w:lang w:val="es-ES"/>
        </w:rPr>
        <w:t xml:space="preserve"> </w:t>
      </w:r>
      <w:r w:rsidRPr="00D17328">
        <w:rPr>
          <w:rFonts w:ascii="Times New Roman" w:hAnsi="Times New Roman"/>
          <w:bCs/>
          <w:lang w:val="es-ES"/>
        </w:rPr>
        <w:t>y</w:t>
      </w:r>
      <w:r w:rsidR="00393B3F" w:rsidRPr="00D17328">
        <w:rPr>
          <w:rFonts w:ascii="Times New Roman" w:hAnsi="Times New Roman"/>
          <w:bCs/>
          <w:lang w:val="es-ES"/>
        </w:rPr>
        <w:t xml:space="preserve"> </w:t>
      </w:r>
      <w:r w:rsidRPr="00D17328">
        <w:rPr>
          <w:rFonts w:ascii="Times New Roman" w:hAnsi="Times New Roman"/>
          <w:bCs/>
          <w:lang w:val="es-ES"/>
        </w:rPr>
        <w:t>para</w:t>
      </w:r>
      <w:r w:rsidR="00393B3F" w:rsidRPr="00D17328">
        <w:rPr>
          <w:rFonts w:ascii="Times New Roman" w:hAnsi="Times New Roman"/>
          <w:bCs/>
          <w:lang w:val="es-ES"/>
        </w:rPr>
        <w:t xml:space="preserve"> </w:t>
      </w:r>
      <w:r w:rsidRPr="00D17328">
        <w:rPr>
          <w:rFonts w:ascii="Times New Roman" w:hAnsi="Times New Roman"/>
          <w:bCs/>
          <w:lang w:val="es-ES"/>
        </w:rPr>
        <w:t>el</w:t>
      </w:r>
      <w:r w:rsidR="00393B3F" w:rsidRPr="00D17328">
        <w:rPr>
          <w:rFonts w:ascii="Times New Roman" w:hAnsi="Times New Roman"/>
          <w:bCs/>
          <w:lang w:val="es-ES"/>
        </w:rPr>
        <w:t xml:space="preserve"> </w:t>
      </w:r>
      <w:r w:rsidRPr="00D17328">
        <w:rPr>
          <w:rFonts w:ascii="Times New Roman" w:hAnsi="Times New Roman"/>
          <w:bCs/>
          <w:lang w:val="es-ES"/>
        </w:rPr>
        <w:t>periodo</w:t>
      </w:r>
      <w:r w:rsidR="00393B3F" w:rsidRPr="00D17328">
        <w:rPr>
          <w:rFonts w:ascii="Times New Roman" w:hAnsi="Times New Roman"/>
          <w:bCs/>
          <w:lang w:val="es-ES"/>
        </w:rPr>
        <w:t xml:space="preserve"> </w:t>
      </w:r>
      <w:r w:rsidRPr="00D17328">
        <w:rPr>
          <w:rFonts w:ascii="Times New Roman" w:hAnsi="Times New Roman"/>
          <w:bCs/>
          <w:lang w:val="es-ES"/>
        </w:rPr>
        <w:t>de</w:t>
      </w:r>
      <w:r w:rsidR="00393B3F" w:rsidRPr="00D17328">
        <w:rPr>
          <w:rFonts w:ascii="Times New Roman" w:hAnsi="Times New Roman"/>
          <w:bCs/>
          <w:lang w:val="es-ES"/>
        </w:rPr>
        <w:t xml:space="preserve"> </w:t>
      </w:r>
      <w:r w:rsidRPr="00D17328">
        <w:rPr>
          <w:rFonts w:ascii="Times New Roman" w:hAnsi="Times New Roman"/>
          <w:bCs/>
          <w:lang w:val="es-ES"/>
        </w:rPr>
        <w:t>junio</w:t>
      </w:r>
      <w:r w:rsidR="00393B3F" w:rsidRPr="00D17328">
        <w:rPr>
          <w:rFonts w:ascii="Times New Roman" w:hAnsi="Times New Roman"/>
          <w:bCs/>
          <w:lang w:val="es-ES"/>
        </w:rPr>
        <w:t xml:space="preserve"> </w:t>
      </w:r>
      <w:r w:rsidRPr="00D17328">
        <w:rPr>
          <w:rFonts w:ascii="Times New Roman" w:hAnsi="Times New Roman"/>
          <w:bCs/>
          <w:lang w:val="es-ES"/>
        </w:rPr>
        <w:t>y</w:t>
      </w:r>
      <w:r w:rsidR="00393B3F" w:rsidRPr="00D17328">
        <w:rPr>
          <w:rFonts w:ascii="Times New Roman" w:hAnsi="Times New Roman"/>
          <w:bCs/>
          <w:lang w:val="es-ES"/>
        </w:rPr>
        <w:t xml:space="preserve"> </w:t>
      </w:r>
      <w:r w:rsidRPr="00D17328">
        <w:rPr>
          <w:rFonts w:ascii="Times New Roman" w:hAnsi="Times New Roman"/>
          <w:bCs/>
          <w:lang w:val="es-ES"/>
        </w:rPr>
        <w:t>julio</w:t>
      </w:r>
      <w:r w:rsidR="00393B3F" w:rsidRPr="00D17328">
        <w:rPr>
          <w:rFonts w:ascii="Times New Roman" w:hAnsi="Times New Roman"/>
          <w:bCs/>
          <w:lang w:val="es-ES"/>
        </w:rPr>
        <w:t xml:space="preserve"> </w:t>
      </w:r>
      <w:r w:rsidRPr="00D17328">
        <w:rPr>
          <w:rFonts w:ascii="Times New Roman" w:hAnsi="Times New Roman"/>
          <w:bCs/>
          <w:lang w:val="es-ES"/>
        </w:rPr>
        <w:t>se</w:t>
      </w:r>
      <w:r w:rsidR="00393B3F" w:rsidRPr="00D17328">
        <w:rPr>
          <w:rFonts w:ascii="Times New Roman" w:hAnsi="Times New Roman"/>
          <w:bCs/>
          <w:lang w:val="es-ES"/>
        </w:rPr>
        <w:t xml:space="preserve"> </w:t>
      </w:r>
      <w:r w:rsidRPr="00D17328">
        <w:rPr>
          <w:rFonts w:ascii="Times New Roman" w:hAnsi="Times New Roman"/>
          <w:bCs/>
          <w:lang w:val="es-ES"/>
        </w:rPr>
        <w:t>recuperaron</w:t>
      </w:r>
      <w:r w:rsidR="00393B3F" w:rsidRPr="00D17328">
        <w:rPr>
          <w:rFonts w:ascii="Times New Roman" w:hAnsi="Times New Roman"/>
          <w:bCs/>
          <w:lang w:val="es-ES"/>
        </w:rPr>
        <w:t xml:space="preserve"> </w:t>
      </w:r>
      <w:r w:rsidRPr="00D17328">
        <w:rPr>
          <w:rFonts w:ascii="Times New Roman" w:hAnsi="Times New Roman"/>
          <w:bCs/>
          <w:lang w:val="es-ES"/>
        </w:rPr>
        <w:t>1.4 millones. Por su parte, el IMSS informó la recuperación de</w:t>
      </w:r>
      <w:r w:rsidR="00393B3F" w:rsidRPr="00D17328">
        <w:rPr>
          <w:rFonts w:ascii="Times New Roman" w:hAnsi="Times New Roman"/>
          <w:bCs/>
          <w:lang w:val="es-ES"/>
        </w:rPr>
        <w:t xml:space="preserve"> </w:t>
      </w:r>
      <w:r w:rsidRPr="00D17328">
        <w:rPr>
          <w:rFonts w:ascii="Times New Roman" w:hAnsi="Times New Roman"/>
          <w:bCs/>
          <w:lang w:val="es-ES"/>
        </w:rPr>
        <w:t>126,092 empleos en la construcción, considerando el bimestre junio-julio, y de</w:t>
      </w:r>
      <w:r w:rsidR="00393B3F" w:rsidRPr="00D17328">
        <w:rPr>
          <w:rFonts w:ascii="Times New Roman" w:hAnsi="Times New Roman"/>
          <w:bCs/>
          <w:lang w:val="es-ES"/>
        </w:rPr>
        <w:t xml:space="preserve"> </w:t>
      </w:r>
      <w:r w:rsidRPr="00D17328">
        <w:rPr>
          <w:rFonts w:ascii="Times New Roman" w:hAnsi="Times New Roman"/>
          <w:bCs/>
          <w:lang w:val="es-ES"/>
        </w:rPr>
        <w:t>48,367 y 4,105 empleos en las manufacturas y el comercio durante julio,</w:t>
      </w:r>
      <w:r w:rsidR="00393B3F" w:rsidRPr="00D17328">
        <w:rPr>
          <w:rFonts w:ascii="Times New Roman" w:hAnsi="Times New Roman"/>
          <w:bCs/>
          <w:lang w:val="es-ES"/>
        </w:rPr>
        <w:t xml:space="preserve"> </w:t>
      </w:r>
      <w:r w:rsidRPr="00D17328">
        <w:rPr>
          <w:rFonts w:ascii="Times New Roman" w:hAnsi="Times New Roman"/>
          <w:bCs/>
          <w:lang w:val="es-ES"/>
        </w:rPr>
        <w:t>respectivamente. Se estima que para 2021 habrá una recuperación del empleo, pero sin llegar a</w:t>
      </w:r>
      <w:r w:rsidR="00393B3F" w:rsidRPr="00D17328">
        <w:rPr>
          <w:rFonts w:ascii="Times New Roman" w:hAnsi="Times New Roman"/>
          <w:bCs/>
          <w:lang w:val="es-ES"/>
        </w:rPr>
        <w:t xml:space="preserve"> </w:t>
      </w:r>
      <w:r w:rsidRPr="00D17328">
        <w:rPr>
          <w:rFonts w:ascii="Times New Roman" w:hAnsi="Times New Roman"/>
          <w:bCs/>
          <w:lang w:val="es-ES"/>
        </w:rPr>
        <w:t>los niveles previos de la pandemia; por su parte, la Encuesta sobre las</w:t>
      </w:r>
      <w:r w:rsidR="00393B3F" w:rsidRPr="00D17328">
        <w:rPr>
          <w:rFonts w:ascii="Times New Roman" w:hAnsi="Times New Roman"/>
          <w:bCs/>
          <w:lang w:val="es-ES"/>
        </w:rPr>
        <w:t xml:space="preserve"> </w:t>
      </w:r>
      <w:r w:rsidRPr="00D17328">
        <w:rPr>
          <w:rFonts w:ascii="Times New Roman" w:hAnsi="Times New Roman"/>
          <w:bCs/>
          <w:lang w:val="es-ES"/>
        </w:rPr>
        <w:t xml:space="preserve">Expectativas </w:t>
      </w:r>
      <w:r w:rsidR="00561799" w:rsidRPr="00D17328">
        <w:rPr>
          <w:rFonts w:ascii="Times New Roman" w:hAnsi="Times New Roman"/>
          <w:bCs/>
          <w:lang w:val="es-ES"/>
        </w:rPr>
        <w:t>de los</w:t>
      </w:r>
      <w:r w:rsidRPr="00D17328">
        <w:rPr>
          <w:rFonts w:ascii="Times New Roman" w:hAnsi="Times New Roman"/>
          <w:bCs/>
          <w:lang w:val="es-ES"/>
        </w:rPr>
        <w:t xml:space="preserve"> Especialistas en Economía del Sector Privado correspondiente al mes de agosto, anticipa una variación de 347 mil empleos</w:t>
      </w:r>
      <w:r w:rsidR="00393B3F" w:rsidRPr="00D17328">
        <w:rPr>
          <w:rFonts w:ascii="Times New Roman" w:hAnsi="Times New Roman"/>
          <w:bCs/>
          <w:lang w:val="es-ES"/>
        </w:rPr>
        <w:t xml:space="preserve"> </w:t>
      </w:r>
      <w:r w:rsidRPr="00D17328">
        <w:rPr>
          <w:rFonts w:ascii="Times New Roman" w:hAnsi="Times New Roman"/>
          <w:bCs/>
          <w:lang w:val="es-ES"/>
        </w:rPr>
        <w:t>más de trabajadores asegurados para el 202</w:t>
      </w:r>
      <w:r w:rsidR="00393B3F" w:rsidRPr="00D17328">
        <w:rPr>
          <w:rFonts w:ascii="Times New Roman" w:hAnsi="Times New Roman"/>
          <w:bCs/>
          <w:lang w:val="es-ES"/>
        </w:rPr>
        <w:t>1</w:t>
      </w:r>
      <w:r w:rsidR="00521802" w:rsidRPr="00D17328">
        <w:rPr>
          <w:rFonts w:ascii="Times New Roman" w:hAnsi="Times New Roman"/>
          <w:bCs/>
          <w:lang w:val="es-ES"/>
        </w:rPr>
        <w:t>.</w:t>
      </w:r>
    </w:p>
    <w:p w14:paraId="15FB4676" w14:textId="0AB788A6" w:rsidR="0065505B" w:rsidRPr="00D17328" w:rsidRDefault="0065505B" w:rsidP="000A59C5">
      <w:pPr>
        <w:pStyle w:val="PRIMERAPLANA"/>
        <w:spacing w:line="360" w:lineRule="auto"/>
        <w:rPr>
          <w:rFonts w:ascii="Times New Roman" w:hAnsi="Times New Roman"/>
          <w:bCs/>
          <w:lang w:val="es-ES"/>
        </w:rPr>
      </w:pPr>
    </w:p>
    <w:p w14:paraId="3E01F57D" w14:textId="66B9F0CA" w:rsidR="0065505B" w:rsidRPr="00D17328" w:rsidRDefault="00393B3F" w:rsidP="00393B3F">
      <w:pPr>
        <w:pStyle w:val="PRIMERAPLANA"/>
        <w:spacing w:line="360" w:lineRule="auto"/>
        <w:rPr>
          <w:rFonts w:ascii="Times New Roman" w:hAnsi="Times New Roman"/>
          <w:bCs/>
          <w:lang w:val="es-ES"/>
        </w:rPr>
      </w:pPr>
      <w:r w:rsidRPr="00D17328">
        <w:rPr>
          <w:rFonts w:ascii="Times New Roman" w:hAnsi="Times New Roman"/>
          <w:bCs/>
          <w:lang w:val="es-ES"/>
        </w:rPr>
        <w:t xml:space="preserve">Se espera que la tasa de desocupación se fije con una tendencia estable y a la baja al cierre de 2020, una vez que los efectos de la desaceleración económica queden atrás y, particularmente, la cuarta directriz de la agenda económica del gobierno comience a ver los efectos esperados en materia de generación de más empleos y mejora en la calidad de vida, particularmente de los más vulnerables. La Encuesta de </w:t>
      </w:r>
      <w:r w:rsidR="00521802" w:rsidRPr="00D17328">
        <w:rPr>
          <w:rFonts w:ascii="Times New Roman" w:hAnsi="Times New Roman"/>
          <w:bCs/>
          <w:lang w:val="es-ES"/>
        </w:rPr>
        <w:t xml:space="preserve">Banxico anticipa una tasa de desempleo </w:t>
      </w:r>
      <w:r w:rsidRPr="00D17328">
        <w:rPr>
          <w:rFonts w:ascii="Times New Roman" w:hAnsi="Times New Roman"/>
          <w:bCs/>
          <w:lang w:val="es-ES"/>
        </w:rPr>
        <w:t>de 6.27</w:t>
      </w:r>
      <w:r w:rsidR="00963CDF" w:rsidRPr="00D17328">
        <w:rPr>
          <w:rFonts w:ascii="Times New Roman" w:hAnsi="Times New Roman"/>
          <w:bCs/>
          <w:lang w:val="es-ES"/>
        </w:rPr>
        <w:t>%</w:t>
      </w:r>
      <w:r w:rsidRPr="00D17328">
        <w:rPr>
          <w:rFonts w:ascii="Times New Roman" w:hAnsi="Times New Roman"/>
          <w:bCs/>
          <w:lang w:val="es-ES"/>
        </w:rPr>
        <w:t xml:space="preserve"> para el </w:t>
      </w:r>
      <w:r w:rsidR="00521802" w:rsidRPr="00D17328">
        <w:rPr>
          <w:rFonts w:ascii="Times New Roman" w:hAnsi="Times New Roman"/>
          <w:bCs/>
          <w:lang w:val="es-ES"/>
        </w:rPr>
        <w:t>cierre de 2020 y de 5.11</w:t>
      </w:r>
      <w:r w:rsidR="00963CDF" w:rsidRPr="00D17328">
        <w:rPr>
          <w:rFonts w:ascii="Times New Roman" w:hAnsi="Times New Roman"/>
          <w:bCs/>
          <w:lang w:val="es-ES"/>
        </w:rPr>
        <w:t>%</w:t>
      </w:r>
      <w:r w:rsidR="00521802" w:rsidRPr="00D17328">
        <w:rPr>
          <w:rFonts w:ascii="Times New Roman" w:hAnsi="Times New Roman"/>
          <w:bCs/>
          <w:lang w:val="es-ES"/>
        </w:rPr>
        <w:t xml:space="preserve"> </w:t>
      </w:r>
      <w:r w:rsidRPr="00D17328">
        <w:rPr>
          <w:rFonts w:ascii="Times New Roman" w:hAnsi="Times New Roman"/>
          <w:bCs/>
          <w:lang w:val="es-ES"/>
        </w:rPr>
        <w:t>para 2021, situándose por encima de la tasa promedio observada.</w:t>
      </w:r>
    </w:p>
    <w:p w14:paraId="187D3F52" w14:textId="0CCE86FC" w:rsidR="0065505B" w:rsidRPr="00D17328" w:rsidRDefault="0065505B" w:rsidP="000A59C5">
      <w:pPr>
        <w:pStyle w:val="PRIMERAPLANA"/>
        <w:spacing w:line="360" w:lineRule="auto"/>
        <w:rPr>
          <w:rFonts w:ascii="Times New Roman" w:hAnsi="Times New Roman"/>
          <w:bCs/>
          <w:lang w:val="es-ES"/>
        </w:rPr>
      </w:pPr>
    </w:p>
    <w:p w14:paraId="6A1D1C8E" w14:textId="425C55DA" w:rsidR="0065505B" w:rsidRPr="00D17328" w:rsidRDefault="00393B3F" w:rsidP="00393B3F">
      <w:pPr>
        <w:pStyle w:val="PRIMERAPLANA"/>
        <w:spacing w:line="360" w:lineRule="auto"/>
        <w:rPr>
          <w:rFonts w:ascii="Times New Roman" w:hAnsi="Times New Roman"/>
          <w:bCs/>
          <w:lang w:val="es-ES"/>
        </w:rPr>
      </w:pPr>
      <w:r w:rsidRPr="00D17328">
        <w:rPr>
          <w:rFonts w:ascii="Times New Roman" w:hAnsi="Times New Roman"/>
          <w:bCs/>
          <w:lang w:val="es-ES"/>
        </w:rPr>
        <w:t>S</w:t>
      </w:r>
      <w:r w:rsidR="00F52894" w:rsidRPr="00D17328">
        <w:rPr>
          <w:rFonts w:ascii="Times New Roman" w:hAnsi="Times New Roman"/>
          <w:bCs/>
          <w:lang w:val="es-ES"/>
        </w:rPr>
        <w:t xml:space="preserve">e espera </w:t>
      </w:r>
      <w:r w:rsidRPr="00D17328">
        <w:rPr>
          <w:rFonts w:ascii="Times New Roman" w:hAnsi="Times New Roman"/>
          <w:bCs/>
          <w:lang w:val="es-ES"/>
        </w:rPr>
        <w:t>que el nivel de la inflación guarde</w:t>
      </w:r>
      <w:r w:rsidR="00F52894" w:rsidRPr="00D17328">
        <w:rPr>
          <w:rFonts w:ascii="Times New Roman" w:hAnsi="Times New Roman"/>
          <w:bCs/>
          <w:lang w:val="es-ES"/>
        </w:rPr>
        <w:t xml:space="preserve"> </w:t>
      </w:r>
      <w:r w:rsidRPr="00D17328">
        <w:rPr>
          <w:rFonts w:ascii="Times New Roman" w:hAnsi="Times New Roman"/>
          <w:bCs/>
          <w:lang w:val="es-ES"/>
        </w:rPr>
        <w:t>una ten</w:t>
      </w:r>
      <w:r w:rsidR="00521802" w:rsidRPr="00D17328">
        <w:rPr>
          <w:rFonts w:ascii="Times New Roman" w:hAnsi="Times New Roman"/>
          <w:bCs/>
          <w:lang w:val="es-ES"/>
        </w:rPr>
        <w:t>dencia descendente y sea de 3.5</w:t>
      </w:r>
      <w:r w:rsidR="00963CDF" w:rsidRPr="00D17328">
        <w:rPr>
          <w:rFonts w:ascii="Times New Roman" w:hAnsi="Times New Roman"/>
          <w:bCs/>
          <w:lang w:val="es-ES"/>
        </w:rPr>
        <w:t>%</w:t>
      </w:r>
      <w:r w:rsidRPr="00D17328">
        <w:rPr>
          <w:rFonts w:ascii="Times New Roman" w:hAnsi="Times New Roman"/>
          <w:bCs/>
          <w:lang w:val="es-ES"/>
        </w:rPr>
        <w:t xml:space="preserve"> ante el hecho de que las</w:t>
      </w:r>
      <w:r w:rsidR="00F52894" w:rsidRPr="00D17328">
        <w:rPr>
          <w:rFonts w:ascii="Times New Roman" w:hAnsi="Times New Roman"/>
          <w:bCs/>
          <w:lang w:val="es-ES"/>
        </w:rPr>
        <w:t xml:space="preserve"> </w:t>
      </w:r>
      <w:r w:rsidRPr="00D17328">
        <w:rPr>
          <w:rFonts w:ascii="Times New Roman" w:hAnsi="Times New Roman"/>
          <w:bCs/>
          <w:lang w:val="es-ES"/>
        </w:rPr>
        <w:t>expectativas de la inflación están bien ancladas; aunque se prevé que se</w:t>
      </w:r>
      <w:r w:rsidR="00F52894" w:rsidRPr="00D17328">
        <w:rPr>
          <w:rFonts w:ascii="Times New Roman" w:hAnsi="Times New Roman"/>
          <w:bCs/>
          <w:lang w:val="es-ES"/>
        </w:rPr>
        <w:t xml:space="preserve"> </w:t>
      </w:r>
      <w:r w:rsidRPr="00D17328">
        <w:rPr>
          <w:rFonts w:ascii="Times New Roman" w:hAnsi="Times New Roman"/>
          <w:bCs/>
          <w:lang w:val="es-ES"/>
        </w:rPr>
        <w:t>coloque por arriba del objetivo inflacionario establecido por Banxico, se</w:t>
      </w:r>
      <w:r w:rsidR="00F52894" w:rsidRPr="00D17328">
        <w:rPr>
          <w:rFonts w:ascii="Times New Roman" w:hAnsi="Times New Roman"/>
          <w:bCs/>
          <w:lang w:val="es-ES"/>
        </w:rPr>
        <w:t xml:space="preserve"> </w:t>
      </w:r>
      <w:r w:rsidRPr="00D17328">
        <w:rPr>
          <w:rFonts w:ascii="Times New Roman" w:hAnsi="Times New Roman"/>
          <w:bCs/>
          <w:lang w:val="es-ES"/>
        </w:rPr>
        <w:t>mantendrá dentro del intervalo de variabilidad.  Para 2021, se plantea que el</w:t>
      </w:r>
      <w:r w:rsidR="00F52894" w:rsidRPr="00D17328">
        <w:rPr>
          <w:rFonts w:ascii="Times New Roman" w:hAnsi="Times New Roman"/>
          <w:bCs/>
          <w:lang w:val="es-ES"/>
        </w:rPr>
        <w:t xml:space="preserve"> </w:t>
      </w:r>
      <w:r w:rsidRPr="00D17328">
        <w:rPr>
          <w:rFonts w:ascii="Times New Roman" w:hAnsi="Times New Roman"/>
          <w:bCs/>
          <w:lang w:val="es-ES"/>
        </w:rPr>
        <w:t xml:space="preserve">nivel de la inflación guarde una </w:t>
      </w:r>
      <w:r w:rsidR="00C71B6E" w:rsidRPr="00D17328">
        <w:rPr>
          <w:rFonts w:ascii="Times New Roman" w:hAnsi="Times New Roman"/>
          <w:bCs/>
          <w:lang w:val="es-ES"/>
        </w:rPr>
        <w:t>t</w:t>
      </w:r>
      <w:r w:rsidRPr="00D17328">
        <w:rPr>
          <w:rFonts w:ascii="Times New Roman" w:hAnsi="Times New Roman"/>
          <w:bCs/>
          <w:lang w:val="es-ES"/>
        </w:rPr>
        <w:t xml:space="preserve">endencia </w:t>
      </w:r>
      <w:r w:rsidR="00C71B6E" w:rsidRPr="00D17328">
        <w:rPr>
          <w:rFonts w:ascii="Times New Roman" w:hAnsi="Times New Roman"/>
          <w:bCs/>
          <w:lang w:val="es-ES"/>
        </w:rPr>
        <w:t>d</w:t>
      </w:r>
      <w:r w:rsidRPr="00D17328">
        <w:rPr>
          <w:rFonts w:ascii="Times New Roman" w:hAnsi="Times New Roman"/>
          <w:bCs/>
          <w:lang w:val="es-ES"/>
        </w:rPr>
        <w:t>escendente y sea de 3.0</w:t>
      </w:r>
      <w:r w:rsidR="00963CDF" w:rsidRPr="00D17328">
        <w:rPr>
          <w:rFonts w:ascii="Times New Roman" w:hAnsi="Times New Roman"/>
          <w:bCs/>
          <w:lang w:val="es-ES"/>
        </w:rPr>
        <w:t>%</w:t>
      </w:r>
      <w:r w:rsidRPr="00D17328">
        <w:rPr>
          <w:rFonts w:ascii="Times New Roman" w:hAnsi="Times New Roman"/>
          <w:bCs/>
          <w:lang w:val="es-ES"/>
        </w:rPr>
        <w:t>, consistente con el objetivo inflacionario establecido por el Banco</w:t>
      </w:r>
      <w:r w:rsidR="00F52894" w:rsidRPr="00D17328">
        <w:rPr>
          <w:rFonts w:ascii="Times New Roman" w:hAnsi="Times New Roman"/>
          <w:bCs/>
          <w:lang w:val="es-ES"/>
        </w:rPr>
        <w:t xml:space="preserve"> </w:t>
      </w:r>
      <w:r w:rsidRPr="00D17328">
        <w:rPr>
          <w:rFonts w:ascii="Times New Roman" w:hAnsi="Times New Roman"/>
          <w:bCs/>
          <w:lang w:val="es-ES"/>
        </w:rPr>
        <w:t>Central y dentro del intervalo de variabilidad. En la Encuesta de Banxico se predice un nivel inflacionario para ambos años,</w:t>
      </w:r>
      <w:r w:rsidR="00F52894" w:rsidRPr="00D17328">
        <w:rPr>
          <w:rFonts w:ascii="Times New Roman" w:hAnsi="Times New Roman"/>
          <w:bCs/>
          <w:lang w:val="es-ES"/>
        </w:rPr>
        <w:t xml:space="preserve"> </w:t>
      </w:r>
      <w:r w:rsidRPr="00D17328">
        <w:rPr>
          <w:rFonts w:ascii="Times New Roman" w:hAnsi="Times New Roman"/>
          <w:bCs/>
          <w:lang w:val="es-ES"/>
        </w:rPr>
        <w:t>al anunciar una inflación de 3.82</w:t>
      </w:r>
      <w:r w:rsidR="00521802" w:rsidRPr="00D17328">
        <w:rPr>
          <w:rFonts w:ascii="Times New Roman" w:hAnsi="Times New Roman"/>
          <w:bCs/>
          <w:lang w:val="es-ES"/>
        </w:rPr>
        <w:t>%</w:t>
      </w:r>
      <w:r w:rsidRPr="00D17328">
        <w:rPr>
          <w:rFonts w:ascii="Times New Roman" w:hAnsi="Times New Roman"/>
          <w:bCs/>
          <w:lang w:val="es-ES"/>
        </w:rPr>
        <w:t xml:space="preserve"> para 2020 y de 3.60% para 2021.</w:t>
      </w:r>
    </w:p>
    <w:p w14:paraId="7C8828B4" w14:textId="4B6033F9" w:rsidR="0065505B" w:rsidRPr="00D17328" w:rsidRDefault="0065505B" w:rsidP="000A59C5">
      <w:pPr>
        <w:pStyle w:val="PRIMERAPLANA"/>
        <w:spacing w:line="360" w:lineRule="auto"/>
        <w:rPr>
          <w:rFonts w:ascii="Times New Roman" w:hAnsi="Times New Roman"/>
          <w:bCs/>
          <w:lang w:val="es-ES"/>
        </w:rPr>
      </w:pPr>
    </w:p>
    <w:p w14:paraId="0FEA9A87" w14:textId="02F8E779" w:rsidR="00F52894" w:rsidRPr="00D17328" w:rsidRDefault="00F52894" w:rsidP="00F52894">
      <w:pPr>
        <w:pStyle w:val="PRIMERAPLANA"/>
        <w:spacing w:line="360" w:lineRule="auto"/>
        <w:rPr>
          <w:rFonts w:ascii="Times New Roman" w:hAnsi="Times New Roman"/>
          <w:bCs/>
          <w:lang w:val="es-ES"/>
        </w:rPr>
      </w:pPr>
      <w:r w:rsidRPr="00D17328">
        <w:rPr>
          <w:rFonts w:ascii="Times New Roman" w:hAnsi="Times New Roman"/>
          <w:bCs/>
          <w:lang w:val="es-ES"/>
        </w:rPr>
        <w:t>El tipo de cambio promedio, del cierre de 2019 al 4 de septiembre de 2020, promedió 21.83 pesos por dólar (ppd); dato mayor al observado en el mismo periodo del año anterior (19.23 ppd) en 260 centavos. En lo que va de 2020, el mercado cambiario ha mostrado periodos de elevada volatilidad y aversión al riesgo, relacionados con los efectos adversos de la pandemia del COVID</w:t>
      </w:r>
      <w:r w:rsidR="008D385A" w:rsidRPr="00D17328">
        <w:rPr>
          <w:rFonts w:ascii="Times New Roman" w:hAnsi="Times New Roman"/>
          <w:bCs/>
          <w:lang w:val="es-ES"/>
        </w:rPr>
        <w:t>-</w:t>
      </w:r>
      <w:r w:rsidRPr="00D17328">
        <w:rPr>
          <w:rFonts w:ascii="Times New Roman" w:hAnsi="Times New Roman"/>
          <w:bCs/>
          <w:lang w:val="es-ES"/>
        </w:rPr>
        <w:t>19.</w:t>
      </w:r>
    </w:p>
    <w:p w14:paraId="3636E949" w14:textId="77777777" w:rsidR="00F52894" w:rsidRPr="00D17328" w:rsidRDefault="00F52894" w:rsidP="00F52894">
      <w:pPr>
        <w:pStyle w:val="PRIMERAPLANA"/>
        <w:spacing w:line="360" w:lineRule="auto"/>
        <w:rPr>
          <w:rFonts w:ascii="Times New Roman" w:hAnsi="Times New Roman"/>
          <w:bCs/>
          <w:lang w:val="es-ES"/>
        </w:rPr>
      </w:pPr>
    </w:p>
    <w:p w14:paraId="6069ACE7" w14:textId="4676AC03" w:rsidR="0065505B" w:rsidRPr="00D17328" w:rsidRDefault="00F52894" w:rsidP="00F52894">
      <w:pPr>
        <w:pStyle w:val="PRIMERAPLANA"/>
        <w:spacing w:line="360" w:lineRule="auto"/>
        <w:rPr>
          <w:rFonts w:ascii="Times New Roman" w:hAnsi="Times New Roman"/>
          <w:bCs/>
          <w:lang w:val="es-ES"/>
        </w:rPr>
      </w:pPr>
      <w:r w:rsidRPr="00D17328">
        <w:rPr>
          <w:rFonts w:ascii="Times New Roman" w:hAnsi="Times New Roman"/>
          <w:bCs/>
          <w:lang w:val="es-ES"/>
        </w:rPr>
        <w:t>En particular, durante el tercer mes del año, el tipo de cambio experimentó una subida abrupta, llegando el 24 de marzo a un nuevo nivel máximo histórico de 25.1</w:t>
      </w:r>
      <w:r w:rsidR="002875CA" w:rsidRPr="00D17328">
        <w:rPr>
          <w:rFonts w:ascii="Times New Roman" w:hAnsi="Times New Roman"/>
          <w:bCs/>
          <w:lang w:val="es-ES"/>
        </w:rPr>
        <w:t>2</w:t>
      </w:r>
      <w:r w:rsidRPr="00D17328">
        <w:rPr>
          <w:rFonts w:ascii="Times New Roman" w:hAnsi="Times New Roman"/>
          <w:bCs/>
          <w:lang w:val="es-ES"/>
        </w:rPr>
        <w:t xml:space="preserve"> ppd. Sin embargo, a partir de la segunda semana de mayo, el tipo de cambio ha mostrado una tendencia a la baja, producto de una mayor </w:t>
      </w:r>
      <w:r w:rsidRPr="00D17328">
        <w:rPr>
          <w:rFonts w:ascii="Times New Roman" w:hAnsi="Times New Roman"/>
          <w:bCs/>
          <w:lang w:val="es-ES"/>
        </w:rPr>
        <w:lastRenderedPageBreak/>
        <w:t>demanda por activos de riesgo, ante un renovado optimismo en los mercados financieros, por el incremento de liquidez a nivel mundial; así como, por los estímulos fiscales y monetarios aplicados por los principales gobiernos y bancos centrales del mundo. Se estima que, para el cierre del siguiente año, el peso tendrá una recu</w:t>
      </w:r>
      <w:r w:rsidR="002875CA" w:rsidRPr="00D17328">
        <w:rPr>
          <w:rFonts w:ascii="Times New Roman" w:hAnsi="Times New Roman"/>
          <w:bCs/>
          <w:lang w:val="es-ES"/>
        </w:rPr>
        <w:t>peración para cotizar en 21.9 pp</w:t>
      </w:r>
      <w:r w:rsidRPr="00D17328">
        <w:rPr>
          <w:rFonts w:ascii="Times New Roman" w:hAnsi="Times New Roman"/>
          <w:bCs/>
          <w:lang w:val="es-ES"/>
        </w:rPr>
        <w:t>d y alcanzar un promedio de 22.1 ppd. Por otra parte, los especialistas del sector privado, estiman un tipo de cambio de 22.61 ppd para el cierre de 2020 y de 22.71 ppd para el cierre de 2021, cifras p</w:t>
      </w:r>
      <w:r w:rsidR="00521802" w:rsidRPr="00D17328">
        <w:rPr>
          <w:rFonts w:ascii="Times New Roman" w:hAnsi="Times New Roman"/>
          <w:bCs/>
          <w:lang w:val="es-ES"/>
        </w:rPr>
        <w:t>or encima a lo que se prevé en c</w:t>
      </w:r>
      <w:r w:rsidRPr="00D17328">
        <w:rPr>
          <w:rFonts w:ascii="Times New Roman" w:hAnsi="Times New Roman"/>
          <w:bCs/>
          <w:lang w:val="es-ES"/>
        </w:rPr>
        <w:t xml:space="preserve">riterios </w:t>
      </w:r>
      <w:r w:rsidR="002875CA" w:rsidRPr="00D17328">
        <w:rPr>
          <w:rFonts w:ascii="Times New Roman" w:hAnsi="Times New Roman"/>
          <w:bCs/>
          <w:lang w:val="es-ES"/>
        </w:rPr>
        <w:t xml:space="preserve">de </w:t>
      </w:r>
      <w:r w:rsidRPr="00D17328">
        <w:rPr>
          <w:rFonts w:ascii="Times New Roman" w:hAnsi="Times New Roman"/>
          <w:bCs/>
          <w:lang w:val="es-ES"/>
        </w:rPr>
        <w:t xml:space="preserve">(22.3 ppd y 21.9 ppd).  </w:t>
      </w:r>
    </w:p>
    <w:p w14:paraId="074D0816" w14:textId="1044564A" w:rsidR="00614704" w:rsidRPr="00D17328" w:rsidRDefault="00614704" w:rsidP="000A59C5">
      <w:pPr>
        <w:pStyle w:val="PRIMERAPLANA"/>
        <w:spacing w:line="360" w:lineRule="auto"/>
        <w:rPr>
          <w:rFonts w:ascii="Times New Roman" w:hAnsi="Times New Roman"/>
          <w:bCs/>
          <w:lang w:val="es-ES"/>
        </w:rPr>
      </w:pPr>
    </w:p>
    <w:p w14:paraId="28AF05BD" w14:textId="2A70AF0D" w:rsidR="00614704" w:rsidRPr="00D17328" w:rsidRDefault="000A7D09" w:rsidP="00C54186">
      <w:pPr>
        <w:pStyle w:val="PRIMERAPLANA"/>
        <w:spacing w:line="360" w:lineRule="auto"/>
        <w:rPr>
          <w:rFonts w:ascii="Times New Roman" w:hAnsi="Times New Roman"/>
          <w:bCs/>
          <w:lang w:val="es-ES"/>
        </w:rPr>
      </w:pPr>
      <w:r w:rsidRPr="00D17328">
        <w:rPr>
          <w:rFonts w:ascii="Times New Roman" w:hAnsi="Times New Roman"/>
          <w:bCs/>
          <w:lang w:val="es-ES"/>
        </w:rPr>
        <w:t>Se</w:t>
      </w:r>
      <w:r w:rsidR="00C54186" w:rsidRPr="00D17328">
        <w:rPr>
          <w:rFonts w:ascii="Times New Roman" w:hAnsi="Times New Roman"/>
          <w:bCs/>
          <w:lang w:val="es-ES"/>
        </w:rPr>
        <w:t xml:space="preserve"> estima que la</w:t>
      </w:r>
      <w:r w:rsidRPr="00D17328">
        <w:rPr>
          <w:rFonts w:ascii="Times New Roman" w:hAnsi="Times New Roman"/>
          <w:bCs/>
          <w:lang w:val="es-ES"/>
        </w:rPr>
        <w:t xml:space="preserve"> </w:t>
      </w:r>
      <w:r w:rsidR="00C54186" w:rsidRPr="00D17328">
        <w:rPr>
          <w:rFonts w:ascii="Times New Roman" w:hAnsi="Times New Roman"/>
          <w:bCs/>
          <w:lang w:val="es-ES"/>
        </w:rPr>
        <w:t>tasa de interés nominal CETES</w:t>
      </w:r>
      <w:r w:rsidRPr="00D17328">
        <w:rPr>
          <w:rFonts w:ascii="Times New Roman" w:hAnsi="Times New Roman"/>
          <w:bCs/>
          <w:lang w:val="es-ES"/>
        </w:rPr>
        <w:t xml:space="preserve"> </w:t>
      </w:r>
      <w:r w:rsidR="00C54186" w:rsidRPr="00D17328">
        <w:rPr>
          <w:rFonts w:ascii="Times New Roman" w:hAnsi="Times New Roman"/>
          <w:bCs/>
          <w:lang w:val="es-ES"/>
        </w:rPr>
        <w:t>a 28 días, cierre en 2020 en 4.0</w:t>
      </w:r>
      <w:r w:rsidR="00963CDF" w:rsidRPr="00D17328">
        <w:rPr>
          <w:rFonts w:ascii="Times New Roman" w:hAnsi="Times New Roman"/>
          <w:bCs/>
          <w:lang w:val="es-ES"/>
        </w:rPr>
        <w:t>%</w:t>
      </w:r>
      <w:r w:rsidR="00C54186" w:rsidRPr="00D17328">
        <w:rPr>
          <w:rFonts w:ascii="Times New Roman" w:hAnsi="Times New Roman"/>
          <w:bCs/>
          <w:lang w:val="es-ES"/>
        </w:rPr>
        <w:t xml:space="preserve"> y alcance un</w:t>
      </w:r>
      <w:r w:rsidRPr="00D17328">
        <w:rPr>
          <w:rFonts w:ascii="Times New Roman" w:hAnsi="Times New Roman"/>
          <w:bCs/>
          <w:lang w:val="es-ES"/>
        </w:rPr>
        <w:t xml:space="preserve"> </w:t>
      </w:r>
      <w:r w:rsidR="00C54186" w:rsidRPr="00D17328">
        <w:rPr>
          <w:rFonts w:ascii="Times New Roman" w:hAnsi="Times New Roman"/>
          <w:bCs/>
          <w:lang w:val="es-ES"/>
        </w:rPr>
        <w:t>promedio en el año de 5.3</w:t>
      </w:r>
      <w:r w:rsidR="00963CDF" w:rsidRPr="00D17328">
        <w:rPr>
          <w:rFonts w:ascii="Times New Roman" w:hAnsi="Times New Roman"/>
          <w:bCs/>
          <w:lang w:val="es-ES"/>
        </w:rPr>
        <w:t>%</w:t>
      </w:r>
      <w:r w:rsidR="00C54186" w:rsidRPr="00D17328">
        <w:rPr>
          <w:rFonts w:ascii="Times New Roman" w:hAnsi="Times New Roman"/>
          <w:bCs/>
          <w:lang w:val="es-ES"/>
        </w:rPr>
        <w:t>, esta última siendo</w:t>
      </w:r>
      <w:r w:rsidRPr="00D17328">
        <w:rPr>
          <w:rFonts w:ascii="Times New Roman" w:hAnsi="Times New Roman"/>
          <w:bCs/>
          <w:lang w:val="es-ES"/>
        </w:rPr>
        <w:t xml:space="preserve"> </w:t>
      </w:r>
      <w:r w:rsidR="00C54186" w:rsidRPr="00D17328">
        <w:rPr>
          <w:rFonts w:ascii="Times New Roman" w:hAnsi="Times New Roman"/>
          <w:bCs/>
          <w:lang w:val="es-ES"/>
        </w:rPr>
        <w:t>menor a la observada en la</w:t>
      </w:r>
      <w:r w:rsidRPr="00D17328">
        <w:rPr>
          <w:rFonts w:ascii="Times New Roman" w:hAnsi="Times New Roman"/>
          <w:bCs/>
          <w:lang w:val="es-ES"/>
        </w:rPr>
        <w:t xml:space="preserve"> </w:t>
      </w:r>
      <w:r w:rsidR="00C54186" w:rsidRPr="00D17328">
        <w:rPr>
          <w:rFonts w:ascii="Times New Roman" w:hAnsi="Times New Roman"/>
          <w:bCs/>
          <w:lang w:val="es-ES"/>
        </w:rPr>
        <w:t>última semana de agosto</w:t>
      </w:r>
      <w:r w:rsidRPr="00D17328">
        <w:rPr>
          <w:rFonts w:ascii="Times New Roman" w:hAnsi="Times New Roman"/>
          <w:bCs/>
          <w:lang w:val="es-ES"/>
        </w:rPr>
        <w:t xml:space="preserve"> </w:t>
      </w:r>
      <w:r w:rsidR="00C54186" w:rsidRPr="00D17328">
        <w:rPr>
          <w:rFonts w:ascii="Times New Roman" w:hAnsi="Times New Roman"/>
          <w:bCs/>
          <w:lang w:val="es-ES"/>
        </w:rPr>
        <w:t>(7.87%) y al promedio del año</w:t>
      </w:r>
      <w:r w:rsidRPr="00D17328">
        <w:rPr>
          <w:rFonts w:ascii="Times New Roman" w:hAnsi="Times New Roman"/>
          <w:bCs/>
          <w:lang w:val="es-ES"/>
        </w:rPr>
        <w:t xml:space="preserve"> </w:t>
      </w:r>
      <w:r w:rsidR="00C54186" w:rsidRPr="00D17328">
        <w:rPr>
          <w:rFonts w:ascii="Times New Roman" w:hAnsi="Times New Roman"/>
          <w:bCs/>
          <w:lang w:val="es-ES"/>
        </w:rPr>
        <w:t>anterior (7.85%). Para 2021, los</w:t>
      </w:r>
      <w:r w:rsidRPr="00D17328">
        <w:rPr>
          <w:rFonts w:ascii="Times New Roman" w:hAnsi="Times New Roman"/>
          <w:bCs/>
          <w:lang w:val="es-ES"/>
        </w:rPr>
        <w:t xml:space="preserve"> </w:t>
      </w:r>
      <w:r w:rsidR="00521802" w:rsidRPr="00D17328">
        <w:rPr>
          <w:rFonts w:ascii="Times New Roman" w:hAnsi="Times New Roman"/>
          <w:bCs/>
          <w:lang w:val="es-ES"/>
        </w:rPr>
        <w:t>c</w:t>
      </w:r>
      <w:r w:rsidR="00C54186" w:rsidRPr="00D17328">
        <w:rPr>
          <w:rFonts w:ascii="Times New Roman" w:hAnsi="Times New Roman"/>
          <w:bCs/>
          <w:lang w:val="es-ES"/>
        </w:rPr>
        <w:t>riterios prevén una tasa de</w:t>
      </w:r>
      <w:r w:rsidRPr="00D17328">
        <w:rPr>
          <w:rFonts w:ascii="Times New Roman" w:hAnsi="Times New Roman"/>
          <w:bCs/>
          <w:lang w:val="es-ES"/>
        </w:rPr>
        <w:t xml:space="preserve"> </w:t>
      </w:r>
      <w:r w:rsidR="00C54186" w:rsidRPr="00D17328">
        <w:rPr>
          <w:rFonts w:ascii="Times New Roman" w:hAnsi="Times New Roman"/>
          <w:bCs/>
          <w:lang w:val="es-ES"/>
        </w:rPr>
        <w:t>interés nominal de 4.0</w:t>
      </w:r>
      <w:r w:rsidR="00963CDF" w:rsidRPr="00D17328">
        <w:rPr>
          <w:rFonts w:ascii="Times New Roman" w:hAnsi="Times New Roman"/>
          <w:bCs/>
          <w:lang w:val="es-ES"/>
        </w:rPr>
        <w:t>%</w:t>
      </w:r>
      <w:r w:rsidR="00C54186" w:rsidRPr="00D17328">
        <w:rPr>
          <w:rFonts w:ascii="Times New Roman" w:hAnsi="Times New Roman"/>
          <w:bCs/>
          <w:lang w:val="es-ES"/>
        </w:rPr>
        <w:t xml:space="preserve"> para el cierre y promedio de 2021.</w:t>
      </w:r>
    </w:p>
    <w:p w14:paraId="4D32615B" w14:textId="33263AB5" w:rsidR="00614704" w:rsidRPr="00D17328" w:rsidRDefault="00614704" w:rsidP="000A59C5">
      <w:pPr>
        <w:pStyle w:val="PRIMERAPLANA"/>
        <w:spacing w:line="360" w:lineRule="auto"/>
        <w:rPr>
          <w:rFonts w:ascii="Times New Roman" w:hAnsi="Times New Roman"/>
          <w:bCs/>
          <w:lang w:val="es-ES"/>
        </w:rPr>
      </w:pPr>
    </w:p>
    <w:p w14:paraId="48DC30B3" w14:textId="2EC1359B" w:rsidR="00614704" w:rsidRPr="00D17328" w:rsidRDefault="000A7D09" w:rsidP="00121294">
      <w:pPr>
        <w:pStyle w:val="PRIMERAPLANA"/>
        <w:spacing w:line="360" w:lineRule="auto"/>
        <w:rPr>
          <w:rFonts w:ascii="Times New Roman" w:hAnsi="Times New Roman"/>
          <w:bCs/>
          <w:lang w:val="es-ES"/>
        </w:rPr>
      </w:pPr>
      <w:r w:rsidRPr="00D17328">
        <w:rPr>
          <w:rFonts w:ascii="Times New Roman" w:hAnsi="Times New Roman"/>
          <w:bCs/>
          <w:lang w:val="es-ES"/>
        </w:rPr>
        <w:t xml:space="preserve">Se estima un precio promedio </w:t>
      </w:r>
      <w:r w:rsidR="00121294" w:rsidRPr="00D17328">
        <w:rPr>
          <w:rFonts w:ascii="Times New Roman" w:hAnsi="Times New Roman"/>
          <w:bCs/>
          <w:lang w:val="es-ES"/>
        </w:rPr>
        <w:t xml:space="preserve">de la mezcla mexicana de petróleo </w:t>
      </w:r>
      <w:r w:rsidRPr="00D17328">
        <w:rPr>
          <w:rFonts w:ascii="Times New Roman" w:hAnsi="Times New Roman"/>
          <w:bCs/>
          <w:lang w:val="es-ES"/>
        </w:rPr>
        <w:t>para 2020 y 2021 de 34.6 y 42.1</w:t>
      </w:r>
      <w:r w:rsidR="00121294" w:rsidRPr="00D17328">
        <w:rPr>
          <w:rFonts w:ascii="Times New Roman" w:hAnsi="Times New Roman"/>
          <w:bCs/>
          <w:lang w:val="es-ES"/>
        </w:rPr>
        <w:t xml:space="preserve"> </w:t>
      </w:r>
      <w:r w:rsidR="002875CA" w:rsidRPr="00D17328">
        <w:rPr>
          <w:rFonts w:ascii="Times New Roman" w:hAnsi="Times New Roman"/>
          <w:bCs/>
          <w:lang w:val="es-ES"/>
        </w:rPr>
        <w:t>dólares por barril (</w:t>
      </w:r>
      <w:r w:rsidRPr="00D17328">
        <w:rPr>
          <w:rFonts w:ascii="Times New Roman" w:hAnsi="Times New Roman"/>
          <w:bCs/>
          <w:lang w:val="es-ES"/>
        </w:rPr>
        <w:t>dpb</w:t>
      </w:r>
      <w:r w:rsidR="002875CA" w:rsidRPr="00D17328">
        <w:rPr>
          <w:rFonts w:ascii="Times New Roman" w:hAnsi="Times New Roman"/>
          <w:bCs/>
          <w:lang w:val="es-ES"/>
        </w:rPr>
        <w:t>)</w:t>
      </w:r>
      <w:r w:rsidRPr="00D17328">
        <w:rPr>
          <w:rFonts w:ascii="Times New Roman" w:hAnsi="Times New Roman"/>
          <w:bCs/>
          <w:lang w:val="es-ES"/>
        </w:rPr>
        <w:t>, respectivame</w:t>
      </w:r>
      <w:r w:rsidR="00521802" w:rsidRPr="00D17328">
        <w:rPr>
          <w:rFonts w:ascii="Times New Roman" w:hAnsi="Times New Roman"/>
          <w:bCs/>
          <w:lang w:val="es-ES"/>
        </w:rPr>
        <w:t>nte, este último, menor en 14.1</w:t>
      </w:r>
      <w:r w:rsidR="00963CDF" w:rsidRPr="00D17328">
        <w:rPr>
          <w:rFonts w:ascii="Times New Roman" w:hAnsi="Times New Roman"/>
          <w:bCs/>
          <w:lang w:val="es-ES"/>
        </w:rPr>
        <w:t>%</w:t>
      </w:r>
      <w:r w:rsidRPr="00D17328">
        <w:rPr>
          <w:rFonts w:ascii="Times New Roman" w:hAnsi="Times New Roman"/>
          <w:bCs/>
          <w:lang w:val="es-ES"/>
        </w:rPr>
        <w:t xml:space="preserve"> a lo aprobado en</w:t>
      </w:r>
      <w:r w:rsidR="00121294" w:rsidRPr="00D17328">
        <w:rPr>
          <w:rFonts w:ascii="Times New Roman" w:hAnsi="Times New Roman"/>
          <w:bCs/>
          <w:lang w:val="es-ES"/>
        </w:rPr>
        <w:t xml:space="preserve"> los </w:t>
      </w:r>
      <w:r w:rsidRPr="00D17328">
        <w:rPr>
          <w:rFonts w:ascii="Times New Roman" w:hAnsi="Times New Roman"/>
          <w:bCs/>
          <w:lang w:val="es-ES"/>
        </w:rPr>
        <w:t xml:space="preserve">CGPE-20 (49 dpb) para el cierre de este año. </w:t>
      </w:r>
      <w:r w:rsidR="00121294" w:rsidRPr="00D17328">
        <w:rPr>
          <w:rFonts w:ascii="Times New Roman" w:hAnsi="Times New Roman"/>
          <w:bCs/>
          <w:lang w:val="es-ES"/>
        </w:rPr>
        <w:t>El precio de la mezcla mexicana de exportación de petróleo, se calculó empleando la metodología especificada en el artículo 31 de la Ley Federal de Presupuesto y Responsabilidad Hacendaria (LFPRH), resulta en un precio promedio de 44.6 dpb. La LFPRH establece que el valor del precio que se utilice como parámetro en la formulación de la Ley de Ingresos de la Federación (LIF) no deberá superar al cálculo obtenido por esta fórmula. En los CGPE</w:t>
      </w:r>
      <w:r w:rsidR="00FF790E" w:rsidRPr="00D17328">
        <w:rPr>
          <w:rFonts w:ascii="Times New Roman" w:hAnsi="Times New Roman"/>
          <w:bCs/>
          <w:lang w:val="es-ES"/>
        </w:rPr>
        <w:t>_</w:t>
      </w:r>
      <w:r w:rsidR="00121294" w:rsidRPr="00D17328">
        <w:rPr>
          <w:rFonts w:ascii="Times New Roman" w:hAnsi="Times New Roman"/>
          <w:bCs/>
          <w:lang w:val="es-ES"/>
        </w:rPr>
        <w:t>21 se propone un precio de 42.1 dpb, porque está en línea con los precios observados y futuros estimados en el mercado petrolero internacional, además de cumplir con lo establecido en la LFPRH.</w:t>
      </w:r>
    </w:p>
    <w:p w14:paraId="3117289D" w14:textId="3B26B280" w:rsidR="00F12E88" w:rsidRPr="00D17328" w:rsidRDefault="00F12E88" w:rsidP="000A59C5">
      <w:pPr>
        <w:pStyle w:val="PRIMERAPLANA"/>
        <w:spacing w:line="360" w:lineRule="auto"/>
        <w:rPr>
          <w:rFonts w:ascii="Times New Roman" w:hAnsi="Times New Roman"/>
          <w:bCs/>
          <w:lang w:val="es-ES"/>
        </w:rPr>
      </w:pPr>
    </w:p>
    <w:p w14:paraId="183519E8" w14:textId="1D29F501" w:rsidR="00CF4F01" w:rsidRPr="00D17328" w:rsidRDefault="00CF4F01" w:rsidP="00CF4F01">
      <w:pPr>
        <w:pStyle w:val="PRIMERAPLANA"/>
        <w:spacing w:line="360" w:lineRule="auto"/>
        <w:rPr>
          <w:rFonts w:ascii="Times New Roman" w:hAnsi="Times New Roman"/>
          <w:bCs/>
          <w:lang w:val="es-ES"/>
        </w:rPr>
      </w:pPr>
      <w:r w:rsidRPr="00D17328">
        <w:rPr>
          <w:rFonts w:ascii="Times New Roman" w:hAnsi="Times New Roman"/>
          <w:bCs/>
          <w:lang w:val="es-ES"/>
        </w:rPr>
        <w:t xml:space="preserve">Se espera que, en 2020, la plataforma de producción total de crudo se ubique en 1 millón </w:t>
      </w:r>
      <w:r w:rsidR="00521802" w:rsidRPr="00D17328">
        <w:rPr>
          <w:rFonts w:ascii="Times New Roman" w:hAnsi="Times New Roman"/>
          <w:bCs/>
          <w:lang w:val="es-ES"/>
        </w:rPr>
        <w:t>744 mil barriles diarios</w:t>
      </w:r>
      <w:r w:rsidR="00FF790E" w:rsidRPr="00D17328">
        <w:rPr>
          <w:rFonts w:ascii="Times New Roman" w:hAnsi="Times New Roman"/>
          <w:bCs/>
          <w:lang w:val="es-ES"/>
        </w:rPr>
        <w:t xml:space="preserve"> (Mbd)</w:t>
      </w:r>
      <w:r w:rsidR="00521802" w:rsidRPr="00D17328">
        <w:rPr>
          <w:rFonts w:ascii="Times New Roman" w:hAnsi="Times New Roman"/>
          <w:bCs/>
          <w:lang w:val="es-ES"/>
        </w:rPr>
        <w:t>, 10.61</w:t>
      </w:r>
      <w:r w:rsidR="00963CDF" w:rsidRPr="00D17328">
        <w:rPr>
          <w:rFonts w:ascii="Times New Roman" w:hAnsi="Times New Roman"/>
          <w:bCs/>
          <w:lang w:val="es-ES"/>
        </w:rPr>
        <w:t>%</w:t>
      </w:r>
      <w:r w:rsidRPr="00D17328">
        <w:rPr>
          <w:rFonts w:ascii="Times New Roman" w:hAnsi="Times New Roman"/>
          <w:bCs/>
          <w:lang w:val="es-ES"/>
        </w:rPr>
        <w:t xml:space="preserve"> menor de lo propuesto en los CGPE-20</w:t>
      </w:r>
      <w:r w:rsidR="00FF790E" w:rsidRPr="00D17328">
        <w:rPr>
          <w:rFonts w:ascii="Times New Roman" w:hAnsi="Times New Roman"/>
          <w:bCs/>
          <w:lang w:val="es-ES"/>
        </w:rPr>
        <w:t>,</w:t>
      </w:r>
      <w:r w:rsidRPr="00D17328">
        <w:rPr>
          <w:rFonts w:ascii="Times New Roman" w:hAnsi="Times New Roman"/>
          <w:bCs/>
          <w:lang w:val="es-ES"/>
        </w:rPr>
        <w:t xml:space="preserve"> 1.951 (Mbd). La estimación de la plataforma de producción de petróleo para 2021 en los CGPE</w:t>
      </w:r>
      <w:r w:rsidR="00FF790E" w:rsidRPr="00D17328">
        <w:rPr>
          <w:rFonts w:ascii="Times New Roman" w:hAnsi="Times New Roman"/>
          <w:bCs/>
          <w:lang w:val="es-ES"/>
        </w:rPr>
        <w:t>_</w:t>
      </w:r>
      <w:r w:rsidRPr="00D17328">
        <w:rPr>
          <w:rFonts w:ascii="Times New Roman" w:hAnsi="Times New Roman"/>
          <w:bCs/>
          <w:lang w:val="es-ES"/>
        </w:rPr>
        <w:t xml:space="preserve">21 se calcula en 1.857 Mbd, tomando en consideración la dinámica observada en la producción de Pemex, así como la propuesta de la Secretaría de Energía (Sener) hecha al Titular del Ejecutivo Federal, de acuerdo con el artículo 33, fracción XVII de la Ley Orgánica de la Administración Pública Federal. </w:t>
      </w:r>
    </w:p>
    <w:p w14:paraId="6C3C55F5" w14:textId="77777777" w:rsidR="00CF4F01" w:rsidRPr="00D17328" w:rsidRDefault="00CF4F01" w:rsidP="00CF4F01">
      <w:pPr>
        <w:pStyle w:val="PRIMERAPLANA"/>
        <w:spacing w:line="360" w:lineRule="auto"/>
        <w:rPr>
          <w:rFonts w:ascii="Times New Roman" w:hAnsi="Times New Roman"/>
          <w:bCs/>
          <w:lang w:val="es-ES"/>
        </w:rPr>
      </w:pPr>
    </w:p>
    <w:p w14:paraId="569A9DCF" w14:textId="5B768FAA" w:rsidR="000A7D09" w:rsidRPr="00D17328" w:rsidRDefault="00CF4F01" w:rsidP="00CF4F01">
      <w:pPr>
        <w:pStyle w:val="PRIMERAPLANA"/>
        <w:spacing w:line="360" w:lineRule="auto"/>
        <w:rPr>
          <w:rFonts w:ascii="Times New Roman" w:hAnsi="Times New Roman"/>
          <w:bCs/>
          <w:lang w:val="es-ES"/>
        </w:rPr>
      </w:pPr>
      <w:r w:rsidRPr="00D17328">
        <w:rPr>
          <w:rFonts w:ascii="Times New Roman" w:hAnsi="Times New Roman"/>
          <w:bCs/>
          <w:lang w:val="es-ES"/>
        </w:rPr>
        <w:t>Los CGPE</w:t>
      </w:r>
      <w:r w:rsidR="00FF790E" w:rsidRPr="00D17328">
        <w:rPr>
          <w:rFonts w:ascii="Times New Roman" w:hAnsi="Times New Roman"/>
          <w:bCs/>
          <w:lang w:val="es-ES"/>
        </w:rPr>
        <w:t>_</w:t>
      </w:r>
      <w:r w:rsidRPr="00D17328">
        <w:rPr>
          <w:rFonts w:ascii="Times New Roman" w:hAnsi="Times New Roman"/>
          <w:bCs/>
          <w:lang w:val="es-ES"/>
        </w:rPr>
        <w:t xml:space="preserve">21 estiman que, por un incremento en 50 </w:t>
      </w:r>
      <w:r w:rsidR="00FF790E" w:rsidRPr="00D17328">
        <w:rPr>
          <w:rFonts w:ascii="Times New Roman" w:hAnsi="Times New Roman"/>
          <w:bCs/>
          <w:lang w:val="es-ES"/>
        </w:rPr>
        <w:t>Mbd</w:t>
      </w:r>
      <w:r w:rsidRPr="00D17328">
        <w:rPr>
          <w:rFonts w:ascii="Times New Roman" w:hAnsi="Times New Roman"/>
          <w:bCs/>
          <w:lang w:val="es-ES"/>
        </w:rPr>
        <w:t xml:space="preserve"> de extracción de crudo, los ingresos petroleros del sector público aumentarán en 15 mil 120.3 millone</w:t>
      </w:r>
      <w:r w:rsidR="00521802" w:rsidRPr="00D17328">
        <w:rPr>
          <w:rFonts w:ascii="Times New Roman" w:hAnsi="Times New Roman"/>
          <w:bCs/>
          <w:lang w:val="es-ES"/>
        </w:rPr>
        <w:t>s de pesos, equivalente al 0.06</w:t>
      </w:r>
      <w:r w:rsidR="00963CDF" w:rsidRPr="00D17328">
        <w:rPr>
          <w:rFonts w:ascii="Times New Roman" w:hAnsi="Times New Roman"/>
          <w:bCs/>
          <w:lang w:val="es-ES"/>
        </w:rPr>
        <w:t>%</w:t>
      </w:r>
      <w:r w:rsidRPr="00D17328">
        <w:rPr>
          <w:rFonts w:ascii="Times New Roman" w:hAnsi="Times New Roman"/>
          <w:bCs/>
          <w:lang w:val="es-ES"/>
        </w:rPr>
        <w:t xml:space="preserve"> del PIB de 2021.</w:t>
      </w:r>
    </w:p>
    <w:p w14:paraId="72024651" w14:textId="178E10B3" w:rsidR="000A7D09" w:rsidRPr="00D17328" w:rsidRDefault="000A7D09" w:rsidP="000A59C5">
      <w:pPr>
        <w:pStyle w:val="PRIMERAPLANA"/>
        <w:spacing w:line="360" w:lineRule="auto"/>
        <w:rPr>
          <w:rFonts w:ascii="Times New Roman" w:hAnsi="Times New Roman"/>
          <w:bCs/>
          <w:lang w:val="es-ES"/>
        </w:rPr>
      </w:pPr>
    </w:p>
    <w:p w14:paraId="7C7A6F8D" w14:textId="7CDFE7F7" w:rsidR="00327D78" w:rsidRPr="00D17328" w:rsidRDefault="00CF4F01" w:rsidP="00CF4F01">
      <w:pPr>
        <w:pStyle w:val="PRIMERAPLANA"/>
        <w:spacing w:line="360" w:lineRule="auto"/>
        <w:rPr>
          <w:rFonts w:ascii="Times New Roman" w:hAnsi="Times New Roman"/>
          <w:bCs/>
          <w:lang w:val="es-ES"/>
        </w:rPr>
      </w:pPr>
      <w:r w:rsidRPr="00D17328">
        <w:rPr>
          <w:rFonts w:ascii="Times New Roman" w:hAnsi="Times New Roman"/>
          <w:bCs/>
          <w:lang w:val="es-ES"/>
        </w:rPr>
        <w:lastRenderedPageBreak/>
        <w:t>El entorno macroeconómico previsto para 2021 se encuentra sujeto a diversos riesgos</w:t>
      </w:r>
      <w:r w:rsidR="00327D78" w:rsidRPr="00D17328">
        <w:rPr>
          <w:rFonts w:ascii="Times New Roman" w:hAnsi="Times New Roman"/>
          <w:bCs/>
          <w:lang w:val="es-ES"/>
        </w:rPr>
        <w:t xml:space="preserve"> que inciden</w:t>
      </w:r>
      <w:r w:rsidRPr="00D17328">
        <w:rPr>
          <w:rFonts w:ascii="Times New Roman" w:hAnsi="Times New Roman"/>
          <w:bCs/>
          <w:lang w:val="es-ES"/>
        </w:rPr>
        <w:t xml:space="preserve"> tanto al alza como a la baja</w:t>
      </w:r>
      <w:r w:rsidR="00327D78" w:rsidRPr="00D17328">
        <w:rPr>
          <w:rFonts w:ascii="Times New Roman" w:hAnsi="Times New Roman"/>
          <w:bCs/>
          <w:lang w:val="es-ES"/>
        </w:rPr>
        <w:t xml:space="preserve"> en la dinámica económica</w:t>
      </w:r>
      <w:r w:rsidRPr="00D17328">
        <w:rPr>
          <w:rFonts w:ascii="Times New Roman" w:hAnsi="Times New Roman"/>
          <w:bCs/>
          <w:lang w:val="es-ES"/>
        </w:rPr>
        <w:t>.</w:t>
      </w:r>
      <w:r w:rsidR="00327D78" w:rsidRPr="00D17328">
        <w:rPr>
          <w:rFonts w:ascii="Times New Roman" w:hAnsi="Times New Roman"/>
          <w:bCs/>
          <w:lang w:val="es-ES"/>
        </w:rPr>
        <w:t xml:space="preserve"> </w:t>
      </w:r>
      <w:r w:rsidRPr="00D17328">
        <w:rPr>
          <w:rFonts w:ascii="Times New Roman" w:hAnsi="Times New Roman"/>
          <w:bCs/>
          <w:lang w:val="es-ES"/>
        </w:rPr>
        <w:t>Entre los primeros destacan</w:t>
      </w:r>
      <w:r w:rsidR="00327D78" w:rsidRPr="00D17328">
        <w:rPr>
          <w:rFonts w:ascii="Times New Roman" w:hAnsi="Times New Roman"/>
          <w:bCs/>
          <w:lang w:val="es-ES"/>
        </w:rPr>
        <w:t xml:space="preserve"> los siguientes:</w:t>
      </w:r>
    </w:p>
    <w:p w14:paraId="7A0BF1FE" w14:textId="7093E73F" w:rsidR="00327D78" w:rsidRPr="001C3DBE" w:rsidRDefault="00327D78" w:rsidP="00800CF7">
      <w:pPr>
        <w:pStyle w:val="PRIMERAPLANA"/>
        <w:numPr>
          <w:ilvl w:val="0"/>
          <w:numId w:val="11"/>
        </w:numPr>
        <w:spacing w:line="360" w:lineRule="auto"/>
        <w:rPr>
          <w:rFonts w:ascii="Times New Roman" w:hAnsi="Times New Roman"/>
          <w:bCs/>
          <w:lang w:val="es-ES"/>
        </w:rPr>
      </w:pPr>
      <w:r w:rsidRPr="001C3DBE">
        <w:rPr>
          <w:rFonts w:ascii="Times New Roman" w:hAnsi="Times New Roman"/>
          <w:bCs/>
          <w:lang w:val="es-ES"/>
        </w:rPr>
        <w:t xml:space="preserve">Avances en el descubrimiento de una vacuna contra el COVID-19, que acelere el ritmo de recuperación de la actividad económica; </w:t>
      </w:r>
    </w:p>
    <w:p w14:paraId="5A979393" w14:textId="22521A47" w:rsidR="00327D78" w:rsidRPr="001C3DBE" w:rsidRDefault="00327D78" w:rsidP="00800CF7">
      <w:pPr>
        <w:pStyle w:val="PRIMERAPLANA"/>
        <w:numPr>
          <w:ilvl w:val="0"/>
          <w:numId w:val="11"/>
        </w:numPr>
        <w:spacing w:line="360" w:lineRule="auto"/>
        <w:rPr>
          <w:rFonts w:ascii="Times New Roman" w:hAnsi="Times New Roman"/>
          <w:bCs/>
          <w:lang w:val="es-ES"/>
        </w:rPr>
      </w:pPr>
      <w:r w:rsidRPr="001C3DBE">
        <w:rPr>
          <w:rFonts w:ascii="Times New Roman" w:hAnsi="Times New Roman"/>
          <w:bCs/>
          <w:lang w:val="es-ES"/>
        </w:rPr>
        <w:t xml:space="preserve">Disipación de la incertidumbre y la volatilidad de los mercados financieros, que incentiven una mayor inversión; </w:t>
      </w:r>
    </w:p>
    <w:p w14:paraId="175DBB32" w14:textId="408009E3" w:rsidR="00327D78" w:rsidRPr="001C3DBE" w:rsidRDefault="00327D78" w:rsidP="00800CF7">
      <w:pPr>
        <w:pStyle w:val="PRIMERAPLANA"/>
        <w:numPr>
          <w:ilvl w:val="0"/>
          <w:numId w:val="11"/>
        </w:numPr>
        <w:spacing w:line="360" w:lineRule="auto"/>
        <w:rPr>
          <w:rFonts w:ascii="Times New Roman" w:hAnsi="Times New Roman"/>
          <w:bCs/>
          <w:lang w:val="es-ES"/>
        </w:rPr>
      </w:pPr>
      <w:r w:rsidRPr="001C3DBE">
        <w:rPr>
          <w:rFonts w:ascii="Times New Roman" w:hAnsi="Times New Roman"/>
          <w:bCs/>
          <w:lang w:val="es-ES"/>
        </w:rPr>
        <w:t xml:space="preserve">Mayores flujos de Inversión Extranjera Directa, producto de la relocalización de empresas en el marco del T-MEC y, </w:t>
      </w:r>
    </w:p>
    <w:p w14:paraId="6EA54015" w14:textId="15FAC1E1" w:rsidR="00327D78" w:rsidRPr="00D17328" w:rsidRDefault="00327D78" w:rsidP="00800CF7">
      <w:pPr>
        <w:pStyle w:val="PRIMERAPLANA"/>
        <w:numPr>
          <w:ilvl w:val="0"/>
          <w:numId w:val="11"/>
        </w:numPr>
        <w:spacing w:line="360" w:lineRule="auto"/>
        <w:rPr>
          <w:rFonts w:ascii="Times New Roman" w:hAnsi="Times New Roman"/>
          <w:bCs/>
          <w:lang w:val="es-ES"/>
        </w:rPr>
      </w:pPr>
      <w:r w:rsidRPr="00D17328">
        <w:rPr>
          <w:rFonts w:ascii="Times New Roman" w:hAnsi="Times New Roman"/>
          <w:bCs/>
          <w:lang w:val="es-ES"/>
        </w:rPr>
        <w:t xml:space="preserve">Mayores disminuciones de las previstas en las tasas de interés internas. </w:t>
      </w:r>
    </w:p>
    <w:p w14:paraId="4FEC8717" w14:textId="77777777" w:rsidR="00327D78" w:rsidRPr="00D17328" w:rsidRDefault="00327D78" w:rsidP="00327D78">
      <w:pPr>
        <w:pStyle w:val="PRIMERAPLANA"/>
        <w:spacing w:line="360" w:lineRule="auto"/>
        <w:ind w:left="720"/>
        <w:rPr>
          <w:rFonts w:ascii="Times New Roman" w:hAnsi="Times New Roman"/>
          <w:bCs/>
          <w:lang w:val="es-ES"/>
        </w:rPr>
      </w:pPr>
    </w:p>
    <w:p w14:paraId="185E2E5E" w14:textId="7EC382DA" w:rsidR="00327D78" w:rsidRPr="00D17328" w:rsidRDefault="00327D78" w:rsidP="00327D78">
      <w:pPr>
        <w:pStyle w:val="PRIMERAPLANA"/>
        <w:spacing w:line="360" w:lineRule="auto"/>
        <w:rPr>
          <w:rFonts w:ascii="Times New Roman" w:hAnsi="Times New Roman"/>
          <w:bCs/>
          <w:lang w:val="es-ES"/>
        </w:rPr>
      </w:pPr>
      <w:r w:rsidRPr="00D17328">
        <w:rPr>
          <w:rFonts w:ascii="Times New Roman" w:hAnsi="Times New Roman"/>
          <w:bCs/>
          <w:lang w:val="es-ES"/>
        </w:rPr>
        <w:t xml:space="preserve">Además, el escenario macroeconómico de mediano plazo está sujeto a los siguientes riesgos: </w:t>
      </w:r>
    </w:p>
    <w:p w14:paraId="2D7FEB8B" w14:textId="77777777" w:rsidR="00FF790E" w:rsidRPr="00D17328" w:rsidRDefault="00FF790E" w:rsidP="00327D78">
      <w:pPr>
        <w:pStyle w:val="PRIMERAPLANA"/>
        <w:spacing w:line="360" w:lineRule="auto"/>
        <w:rPr>
          <w:rFonts w:ascii="Times New Roman" w:hAnsi="Times New Roman"/>
          <w:bCs/>
          <w:lang w:val="es-ES"/>
        </w:rPr>
      </w:pPr>
    </w:p>
    <w:p w14:paraId="0A192D11" w14:textId="38D0F811" w:rsidR="001E44E5" w:rsidRPr="001C3DBE" w:rsidRDefault="00327D78" w:rsidP="00800CF7">
      <w:pPr>
        <w:pStyle w:val="PRIMERAPLANA"/>
        <w:numPr>
          <w:ilvl w:val="0"/>
          <w:numId w:val="12"/>
        </w:numPr>
        <w:spacing w:line="360" w:lineRule="auto"/>
        <w:rPr>
          <w:rFonts w:ascii="Times New Roman" w:hAnsi="Times New Roman"/>
          <w:bCs/>
          <w:lang w:val="es-ES"/>
        </w:rPr>
      </w:pPr>
      <w:r w:rsidRPr="001C3DBE">
        <w:rPr>
          <w:rFonts w:ascii="Times New Roman" w:hAnsi="Times New Roman"/>
          <w:bCs/>
          <w:lang w:val="es-ES"/>
        </w:rPr>
        <w:t xml:space="preserve">Disminución en el número de contagios por COVID-19 y el desarrollo de una vacuna efectiva; </w:t>
      </w:r>
    </w:p>
    <w:p w14:paraId="1296E8B0" w14:textId="4E0EDA0F" w:rsidR="001E44E5" w:rsidRPr="001C3DBE" w:rsidRDefault="00327D78" w:rsidP="00800CF7">
      <w:pPr>
        <w:pStyle w:val="PRIMERAPLANA"/>
        <w:numPr>
          <w:ilvl w:val="0"/>
          <w:numId w:val="12"/>
        </w:numPr>
        <w:spacing w:line="360" w:lineRule="auto"/>
        <w:rPr>
          <w:rFonts w:ascii="Times New Roman" w:hAnsi="Times New Roman"/>
          <w:bCs/>
          <w:lang w:val="es-ES"/>
        </w:rPr>
      </w:pPr>
      <w:r w:rsidRPr="001C3DBE">
        <w:rPr>
          <w:rFonts w:ascii="Times New Roman" w:hAnsi="Times New Roman"/>
          <w:bCs/>
          <w:lang w:val="es-ES"/>
        </w:rPr>
        <w:t>Una disminución de las barreras al comercio como parte de la resolución favorable de acuerdos comerciales</w:t>
      </w:r>
      <w:r w:rsidR="001E44E5" w:rsidRPr="001C3DBE">
        <w:rPr>
          <w:rFonts w:ascii="Times New Roman" w:hAnsi="Times New Roman"/>
          <w:bCs/>
          <w:lang w:val="es-ES"/>
        </w:rPr>
        <w:t>,</w:t>
      </w:r>
      <w:r w:rsidRPr="001C3DBE">
        <w:rPr>
          <w:rFonts w:ascii="Times New Roman" w:hAnsi="Times New Roman"/>
          <w:bCs/>
          <w:lang w:val="es-ES"/>
        </w:rPr>
        <w:t xml:space="preserve"> y</w:t>
      </w:r>
    </w:p>
    <w:p w14:paraId="3BCD5629" w14:textId="789AF901" w:rsidR="00327D78" w:rsidRPr="00D17328" w:rsidRDefault="001E44E5" w:rsidP="00800CF7">
      <w:pPr>
        <w:pStyle w:val="PRIMERAPLANA"/>
        <w:numPr>
          <w:ilvl w:val="0"/>
          <w:numId w:val="12"/>
        </w:numPr>
        <w:autoSpaceDE w:val="0"/>
        <w:autoSpaceDN w:val="0"/>
        <w:adjustRightInd w:val="0"/>
        <w:spacing w:line="360" w:lineRule="auto"/>
        <w:rPr>
          <w:rFonts w:ascii="Times New Roman" w:hAnsi="Times New Roman"/>
          <w:bCs/>
          <w:lang w:val="es-ES"/>
        </w:rPr>
      </w:pPr>
      <w:r w:rsidRPr="00D17328">
        <w:rPr>
          <w:rFonts w:ascii="Times New Roman" w:hAnsi="Times New Roman"/>
          <w:bCs/>
          <w:lang w:val="es-ES"/>
        </w:rPr>
        <w:t>A</w:t>
      </w:r>
      <w:r w:rsidR="00327D78" w:rsidRPr="00D17328">
        <w:rPr>
          <w:rFonts w:ascii="Times New Roman" w:hAnsi="Times New Roman"/>
          <w:bCs/>
          <w:lang w:val="es-ES"/>
        </w:rPr>
        <w:t>umentos en los niveles de productividad mundial por la implementación</w:t>
      </w:r>
      <w:r w:rsidRPr="00D17328">
        <w:rPr>
          <w:rFonts w:ascii="Times New Roman" w:hAnsi="Times New Roman"/>
          <w:bCs/>
          <w:lang w:val="es-ES"/>
        </w:rPr>
        <w:t xml:space="preserve"> </w:t>
      </w:r>
      <w:r w:rsidR="00327D78" w:rsidRPr="00D17328">
        <w:rPr>
          <w:rFonts w:ascii="Times New Roman" w:hAnsi="Times New Roman"/>
          <w:bCs/>
          <w:lang w:val="es-ES"/>
        </w:rPr>
        <w:t xml:space="preserve">de políticas que la impulsen. </w:t>
      </w:r>
    </w:p>
    <w:p w14:paraId="40235767" w14:textId="0BDB33AD" w:rsidR="000A7D09" w:rsidRPr="00D17328" w:rsidRDefault="000A7D09" w:rsidP="000A59C5">
      <w:pPr>
        <w:pStyle w:val="PRIMERAPLANA"/>
        <w:spacing w:line="360" w:lineRule="auto"/>
        <w:rPr>
          <w:rFonts w:ascii="Times New Roman" w:hAnsi="Times New Roman"/>
          <w:bCs/>
          <w:lang w:val="es-ES"/>
        </w:rPr>
      </w:pPr>
    </w:p>
    <w:p w14:paraId="22E650F3" w14:textId="41DF06B1" w:rsidR="001E44E5" w:rsidRPr="00D17328" w:rsidRDefault="001E44E5" w:rsidP="001E44E5">
      <w:pPr>
        <w:pStyle w:val="PRIMERAPLANA"/>
        <w:spacing w:line="360" w:lineRule="auto"/>
        <w:rPr>
          <w:rFonts w:ascii="Times New Roman" w:hAnsi="Times New Roman"/>
          <w:bCs/>
          <w:lang w:val="es-ES"/>
        </w:rPr>
      </w:pPr>
      <w:r w:rsidRPr="00D17328">
        <w:rPr>
          <w:rFonts w:ascii="Times New Roman" w:hAnsi="Times New Roman"/>
          <w:bCs/>
          <w:lang w:val="es-ES"/>
        </w:rPr>
        <w:t>Entre los segundos podemos destacar los siguientes:</w:t>
      </w:r>
    </w:p>
    <w:p w14:paraId="78BC3A2B" w14:textId="77777777" w:rsidR="001E44E5" w:rsidRPr="00D17328" w:rsidRDefault="001E44E5" w:rsidP="001E44E5">
      <w:pPr>
        <w:pStyle w:val="PRIMERAPLANA"/>
        <w:spacing w:line="360" w:lineRule="auto"/>
        <w:rPr>
          <w:rFonts w:ascii="Times New Roman" w:hAnsi="Times New Roman"/>
          <w:bCs/>
          <w:lang w:val="es-ES"/>
        </w:rPr>
      </w:pPr>
    </w:p>
    <w:p w14:paraId="67102248" w14:textId="6D6221B6" w:rsidR="00A46AD7" w:rsidRPr="001C3DBE" w:rsidRDefault="008839CC" w:rsidP="00800CF7">
      <w:pPr>
        <w:pStyle w:val="PRIMERAPLANA"/>
        <w:numPr>
          <w:ilvl w:val="0"/>
          <w:numId w:val="13"/>
        </w:numPr>
        <w:spacing w:line="360" w:lineRule="auto"/>
        <w:rPr>
          <w:rFonts w:ascii="Times New Roman" w:hAnsi="Times New Roman"/>
          <w:bCs/>
          <w:lang w:val="es-ES"/>
        </w:rPr>
      </w:pPr>
      <w:r w:rsidRPr="001C3DBE">
        <w:rPr>
          <w:rFonts w:ascii="Times New Roman" w:hAnsi="Times New Roman"/>
          <w:bCs/>
          <w:lang w:val="es-ES"/>
        </w:rPr>
        <w:t>R</w:t>
      </w:r>
      <w:r w:rsidR="001E44E5" w:rsidRPr="001C3DBE">
        <w:rPr>
          <w:rFonts w:ascii="Times New Roman" w:hAnsi="Times New Roman"/>
          <w:bCs/>
          <w:lang w:val="es-ES"/>
        </w:rPr>
        <w:t>eactivación económica interna más lenta</w:t>
      </w:r>
      <w:r w:rsidRPr="001C3DBE">
        <w:rPr>
          <w:rFonts w:ascii="Times New Roman" w:hAnsi="Times New Roman"/>
          <w:bCs/>
          <w:lang w:val="es-ES"/>
        </w:rPr>
        <w:t xml:space="preserve"> </w:t>
      </w:r>
      <w:r w:rsidR="001E44E5" w:rsidRPr="001C3DBE">
        <w:rPr>
          <w:rFonts w:ascii="Times New Roman" w:hAnsi="Times New Roman"/>
          <w:bCs/>
          <w:lang w:val="es-ES"/>
        </w:rPr>
        <w:t xml:space="preserve">que lo previsto; </w:t>
      </w:r>
    </w:p>
    <w:p w14:paraId="7F54B820" w14:textId="269CD264" w:rsidR="00A46AD7" w:rsidRPr="001C3DBE" w:rsidRDefault="008839CC" w:rsidP="00800CF7">
      <w:pPr>
        <w:pStyle w:val="PRIMERAPLANA"/>
        <w:numPr>
          <w:ilvl w:val="0"/>
          <w:numId w:val="13"/>
        </w:numPr>
        <w:spacing w:line="360" w:lineRule="auto"/>
        <w:rPr>
          <w:rFonts w:ascii="Times New Roman" w:hAnsi="Times New Roman"/>
          <w:bCs/>
          <w:lang w:val="es-ES"/>
        </w:rPr>
      </w:pPr>
      <w:r w:rsidRPr="001C3DBE">
        <w:rPr>
          <w:rFonts w:ascii="Times New Roman" w:hAnsi="Times New Roman"/>
          <w:bCs/>
          <w:lang w:val="es-ES"/>
        </w:rPr>
        <w:t>U</w:t>
      </w:r>
      <w:r w:rsidR="001E44E5" w:rsidRPr="001C3DBE">
        <w:rPr>
          <w:rFonts w:ascii="Times New Roman" w:hAnsi="Times New Roman"/>
          <w:bCs/>
          <w:lang w:val="es-ES"/>
        </w:rPr>
        <w:t>na mayor ralentización de la recuperación productiva de</w:t>
      </w:r>
      <w:r w:rsidR="00A46AD7" w:rsidRPr="001C3DBE">
        <w:rPr>
          <w:rFonts w:ascii="Times New Roman" w:hAnsi="Times New Roman"/>
          <w:bCs/>
          <w:lang w:val="es-ES"/>
        </w:rPr>
        <w:t xml:space="preserve"> </w:t>
      </w:r>
      <w:r w:rsidR="001E44E5" w:rsidRPr="001C3DBE">
        <w:rPr>
          <w:rFonts w:ascii="Times New Roman" w:hAnsi="Times New Roman"/>
          <w:bCs/>
          <w:lang w:val="es-ES"/>
        </w:rPr>
        <w:t>Estados Unidos, ante la incertidumbre generada por su proceso electoral</w:t>
      </w:r>
      <w:r w:rsidR="00A46AD7" w:rsidRPr="001C3DBE">
        <w:rPr>
          <w:rFonts w:ascii="Times New Roman" w:hAnsi="Times New Roman"/>
          <w:bCs/>
          <w:lang w:val="es-ES"/>
        </w:rPr>
        <w:t>,</w:t>
      </w:r>
      <w:r w:rsidR="001E44E5" w:rsidRPr="001C3DBE">
        <w:rPr>
          <w:rFonts w:ascii="Times New Roman" w:hAnsi="Times New Roman"/>
          <w:bCs/>
          <w:lang w:val="es-ES"/>
        </w:rPr>
        <w:t xml:space="preserve"> y </w:t>
      </w:r>
    </w:p>
    <w:p w14:paraId="48347BBF" w14:textId="73D760A3" w:rsidR="001E44E5" w:rsidRPr="00D17328" w:rsidRDefault="00A46AD7" w:rsidP="00800CF7">
      <w:pPr>
        <w:pStyle w:val="PRIMERAPLANA"/>
        <w:numPr>
          <w:ilvl w:val="0"/>
          <w:numId w:val="13"/>
        </w:numPr>
        <w:spacing w:line="360" w:lineRule="auto"/>
        <w:rPr>
          <w:rFonts w:ascii="Times New Roman" w:hAnsi="Times New Roman"/>
          <w:bCs/>
          <w:lang w:val="es-ES"/>
        </w:rPr>
      </w:pPr>
      <w:r w:rsidRPr="00D17328">
        <w:rPr>
          <w:rFonts w:ascii="Times New Roman" w:hAnsi="Times New Roman"/>
          <w:bCs/>
          <w:lang w:val="es-ES"/>
        </w:rPr>
        <w:t>E</w:t>
      </w:r>
      <w:r w:rsidR="001E44E5" w:rsidRPr="00D17328">
        <w:rPr>
          <w:rFonts w:ascii="Times New Roman" w:hAnsi="Times New Roman"/>
          <w:bCs/>
          <w:lang w:val="es-ES"/>
        </w:rPr>
        <w:t>l riesgo de un escalamiento de los conflictos geopolíticos y comerciales a nivel mundial, que a su vez podrían afectar los flujos de capitales, la</w:t>
      </w:r>
      <w:r w:rsidRPr="00D17328">
        <w:rPr>
          <w:rFonts w:ascii="Times New Roman" w:hAnsi="Times New Roman"/>
          <w:bCs/>
          <w:lang w:val="es-ES"/>
        </w:rPr>
        <w:t xml:space="preserve"> </w:t>
      </w:r>
      <w:r w:rsidR="001E44E5" w:rsidRPr="00D17328">
        <w:rPr>
          <w:rFonts w:ascii="Times New Roman" w:hAnsi="Times New Roman"/>
          <w:bCs/>
          <w:lang w:val="es-ES"/>
        </w:rPr>
        <w:t xml:space="preserve">productividad y el crecimiento global. </w:t>
      </w:r>
    </w:p>
    <w:p w14:paraId="272DB033" w14:textId="77777777" w:rsidR="00A46AD7" w:rsidRPr="00D17328" w:rsidRDefault="00A46AD7" w:rsidP="008839CC">
      <w:pPr>
        <w:pStyle w:val="PRIMERAPLANA"/>
        <w:spacing w:line="360" w:lineRule="auto"/>
        <w:rPr>
          <w:rFonts w:ascii="Times New Roman" w:hAnsi="Times New Roman"/>
          <w:bCs/>
          <w:lang w:val="es-ES"/>
        </w:rPr>
      </w:pPr>
    </w:p>
    <w:p w14:paraId="7341CB4D" w14:textId="5F2671AD" w:rsidR="00A46AD7" w:rsidRPr="00D17328" w:rsidRDefault="001E44E5" w:rsidP="008839CC">
      <w:pPr>
        <w:pStyle w:val="PRIMERAPLANA"/>
        <w:spacing w:line="360" w:lineRule="auto"/>
        <w:rPr>
          <w:rFonts w:ascii="Times New Roman" w:hAnsi="Times New Roman"/>
          <w:bCs/>
          <w:lang w:val="es-ES"/>
        </w:rPr>
      </w:pPr>
      <w:r w:rsidRPr="00D17328">
        <w:rPr>
          <w:rFonts w:ascii="Times New Roman" w:hAnsi="Times New Roman"/>
          <w:bCs/>
          <w:lang w:val="es-ES"/>
        </w:rPr>
        <w:t xml:space="preserve">Además, el escenario macroeconómico de mediano plazo está sujeto a: </w:t>
      </w:r>
    </w:p>
    <w:p w14:paraId="60E3E49E" w14:textId="77777777" w:rsidR="00A46AD7" w:rsidRPr="00D17328" w:rsidRDefault="00A46AD7" w:rsidP="008839CC">
      <w:pPr>
        <w:pStyle w:val="PRIMERAPLANA"/>
        <w:spacing w:line="360" w:lineRule="auto"/>
        <w:rPr>
          <w:rFonts w:ascii="Times New Roman" w:hAnsi="Times New Roman"/>
          <w:bCs/>
          <w:lang w:val="es-ES"/>
        </w:rPr>
      </w:pPr>
    </w:p>
    <w:p w14:paraId="72983F8E" w14:textId="1A758FC6" w:rsidR="00A46AD7" w:rsidRPr="001C3DBE" w:rsidRDefault="00A46AD7" w:rsidP="00800CF7">
      <w:pPr>
        <w:pStyle w:val="PRIMERAPLANA"/>
        <w:numPr>
          <w:ilvl w:val="0"/>
          <w:numId w:val="14"/>
        </w:numPr>
        <w:spacing w:line="360" w:lineRule="auto"/>
        <w:rPr>
          <w:rFonts w:ascii="Times New Roman" w:hAnsi="Times New Roman"/>
          <w:bCs/>
          <w:lang w:val="es-ES"/>
        </w:rPr>
      </w:pPr>
      <w:r w:rsidRPr="001C3DBE">
        <w:rPr>
          <w:rFonts w:ascii="Times New Roman" w:hAnsi="Times New Roman"/>
          <w:bCs/>
          <w:lang w:val="es-ES"/>
        </w:rPr>
        <w:t>L</w:t>
      </w:r>
      <w:r w:rsidR="001E44E5" w:rsidRPr="001C3DBE">
        <w:rPr>
          <w:rFonts w:ascii="Times New Roman" w:hAnsi="Times New Roman"/>
          <w:bCs/>
          <w:lang w:val="es-ES"/>
        </w:rPr>
        <w:t>a</w:t>
      </w:r>
      <w:r w:rsidRPr="001C3DBE">
        <w:rPr>
          <w:rFonts w:ascii="Times New Roman" w:hAnsi="Times New Roman"/>
          <w:bCs/>
          <w:lang w:val="es-ES"/>
        </w:rPr>
        <w:t xml:space="preserve"> </w:t>
      </w:r>
      <w:r w:rsidR="001E44E5" w:rsidRPr="001C3DBE">
        <w:rPr>
          <w:rFonts w:ascii="Times New Roman" w:hAnsi="Times New Roman"/>
          <w:bCs/>
          <w:lang w:val="es-ES"/>
        </w:rPr>
        <w:t>continuación de las disrupciones en las cadenas globales de producción,</w:t>
      </w:r>
      <w:r w:rsidRPr="001C3DBE">
        <w:rPr>
          <w:rFonts w:ascii="Times New Roman" w:hAnsi="Times New Roman"/>
          <w:bCs/>
          <w:lang w:val="es-ES"/>
        </w:rPr>
        <w:t xml:space="preserve"> </w:t>
      </w:r>
      <w:r w:rsidR="001E44E5" w:rsidRPr="001C3DBE">
        <w:rPr>
          <w:rFonts w:ascii="Times New Roman" w:hAnsi="Times New Roman"/>
          <w:bCs/>
          <w:lang w:val="es-ES"/>
        </w:rPr>
        <w:t>causadas por la pandemia del COVID-19, afectando la estabilidad del</w:t>
      </w:r>
      <w:r w:rsidRPr="001C3DBE">
        <w:rPr>
          <w:rFonts w:ascii="Times New Roman" w:hAnsi="Times New Roman"/>
          <w:bCs/>
          <w:lang w:val="es-ES"/>
        </w:rPr>
        <w:t xml:space="preserve"> </w:t>
      </w:r>
      <w:r w:rsidR="001E44E5" w:rsidRPr="001C3DBE">
        <w:rPr>
          <w:rFonts w:ascii="Times New Roman" w:hAnsi="Times New Roman"/>
          <w:bCs/>
          <w:lang w:val="es-ES"/>
        </w:rPr>
        <w:t xml:space="preserve">sistema financiero y el crecimiento global de mediano plazo; </w:t>
      </w:r>
    </w:p>
    <w:p w14:paraId="6CF04849" w14:textId="7167A579" w:rsidR="00CC36C8" w:rsidRPr="001C3DBE" w:rsidRDefault="00A46AD7" w:rsidP="00800CF7">
      <w:pPr>
        <w:pStyle w:val="PRIMERAPLANA"/>
        <w:numPr>
          <w:ilvl w:val="0"/>
          <w:numId w:val="14"/>
        </w:numPr>
        <w:spacing w:line="360" w:lineRule="auto"/>
        <w:rPr>
          <w:bCs/>
        </w:rPr>
      </w:pPr>
      <w:r w:rsidRPr="001C3DBE">
        <w:rPr>
          <w:rFonts w:ascii="Times New Roman" w:hAnsi="Times New Roman"/>
          <w:bCs/>
          <w:lang w:val="es-ES"/>
        </w:rPr>
        <w:t>L</w:t>
      </w:r>
      <w:r w:rsidR="001E44E5" w:rsidRPr="001C3DBE">
        <w:rPr>
          <w:rFonts w:ascii="Times New Roman" w:hAnsi="Times New Roman"/>
          <w:bCs/>
          <w:lang w:val="es-ES"/>
        </w:rPr>
        <w:t>a</w:t>
      </w:r>
      <w:r w:rsidRPr="001C3DBE">
        <w:rPr>
          <w:rFonts w:ascii="Times New Roman" w:hAnsi="Times New Roman"/>
          <w:bCs/>
          <w:lang w:val="es-ES"/>
        </w:rPr>
        <w:t xml:space="preserve"> </w:t>
      </w:r>
      <w:r w:rsidR="001E44E5" w:rsidRPr="001C3DBE">
        <w:rPr>
          <w:rFonts w:ascii="Times New Roman" w:hAnsi="Times New Roman"/>
          <w:bCs/>
          <w:lang w:val="es-ES"/>
        </w:rPr>
        <w:t>profundización de los riesgos geopolíticos que genere menores perspectivas</w:t>
      </w:r>
      <w:r w:rsidRPr="001C3DBE">
        <w:rPr>
          <w:rFonts w:ascii="Times New Roman" w:hAnsi="Times New Roman"/>
          <w:bCs/>
          <w:lang w:val="es-ES"/>
        </w:rPr>
        <w:t xml:space="preserve"> </w:t>
      </w:r>
      <w:r w:rsidR="001E44E5" w:rsidRPr="001C3DBE">
        <w:rPr>
          <w:rFonts w:ascii="Times New Roman" w:hAnsi="Times New Roman"/>
          <w:bCs/>
          <w:lang w:val="es-ES"/>
        </w:rPr>
        <w:t xml:space="preserve">de crecimiento en la economía mundial; </w:t>
      </w:r>
    </w:p>
    <w:p w14:paraId="6F318494" w14:textId="688BF0C4" w:rsidR="00A46AD7" w:rsidRPr="001C3DBE" w:rsidRDefault="00CC36C8" w:rsidP="00800CF7">
      <w:pPr>
        <w:pStyle w:val="PRIMERAPLANA"/>
        <w:numPr>
          <w:ilvl w:val="0"/>
          <w:numId w:val="14"/>
        </w:numPr>
        <w:spacing w:line="360" w:lineRule="auto"/>
        <w:rPr>
          <w:bCs/>
        </w:rPr>
      </w:pPr>
      <w:r w:rsidRPr="001C3DBE">
        <w:rPr>
          <w:rFonts w:ascii="Times New Roman" w:hAnsi="Times New Roman"/>
          <w:bCs/>
          <w:lang w:val="es-ES"/>
        </w:rPr>
        <w:lastRenderedPageBreak/>
        <w:t>U</w:t>
      </w:r>
      <w:r w:rsidR="001E44E5" w:rsidRPr="001C3DBE">
        <w:rPr>
          <w:rFonts w:ascii="Times New Roman" w:hAnsi="Times New Roman"/>
          <w:bCs/>
          <w:lang w:val="es-ES"/>
        </w:rPr>
        <w:t>na desaceleración de la</w:t>
      </w:r>
      <w:r w:rsidR="00A46AD7" w:rsidRPr="001C3DBE">
        <w:rPr>
          <w:rFonts w:ascii="Times New Roman" w:hAnsi="Times New Roman"/>
          <w:bCs/>
          <w:lang w:val="es-ES"/>
        </w:rPr>
        <w:t xml:space="preserve"> </w:t>
      </w:r>
      <w:r w:rsidR="001E44E5" w:rsidRPr="001C3DBE">
        <w:rPr>
          <w:rFonts w:ascii="Times New Roman" w:hAnsi="Times New Roman"/>
          <w:bCs/>
          <w:lang w:val="es-ES"/>
        </w:rPr>
        <w:t>economía de Estados Unidos más fuerte que la esperada</w:t>
      </w:r>
      <w:r w:rsidR="00A46AD7" w:rsidRPr="001C3DBE">
        <w:rPr>
          <w:rFonts w:ascii="Times New Roman" w:hAnsi="Times New Roman"/>
          <w:bCs/>
          <w:lang w:val="es-ES"/>
        </w:rPr>
        <w:t>,</w:t>
      </w:r>
      <w:r w:rsidR="001E44E5" w:rsidRPr="001C3DBE">
        <w:rPr>
          <w:rFonts w:ascii="Times New Roman" w:hAnsi="Times New Roman"/>
          <w:bCs/>
          <w:lang w:val="es-ES"/>
        </w:rPr>
        <w:t xml:space="preserve"> y </w:t>
      </w:r>
    </w:p>
    <w:p w14:paraId="5C899B4E" w14:textId="30243C1E" w:rsidR="001E44E5" w:rsidRPr="00D17328" w:rsidRDefault="00A46AD7" w:rsidP="00800CF7">
      <w:pPr>
        <w:pStyle w:val="PRIMERAPLANA"/>
        <w:numPr>
          <w:ilvl w:val="0"/>
          <w:numId w:val="14"/>
        </w:numPr>
        <w:spacing w:line="360" w:lineRule="auto"/>
        <w:rPr>
          <w:rFonts w:ascii="Times New Roman" w:hAnsi="Times New Roman"/>
          <w:bCs/>
          <w:lang w:val="es-ES"/>
        </w:rPr>
      </w:pPr>
      <w:r w:rsidRPr="00D17328">
        <w:rPr>
          <w:rFonts w:ascii="Times New Roman" w:hAnsi="Times New Roman"/>
          <w:bCs/>
          <w:lang w:val="es-ES"/>
        </w:rPr>
        <w:t>C</w:t>
      </w:r>
      <w:r w:rsidR="001E44E5" w:rsidRPr="00D17328">
        <w:rPr>
          <w:rFonts w:ascii="Times New Roman" w:hAnsi="Times New Roman"/>
          <w:bCs/>
          <w:lang w:val="es-ES"/>
        </w:rPr>
        <w:t>ondiciones</w:t>
      </w:r>
      <w:r w:rsidRPr="00D17328">
        <w:rPr>
          <w:rFonts w:ascii="Times New Roman" w:hAnsi="Times New Roman"/>
          <w:bCs/>
          <w:lang w:val="es-ES"/>
        </w:rPr>
        <w:t xml:space="preserve"> </w:t>
      </w:r>
      <w:r w:rsidR="001E44E5" w:rsidRPr="00D17328">
        <w:rPr>
          <w:rFonts w:ascii="Times New Roman" w:hAnsi="Times New Roman"/>
          <w:bCs/>
          <w:lang w:val="es-ES"/>
        </w:rPr>
        <w:t>más restrictivas en los mercados financieros internacionales por los procesos</w:t>
      </w:r>
      <w:r w:rsidRPr="00D17328">
        <w:rPr>
          <w:rFonts w:ascii="Times New Roman" w:hAnsi="Times New Roman"/>
          <w:bCs/>
          <w:lang w:val="es-ES"/>
        </w:rPr>
        <w:t xml:space="preserve"> </w:t>
      </w:r>
      <w:r w:rsidR="001E44E5" w:rsidRPr="00D17328">
        <w:rPr>
          <w:rFonts w:ascii="Times New Roman" w:hAnsi="Times New Roman"/>
          <w:bCs/>
          <w:lang w:val="es-ES"/>
        </w:rPr>
        <w:t>de normalización de las economías avanzadas que afecten la inversión a</w:t>
      </w:r>
      <w:r w:rsidRPr="00D17328">
        <w:rPr>
          <w:rFonts w:ascii="Times New Roman" w:hAnsi="Times New Roman"/>
          <w:bCs/>
          <w:lang w:val="es-ES"/>
        </w:rPr>
        <w:t xml:space="preserve"> </w:t>
      </w:r>
      <w:r w:rsidR="001E44E5" w:rsidRPr="00D17328">
        <w:rPr>
          <w:rFonts w:ascii="Times New Roman" w:hAnsi="Times New Roman"/>
          <w:bCs/>
          <w:lang w:val="es-ES"/>
        </w:rPr>
        <w:t>nivel mundial.</w:t>
      </w:r>
    </w:p>
    <w:p w14:paraId="0EDB47EF" w14:textId="77777777" w:rsidR="00A46AD7" w:rsidRPr="00D17328" w:rsidRDefault="00A46AD7" w:rsidP="008839CC">
      <w:pPr>
        <w:pStyle w:val="PRIMERAPLANA"/>
        <w:spacing w:line="360" w:lineRule="auto"/>
        <w:rPr>
          <w:rFonts w:ascii="Times New Roman" w:hAnsi="Times New Roman"/>
          <w:bCs/>
          <w:lang w:val="es-ES"/>
        </w:rPr>
      </w:pPr>
    </w:p>
    <w:p w14:paraId="73F8E0BD" w14:textId="0EDA9F9D" w:rsidR="00A46AD7" w:rsidRPr="00D17328" w:rsidRDefault="001E44E5" w:rsidP="008839CC">
      <w:pPr>
        <w:pStyle w:val="PRIMERAPLANA"/>
        <w:spacing w:line="360" w:lineRule="auto"/>
        <w:rPr>
          <w:rFonts w:ascii="Times New Roman" w:hAnsi="Times New Roman"/>
          <w:bCs/>
          <w:lang w:val="es-ES"/>
        </w:rPr>
      </w:pPr>
      <w:r w:rsidRPr="00D17328">
        <w:rPr>
          <w:rFonts w:ascii="Times New Roman" w:hAnsi="Times New Roman"/>
          <w:bCs/>
          <w:lang w:val="es-ES"/>
        </w:rPr>
        <w:t>Adicionalmente, la Encuesta Banxico, señala como principales</w:t>
      </w:r>
      <w:r w:rsidR="00A46AD7" w:rsidRPr="00D17328">
        <w:rPr>
          <w:rFonts w:ascii="Times New Roman" w:hAnsi="Times New Roman"/>
          <w:bCs/>
          <w:lang w:val="es-ES"/>
        </w:rPr>
        <w:t xml:space="preserve"> </w:t>
      </w:r>
      <w:r w:rsidRPr="00D17328">
        <w:rPr>
          <w:rFonts w:ascii="Times New Roman" w:hAnsi="Times New Roman"/>
          <w:bCs/>
          <w:lang w:val="es-ES"/>
        </w:rPr>
        <w:t xml:space="preserve">riesgos para el crecimiento económico los siguientes: </w:t>
      </w:r>
    </w:p>
    <w:p w14:paraId="2A6E9144" w14:textId="7D0C7EAC" w:rsidR="00A46AD7" w:rsidRPr="001C3DBE" w:rsidRDefault="00A46AD7" w:rsidP="00800CF7">
      <w:pPr>
        <w:pStyle w:val="PRIMERAPLANA"/>
        <w:numPr>
          <w:ilvl w:val="0"/>
          <w:numId w:val="15"/>
        </w:numPr>
        <w:spacing w:line="360" w:lineRule="auto"/>
        <w:rPr>
          <w:rFonts w:ascii="Times New Roman" w:hAnsi="Times New Roman"/>
          <w:bCs/>
          <w:lang w:val="es-ES"/>
        </w:rPr>
      </w:pPr>
      <w:r w:rsidRPr="001C3DBE">
        <w:rPr>
          <w:rFonts w:ascii="Times New Roman" w:hAnsi="Times New Roman"/>
          <w:bCs/>
          <w:lang w:val="es-ES"/>
        </w:rPr>
        <w:t>I</w:t>
      </w:r>
      <w:r w:rsidR="001E44E5" w:rsidRPr="001C3DBE">
        <w:rPr>
          <w:rFonts w:ascii="Times New Roman" w:hAnsi="Times New Roman"/>
          <w:bCs/>
          <w:lang w:val="es-ES"/>
        </w:rPr>
        <w:t>ncertidumbre política</w:t>
      </w:r>
      <w:r w:rsidRPr="001C3DBE">
        <w:rPr>
          <w:rFonts w:ascii="Times New Roman" w:hAnsi="Times New Roman"/>
          <w:bCs/>
          <w:lang w:val="es-ES"/>
        </w:rPr>
        <w:t xml:space="preserve"> </w:t>
      </w:r>
      <w:r w:rsidR="001E44E5" w:rsidRPr="001C3DBE">
        <w:rPr>
          <w:rFonts w:ascii="Times New Roman" w:hAnsi="Times New Roman"/>
          <w:bCs/>
          <w:lang w:val="es-ES"/>
        </w:rPr>
        <w:t xml:space="preserve">interna; </w:t>
      </w:r>
    </w:p>
    <w:p w14:paraId="3567150A" w14:textId="7D68C42D" w:rsidR="00A46AD7" w:rsidRPr="001C3DBE" w:rsidRDefault="00A46AD7" w:rsidP="00800CF7">
      <w:pPr>
        <w:pStyle w:val="PRIMERAPLANA"/>
        <w:numPr>
          <w:ilvl w:val="0"/>
          <w:numId w:val="15"/>
        </w:numPr>
        <w:spacing w:line="360" w:lineRule="auto"/>
        <w:rPr>
          <w:rFonts w:ascii="Times New Roman" w:hAnsi="Times New Roman"/>
          <w:bCs/>
          <w:lang w:val="es-ES"/>
        </w:rPr>
      </w:pPr>
      <w:r w:rsidRPr="001C3DBE">
        <w:rPr>
          <w:rFonts w:ascii="Times New Roman" w:hAnsi="Times New Roman"/>
          <w:bCs/>
          <w:lang w:val="es-ES"/>
        </w:rPr>
        <w:t>I</w:t>
      </w:r>
      <w:r w:rsidR="001E44E5" w:rsidRPr="001C3DBE">
        <w:rPr>
          <w:rFonts w:ascii="Times New Roman" w:hAnsi="Times New Roman"/>
          <w:bCs/>
          <w:lang w:val="es-ES"/>
        </w:rPr>
        <w:t xml:space="preserve">ncertidumbre sobre la situación económica interna; </w:t>
      </w:r>
    </w:p>
    <w:p w14:paraId="25FFCD1A" w14:textId="40BF1B05" w:rsidR="00A46AD7" w:rsidRPr="001C3DBE" w:rsidRDefault="00A46AD7" w:rsidP="00800CF7">
      <w:pPr>
        <w:pStyle w:val="PRIMERAPLANA"/>
        <w:numPr>
          <w:ilvl w:val="0"/>
          <w:numId w:val="15"/>
        </w:numPr>
        <w:spacing w:line="360" w:lineRule="auto"/>
        <w:rPr>
          <w:color w:val="000000"/>
          <w:lang w:val="es-MX" w:eastAsia="es-MX"/>
        </w:rPr>
      </w:pPr>
      <w:r w:rsidRPr="001C3DBE">
        <w:rPr>
          <w:rFonts w:ascii="Times New Roman" w:hAnsi="Times New Roman"/>
          <w:bCs/>
          <w:lang w:val="es-ES"/>
        </w:rPr>
        <w:t>P</w:t>
      </w:r>
      <w:r w:rsidR="001E44E5" w:rsidRPr="001C3DBE">
        <w:rPr>
          <w:rFonts w:ascii="Times New Roman" w:hAnsi="Times New Roman"/>
          <w:bCs/>
          <w:lang w:val="es-ES"/>
        </w:rPr>
        <w:t>roblemas</w:t>
      </w:r>
      <w:r w:rsidRPr="001C3DBE">
        <w:rPr>
          <w:rFonts w:ascii="Times New Roman" w:hAnsi="Times New Roman"/>
          <w:bCs/>
          <w:lang w:val="es-ES"/>
        </w:rPr>
        <w:t xml:space="preserve"> </w:t>
      </w:r>
      <w:r w:rsidR="001E44E5" w:rsidRPr="001C3DBE">
        <w:rPr>
          <w:rFonts w:ascii="Times New Roman" w:hAnsi="Times New Roman"/>
          <w:bCs/>
          <w:lang w:val="es-ES"/>
        </w:rPr>
        <w:t>de inseguridad pública;</w:t>
      </w:r>
    </w:p>
    <w:p w14:paraId="2B594E34" w14:textId="72555CF3" w:rsidR="00A46AD7" w:rsidRPr="001C3DBE" w:rsidRDefault="00A46AD7" w:rsidP="00800CF7">
      <w:pPr>
        <w:pStyle w:val="PRIMERAPLANA"/>
        <w:numPr>
          <w:ilvl w:val="0"/>
          <w:numId w:val="15"/>
        </w:numPr>
        <w:spacing w:line="360" w:lineRule="auto"/>
        <w:rPr>
          <w:bCs/>
        </w:rPr>
      </w:pPr>
      <w:r w:rsidRPr="001C3DBE">
        <w:rPr>
          <w:rFonts w:ascii="Times New Roman" w:hAnsi="Times New Roman"/>
          <w:bCs/>
          <w:lang w:val="es-ES"/>
        </w:rPr>
        <w:t>P</w:t>
      </w:r>
      <w:r w:rsidR="001E44E5" w:rsidRPr="001C3DBE">
        <w:rPr>
          <w:rFonts w:ascii="Times New Roman" w:hAnsi="Times New Roman"/>
          <w:bCs/>
          <w:lang w:val="es-ES"/>
        </w:rPr>
        <w:t xml:space="preserve">olítica de gasto público; </w:t>
      </w:r>
    </w:p>
    <w:p w14:paraId="77C44EB4" w14:textId="51EC17B9" w:rsidR="00A46AD7" w:rsidRPr="001C3DBE" w:rsidRDefault="00A46AD7" w:rsidP="00800CF7">
      <w:pPr>
        <w:pStyle w:val="PRIMERAPLANA"/>
        <w:numPr>
          <w:ilvl w:val="0"/>
          <w:numId w:val="15"/>
        </w:numPr>
        <w:spacing w:line="360" w:lineRule="auto"/>
        <w:rPr>
          <w:bCs/>
        </w:rPr>
      </w:pPr>
      <w:r w:rsidRPr="001C3DBE">
        <w:rPr>
          <w:rFonts w:ascii="Times New Roman" w:hAnsi="Times New Roman"/>
          <w:bCs/>
          <w:lang w:val="es-ES"/>
        </w:rPr>
        <w:t>P</w:t>
      </w:r>
      <w:r w:rsidR="001E44E5" w:rsidRPr="001C3DBE">
        <w:rPr>
          <w:rFonts w:ascii="Times New Roman" w:hAnsi="Times New Roman"/>
          <w:bCs/>
          <w:lang w:val="es-ES"/>
        </w:rPr>
        <w:t>lataforma de</w:t>
      </w:r>
      <w:r w:rsidRPr="001C3DBE">
        <w:rPr>
          <w:rFonts w:ascii="Times New Roman" w:hAnsi="Times New Roman"/>
          <w:bCs/>
          <w:lang w:val="es-ES"/>
        </w:rPr>
        <w:t xml:space="preserve"> </w:t>
      </w:r>
      <w:r w:rsidR="001E44E5" w:rsidRPr="001C3DBE">
        <w:rPr>
          <w:rFonts w:ascii="Times New Roman" w:hAnsi="Times New Roman"/>
          <w:bCs/>
          <w:lang w:val="es-ES"/>
        </w:rPr>
        <w:t xml:space="preserve">producción petrolera; </w:t>
      </w:r>
    </w:p>
    <w:p w14:paraId="50CBB732" w14:textId="0B567531" w:rsidR="00A46AD7" w:rsidRPr="001C3DBE" w:rsidRDefault="00A46AD7" w:rsidP="00800CF7">
      <w:pPr>
        <w:pStyle w:val="PRIMERAPLANA"/>
        <w:numPr>
          <w:ilvl w:val="0"/>
          <w:numId w:val="15"/>
        </w:numPr>
        <w:spacing w:line="360" w:lineRule="auto"/>
        <w:rPr>
          <w:bCs/>
        </w:rPr>
      </w:pPr>
      <w:r w:rsidRPr="001C3DBE">
        <w:rPr>
          <w:rFonts w:ascii="Times New Roman" w:hAnsi="Times New Roman"/>
          <w:bCs/>
          <w:lang w:val="es-ES"/>
        </w:rPr>
        <w:t>D</w:t>
      </w:r>
      <w:r w:rsidR="001E44E5" w:rsidRPr="001C3DBE">
        <w:rPr>
          <w:rFonts w:ascii="Times New Roman" w:hAnsi="Times New Roman"/>
          <w:bCs/>
          <w:lang w:val="es-ES"/>
        </w:rPr>
        <w:t>ebilidad del mercado interno</w:t>
      </w:r>
      <w:r w:rsidRPr="001C3DBE">
        <w:rPr>
          <w:rFonts w:ascii="Times New Roman" w:hAnsi="Times New Roman"/>
          <w:bCs/>
          <w:lang w:val="es-ES"/>
        </w:rPr>
        <w:t>,</w:t>
      </w:r>
      <w:r w:rsidR="001E44E5" w:rsidRPr="001C3DBE">
        <w:rPr>
          <w:rFonts w:ascii="Times New Roman" w:hAnsi="Times New Roman"/>
          <w:bCs/>
          <w:lang w:val="es-ES"/>
        </w:rPr>
        <w:t xml:space="preserve"> y</w:t>
      </w:r>
    </w:p>
    <w:p w14:paraId="7B2822CA" w14:textId="382517CE" w:rsidR="001E44E5" w:rsidRPr="00D17328" w:rsidRDefault="00A46AD7" w:rsidP="00800CF7">
      <w:pPr>
        <w:pStyle w:val="PRIMERAPLANA"/>
        <w:numPr>
          <w:ilvl w:val="0"/>
          <w:numId w:val="15"/>
        </w:numPr>
        <w:spacing w:line="360" w:lineRule="auto"/>
        <w:rPr>
          <w:rFonts w:ascii="Times New Roman" w:hAnsi="Times New Roman"/>
          <w:bCs/>
          <w:lang w:val="es-ES"/>
        </w:rPr>
      </w:pPr>
      <w:r w:rsidRPr="00D17328">
        <w:rPr>
          <w:rFonts w:ascii="Times New Roman" w:hAnsi="Times New Roman"/>
          <w:bCs/>
          <w:lang w:val="es-ES"/>
        </w:rPr>
        <w:t>D</w:t>
      </w:r>
      <w:r w:rsidR="001E44E5" w:rsidRPr="00D17328">
        <w:rPr>
          <w:rFonts w:ascii="Times New Roman" w:hAnsi="Times New Roman"/>
          <w:bCs/>
          <w:lang w:val="es-ES"/>
        </w:rPr>
        <w:t>ebilidad del</w:t>
      </w:r>
      <w:r w:rsidRPr="00D17328">
        <w:rPr>
          <w:rFonts w:ascii="Times New Roman" w:hAnsi="Times New Roman"/>
          <w:bCs/>
          <w:lang w:val="es-ES"/>
        </w:rPr>
        <w:t xml:space="preserve"> </w:t>
      </w:r>
      <w:r w:rsidR="001E44E5" w:rsidRPr="00D17328">
        <w:rPr>
          <w:rFonts w:ascii="Times New Roman" w:hAnsi="Times New Roman"/>
          <w:bCs/>
          <w:lang w:val="es-ES"/>
        </w:rPr>
        <w:t xml:space="preserve">mercado externo y la economía mundial. </w:t>
      </w:r>
    </w:p>
    <w:p w14:paraId="735A3183" w14:textId="43AC91B9" w:rsidR="00327D78" w:rsidRPr="00D17328" w:rsidRDefault="00327D78" w:rsidP="00A46AD7">
      <w:pPr>
        <w:pStyle w:val="PRIMERAPLANA"/>
        <w:spacing w:line="360" w:lineRule="auto"/>
        <w:ind w:left="720"/>
        <w:rPr>
          <w:rFonts w:ascii="Times New Roman" w:hAnsi="Times New Roman"/>
          <w:bCs/>
          <w:lang w:val="es-ES"/>
        </w:rPr>
      </w:pPr>
    </w:p>
    <w:p w14:paraId="7BFF91DC" w14:textId="23614879" w:rsidR="008629E2" w:rsidRPr="00D17328" w:rsidRDefault="002B1C55" w:rsidP="008629E2">
      <w:pPr>
        <w:pStyle w:val="PRIMERAPLANA"/>
        <w:spacing w:line="360" w:lineRule="auto"/>
        <w:rPr>
          <w:rFonts w:ascii="Times New Roman" w:hAnsi="Times New Roman"/>
          <w:bCs/>
          <w:lang w:val="es-ES"/>
        </w:rPr>
      </w:pPr>
      <w:r w:rsidRPr="00D17328">
        <w:rPr>
          <w:rFonts w:ascii="Times New Roman" w:hAnsi="Times New Roman"/>
          <w:bCs/>
          <w:lang w:val="es-ES"/>
        </w:rPr>
        <w:t>S</w:t>
      </w:r>
      <w:r w:rsidR="008629E2" w:rsidRPr="00D17328">
        <w:rPr>
          <w:rFonts w:ascii="Times New Roman" w:hAnsi="Times New Roman"/>
          <w:bCs/>
          <w:lang w:val="es-ES"/>
        </w:rPr>
        <w:t>e ha reafirmado el compromiso del Gobierno de México de que los montos de endeudamiento</w:t>
      </w:r>
      <w:r w:rsidRPr="00D17328">
        <w:rPr>
          <w:rFonts w:ascii="Times New Roman" w:hAnsi="Times New Roman"/>
          <w:bCs/>
          <w:lang w:val="es-ES"/>
        </w:rPr>
        <w:t xml:space="preserve"> </w:t>
      </w:r>
      <w:r w:rsidR="008629E2" w:rsidRPr="00D17328">
        <w:rPr>
          <w:rFonts w:ascii="Times New Roman" w:hAnsi="Times New Roman"/>
          <w:bCs/>
          <w:lang w:val="es-ES"/>
        </w:rPr>
        <w:t xml:space="preserve">contribuyan a preservar la solvencia del sector público, por lo que más del 62% del aumento en el </w:t>
      </w:r>
      <w:r w:rsidR="00382A2C" w:rsidRPr="00D17328">
        <w:rPr>
          <w:rFonts w:ascii="Times New Roman" w:hAnsi="Times New Roman"/>
          <w:bCs/>
          <w:lang w:val="es-ES"/>
        </w:rPr>
        <w:t>Saldo Histórico de los Requerimientos Financieros del Sector Público (</w:t>
      </w:r>
      <w:r w:rsidR="008629E2" w:rsidRPr="00D17328">
        <w:rPr>
          <w:rFonts w:ascii="Times New Roman" w:hAnsi="Times New Roman"/>
          <w:bCs/>
          <w:lang w:val="es-ES"/>
        </w:rPr>
        <w:t>SHRFSP</w:t>
      </w:r>
      <w:r w:rsidR="00382A2C" w:rsidRPr="00D17328">
        <w:rPr>
          <w:rFonts w:ascii="Times New Roman" w:hAnsi="Times New Roman"/>
          <w:bCs/>
          <w:lang w:val="es-ES"/>
        </w:rPr>
        <w:t>)</w:t>
      </w:r>
      <w:r w:rsidR="008629E2" w:rsidRPr="00D17328">
        <w:rPr>
          <w:rFonts w:ascii="Times New Roman" w:hAnsi="Times New Roman"/>
          <w:bCs/>
          <w:lang w:val="es-ES"/>
        </w:rPr>
        <w:t xml:space="preserve"> entre</w:t>
      </w:r>
      <w:r w:rsidRPr="00D17328">
        <w:rPr>
          <w:rFonts w:ascii="Times New Roman" w:hAnsi="Times New Roman"/>
          <w:bCs/>
          <w:lang w:val="es-ES"/>
        </w:rPr>
        <w:t xml:space="preserve"> </w:t>
      </w:r>
      <w:r w:rsidR="008629E2" w:rsidRPr="00D17328">
        <w:rPr>
          <w:rFonts w:ascii="Times New Roman" w:hAnsi="Times New Roman"/>
          <w:bCs/>
          <w:lang w:val="es-ES"/>
        </w:rPr>
        <w:t xml:space="preserve">el cierre de 2019 y el cierre de julio de 2020 se explica por el aumento en el tipo de cambio, de 18.9 a 22.2 </w:t>
      </w:r>
      <w:r w:rsidR="00FF790E" w:rsidRPr="00D17328">
        <w:rPr>
          <w:rFonts w:ascii="Times New Roman" w:hAnsi="Times New Roman"/>
          <w:bCs/>
          <w:lang w:val="es-ES"/>
        </w:rPr>
        <w:t>ppd</w:t>
      </w:r>
      <w:r w:rsidR="008629E2" w:rsidRPr="00D17328">
        <w:rPr>
          <w:rFonts w:ascii="Times New Roman" w:hAnsi="Times New Roman"/>
          <w:bCs/>
          <w:lang w:val="es-ES"/>
        </w:rPr>
        <w:t>, mientras que el resto está en línea con las metas del Plan Anual de Financiamiento 2020 y con los</w:t>
      </w:r>
      <w:r w:rsidRPr="00D17328">
        <w:rPr>
          <w:rFonts w:ascii="Times New Roman" w:hAnsi="Times New Roman"/>
          <w:bCs/>
          <w:lang w:val="es-ES"/>
        </w:rPr>
        <w:t xml:space="preserve"> </w:t>
      </w:r>
      <w:r w:rsidR="008629E2" w:rsidRPr="00D17328">
        <w:rPr>
          <w:rFonts w:ascii="Times New Roman" w:hAnsi="Times New Roman"/>
          <w:bCs/>
          <w:lang w:val="es-ES"/>
        </w:rPr>
        <w:t xml:space="preserve">techos autorizados por el H. Congreso de la Unión. </w:t>
      </w:r>
    </w:p>
    <w:p w14:paraId="05B082F2" w14:textId="77777777" w:rsidR="002B1C55" w:rsidRPr="00D17328" w:rsidRDefault="002B1C55" w:rsidP="008629E2">
      <w:pPr>
        <w:pStyle w:val="PRIMERAPLANA"/>
        <w:spacing w:line="360" w:lineRule="auto"/>
        <w:rPr>
          <w:rFonts w:ascii="Times New Roman" w:hAnsi="Times New Roman"/>
          <w:bCs/>
          <w:lang w:val="es-ES"/>
        </w:rPr>
      </w:pPr>
    </w:p>
    <w:p w14:paraId="144F997A" w14:textId="4837EFA0" w:rsidR="008629E2" w:rsidRPr="00D17328" w:rsidRDefault="008629E2" w:rsidP="008629E2">
      <w:pPr>
        <w:pStyle w:val="PRIMERAPLANA"/>
        <w:spacing w:line="360" w:lineRule="auto"/>
        <w:rPr>
          <w:rFonts w:ascii="Times New Roman" w:hAnsi="Times New Roman"/>
          <w:bCs/>
          <w:lang w:val="es-ES"/>
        </w:rPr>
      </w:pPr>
      <w:r w:rsidRPr="00D17328">
        <w:rPr>
          <w:rFonts w:ascii="Times New Roman" w:hAnsi="Times New Roman"/>
          <w:bCs/>
          <w:lang w:val="es-ES"/>
        </w:rPr>
        <w:t>Adicionalmente, el manejo eficiente de los pasivos ha permitido mantener una composición sólida del portafolio:</w:t>
      </w:r>
      <w:r w:rsidR="002B1C55" w:rsidRPr="00D17328">
        <w:rPr>
          <w:rFonts w:ascii="Times New Roman" w:hAnsi="Times New Roman"/>
          <w:bCs/>
          <w:lang w:val="es-ES"/>
        </w:rPr>
        <w:t xml:space="preserve"> </w:t>
      </w:r>
      <w:r w:rsidRPr="00D17328">
        <w:rPr>
          <w:rFonts w:ascii="Times New Roman" w:hAnsi="Times New Roman"/>
          <w:bCs/>
          <w:lang w:val="es-ES"/>
        </w:rPr>
        <w:t>al cierre de julio, 74.9% de la deuda neta del Gobierno Federal se encontraba denominada en pesos y dentro de</w:t>
      </w:r>
      <w:r w:rsidR="002B1C55" w:rsidRPr="00D17328">
        <w:rPr>
          <w:rFonts w:ascii="Times New Roman" w:hAnsi="Times New Roman"/>
          <w:bCs/>
          <w:lang w:val="es-ES"/>
        </w:rPr>
        <w:t xml:space="preserve"> </w:t>
      </w:r>
      <w:r w:rsidRPr="00D17328">
        <w:rPr>
          <w:rFonts w:ascii="Times New Roman" w:hAnsi="Times New Roman"/>
          <w:bCs/>
          <w:lang w:val="es-ES"/>
        </w:rPr>
        <w:t>la deuda interna en valores gubernamentales el 80.6% se encuentra a tasa fija y largo plazo. Por otra parte, 100%</w:t>
      </w:r>
      <w:r w:rsidR="002B1C55" w:rsidRPr="00D17328">
        <w:rPr>
          <w:rFonts w:ascii="Times New Roman" w:hAnsi="Times New Roman"/>
          <w:bCs/>
          <w:lang w:val="es-ES"/>
        </w:rPr>
        <w:t xml:space="preserve"> </w:t>
      </w:r>
      <w:r w:rsidRPr="00D17328">
        <w:rPr>
          <w:rFonts w:ascii="Times New Roman" w:hAnsi="Times New Roman"/>
          <w:bCs/>
          <w:lang w:val="es-ES"/>
        </w:rPr>
        <w:t xml:space="preserve">de la deuda externa se encuentra a tasa fija. </w:t>
      </w:r>
    </w:p>
    <w:p w14:paraId="24F0A35F" w14:textId="77777777" w:rsidR="002B1C55" w:rsidRPr="00D17328" w:rsidRDefault="002B1C55" w:rsidP="008629E2">
      <w:pPr>
        <w:pStyle w:val="PRIMERAPLANA"/>
        <w:spacing w:line="360" w:lineRule="auto"/>
        <w:rPr>
          <w:rFonts w:ascii="Times New Roman" w:hAnsi="Times New Roman"/>
          <w:bCs/>
          <w:lang w:val="es-ES"/>
        </w:rPr>
      </w:pPr>
    </w:p>
    <w:p w14:paraId="0692BF98" w14:textId="7FB8E753" w:rsidR="00327D78" w:rsidRPr="00D17328" w:rsidRDefault="008629E2" w:rsidP="008629E2">
      <w:pPr>
        <w:pStyle w:val="PRIMERAPLANA"/>
        <w:spacing w:line="360" w:lineRule="auto"/>
        <w:rPr>
          <w:rFonts w:ascii="Times New Roman" w:hAnsi="Times New Roman"/>
          <w:bCs/>
          <w:lang w:val="es-ES"/>
        </w:rPr>
      </w:pPr>
      <w:r w:rsidRPr="00D17328">
        <w:rPr>
          <w:rFonts w:ascii="Times New Roman" w:hAnsi="Times New Roman"/>
          <w:bCs/>
          <w:lang w:val="es-ES"/>
        </w:rPr>
        <w:t>Tomando en cuenta lo anterior y la actualización de las principales variables macroeconómicas, las estimaciones</w:t>
      </w:r>
      <w:r w:rsidR="002B1C55" w:rsidRPr="00D17328">
        <w:rPr>
          <w:rFonts w:ascii="Times New Roman" w:hAnsi="Times New Roman"/>
          <w:bCs/>
          <w:lang w:val="es-ES"/>
        </w:rPr>
        <w:t xml:space="preserve"> </w:t>
      </w:r>
      <w:r w:rsidRPr="00D17328">
        <w:rPr>
          <w:rFonts w:ascii="Times New Roman" w:hAnsi="Times New Roman"/>
          <w:bCs/>
          <w:lang w:val="es-ES"/>
        </w:rPr>
        <w:t>de los balances y del SHRFSP para el cierre del año en curso se ajustan en sentido positivo respecto a las</w:t>
      </w:r>
      <w:r w:rsidR="002B1C55" w:rsidRPr="00D17328">
        <w:rPr>
          <w:rFonts w:ascii="Times New Roman" w:hAnsi="Times New Roman"/>
          <w:bCs/>
          <w:lang w:val="es-ES"/>
        </w:rPr>
        <w:t xml:space="preserve"> </w:t>
      </w:r>
      <w:r w:rsidRPr="00D17328">
        <w:rPr>
          <w:rFonts w:ascii="Times New Roman" w:hAnsi="Times New Roman"/>
          <w:bCs/>
          <w:lang w:val="es-ES"/>
        </w:rPr>
        <w:t>presentadas al término del segundo trimestre: el balance primario pasa de un déficit de 0.6% del PIB a un</w:t>
      </w:r>
      <w:r w:rsidR="002B1C55" w:rsidRPr="00D17328">
        <w:rPr>
          <w:rFonts w:ascii="Times New Roman" w:hAnsi="Times New Roman"/>
          <w:bCs/>
          <w:lang w:val="es-ES"/>
        </w:rPr>
        <w:t xml:space="preserve"> </w:t>
      </w:r>
      <w:r w:rsidRPr="00D17328">
        <w:rPr>
          <w:rFonts w:ascii="Times New Roman" w:hAnsi="Times New Roman"/>
          <w:bCs/>
          <w:lang w:val="es-ES"/>
        </w:rPr>
        <w:t xml:space="preserve">superávit de 0.2%; el balance presupuestario pasa de un déficit de 3.7% del PIB a uno de 2.9%; los </w:t>
      </w:r>
      <w:r w:rsidR="008A24DF" w:rsidRPr="00D17328">
        <w:rPr>
          <w:rFonts w:ascii="Times New Roman" w:hAnsi="Times New Roman"/>
          <w:bCs/>
          <w:lang w:val="es-ES"/>
        </w:rPr>
        <w:t>Requerimientos Financieros del Sector Público (</w:t>
      </w:r>
      <w:r w:rsidRPr="00D17328">
        <w:rPr>
          <w:rFonts w:ascii="Times New Roman" w:hAnsi="Times New Roman"/>
          <w:bCs/>
          <w:lang w:val="es-ES"/>
        </w:rPr>
        <w:t>RFSP</w:t>
      </w:r>
      <w:r w:rsidR="008A24DF" w:rsidRPr="00D17328">
        <w:rPr>
          <w:rFonts w:ascii="Times New Roman" w:hAnsi="Times New Roman"/>
          <w:bCs/>
          <w:lang w:val="es-ES"/>
        </w:rPr>
        <w:t>)</w:t>
      </w:r>
      <w:r w:rsidRPr="00D17328">
        <w:rPr>
          <w:rFonts w:ascii="Times New Roman" w:hAnsi="Times New Roman"/>
          <w:bCs/>
          <w:lang w:val="es-ES"/>
        </w:rPr>
        <w:t xml:space="preserve"> pasan de</w:t>
      </w:r>
      <w:r w:rsidR="002B1C55" w:rsidRPr="00D17328">
        <w:rPr>
          <w:rFonts w:ascii="Times New Roman" w:hAnsi="Times New Roman"/>
          <w:bCs/>
          <w:lang w:val="es-ES"/>
        </w:rPr>
        <w:t xml:space="preserve"> </w:t>
      </w:r>
      <w:r w:rsidRPr="00D17328">
        <w:rPr>
          <w:rFonts w:ascii="Times New Roman" w:hAnsi="Times New Roman"/>
          <w:bCs/>
          <w:lang w:val="es-ES"/>
        </w:rPr>
        <w:t>un déficit de 5.4% a uno de 4.7% del PIB; y el SHRFSP pasa de 55.4% del PIB a 54.7% del PIB.</w:t>
      </w:r>
    </w:p>
    <w:p w14:paraId="6C0B62E1" w14:textId="3124BD4E" w:rsidR="00327D78" w:rsidRPr="00D17328" w:rsidRDefault="00327D78" w:rsidP="000A59C5">
      <w:pPr>
        <w:pStyle w:val="PRIMERAPLANA"/>
        <w:spacing w:line="360" w:lineRule="auto"/>
        <w:rPr>
          <w:rFonts w:ascii="Times New Roman" w:hAnsi="Times New Roman"/>
          <w:bCs/>
          <w:lang w:val="es-ES"/>
        </w:rPr>
      </w:pPr>
    </w:p>
    <w:p w14:paraId="38A298CF" w14:textId="3BBC8FCC" w:rsidR="002B1C55"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lastRenderedPageBreak/>
        <w:t xml:space="preserve">Esto se debe principalmente a una revisión al alza en 0.6% del PIB en los ingresos tributarios estimados para el final del año respecto a los publicados en julio, que sopesa dos elementos. En primer lugar, las expectativas para la evolución de la economía el resto del año, donde se anticipa que el sector de manufacturas continúe recobrándose conforme lo hace la producción industrial de EEUU; la construcción se dinamice a medida que los proyectos suspendidos retomen su ritmo de desarrollo; el comercio siga mejorando, en línea con la reapertura gradual y el mayor uso de herramientas digitales; y el sector servicios prosiga su restablecimiento, con aquellos subsectores que menos dependen del contacto entre personas creciendo más rápidamente, similar a lo observado en junio. En segundo lugar, el desempeño de la recaudación en enero-agosto y su diferenciación respecto a lo sucedido en episodios previos de contracción económica, cuando disminuyeron más que proporcionalmente respecto al producto, que implica un aumento en los ingresos proyectados, aunque la tasa de crecimiento del PIB en 2020 usada en los cálculos se ajustó a -8.0% desde el -7.4% empleado previamente. </w:t>
      </w:r>
    </w:p>
    <w:p w14:paraId="4BE56192" w14:textId="77777777" w:rsidR="002B1C55" w:rsidRPr="00D17328" w:rsidRDefault="002B1C55" w:rsidP="002B1C55">
      <w:pPr>
        <w:pStyle w:val="PRIMERAPLANA"/>
        <w:spacing w:line="360" w:lineRule="auto"/>
        <w:rPr>
          <w:rFonts w:ascii="Times New Roman" w:hAnsi="Times New Roman"/>
          <w:bCs/>
          <w:lang w:val="es-ES"/>
        </w:rPr>
      </w:pPr>
    </w:p>
    <w:p w14:paraId="697F15F3" w14:textId="7B147018" w:rsidR="00327D78"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t xml:space="preserve">No obstante, se prevé que los ingresos presupuestarios en 2020 sean menores en 0.6% del PIB respecto a los previstos en la LIF 2020, lo que se explica, fundamentalmente, por la disminución esperada en la recaudación tributaria por 1.2% del PIB como resultado de la menor actividad económica, derivada de las acciones implementadas para disminuir los efectos negativos de la pandemia del COVID-19, y por la reducción de los ingresos petroleros en 0.8% del PIB debido, principalmente, a un menor precio y plataforma de producción de petróleo crudo. Lo anterior se compensa, parcialmente, con los recursos provenientes del </w:t>
      </w:r>
      <w:r w:rsidR="00D7166F" w:rsidRPr="00D17328">
        <w:rPr>
          <w:rFonts w:ascii="Times New Roman" w:hAnsi="Times New Roman"/>
          <w:bCs/>
          <w:lang w:val="es-ES"/>
        </w:rPr>
        <w:t>Fondo de Estabilización de los Ingresos Petroleros (</w:t>
      </w:r>
      <w:r w:rsidRPr="00D17328">
        <w:rPr>
          <w:rFonts w:ascii="Times New Roman" w:hAnsi="Times New Roman"/>
          <w:bCs/>
          <w:lang w:val="es-ES"/>
        </w:rPr>
        <w:t>FEIP</w:t>
      </w:r>
      <w:r w:rsidR="00D7166F" w:rsidRPr="00D17328">
        <w:rPr>
          <w:rFonts w:ascii="Times New Roman" w:hAnsi="Times New Roman"/>
          <w:bCs/>
          <w:lang w:val="es-ES"/>
        </w:rPr>
        <w:t>)</w:t>
      </w:r>
      <w:r w:rsidRPr="00D17328">
        <w:rPr>
          <w:rFonts w:ascii="Times New Roman" w:hAnsi="Times New Roman"/>
          <w:bCs/>
          <w:lang w:val="es-ES"/>
        </w:rPr>
        <w:t>, de conformidad con lo establecido en la LFPRH, con la recuperación de otros activos financieros ahorrados para enfrentar contingencias y con las coberturas petroleras contratadas para mitigar el impacto de choques en los precios.</w:t>
      </w:r>
    </w:p>
    <w:p w14:paraId="7836AFFF" w14:textId="6497B69B" w:rsidR="00327D78" w:rsidRPr="00D17328" w:rsidRDefault="00327D78" w:rsidP="000A59C5">
      <w:pPr>
        <w:pStyle w:val="PRIMERAPLANA"/>
        <w:spacing w:line="360" w:lineRule="auto"/>
        <w:rPr>
          <w:rFonts w:ascii="Times New Roman" w:hAnsi="Times New Roman"/>
          <w:bCs/>
          <w:lang w:val="es-ES"/>
        </w:rPr>
      </w:pPr>
    </w:p>
    <w:p w14:paraId="14221D24" w14:textId="235A2183" w:rsidR="002B1C55"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t xml:space="preserve">Para el próximo año se estima un escenario base en el que la economía continúa la reactivación iniciada en la segunda parte de 2020, a medida que las unidades económicas se adaptan al nuevo entorno y que la contención de la enfermedad en México y en el exterior permite la remoción paulatina de las medidas de confinamiento y, por tanto, una mayor utilización de la capacidad productiva instalada y un mayor dinamismo de la demanda interna y externa. Se anticipa que esta última también se verá beneficiada por la entrada en vigor del T-MEC, a través de un impulso al sector integrado a la economía global y a la inversión estratégica en nuestro país, apalancado en políticas activas de atracción de empresas y la mejora en el Estado de Derecho que significa la Reforma Laboral. </w:t>
      </w:r>
    </w:p>
    <w:p w14:paraId="53C4677F" w14:textId="77777777" w:rsidR="002B1C55" w:rsidRPr="00D17328" w:rsidRDefault="002B1C55" w:rsidP="002B1C55">
      <w:pPr>
        <w:pStyle w:val="PRIMERAPLANA"/>
        <w:spacing w:line="360" w:lineRule="auto"/>
        <w:rPr>
          <w:rFonts w:ascii="Times New Roman" w:hAnsi="Times New Roman"/>
          <w:bCs/>
          <w:lang w:val="es-ES"/>
        </w:rPr>
      </w:pPr>
    </w:p>
    <w:p w14:paraId="116E28C2" w14:textId="792C3DF3" w:rsidR="002B1C55"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lastRenderedPageBreak/>
        <w:t xml:space="preserve">Vale la pena señalar que los analistas encuestados por Blue Chip Economic Indicators modificaron al alza su expectativa de crecimiento del PIB de EEUU para 2021, de 2.0% en marzo a 3.8% en agosto. De acuerdo con la misma encuesta, para la producción industrial de EEUU se proyecta un aumento de 3.4% en 2021, mayor que el crecimiento previsto en marzo de 1.6%. </w:t>
      </w:r>
    </w:p>
    <w:p w14:paraId="31517B5B" w14:textId="77777777" w:rsidR="00C7500E" w:rsidRPr="00D17328" w:rsidRDefault="00C7500E" w:rsidP="002B1C55">
      <w:pPr>
        <w:pStyle w:val="PRIMERAPLANA"/>
        <w:spacing w:line="360" w:lineRule="auto"/>
        <w:rPr>
          <w:rFonts w:ascii="Times New Roman" w:hAnsi="Times New Roman"/>
          <w:bCs/>
          <w:lang w:val="es-ES"/>
        </w:rPr>
      </w:pPr>
    </w:p>
    <w:p w14:paraId="3AA679BC" w14:textId="543832A5" w:rsidR="002B1C55"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t>Además de lo anterior, se espera que la inversión pública y privada en infraestructura impulsen la generación de</w:t>
      </w:r>
      <w:r w:rsidR="00C7500E" w:rsidRPr="00D17328">
        <w:rPr>
          <w:rFonts w:ascii="Times New Roman" w:hAnsi="Times New Roman"/>
          <w:bCs/>
          <w:lang w:val="es-ES"/>
        </w:rPr>
        <w:t xml:space="preserve"> </w:t>
      </w:r>
      <w:r w:rsidRPr="00D17328">
        <w:rPr>
          <w:rFonts w:ascii="Times New Roman" w:hAnsi="Times New Roman"/>
          <w:bCs/>
          <w:lang w:val="es-ES"/>
        </w:rPr>
        <w:t>empleos y tengan efectos de derrame sobre otros sectores; y el sector financiero continúe apoyando el flujo</w:t>
      </w:r>
      <w:r w:rsidR="00C7500E" w:rsidRPr="00D17328">
        <w:rPr>
          <w:rFonts w:ascii="Times New Roman" w:hAnsi="Times New Roman"/>
          <w:bCs/>
          <w:lang w:val="es-ES"/>
        </w:rPr>
        <w:t xml:space="preserve"> </w:t>
      </w:r>
      <w:r w:rsidRPr="00D17328">
        <w:rPr>
          <w:rFonts w:ascii="Times New Roman" w:hAnsi="Times New Roman"/>
          <w:bCs/>
          <w:lang w:val="es-ES"/>
        </w:rPr>
        <w:t>adecuado de recursos hacia hogares, empresas y proyectos productivos, ayudado por una política monetaria</w:t>
      </w:r>
      <w:r w:rsidR="00C7500E" w:rsidRPr="00D17328">
        <w:rPr>
          <w:rFonts w:ascii="Times New Roman" w:hAnsi="Times New Roman"/>
          <w:bCs/>
          <w:lang w:val="es-ES"/>
        </w:rPr>
        <w:t xml:space="preserve"> </w:t>
      </w:r>
      <w:r w:rsidRPr="00D17328">
        <w:rPr>
          <w:rFonts w:ascii="Times New Roman" w:hAnsi="Times New Roman"/>
          <w:bCs/>
          <w:lang w:val="es-ES"/>
        </w:rPr>
        <w:t xml:space="preserve">acomodaticia en México y en el exterior. </w:t>
      </w:r>
    </w:p>
    <w:p w14:paraId="0AFBD78F" w14:textId="77777777" w:rsidR="00C7500E" w:rsidRPr="00D17328" w:rsidRDefault="00C7500E" w:rsidP="002B1C55">
      <w:pPr>
        <w:pStyle w:val="PRIMERAPLANA"/>
        <w:spacing w:line="360" w:lineRule="auto"/>
        <w:rPr>
          <w:rFonts w:ascii="Times New Roman" w:hAnsi="Times New Roman"/>
          <w:bCs/>
          <w:lang w:val="es-ES"/>
        </w:rPr>
      </w:pPr>
    </w:p>
    <w:p w14:paraId="69C5E4C2" w14:textId="050338CE" w:rsidR="002B1C55" w:rsidRPr="00D17328" w:rsidRDefault="002B1C55" w:rsidP="002B1C55">
      <w:pPr>
        <w:pStyle w:val="PRIMERAPLANA"/>
        <w:spacing w:line="360" w:lineRule="auto"/>
        <w:rPr>
          <w:rFonts w:ascii="Times New Roman" w:hAnsi="Times New Roman"/>
          <w:bCs/>
          <w:lang w:val="es-ES"/>
        </w:rPr>
      </w:pPr>
      <w:r w:rsidRPr="00D17328">
        <w:rPr>
          <w:rFonts w:ascii="Times New Roman" w:hAnsi="Times New Roman"/>
          <w:bCs/>
          <w:lang w:val="es-ES"/>
        </w:rPr>
        <w:t>En el contexto antes descrito y ante la gradual disipación de los diversos choques externos e internos presentados</w:t>
      </w:r>
      <w:r w:rsidR="00C7500E" w:rsidRPr="00D17328">
        <w:rPr>
          <w:rFonts w:ascii="Times New Roman" w:hAnsi="Times New Roman"/>
          <w:bCs/>
          <w:lang w:val="es-ES"/>
        </w:rPr>
        <w:t xml:space="preserve"> </w:t>
      </w:r>
      <w:r w:rsidRPr="00D17328">
        <w:rPr>
          <w:rFonts w:ascii="Times New Roman" w:hAnsi="Times New Roman"/>
          <w:bCs/>
          <w:lang w:val="es-ES"/>
        </w:rPr>
        <w:t>en la primera mitad del 2020, se espera que en 2021 en México haya una disminución en la brecha negativa del</w:t>
      </w:r>
      <w:r w:rsidR="00C7500E" w:rsidRPr="00D17328">
        <w:rPr>
          <w:rFonts w:ascii="Times New Roman" w:hAnsi="Times New Roman"/>
          <w:bCs/>
          <w:lang w:val="es-ES"/>
        </w:rPr>
        <w:t xml:space="preserve"> </w:t>
      </w:r>
      <w:r w:rsidRPr="00D17328">
        <w:rPr>
          <w:rFonts w:ascii="Times New Roman" w:hAnsi="Times New Roman"/>
          <w:bCs/>
          <w:lang w:val="es-ES"/>
        </w:rPr>
        <w:t>nivel observado del PIB en 2020 con respecto a su nivel de tendencia o potencial y que el valor real del PIB de</w:t>
      </w:r>
      <w:r w:rsidR="00C7500E" w:rsidRPr="00D17328">
        <w:rPr>
          <w:rFonts w:ascii="Times New Roman" w:hAnsi="Times New Roman"/>
          <w:bCs/>
          <w:lang w:val="es-ES"/>
        </w:rPr>
        <w:t xml:space="preserve"> </w:t>
      </w:r>
      <w:r w:rsidRPr="00D17328">
        <w:rPr>
          <w:rFonts w:ascii="Times New Roman" w:hAnsi="Times New Roman"/>
          <w:bCs/>
          <w:lang w:val="es-ES"/>
        </w:rPr>
        <w:t>México registre una expansión anual de entre 3.6 y 5.6%. Para efectos de las estimaciones de finanzas públicas, se</w:t>
      </w:r>
      <w:r w:rsidR="00C7500E" w:rsidRPr="00D17328">
        <w:rPr>
          <w:rFonts w:ascii="Times New Roman" w:hAnsi="Times New Roman"/>
          <w:bCs/>
          <w:lang w:val="es-ES"/>
        </w:rPr>
        <w:t xml:space="preserve"> </w:t>
      </w:r>
      <w:r w:rsidRPr="00D17328">
        <w:rPr>
          <w:rFonts w:ascii="Times New Roman" w:hAnsi="Times New Roman"/>
          <w:bCs/>
          <w:lang w:val="es-ES"/>
        </w:rPr>
        <w:t xml:space="preserve">utiliza </w:t>
      </w:r>
      <w:r w:rsidR="00C7500E" w:rsidRPr="00D17328">
        <w:rPr>
          <w:rFonts w:ascii="Times New Roman" w:hAnsi="Times New Roman"/>
          <w:bCs/>
          <w:lang w:val="es-ES"/>
        </w:rPr>
        <w:t>un crecimiento puntual de 4.6%.</w:t>
      </w:r>
    </w:p>
    <w:p w14:paraId="4FAC34EB" w14:textId="1E044283" w:rsidR="00BB0D7C" w:rsidRPr="00D17328" w:rsidRDefault="00BB0D7C" w:rsidP="000A59C5">
      <w:pPr>
        <w:pStyle w:val="PRIMERAPLANA"/>
        <w:spacing w:line="360" w:lineRule="auto"/>
        <w:rPr>
          <w:rFonts w:ascii="Times New Roman" w:hAnsi="Times New Roman"/>
          <w:bCs/>
          <w:lang w:val="es-ES"/>
        </w:rPr>
      </w:pPr>
    </w:p>
    <w:p w14:paraId="41F3B66F" w14:textId="2AC87256" w:rsidR="00C43EFA" w:rsidRPr="00D17328" w:rsidRDefault="00E56CEB" w:rsidP="00DF521A">
      <w:pPr>
        <w:pStyle w:val="PRIMERAPLANA"/>
        <w:spacing w:line="360" w:lineRule="auto"/>
        <w:rPr>
          <w:rFonts w:ascii="Times New Roman" w:hAnsi="Times New Roman"/>
          <w:bCs/>
          <w:lang w:val="es-ES"/>
        </w:rPr>
      </w:pPr>
      <w:r w:rsidRPr="00D17328">
        <w:rPr>
          <w:rFonts w:ascii="Times New Roman" w:hAnsi="Times New Roman"/>
          <w:bCs/>
          <w:lang w:val="es-ES"/>
        </w:rPr>
        <w:t>La Iniciativa que se somete a la consideración de esa Legislatura, se estructura de acuerdo al Clasificador por Rubro de Ingresos y a la Norma para armonizar la presentación de la información adicional a la iniciativa de la Ley de Ingresos, emitidas por el Consejo Nacional de Armonización Contable (CONAC); asimismo, se incluyen los formatos de información contable y presupuestal establecidos por la Ley de Disciplina Financiera de las Entidades Federativas y los Municipios, dando cumplimiento a lo preceptuado en dichos ordenamientos; lo anterior, a efecto de dar cumplimiento a las obligaciones del Estado de Tlaxcala en materia de contabilidad gubernamental y eliminar condiciones de opacidad que permitan mejorar el posicionamiento de la Entidad en el Índice de Información Presupuestal Estatal, implementado por el Instituto Mexicano para la Competitividad, A.C. (IMCO, A.C.), fomentando buenas prácticas en materia de Transparencia y Rendición de Cuentas.</w:t>
      </w:r>
    </w:p>
    <w:p w14:paraId="22B0FBE1" w14:textId="77777777" w:rsidR="00382A2C" w:rsidRPr="00D17328" w:rsidRDefault="00382A2C" w:rsidP="00DF521A">
      <w:pPr>
        <w:pStyle w:val="PRIMERAPLANA"/>
        <w:spacing w:line="360" w:lineRule="auto"/>
        <w:rPr>
          <w:rFonts w:ascii="Times New Roman" w:hAnsi="Times New Roman"/>
          <w:bCs/>
          <w:lang w:val="es-ES"/>
        </w:rPr>
      </w:pPr>
    </w:p>
    <w:p w14:paraId="256BCE84" w14:textId="627E3F47" w:rsidR="001234C5" w:rsidRPr="00D17328" w:rsidRDefault="00D570FC" w:rsidP="00C50BE2">
      <w:pPr>
        <w:pStyle w:val="PRIMERAPLANA"/>
        <w:spacing w:line="360" w:lineRule="auto"/>
        <w:rPr>
          <w:rFonts w:ascii="Times New Roman" w:hAnsi="Times New Roman"/>
          <w:b/>
          <w:lang w:val="es-ES"/>
        </w:rPr>
      </w:pPr>
      <w:r w:rsidRPr="00D17328">
        <w:rPr>
          <w:rFonts w:ascii="Times New Roman" w:hAnsi="Times New Roman"/>
          <w:b/>
          <w:lang w:val="es-ES"/>
        </w:rPr>
        <w:t>ENTORNO INTERNACIONAL</w:t>
      </w:r>
    </w:p>
    <w:p w14:paraId="33DE5FBE" w14:textId="77777777" w:rsidR="001234C5" w:rsidRPr="00D17328" w:rsidRDefault="001234C5" w:rsidP="002E368F">
      <w:pPr>
        <w:pStyle w:val="PRIMERAPLANA"/>
        <w:spacing w:line="360" w:lineRule="auto"/>
        <w:rPr>
          <w:rFonts w:ascii="Times New Roman" w:hAnsi="Times New Roman"/>
          <w:bCs/>
          <w:lang w:val="es-ES"/>
        </w:rPr>
      </w:pPr>
    </w:p>
    <w:p w14:paraId="3FA37BCE" w14:textId="72401571"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Durante 2019, la economía global experimentó una desaceleración global de forma sincronizada, asociada a la incertidumbre generada por la existencia de tensiones comerciales, principalmente aquella entre EEUU y China, y conflictos geopolíticos, entre las cuales destacan la negociación del Brexit y diversos eventos en Medio Oriente. Sin embargo, a finales de 2019 e inicios de 2020 el panorama </w:t>
      </w:r>
      <w:r w:rsidRPr="00D17328">
        <w:rPr>
          <w:rFonts w:ascii="Times New Roman" w:hAnsi="Times New Roman"/>
          <w:bCs/>
          <w:lang w:val="es-ES"/>
        </w:rPr>
        <w:lastRenderedPageBreak/>
        <w:t xml:space="preserve">internacional se tornó positivo tras la consecución del acuerdo comercial “Fase Uno” entre EEUU y China y la reducción de la incertidumbre. </w:t>
      </w:r>
    </w:p>
    <w:p w14:paraId="5E77012C" w14:textId="77777777" w:rsidR="00672C2E" w:rsidRPr="00D17328" w:rsidRDefault="00672C2E" w:rsidP="00672C2E">
      <w:pPr>
        <w:pStyle w:val="PRIMERAPLANA"/>
        <w:spacing w:line="360" w:lineRule="auto"/>
        <w:rPr>
          <w:rFonts w:ascii="Times New Roman" w:hAnsi="Times New Roman"/>
          <w:bCs/>
          <w:lang w:val="es-ES"/>
        </w:rPr>
      </w:pPr>
    </w:p>
    <w:p w14:paraId="3656E8D5" w14:textId="42E0158E"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El caso de México no fue ajeno a esta tendencia. En el contexto de la ratificación en ciernes del T-MEC, un nivel de riesgo país en su nivel más bajo desde septiembre de 2014 y un precio promedio del petróleo superior al usado en las estimaciones de ingresos, se vislumbraba un panorama económico positivo para 2020. Incluso, el Fondo Monetario Internacional (FMI) proyectaba en su Panorama de la Economía Mundial de enero de 2020 que más de 160 de sus países miembros experimentarían crecimiento en el ingreso per cápita durante este año. </w:t>
      </w:r>
    </w:p>
    <w:p w14:paraId="16349D16" w14:textId="77777777" w:rsidR="00672C2E" w:rsidRPr="00D17328" w:rsidRDefault="00672C2E" w:rsidP="00672C2E">
      <w:pPr>
        <w:pStyle w:val="PRIMERAPLANA"/>
        <w:spacing w:line="360" w:lineRule="auto"/>
        <w:rPr>
          <w:rFonts w:ascii="Times New Roman" w:hAnsi="Times New Roman"/>
          <w:bCs/>
          <w:lang w:val="es-ES"/>
        </w:rPr>
      </w:pPr>
    </w:p>
    <w:p w14:paraId="0BFECBF4" w14:textId="318A3298"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No obstante, la irrupción de la pandemia del COVID-19 y la implementación de numerosas restricciones a la movilidad y a la realización de ciertas actividades que ahora se conocen como el Gran Confinamiento, marcaron la primera contracción económica global por diseño en la historia, al ser resultado de los esfuerzos por asegurar la atención médica de las personas contagiadas, en un entorno de poca información respecto al nuevo coronavirus y sus efectos sobre la salud y la economía, lo cual elevó velozmente la incertidumbre en los primeros meses del año. La situación anterior provocó impactos profundos sobre la economía, los mercados financieros y las materias primas globales casi de inmediato. </w:t>
      </w:r>
    </w:p>
    <w:p w14:paraId="1DC3C8AA" w14:textId="77777777" w:rsidR="00672C2E" w:rsidRPr="00D17328" w:rsidRDefault="00672C2E" w:rsidP="00672C2E">
      <w:pPr>
        <w:pStyle w:val="PRIMERAPLANA"/>
        <w:spacing w:line="360" w:lineRule="auto"/>
        <w:rPr>
          <w:rFonts w:ascii="Times New Roman" w:hAnsi="Times New Roman"/>
          <w:bCs/>
          <w:lang w:val="es-ES"/>
        </w:rPr>
      </w:pPr>
    </w:p>
    <w:p w14:paraId="1E7A3F2B" w14:textId="35AA7FD9"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Al tiempo que los sistemas de salud de los países hacían frente a un virus y a una enfermedad nuevos, sin vacuna ni cura y con mecanismos de transmisión, tasas de contagio y de mortalidad desconocidos, el cierre de fronteras y de los sectores industriales de las principales economías –las primeras afectadas por el COVID-19– impactaba inmediata y particularmente a los sectores de transporte y sector de turismo de todos los países, así como a la producción de aquellos altamente integrados a las cadenas globales de suministro, como el nuestro, incluso antes de que ejecutaran sus propias medidas de confinamiento. </w:t>
      </w:r>
    </w:p>
    <w:p w14:paraId="62582B7C" w14:textId="77777777" w:rsidR="00672C2E" w:rsidRPr="00D17328" w:rsidRDefault="00672C2E" w:rsidP="00672C2E">
      <w:pPr>
        <w:pStyle w:val="PRIMERAPLANA"/>
        <w:spacing w:line="360" w:lineRule="auto"/>
        <w:rPr>
          <w:rFonts w:ascii="Times New Roman" w:hAnsi="Times New Roman"/>
          <w:bCs/>
          <w:lang w:val="es-ES"/>
        </w:rPr>
      </w:pPr>
    </w:p>
    <w:p w14:paraId="468C1FFF" w14:textId="64007E40"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Esta recesión es particularmente diferente a las recesiones anteriores ya que en este caso la contracción en las actividades fue por diseño y no se originó por un desequilibrio estructural o un choque sistémico imprevisto en la economía. Si bien la pandemia y el cierre de actividades en marzo y abril aumentaron la incertidumbre, al tiempo que afectaron los precios de los activos y aumentaron su volatilidad, la implementación de diversas medidas de carácter fiscal y financiero por autoridades de todo el mundo permitió que no se gestara una situación de mayor estrés en el sistema financiero, tras lo cual se logró </w:t>
      </w:r>
      <w:r w:rsidRPr="00D17328">
        <w:rPr>
          <w:rFonts w:ascii="Times New Roman" w:hAnsi="Times New Roman"/>
          <w:bCs/>
          <w:lang w:val="es-ES"/>
        </w:rPr>
        <w:lastRenderedPageBreak/>
        <w:t xml:space="preserve">estabilizar la volatilidad de manera rápida y en buenas condiciones. Este hecho es una diferencia importante con respecto a otros episodios de recesión. </w:t>
      </w:r>
    </w:p>
    <w:p w14:paraId="01F859DC" w14:textId="77777777" w:rsidR="00672C2E" w:rsidRPr="00D17328" w:rsidRDefault="00672C2E" w:rsidP="00672C2E">
      <w:pPr>
        <w:pStyle w:val="PRIMERAPLANA"/>
        <w:spacing w:line="360" w:lineRule="auto"/>
        <w:rPr>
          <w:rFonts w:ascii="Times New Roman" w:hAnsi="Times New Roman"/>
          <w:bCs/>
          <w:lang w:val="es-ES"/>
        </w:rPr>
      </w:pPr>
    </w:p>
    <w:p w14:paraId="3B22B5B9" w14:textId="77777777"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 xml:space="preserve">De manera específica, el cierre de fronteras y el paro de actividades trajeron consigo caídas en el comercio mundial y la actividad económica al interior de los países como no se habían visto desde la Gran Depresión de 1930 cuando el PIB mundial se contrajo aproximadamente en 15%. El FMI en su reporte de Perspectivas Económicas de junio 2020 estima que la contracción en el PIB mundial de 2020 podría llegar a 4.9%. </w:t>
      </w:r>
    </w:p>
    <w:p w14:paraId="6B22E1CE" w14:textId="77777777" w:rsidR="00672C2E" w:rsidRPr="00D17328" w:rsidRDefault="00672C2E" w:rsidP="00672C2E">
      <w:pPr>
        <w:pStyle w:val="PRIMERAPLANA"/>
        <w:spacing w:line="360" w:lineRule="auto"/>
        <w:rPr>
          <w:rFonts w:ascii="Times New Roman" w:hAnsi="Times New Roman"/>
          <w:bCs/>
          <w:lang w:val="es-ES"/>
        </w:rPr>
      </w:pPr>
    </w:p>
    <w:p w14:paraId="50267C1C" w14:textId="3B62B756" w:rsidR="00672C2E" w:rsidRPr="00D17328" w:rsidRDefault="00672C2E" w:rsidP="00672C2E">
      <w:pPr>
        <w:pStyle w:val="PRIMERAPLANA"/>
        <w:spacing w:line="360" w:lineRule="auto"/>
        <w:rPr>
          <w:rFonts w:ascii="Times New Roman" w:hAnsi="Times New Roman"/>
          <w:bCs/>
          <w:lang w:val="es-ES"/>
        </w:rPr>
      </w:pPr>
      <w:r w:rsidRPr="00D17328">
        <w:rPr>
          <w:rFonts w:ascii="Times New Roman" w:hAnsi="Times New Roman"/>
          <w:bCs/>
          <w:lang w:val="es-ES"/>
        </w:rPr>
        <w:t>En los sectores productivos, el impacto de la pandemia ha sido diferenciado. El sector agropecuario ha estado menos expuesto a los efectos de las medidas de cierre, debido a que la producción de alimentos no ha cesado y los precios de los productos agrícolas han presentado bajas menores que los precios de los productos industriales. En cambio, los sectores relacionados a los servicios que involucran la interacción entre personas han interrumpido sus actividades para evitar la propagación del virus. Por otro lado, la industria manufacturera se vio afectada por el cierre de fábricas a nivel global, que limita la cadena de suministro particularmente para productos considerados no esenciales. El fortalecimiento de la globalización en las últimas décadas implicó una mayor interrelación entre los países a través de las cadenas de valor globales, por lo que las medidas para contener el COVID-19 han tenido un efecto negativo en el sector industrial.</w:t>
      </w:r>
    </w:p>
    <w:p w14:paraId="19338B60" w14:textId="7EAB3808" w:rsidR="00672C2E" w:rsidRPr="00D17328" w:rsidRDefault="00672C2E" w:rsidP="005E13A6">
      <w:pPr>
        <w:pStyle w:val="PRIMERAPLANA"/>
        <w:spacing w:line="360" w:lineRule="auto"/>
        <w:rPr>
          <w:rFonts w:ascii="Times New Roman" w:hAnsi="Times New Roman"/>
          <w:bCs/>
          <w:lang w:val="es-ES"/>
        </w:rPr>
      </w:pPr>
    </w:p>
    <w:p w14:paraId="1EC63267" w14:textId="1D323C81" w:rsidR="005D49C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 xml:space="preserve">En cuanto a la actividad económica real, la pandemia del COVID-19 llevó a una desaceleración superior a la esperada, por lo que las estimaciones para el crecimiento global se deterioraron de manera importante. En su reporte de expectativas económicas de junio, el FMI estimó una contracción en el crecimiento del PIB mundial para 2020 de 4.9% y una recuperación de 5.4% para 2021. Al compararlas con las realizadas en abril de 2020, resultaron menores en 1.9 y 0.4 puntos porcentuales, respectivamente. </w:t>
      </w:r>
    </w:p>
    <w:p w14:paraId="7E6A59C0" w14:textId="77777777" w:rsidR="006928AC" w:rsidRPr="00D17328" w:rsidRDefault="006928AC" w:rsidP="005D49CE">
      <w:pPr>
        <w:pStyle w:val="PRIMERAPLANA"/>
        <w:spacing w:line="360" w:lineRule="auto"/>
        <w:rPr>
          <w:rFonts w:ascii="Times New Roman" w:hAnsi="Times New Roman"/>
          <w:bCs/>
          <w:lang w:val="es-ES"/>
        </w:rPr>
      </w:pPr>
    </w:p>
    <w:p w14:paraId="6EB9926A" w14:textId="1D283D03" w:rsidR="005D49C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 xml:space="preserve">A tasas trimestrales anualizadas, durante el primer trimestre en 2020, en EEUU el PIB registró una contracción de 5.0%, mientras que en la zona del euro la caída fue de 13.6% y en Japón de 2.5%. Con respecto a las economías emergentes, en China, el PIB registró una contracción de 34.4%. En términos generales, las economías tocaron su punto más bajo en abril. </w:t>
      </w:r>
    </w:p>
    <w:p w14:paraId="2BB95F14" w14:textId="77777777" w:rsidR="005D49CE" w:rsidRPr="00D17328" w:rsidRDefault="005D49CE" w:rsidP="005D49CE">
      <w:pPr>
        <w:pStyle w:val="PRIMERAPLANA"/>
        <w:spacing w:line="360" w:lineRule="auto"/>
        <w:rPr>
          <w:rFonts w:ascii="Times New Roman" w:hAnsi="Times New Roman"/>
          <w:bCs/>
          <w:lang w:val="es-ES"/>
        </w:rPr>
      </w:pPr>
    </w:p>
    <w:p w14:paraId="52AB96E4" w14:textId="09CAB2FD" w:rsidR="005D49C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 xml:space="preserve">En los mercados financieros se observó un aumento en la demanda por activos seguros y la búsqueda de liquidez por parte de inversionistas. Ante esto, se dio una apreciación en las monedas de algunas </w:t>
      </w:r>
      <w:r w:rsidRPr="00D17328">
        <w:rPr>
          <w:rFonts w:ascii="Times New Roman" w:hAnsi="Times New Roman"/>
          <w:bCs/>
          <w:lang w:val="es-ES"/>
        </w:rPr>
        <w:lastRenderedPageBreak/>
        <w:t xml:space="preserve">economías avanzadas, un aumento de la demanda de títulos de deuda gubernamental de estos países en relación con el resto del mundo y una caída generalizada en los índices bursátiles. En particular, los índices </w:t>
      </w:r>
      <w:r w:rsidR="003D6802" w:rsidRPr="00D17328">
        <w:rPr>
          <w:rFonts w:ascii="Times New Roman" w:hAnsi="Times New Roman"/>
          <w:bCs/>
          <w:i/>
          <w:lang w:val="es-ES"/>
        </w:rPr>
        <w:t xml:space="preserve">Morgan Stanley Capital Investment </w:t>
      </w:r>
      <w:r w:rsidR="003D6802" w:rsidRPr="00D17328">
        <w:rPr>
          <w:rFonts w:ascii="Times New Roman" w:hAnsi="Times New Roman"/>
          <w:bCs/>
          <w:lang w:val="es-ES"/>
        </w:rPr>
        <w:t>por sus siglas en inglés (</w:t>
      </w:r>
      <w:r w:rsidRPr="00D17328">
        <w:rPr>
          <w:rFonts w:ascii="Times New Roman" w:hAnsi="Times New Roman"/>
          <w:bCs/>
          <w:lang w:val="es-ES"/>
        </w:rPr>
        <w:t>MSCI</w:t>
      </w:r>
      <w:r w:rsidR="003D6802" w:rsidRPr="00D17328">
        <w:rPr>
          <w:rFonts w:ascii="Times New Roman" w:hAnsi="Times New Roman"/>
          <w:bCs/>
          <w:lang w:val="es-ES"/>
        </w:rPr>
        <w:t>)</w:t>
      </w:r>
      <w:r w:rsidRPr="00D17328">
        <w:rPr>
          <w:rFonts w:ascii="Times New Roman" w:hAnsi="Times New Roman"/>
          <w:bCs/>
          <w:lang w:val="es-ES"/>
        </w:rPr>
        <w:t xml:space="preserve"> de las economías avanzadas y emergentes registraron su punto más crítico del 2020 el 23 de marzo, cuando cayeron ambos 32.0% en comparación con el nivel de cierre de 2019. </w:t>
      </w:r>
    </w:p>
    <w:p w14:paraId="7E73B25D" w14:textId="77777777" w:rsidR="005D49CE" w:rsidRPr="00D17328" w:rsidRDefault="005D49CE" w:rsidP="005D49CE">
      <w:pPr>
        <w:pStyle w:val="PRIMERAPLANA"/>
        <w:spacing w:line="360" w:lineRule="auto"/>
        <w:rPr>
          <w:rFonts w:ascii="Times New Roman" w:hAnsi="Times New Roman"/>
          <w:bCs/>
          <w:lang w:val="es-ES"/>
        </w:rPr>
      </w:pPr>
    </w:p>
    <w:p w14:paraId="3CF93D31" w14:textId="631A24A2" w:rsidR="005D49C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 xml:space="preserve">En este contexto, el rendimiento de los bonos soberanos de las economías avanzadas, principalmente los de EEUU, disminuyeron. Durante el punto más alto de contagios de COVID-19, el rendimiento del bono del Tesoro a 10 años alcanzó un nivel mínimo de 0.54% el 9 de marzo, esto fue 137.6 puntos base menos que la tasa de 1.92% del último día de 2019. Con la disminución en las tasas de interés de economías avanzadas, las medidas de riesgo país para las economías emergentes aumentaron. En consecuencia, el </w:t>
      </w:r>
      <w:r w:rsidR="003D6802" w:rsidRPr="00D17328">
        <w:rPr>
          <w:rFonts w:ascii="Times New Roman" w:hAnsi="Times New Roman"/>
          <w:bCs/>
          <w:i/>
          <w:lang w:val="es-ES"/>
        </w:rPr>
        <w:t>Emerging Markets Bonds Index</w:t>
      </w:r>
      <w:r w:rsidR="003D6802" w:rsidRPr="00D17328">
        <w:rPr>
          <w:rFonts w:ascii="Times New Roman" w:hAnsi="Times New Roman"/>
          <w:bCs/>
          <w:lang w:val="es-ES"/>
        </w:rPr>
        <w:t xml:space="preserve"> o Indicador de Bonos de Mercados Emergentes (</w:t>
      </w:r>
      <w:r w:rsidRPr="00D17328">
        <w:rPr>
          <w:rFonts w:ascii="Times New Roman" w:hAnsi="Times New Roman"/>
          <w:bCs/>
          <w:lang w:val="es-ES"/>
        </w:rPr>
        <w:t>EMBI</w:t>
      </w:r>
      <w:r w:rsidR="003D6802" w:rsidRPr="00D17328">
        <w:rPr>
          <w:rFonts w:ascii="Times New Roman" w:hAnsi="Times New Roman"/>
          <w:bCs/>
          <w:lang w:val="es-ES"/>
        </w:rPr>
        <w:t>)</w:t>
      </w:r>
      <w:r w:rsidRPr="00D17328">
        <w:rPr>
          <w:rFonts w:ascii="Times New Roman" w:hAnsi="Times New Roman"/>
          <w:bCs/>
          <w:lang w:val="es-ES"/>
        </w:rPr>
        <w:t xml:space="preserve"> general para este grupo de economías registró un nivel máximo el 23 de marzo, de 661.8 puntos, esto significó una diferencia positiva de 384.4 puntos con relación al cierre de 2019.</w:t>
      </w:r>
    </w:p>
    <w:p w14:paraId="0D5BA48E" w14:textId="77777777" w:rsidR="005D49CE" w:rsidRPr="00D17328" w:rsidRDefault="005D49CE" w:rsidP="005D49CE">
      <w:pPr>
        <w:pStyle w:val="PRIMERAPLANA"/>
        <w:spacing w:line="360" w:lineRule="auto"/>
        <w:rPr>
          <w:rFonts w:ascii="Times New Roman" w:hAnsi="Times New Roman"/>
          <w:bCs/>
          <w:lang w:val="es-ES"/>
        </w:rPr>
      </w:pPr>
    </w:p>
    <w:p w14:paraId="3BD1939C" w14:textId="5FC4A43E" w:rsidR="005D49C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Finalmente, el flujo de capitales hacia economías emergentes cayó hasta su nivel más bajo del año durante el primer trimestre de 2020. En particular, el índice calculado por Bloomberg que mide este flujo se ubicó en 112.7 puntos, esto implicó una caída de 27.8% con relación al cierre de 2019, que se ubicó en 156.0 puntos. Cabe destacar que la disminución en los flujos de capital hacia economías emergentes provocada por la pandemia del COVID</w:t>
      </w:r>
      <w:r w:rsidR="00382A2C" w:rsidRPr="00D17328">
        <w:rPr>
          <w:rFonts w:ascii="Times New Roman" w:hAnsi="Times New Roman"/>
          <w:bCs/>
          <w:lang w:val="es-ES"/>
        </w:rPr>
        <w:t>-</w:t>
      </w:r>
      <w:r w:rsidRPr="00D17328">
        <w:rPr>
          <w:rFonts w:ascii="Times New Roman" w:hAnsi="Times New Roman"/>
          <w:bCs/>
          <w:lang w:val="es-ES"/>
        </w:rPr>
        <w:t>19 en sus primeros 60 días fue superior incluso a la que se observó en la crisis financiera global de 2008</w:t>
      </w:r>
      <w:r w:rsidR="003D6802" w:rsidRPr="00D17328">
        <w:rPr>
          <w:rFonts w:ascii="Times New Roman" w:hAnsi="Times New Roman"/>
          <w:bCs/>
          <w:lang w:val="es-ES"/>
        </w:rPr>
        <w:t>-</w:t>
      </w:r>
      <w:r w:rsidRPr="00D17328">
        <w:rPr>
          <w:rFonts w:ascii="Times New Roman" w:hAnsi="Times New Roman"/>
          <w:bCs/>
          <w:lang w:val="es-ES"/>
        </w:rPr>
        <w:t>2009.</w:t>
      </w:r>
    </w:p>
    <w:p w14:paraId="360A2F7D" w14:textId="77777777" w:rsidR="005D49CE" w:rsidRPr="00D17328" w:rsidRDefault="005D49CE" w:rsidP="005D49CE">
      <w:pPr>
        <w:pStyle w:val="PRIMERAPLANA"/>
        <w:spacing w:line="360" w:lineRule="auto"/>
        <w:rPr>
          <w:rFonts w:ascii="Times New Roman" w:hAnsi="Times New Roman"/>
          <w:bCs/>
          <w:lang w:val="es-ES"/>
        </w:rPr>
      </w:pPr>
    </w:p>
    <w:p w14:paraId="09919561" w14:textId="3D5D8EC5" w:rsidR="00672C2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La salida de capitales de las economías emergentes implicó un deterioro de las condiciones económicas internas, debido a que estos juegan un papel muy importante para la inversión y el crecimiento económico con el financiamiento y la puesta en marcha de proyectos productivos en estos países. Asimismo, los menores niveles de divisas extranjeras, derivado de la salida de capitales, redujeron el margen de maniobra de la política económica en algunos países emergentes, específicamente, sobre el control del tipo de cambio y una menor sostenibilidad de la deuda emitida en moneda extranjera.</w:t>
      </w:r>
    </w:p>
    <w:p w14:paraId="268C8FE6" w14:textId="5BD3A120" w:rsidR="00672C2E" w:rsidRPr="00D17328" w:rsidRDefault="00672C2E" w:rsidP="005E13A6">
      <w:pPr>
        <w:pStyle w:val="PRIMERAPLANA"/>
        <w:spacing w:line="360" w:lineRule="auto"/>
        <w:rPr>
          <w:rFonts w:ascii="Times New Roman" w:hAnsi="Times New Roman"/>
          <w:bCs/>
          <w:lang w:val="es-ES"/>
        </w:rPr>
      </w:pPr>
    </w:p>
    <w:p w14:paraId="58959606" w14:textId="7D31C2E2" w:rsidR="005D49CE" w:rsidRPr="00D17328" w:rsidRDefault="005D49CE" w:rsidP="000B7DD7">
      <w:pPr>
        <w:pStyle w:val="PRIMERAPLANA"/>
        <w:spacing w:line="360" w:lineRule="auto"/>
        <w:rPr>
          <w:rFonts w:ascii="Times New Roman" w:hAnsi="Times New Roman"/>
          <w:bCs/>
          <w:lang w:val="es-ES"/>
        </w:rPr>
      </w:pPr>
      <w:r w:rsidRPr="00D17328">
        <w:rPr>
          <w:rFonts w:ascii="Times New Roman" w:hAnsi="Times New Roman"/>
          <w:bCs/>
          <w:lang w:val="es-ES"/>
        </w:rPr>
        <w:t>La caída en la actividad económica global derivada de la pandemia del COVID-19 también generó efectos</w:t>
      </w:r>
      <w:r w:rsidR="00F0283A" w:rsidRPr="00D17328">
        <w:rPr>
          <w:rFonts w:ascii="Times New Roman" w:hAnsi="Times New Roman"/>
          <w:bCs/>
          <w:lang w:val="es-ES"/>
        </w:rPr>
        <w:t xml:space="preserve"> </w:t>
      </w:r>
      <w:r w:rsidRPr="00D17328">
        <w:rPr>
          <w:rFonts w:ascii="Times New Roman" w:hAnsi="Times New Roman"/>
          <w:bCs/>
          <w:lang w:val="es-ES"/>
        </w:rPr>
        <w:t>negativos en los mercados de las materias primas. Las restricciones a la movilidad implementadas para contener</w:t>
      </w:r>
      <w:r w:rsidR="00F0283A" w:rsidRPr="00D17328">
        <w:rPr>
          <w:rFonts w:ascii="Times New Roman" w:hAnsi="Times New Roman"/>
          <w:bCs/>
          <w:lang w:val="es-ES"/>
        </w:rPr>
        <w:t xml:space="preserve"> </w:t>
      </w:r>
      <w:r w:rsidRPr="00D17328">
        <w:rPr>
          <w:rFonts w:ascii="Times New Roman" w:hAnsi="Times New Roman"/>
          <w:bCs/>
          <w:lang w:val="es-ES"/>
        </w:rPr>
        <w:t>la pandemia, que se aplicaron inicialmente en China y después se replicaron en otros países, afectaron de forma</w:t>
      </w:r>
      <w:r w:rsidR="00F0283A" w:rsidRPr="00D17328">
        <w:rPr>
          <w:rFonts w:ascii="Times New Roman" w:hAnsi="Times New Roman"/>
          <w:bCs/>
          <w:lang w:val="es-ES"/>
        </w:rPr>
        <w:t xml:space="preserve"> </w:t>
      </w:r>
      <w:r w:rsidRPr="00D17328">
        <w:rPr>
          <w:rFonts w:ascii="Times New Roman" w:hAnsi="Times New Roman"/>
          <w:bCs/>
          <w:lang w:val="es-ES"/>
        </w:rPr>
        <w:t>profunda la demanda de hidrocarburos y combustibles.</w:t>
      </w:r>
    </w:p>
    <w:p w14:paraId="1D88E180" w14:textId="77777777" w:rsidR="00F0283A" w:rsidRPr="00D17328" w:rsidRDefault="00F0283A" w:rsidP="000B7DD7">
      <w:pPr>
        <w:pStyle w:val="PRIMERAPLANA"/>
        <w:spacing w:line="360" w:lineRule="auto"/>
        <w:rPr>
          <w:rFonts w:ascii="Times New Roman" w:hAnsi="Times New Roman"/>
          <w:bCs/>
          <w:lang w:val="es-ES"/>
        </w:rPr>
      </w:pPr>
    </w:p>
    <w:p w14:paraId="27435B59" w14:textId="0AFAF735" w:rsidR="005D49CE" w:rsidRPr="00D17328" w:rsidRDefault="005D49CE" w:rsidP="000B7DD7">
      <w:pPr>
        <w:pStyle w:val="PRIMERAPLANA"/>
        <w:spacing w:line="360" w:lineRule="auto"/>
        <w:rPr>
          <w:rFonts w:ascii="Times New Roman" w:hAnsi="Times New Roman"/>
          <w:bCs/>
          <w:lang w:val="es-ES"/>
        </w:rPr>
      </w:pPr>
      <w:r w:rsidRPr="00D17328">
        <w:rPr>
          <w:rFonts w:ascii="Times New Roman" w:hAnsi="Times New Roman"/>
          <w:bCs/>
          <w:lang w:val="es-ES"/>
        </w:rPr>
        <w:lastRenderedPageBreak/>
        <w:t>En particular, los precios del petróleo comenzaron a descender desde finales de enero. Los precios enfrentaron</w:t>
      </w:r>
      <w:r w:rsidR="00F0283A" w:rsidRPr="00D17328">
        <w:rPr>
          <w:rFonts w:ascii="Times New Roman" w:hAnsi="Times New Roman"/>
          <w:bCs/>
          <w:lang w:val="es-ES"/>
        </w:rPr>
        <w:t xml:space="preserve"> </w:t>
      </w:r>
      <w:r w:rsidRPr="00D17328">
        <w:rPr>
          <w:rFonts w:ascii="Times New Roman" w:hAnsi="Times New Roman"/>
          <w:bCs/>
          <w:lang w:val="es-ES"/>
        </w:rPr>
        <w:t>una presión a la baja adicional, pues en la reunión del 6 de marzo de la Organización de Países Exportadores de</w:t>
      </w:r>
      <w:r w:rsidR="00F0283A" w:rsidRPr="00D17328">
        <w:rPr>
          <w:rFonts w:ascii="Times New Roman" w:hAnsi="Times New Roman"/>
          <w:bCs/>
          <w:lang w:val="es-ES"/>
        </w:rPr>
        <w:t xml:space="preserve"> </w:t>
      </w:r>
      <w:r w:rsidRPr="00D17328">
        <w:rPr>
          <w:rFonts w:ascii="Times New Roman" w:hAnsi="Times New Roman"/>
          <w:bCs/>
          <w:lang w:val="es-ES"/>
        </w:rPr>
        <w:t>Petróleo y sus aliados (OPEP+) no se alcanzó un acuerdo para establecer recortes adicionales a la producción, lo</w:t>
      </w:r>
      <w:r w:rsidR="00F0283A" w:rsidRPr="00D17328">
        <w:rPr>
          <w:rFonts w:ascii="Times New Roman" w:hAnsi="Times New Roman"/>
          <w:bCs/>
          <w:lang w:val="es-ES"/>
        </w:rPr>
        <w:t xml:space="preserve"> </w:t>
      </w:r>
      <w:r w:rsidRPr="00D17328">
        <w:rPr>
          <w:rFonts w:ascii="Times New Roman" w:hAnsi="Times New Roman"/>
          <w:bCs/>
          <w:lang w:val="es-ES"/>
        </w:rPr>
        <w:t>que propició una guerra de precios y un aumento de la producción de Arabia Saudita y Rusia. El 12 de abril, los</w:t>
      </w:r>
      <w:r w:rsidR="00F0283A" w:rsidRPr="00D17328">
        <w:rPr>
          <w:rFonts w:ascii="Times New Roman" w:hAnsi="Times New Roman"/>
          <w:bCs/>
          <w:lang w:val="es-ES"/>
        </w:rPr>
        <w:t xml:space="preserve"> </w:t>
      </w:r>
      <w:r w:rsidRPr="00D17328">
        <w:rPr>
          <w:rFonts w:ascii="Times New Roman" w:hAnsi="Times New Roman"/>
          <w:bCs/>
          <w:lang w:val="es-ES"/>
        </w:rPr>
        <w:t>miembros de la OPEP+ acordaron, con el objetivo de estabilizar el mercado, realizar un recorte de producción</w:t>
      </w:r>
      <w:r w:rsidR="00F0283A" w:rsidRPr="00D17328">
        <w:rPr>
          <w:rFonts w:ascii="Times New Roman" w:hAnsi="Times New Roman"/>
          <w:bCs/>
          <w:lang w:val="es-ES"/>
        </w:rPr>
        <w:t xml:space="preserve"> </w:t>
      </w:r>
      <w:r w:rsidRPr="00D17328">
        <w:rPr>
          <w:rFonts w:ascii="Times New Roman" w:hAnsi="Times New Roman"/>
          <w:bCs/>
          <w:lang w:val="es-ES"/>
        </w:rPr>
        <w:t>histórico de 9.7 Mbd entre el 1 de mayo y el 30 de junio, de 7.7 Mbd del 1 de julio al 31</w:t>
      </w:r>
      <w:r w:rsidR="00F0283A" w:rsidRPr="00D17328">
        <w:rPr>
          <w:rFonts w:ascii="Times New Roman" w:hAnsi="Times New Roman"/>
          <w:bCs/>
          <w:lang w:val="es-ES"/>
        </w:rPr>
        <w:t xml:space="preserve"> </w:t>
      </w:r>
      <w:r w:rsidRPr="00D17328">
        <w:rPr>
          <w:rFonts w:ascii="Times New Roman" w:hAnsi="Times New Roman"/>
          <w:bCs/>
          <w:lang w:val="es-ES"/>
        </w:rPr>
        <w:t>de diciembre de 2020, y uno de 5.8 Mbd del 1 de enero de 2021 al 30 de abril de 2022. No obstante, no fue suficiente</w:t>
      </w:r>
      <w:r w:rsidR="00F0283A" w:rsidRPr="00D17328">
        <w:rPr>
          <w:rFonts w:ascii="Times New Roman" w:hAnsi="Times New Roman"/>
          <w:bCs/>
          <w:lang w:val="es-ES"/>
        </w:rPr>
        <w:t xml:space="preserve"> </w:t>
      </w:r>
      <w:r w:rsidRPr="00D17328">
        <w:rPr>
          <w:rFonts w:ascii="Times New Roman" w:hAnsi="Times New Roman"/>
          <w:bCs/>
          <w:lang w:val="es-ES"/>
        </w:rPr>
        <w:t>para evitar un episodio de precios negativos el 20 de abril. Este episodio se debió a la entrega física de barriles por</w:t>
      </w:r>
      <w:r w:rsidR="00F0283A" w:rsidRPr="00D17328">
        <w:rPr>
          <w:rFonts w:ascii="Times New Roman" w:hAnsi="Times New Roman"/>
          <w:bCs/>
          <w:lang w:val="es-ES"/>
        </w:rPr>
        <w:t xml:space="preserve"> </w:t>
      </w:r>
      <w:r w:rsidRPr="00D17328">
        <w:rPr>
          <w:rFonts w:ascii="Times New Roman" w:hAnsi="Times New Roman"/>
          <w:bCs/>
          <w:lang w:val="es-ES"/>
        </w:rPr>
        <w:t>el vencimiento de los contratos de futuros, ante expectativas de una pronta saturación de la capacidad de</w:t>
      </w:r>
      <w:r w:rsidR="00F0283A" w:rsidRPr="00D17328">
        <w:rPr>
          <w:rFonts w:ascii="Times New Roman" w:hAnsi="Times New Roman"/>
          <w:bCs/>
          <w:lang w:val="es-ES"/>
        </w:rPr>
        <w:t xml:space="preserve"> </w:t>
      </w:r>
      <w:r w:rsidRPr="00D17328">
        <w:rPr>
          <w:rFonts w:ascii="Times New Roman" w:hAnsi="Times New Roman"/>
          <w:bCs/>
          <w:lang w:val="es-ES"/>
        </w:rPr>
        <w:t xml:space="preserve">almacenamiento en EEUU. </w:t>
      </w:r>
    </w:p>
    <w:p w14:paraId="19C3133E" w14:textId="77777777" w:rsidR="00F0283A" w:rsidRPr="00D17328" w:rsidRDefault="00F0283A" w:rsidP="000B7DD7">
      <w:pPr>
        <w:pStyle w:val="PRIMERAPLANA"/>
        <w:spacing w:line="360" w:lineRule="auto"/>
        <w:rPr>
          <w:rFonts w:ascii="Times New Roman" w:hAnsi="Times New Roman"/>
          <w:bCs/>
          <w:lang w:val="es-ES"/>
        </w:rPr>
      </w:pPr>
    </w:p>
    <w:p w14:paraId="60D91EA4" w14:textId="0247D275" w:rsidR="00672C2E" w:rsidRPr="00D17328" w:rsidRDefault="005D49CE" w:rsidP="005D49CE">
      <w:pPr>
        <w:pStyle w:val="PRIMERAPLANA"/>
        <w:spacing w:line="360" w:lineRule="auto"/>
        <w:rPr>
          <w:rFonts w:ascii="Times New Roman" w:hAnsi="Times New Roman"/>
          <w:bCs/>
          <w:lang w:val="es-ES"/>
        </w:rPr>
      </w:pPr>
      <w:r w:rsidRPr="00D17328">
        <w:rPr>
          <w:rFonts w:ascii="Times New Roman" w:hAnsi="Times New Roman"/>
          <w:bCs/>
          <w:lang w:val="es-ES"/>
        </w:rPr>
        <w:t>Los menores niveles de precios ejercieron una presión adicional sobre los países exportadores de crudo,</w:t>
      </w:r>
      <w:r w:rsidR="00F0283A" w:rsidRPr="00D17328">
        <w:rPr>
          <w:rFonts w:ascii="Times New Roman" w:hAnsi="Times New Roman"/>
          <w:bCs/>
          <w:lang w:val="es-ES"/>
        </w:rPr>
        <w:t xml:space="preserve"> </w:t>
      </w:r>
      <w:r w:rsidRPr="00D17328">
        <w:rPr>
          <w:rFonts w:ascii="Times New Roman" w:hAnsi="Times New Roman"/>
          <w:bCs/>
          <w:lang w:val="es-ES"/>
        </w:rPr>
        <w:t>especialmente los que cuentan con una empresa exportadora nacional, a través de distintos canales como caídas</w:t>
      </w:r>
      <w:r w:rsidR="00F0283A" w:rsidRPr="00D17328">
        <w:rPr>
          <w:rFonts w:ascii="Times New Roman" w:hAnsi="Times New Roman"/>
          <w:bCs/>
          <w:lang w:val="es-ES"/>
        </w:rPr>
        <w:t xml:space="preserve"> </w:t>
      </w:r>
      <w:r w:rsidRPr="00D17328">
        <w:rPr>
          <w:rFonts w:ascii="Times New Roman" w:hAnsi="Times New Roman"/>
          <w:bCs/>
          <w:lang w:val="es-ES"/>
        </w:rPr>
        <w:t>en la producción; deterioros de los balances fiscales, los términos de intercambio y la cuenta corriente; y</w:t>
      </w:r>
      <w:r w:rsidR="00F0283A" w:rsidRPr="00D17328">
        <w:rPr>
          <w:rFonts w:ascii="Times New Roman" w:hAnsi="Times New Roman"/>
          <w:bCs/>
          <w:lang w:val="es-ES"/>
        </w:rPr>
        <w:t xml:space="preserve"> </w:t>
      </w:r>
      <w:r w:rsidRPr="00D17328">
        <w:rPr>
          <w:rFonts w:ascii="Times New Roman" w:hAnsi="Times New Roman"/>
          <w:bCs/>
          <w:lang w:val="es-ES"/>
        </w:rPr>
        <w:t>expectativas más negativas que contribuyeron a una disminución generalizada de las calificaciones crediticias.</w:t>
      </w:r>
      <w:r w:rsidR="00F0283A" w:rsidRPr="00D17328">
        <w:rPr>
          <w:rFonts w:ascii="Times New Roman" w:hAnsi="Times New Roman"/>
          <w:bCs/>
          <w:lang w:val="es-ES"/>
        </w:rPr>
        <w:t xml:space="preserve"> </w:t>
      </w:r>
      <w:r w:rsidRPr="00D17328">
        <w:rPr>
          <w:rFonts w:ascii="Times New Roman" w:hAnsi="Times New Roman"/>
          <w:bCs/>
          <w:lang w:val="es-ES"/>
        </w:rPr>
        <w:t>Adicionalmente, para las compañías petroleras de estos países, la caída en los ingresos se vio reflejada en recortes</w:t>
      </w:r>
      <w:r w:rsidR="00F0283A" w:rsidRPr="00D17328">
        <w:rPr>
          <w:rFonts w:ascii="Times New Roman" w:hAnsi="Times New Roman"/>
          <w:bCs/>
          <w:lang w:val="es-ES"/>
        </w:rPr>
        <w:t xml:space="preserve"> </w:t>
      </w:r>
      <w:r w:rsidRPr="00D17328">
        <w:rPr>
          <w:rFonts w:ascii="Times New Roman" w:hAnsi="Times New Roman"/>
          <w:bCs/>
          <w:lang w:val="es-ES"/>
        </w:rPr>
        <w:t>de sus gastos de inversión.</w:t>
      </w:r>
    </w:p>
    <w:p w14:paraId="426E34A9" w14:textId="77777777" w:rsidR="00672C2E" w:rsidRPr="00D17328" w:rsidRDefault="00672C2E" w:rsidP="005E13A6">
      <w:pPr>
        <w:pStyle w:val="PRIMERAPLANA"/>
        <w:spacing w:line="360" w:lineRule="auto"/>
        <w:rPr>
          <w:rFonts w:ascii="Times New Roman" w:hAnsi="Times New Roman"/>
          <w:bCs/>
          <w:lang w:val="es-ES"/>
        </w:rPr>
      </w:pPr>
    </w:p>
    <w:p w14:paraId="62FA9E4A" w14:textId="4E712B32" w:rsidR="00A5604A" w:rsidRDefault="008F3157" w:rsidP="00A5604A">
      <w:pPr>
        <w:pStyle w:val="PRIMERAPLANA"/>
        <w:spacing w:line="360" w:lineRule="auto"/>
        <w:rPr>
          <w:rFonts w:ascii="Times New Roman" w:hAnsi="Times New Roman"/>
          <w:bCs/>
          <w:lang w:val="es-ES"/>
        </w:rPr>
      </w:pPr>
      <w:r w:rsidRPr="00D17328">
        <w:rPr>
          <w:rFonts w:ascii="Times New Roman" w:hAnsi="Times New Roman"/>
          <w:bCs/>
          <w:lang w:val="es-ES"/>
        </w:rPr>
        <w:t>De acuerdo con la Actualización de Perspectivas de la Economía Mundial (</w:t>
      </w:r>
      <w:r w:rsidRPr="00D17328">
        <w:rPr>
          <w:rFonts w:ascii="Times New Roman" w:hAnsi="Times New Roman"/>
          <w:bCs/>
          <w:i/>
          <w:lang w:val="es-ES"/>
        </w:rPr>
        <w:t>World Economic Outlook-WEO</w:t>
      </w:r>
      <w:r w:rsidRPr="00D17328">
        <w:rPr>
          <w:rFonts w:ascii="Times New Roman" w:hAnsi="Times New Roman"/>
          <w:bCs/>
          <w:lang w:val="es-ES"/>
        </w:rPr>
        <w:t xml:space="preserve">) al mes de </w:t>
      </w:r>
      <w:r w:rsidR="00A5604A" w:rsidRPr="00D17328">
        <w:rPr>
          <w:rFonts w:ascii="Times New Roman" w:hAnsi="Times New Roman"/>
          <w:bCs/>
          <w:lang w:val="es-ES"/>
        </w:rPr>
        <w:t>octubre</w:t>
      </w:r>
      <w:r w:rsidRPr="00D17328">
        <w:rPr>
          <w:rFonts w:ascii="Times New Roman" w:hAnsi="Times New Roman"/>
          <w:bCs/>
          <w:lang w:val="es-ES"/>
        </w:rPr>
        <w:t xml:space="preserve"> de 2020, emitido por el FMI, e</w:t>
      </w:r>
      <w:r w:rsidR="00F0283A" w:rsidRPr="00D17328">
        <w:rPr>
          <w:rFonts w:ascii="Times New Roman" w:hAnsi="Times New Roman"/>
          <w:bCs/>
          <w:lang w:val="es-ES"/>
        </w:rPr>
        <w:t>l crecimiento mundial está proyectado</w:t>
      </w:r>
      <w:r w:rsidRPr="00D17328">
        <w:rPr>
          <w:rFonts w:ascii="Times New Roman" w:hAnsi="Times New Roman"/>
          <w:bCs/>
          <w:lang w:val="es-ES"/>
        </w:rPr>
        <w:t xml:space="preserve"> </w:t>
      </w:r>
      <w:r w:rsidR="00A5604A" w:rsidRPr="00D17328">
        <w:rPr>
          <w:rFonts w:ascii="Times New Roman" w:hAnsi="Times New Roman"/>
          <w:bCs/>
          <w:lang w:val="es-ES"/>
        </w:rPr>
        <w:t>en -</w:t>
      </w:r>
      <w:r w:rsidR="00F0283A" w:rsidRPr="00D17328">
        <w:rPr>
          <w:rFonts w:ascii="Times New Roman" w:hAnsi="Times New Roman"/>
          <w:bCs/>
          <w:lang w:val="es-ES"/>
        </w:rPr>
        <w:t>4</w:t>
      </w:r>
      <w:r w:rsidR="00A5604A" w:rsidRPr="00D17328">
        <w:rPr>
          <w:rFonts w:ascii="Times New Roman" w:hAnsi="Times New Roman"/>
          <w:bCs/>
          <w:lang w:val="es-ES"/>
        </w:rPr>
        <w:t>.4</w:t>
      </w:r>
      <w:r w:rsidR="00F0283A" w:rsidRPr="00D17328">
        <w:rPr>
          <w:rFonts w:ascii="Times New Roman" w:hAnsi="Times New Roman"/>
          <w:bCs/>
          <w:lang w:val="es-ES"/>
        </w:rPr>
        <w:t xml:space="preserve">% en 2020; es decir, </w:t>
      </w:r>
      <w:r w:rsidR="00A5604A" w:rsidRPr="00D17328">
        <w:rPr>
          <w:rFonts w:ascii="Times New Roman" w:hAnsi="Times New Roman"/>
          <w:bCs/>
          <w:lang w:val="es-ES"/>
        </w:rPr>
        <w:t>0</w:t>
      </w:r>
      <w:r w:rsidR="00B950DE" w:rsidRPr="00D17328">
        <w:rPr>
          <w:rFonts w:ascii="Times New Roman" w:hAnsi="Times New Roman"/>
          <w:bCs/>
          <w:lang w:val="es-ES"/>
        </w:rPr>
        <w:t>.</w:t>
      </w:r>
      <w:r w:rsidR="00A5604A" w:rsidRPr="00D17328">
        <w:rPr>
          <w:rFonts w:ascii="Times New Roman" w:hAnsi="Times New Roman"/>
          <w:bCs/>
          <w:lang w:val="es-ES"/>
        </w:rPr>
        <w:t>8</w:t>
      </w:r>
      <w:r w:rsidRPr="00D17328">
        <w:rPr>
          <w:rFonts w:ascii="Times New Roman" w:hAnsi="Times New Roman"/>
          <w:bCs/>
          <w:lang w:val="es-ES"/>
        </w:rPr>
        <w:t>%</w:t>
      </w:r>
      <w:r w:rsidR="00F0283A" w:rsidRPr="00D17328">
        <w:rPr>
          <w:rFonts w:ascii="Times New Roman" w:hAnsi="Times New Roman"/>
          <w:bCs/>
          <w:lang w:val="es-ES"/>
        </w:rPr>
        <w:t xml:space="preserve"> m</w:t>
      </w:r>
      <w:r w:rsidR="00A5604A" w:rsidRPr="00D17328">
        <w:rPr>
          <w:rFonts w:ascii="Times New Roman" w:hAnsi="Times New Roman"/>
          <w:bCs/>
          <w:lang w:val="es-ES"/>
        </w:rPr>
        <w:t>ás</w:t>
      </w:r>
      <w:r w:rsidR="00F0283A" w:rsidRPr="00D17328">
        <w:rPr>
          <w:rFonts w:ascii="Times New Roman" w:hAnsi="Times New Roman"/>
          <w:bCs/>
          <w:lang w:val="es-ES"/>
        </w:rPr>
        <w:t xml:space="preserve"> que en el informe</w:t>
      </w:r>
      <w:r w:rsidRPr="00D17328">
        <w:rPr>
          <w:rFonts w:ascii="Times New Roman" w:hAnsi="Times New Roman"/>
          <w:bCs/>
          <w:lang w:val="es-ES"/>
        </w:rPr>
        <w:t xml:space="preserve"> </w:t>
      </w:r>
      <w:r w:rsidR="00F0283A" w:rsidRPr="00D17328">
        <w:rPr>
          <w:rFonts w:ascii="Times New Roman" w:hAnsi="Times New Roman"/>
          <w:bCs/>
          <w:lang w:val="es-ES"/>
        </w:rPr>
        <w:t xml:space="preserve">WEO de </w:t>
      </w:r>
      <w:r w:rsidR="00A5604A" w:rsidRPr="00D17328">
        <w:rPr>
          <w:rFonts w:ascii="Times New Roman" w:hAnsi="Times New Roman"/>
          <w:bCs/>
          <w:lang w:val="es-ES"/>
        </w:rPr>
        <w:t>junio</w:t>
      </w:r>
      <w:r w:rsidR="00B950DE" w:rsidRPr="00D17328">
        <w:rPr>
          <w:rFonts w:ascii="Times New Roman" w:hAnsi="Times New Roman"/>
          <w:bCs/>
          <w:lang w:val="es-ES"/>
        </w:rPr>
        <w:t xml:space="preserve"> de 2020 (C</w:t>
      </w:r>
      <w:r w:rsidR="00F0283A" w:rsidRPr="00D17328">
        <w:rPr>
          <w:rFonts w:ascii="Times New Roman" w:hAnsi="Times New Roman"/>
          <w:bCs/>
          <w:lang w:val="es-ES"/>
        </w:rPr>
        <w:t>uadro 1</w:t>
      </w:r>
      <w:r w:rsidR="00A45F8F" w:rsidRPr="00D17328">
        <w:rPr>
          <w:rFonts w:ascii="Times New Roman" w:hAnsi="Times New Roman"/>
          <w:bCs/>
          <w:lang w:val="es-ES"/>
        </w:rPr>
        <w:t>.1</w:t>
      </w:r>
      <w:r w:rsidR="00F0283A" w:rsidRPr="00D17328">
        <w:rPr>
          <w:rFonts w:ascii="Times New Roman" w:hAnsi="Times New Roman"/>
          <w:bCs/>
          <w:lang w:val="es-ES"/>
        </w:rPr>
        <w:t xml:space="preserve">). </w:t>
      </w:r>
      <w:r w:rsidR="00A5604A" w:rsidRPr="00D17328">
        <w:rPr>
          <w:rFonts w:ascii="Times New Roman" w:hAnsi="Times New Roman"/>
          <w:bCs/>
          <w:lang w:val="es-ES"/>
        </w:rPr>
        <w:t>La mejora de las proyecciones para 2020 en relación con las de la Actualización de junio de 2020 del informe WEO refleja el efecto neto de dos factores opuestos: el ímpetu al alza generado por las cifras del PIB del segundo trimestre, que superan las expectativas (mayormente en el caso de las economías avanzadas) y el empuje a la baja producido por el persistente distanciamiento social y el estancamiento de la reapertura en el segundo semestre del año.</w:t>
      </w:r>
    </w:p>
    <w:p w14:paraId="7429F019" w14:textId="77777777" w:rsidR="001C3DBE" w:rsidRPr="00D17328" w:rsidRDefault="001C3DBE" w:rsidP="00A5604A">
      <w:pPr>
        <w:pStyle w:val="PRIMERAPLANA"/>
        <w:spacing w:line="360" w:lineRule="auto"/>
        <w:rPr>
          <w:rFonts w:ascii="Times New Roman" w:hAnsi="Times New Roman"/>
          <w:bCs/>
          <w:lang w:val="es-ES"/>
        </w:rPr>
      </w:pPr>
    </w:p>
    <w:p w14:paraId="229A45D8" w14:textId="0E92173F" w:rsidR="00A5604A" w:rsidRPr="00D17328" w:rsidRDefault="00635A87" w:rsidP="008F3157">
      <w:pPr>
        <w:pStyle w:val="PRIMERAPLANA"/>
        <w:spacing w:line="360" w:lineRule="auto"/>
        <w:rPr>
          <w:rFonts w:ascii="Times New Roman" w:hAnsi="Times New Roman"/>
          <w:bCs/>
          <w:lang w:val="es-ES"/>
        </w:rPr>
      </w:pPr>
      <w:r w:rsidRPr="00D17328">
        <w:rPr>
          <w:rFonts w:ascii="Times New Roman" w:hAnsi="Times New Roman"/>
          <w:bCs/>
          <w:lang w:val="es-ES"/>
        </w:rPr>
        <w:t>L</w:t>
      </w:r>
      <w:r w:rsidR="00A5604A" w:rsidRPr="00D17328">
        <w:rPr>
          <w:rFonts w:ascii="Times New Roman" w:hAnsi="Times New Roman"/>
          <w:bCs/>
          <w:lang w:val="es-ES"/>
        </w:rPr>
        <w:t>a recuperación comenzó a afianzarse en el tercer trimestre de 2020. Se prevé que a lo largo de 2021 irá fortaleciéndose gradualmente. Probablemente la recuperación se caracterice por un distanciamiento social persistente hasta que se disipen los riesgos sanitarios, y los países posiblemente tengan que endurecer nuevamente las medidas de mitigación según cómo evolucione la propagación del virus. Según las proyecciones, el crecimiento mundial alcanzará 5</w:t>
      </w:r>
      <w:r w:rsidRPr="00D17328">
        <w:rPr>
          <w:rFonts w:ascii="Times New Roman" w:hAnsi="Times New Roman"/>
          <w:bCs/>
          <w:lang w:val="es-ES"/>
        </w:rPr>
        <w:t>.</w:t>
      </w:r>
      <w:r w:rsidR="00A5604A" w:rsidRPr="00D17328">
        <w:rPr>
          <w:rFonts w:ascii="Times New Roman" w:hAnsi="Times New Roman"/>
          <w:bCs/>
          <w:lang w:val="es-ES"/>
        </w:rPr>
        <w:t>2% en 2021; o sea, 0</w:t>
      </w:r>
      <w:r w:rsidRPr="00D17328">
        <w:rPr>
          <w:rFonts w:ascii="Times New Roman" w:hAnsi="Times New Roman"/>
          <w:bCs/>
          <w:lang w:val="es-ES"/>
        </w:rPr>
        <w:t>.</w:t>
      </w:r>
      <w:r w:rsidR="00A5604A" w:rsidRPr="00D17328">
        <w:rPr>
          <w:rFonts w:ascii="Times New Roman" w:hAnsi="Times New Roman"/>
          <w:bCs/>
          <w:lang w:val="es-ES"/>
        </w:rPr>
        <w:t xml:space="preserve">2 puntos porcentuales menos que lo pronosticado en la Actualización de junio de 2020 del informe WEO. El repunte </w:t>
      </w:r>
      <w:r w:rsidR="00A5604A" w:rsidRPr="00D17328">
        <w:rPr>
          <w:rFonts w:ascii="Times New Roman" w:hAnsi="Times New Roman"/>
          <w:bCs/>
          <w:lang w:val="es-ES"/>
        </w:rPr>
        <w:lastRenderedPageBreak/>
        <w:t>proyectado para 2021 tras la profunda desaceleración de 2020 implica un pequeño aumento previsto del PIB mundial de 0</w:t>
      </w:r>
      <w:r w:rsidR="00B950DE" w:rsidRPr="00D17328">
        <w:rPr>
          <w:rFonts w:ascii="Times New Roman" w:hAnsi="Times New Roman"/>
          <w:bCs/>
          <w:lang w:val="es-ES"/>
        </w:rPr>
        <w:t>.</w:t>
      </w:r>
      <w:r w:rsidR="00A5604A" w:rsidRPr="00D17328">
        <w:rPr>
          <w:rFonts w:ascii="Times New Roman" w:hAnsi="Times New Roman"/>
          <w:bCs/>
          <w:lang w:val="es-ES"/>
        </w:rPr>
        <w:t>6 puntos porcentuales en 2020</w:t>
      </w:r>
      <w:r w:rsidR="006A40DD" w:rsidRPr="00D17328">
        <w:rPr>
          <w:rFonts w:ascii="Times New Roman" w:hAnsi="Times New Roman"/>
          <w:bCs/>
          <w:lang w:val="es-ES"/>
        </w:rPr>
        <w:t>-</w:t>
      </w:r>
      <w:r w:rsidR="00A5604A" w:rsidRPr="00D17328">
        <w:rPr>
          <w:rFonts w:ascii="Times New Roman" w:hAnsi="Times New Roman"/>
          <w:bCs/>
          <w:lang w:val="es-ES"/>
        </w:rPr>
        <w:t>21 respecto de 2019.</w:t>
      </w:r>
    </w:p>
    <w:p w14:paraId="48461D53" w14:textId="00000059" w:rsidR="00A5604A" w:rsidRPr="00D17328" w:rsidRDefault="00A5604A" w:rsidP="008F3157">
      <w:pPr>
        <w:pStyle w:val="PRIMERAPLANA"/>
        <w:spacing w:line="360" w:lineRule="auto"/>
        <w:rPr>
          <w:rFonts w:ascii="Times New Roman" w:hAnsi="Times New Roman"/>
          <w:bCs/>
          <w:lang w:val="es-ES"/>
        </w:rPr>
      </w:pPr>
    </w:p>
    <w:p w14:paraId="7514C0B3" w14:textId="4702D9E3" w:rsidR="006A624B" w:rsidRPr="00D17328" w:rsidRDefault="00A5604A" w:rsidP="008F3157">
      <w:pPr>
        <w:pStyle w:val="PRIMERAPLANA"/>
        <w:spacing w:line="360" w:lineRule="auto"/>
        <w:rPr>
          <w:rFonts w:ascii="Times New Roman" w:hAnsi="Times New Roman"/>
          <w:bCs/>
          <w:lang w:val="es-ES"/>
        </w:rPr>
      </w:pPr>
      <w:r w:rsidRPr="00D17328">
        <w:rPr>
          <w:rFonts w:ascii="Times New Roman" w:hAnsi="Times New Roman"/>
          <w:bCs/>
          <w:lang w:val="es-ES"/>
        </w:rPr>
        <w:t xml:space="preserve">El crecimiento del grupo de las economías avanzadas está proyectado en </w:t>
      </w:r>
      <w:r w:rsidR="006A40DD" w:rsidRPr="00D17328">
        <w:rPr>
          <w:rFonts w:ascii="Times New Roman" w:hAnsi="Times New Roman"/>
          <w:bCs/>
          <w:lang w:val="es-ES"/>
        </w:rPr>
        <w:t>-</w:t>
      </w:r>
      <w:r w:rsidRPr="00D17328">
        <w:rPr>
          <w:rFonts w:ascii="Times New Roman" w:hAnsi="Times New Roman"/>
          <w:bCs/>
          <w:lang w:val="es-ES"/>
        </w:rPr>
        <w:t>5</w:t>
      </w:r>
      <w:r w:rsidR="006A624B" w:rsidRPr="00D17328">
        <w:rPr>
          <w:rFonts w:ascii="Times New Roman" w:hAnsi="Times New Roman"/>
          <w:bCs/>
          <w:lang w:val="es-ES"/>
        </w:rPr>
        <w:t>.</w:t>
      </w:r>
      <w:r w:rsidRPr="00D17328">
        <w:rPr>
          <w:rFonts w:ascii="Times New Roman" w:hAnsi="Times New Roman"/>
          <w:bCs/>
          <w:lang w:val="es-ES"/>
        </w:rPr>
        <w:t>8% en 2020; es decir, 2</w:t>
      </w:r>
      <w:r w:rsidR="006A624B" w:rsidRPr="00D17328">
        <w:rPr>
          <w:rFonts w:ascii="Times New Roman" w:hAnsi="Times New Roman"/>
          <w:bCs/>
          <w:lang w:val="es-ES"/>
        </w:rPr>
        <w:t>.</w:t>
      </w:r>
      <w:r w:rsidRPr="00D17328">
        <w:rPr>
          <w:rFonts w:ascii="Times New Roman" w:hAnsi="Times New Roman"/>
          <w:bCs/>
          <w:lang w:val="es-ES"/>
        </w:rPr>
        <w:t>3 puntos porcentuales</w:t>
      </w:r>
      <w:r w:rsidR="006A624B" w:rsidRPr="00D17328">
        <w:rPr>
          <w:rFonts w:ascii="Times New Roman" w:hAnsi="Times New Roman"/>
          <w:bCs/>
          <w:lang w:val="es-ES"/>
        </w:rPr>
        <w:t xml:space="preserve"> más que lo pronosticado en la a</w:t>
      </w:r>
      <w:r w:rsidRPr="00D17328">
        <w:rPr>
          <w:rFonts w:ascii="Times New Roman" w:hAnsi="Times New Roman"/>
          <w:bCs/>
          <w:lang w:val="es-ES"/>
        </w:rPr>
        <w:t>ctualización de junio de 2020 del informe WEO. La revisión al alza refleja, en particular, el hecho de que las cifras del PIB de Estados Unidos y la zona del euro superaron las expectativas en el segundo trimestre. En 2021, se proyecta que la tasa de crecimiento de las economías avanzadas aumentará a 3</w:t>
      </w:r>
      <w:r w:rsidR="006A624B" w:rsidRPr="00D17328">
        <w:rPr>
          <w:rFonts w:ascii="Times New Roman" w:hAnsi="Times New Roman"/>
          <w:bCs/>
          <w:lang w:val="es-ES"/>
        </w:rPr>
        <w:t>.</w:t>
      </w:r>
      <w:r w:rsidRPr="00D17328">
        <w:rPr>
          <w:rFonts w:ascii="Times New Roman" w:hAnsi="Times New Roman"/>
          <w:bCs/>
          <w:lang w:val="es-ES"/>
        </w:rPr>
        <w:t>9%, y el PIB del grupo para 2021 estará aproximadamente 2% por debajo de su nivel registrado en 2019. Se prevé que la economía estadounidense se contraiga 4</w:t>
      </w:r>
      <w:r w:rsidR="006A624B" w:rsidRPr="00D17328">
        <w:rPr>
          <w:rFonts w:ascii="Times New Roman" w:hAnsi="Times New Roman"/>
          <w:bCs/>
          <w:lang w:val="es-ES"/>
        </w:rPr>
        <w:t>.</w:t>
      </w:r>
      <w:r w:rsidRPr="00D17328">
        <w:rPr>
          <w:rFonts w:ascii="Times New Roman" w:hAnsi="Times New Roman"/>
          <w:bCs/>
          <w:lang w:val="es-ES"/>
        </w:rPr>
        <w:t>3% y crezca a 3</w:t>
      </w:r>
      <w:r w:rsidR="006A624B" w:rsidRPr="00D17328">
        <w:rPr>
          <w:rFonts w:ascii="Times New Roman" w:hAnsi="Times New Roman"/>
          <w:bCs/>
          <w:lang w:val="es-ES"/>
        </w:rPr>
        <w:t>.</w:t>
      </w:r>
      <w:r w:rsidRPr="00D17328">
        <w:rPr>
          <w:rFonts w:ascii="Times New Roman" w:hAnsi="Times New Roman"/>
          <w:bCs/>
          <w:lang w:val="es-ES"/>
        </w:rPr>
        <w:t>1% en 2021. Para la zona del euro, se proyecta una contracción más profunda, de 8</w:t>
      </w:r>
      <w:r w:rsidR="006A624B" w:rsidRPr="00D17328">
        <w:rPr>
          <w:rFonts w:ascii="Times New Roman" w:hAnsi="Times New Roman"/>
          <w:bCs/>
          <w:lang w:val="es-ES"/>
        </w:rPr>
        <w:t>.</w:t>
      </w:r>
      <w:r w:rsidRPr="00D17328">
        <w:rPr>
          <w:rFonts w:ascii="Times New Roman" w:hAnsi="Times New Roman"/>
          <w:bCs/>
          <w:lang w:val="es-ES"/>
        </w:rPr>
        <w:t>3% en 2020, dado que la desaceleración del primer semestre fue más pronunciada que la de Estados Unidos. Por ende, el repunte del crecimiento, previsto en 5</w:t>
      </w:r>
      <w:r w:rsidR="006A624B" w:rsidRPr="00D17328">
        <w:rPr>
          <w:rFonts w:ascii="Times New Roman" w:hAnsi="Times New Roman"/>
          <w:bCs/>
          <w:lang w:val="es-ES"/>
        </w:rPr>
        <w:t>.</w:t>
      </w:r>
      <w:r w:rsidRPr="00D17328">
        <w:rPr>
          <w:rFonts w:ascii="Times New Roman" w:hAnsi="Times New Roman"/>
          <w:bCs/>
          <w:lang w:val="es-ES"/>
        </w:rPr>
        <w:t xml:space="preserve">2% para 2021, es más fuerte, dado que el punto de partida es más bajo. Se proyecta que las economías avanzadas de Asia sufrirían desaceleraciones menos pronunciadas que las de Europa, ya que la pandemia está más contenida; ese hecho se ve reflejado también en las caídas más suaves del PIB durante el primer semestre de 2020. Entre las economías de mercados emergentes y en desarrollo, el crecimiento sería de </w:t>
      </w:r>
      <w:r w:rsidR="006A40DD" w:rsidRPr="00D17328">
        <w:rPr>
          <w:rFonts w:ascii="Times New Roman" w:hAnsi="Times New Roman"/>
          <w:bCs/>
          <w:lang w:val="es-ES"/>
        </w:rPr>
        <w:t>-</w:t>
      </w:r>
      <w:r w:rsidRPr="00D17328">
        <w:rPr>
          <w:rFonts w:ascii="Times New Roman" w:hAnsi="Times New Roman"/>
          <w:bCs/>
          <w:lang w:val="es-ES"/>
        </w:rPr>
        <w:t>3</w:t>
      </w:r>
      <w:r w:rsidR="006A624B" w:rsidRPr="00D17328">
        <w:rPr>
          <w:rFonts w:ascii="Times New Roman" w:hAnsi="Times New Roman"/>
          <w:bCs/>
          <w:lang w:val="es-ES"/>
        </w:rPr>
        <w:t>.</w:t>
      </w:r>
      <w:r w:rsidRPr="00D17328">
        <w:rPr>
          <w:rFonts w:ascii="Times New Roman" w:hAnsi="Times New Roman"/>
          <w:bCs/>
          <w:lang w:val="es-ES"/>
        </w:rPr>
        <w:t>3% en 2020 —o sea, 0</w:t>
      </w:r>
      <w:r w:rsidR="006A624B" w:rsidRPr="00D17328">
        <w:rPr>
          <w:rFonts w:ascii="Times New Roman" w:hAnsi="Times New Roman"/>
          <w:bCs/>
          <w:lang w:val="es-ES"/>
        </w:rPr>
        <w:t>.</w:t>
      </w:r>
      <w:r w:rsidRPr="00D17328">
        <w:rPr>
          <w:rFonts w:ascii="Times New Roman" w:hAnsi="Times New Roman"/>
          <w:bCs/>
          <w:lang w:val="es-ES"/>
        </w:rPr>
        <w:t xml:space="preserve">2 puntos porcentuales menos que lo previsto en la </w:t>
      </w:r>
      <w:r w:rsidR="006A624B" w:rsidRPr="00D17328">
        <w:rPr>
          <w:rFonts w:ascii="Times New Roman" w:hAnsi="Times New Roman"/>
          <w:bCs/>
          <w:lang w:val="es-ES"/>
        </w:rPr>
        <w:t>a</w:t>
      </w:r>
      <w:r w:rsidRPr="00D17328">
        <w:rPr>
          <w:rFonts w:ascii="Times New Roman" w:hAnsi="Times New Roman"/>
          <w:bCs/>
          <w:lang w:val="es-ES"/>
        </w:rPr>
        <w:t>ctualización de junio de 2020 del informe WEO— y aumentaría a 6% en 2021. Las perspectivas de China son mucho más alentadoras que las de la mayoría de los demás países del grupo: se prevé que la economía crezca alrededor de 10% en 2020</w:t>
      </w:r>
      <w:r w:rsidR="00CC69C0" w:rsidRPr="00D17328">
        <w:rPr>
          <w:rFonts w:ascii="Times New Roman" w:hAnsi="Times New Roman"/>
          <w:bCs/>
          <w:lang w:val="es-ES"/>
        </w:rPr>
        <w:t>-</w:t>
      </w:r>
      <w:r w:rsidRPr="00D17328">
        <w:rPr>
          <w:rFonts w:ascii="Times New Roman" w:hAnsi="Times New Roman"/>
          <w:bCs/>
          <w:lang w:val="es-ES"/>
        </w:rPr>
        <w:t>21 (1</w:t>
      </w:r>
      <w:r w:rsidR="006A624B" w:rsidRPr="00D17328">
        <w:rPr>
          <w:rFonts w:ascii="Times New Roman" w:hAnsi="Times New Roman"/>
          <w:bCs/>
          <w:lang w:val="es-ES"/>
        </w:rPr>
        <w:t>.</w:t>
      </w:r>
      <w:r w:rsidRPr="00D17328">
        <w:rPr>
          <w:rFonts w:ascii="Times New Roman" w:hAnsi="Times New Roman"/>
          <w:bCs/>
          <w:lang w:val="es-ES"/>
        </w:rPr>
        <w:t>9% este año y 8</w:t>
      </w:r>
      <w:r w:rsidR="006A624B" w:rsidRPr="00D17328">
        <w:rPr>
          <w:rFonts w:ascii="Times New Roman" w:hAnsi="Times New Roman"/>
          <w:bCs/>
          <w:lang w:val="es-ES"/>
        </w:rPr>
        <w:t>.</w:t>
      </w:r>
      <w:r w:rsidRPr="00D17328">
        <w:rPr>
          <w:rFonts w:ascii="Times New Roman" w:hAnsi="Times New Roman"/>
          <w:bCs/>
          <w:lang w:val="es-ES"/>
        </w:rPr>
        <w:t xml:space="preserve">2% el año próximo). La actividad se normalizó con más rapidez de la esperada después de que la mayor parte del país reabriera a comienzos de abril, y el PIB del segundo trimestre registró una sorpresa positiva gracias a las firmes políticas de respaldo y a la resiliencia de las exportaciones. </w:t>
      </w:r>
    </w:p>
    <w:p w14:paraId="752FAD56" w14:textId="77777777" w:rsidR="006A624B" w:rsidRPr="00D17328" w:rsidRDefault="006A624B" w:rsidP="008F3157">
      <w:pPr>
        <w:pStyle w:val="PRIMERAPLANA"/>
        <w:spacing w:line="360" w:lineRule="auto"/>
        <w:rPr>
          <w:rFonts w:ascii="Times New Roman" w:hAnsi="Times New Roman"/>
          <w:bCs/>
          <w:lang w:val="es-ES"/>
        </w:rPr>
      </w:pPr>
    </w:p>
    <w:p w14:paraId="1B1A00AB" w14:textId="01E2089A" w:rsidR="00A5604A" w:rsidRPr="00D17328" w:rsidRDefault="00A5604A" w:rsidP="008F3157">
      <w:pPr>
        <w:pStyle w:val="PRIMERAPLANA"/>
        <w:spacing w:line="360" w:lineRule="auto"/>
        <w:rPr>
          <w:rFonts w:ascii="Times New Roman" w:hAnsi="Times New Roman"/>
          <w:bCs/>
          <w:lang w:val="es-ES"/>
        </w:rPr>
      </w:pPr>
      <w:r w:rsidRPr="00D17328">
        <w:rPr>
          <w:rFonts w:ascii="Times New Roman" w:hAnsi="Times New Roman"/>
          <w:bCs/>
          <w:lang w:val="es-ES"/>
        </w:rPr>
        <w:t>Para muchas economías de mercados emergentes y en desarrollo excluida China</w:t>
      </w:r>
      <w:r w:rsidR="00CC69C0" w:rsidRPr="00D17328">
        <w:rPr>
          <w:rFonts w:ascii="Times New Roman" w:hAnsi="Times New Roman"/>
          <w:bCs/>
          <w:lang w:val="es-ES"/>
        </w:rPr>
        <w:t>,</w:t>
      </w:r>
      <w:r w:rsidRPr="00D17328">
        <w:rPr>
          <w:rFonts w:ascii="Times New Roman" w:hAnsi="Times New Roman"/>
          <w:bCs/>
          <w:lang w:val="es-ES"/>
        </w:rPr>
        <w:t xml:space="preserve"> las perspectivas siguen siendo precarias debido a una combinación de factores: la ininterrumpida propagación de la pandemia y el desbordamiento de los sistemas sanitarios; la mayor importancia que revisten los sectores sumamente afectados, como el turismo; y la dependencia más marcada del financiamiento externo, incluidas las remesas. Se prevé que este año todas las regiones de economías de mercados emergentes y en desarrollo sufran una contracción, especialmente en el caso de Asia, donde economías grandes como India e Indonesia continúan intentando controlar la pandemia</w:t>
      </w:r>
      <w:r w:rsidR="006A624B" w:rsidRPr="00D17328">
        <w:rPr>
          <w:rFonts w:ascii="Times New Roman" w:hAnsi="Times New Roman"/>
          <w:bCs/>
          <w:lang w:val="es-ES"/>
        </w:rPr>
        <w:t>.</w:t>
      </w:r>
    </w:p>
    <w:p w14:paraId="1AABC736" w14:textId="4CAAECBD" w:rsidR="00A5604A" w:rsidRPr="00D17328" w:rsidRDefault="00A5604A" w:rsidP="008F3157">
      <w:pPr>
        <w:pStyle w:val="PRIMERAPLANA"/>
        <w:spacing w:line="360" w:lineRule="auto"/>
        <w:rPr>
          <w:rFonts w:ascii="Times New Roman" w:hAnsi="Times New Roman"/>
          <w:bCs/>
          <w:lang w:val="es-ES"/>
        </w:rPr>
      </w:pPr>
    </w:p>
    <w:p w14:paraId="471B2422" w14:textId="77777777" w:rsidR="005B6137" w:rsidRPr="00D17328" w:rsidRDefault="006A624B" w:rsidP="006A624B">
      <w:pPr>
        <w:pStyle w:val="PRIMERAPLANA"/>
        <w:spacing w:line="360" w:lineRule="auto"/>
        <w:rPr>
          <w:rFonts w:ascii="Times New Roman" w:hAnsi="Times New Roman"/>
          <w:bCs/>
          <w:lang w:val="es-ES"/>
        </w:rPr>
      </w:pPr>
      <w:r w:rsidRPr="00D17328">
        <w:rPr>
          <w:rFonts w:ascii="Times New Roman" w:hAnsi="Times New Roman"/>
          <w:bCs/>
          <w:lang w:val="es-ES"/>
        </w:rPr>
        <w:t xml:space="preserve">La incertidumbre en torno a la proyección de base es inusitadamente aguda. El pronóstico se basa en factores económicos y de salud pública que son inherentemente difíciles de predecir. Una primera capa </w:t>
      </w:r>
      <w:r w:rsidRPr="00D17328">
        <w:rPr>
          <w:rFonts w:ascii="Times New Roman" w:hAnsi="Times New Roman"/>
          <w:bCs/>
          <w:lang w:val="es-ES"/>
        </w:rPr>
        <w:lastRenderedPageBreak/>
        <w:t xml:space="preserve">está relacionada con la trayectoria de la pandemia, la respuesta que debe darle la salud pública y los trastornos asociados de la actividad interna, particularmente en el caso de los sectores donde el contacto es intensivo. Otra fuente de incertidumbre es la magnitud de los efectos de derrame mundiales generados por la debilidad de la demanda, la disminución del turismo y la disminución de las remesas. Un tercer conjunto de factores tiene que ver con el ánimo de los mercados financieros y sus implicaciones para los flujos internacionales de capital. Además, existe incertidumbre en torno al daño sufrido por el potencial de oferta, que dependerá de la persistencia del shock producido por la pandemia, el alcance y la eficacia de las políticas de respuesta y el grado de incompatibilidad entre los recursos sectoriales. </w:t>
      </w:r>
    </w:p>
    <w:p w14:paraId="36B7C632" w14:textId="77777777" w:rsidR="005B6137" w:rsidRPr="00D17328" w:rsidRDefault="005B6137" w:rsidP="006A624B">
      <w:pPr>
        <w:pStyle w:val="PRIMERAPLANA"/>
        <w:spacing w:line="360" w:lineRule="auto"/>
        <w:rPr>
          <w:rFonts w:ascii="Times New Roman" w:hAnsi="Times New Roman"/>
          <w:bCs/>
          <w:lang w:val="es-ES"/>
        </w:rPr>
      </w:pPr>
    </w:p>
    <w:p w14:paraId="40C92C94" w14:textId="77777777" w:rsidR="005B6137" w:rsidRPr="00D17328" w:rsidRDefault="006A624B" w:rsidP="006A624B">
      <w:pPr>
        <w:pStyle w:val="PRIMERAPLANA"/>
        <w:spacing w:line="360" w:lineRule="auto"/>
        <w:rPr>
          <w:rFonts w:ascii="Times New Roman" w:hAnsi="Times New Roman"/>
          <w:bCs/>
          <w:lang w:val="es-ES"/>
        </w:rPr>
      </w:pPr>
      <w:r w:rsidRPr="00D17328">
        <w:rPr>
          <w:rFonts w:ascii="Times New Roman" w:hAnsi="Times New Roman"/>
          <w:bCs/>
          <w:lang w:val="es-ES"/>
        </w:rPr>
        <w:t xml:space="preserve">El avance de vacunas y tratamientos, así como los cambios adoptados en los lugares de trabajo y por los consumidores para reducir la transmisión, podrían permitir a la actividad retomar los niveles previos a la pandemia más rápido que lo previsto actualmente, sin desencadenar repetidas olas de infección. Asimismo, una prolongación de las contramedidas fiscales en 2021 podría empujar el crecimiento por encima del pronóstico, que incluye solo las medidas aplicadas y anunciadas hasta la fecha. </w:t>
      </w:r>
    </w:p>
    <w:p w14:paraId="7128840F" w14:textId="77777777" w:rsidR="005B6137" w:rsidRPr="00D17328" w:rsidRDefault="005B6137" w:rsidP="006A624B">
      <w:pPr>
        <w:pStyle w:val="PRIMERAPLANA"/>
        <w:spacing w:line="360" w:lineRule="auto"/>
        <w:rPr>
          <w:rFonts w:ascii="Times New Roman" w:hAnsi="Times New Roman"/>
          <w:bCs/>
          <w:lang w:val="es-ES"/>
        </w:rPr>
      </w:pPr>
    </w:p>
    <w:p w14:paraId="5448E7D3" w14:textId="1CBBF165" w:rsidR="00A5604A" w:rsidRPr="00D17328" w:rsidRDefault="006A624B" w:rsidP="006A624B">
      <w:pPr>
        <w:pStyle w:val="PRIMERAPLANA"/>
        <w:spacing w:line="360" w:lineRule="auto"/>
        <w:rPr>
          <w:rFonts w:ascii="Times New Roman" w:hAnsi="Times New Roman"/>
          <w:bCs/>
          <w:lang w:val="es-ES"/>
        </w:rPr>
      </w:pPr>
      <w:r w:rsidRPr="00D17328">
        <w:rPr>
          <w:rFonts w:ascii="Times New Roman" w:hAnsi="Times New Roman"/>
          <w:bCs/>
          <w:lang w:val="es-ES"/>
        </w:rPr>
        <w:t>Ahora bien, el riesgo de que los niveles de crecimiento resulten peores de lo proyectado sigue siendo considerable. Si el virus vuelve a surgir, el avance de los tratamientos y las vacunas es más lento de lo previsto o el acceso de los países a estos sigue siendo desigual, la actividad económica podría defraudar las expectativas, con renovado distanciamiento social y confinamientos más estrictos. Teniendo en cuenta la gravedad de la recesión y la posible cancelación del respaldo de emergencia en algunos países, un número creciente de quiebras podrían agravar las pérdidas en términos de puestos de trabajo e ingresos. El deterioro del ánimo de los mercados financieros podría provocar una repentina suspensión de préstamos nuevos (o del refinanciamiento de deudas) a economías vulnerables. Además, los efectos transfronterizos de derrame producidos por el debilitamiento de la demanda externa podrían amplificar los shocks específicos de algunos países.</w:t>
      </w:r>
    </w:p>
    <w:p w14:paraId="29548C69" w14:textId="17EF5734" w:rsidR="00A45F8F" w:rsidRDefault="00A45F8F" w:rsidP="00A45F8F">
      <w:pPr>
        <w:pStyle w:val="PRIMERAPLANA"/>
        <w:spacing w:line="360" w:lineRule="auto"/>
        <w:jc w:val="center"/>
        <w:rPr>
          <w:rFonts w:cs="Arial"/>
          <w:bCs/>
          <w:sz w:val="24"/>
          <w:szCs w:val="24"/>
          <w:lang w:val="es-ES"/>
        </w:rPr>
      </w:pPr>
      <w:r>
        <w:rPr>
          <w:noProof/>
          <w:lang w:val="es-MX" w:eastAsia="es-MX"/>
        </w:rPr>
        <w:lastRenderedPageBreak/>
        <w:drawing>
          <wp:inline distT="0" distB="0" distL="0" distR="0" wp14:anchorId="53F11E50" wp14:editId="78184193">
            <wp:extent cx="5533233" cy="6572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14" t="18062" r="37208" b="10549"/>
                    <a:stretch/>
                  </pic:blipFill>
                  <pic:spPr bwMode="auto">
                    <a:xfrm>
                      <a:off x="0" y="0"/>
                      <a:ext cx="5617785" cy="6672679"/>
                    </a:xfrm>
                    <a:prstGeom prst="rect">
                      <a:avLst/>
                    </a:prstGeom>
                    <a:ln>
                      <a:noFill/>
                    </a:ln>
                    <a:extLst>
                      <a:ext uri="{53640926-AAD7-44D8-BBD7-CCE9431645EC}">
                        <a14:shadowObscured xmlns:a14="http://schemas.microsoft.com/office/drawing/2010/main"/>
                      </a:ext>
                    </a:extLst>
                  </pic:spPr>
                </pic:pic>
              </a:graphicData>
            </a:graphic>
          </wp:inline>
        </w:drawing>
      </w:r>
    </w:p>
    <w:p w14:paraId="6600D567" w14:textId="7CBCE22E" w:rsidR="00A45F8F" w:rsidRDefault="00A45F8F" w:rsidP="005E13A6">
      <w:pPr>
        <w:pStyle w:val="PRIMERAPLANA"/>
        <w:spacing w:line="360" w:lineRule="auto"/>
        <w:rPr>
          <w:rFonts w:cs="Arial"/>
          <w:bCs/>
          <w:noProof/>
          <w:sz w:val="24"/>
          <w:szCs w:val="24"/>
          <w:lang w:val="es-MX" w:eastAsia="es-MX"/>
        </w:rPr>
      </w:pPr>
      <w:r>
        <w:rPr>
          <w:noProof/>
          <w:lang w:val="es-MX" w:eastAsia="es-MX"/>
        </w:rPr>
        <w:lastRenderedPageBreak/>
        <w:drawing>
          <wp:inline distT="0" distB="0" distL="0" distR="0" wp14:anchorId="3D619E7B" wp14:editId="76B363AA">
            <wp:extent cx="5154062" cy="7056407"/>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49" t="18062" r="35376" b="12627"/>
                    <a:stretch/>
                  </pic:blipFill>
                  <pic:spPr bwMode="auto">
                    <a:xfrm>
                      <a:off x="0" y="0"/>
                      <a:ext cx="5180792" cy="7093003"/>
                    </a:xfrm>
                    <a:prstGeom prst="rect">
                      <a:avLst/>
                    </a:prstGeom>
                    <a:ln>
                      <a:noFill/>
                    </a:ln>
                    <a:extLst>
                      <a:ext uri="{53640926-AAD7-44D8-BBD7-CCE9431645EC}">
                        <a14:shadowObscured xmlns:a14="http://schemas.microsoft.com/office/drawing/2010/main"/>
                      </a:ext>
                    </a:extLst>
                  </pic:spPr>
                </pic:pic>
              </a:graphicData>
            </a:graphic>
          </wp:inline>
        </w:drawing>
      </w:r>
    </w:p>
    <w:p w14:paraId="55988A3B" w14:textId="77777777" w:rsidR="00C50BE2" w:rsidRDefault="00C50BE2" w:rsidP="005E13A6">
      <w:pPr>
        <w:pStyle w:val="PRIMERAPLANA"/>
        <w:spacing w:line="360" w:lineRule="auto"/>
        <w:rPr>
          <w:rFonts w:cs="Arial"/>
          <w:bCs/>
          <w:noProof/>
          <w:sz w:val="24"/>
          <w:szCs w:val="24"/>
          <w:lang w:val="es-MX" w:eastAsia="es-MX"/>
        </w:rPr>
      </w:pPr>
    </w:p>
    <w:p w14:paraId="635D6D17" w14:textId="3700A893" w:rsidR="002A56DE" w:rsidRPr="00D17328" w:rsidRDefault="007551C2" w:rsidP="00C50BE2">
      <w:pPr>
        <w:spacing w:line="360" w:lineRule="auto"/>
        <w:jc w:val="both"/>
        <w:rPr>
          <w:b/>
          <w:bCs/>
          <w:sz w:val="20"/>
          <w:szCs w:val="20"/>
        </w:rPr>
      </w:pPr>
      <w:r w:rsidRPr="00D17328">
        <w:rPr>
          <w:b/>
          <w:bCs/>
          <w:sz w:val="20"/>
          <w:szCs w:val="20"/>
        </w:rPr>
        <w:lastRenderedPageBreak/>
        <w:t>ENTORNO NACIONAL</w:t>
      </w:r>
    </w:p>
    <w:p w14:paraId="122EF8FB" w14:textId="3534F6A8" w:rsidR="0033436D" w:rsidRPr="00D17328" w:rsidRDefault="0033436D" w:rsidP="00992F99">
      <w:pPr>
        <w:pStyle w:val="PRIMERAPLANA"/>
        <w:spacing w:line="360" w:lineRule="auto"/>
        <w:rPr>
          <w:rFonts w:ascii="Times New Roman" w:hAnsi="Times New Roman"/>
          <w:bCs/>
          <w:lang w:val="es-ES"/>
        </w:rPr>
      </w:pPr>
    </w:p>
    <w:p w14:paraId="08114800" w14:textId="528318EB" w:rsidR="00571023"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 xml:space="preserve">El brote de la pandemia del COVID-19 en México inició tarde con respecto a la mayoría de sus socios comerciales más cercanos. Al 18 de marzo, cuando el número acumulado de casos en México rebasó los 100 casos, en EEUU el número de casos había llegado a 7 mil, Europa contaba con 86 mil casos y Japón alcanzó los 877 casos. Al cierre del mismo mes, los primeros efectos de la pandemia sobre la economía mexicana se hicieron notar, particularmente en estados que dependen de la actividad turística como Baja California Sur, Guerrero, Nayarit, Sinaloa y Quintana Roo. En línea con lo anterior, durante el bimestre marzo-abril los servicios de transporte, esparcimiento y alojamiento temporal y preparación de alimentos presentaron contracciones con respecto a febrero de 14.8, 18.8, y 48.3%, respectivamente. </w:t>
      </w:r>
    </w:p>
    <w:p w14:paraId="7AFB6B4F" w14:textId="77777777" w:rsidR="00571023" w:rsidRPr="00D17328" w:rsidRDefault="00571023" w:rsidP="00571023">
      <w:pPr>
        <w:pStyle w:val="PRIMERAPLANA"/>
        <w:spacing w:line="360" w:lineRule="auto"/>
        <w:rPr>
          <w:rFonts w:ascii="Times New Roman" w:hAnsi="Times New Roman"/>
          <w:bCs/>
          <w:lang w:val="es-ES"/>
        </w:rPr>
      </w:pPr>
    </w:p>
    <w:p w14:paraId="15EF9BEE" w14:textId="7044C90E" w:rsidR="00571023"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 xml:space="preserve">Con el cierre de fronteras y de fábricas en todo el mundo, la producción manufacturera tuvo una interrupción de actividades importante que frenó la actividad económica en este sector, el cual contribuye con el 16.7% al PIB nacional. En particular, el cierre de plantas automotrices en México que empezó el 23 de marzo y duró hasta el 31 de mayo, junto a sus cadenas de producción en el mundo propició una disminución que no fue contrarrestada por otro sector de forma inmediata. En este contexto, merece la pena resaltar que los servicios profesionales, corporativos, de educación, gubernamentales y de salud se mantuvieron con diferentes formas de operación ante la contingencia sanitaria y el distanciamiento, fungiendo como contrapeso de numerosos subsectores donde se observaron caídas significativas durante el bimestre marzo-abril. </w:t>
      </w:r>
    </w:p>
    <w:p w14:paraId="416C199C" w14:textId="77777777" w:rsidR="00571023" w:rsidRPr="00D17328" w:rsidRDefault="00571023" w:rsidP="00571023">
      <w:pPr>
        <w:pStyle w:val="PRIMERAPLANA"/>
        <w:spacing w:line="360" w:lineRule="auto"/>
        <w:rPr>
          <w:rFonts w:ascii="Times New Roman" w:hAnsi="Times New Roman"/>
          <w:bCs/>
          <w:lang w:val="es-ES"/>
        </w:rPr>
      </w:pPr>
    </w:p>
    <w:p w14:paraId="4BE75C54" w14:textId="227F62AB" w:rsidR="00571023"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A medida que la enfermedad se fue esparciendo por el mundo durante el mes de marzo, los mercados financieros empezaron a descontar los efectos de la pandemia en el crecimiento de los países y los precios de los activos. Así, en el mercado nacional se presentó un aumento significativo en la volatilidad y una salida abrupta de capitales al tiempo que el tipo de cambio, las tasas de interés y el riesgo país aumentaron en línea con la mayoría de las economías emergentes. La situación en los mercados empeoró el 8 de marzo cuando se presentó el rompimiento del acuerdo de la OPEP+, con lo que Arabia Saudita y Rusia decidieron inundar el mercado de crudo y comenzar</w:t>
      </w:r>
      <w:r w:rsidR="0036347D" w:rsidRPr="00D17328">
        <w:rPr>
          <w:rFonts w:ascii="Times New Roman" w:hAnsi="Times New Roman"/>
          <w:bCs/>
          <w:lang w:val="es-ES"/>
        </w:rPr>
        <w:t xml:space="preserve"> </w:t>
      </w:r>
      <w:r w:rsidRPr="00D17328">
        <w:rPr>
          <w:rFonts w:ascii="Times New Roman" w:hAnsi="Times New Roman"/>
          <w:bCs/>
          <w:lang w:val="es-ES"/>
        </w:rPr>
        <w:t>una guerra de precios. Este rompimiento y un exceso de acumulación de inventarios provocaron que el 20 de</w:t>
      </w:r>
      <w:r w:rsidR="0036347D" w:rsidRPr="00D17328">
        <w:rPr>
          <w:rFonts w:ascii="Times New Roman" w:hAnsi="Times New Roman"/>
          <w:bCs/>
          <w:lang w:val="es-ES"/>
        </w:rPr>
        <w:t xml:space="preserve"> </w:t>
      </w:r>
      <w:r w:rsidRPr="00D17328">
        <w:rPr>
          <w:rFonts w:ascii="Times New Roman" w:hAnsi="Times New Roman"/>
          <w:bCs/>
          <w:lang w:val="es-ES"/>
        </w:rPr>
        <w:t>abril, los precios de petróleo WTI y de la mezcla mexicana alcanzaran niveles negativos por primera vez en su</w:t>
      </w:r>
      <w:r w:rsidR="0036347D" w:rsidRPr="00D17328">
        <w:rPr>
          <w:rFonts w:ascii="Times New Roman" w:hAnsi="Times New Roman"/>
          <w:bCs/>
          <w:lang w:val="es-ES"/>
        </w:rPr>
        <w:t xml:space="preserve"> </w:t>
      </w:r>
      <w:r w:rsidRPr="00D17328">
        <w:rPr>
          <w:rFonts w:ascii="Times New Roman" w:hAnsi="Times New Roman"/>
          <w:bCs/>
          <w:lang w:val="es-ES"/>
        </w:rPr>
        <w:t xml:space="preserve">historia al ubicarse en -37.63 y -2.37 </w:t>
      </w:r>
      <w:r w:rsidR="00153766" w:rsidRPr="00D17328">
        <w:rPr>
          <w:rFonts w:ascii="Times New Roman" w:hAnsi="Times New Roman"/>
          <w:bCs/>
          <w:lang w:val="es-ES"/>
        </w:rPr>
        <w:t>dpb</w:t>
      </w:r>
      <w:r w:rsidRPr="00D17328">
        <w:rPr>
          <w:rFonts w:ascii="Times New Roman" w:hAnsi="Times New Roman"/>
          <w:bCs/>
          <w:lang w:val="es-ES"/>
        </w:rPr>
        <w:t>, respectivamente.</w:t>
      </w:r>
    </w:p>
    <w:p w14:paraId="4709EC0D" w14:textId="79A17016" w:rsidR="00571023" w:rsidRPr="00D17328" w:rsidRDefault="00571023" w:rsidP="00992F99">
      <w:pPr>
        <w:pStyle w:val="PRIMERAPLANA"/>
        <w:spacing w:line="360" w:lineRule="auto"/>
        <w:rPr>
          <w:rFonts w:ascii="Times New Roman" w:hAnsi="Times New Roman"/>
          <w:bCs/>
          <w:lang w:val="es-ES"/>
        </w:rPr>
      </w:pPr>
    </w:p>
    <w:p w14:paraId="4155FA65" w14:textId="722275FB" w:rsidR="00571023"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En este contexto, la implementación de las medidas de confinamiento en México a partir del 13 de marzo tuvo</w:t>
      </w:r>
      <w:r w:rsidR="0036347D" w:rsidRPr="00D17328">
        <w:rPr>
          <w:rFonts w:ascii="Times New Roman" w:hAnsi="Times New Roman"/>
          <w:bCs/>
          <w:lang w:val="es-ES"/>
        </w:rPr>
        <w:t xml:space="preserve"> </w:t>
      </w:r>
      <w:r w:rsidRPr="00D17328">
        <w:rPr>
          <w:rFonts w:ascii="Times New Roman" w:hAnsi="Times New Roman"/>
          <w:bCs/>
          <w:lang w:val="es-ES"/>
        </w:rPr>
        <w:t>impactos rápidamente sobre la eco</w:t>
      </w:r>
      <w:r w:rsidR="006A40DD" w:rsidRPr="00D17328">
        <w:rPr>
          <w:rFonts w:ascii="Times New Roman" w:hAnsi="Times New Roman"/>
          <w:bCs/>
          <w:lang w:val="es-ES"/>
        </w:rPr>
        <w:t>nomía. En abril y mayo el Indicador</w:t>
      </w:r>
      <w:r w:rsidRPr="00D17328">
        <w:rPr>
          <w:rFonts w:ascii="Times New Roman" w:hAnsi="Times New Roman"/>
          <w:bCs/>
          <w:lang w:val="es-ES"/>
        </w:rPr>
        <w:t xml:space="preserve"> Global de Actividad </w:t>
      </w:r>
      <w:r w:rsidRPr="00D17328">
        <w:rPr>
          <w:rFonts w:ascii="Times New Roman" w:hAnsi="Times New Roman"/>
          <w:bCs/>
          <w:lang w:val="es-ES"/>
        </w:rPr>
        <w:lastRenderedPageBreak/>
        <w:t>Económica (IGAE)</w:t>
      </w:r>
      <w:r w:rsidR="0036347D" w:rsidRPr="00D17328">
        <w:rPr>
          <w:rFonts w:ascii="Times New Roman" w:hAnsi="Times New Roman"/>
          <w:bCs/>
          <w:lang w:val="es-ES"/>
        </w:rPr>
        <w:t xml:space="preserve"> </w:t>
      </w:r>
      <w:r w:rsidRPr="00D17328">
        <w:rPr>
          <w:rFonts w:ascii="Times New Roman" w:hAnsi="Times New Roman"/>
          <w:bCs/>
          <w:lang w:val="es-ES"/>
        </w:rPr>
        <w:t>presentó contracciones de 17.5 y 2.4%, con datos ajustados por estacionalidad. Además, en abril se perdieron 12.5</w:t>
      </w:r>
      <w:r w:rsidR="0036347D" w:rsidRPr="00D17328">
        <w:rPr>
          <w:rFonts w:ascii="Times New Roman" w:hAnsi="Times New Roman"/>
          <w:bCs/>
          <w:lang w:val="es-ES"/>
        </w:rPr>
        <w:t xml:space="preserve"> </w:t>
      </w:r>
      <w:r w:rsidRPr="00D17328">
        <w:rPr>
          <w:rFonts w:ascii="Times New Roman" w:hAnsi="Times New Roman"/>
          <w:bCs/>
          <w:lang w:val="es-ES"/>
        </w:rPr>
        <w:t>millones de empleos, 12.0 millones de los cuales dejaron de participar en la fuerza laboral en ese mes y se ubicaron</w:t>
      </w:r>
      <w:r w:rsidR="0036347D" w:rsidRPr="00D17328">
        <w:rPr>
          <w:rFonts w:ascii="Times New Roman" w:hAnsi="Times New Roman"/>
          <w:bCs/>
          <w:lang w:val="es-ES"/>
        </w:rPr>
        <w:t xml:space="preserve"> </w:t>
      </w:r>
      <w:r w:rsidRPr="00D17328">
        <w:rPr>
          <w:rFonts w:ascii="Times New Roman" w:hAnsi="Times New Roman"/>
          <w:bCs/>
          <w:lang w:val="es-ES"/>
        </w:rPr>
        <w:t>en la población no económicamente activa pero disponible. Asimismo, la población subocupada aumentó a 11</w:t>
      </w:r>
      <w:r w:rsidR="0036347D" w:rsidRPr="00D17328">
        <w:rPr>
          <w:rFonts w:ascii="Times New Roman" w:hAnsi="Times New Roman"/>
          <w:bCs/>
          <w:lang w:val="es-ES"/>
        </w:rPr>
        <w:t xml:space="preserve"> </w:t>
      </w:r>
      <w:r w:rsidRPr="00D17328">
        <w:rPr>
          <w:rFonts w:ascii="Times New Roman" w:hAnsi="Times New Roman"/>
          <w:bCs/>
          <w:lang w:val="es-ES"/>
        </w:rPr>
        <w:t>millones en abril, lo cual representó el 25.4% de la población ocupada.</w:t>
      </w:r>
    </w:p>
    <w:p w14:paraId="0DD3EFCA" w14:textId="77777777" w:rsidR="0036347D" w:rsidRPr="00D17328" w:rsidRDefault="0036347D" w:rsidP="00571023">
      <w:pPr>
        <w:pStyle w:val="PRIMERAPLANA"/>
        <w:spacing w:line="360" w:lineRule="auto"/>
        <w:rPr>
          <w:rFonts w:ascii="Times New Roman" w:hAnsi="Times New Roman"/>
          <w:bCs/>
          <w:lang w:val="es-ES"/>
        </w:rPr>
      </w:pPr>
    </w:p>
    <w:p w14:paraId="5BC94917" w14:textId="77777777" w:rsidR="0036347D"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 xml:space="preserve">Los </w:t>
      </w:r>
      <w:r w:rsidR="0036347D" w:rsidRPr="00D17328">
        <w:rPr>
          <w:rFonts w:ascii="Times New Roman" w:hAnsi="Times New Roman"/>
          <w:bCs/>
          <w:lang w:val="es-ES"/>
        </w:rPr>
        <w:t>acontecimientos suscitados</w:t>
      </w:r>
      <w:r w:rsidRPr="00D17328">
        <w:rPr>
          <w:rFonts w:ascii="Times New Roman" w:hAnsi="Times New Roman"/>
          <w:bCs/>
          <w:lang w:val="es-ES"/>
        </w:rPr>
        <w:t xml:space="preserve"> en la economía y los mercados financieros configuraron retos importantes para las finanzas públicas de nuestro país desde inicios de 2020. En particular, se</w:t>
      </w:r>
      <w:r w:rsidR="0036347D" w:rsidRPr="00D17328">
        <w:rPr>
          <w:rFonts w:ascii="Times New Roman" w:hAnsi="Times New Roman"/>
          <w:bCs/>
          <w:lang w:val="es-ES"/>
        </w:rPr>
        <w:t xml:space="preserve"> </w:t>
      </w:r>
      <w:r w:rsidRPr="00D17328">
        <w:rPr>
          <w:rFonts w:ascii="Times New Roman" w:hAnsi="Times New Roman"/>
          <w:bCs/>
          <w:lang w:val="es-ES"/>
        </w:rPr>
        <w:t xml:space="preserve">pueden identificar cinco elementos que presionaron la posición de las finanzas públicas. </w:t>
      </w:r>
    </w:p>
    <w:p w14:paraId="2F076A4C" w14:textId="77777777" w:rsidR="0036347D" w:rsidRPr="00D17328" w:rsidRDefault="0036347D" w:rsidP="00571023">
      <w:pPr>
        <w:pStyle w:val="PRIMERAPLANA"/>
        <w:spacing w:line="360" w:lineRule="auto"/>
        <w:rPr>
          <w:rFonts w:ascii="Times New Roman" w:hAnsi="Times New Roman"/>
          <w:bCs/>
          <w:lang w:val="es-ES"/>
        </w:rPr>
      </w:pPr>
    </w:p>
    <w:p w14:paraId="5EC55D66" w14:textId="414BADB4" w:rsidR="00571023" w:rsidRPr="00D17328" w:rsidRDefault="00571023" w:rsidP="00571023">
      <w:pPr>
        <w:pStyle w:val="PRIMERAPLANA"/>
        <w:spacing w:line="360" w:lineRule="auto"/>
        <w:rPr>
          <w:rFonts w:ascii="Times New Roman" w:hAnsi="Times New Roman"/>
          <w:bCs/>
          <w:lang w:val="es-ES"/>
        </w:rPr>
      </w:pPr>
      <w:r w:rsidRPr="00D17328">
        <w:rPr>
          <w:rFonts w:ascii="Times New Roman" w:hAnsi="Times New Roman"/>
          <w:bCs/>
          <w:lang w:val="es-ES"/>
        </w:rPr>
        <w:t>En primer lugar, resulta</w:t>
      </w:r>
      <w:r w:rsidR="0036347D" w:rsidRPr="00D17328">
        <w:rPr>
          <w:rFonts w:ascii="Times New Roman" w:hAnsi="Times New Roman"/>
          <w:bCs/>
          <w:lang w:val="es-ES"/>
        </w:rPr>
        <w:t xml:space="preserve"> </w:t>
      </w:r>
      <w:r w:rsidRPr="00D17328">
        <w:rPr>
          <w:rFonts w:ascii="Times New Roman" w:hAnsi="Times New Roman"/>
          <w:bCs/>
          <w:lang w:val="es-ES"/>
        </w:rPr>
        <w:t>en una presión sobre el gasto en salud para la atención de la emergencia sanitaria. En segundo lugar, una mayor</w:t>
      </w:r>
      <w:r w:rsidR="0036347D" w:rsidRPr="00D17328">
        <w:rPr>
          <w:rFonts w:ascii="Times New Roman" w:hAnsi="Times New Roman"/>
          <w:bCs/>
          <w:lang w:val="es-ES"/>
        </w:rPr>
        <w:t xml:space="preserve"> </w:t>
      </w:r>
      <w:r w:rsidRPr="00D17328">
        <w:rPr>
          <w:rFonts w:ascii="Times New Roman" w:hAnsi="Times New Roman"/>
          <w:bCs/>
          <w:lang w:val="es-ES"/>
        </w:rPr>
        <w:t>asignación de recursos para atender las funciones de desarrollo social y económico con el fin de apoyar la</w:t>
      </w:r>
      <w:r w:rsidR="0036347D" w:rsidRPr="00D17328">
        <w:rPr>
          <w:rFonts w:ascii="Times New Roman" w:hAnsi="Times New Roman"/>
          <w:bCs/>
          <w:lang w:val="es-ES"/>
        </w:rPr>
        <w:t xml:space="preserve"> </w:t>
      </w:r>
      <w:r w:rsidRPr="00D17328">
        <w:rPr>
          <w:rFonts w:ascii="Times New Roman" w:hAnsi="Times New Roman"/>
          <w:bCs/>
          <w:lang w:val="es-ES"/>
        </w:rPr>
        <w:t>economía de personas y empresas, especialmente de aquellas con ingresos desproporcionadamente afectados</w:t>
      </w:r>
      <w:r w:rsidR="0036347D" w:rsidRPr="00D17328">
        <w:rPr>
          <w:rFonts w:ascii="Times New Roman" w:hAnsi="Times New Roman"/>
          <w:bCs/>
          <w:lang w:val="es-ES"/>
        </w:rPr>
        <w:t xml:space="preserve"> </w:t>
      </w:r>
      <w:r w:rsidRPr="00D17328">
        <w:rPr>
          <w:rFonts w:ascii="Times New Roman" w:hAnsi="Times New Roman"/>
          <w:bCs/>
          <w:lang w:val="es-ES"/>
        </w:rPr>
        <w:t>por ubicarse en actividades que no pueden desempeñarse remotamente o implican elevada interacción, típicas</w:t>
      </w:r>
      <w:r w:rsidR="0036347D" w:rsidRPr="00D17328">
        <w:rPr>
          <w:rFonts w:ascii="Times New Roman" w:hAnsi="Times New Roman"/>
          <w:bCs/>
          <w:lang w:val="es-ES"/>
        </w:rPr>
        <w:t xml:space="preserve"> </w:t>
      </w:r>
      <w:r w:rsidRPr="00D17328">
        <w:rPr>
          <w:rFonts w:ascii="Times New Roman" w:hAnsi="Times New Roman"/>
          <w:bCs/>
          <w:lang w:val="es-ES"/>
        </w:rPr>
        <w:t>del sector informal. En tercer lugar, se encuentra una presión sobre los ingresos no petroleros del sector público, asociada a la menor</w:t>
      </w:r>
      <w:r w:rsidR="0036347D" w:rsidRPr="00D17328">
        <w:rPr>
          <w:rFonts w:ascii="Times New Roman" w:hAnsi="Times New Roman"/>
          <w:bCs/>
          <w:lang w:val="es-ES"/>
        </w:rPr>
        <w:t xml:space="preserve"> </w:t>
      </w:r>
      <w:r w:rsidRPr="00D17328">
        <w:rPr>
          <w:rFonts w:ascii="Times New Roman" w:hAnsi="Times New Roman"/>
          <w:bCs/>
          <w:lang w:val="es-ES"/>
        </w:rPr>
        <w:t>actividad económica, considerando que nuestra economía se vio afectada incluso desde antes de la</w:t>
      </w:r>
      <w:r w:rsidR="0036347D" w:rsidRPr="00D17328">
        <w:rPr>
          <w:rFonts w:ascii="Times New Roman" w:hAnsi="Times New Roman"/>
          <w:bCs/>
          <w:lang w:val="es-ES"/>
        </w:rPr>
        <w:t xml:space="preserve"> </w:t>
      </w:r>
      <w:r w:rsidRPr="00D17328">
        <w:rPr>
          <w:rFonts w:ascii="Times New Roman" w:hAnsi="Times New Roman"/>
          <w:bCs/>
          <w:lang w:val="es-ES"/>
        </w:rPr>
        <w:t>implementación de las medidas de distanciamiento social en territorio nacional. Lo anterior, en razón de las</w:t>
      </w:r>
      <w:r w:rsidR="0036347D" w:rsidRPr="00D17328">
        <w:rPr>
          <w:rFonts w:ascii="Times New Roman" w:hAnsi="Times New Roman"/>
          <w:bCs/>
          <w:lang w:val="es-ES"/>
        </w:rPr>
        <w:t xml:space="preserve"> </w:t>
      </w:r>
      <w:r w:rsidRPr="00D17328">
        <w:rPr>
          <w:rFonts w:ascii="Times New Roman" w:hAnsi="Times New Roman"/>
          <w:bCs/>
          <w:lang w:val="es-ES"/>
        </w:rPr>
        <w:t>interrupciones observadas en las cadenas de suministro a nivel mundial derivado del cierre de fábricas, así como</w:t>
      </w:r>
      <w:r w:rsidR="0036347D" w:rsidRPr="00D17328">
        <w:rPr>
          <w:rFonts w:ascii="Times New Roman" w:hAnsi="Times New Roman"/>
          <w:bCs/>
          <w:lang w:val="es-ES"/>
        </w:rPr>
        <w:t xml:space="preserve"> </w:t>
      </w:r>
      <w:r w:rsidRPr="00D17328">
        <w:rPr>
          <w:rFonts w:ascii="Times New Roman" w:hAnsi="Times New Roman"/>
          <w:bCs/>
          <w:lang w:val="es-ES"/>
        </w:rPr>
        <w:t>por la disminución en la demanda por exportaciones, situaciones que provocaron disrupciones en la importación</w:t>
      </w:r>
      <w:r w:rsidR="0036347D" w:rsidRPr="00D17328">
        <w:rPr>
          <w:rFonts w:ascii="Times New Roman" w:hAnsi="Times New Roman"/>
          <w:bCs/>
          <w:lang w:val="es-ES"/>
        </w:rPr>
        <w:t xml:space="preserve"> </w:t>
      </w:r>
      <w:r w:rsidRPr="00D17328">
        <w:rPr>
          <w:rFonts w:ascii="Times New Roman" w:hAnsi="Times New Roman"/>
          <w:bCs/>
          <w:lang w:val="es-ES"/>
        </w:rPr>
        <w:t>de bienes intermedios para el sector manufacturero nacional. A lo anterior se suma el hecho de que los mayores</w:t>
      </w:r>
      <w:r w:rsidR="0036347D" w:rsidRPr="00D17328">
        <w:rPr>
          <w:rFonts w:ascii="Times New Roman" w:hAnsi="Times New Roman"/>
          <w:bCs/>
          <w:lang w:val="es-ES"/>
        </w:rPr>
        <w:t xml:space="preserve"> </w:t>
      </w:r>
      <w:r w:rsidRPr="00D17328">
        <w:rPr>
          <w:rFonts w:ascii="Times New Roman" w:hAnsi="Times New Roman"/>
          <w:bCs/>
          <w:lang w:val="es-ES"/>
        </w:rPr>
        <w:t>proveedores de insumos intermedios son EEUU, que también es nuestro principal destino de exportación, y</w:t>
      </w:r>
      <w:r w:rsidR="0036347D" w:rsidRPr="00D17328">
        <w:rPr>
          <w:rFonts w:ascii="Times New Roman" w:hAnsi="Times New Roman"/>
          <w:bCs/>
          <w:lang w:val="es-ES"/>
        </w:rPr>
        <w:t xml:space="preserve"> </w:t>
      </w:r>
      <w:r w:rsidRPr="00D17328">
        <w:rPr>
          <w:rFonts w:ascii="Times New Roman" w:hAnsi="Times New Roman"/>
          <w:bCs/>
          <w:lang w:val="es-ES"/>
        </w:rPr>
        <w:t>China, donde el virus tuvo un impacto fuerte en comparación con otros países. Un último aspecto por considerar</w:t>
      </w:r>
      <w:r w:rsidR="0036347D" w:rsidRPr="00D17328">
        <w:rPr>
          <w:rFonts w:ascii="Times New Roman" w:hAnsi="Times New Roman"/>
          <w:bCs/>
          <w:lang w:val="es-ES"/>
        </w:rPr>
        <w:t xml:space="preserve"> </w:t>
      </w:r>
      <w:r w:rsidRPr="00D17328">
        <w:rPr>
          <w:rFonts w:ascii="Times New Roman" w:hAnsi="Times New Roman"/>
          <w:bCs/>
          <w:lang w:val="es-ES"/>
        </w:rPr>
        <w:t>es la disminución del turismo derivado de las restricciones de movilidad en todos los países, afectando</w:t>
      </w:r>
      <w:r w:rsidR="0036347D" w:rsidRPr="00D17328">
        <w:rPr>
          <w:rFonts w:ascii="Times New Roman" w:hAnsi="Times New Roman"/>
          <w:bCs/>
          <w:lang w:val="es-ES"/>
        </w:rPr>
        <w:t xml:space="preserve"> </w:t>
      </w:r>
      <w:r w:rsidRPr="00D17328">
        <w:rPr>
          <w:rFonts w:ascii="Times New Roman" w:hAnsi="Times New Roman"/>
          <w:bCs/>
          <w:lang w:val="es-ES"/>
        </w:rPr>
        <w:t>principalmente a los estados en donde este sector es preponderante. En cuarto lugar, la presión en los ingresos petroleros ante las caídas en precios y ventas de hidrocarburos y</w:t>
      </w:r>
      <w:r w:rsidR="0036347D" w:rsidRPr="00D17328">
        <w:rPr>
          <w:rFonts w:ascii="Times New Roman" w:hAnsi="Times New Roman"/>
          <w:bCs/>
          <w:lang w:val="es-ES"/>
        </w:rPr>
        <w:t xml:space="preserve"> </w:t>
      </w:r>
      <w:r w:rsidRPr="00D17328">
        <w:rPr>
          <w:rFonts w:ascii="Times New Roman" w:hAnsi="Times New Roman"/>
          <w:bCs/>
          <w:lang w:val="es-ES"/>
        </w:rPr>
        <w:t>combustibles que se vieron afectados por la desaceleración en la demanda global, la cual fue exacerbada por</w:t>
      </w:r>
      <w:r w:rsidR="0036347D" w:rsidRPr="00D17328">
        <w:rPr>
          <w:rFonts w:ascii="Times New Roman" w:hAnsi="Times New Roman"/>
          <w:bCs/>
          <w:lang w:val="es-ES"/>
        </w:rPr>
        <w:t xml:space="preserve"> </w:t>
      </w:r>
      <w:r w:rsidRPr="00D17328">
        <w:rPr>
          <w:rFonts w:ascii="Times New Roman" w:hAnsi="Times New Roman"/>
          <w:bCs/>
          <w:lang w:val="es-ES"/>
        </w:rPr>
        <w:t>tensiones durante marzo y parte de abril entre los miembros de la OPEP+, así como por la disminución en la</w:t>
      </w:r>
      <w:r w:rsidR="0036347D" w:rsidRPr="00D17328">
        <w:rPr>
          <w:rFonts w:ascii="Times New Roman" w:hAnsi="Times New Roman"/>
          <w:bCs/>
          <w:lang w:val="es-ES"/>
        </w:rPr>
        <w:t xml:space="preserve"> </w:t>
      </w:r>
      <w:r w:rsidRPr="00D17328">
        <w:rPr>
          <w:rFonts w:ascii="Times New Roman" w:hAnsi="Times New Roman"/>
          <w:bCs/>
          <w:lang w:val="es-ES"/>
        </w:rPr>
        <w:t>movilidad. Aunque los precios se han recuperado significativamente desde los mínimos alcanzados en abril, estos</w:t>
      </w:r>
      <w:r w:rsidR="0036347D" w:rsidRPr="00D17328">
        <w:rPr>
          <w:rFonts w:ascii="Times New Roman" w:hAnsi="Times New Roman"/>
          <w:bCs/>
          <w:lang w:val="es-ES"/>
        </w:rPr>
        <w:t xml:space="preserve"> </w:t>
      </w:r>
      <w:r w:rsidRPr="00D17328">
        <w:rPr>
          <w:rFonts w:ascii="Times New Roman" w:hAnsi="Times New Roman"/>
          <w:bCs/>
          <w:lang w:val="es-ES"/>
        </w:rPr>
        <w:t>se han estabilizado en niveles menores a los observados previos a la pandemia y a los usados en la estimación de</w:t>
      </w:r>
      <w:r w:rsidR="0036347D" w:rsidRPr="00D17328">
        <w:rPr>
          <w:rFonts w:ascii="Times New Roman" w:hAnsi="Times New Roman"/>
          <w:bCs/>
          <w:lang w:val="es-ES"/>
        </w:rPr>
        <w:t xml:space="preserve"> </w:t>
      </w:r>
      <w:r w:rsidRPr="00D17328">
        <w:rPr>
          <w:rFonts w:ascii="Times New Roman" w:hAnsi="Times New Roman"/>
          <w:bCs/>
          <w:lang w:val="es-ES"/>
        </w:rPr>
        <w:t>ingresos. La caída en los ingresos petroleros se espera incluso en el contexto del incremento estimado de 2.5%</w:t>
      </w:r>
      <w:r w:rsidR="0036347D" w:rsidRPr="00D17328">
        <w:rPr>
          <w:rFonts w:ascii="Times New Roman" w:hAnsi="Times New Roman"/>
          <w:bCs/>
          <w:lang w:val="es-ES"/>
        </w:rPr>
        <w:t xml:space="preserve"> </w:t>
      </w:r>
      <w:r w:rsidRPr="00D17328">
        <w:rPr>
          <w:rFonts w:ascii="Times New Roman" w:hAnsi="Times New Roman"/>
          <w:bCs/>
          <w:lang w:val="es-ES"/>
        </w:rPr>
        <w:t>respecto a 2019 en la plataforma de producción de crudo. En quinto lugar, el aumento en el valor en moneda nacional de la deuda externa por el mayor tipo de cambio,</w:t>
      </w:r>
      <w:r w:rsidR="0036347D" w:rsidRPr="00D17328">
        <w:rPr>
          <w:rFonts w:ascii="Times New Roman" w:hAnsi="Times New Roman"/>
          <w:bCs/>
          <w:lang w:val="es-ES"/>
        </w:rPr>
        <w:t xml:space="preserve"> </w:t>
      </w:r>
      <w:r w:rsidRPr="00D17328">
        <w:rPr>
          <w:rFonts w:ascii="Times New Roman" w:hAnsi="Times New Roman"/>
          <w:bCs/>
          <w:lang w:val="es-ES"/>
        </w:rPr>
        <w:t xml:space="preserve">derivado del aumento en la aversión al riesgo entre </w:t>
      </w:r>
      <w:r w:rsidRPr="00D17328">
        <w:rPr>
          <w:rFonts w:ascii="Times New Roman" w:hAnsi="Times New Roman"/>
          <w:bCs/>
          <w:lang w:val="es-ES"/>
        </w:rPr>
        <w:lastRenderedPageBreak/>
        <w:t>inversionistas de todo el mundo que ocasionó una salida</w:t>
      </w:r>
      <w:r w:rsidR="0036347D" w:rsidRPr="00D17328">
        <w:rPr>
          <w:rFonts w:ascii="Times New Roman" w:hAnsi="Times New Roman"/>
          <w:bCs/>
          <w:lang w:val="es-ES"/>
        </w:rPr>
        <w:t xml:space="preserve"> </w:t>
      </w:r>
      <w:r w:rsidRPr="00D17328">
        <w:rPr>
          <w:rFonts w:ascii="Times New Roman" w:hAnsi="Times New Roman"/>
          <w:bCs/>
          <w:lang w:val="es-ES"/>
        </w:rPr>
        <w:t>significativa de capital de los mercados emergentes hacia activos más seguros, provocando con ello la</w:t>
      </w:r>
      <w:r w:rsidR="0036347D" w:rsidRPr="00D17328">
        <w:rPr>
          <w:rFonts w:ascii="Times New Roman" w:hAnsi="Times New Roman"/>
          <w:bCs/>
          <w:lang w:val="es-ES"/>
        </w:rPr>
        <w:t xml:space="preserve"> </w:t>
      </w:r>
      <w:r w:rsidRPr="00D17328">
        <w:rPr>
          <w:rFonts w:ascii="Times New Roman" w:hAnsi="Times New Roman"/>
          <w:bCs/>
          <w:lang w:val="es-ES"/>
        </w:rPr>
        <w:t>depreciación de la moneda. Este efecto se puede visualizar al comparar el aumento de la deuda al tomar el punto</w:t>
      </w:r>
      <w:r w:rsidR="0036347D" w:rsidRPr="00D17328">
        <w:rPr>
          <w:rFonts w:ascii="Times New Roman" w:hAnsi="Times New Roman"/>
          <w:bCs/>
          <w:lang w:val="es-ES"/>
        </w:rPr>
        <w:t xml:space="preserve"> </w:t>
      </w:r>
      <w:r w:rsidRPr="00D17328">
        <w:rPr>
          <w:rFonts w:ascii="Times New Roman" w:hAnsi="Times New Roman"/>
          <w:bCs/>
          <w:lang w:val="es-ES"/>
        </w:rPr>
        <w:t xml:space="preserve">más bajo antes de contar con algún contagio de COVID-19 en México, de 18.5 </w:t>
      </w:r>
      <w:r w:rsidR="007B708B" w:rsidRPr="00D17328">
        <w:rPr>
          <w:rFonts w:ascii="Times New Roman" w:hAnsi="Times New Roman"/>
          <w:bCs/>
          <w:lang w:val="es-ES"/>
        </w:rPr>
        <w:t>ppd</w:t>
      </w:r>
      <w:r w:rsidRPr="00D17328">
        <w:rPr>
          <w:rFonts w:ascii="Times New Roman" w:hAnsi="Times New Roman"/>
          <w:bCs/>
          <w:lang w:val="es-ES"/>
        </w:rPr>
        <w:t>, y el punto más alto</w:t>
      </w:r>
      <w:r w:rsidR="0036347D" w:rsidRPr="00D17328">
        <w:rPr>
          <w:rFonts w:ascii="Times New Roman" w:hAnsi="Times New Roman"/>
          <w:bCs/>
          <w:lang w:val="es-ES"/>
        </w:rPr>
        <w:t xml:space="preserve"> </w:t>
      </w:r>
      <w:r w:rsidRPr="00D17328">
        <w:rPr>
          <w:rFonts w:ascii="Times New Roman" w:hAnsi="Times New Roman"/>
          <w:bCs/>
          <w:lang w:val="es-ES"/>
        </w:rPr>
        <w:t xml:space="preserve">alcanzado posteriormente de 25.4 </w:t>
      </w:r>
      <w:r w:rsidR="007B708B" w:rsidRPr="00D17328">
        <w:rPr>
          <w:rFonts w:ascii="Times New Roman" w:hAnsi="Times New Roman"/>
          <w:bCs/>
          <w:lang w:val="es-ES"/>
        </w:rPr>
        <w:t>ppd</w:t>
      </w:r>
      <w:r w:rsidRPr="00D17328">
        <w:rPr>
          <w:rFonts w:ascii="Times New Roman" w:hAnsi="Times New Roman"/>
          <w:bCs/>
          <w:lang w:val="es-ES"/>
        </w:rPr>
        <w:t>, en donde dicha diferencia resulta en un aumento de 1.4</w:t>
      </w:r>
      <w:r w:rsidR="0036347D" w:rsidRPr="00D17328">
        <w:rPr>
          <w:rFonts w:ascii="Times New Roman" w:hAnsi="Times New Roman"/>
          <w:bCs/>
          <w:lang w:val="es-ES"/>
        </w:rPr>
        <w:t xml:space="preserve"> </w:t>
      </w:r>
      <w:r w:rsidRPr="00D17328">
        <w:rPr>
          <w:rFonts w:ascii="Times New Roman" w:hAnsi="Times New Roman"/>
          <w:bCs/>
          <w:lang w:val="es-ES"/>
        </w:rPr>
        <w:t>billones de pesos de la deuda pública. En este contexto, los países emergentes cuentan con una capacidad de</w:t>
      </w:r>
      <w:r w:rsidR="0036347D" w:rsidRPr="00D17328">
        <w:rPr>
          <w:rFonts w:ascii="Times New Roman" w:hAnsi="Times New Roman"/>
          <w:bCs/>
          <w:lang w:val="es-ES"/>
        </w:rPr>
        <w:t xml:space="preserve"> </w:t>
      </w:r>
      <w:r w:rsidRPr="00D17328">
        <w:rPr>
          <w:rFonts w:ascii="Times New Roman" w:hAnsi="Times New Roman"/>
          <w:bCs/>
          <w:lang w:val="es-ES"/>
        </w:rPr>
        <w:t>endeudamiento limitada, razón por la cual es importante que cualquier decisión relacionada con incrementar el</w:t>
      </w:r>
      <w:r w:rsidR="0036347D" w:rsidRPr="00D17328">
        <w:rPr>
          <w:rFonts w:ascii="Times New Roman" w:hAnsi="Times New Roman"/>
          <w:bCs/>
          <w:lang w:val="es-ES"/>
        </w:rPr>
        <w:t xml:space="preserve"> </w:t>
      </w:r>
      <w:r w:rsidRPr="00D17328">
        <w:rPr>
          <w:rFonts w:ascii="Times New Roman" w:hAnsi="Times New Roman"/>
          <w:bCs/>
          <w:lang w:val="es-ES"/>
        </w:rPr>
        <w:t>endeudamiento público debe tomarse con cautela, a fin de no caer en desequilibrios fiscales que puedan tener</w:t>
      </w:r>
      <w:r w:rsidR="0036347D" w:rsidRPr="00D17328">
        <w:rPr>
          <w:rFonts w:ascii="Times New Roman" w:hAnsi="Times New Roman"/>
          <w:bCs/>
          <w:lang w:val="es-ES"/>
        </w:rPr>
        <w:t xml:space="preserve"> </w:t>
      </w:r>
      <w:r w:rsidRPr="00D17328">
        <w:rPr>
          <w:rFonts w:ascii="Times New Roman" w:hAnsi="Times New Roman"/>
          <w:bCs/>
          <w:lang w:val="es-ES"/>
        </w:rPr>
        <w:t>consecuencias de carácter intergeneracional.</w:t>
      </w:r>
    </w:p>
    <w:p w14:paraId="2D3D989D" w14:textId="5A583809" w:rsidR="00571023" w:rsidRPr="00D17328" w:rsidRDefault="00571023" w:rsidP="00992F99">
      <w:pPr>
        <w:pStyle w:val="PRIMERAPLANA"/>
        <w:spacing w:line="360" w:lineRule="auto"/>
        <w:rPr>
          <w:rFonts w:ascii="Times New Roman" w:hAnsi="Times New Roman"/>
          <w:bCs/>
          <w:lang w:val="es-ES"/>
        </w:rPr>
      </w:pPr>
    </w:p>
    <w:p w14:paraId="46AC2F1E" w14:textId="1974D14C" w:rsidR="00CC1B66" w:rsidRPr="00D17328" w:rsidRDefault="00CC1B66" w:rsidP="009E2B85">
      <w:pPr>
        <w:pStyle w:val="PRIMERAPLANA"/>
        <w:spacing w:line="360" w:lineRule="auto"/>
        <w:rPr>
          <w:rFonts w:ascii="Times New Roman" w:hAnsi="Times New Roman"/>
          <w:bCs/>
          <w:lang w:val="es-ES"/>
        </w:rPr>
      </w:pPr>
      <w:r w:rsidRPr="00D17328">
        <w:rPr>
          <w:rFonts w:ascii="Times New Roman" w:hAnsi="Times New Roman"/>
          <w:bCs/>
          <w:lang w:val="es-ES"/>
        </w:rPr>
        <w:t>Priorizando en todo momento la salud y el bienestar de la población, particularmente de los sectores más</w:t>
      </w:r>
      <w:r w:rsidR="009E2B85" w:rsidRPr="00D17328">
        <w:rPr>
          <w:rFonts w:ascii="Times New Roman" w:hAnsi="Times New Roman"/>
          <w:bCs/>
          <w:lang w:val="es-ES"/>
        </w:rPr>
        <w:t xml:space="preserve"> </w:t>
      </w:r>
      <w:r w:rsidRPr="00D17328">
        <w:rPr>
          <w:rFonts w:ascii="Times New Roman" w:hAnsi="Times New Roman"/>
          <w:bCs/>
          <w:lang w:val="es-ES"/>
        </w:rPr>
        <w:t>afectados por la pandemia del COVID-19, y al tiempo que se mantiene la reactivación del sector interno y externo,</w:t>
      </w:r>
      <w:r w:rsidR="009E2B85" w:rsidRPr="00D17328">
        <w:rPr>
          <w:rFonts w:ascii="Times New Roman" w:hAnsi="Times New Roman"/>
          <w:bCs/>
          <w:lang w:val="es-ES"/>
        </w:rPr>
        <w:t xml:space="preserve"> </w:t>
      </w:r>
      <w:r w:rsidRPr="00D17328">
        <w:rPr>
          <w:rFonts w:ascii="Times New Roman" w:hAnsi="Times New Roman"/>
          <w:bCs/>
          <w:lang w:val="es-ES"/>
        </w:rPr>
        <w:t>el Gobierno de México continúa haciendo frente al reto sanitario más grande de la historia, que ha dejado una</w:t>
      </w:r>
      <w:r w:rsidR="009E2B85" w:rsidRPr="00D17328">
        <w:rPr>
          <w:rFonts w:ascii="Times New Roman" w:hAnsi="Times New Roman"/>
          <w:bCs/>
          <w:lang w:val="es-ES"/>
        </w:rPr>
        <w:t xml:space="preserve"> </w:t>
      </w:r>
      <w:r w:rsidRPr="00D17328">
        <w:rPr>
          <w:rFonts w:ascii="Times New Roman" w:hAnsi="Times New Roman"/>
          <w:bCs/>
          <w:lang w:val="es-ES"/>
        </w:rPr>
        <w:t>lamentable pérdida de vidas humanas y afectaciones a la salud en millones de personas de todo el mundo. En</w:t>
      </w:r>
      <w:r w:rsidR="009E2B85" w:rsidRPr="00D17328">
        <w:rPr>
          <w:rFonts w:ascii="Times New Roman" w:hAnsi="Times New Roman"/>
          <w:bCs/>
          <w:lang w:val="es-ES"/>
        </w:rPr>
        <w:t xml:space="preserve"> </w:t>
      </w:r>
      <w:r w:rsidRPr="00D17328">
        <w:rPr>
          <w:rFonts w:ascii="Times New Roman" w:hAnsi="Times New Roman"/>
          <w:bCs/>
          <w:lang w:val="es-ES"/>
        </w:rPr>
        <w:t>nuestro país, al 5 de septiembre se han presentado 629,409 casos confirmados de COVID-19 y 67,326</w:t>
      </w:r>
      <w:r w:rsidR="009E2B85" w:rsidRPr="00D17328">
        <w:rPr>
          <w:rFonts w:ascii="Times New Roman" w:hAnsi="Times New Roman"/>
          <w:bCs/>
          <w:lang w:val="es-ES"/>
        </w:rPr>
        <w:t xml:space="preserve"> </w:t>
      </w:r>
      <w:r w:rsidRPr="00D17328">
        <w:rPr>
          <w:rFonts w:ascii="Times New Roman" w:hAnsi="Times New Roman"/>
          <w:bCs/>
          <w:lang w:val="es-ES"/>
        </w:rPr>
        <w:t xml:space="preserve">fallecimientos. </w:t>
      </w:r>
    </w:p>
    <w:p w14:paraId="6E329BA8" w14:textId="77777777" w:rsidR="009E2B85" w:rsidRPr="00D17328" w:rsidRDefault="009E2B85" w:rsidP="009E2B85">
      <w:pPr>
        <w:pStyle w:val="PRIMERAPLANA"/>
        <w:spacing w:line="360" w:lineRule="auto"/>
        <w:rPr>
          <w:rFonts w:ascii="Times New Roman" w:hAnsi="Times New Roman"/>
          <w:bCs/>
          <w:lang w:val="es-ES"/>
        </w:rPr>
      </w:pPr>
    </w:p>
    <w:p w14:paraId="60FDF027" w14:textId="4E493C8E" w:rsidR="00CC1B66" w:rsidRPr="00D17328" w:rsidRDefault="00CC1B66" w:rsidP="009E2B85">
      <w:pPr>
        <w:pStyle w:val="PRIMERAPLANA"/>
        <w:spacing w:line="360" w:lineRule="auto"/>
        <w:rPr>
          <w:rFonts w:ascii="Times New Roman" w:hAnsi="Times New Roman"/>
          <w:bCs/>
          <w:lang w:val="es-ES"/>
        </w:rPr>
      </w:pPr>
      <w:r w:rsidRPr="00D17328">
        <w:rPr>
          <w:rFonts w:ascii="Times New Roman" w:hAnsi="Times New Roman"/>
          <w:bCs/>
          <w:lang w:val="es-ES"/>
        </w:rPr>
        <w:t>Las medidas implementadas por el Gobierno de México, a través del desarrollo acelerado de la capacidad de</w:t>
      </w:r>
      <w:r w:rsidR="009E2B85" w:rsidRPr="00D17328">
        <w:rPr>
          <w:rFonts w:ascii="Times New Roman" w:hAnsi="Times New Roman"/>
          <w:bCs/>
          <w:lang w:val="es-ES"/>
        </w:rPr>
        <w:t xml:space="preserve"> </w:t>
      </w:r>
      <w:r w:rsidRPr="00D17328">
        <w:rPr>
          <w:rFonts w:ascii="Times New Roman" w:hAnsi="Times New Roman"/>
          <w:bCs/>
          <w:lang w:val="es-ES"/>
        </w:rPr>
        <w:t>atención hospitalaria y de la respuesta de los gobiernos subnacionales para frenar los contagios y coordinar una</w:t>
      </w:r>
      <w:r w:rsidR="009E2B85" w:rsidRPr="00D17328">
        <w:rPr>
          <w:rFonts w:ascii="Times New Roman" w:hAnsi="Times New Roman"/>
          <w:bCs/>
          <w:lang w:val="es-ES"/>
        </w:rPr>
        <w:t xml:space="preserve"> </w:t>
      </w:r>
      <w:r w:rsidRPr="00D17328">
        <w:rPr>
          <w:rFonts w:ascii="Times New Roman" w:hAnsi="Times New Roman"/>
          <w:bCs/>
          <w:lang w:val="es-ES"/>
        </w:rPr>
        <w:t>reapertura paulatina y ordenada de las actividades económicas, han permitido que la ocupación promedio a nivel</w:t>
      </w:r>
      <w:r w:rsidR="009E2B85" w:rsidRPr="00D17328">
        <w:rPr>
          <w:rFonts w:ascii="Times New Roman" w:hAnsi="Times New Roman"/>
          <w:bCs/>
          <w:lang w:val="es-ES"/>
        </w:rPr>
        <w:t xml:space="preserve"> </w:t>
      </w:r>
      <w:r w:rsidRPr="00D17328">
        <w:rPr>
          <w:rFonts w:ascii="Times New Roman" w:hAnsi="Times New Roman"/>
          <w:bCs/>
          <w:lang w:val="es-ES"/>
        </w:rPr>
        <w:t>nacional de camas para casos de COVID-19, tanto para hospitalización general como con ventiladores, se haya</w:t>
      </w:r>
      <w:r w:rsidR="009E2B85" w:rsidRPr="00D17328">
        <w:rPr>
          <w:rFonts w:ascii="Times New Roman" w:hAnsi="Times New Roman"/>
          <w:bCs/>
          <w:lang w:val="es-ES"/>
        </w:rPr>
        <w:t xml:space="preserve"> </w:t>
      </w:r>
      <w:r w:rsidRPr="00D17328">
        <w:rPr>
          <w:rFonts w:ascii="Times New Roman" w:hAnsi="Times New Roman"/>
          <w:bCs/>
          <w:lang w:val="es-ES"/>
        </w:rPr>
        <w:t>mantenido en todo momento por debajo del 50 y 45%, respectivamente, por lo que el sistema de salud no se ha</w:t>
      </w:r>
      <w:r w:rsidR="009E2B85" w:rsidRPr="00D17328">
        <w:rPr>
          <w:rFonts w:ascii="Times New Roman" w:hAnsi="Times New Roman"/>
          <w:bCs/>
          <w:lang w:val="es-ES"/>
        </w:rPr>
        <w:t xml:space="preserve"> </w:t>
      </w:r>
      <w:r w:rsidRPr="00D17328">
        <w:rPr>
          <w:rFonts w:ascii="Times New Roman" w:hAnsi="Times New Roman"/>
          <w:bCs/>
          <w:lang w:val="es-ES"/>
        </w:rPr>
        <w:t xml:space="preserve">saturado. </w:t>
      </w:r>
    </w:p>
    <w:p w14:paraId="6AA505C6" w14:textId="77777777" w:rsidR="009E2B85" w:rsidRPr="00D17328" w:rsidRDefault="009E2B85" w:rsidP="009E2B85">
      <w:pPr>
        <w:pStyle w:val="PRIMERAPLANA"/>
        <w:spacing w:line="360" w:lineRule="auto"/>
        <w:rPr>
          <w:rFonts w:ascii="Times New Roman" w:hAnsi="Times New Roman"/>
          <w:bCs/>
          <w:lang w:val="es-ES"/>
        </w:rPr>
      </w:pPr>
    </w:p>
    <w:p w14:paraId="056AA0C4" w14:textId="37D8E399" w:rsidR="00571023" w:rsidRPr="00D17328" w:rsidRDefault="00CC1B66" w:rsidP="00CC1B66">
      <w:pPr>
        <w:pStyle w:val="PRIMERAPLANA"/>
        <w:spacing w:line="360" w:lineRule="auto"/>
        <w:rPr>
          <w:rFonts w:ascii="Times New Roman" w:hAnsi="Times New Roman"/>
          <w:bCs/>
          <w:lang w:val="es-ES"/>
        </w:rPr>
      </w:pPr>
      <w:r w:rsidRPr="00D17328">
        <w:rPr>
          <w:rFonts w:ascii="Times New Roman" w:hAnsi="Times New Roman"/>
          <w:bCs/>
          <w:lang w:val="es-ES"/>
        </w:rPr>
        <w:t>Al 5 de septiembre, el promedio semanal de casos diarios alcanzó 5,385 casos, 23.3% menos que el promedio de</w:t>
      </w:r>
      <w:r w:rsidR="009E2B85" w:rsidRPr="00D17328">
        <w:rPr>
          <w:rFonts w:ascii="Times New Roman" w:hAnsi="Times New Roman"/>
          <w:bCs/>
          <w:lang w:val="es-ES"/>
        </w:rPr>
        <w:t xml:space="preserve"> </w:t>
      </w:r>
      <w:r w:rsidRPr="00D17328">
        <w:rPr>
          <w:rFonts w:ascii="Times New Roman" w:hAnsi="Times New Roman"/>
          <w:bCs/>
          <w:lang w:val="es-ES"/>
        </w:rPr>
        <w:t>7,022 registrado en el pico epidemiológico, observado entre el 26 de julio y el 1 de agosto. Con esta disminución,</w:t>
      </w:r>
      <w:r w:rsidR="009E2B85" w:rsidRPr="00D17328">
        <w:rPr>
          <w:rFonts w:ascii="Times New Roman" w:hAnsi="Times New Roman"/>
          <w:bCs/>
          <w:lang w:val="es-ES"/>
        </w:rPr>
        <w:t xml:space="preserve"> </w:t>
      </w:r>
      <w:r w:rsidRPr="00D17328">
        <w:rPr>
          <w:rFonts w:ascii="Times New Roman" w:hAnsi="Times New Roman"/>
          <w:bCs/>
          <w:lang w:val="es-ES"/>
        </w:rPr>
        <w:t>la ocupación de camas de hospitalización general y con ventilador llegó a 33 y 29%, respectivamente. Más aun, 30</w:t>
      </w:r>
      <w:r w:rsidR="009E2B85" w:rsidRPr="00D17328">
        <w:rPr>
          <w:rFonts w:ascii="Times New Roman" w:hAnsi="Times New Roman"/>
          <w:bCs/>
          <w:lang w:val="es-ES"/>
        </w:rPr>
        <w:t xml:space="preserve"> </w:t>
      </w:r>
      <w:r w:rsidRPr="00D17328">
        <w:rPr>
          <w:rFonts w:ascii="Times New Roman" w:hAnsi="Times New Roman"/>
          <w:bCs/>
          <w:lang w:val="es-ES"/>
        </w:rPr>
        <w:t>estados de la República tenían disponibles más del 50% de ambos tipos de camas de hospitalización.</w:t>
      </w:r>
    </w:p>
    <w:p w14:paraId="0B451A77" w14:textId="11FFFF1B" w:rsidR="00571023" w:rsidRPr="00D17328" w:rsidRDefault="00571023" w:rsidP="00992F99">
      <w:pPr>
        <w:pStyle w:val="PRIMERAPLANA"/>
        <w:spacing w:line="360" w:lineRule="auto"/>
        <w:rPr>
          <w:rFonts w:ascii="Times New Roman" w:hAnsi="Times New Roman"/>
          <w:bCs/>
          <w:lang w:val="es-ES"/>
        </w:rPr>
      </w:pPr>
    </w:p>
    <w:p w14:paraId="021D93C0" w14:textId="0EC0A4A7" w:rsidR="00CC1B66" w:rsidRPr="00D17328" w:rsidRDefault="00CC1B66" w:rsidP="009E2B85">
      <w:pPr>
        <w:pStyle w:val="PRIMERAPLANA"/>
        <w:spacing w:line="360" w:lineRule="auto"/>
        <w:rPr>
          <w:rFonts w:ascii="Times New Roman" w:hAnsi="Times New Roman"/>
          <w:bCs/>
          <w:lang w:val="es-ES"/>
        </w:rPr>
      </w:pPr>
      <w:r w:rsidRPr="00D17328">
        <w:rPr>
          <w:rFonts w:ascii="Times New Roman" w:hAnsi="Times New Roman"/>
          <w:bCs/>
          <w:lang w:val="es-ES"/>
        </w:rPr>
        <w:t>La recuperación en la actividad económica en los distintos sectores ha impulsado el mercado interno. Así el</w:t>
      </w:r>
      <w:r w:rsidR="009E2B85" w:rsidRPr="00D17328">
        <w:rPr>
          <w:rFonts w:ascii="Times New Roman" w:hAnsi="Times New Roman"/>
          <w:bCs/>
          <w:lang w:val="es-ES"/>
        </w:rPr>
        <w:t xml:space="preserve"> </w:t>
      </w:r>
      <w:r w:rsidRPr="00D17328">
        <w:rPr>
          <w:rFonts w:ascii="Times New Roman" w:hAnsi="Times New Roman"/>
          <w:bCs/>
          <w:lang w:val="es-ES"/>
        </w:rPr>
        <w:t>consumo privado y la inversión tuvieron una recuperación importante en el crecimiento de junio al presentar un</w:t>
      </w:r>
      <w:r w:rsidR="009E2B85" w:rsidRPr="00D17328">
        <w:rPr>
          <w:rFonts w:ascii="Times New Roman" w:hAnsi="Times New Roman"/>
          <w:bCs/>
          <w:lang w:val="es-ES"/>
        </w:rPr>
        <w:t xml:space="preserve"> </w:t>
      </w:r>
      <w:r w:rsidRPr="00D17328">
        <w:rPr>
          <w:rFonts w:ascii="Times New Roman" w:hAnsi="Times New Roman"/>
          <w:bCs/>
          <w:lang w:val="es-ES"/>
        </w:rPr>
        <w:t>aumento de 5.5 y 20.1% respecto a mayo con cifras desestacionalizadas. Al interior del consumo privado destaca</w:t>
      </w:r>
      <w:r w:rsidR="009E2B85" w:rsidRPr="00D17328">
        <w:rPr>
          <w:rFonts w:ascii="Times New Roman" w:hAnsi="Times New Roman"/>
          <w:bCs/>
          <w:lang w:val="es-ES"/>
        </w:rPr>
        <w:t xml:space="preserve"> </w:t>
      </w:r>
      <w:r w:rsidRPr="00D17328">
        <w:rPr>
          <w:rFonts w:ascii="Times New Roman" w:hAnsi="Times New Roman"/>
          <w:bCs/>
          <w:lang w:val="es-ES"/>
        </w:rPr>
        <w:t xml:space="preserve">el aumento del consumo de bienes nacionales por 7.9%, mientras que los </w:t>
      </w:r>
      <w:r w:rsidRPr="00D17328">
        <w:rPr>
          <w:rFonts w:ascii="Times New Roman" w:hAnsi="Times New Roman"/>
          <w:bCs/>
          <w:lang w:val="es-ES"/>
        </w:rPr>
        <w:lastRenderedPageBreak/>
        <w:t>servicios nacionales presentaron un</w:t>
      </w:r>
      <w:r w:rsidR="009E2B85" w:rsidRPr="00D17328">
        <w:rPr>
          <w:rFonts w:ascii="Times New Roman" w:hAnsi="Times New Roman"/>
          <w:bCs/>
          <w:lang w:val="es-ES"/>
        </w:rPr>
        <w:t xml:space="preserve"> </w:t>
      </w:r>
      <w:r w:rsidRPr="00D17328">
        <w:rPr>
          <w:rFonts w:ascii="Times New Roman" w:hAnsi="Times New Roman"/>
          <w:bCs/>
          <w:lang w:val="es-ES"/>
        </w:rPr>
        <w:t>crecimiento menor de 1.5%. Para la inversión privada, el componente que contribuyó en mayor proporción a su</w:t>
      </w:r>
      <w:r w:rsidR="009E2B85" w:rsidRPr="00D17328">
        <w:rPr>
          <w:rFonts w:ascii="Times New Roman" w:hAnsi="Times New Roman"/>
          <w:bCs/>
          <w:lang w:val="es-ES"/>
        </w:rPr>
        <w:t xml:space="preserve"> </w:t>
      </w:r>
      <w:r w:rsidRPr="00D17328">
        <w:rPr>
          <w:rFonts w:ascii="Times New Roman" w:hAnsi="Times New Roman"/>
          <w:bCs/>
          <w:lang w:val="es-ES"/>
        </w:rPr>
        <w:t>crecimiento fue la inversión en maquinaria y equipo con un crecimiento en junio de 25.8% con respecto a mayo,</w:t>
      </w:r>
      <w:r w:rsidR="009E2B85" w:rsidRPr="00D17328">
        <w:rPr>
          <w:rFonts w:ascii="Times New Roman" w:hAnsi="Times New Roman"/>
          <w:bCs/>
          <w:lang w:val="es-ES"/>
        </w:rPr>
        <w:t xml:space="preserve"> </w:t>
      </w:r>
      <w:r w:rsidRPr="00D17328">
        <w:rPr>
          <w:rFonts w:ascii="Times New Roman" w:hAnsi="Times New Roman"/>
          <w:bCs/>
          <w:lang w:val="es-ES"/>
        </w:rPr>
        <w:t xml:space="preserve">al tiempo que la construcción aumentó en 13.7%, para el mismo periodo. </w:t>
      </w:r>
    </w:p>
    <w:p w14:paraId="727601B0" w14:textId="77777777" w:rsidR="009E2B85" w:rsidRPr="00D17328" w:rsidRDefault="009E2B85" w:rsidP="009E2B85">
      <w:pPr>
        <w:pStyle w:val="PRIMERAPLANA"/>
        <w:spacing w:line="360" w:lineRule="auto"/>
        <w:rPr>
          <w:rFonts w:ascii="Times New Roman" w:hAnsi="Times New Roman"/>
          <w:bCs/>
          <w:lang w:val="es-ES"/>
        </w:rPr>
      </w:pPr>
    </w:p>
    <w:p w14:paraId="51D43FCD" w14:textId="73774DE3" w:rsidR="00CC1B66" w:rsidRPr="00D17328" w:rsidRDefault="009E2B85" w:rsidP="00CC1B66">
      <w:pPr>
        <w:pStyle w:val="PRIMERAPLANA"/>
        <w:spacing w:line="360" w:lineRule="auto"/>
        <w:rPr>
          <w:rFonts w:ascii="Times New Roman" w:hAnsi="Times New Roman"/>
          <w:bCs/>
          <w:lang w:val="es-ES"/>
        </w:rPr>
      </w:pPr>
      <w:r w:rsidRPr="00D17328">
        <w:rPr>
          <w:rFonts w:ascii="Times New Roman" w:hAnsi="Times New Roman"/>
          <w:bCs/>
          <w:lang w:val="es-ES"/>
        </w:rPr>
        <w:t>L</w:t>
      </w:r>
      <w:r w:rsidR="00CC1B66" w:rsidRPr="00D17328">
        <w:rPr>
          <w:rFonts w:ascii="Times New Roman" w:hAnsi="Times New Roman"/>
          <w:bCs/>
          <w:lang w:val="es-ES"/>
        </w:rPr>
        <w:t>a recuperación económica en el consumo y la inversión estuvieron apoyadas en el empleo y los aumentos en</w:t>
      </w:r>
      <w:r w:rsidRPr="00D17328">
        <w:rPr>
          <w:rFonts w:ascii="Times New Roman" w:hAnsi="Times New Roman"/>
          <w:bCs/>
          <w:lang w:val="es-ES"/>
        </w:rPr>
        <w:t xml:space="preserve"> </w:t>
      </w:r>
      <w:r w:rsidR="00CC1B66" w:rsidRPr="00D17328">
        <w:rPr>
          <w:rFonts w:ascii="Times New Roman" w:hAnsi="Times New Roman"/>
          <w:bCs/>
          <w:lang w:val="es-ES"/>
        </w:rPr>
        <w:t>los salarios reales. Con datos del INEGI, se observó una recuperación acumulada en mayo-julio de 6.5 millones de</w:t>
      </w:r>
      <w:r w:rsidRPr="00D17328">
        <w:rPr>
          <w:rFonts w:ascii="Times New Roman" w:hAnsi="Times New Roman"/>
          <w:bCs/>
          <w:lang w:val="es-ES"/>
        </w:rPr>
        <w:t xml:space="preserve"> </w:t>
      </w:r>
      <w:r w:rsidR="00CC1B66" w:rsidRPr="00D17328">
        <w:rPr>
          <w:rFonts w:ascii="Times New Roman" w:hAnsi="Times New Roman"/>
          <w:bCs/>
          <w:lang w:val="es-ES"/>
        </w:rPr>
        <w:t>ocupaciones o 52% de aquellas perdidas en abril, con una recuperación de 64.3% en el sector informal al ser más</w:t>
      </w:r>
      <w:r w:rsidRPr="00D17328">
        <w:rPr>
          <w:rFonts w:ascii="Times New Roman" w:hAnsi="Times New Roman"/>
          <w:bCs/>
          <w:lang w:val="es-ES"/>
        </w:rPr>
        <w:t xml:space="preserve"> </w:t>
      </w:r>
      <w:r w:rsidR="00CC1B66" w:rsidRPr="00D17328">
        <w:rPr>
          <w:rFonts w:ascii="Times New Roman" w:hAnsi="Times New Roman"/>
          <w:bCs/>
          <w:lang w:val="es-ES"/>
        </w:rPr>
        <w:t>flexible que el sector formal y el más afectado, al haber representado el 83.3% de las ocupaciones perdidas entre marzo y abril. Por su parte, el IMSS informó la recuperación de 126,092 empleos en la construcción, considerando</w:t>
      </w:r>
      <w:r w:rsidRPr="00D17328">
        <w:rPr>
          <w:rFonts w:ascii="Times New Roman" w:hAnsi="Times New Roman"/>
          <w:bCs/>
          <w:lang w:val="es-ES"/>
        </w:rPr>
        <w:t xml:space="preserve"> </w:t>
      </w:r>
      <w:r w:rsidR="00CC1B66" w:rsidRPr="00D17328">
        <w:rPr>
          <w:rFonts w:ascii="Times New Roman" w:hAnsi="Times New Roman"/>
          <w:bCs/>
          <w:lang w:val="es-ES"/>
        </w:rPr>
        <w:t>el bimestre junio-julio, y de 48,367 y 4,105 empleos en las manufacturas y el comercio durante julio,</w:t>
      </w:r>
      <w:r w:rsidRPr="00D17328">
        <w:rPr>
          <w:rFonts w:ascii="Times New Roman" w:hAnsi="Times New Roman"/>
          <w:bCs/>
          <w:lang w:val="es-ES"/>
        </w:rPr>
        <w:t xml:space="preserve"> </w:t>
      </w:r>
      <w:r w:rsidR="00CC1B66" w:rsidRPr="00D17328">
        <w:rPr>
          <w:rFonts w:ascii="Times New Roman" w:hAnsi="Times New Roman"/>
          <w:bCs/>
          <w:lang w:val="es-ES"/>
        </w:rPr>
        <w:t>respectivamente.</w:t>
      </w:r>
    </w:p>
    <w:p w14:paraId="4E4C8004" w14:textId="7F39F260" w:rsidR="00CC1B66" w:rsidRPr="00D17328" w:rsidRDefault="00CC1B66" w:rsidP="00992F99">
      <w:pPr>
        <w:pStyle w:val="PRIMERAPLANA"/>
        <w:spacing w:line="360" w:lineRule="auto"/>
        <w:rPr>
          <w:rFonts w:ascii="Times New Roman" w:hAnsi="Times New Roman"/>
          <w:bCs/>
          <w:lang w:val="es-ES"/>
        </w:rPr>
      </w:pPr>
    </w:p>
    <w:p w14:paraId="6D1441FC" w14:textId="0B4C3DA7" w:rsidR="008B7AE9" w:rsidRPr="00D17328" w:rsidRDefault="008B7AE9" w:rsidP="008B7AE9">
      <w:pPr>
        <w:pStyle w:val="PRIMERAPLANA"/>
        <w:spacing w:line="360" w:lineRule="auto"/>
        <w:rPr>
          <w:rFonts w:ascii="Times New Roman" w:hAnsi="Times New Roman"/>
          <w:bCs/>
          <w:lang w:val="es-ES"/>
        </w:rPr>
      </w:pPr>
      <w:r w:rsidRPr="00D17328">
        <w:rPr>
          <w:rFonts w:ascii="Times New Roman" w:hAnsi="Times New Roman"/>
          <w:bCs/>
          <w:lang w:val="es-ES"/>
        </w:rPr>
        <w:t>Se estima que en lo que resta del segundo semestre continuará la reactivación económica, basada en la</w:t>
      </w:r>
      <w:r w:rsidR="009E2B85" w:rsidRPr="00D17328">
        <w:rPr>
          <w:rFonts w:ascii="Times New Roman" w:hAnsi="Times New Roman"/>
          <w:bCs/>
          <w:lang w:val="es-ES"/>
        </w:rPr>
        <w:t xml:space="preserve"> </w:t>
      </w:r>
      <w:r w:rsidRPr="00D17328">
        <w:rPr>
          <w:rFonts w:ascii="Times New Roman" w:hAnsi="Times New Roman"/>
          <w:bCs/>
          <w:lang w:val="es-ES"/>
        </w:rPr>
        <w:t>reutilización de la capacidad productiva que permitirán la contención del COVID-19 y la asociada flexibilización</w:t>
      </w:r>
      <w:r w:rsidR="009E2B85" w:rsidRPr="00D17328">
        <w:rPr>
          <w:rFonts w:ascii="Times New Roman" w:hAnsi="Times New Roman"/>
          <w:bCs/>
          <w:lang w:val="es-ES"/>
        </w:rPr>
        <w:t xml:space="preserve"> </w:t>
      </w:r>
      <w:r w:rsidRPr="00D17328">
        <w:rPr>
          <w:rFonts w:ascii="Times New Roman" w:hAnsi="Times New Roman"/>
          <w:bCs/>
          <w:lang w:val="es-ES"/>
        </w:rPr>
        <w:t>ordenada en México de las restricciones a las actividades productivas, así como la reapertura de las economías</w:t>
      </w:r>
      <w:r w:rsidR="009E2B85" w:rsidRPr="00D17328">
        <w:rPr>
          <w:rFonts w:ascii="Times New Roman" w:hAnsi="Times New Roman"/>
          <w:bCs/>
          <w:lang w:val="es-ES"/>
        </w:rPr>
        <w:t xml:space="preserve"> </w:t>
      </w:r>
      <w:r w:rsidRPr="00D17328">
        <w:rPr>
          <w:rFonts w:ascii="Times New Roman" w:hAnsi="Times New Roman"/>
          <w:bCs/>
          <w:lang w:val="es-ES"/>
        </w:rPr>
        <w:t>del mundo, en especial las de importancia sistémica.</w:t>
      </w:r>
    </w:p>
    <w:p w14:paraId="70DBF43F" w14:textId="198E5ABD" w:rsidR="00CC1B66" w:rsidRPr="00D17328" w:rsidRDefault="00CC1B66" w:rsidP="00992F99">
      <w:pPr>
        <w:pStyle w:val="PRIMERAPLANA"/>
        <w:spacing w:line="360" w:lineRule="auto"/>
        <w:rPr>
          <w:rFonts w:ascii="Times New Roman" w:hAnsi="Times New Roman"/>
          <w:bCs/>
          <w:lang w:val="es-ES"/>
        </w:rPr>
      </w:pPr>
    </w:p>
    <w:p w14:paraId="053BD237" w14:textId="1537D52D" w:rsidR="00CC1B66" w:rsidRPr="00D17328" w:rsidRDefault="008B7AE9" w:rsidP="008B7AE9">
      <w:pPr>
        <w:pStyle w:val="PRIMERAPLANA"/>
        <w:spacing w:line="360" w:lineRule="auto"/>
        <w:rPr>
          <w:rFonts w:ascii="Times New Roman" w:hAnsi="Times New Roman"/>
          <w:bCs/>
          <w:lang w:val="es-ES"/>
        </w:rPr>
      </w:pPr>
      <w:r w:rsidRPr="00D17328">
        <w:rPr>
          <w:rFonts w:ascii="Times New Roman" w:hAnsi="Times New Roman"/>
          <w:bCs/>
          <w:lang w:val="es-ES"/>
        </w:rPr>
        <w:t>En este sentido, se espera que la producción manufacturera y las exportaciones continúen recuperándose,</w:t>
      </w:r>
      <w:r w:rsidR="009E2B85" w:rsidRPr="00D17328">
        <w:rPr>
          <w:rFonts w:ascii="Times New Roman" w:hAnsi="Times New Roman"/>
          <w:bCs/>
          <w:lang w:val="es-ES"/>
        </w:rPr>
        <w:t xml:space="preserve"> </w:t>
      </w:r>
      <w:r w:rsidRPr="00D17328">
        <w:rPr>
          <w:rFonts w:ascii="Times New Roman" w:hAnsi="Times New Roman"/>
          <w:bCs/>
          <w:lang w:val="es-ES"/>
        </w:rPr>
        <w:t>particularmente las no petroleras, impulsadas principalmente por una reactivación de la producción industrial</w:t>
      </w:r>
      <w:r w:rsidR="009E2B85" w:rsidRPr="00D17328">
        <w:rPr>
          <w:rFonts w:ascii="Times New Roman" w:hAnsi="Times New Roman"/>
          <w:bCs/>
          <w:lang w:val="es-ES"/>
        </w:rPr>
        <w:t xml:space="preserve"> </w:t>
      </w:r>
      <w:r w:rsidRPr="00D17328">
        <w:rPr>
          <w:rFonts w:ascii="Times New Roman" w:hAnsi="Times New Roman"/>
          <w:bCs/>
          <w:lang w:val="es-ES"/>
        </w:rPr>
        <w:t>de EEUU y en general por una mayor demanda de productos mexicanos, en línea con la reapertura global en</w:t>
      </w:r>
      <w:r w:rsidR="009E2B85" w:rsidRPr="00D17328">
        <w:rPr>
          <w:rFonts w:ascii="Times New Roman" w:hAnsi="Times New Roman"/>
          <w:bCs/>
          <w:lang w:val="es-ES"/>
        </w:rPr>
        <w:t xml:space="preserve"> </w:t>
      </w:r>
      <w:r w:rsidRPr="00D17328">
        <w:rPr>
          <w:rFonts w:ascii="Times New Roman" w:hAnsi="Times New Roman"/>
          <w:bCs/>
          <w:lang w:val="es-ES"/>
        </w:rPr>
        <w:t>proceso y la depreciación del peso. La certidumbre sobre el marco jurídico que rige nuestra relación comercial</w:t>
      </w:r>
      <w:r w:rsidR="009E2B85" w:rsidRPr="00D17328">
        <w:rPr>
          <w:rFonts w:ascii="Times New Roman" w:hAnsi="Times New Roman"/>
          <w:bCs/>
          <w:lang w:val="es-ES"/>
        </w:rPr>
        <w:t xml:space="preserve"> </w:t>
      </w:r>
      <w:r w:rsidRPr="00D17328">
        <w:rPr>
          <w:rFonts w:ascii="Times New Roman" w:hAnsi="Times New Roman"/>
          <w:bCs/>
          <w:lang w:val="es-ES"/>
        </w:rPr>
        <w:t>con nuestros principales socios también apoyará a lo anterior.</w:t>
      </w:r>
    </w:p>
    <w:p w14:paraId="3BE255EA" w14:textId="4C3A8B76" w:rsidR="00CC1B66" w:rsidRPr="00D17328" w:rsidRDefault="00CC1B66" w:rsidP="00992F99">
      <w:pPr>
        <w:pStyle w:val="PRIMERAPLANA"/>
        <w:spacing w:line="360" w:lineRule="auto"/>
        <w:rPr>
          <w:rFonts w:ascii="Times New Roman" w:hAnsi="Times New Roman"/>
          <w:bCs/>
          <w:lang w:val="es-ES"/>
        </w:rPr>
      </w:pPr>
    </w:p>
    <w:p w14:paraId="7D050741" w14:textId="00CCEDFA" w:rsidR="00CC1B66" w:rsidRPr="00D17328" w:rsidRDefault="008B7AE9" w:rsidP="008B7AE9">
      <w:pPr>
        <w:pStyle w:val="PRIMERAPLANA"/>
        <w:spacing w:line="360" w:lineRule="auto"/>
        <w:rPr>
          <w:rFonts w:ascii="Times New Roman" w:hAnsi="Times New Roman"/>
          <w:bCs/>
          <w:lang w:val="es-ES"/>
        </w:rPr>
      </w:pPr>
      <w:r w:rsidRPr="00D17328">
        <w:rPr>
          <w:rFonts w:ascii="Times New Roman" w:hAnsi="Times New Roman"/>
          <w:bCs/>
          <w:lang w:val="es-ES"/>
        </w:rPr>
        <w:t>Finalmente, se estima que la extensión de la duración de la pandemia continuará propiciando cambios</w:t>
      </w:r>
      <w:r w:rsidR="009E2B85" w:rsidRPr="00D17328">
        <w:rPr>
          <w:rFonts w:ascii="Times New Roman" w:hAnsi="Times New Roman"/>
          <w:bCs/>
          <w:lang w:val="es-ES"/>
        </w:rPr>
        <w:t xml:space="preserve"> </w:t>
      </w:r>
      <w:r w:rsidRPr="00D17328">
        <w:rPr>
          <w:rFonts w:ascii="Times New Roman" w:hAnsi="Times New Roman"/>
          <w:bCs/>
          <w:lang w:val="es-ES"/>
        </w:rPr>
        <w:t>conductuales e innovación por parte de individuos y negocios, a fin de adaptarse a un entorno que requiere más</w:t>
      </w:r>
      <w:r w:rsidR="009E2B85" w:rsidRPr="00D17328">
        <w:rPr>
          <w:rFonts w:ascii="Times New Roman" w:hAnsi="Times New Roman"/>
          <w:bCs/>
          <w:lang w:val="es-ES"/>
        </w:rPr>
        <w:t xml:space="preserve"> </w:t>
      </w:r>
      <w:r w:rsidRPr="00D17328">
        <w:rPr>
          <w:rFonts w:ascii="Times New Roman" w:hAnsi="Times New Roman"/>
          <w:bCs/>
          <w:lang w:val="es-ES"/>
        </w:rPr>
        <w:t>protocolos sanitarios y menos interacción entre personas, de tal manera que puedan llevarse a cabo la mayor</w:t>
      </w:r>
      <w:r w:rsidR="009E2B85" w:rsidRPr="00D17328">
        <w:rPr>
          <w:rFonts w:ascii="Times New Roman" w:hAnsi="Times New Roman"/>
          <w:bCs/>
          <w:lang w:val="es-ES"/>
        </w:rPr>
        <w:t xml:space="preserve"> </w:t>
      </w:r>
      <w:r w:rsidRPr="00D17328">
        <w:rPr>
          <w:rFonts w:ascii="Times New Roman" w:hAnsi="Times New Roman"/>
          <w:bCs/>
          <w:lang w:val="es-ES"/>
        </w:rPr>
        <w:t>parte de las actividades productivas. En esta línea, se espera que prosiga la aceleración del uso de medios y</w:t>
      </w:r>
      <w:r w:rsidR="009E2B85" w:rsidRPr="00D17328">
        <w:rPr>
          <w:rFonts w:ascii="Times New Roman" w:hAnsi="Times New Roman"/>
          <w:bCs/>
          <w:lang w:val="es-ES"/>
        </w:rPr>
        <w:t xml:space="preserve"> </w:t>
      </w:r>
      <w:r w:rsidRPr="00D17328">
        <w:rPr>
          <w:rFonts w:ascii="Times New Roman" w:hAnsi="Times New Roman"/>
          <w:bCs/>
          <w:lang w:val="es-ES"/>
        </w:rPr>
        <w:t>plataformas digitales para realizar compras de bienes, consumir alimentos y obtener servicios de</w:t>
      </w:r>
      <w:r w:rsidR="009E2B85" w:rsidRPr="00D17328">
        <w:rPr>
          <w:rFonts w:ascii="Times New Roman" w:hAnsi="Times New Roman"/>
          <w:bCs/>
          <w:lang w:val="es-ES"/>
        </w:rPr>
        <w:t xml:space="preserve"> </w:t>
      </w:r>
      <w:r w:rsidRPr="00D17328">
        <w:rPr>
          <w:rFonts w:ascii="Times New Roman" w:hAnsi="Times New Roman"/>
          <w:bCs/>
          <w:lang w:val="es-ES"/>
        </w:rPr>
        <w:t>entretenimiento, educación y salud, entre otros desarrollos.</w:t>
      </w:r>
    </w:p>
    <w:p w14:paraId="4BDE7D4E" w14:textId="555104B1" w:rsidR="00CC1B66" w:rsidRPr="00D17328" w:rsidRDefault="00CC1B66" w:rsidP="00992F99">
      <w:pPr>
        <w:pStyle w:val="PRIMERAPLANA"/>
        <w:spacing w:line="360" w:lineRule="auto"/>
        <w:rPr>
          <w:rFonts w:ascii="Times New Roman" w:hAnsi="Times New Roman"/>
          <w:bCs/>
          <w:lang w:val="es-ES"/>
        </w:rPr>
      </w:pPr>
    </w:p>
    <w:p w14:paraId="202DEE97" w14:textId="473B58EB" w:rsidR="00CC1B66" w:rsidRPr="00D17328" w:rsidRDefault="008B7AE9" w:rsidP="008B7AE9">
      <w:pPr>
        <w:pStyle w:val="PRIMERAPLANA"/>
        <w:spacing w:line="360" w:lineRule="auto"/>
        <w:rPr>
          <w:rFonts w:ascii="Times New Roman" w:hAnsi="Times New Roman"/>
          <w:bCs/>
          <w:lang w:val="es-ES"/>
        </w:rPr>
      </w:pPr>
      <w:r w:rsidRPr="00D17328">
        <w:rPr>
          <w:rFonts w:ascii="Times New Roman" w:hAnsi="Times New Roman"/>
          <w:bCs/>
          <w:lang w:val="es-ES"/>
        </w:rPr>
        <w:t>No obstante, se prevé que los ingresos presupuestarios en 2020 sean menores en 0.6% del PIB respecto a los</w:t>
      </w:r>
      <w:r w:rsidR="009E2B85" w:rsidRPr="00D17328">
        <w:rPr>
          <w:rFonts w:ascii="Times New Roman" w:hAnsi="Times New Roman"/>
          <w:bCs/>
          <w:lang w:val="es-ES"/>
        </w:rPr>
        <w:t xml:space="preserve"> </w:t>
      </w:r>
      <w:r w:rsidRPr="00D17328">
        <w:rPr>
          <w:rFonts w:ascii="Times New Roman" w:hAnsi="Times New Roman"/>
          <w:bCs/>
          <w:lang w:val="es-ES"/>
        </w:rPr>
        <w:t xml:space="preserve">previstos en la LIF 2020, lo que se explica, fundamentalmente, por la disminución esperada en la </w:t>
      </w:r>
      <w:r w:rsidRPr="00D17328">
        <w:rPr>
          <w:rFonts w:ascii="Times New Roman" w:hAnsi="Times New Roman"/>
          <w:bCs/>
          <w:lang w:val="es-ES"/>
        </w:rPr>
        <w:lastRenderedPageBreak/>
        <w:t>recaudación</w:t>
      </w:r>
      <w:r w:rsidR="009E2B85" w:rsidRPr="00D17328">
        <w:rPr>
          <w:rFonts w:ascii="Times New Roman" w:hAnsi="Times New Roman"/>
          <w:bCs/>
          <w:lang w:val="es-ES"/>
        </w:rPr>
        <w:t xml:space="preserve"> </w:t>
      </w:r>
      <w:r w:rsidRPr="00D17328">
        <w:rPr>
          <w:rFonts w:ascii="Times New Roman" w:hAnsi="Times New Roman"/>
          <w:bCs/>
          <w:lang w:val="es-ES"/>
        </w:rPr>
        <w:t>tributaria por 1.2% del PIB como resultado de la menor actividad económica, derivada de las acciones</w:t>
      </w:r>
      <w:r w:rsidR="009E2B85" w:rsidRPr="00D17328">
        <w:rPr>
          <w:rFonts w:ascii="Times New Roman" w:hAnsi="Times New Roman"/>
          <w:bCs/>
          <w:lang w:val="es-ES"/>
        </w:rPr>
        <w:t xml:space="preserve"> </w:t>
      </w:r>
      <w:r w:rsidRPr="00D17328">
        <w:rPr>
          <w:rFonts w:ascii="Times New Roman" w:hAnsi="Times New Roman"/>
          <w:bCs/>
          <w:lang w:val="es-ES"/>
        </w:rPr>
        <w:t>implementadas para disminuir los efectos negativos de la pandemia del COVID-19, y por la reducción de los</w:t>
      </w:r>
      <w:r w:rsidR="009E2B85" w:rsidRPr="00D17328">
        <w:rPr>
          <w:rFonts w:ascii="Times New Roman" w:hAnsi="Times New Roman"/>
          <w:bCs/>
          <w:lang w:val="es-ES"/>
        </w:rPr>
        <w:t xml:space="preserve"> </w:t>
      </w:r>
      <w:r w:rsidRPr="00D17328">
        <w:rPr>
          <w:rFonts w:ascii="Times New Roman" w:hAnsi="Times New Roman"/>
          <w:bCs/>
          <w:lang w:val="es-ES"/>
        </w:rPr>
        <w:t>ingresos petroleros en 0.8% del PIB debido, principalmente, a un menor precio y plataforma de producción de</w:t>
      </w:r>
      <w:r w:rsidR="009E2B85" w:rsidRPr="00D17328">
        <w:rPr>
          <w:rFonts w:ascii="Times New Roman" w:hAnsi="Times New Roman"/>
          <w:bCs/>
          <w:lang w:val="es-ES"/>
        </w:rPr>
        <w:t xml:space="preserve"> </w:t>
      </w:r>
      <w:r w:rsidRPr="00D17328">
        <w:rPr>
          <w:rFonts w:ascii="Times New Roman" w:hAnsi="Times New Roman"/>
          <w:bCs/>
          <w:lang w:val="es-ES"/>
        </w:rPr>
        <w:t>petróleo crudo. Lo anterior se compensa, parcialmente, con los recursos provenientes del FEIP, de conformidad</w:t>
      </w:r>
      <w:r w:rsidR="009E2B85" w:rsidRPr="00D17328">
        <w:rPr>
          <w:rFonts w:ascii="Times New Roman" w:hAnsi="Times New Roman"/>
          <w:bCs/>
          <w:lang w:val="es-ES"/>
        </w:rPr>
        <w:t xml:space="preserve"> </w:t>
      </w:r>
      <w:r w:rsidRPr="00D17328">
        <w:rPr>
          <w:rFonts w:ascii="Times New Roman" w:hAnsi="Times New Roman"/>
          <w:bCs/>
          <w:lang w:val="es-ES"/>
        </w:rPr>
        <w:t>con lo establecido en la LFPRH, con la recuperación de otros activos financieros ahorrados para enfrentar</w:t>
      </w:r>
      <w:r w:rsidR="009E2B85" w:rsidRPr="00D17328">
        <w:rPr>
          <w:rFonts w:ascii="Times New Roman" w:hAnsi="Times New Roman"/>
          <w:bCs/>
          <w:lang w:val="es-ES"/>
        </w:rPr>
        <w:t xml:space="preserve"> </w:t>
      </w:r>
      <w:r w:rsidRPr="00D17328">
        <w:rPr>
          <w:rFonts w:ascii="Times New Roman" w:hAnsi="Times New Roman"/>
          <w:bCs/>
          <w:lang w:val="es-ES"/>
        </w:rPr>
        <w:t>contingencias y con las coberturas petroleras contratadas para mitigar el impacto de choques en los precios. Por el lado del gasto neto presupuestario, para 2020 se prevé una disminución respecto al Presupuesto de</w:t>
      </w:r>
      <w:r w:rsidR="009E2B85" w:rsidRPr="00D17328">
        <w:rPr>
          <w:rFonts w:ascii="Times New Roman" w:hAnsi="Times New Roman"/>
          <w:bCs/>
          <w:lang w:val="es-ES"/>
        </w:rPr>
        <w:t xml:space="preserve"> </w:t>
      </w:r>
      <w:r w:rsidRPr="00D17328">
        <w:rPr>
          <w:rFonts w:ascii="Times New Roman" w:hAnsi="Times New Roman"/>
          <w:bCs/>
          <w:lang w:val="es-ES"/>
        </w:rPr>
        <w:t>Egresos de la Federación (PEF) 2020 de 0.1% del PIB, proveniente de un ahorro en el gasto no programable de</w:t>
      </w:r>
      <w:r w:rsidR="009E2B85" w:rsidRPr="00D17328">
        <w:rPr>
          <w:rFonts w:ascii="Times New Roman" w:hAnsi="Times New Roman"/>
          <w:bCs/>
          <w:lang w:val="es-ES"/>
        </w:rPr>
        <w:t xml:space="preserve"> </w:t>
      </w:r>
      <w:r w:rsidRPr="00D17328">
        <w:rPr>
          <w:rFonts w:ascii="Times New Roman" w:hAnsi="Times New Roman"/>
          <w:bCs/>
          <w:lang w:val="es-ES"/>
        </w:rPr>
        <w:t>0.6% del PIB, que se origina, principalmente, por menores participaciones a las entidades federativas</w:t>
      </w:r>
      <w:r w:rsidR="009E2B85" w:rsidRPr="00D17328">
        <w:rPr>
          <w:rFonts w:ascii="Times New Roman" w:hAnsi="Times New Roman"/>
          <w:bCs/>
          <w:lang w:val="es-ES"/>
        </w:rPr>
        <w:t xml:space="preserve"> </w:t>
      </w:r>
      <w:r w:rsidRPr="00D17328">
        <w:rPr>
          <w:rFonts w:ascii="Times New Roman" w:hAnsi="Times New Roman"/>
          <w:bCs/>
          <w:lang w:val="es-ES"/>
        </w:rPr>
        <w:t>consecuencia de la menor recaudación federal participable. El menor gasto no programable se compensará</w:t>
      </w:r>
      <w:r w:rsidR="009E2B85" w:rsidRPr="00D17328">
        <w:rPr>
          <w:rFonts w:ascii="Times New Roman" w:hAnsi="Times New Roman"/>
          <w:bCs/>
          <w:lang w:val="es-ES"/>
        </w:rPr>
        <w:t xml:space="preserve"> </w:t>
      </w:r>
      <w:r w:rsidRPr="00D17328">
        <w:rPr>
          <w:rFonts w:ascii="Times New Roman" w:hAnsi="Times New Roman"/>
          <w:bCs/>
          <w:lang w:val="es-ES"/>
        </w:rPr>
        <w:t>parcialmente, con mayores erogaciones programables en 0.4% del PIB asociadas a los recursos necesarios para</w:t>
      </w:r>
      <w:r w:rsidR="009E2B85" w:rsidRPr="00D17328">
        <w:rPr>
          <w:rFonts w:ascii="Times New Roman" w:hAnsi="Times New Roman"/>
          <w:bCs/>
          <w:lang w:val="es-ES"/>
        </w:rPr>
        <w:t xml:space="preserve"> </w:t>
      </w:r>
      <w:r w:rsidRPr="00D17328">
        <w:rPr>
          <w:rFonts w:ascii="Times New Roman" w:hAnsi="Times New Roman"/>
          <w:bCs/>
          <w:lang w:val="es-ES"/>
        </w:rPr>
        <w:t>implementar las políticas orientadas a disminuir los efectos negativos de la pandemia por COVID-19 sobre la salud</w:t>
      </w:r>
      <w:r w:rsidR="009E2B85" w:rsidRPr="00D17328">
        <w:rPr>
          <w:rFonts w:ascii="Times New Roman" w:hAnsi="Times New Roman"/>
          <w:bCs/>
          <w:lang w:val="es-ES"/>
        </w:rPr>
        <w:t xml:space="preserve"> </w:t>
      </w:r>
      <w:r w:rsidRPr="00D17328">
        <w:rPr>
          <w:rFonts w:ascii="Times New Roman" w:hAnsi="Times New Roman"/>
          <w:bCs/>
          <w:lang w:val="es-ES"/>
        </w:rPr>
        <w:t>de la población y la lamentable pérdida de vidas humanas que implica la enfermedad, así como apoyar a la</w:t>
      </w:r>
      <w:r w:rsidR="009E2B85" w:rsidRPr="00D17328">
        <w:rPr>
          <w:rFonts w:ascii="Times New Roman" w:hAnsi="Times New Roman"/>
          <w:bCs/>
          <w:lang w:val="es-ES"/>
        </w:rPr>
        <w:t xml:space="preserve"> </w:t>
      </w:r>
      <w:r w:rsidRPr="00D17328">
        <w:rPr>
          <w:rFonts w:ascii="Times New Roman" w:hAnsi="Times New Roman"/>
          <w:bCs/>
          <w:lang w:val="es-ES"/>
        </w:rPr>
        <w:t>población en situación de vulnerabilidad, al tiempo que se realizan ahorros significativos en los costos de</w:t>
      </w:r>
      <w:r w:rsidR="009E2B85" w:rsidRPr="00D17328">
        <w:rPr>
          <w:rFonts w:ascii="Times New Roman" w:hAnsi="Times New Roman"/>
          <w:bCs/>
          <w:lang w:val="es-ES"/>
        </w:rPr>
        <w:t xml:space="preserve"> </w:t>
      </w:r>
      <w:r w:rsidRPr="00D17328">
        <w:rPr>
          <w:rFonts w:ascii="Times New Roman" w:hAnsi="Times New Roman"/>
          <w:bCs/>
          <w:lang w:val="es-ES"/>
        </w:rPr>
        <w:t>generación</w:t>
      </w:r>
      <w:r w:rsidR="00942ADB" w:rsidRPr="00D17328">
        <w:rPr>
          <w:rFonts w:ascii="Times New Roman" w:hAnsi="Times New Roman"/>
          <w:bCs/>
          <w:lang w:val="es-ES"/>
        </w:rPr>
        <w:t xml:space="preserve"> de</w:t>
      </w:r>
      <w:r w:rsidRPr="00D17328">
        <w:rPr>
          <w:rFonts w:ascii="Times New Roman" w:hAnsi="Times New Roman"/>
          <w:bCs/>
          <w:lang w:val="es-ES"/>
        </w:rPr>
        <w:t xml:space="preserve"> electricidad por los precios de los combustibles y otros gastos corrientes.</w:t>
      </w:r>
    </w:p>
    <w:p w14:paraId="7087FCB2" w14:textId="0E8731F9" w:rsidR="00CC1B66" w:rsidRPr="00D17328" w:rsidRDefault="00CC1B66" w:rsidP="00992F99">
      <w:pPr>
        <w:pStyle w:val="PRIMERAPLANA"/>
        <w:spacing w:line="360" w:lineRule="auto"/>
        <w:rPr>
          <w:rFonts w:ascii="Times New Roman" w:hAnsi="Times New Roman"/>
          <w:bCs/>
          <w:lang w:val="es-ES"/>
        </w:rPr>
      </w:pPr>
    </w:p>
    <w:p w14:paraId="5E9E06A8" w14:textId="7A47FFCD" w:rsidR="009E2B85" w:rsidRPr="00D17328" w:rsidRDefault="009E2B85" w:rsidP="009E2B85">
      <w:pPr>
        <w:pStyle w:val="PRIMERAPLANA"/>
        <w:spacing w:line="360" w:lineRule="auto"/>
        <w:rPr>
          <w:rFonts w:ascii="Times New Roman" w:hAnsi="Times New Roman"/>
          <w:bCs/>
          <w:lang w:val="es-ES"/>
        </w:rPr>
      </w:pPr>
      <w:r w:rsidRPr="00D17328">
        <w:rPr>
          <w:rFonts w:ascii="Times New Roman" w:hAnsi="Times New Roman"/>
          <w:bCs/>
          <w:lang w:val="es-ES"/>
        </w:rPr>
        <w:t>Durante 2021 la trayectoria de la pandemia continuará marcando el ritmo de la reapertura y delineando la</w:t>
      </w:r>
      <w:r w:rsidR="00A41FFA" w:rsidRPr="00D17328">
        <w:rPr>
          <w:rFonts w:ascii="Times New Roman" w:hAnsi="Times New Roman"/>
          <w:bCs/>
          <w:lang w:val="es-ES"/>
        </w:rPr>
        <w:t xml:space="preserve"> </w:t>
      </w:r>
      <w:r w:rsidRPr="00D17328">
        <w:rPr>
          <w:rFonts w:ascii="Times New Roman" w:hAnsi="Times New Roman"/>
          <w:bCs/>
          <w:lang w:val="es-ES"/>
        </w:rPr>
        <w:t>ejecución de la política económica. Se estima que continuará la reactivación iniciada en la segunda parte de 2020,</w:t>
      </w:r>
      <w:r w:rsidR="00A41FFA" w:rsidRPr="00D17328">
        <w:rPr>
          <w:rFonts w:ascii="Times New Roman" w:hAnsi="Times New Roman"/>
          <w:bCs/>
          <w:lang w:val="es-ES"/>
        </w:rPr>
        <w:t xml:space="preserve"> </w:t>
      </w:r>
      <w:r w:rsidRPr="00D17328">
        <w:rPr>
          <w:rFonts w:ascii="Times New Roman" w:hAnsi="Times New Roman"/>
          <w:bCs/>
          <w:lang w:val="es-ES"/>
        </w:rPr>
        <w:t>a medida que: las unidades económicas se adapten al nuevo entorno y que la contención de la enfermedad en</w:t>
      </w:r>
      <w:r w:rsidR="00A41FFA" w:rsidRPr="00D17328">
        <w:rPr>
          <w:rFonts w:ascii="Times New Roman" w:hAnsi="Times New Roman"/>
          <w:bCs/>
          <w:lang w:val="es-ES"/>
        </w:rPr>
        <w:t xml:space="preserve"> </w:t>
      </w:r>
      <w:r w:rsidRPr="00D17328">
        <w:rPr>
          <w:rFonts w:ascii="Times New Roman" w:hAnsi="Times New Roman"/>
          <w:bCs/>
          <w:lang w:val="es-ES"/>
        </w:rPr>
        <w:t>México y en el exterior permita la remoción paulatina de las medidas de confinamiento y, por tanto, una mayor</w:t>
      </w:r>
      <w:r w:rsidR="00A41FFA" w:rsidRPr="00D17328">
        <w:rPr>
          <w:rFonts w:ascii="Times New Roman" w:hAnsi="Times New Roman"/>
          <w:bCs/>
          <w:lang w:val="es-ES"/>
        </w:rPr>
        <w:t xml:space="preserve"> </w:t>
      </w:r>
      <w:r w:rsidRPr="00D17328">
        <w:rPr>
          <w:rFonts w:ascii="Times New Roman" w:hAnsi="Times New Roman"/>
          <w:bCs/>
          <w:lang w:val="es-ES"/>
        </w:rPr>
        <w:t>utilización de la capacidad productiva instalada; el T-MEC potencie al sector integrado a la economía global y a la</w:t>
      </w:r>
      <w:r w:rsidR="00A41FFA" w:rsidRPr="00D17328">
        <w:rPr>
          <w:rFonts w:ascii="Times New Roman" w:hAnsi="Times New Roman"/>
          <w:bCs/>
          <w:lang w:val="es-ES"/>
        </w:rPr>
        <w:t xml:space="preserve"> </w:t>
      </w:r>
      <w:r w:rsidRPr="00D17328">
        <w:rPr>
          <w:rFonts w:ascii="Times New Roman" w:hAnsi="Times New Roman"/>
          <w:bCs/>
          <w:lang w:val="es-ES"/>
        </w:rPr>
        <w:t>inversión estratégica en nuestro país, apalancado en políticas activas de atracción de empresas y la mejora en el</w:t>
      </w:r>
      <w:r w:rsidR="00A41FFA" w:rsidRPr="00D17328">
        <w:rPr>
          <w:rFonts w:ascii="Times New Roman" w:hAnsi="Times New Roman"/>
          <w:bCs/>
          <w:lang w:val="es-ES"/>
        </w:rPr>
        <w:t xml:space="preserve"> </w:t>
      </w:r>
      <w:r w:rsidRPr="00D17328">
        <w:rPr>
          <w:rFonts w:ascii="Times New Roman" w:hAnsi="Times New Roman"/>
          <w:bCs/>
          <w:lang w:val="es-ES"/>
        </w:rPr>
        <w:t>Estado de Derecho que significa la Reforma Laboral, entre otros avances; la inversión pública y privada en</w:t>
      </w:r>
      <w:r w:rsidR="00A41FFA" w:rsidRPr="00D17328">
        <w:rPr>
          <w:rFonts w:ascii="Times New Roman" w:hAnsi="Times New Roman"/>
          <w:bCs/>
          <w:lang w:val="es-ES"/>
        </w:rPr>
        <w:t xml:space="preserve"> </w:t>
      </w:r>
      <w:r w:rsidRPr="00D17328">
        <w:rPr>
          <w:rFonts w:ascii="Times New Roman" w:hAnsi="Times New Roman"/>
          <w:bCs/>
          <w:lang w:val="es-ES"/>
        </w:rPr>
        <w:t>infraestructura impulsen la generación de empleos y tengan efectos de derrame sobre otros sectores; y el sector</w:t>
      </w:r>
      <w:r w:rsidR="00A41FFA" w:rsidRPr="00D17328">
        <w:rPr>
          <w:rFonts w:ascii="Times New Roman" w:hAnsi="Times New Roman"/>
          <w:bCs/>
          <w:lang w:val="es-ES"/>
        </w:rPr>
        <w:t xml:space="preserve"> </w:t>
      </w:r>
      <w:r w:rsidRPr="00D17328">
        <w:rPr>
          <w:rFonts w:ascii="Times New Roman" w:hAnsi="Times New Roman"/>
          <w:bCs/>
          <w:lang w:val="es-ES"/>
        </w:rPr>
        <w:t>financiero continúe apoyando el flujo adecuado de recursos hacia hogares, empresas y proyectos productivos,</w:t>
      </w:r>
      <w:r w:rsidR="00A41FFA" w:rsidRPr="00D17328">
        <w:rPr>
          <w:rFonts w:ascii="Times New Roman" w:hAnsi="Times New Roman"/>
          <w:bCs/>
          <w:lang w:val="es-ES"/>
        </w:rPr>
        <w:t xml:space="preserve"> </w:t>
      </w:r>
      <w:r w:rsidRPr="00D17328">
        <w:rPr>
          <w:rFonts w:ascii="Times New Roman" w:hAnsi="Times New Roman"/>
          <w:bCs/>
          <w:lang w:val="es-ES"/>
        </w:rPr>
        <w:t>ayudado por una política monetaria acomodaticia en México y en el exterior.</w:t>
      </w:r>
    </w:p>
    <w:p w14:paraId="372D6651" w14:textId="77777777" w:rsidR="00A41FFA" w:rsidRPr="00D17328" w:rsidRDefault="00A41FFA" w:rsidP="009E2B85">
      <w:pPr>
        <w:pStyle w:val="PRIMERAPLANA"/>
        <w:spacing w:line="360" w:lineRule="auto"/>
        <w:rPr>
          <w:rFonts w:ascii="Times New Roman" w:hAnsi="Times New Roman"/>
          <w:bCs/>
          <w:lang w:val="es-ES"/>
        </w:rPr>
      </w:pPr>
    </w:p>
    <w:p w14:paraId="4B7BDB45" w14:textId="4B88BDAF" w:rsidR="009E2B85" w:rsidRPr="00D17328" w:rsidRDefault="009E2B85" w:rsidP="009E2B85">
      <w:pPr>
        <w:pStyle w:val="PRIMERAPLANA"/>
        <w:spacing w:line="360" w:lineRule="auto"/>
        <w:rPr>
          <w:rFonts w:ascii="Times New Roman" w:hAnsi="Times New Roman"/>
          <w:bCs/>
          <w:lang w:val="es-ES"/>
        </w:rPr>
      </w:pPr>
      <w:r w:rsidRPr="00D17328">
        <w:rPr>
          <w:rFonts w:ascii="Times New Roman" w:hAnsi="Times New Roman"/>
          <w:bCs/>
          <w:lang w:val="es-ES"/>
        </w:rPr>
        <w:t>En congruencia con lo anterior y con la dinámica observada en episodios severos recientes, para las proyecciones</w:t>
      </w:r>
      <w:r w:rsidR="00A41FFA" w:rsidRPr="00D17328">
        <w:rPr>
          <w:rFonts w:ascii="Times New Roman" w:hAnsi="Times New Roman"/>
          <w:bCs/>
          <w:lang w:val="es-ES"/>
        </w:rPr>
        <w:t xml:space="preserve"> </w:t>
      </w:r>
      <w:r w:rsidRPr="00D17328">
        <w:rPr>
          <w:rFonts w:ascii="Times New Roman" w:hAnsi="Times New Roman"/>
          <w:bCs/>
          <w:lang w:val="es-ES"/>
        </w:rPr>
        <w:t>de finanzas públicas de 2021 se utiliza una tasa de crecimiento del PIB de 4.6%. La cifra considera un crecimiento</w:t>
      </w:r>
      <w:r w:rsidR="00A41FFA" w:rsidRPr="00D17328">
        <w:rPr>
          <w:rFonts w:ascii="Times New Roman" w:hAnsi="Times New Roman"/>
          <w:bCs/>
          <w:lang w:val="es-ES"/>
        </w:rPr>
        <w:t xml:space="preserve"> </w:t>
      </w:r>
      <w:r w:rsidRPr="00D17328">
        <w:rPr>
          <w:rFonts w:ascii="Times New Roman" w:hAnsi="Times New Roman"/>
          <w:bCs/>
          <w:lang w:val="es-ES"/>
        </w:rPr>
        <w:t>del PIB y de la producción industrial de EEUU de 3.8 y 3.4%, respectivamente, y está en línea con la recuperación</w:t>
      </w:r>
      <w:r w:rsidR="00A41FFA" w:rsidRPr="00D17328">
        <w:rPr>
          <w:rFonts w:ascii="Times New Roman" w:hAnsi="Times New Roman"/>
          <w:bCs/>
          <w:lang w:val="es-ES"/>
        </w:rPr>
        <w:t xml:space="preserve"> </w:t>
      </w:r>
      <w:r w:rsidRPr="00D17328">
        <w:rPr>
          <w:rFonts w:ascii="Times New Roman" w:hAnsi="Times New Roman"/>
          <w:bCs/>
          <w:lang w:val="es-ES"/>
        </w:rPr>
        <w:t xml:space="preserve">de la actividad económica y el comercio a nivel </w:t>
      </w:r>
      <w:r w:rsidRPr="00D17328">
        <w:rPr>
          <w:rFonts w:ascii="Times New Roman" w:hAnsi="Times New Roman"/>
          <w:bCs/>
          <w:lang w:val="es-ES"/>
        </w:rPr>
        <w:lastRenderedPageBreak/>
        <w:t>global desde un nivel bajo en 2020, así como con la perspectiva</w:t>
      </w:r>
      <w:r w:rsidR="00A41FFA" w:rsidRPr="00D17328">
        <w:rPr>
          <w:rFonts w:ascii="Times New Roman" w:hAnsi="Times New Roman"/>
          <w:bCs/>
          <w:lang w:val="es-ES"/>
        </w:rPr>
        <w:t xml:space="preserve"> </w:t>
      </w:r>
      <w:r w:rsidRPr="00D17328">
        <w:rPr>
          <w:rFonts w:ascii="Times New Roman" w:hAnsi="Times New Roman"/>
          <w:bCs/>
          <w:lang w:val="es-ES"/>
        </w:rPr>
        <w:t>más favorable que se ha visto en el empleo, el consumo y la inversión durante la reapertura. La estimación para</w:t>
      </w:r>
      <w:r w:rsidR="00A41FFA" w:rsidRPr="00D17328">
        <w:rPr>
          <w:rFonts w:ascii="Times New Roman" w:hAnsi="Times New Roman"/>
          <w:bCs/>
          <w:lang w:val="es-ES"/>
        </w:rPr>
        <w:t xml:space="preserve"> </w:t>
      </w:r>
      <w:r w:rsidRPr="00D17328">
        <w:rPr>
          <w:rFonts w:ascii="Times New Roman" w:hAnsi="Times New Roman"/>
          <w:bCs/>
          <w:lang w:val="es-ES"/>
        </w:rPr>
        <w:t>México podría ajustarse si la disponibilidad de una vacuna contra el COVID-19 permite una reapertura amplia</w:t>
      </w:r>
      <w:r w:rsidR="00A41FFA" w:rsidRPr="00D17328">
        <w:rPr>
          <w:rFonts w:ascii="Times New Roman" w:hAnsi="Times New Roman"/>
          <w:bCs/>
          <w:lang w:val="es-ES"/>
        </w:rPr>
        <w:t xml:space="preserve"> </w:t>
      </w:r>
      <w:r w:rsidRPr="00D17328">
        <w:rPr>
          <w:rFonts w:ascii="Times New Roman" w:hAnsi="Times New Roman"/>
          <w:bCs/>
          <w:lang w:val="es-ES"/>
        </w:rPr>
        <w:t xml:space="preserve">en el año. </w:t>
      </w:r>
    </w:p>
    <w:p w14:paraId="7AE21E46" w14:textId="77777777" w:rsidR="00A41FFA" w:rsidRPr="00D17328" w:rsidRDefault="00A41FFA" w:rsidP="009E2B85">
      <w:pPr>
        <w:pStyle w:val="PRIMERAPLANA"/>
        <w:spacing w:line="360" w:lineRule="auto"/>
        <w:rPr>
          <w:rFonts w:ascii="Times New Roman" w:hAnsi="Times New Roman"/>
          <w:bCs/>
          <w:lang w:val="es-ES"/>
        </w:rPr>
      </w:pPr>
    </w:p>
    <w:p w14:paraId="64DCE234" w14:textId="7E90FF19" w:rsidR="009E2B85" w:rsidRPr="00D17328" w:rsidRDefault="009E2B85" w:rsidP="009E2B85">
      <w:pPr>
        <w:pStyle w:val="PRIMERAPLANA"/>
        <w:spacing w:line="360" w:lineRule="auto"/>
        <w:rPr>
          <w:rFonts w:ascii="Times New Roman" w:hAnsi="Times New Roman"/>
          <w:bCs/>
          <w:lang w:val="es-ES"/>
        </w:rPr>
      </w:pPr>
      <w:r w:rsidRPr="00D17328">
        <w:rPr>
          <w:rFonts w:ascii="Times New Roman" w:hAnsi="Times New Roman"/>
          <w:bCs/>
          <w:lang w:val="es-ES"/>
        </w:rPr>
        <w:t>Las proyecciones también empl</w:t>
      </w:r>
      <w:r w:rsidR="00942ADB" w:rsidRPr="00D17328">
        <w:rPr>
          <w:rFonts w:ascii="Times New Roman" w:hAnsi="Times New Roman"/>
          <w:bCs/>
          <w:lang w:val="es-ES"/>
        </w:rPr>
        <w:t>ean un precio prudente de la mezcla mexicana de exportación</w:t>
      </w:r>
      <w:r w:rsidRPr="00D17328">
        <w:rPr>
          <w:rFonts w:ascii="Times New Roman" w:hAnsi="Times New Roman"/>
          <w:bCs/>
          <w:lang w:val="es-ES"/>
        </w:rPr>
        <w:t xml:space="preserve"> de 42.1 dpb, consistente con su evolución</w:t>
      </w:r>
      <w:r w:rsidR="00A41FFA" w:rsidRPr="00D17328">
        <w:rPr>
          <w:rFonts w:ascii="Times New Roman" w:hAnsi="Times New Roman"/>
          <w:bCs/>
          <w:lang w:val="es-ES"/>
        </w:rPr>
        <w:t xml:space="preserve"> </w:t>
      </w:r>
      <w:r w:rsidRPr="00D17328">
        <w:rPr>
          <w:rFonts w:ascii="Times New Roman" w:hAnsi="Times New Roman"/>
          <w:bCs/>
          <w:lang w:val="es-ES"/>
        </w:rPr>
        <w:t>reciente y con los futuros y estimaciones de analistas para los crudos W</w:t>
      </w:r>
      <w:r w:rsidR="002619D8" w:rsidRPr="00D17328">
        <w:rPr>
          <w:rFonts w:ascii="Times New Roman" w:hAnsi="Times New Roman"/>
          <w:bCs/>
          <w:lang w:val="es-ES"/>
        </w:rPr>
        <w:t xml:space="preserve">est </w:t>
      </w:r>
      <w:r w:rsidRPr="00D17328">
        <w:rPr>
          <w:rFonts w:ascii="Times New Roman" w:hAnsi="Times New Roman"/>
          <w:bCs/>
          <w:lang w:val="es-ES"/>
        </w:rPr>
        <w:t>T</w:t>
      </w:r>
      <w:r w:rsidR="002619D8" w:rsidRPr="00D17328">
        <w:rPr>
          <w:rFonts w:ascii="Times New Roman" w:hAnsi="Times New Roman"/>
          <w:bCs/>
          <w:lang w:val="es-ES"/>
        </w:rPr>
        <w:t xml:space="preserve">exas </w:t>
      </w:r>
      <w:r w:rsidRPr="00D17328">
        <w:rPr>
          <w:rFonts w:ascii="Times New Roman" w:hAnsi="Times New Roman"/>
          <w:bCs/>
          <w:lang w:val="es-ES"/>
        </w:rPr>
        <w:t>I</w:t>
      </w:r>
      <w:r w:rsidR="002619D8" w:rsidRPr="00D17328">
        <w:rPr>
          <w:rFonts w:ascii="Times New Roman" w:hAnsi="Times New Roman"/>
          <w:bCs/>
          <w:lang w:val="es-ES"/>
        </w:rPr>
        <w:t>ntermediate (WTI)</w:t>
      </w:r>
      <w:r w:rsidRPr="00D17328">
        <w:rPr>
          <w:rFonts w:ascii="Times New Roman" w:hAnsi="Times New Roman"/>
          <w:bCs/>
          <w:lang w:val="es-ES"/>
        </w:rPr>
        <w:t xml:space="preserve"> y Brent. Además, se utiliza una</w:t>
      </w:r>
      <w:r w:rsidR="00A41FFA" w:rsidRPr="00D17328">
        <w:rPr>
          <w:rFonts w:ascii="Times New Roman" w:hAnsi="Times New Roman"/>
          <w:bCs/>
          <w:lang w:val="es-ES"/>
        </w:rPr>
        <w:t xml:space="preserve"> </w:t>
      </w:r>
      <w:r w:rsidRPr="00D17328">
        <w:rPr>
          <w:rFonts w:ascii="Times New Roman" w:hAnsi="Times New Roman"/>
          <w:bCs/>
          <w:lang w:val="es-ES"/>
        </w:rPr>
        <w:t xml:space="preserve">plataforma de producción de petróleo de 1,857 </w:t>
      </w:r>
      <w:r w:rsidR="002619D8" w:rsidRPr="00D17328">
        <w:rPr>
          <w:rFonts w:ascii="Times New Roman" w:hAnsi="Times New Roman"/>
          <w:bCs/>
          <w:lang w:val="es-ES"/>
        </w:rPr>
        <w:t>M</w:t>
      </w:r>
      <w:r w:rsidRPr="00D17328">
        <w:rPr>
          <w:rFonts w:ascii="Times New Roman" w:hAnsi="Times New Roman"/>
          <w:bCs/>
          <w:lang w:val="es-ES"/>
        </w:rPr>
        <w:t>bd, que considera el nuevo entorno de</w:t>
      </w:r>
      <w:r w:rsidR="00A41FFA" w:rsidRPr="00D17328">
        <w:rPr>
          <w:rFonts w:ascii="Times New Roman" w:hAnsi="Times New Roman"/>
          <w:bCs/>
          <w:lang w:val="es-ES"/>
        </w:rPr>
        <w:t xml:space="preserve"> </w:t>
      </w:r>
      <w:r w:rsidRPr="00D17328">
        <w:rPr>
          <w:rFonts w:ascii="Times New Roman" w:hAnsi="Times New Roman"/>
          <w:bCs/>
          <w:lang w:val="es-ES"/>
        </w:rPr>
        <w:t>demanda y precios, el renovado énfasis en la eficiencia en la producción de petróleo y en el abastecimiento</w:t>
      </w:r>
      <w:r w:rsidR="00A41FFA" w:rsidRPr="00D17328">
        <w:rPr>
          <w:rFonts w:ascii="Times New Roman" w:hAnsi="Times New Roman"/>
          <w:bCs/>
          <w:lang w:val="es-ES"/>
        </w:rPr>
        <w:t xml:space="preserve"> </w:t>
      </w:r>
      <w:r w:rsidRPr="00D17328">
        <w:rPr>
          <w:rFonts w:ascii="Times New Roman" w:hAnsi="Times New Roman"/>
          <w:bCs/>
          <w:lang w:val="es-ES"/>
        </w:rPr>
        <w:t>interno de combustibles por parte de Petróleos Mexicanos y las contribuciones de los productores privados.</w:t>
      </w:r>
    </w:p>
    <w:p w14:paraId="58C6D247" w14:textId="77777777" w:rsidR="00A41FFA" w:rsidRPr="00D17328" w:rsidRDefault="00A41FFA" w:rsidP="009E2B85">
      <w:pPr>
        <w:pStyle w:val="PRIMERAPLANA"/>
        <w:spacing w:line="360" w:lineRule="auto"/>
        <w:rPr>
          <w:rFonts w:ascii="Times New Roman" w:hAnsi="Times New Roman"/>
          <w:bCs/>
          <w:lang w:val="es-ES"/>
        </w:rPr>
      </w:pPr>
    </w:p>
    <w:p w14:paraId="26E75E5C" w14:textId="2AD7FB1B" w:rsidR="009E2B85" w:rsidRPr="00D17328" w:rsidRDefault="009E2B85" w:rsidP="009E2B85">
      <w:pPr>
        <w:pStyle w:val="PRIMERAPLANA"/>
        <w:spacing w:line="360" w:lineRule="auto"/>
        <w:rPr>
          <w:rFonts w:ascii="Times New Roman" w:hAnsi="Times New Roman"/>
          <w:bCs/>
          <w:lang w:val="es-ES"/>
        </w:rPr>
      </w:pPr>
      <w:r w:rsidRPr="00D17328">
        <w:rPr>
          <w:rFonts w:ascii="Times New Roman" w:hAnsi="Times New Roman"/>
          <w:bCs/>
          <w:lang w:val="es-ES"/>
        </w:rPr>
        <w:t>Finalmente, los cálculos usan una inflación de 3.0%, en línea con las proyecciones y el objetivo del Banco de</w:t>
      </w:r>
      <w:r w:rsidR="00A41FFA" w:rsidRPr="00D17328">
        <w:rPr>
          <w:rFonts w:ascii="Times New Roman" w:hAnsi="Times New Roman"/>
          <w:bCs/>
          <w:lang w:val="es-ES"/>
        </w:rPr>
        <w:t xml:space="preserve"> </w:t>
      </w:r>
      <w:r w:rsidRPr="00D17328">
        <w:rPr>
          <w:rFonts w:ascii="Times New Roman" w:hAnsi="Times New Roman"/>
          <w:bCs/>
          <w:lang w:val="es-ES"/>
        </w:rPr>
        <w:t>México; una tasa de interés de 4.0%, que asume espacio para reducciones adicionales durante 2020, en línea con</w:t>
      </w:r>
      <w:r w:rsidR="00A41FFA" w:rsidRPr="00D17328">
        <w:rPr>
          <w:rFonts w:ascii="Times New Roman" w:hAnsi="Times New Roman"/>
          <w:bCs/>
          <w:lang w:val="es-ES"/>
        </w:rPr>
        <w:t xml:space="preserve"> </w:t>
      </w:r>
      <w:r w:rsidRPr="00D17328">
        <w:rPr>
          <w:rFonts w:ascii="Times New Roman" w:hAnsi="Times New Roman"/>
          <w:bCs/>
          <w:lang w:val="es-ES"/>
        </w:rPr>
        <w:t>las expectativas, y estabilidad de la política monetaria durante 2021; y un tipo de cambio promedio y de cierre de</w:t>
      </w:r>
      <w:r w:rsidR="00A41FFA" w:rsidRPr="00D17328">
        <w:rPr>
          <w:rFonts w:ascii="Times New Roman" w:hAnsi="Times New Roman"/>
          <w:bCs/>
          <w:lang w:val="es-ES"/>
        </w:rPr>
        <w:t xml:space="preserve"> </w:t>
      </w:r>
      <w:r w:rsidRPr="00D17328">
        <w:rPr>
          <w:rFonts w:ascii="Times New Roman" w:hAnsi="Times New Roman"/>
          <w:bCs/>
          <w:lang w:val="es-ES"/>
        </w:rPr>
        <w:t>22.1 y 21.9 pesos por dólar, respectivamente, consistente con la recuperación económica.</w:t>
      </w:r>
    </w:p>
    <w:p w14:paraId="7394D367" w14:textId="7D4FC4BA" w:rsidR="00CC1B66" w:rsidRPr="00D17328" w:rsidRDefault="00CC1B66" w:rsidP="00992F99">
      <w:pPr>
        <w:pStyle w:val="PRIMERAPLANA"/>
        <w:spacing w:line="360" w:lineRule="auto"/>
        <w:rPr>
          <w:rFonts w:ascii="Times New Roman" w:hAnsi="Times New Roman"/>
          <w:bCs/>
          <w:lang w:val="es-ES"/>
        </w:rPr>
      </w:pPr>
    </w:p>
    <w:p w14:paraId="3353BA5D" w14:textId="7603306A" w:rsidR="00A41FFA" w:rsidRPr="00D17328" w:rsidRDefault="00A41FFA" w:rsidP="00A41FFA">
      <w:pPr>
        <w:pStyle w:val="PRIMERAPLANA"/>
        <w:spacing w:line="360" w:lineRule="auto"/>
        <w:rPr>
          <w:rFonts w:ascii="Times New Roman" w:hAnsi="Times New Roman"/>
          <w:bCs/>
          <w:lang w:val="es-ES"/>
        </w:rPr>
      </w:pPr>
      <w:r w:rsidRPr="00D17328">
        <w:rPr>
          <w:rFonts w:ascii="Times New Roman" w:hAnsi="Times New Roman"/>
          <w:bCs/>
          <w:lang w:val="es-ES"/>
        </w:rPr>
        <w:t xml:space="preserve">Al tiempo que se fortalece el gasto en las principales funciones que ayudan a la recuperación y al desarrollo de largo plazo, se plantean un equilibrio primario (0.0% del PIB) y una reducción en los </w:t>
      </w:r>
      <w:r w:rsidR="00942ADB" w:rsidRPr="00D17328">
        <w:rPr>
          <w:rFonts w:ascii="Times New Roman" w:hAnsi="Times New Roman"/>
          <w:bCs/>
          <w:lang w:val="es-ES"/>
        </w:rPr>
        <w:t>requerimientos financieros del sector público (</w:t>
      </w:r>
      <w:r w:rsidRPr="00D17328">
        <w:rPr>
          <w:rFonts w:ascii="Times New Roman" w:hAnsi="Times New Roman"/>
          <w:bCs/>
          <w:lang w:val="es-ES"/>
        </w:rPr>
        <w:t>RFSP</w:t>
      </w:r>
      <w:r w:rsidR="00942ADB" w:rsidRPr="00D17328">
        <w:rPr>
          <w:rFonts w:ascii="Times New Roman" w:hAnsi="Times New Roman"/>
          <w:bCs/>
          <w:lang w:val="es-ES"/>
        </w:rPr>
        <w:t>)</w:t>
      </w:r>
      <w:r w:rsidRPr="00D17328">
        <w:rPr>
          <w:rFonts w:ascii="Times New Roman" w:hAnsi="Times New Roman"/>
          <w:bCs/>
          <w:lang w:val="es-ES"/>
        </w:rPr>
        <w:t xml:space="preserve"> de -4.7 a -3.4% del PIB, que permiten disminuir al </w:t>
      </w:r>
      <w:r w:rsidR="00942ADB" w:rsidRPr="00D17328">
        <w:rPr>
          <w:rFonts w:ascii="Times New Roman" w:hAnsi="Times New Roman"/>
          <w:bCs/>
          <w:lang w:val="es-ES"/>
        </w:rPr>
        <w:t>saldo histórico de los requerimientos financieros del sector público (</w:t>
      </w:r>
      <w:r w:rsidRPr="00D17328">
        <w:rPr>
          <w:rFonts w:ascii="Times New Roman" w:hAnsi="Times New Roman"/>
          <w:bCs/>
          <w:lang w:val="es-ES"/>
        </w:rPr>
        <w:t>SHRFSP</w:t>
      </w:r>
      <w:r w:rsidR="00942ADB" w:rsidRPr="00D17328">
        <w:rPr>
          <w:rFonts w:ascii="Times New Roman" w:hAnsi="Times New Roman"/>
          <w:bCs/>
          <w:lang w:val="es-ES"/>
        </w:rPr>
        <w:t>)</w:t>
      </w:r>
      <w:r w:rsidRPr="00D17328">
        <w:rPr>
          <w:rFonts w:ascii="Times New Roman" w:hAnsi="Times New Roman"/>
          <w:bCs/>
          <w:lang w:val="es-ES"/>
        </w:rPr>
        <w:t xml:space="preserve"> en 2021 de 54.7 a 53.7% del PIB –con base en las proyecciones de las principales variables macroeconómicas– y colocarlo en una senda decreciente a partir de entonces. </w:t>
      </w:r>
    </w:p>
    <w:p w14:paraId="60F44A42" w14:textId="77777777" w:rsidR="00A41FFA" w:rsidRPr="00D17328" w:rsidRDefault="00A41FFA" w:rsidP="00A41FFA">
      <w:pPr>
        <w:pStyle w:val="PRIMERAPLANA"/>
        <w:spacing w:line="360" w:lineRule="auto"/>
        <w:rPr>
          <w:rFonts w:ascii="Times New Roman" w:hAnsi="Times New Roman"/>
          <w:bCs/>
          <w:lang w:val="es-ES"/>
        </w:rPr>
      </w:pPr>
    </w:p>
    <w:p w14:paraId="281DD82F" w14:textId="5174E670" w:rsidR="00A41FFA" w:rsidRPr="00D17328" w:rsidRDefault="00A41FFA" w:rsidP="00A41FFA">
      <w:pPr>
        <w:pStyle w:val="PRIMERAPLANA"/>
        <w:spacing w:line="360" w:lineRule="auto"/>
        <w:rPr>
          <w:rFonts w:ascii="Times New Roman" w:hAnsi="Times New Roman"/>
          <w:bCs/>
          <w:lang w:val="es-ES"/>
        </w:rPr>
      </w:pPr>
      <w:r w:rsidRPr="00D17328">
        <w:rPr>
          <w:rFonts w:ascii="Times New Roman" w:hAnsi="Times New Roman"/>
          <w:bCs/>
          <w:lang w:val="es-ES"/>
        </w:rPr>
        <w:t xml:space="preserve">Debe señalarse que lo que permitirá reducir los RFSP extraordinarios de 2020 es la mejoría estimada en los ingresos presupuestarios ordinarios, pues se plantea un nivel de gasto que permite al Gobierno de México seguir cumpliendo con sus responsabilidades ante la población y con acciones para mitigar los impactos de la contingencia sanitaria y económica, así como para fomentar una reactivación rápida. </w:t>
      </w:r>
    </w:p>
    <w:p w14:paraId="0CB944FC" w14:textId="77777777" w:rsidR="00A41FFA" w:rsidRPr="00D17328" w:rsidRDefault="00A41FFA" w:rsidP="00A41FFA">
      <w:pPr>
        <w:pStyle w:val="PRIMERAPLANA"/>
        <w:spacing w:line="360" w:lineRule="auto"/>
        <w:rPr>
          <w:rFonts w:ascii="Times New Roman" w:hAnsi="Times New Roman"/>
          <w:bCs/>
          <w:lang w:val="es-ES"/>
        </w:rPr>
      </w:pPr>
    </w:p>
    <w:p w14:paraId="783B0B01" w14:textId="02F15117" w:rsidR="00CC1B66" w:rsidRPr="00D17328" w:rsidRDefault="00A41FFA" w:rsidP="00A41FFA">
      <w:pPr>
        <w:pStyle w:val="PRIMERAPLANA"/>
        <w:spacing w:line="360" w:lineRule="auto"/>
        <w:rPr>
          <w:rFonts w:ascii="Times New Roman" w:hAnsi="Times New Roman"/>
          <w:bCs/>
          <w:lang w:val="es-ES"/>
        </w:rPr>
      </w:pPr>
      <w:r w:rsidRPr="00D17328">
        <w:rPr>
          <w:rFonts w:ascii="Times New Roman" w:hAnsi="Times New Roman"/>
          <w:bCs/>
          <w:lang w:val="es-ES"/>
        </w:rPr>
        <w:t xml:space="preserve">Para asegurar la disponibilidad de recursos que se requieren en la etapa de reactivación, se propone un balance público sin incluir la inversión del Gobierno Federal y de las Empresas Productivas del Estado de -0.7% del PIB, que es consistente con la disminución proyectada del SHRFSP. Esto permitirá continuar apoyando la reducción en la brecha respecto al potencial de la economía, en el entorno excepcionalmente complejo creado por la pandemia del COVID-19, además de estar sustentado en la </w:t>
      </w:r>
      <w:r w:rsidRPr="00D17328">
        <w:rPr>
          <w:rFonts w:ascii="Times New Roman" w:hAnsi="Times New Roman"/>
          <w:bCs/>
          <w:lang w:val="es-ES"/>
        </w:rPr>
        <w:lastRenderedPageBreak/>
        <w:t>evolución de los ingresos tributarios y el nuevo panorama para los precios del petróleo, conforme a lo establecido en la LFPRH</w:t>
      </w:r>
      <w:r w:rsidR="002619D8" w:rsidRPr="00D17328">
        <w:rPr>
          <w:rFonts w:ascii="Times New Roman" w:hAnsi="Times New Roman"/>
          <w:bCs/>
          <w:lang w:val="es-ES"/>
        </w:rPr>
        <w:t xml:space="preserve"> </w:t>
      </w:r>
      <w:r w:rsidRPr="00D17328">
        <w:rPr>
          <w:rFonts w:ascii="Times New Roman" w:hAnsi="Times New Roman"/>
          <w:bCs/>
          <w:lang w:val="es-ES"/>
        </w:rPr>
        <w:t>y su Reglamento.</w:t>
      </w:r>
    </w:p>
    <w:p w14:paraId="19EAA6B8" w14:textId="6D5B3292" w:rsidR="00CC1B66" w:rsidRPr="00D17328" w:rsidRDefault="00CC1B66" w:rsidP="00992F99">
      <w:pPr>
        <w:pStyle w:val="PRIMERAPLANA"/>
        <w:spacing w:line="360" w:lineRule="auto"/>
        <w:rPr>
          <w:rFonts w:ascii="Times New Roman" w:hAnsi="Times New Roman"/>
          <w:bCs/>
          <w:lang w:val="es-ES"/>
        </w:rPr>
      </w:pPr>
    </w:p>
    <w:p w14:paraId="5EAFEBFF" w14:textId="6A212C93" w:rsidR="00CC1B66" w:rsidRPr="00D17328" w:rsidRDefault="00A41FFA" w:rsidP="00A41FFA">
      <w:pPr>
        <w:pStyle w:val="PRIMERAPLANA"/>
        <w:spacing w:line="360" w:lineRule="auto"/>
        <w:rPr>
          <w:rFonts w:ascii="Times New Roman" w:hAnsi="Times New Roman"/>
          <w:bCs/>
          <w:lang w:val="es-ES"/>
        </w:rPr>
      </w:pPr>
      <w:r w:rsidRPr="00D17328">
        <w:rPr>
          <w:rFonts w:ascii="Times New Roman" w:hAnsi="Times New Roman"/>
          <w:bCs/>
          <w:lang w:val="es-ES"/>
        </w:rPr>
        <w:t>El entorno macroeconómico previsto para 2021 se encuentra sujeto a diversos riesgos tanto al alza como a la baja. Entre los primeros destacan el descubrimiento de una vacuna para el COVID-19 que permite una reapertura amplia en el año, así como una mayor inversión resultado de la disipación en la incertidumbre en los mercados financieros, por mayor relocalización de empresas para aprovechar las ventajas comparativas del TMEC</w:t>
      </w:r>
      <w:r w:rsidR="00D41890" w:rsidRPr="00D17328">
        <w:rPr>
          <w:rFonts w:ascii="Times New Roman" w:hAnsi="Times New Roman"/>
          <w:bCs/>
          <w:lang w:val="es-ES"/>
        </w:rPr>
        <w:t xml:space="preserve"> </w:t>
      </w:r>
      <w:r w:rsidRPr="00D17328">
        <w:rPr>
          <w:rFonts w:ascii="Times New Roman" w:hAnsi="Times New Roman"/>
          <w:bCs/>
          <w:lang w:val="es-ES"/>
        </w:rPr>
        <w:t>o ante mayores disminuciones en las tasas de interés domésticas. Entre los segundos resalta una</w:t>
      </w:r>
      <w:r w:rsidR="00D41890" w:rsidRPr="00D17328">
        <w:rPr>
          <w:rFonts w:ascii="Times New Roman" w:hAnsi="Times New Roman"/>
          <w:bCs/>
          <w:lang w:val="es-ES"/>
        </w:rPr>
        <w:t xml:space="preserve"> </w:t>
      </w:r>
      <w:r w:rsidRPr="00D17328">
        <w:rPr>
          <w:rFonts w:ascii="Times New Roman" w:hAnsi="Times New Roman"/>
          <w:bCs/>
          <w:lang w:val="es-ES"/>
        </w:rPr>
        <w:t>reactivación interna más lenta que la anticipada y una recuperación menor que la esperada para EEUU, por</w:t>
      </w:r>
      <w:r w:rsidR="00D41890" w:rsidRPr="00D17328">
        <w:rPr>
          <w:rFonts w:ascii="Times New Roman" w:hAnsi="Times New Roman"/>
          <w:bCs/>
          <w:lang w:val="es-ES"/>
        </w:rPr>
        <w:t xml:space="preserve"> </w:t>
      </w:r>
      <w:r w:rsidRPr="00D17328">
        <w:rPr>
          <w:rFonts w:ascii="Times New Roman" w:hAnsi="Times New Roman"/>
          <w:bCs/>
          <w:lang w:val="es-ES"/>
        </w:rPr>
        <w:t>incertidumbre asociada a su próximo proceso electoral o por escalamiento en las tensiones comerciales y</w:t>
      </w:r>
      <w:r w:rsidR="00D41890" w:rsidRPr="00D17328">
        <w:rPr>
          <w:rFonts w:ascii="Times New Roman" w:hAnsi="Times New Roman"/>
          <w:bCs/>
          <w:lang w:val="es-ES"/>
        </w:rPr>
        <w:t xml:space="preserve"> </w:t>
      </w:r>
      <w:r w:rsidRPr="00D17328">
        <w:rPr>
          <w:rFonts w:ascii="Times New Roman" w:hAnsi="Times New Roman"/>
          <w:bCs/>
          <w:lang w:val="es-ES"/>
        </w:rPr>
        <w:t>geopolíticas con China. A continuación</w:t>
      </w:r>
      <w:r w:rsidR="00326DB5" w:rsidRPr="00D17328">
        <w:rPr>
          <w:rFonts w:ascii="Times New Roman" w:hAnsi="Times New Roman"/>
          <w:bCs/>
          <w:lang w:val="es-ES"/>
        </w:rPr>
        <w:t>,</w:t>
      </w:r>
      <w:r w:rsidRPr="00D17328">
        <w:rPr>
          <w:rFonts w:ascii="Times New Roman" w:hAnsi="Times New Roman"/>
          <w:bCs/>
          <w:lang w:val="es-ES"/>
        </w:rPr>
        <w:t xml:space="preserve"> se muestra el resumen de las principales variables del marco</w:t>
      </w:r>
      <w:r w:rsidR="00D41890" w:rsidRPr="00D17328">
        <w:rPr>
          <w:rFonts w:ascii="Times New Roman" w:hAnsi="Times New Roman"/>
          <w:bCs/>
          <w:lang w:val="es-ES"/>
        </w:rPr>
        <w:t xml:space="preserve"> </w:t>
      </w:r>
      <w:r w:rsidRPr="00D17328">
        <w:rPr>
          <w:rFonts w:ascii="Times New Roman" w:hAnsi="Times New Roman"/>
          <w:bCs/>
          <w:lang w:val="es-ES"/>
        </w:rPr>
        <w:t>macroeconómico.</w:t>
      </w:r>
    </w:p>
    <w:p w14:paraId="2109BD57" w14:textId="6EEFEC0A" w:rsidR="00CC1B66" w:rsidRDefault="00CC1B66" w:rsidP="00992F99">
      <w:pPr>
        <w:pStyle w:val="PRIMERAPLANA"/>
        <w:spacing w:line="360" w:lineRule="auto"/>
        <w:rPr>
          <w:rFonts w:cs="Arial"/>
          <w:bCs/>
          <w:sz w:val="24"/>
          <w:szCs w:val="24"/>
          <w:lang w:val="es-ES"/>
        </w:rPr>
      </w:pPr>
    </w:p>
    <w:p w14:paraId="053F40C9" w14:textId="72CAFF88" w:rsidR="00CC1B66" w:rsidRDefault="00D41890" w:rsidP="00992F99">
      <w:pPr>
        <w:pStyle w:val="PRIMERAPLANA"/>
        <w:spacing w:line="360" w:lineRule="auto"/>
        <w:rPr>
          <w:rFonts w:cs="Arial"/>
          <w:bCs/>
          <w:sz w:val="24"/>
          <w:szCs w:val="24"/>
          <w:lang w:val="es-ES"/>
        </w:rPr>
      </w:pPr>
      <w:r>
        <w:rPr>
          <w:noProof/>
          <w:lang w:val="es-MX" w:eastAsia="es-MX"/>
        </w:rPr>
        <w:drawing>
          <wp:inline distT="0" distB="0" distL="0" distR="0" wp14:anchorId="70B9FEC3" wp14:editId="303EB619">
            <wp:extent cx="5123253" cy="3648075"/>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848" t="25501" r="25892" b="14669"/>
                    <a:stretch/>
                  </pic:blipFill>
                  <pic:spPr bwMode="auto">
                    <a:xfrm>
                      <a:off x="0" y="0"/>
                      <a:ext cx="5141613" cy="3661149"/>
                    </a:xfrm>
                    <a:prstGeom prst="rect">
                      <a:avLst/>
                    </a:prstGeom>
                    <a:ln>
                      <a:noFill/>
                    </a:ln>
                    <a:extLst>
                      <a:ext uri="{53640926-AAD7-44D8-BBD7-CCE9431645EC}">
                        <a14:shadowObscured xmlns:a14="http://schemas.microsoft.com/office/drawing/2010/main"/>
                      </a:ext>
                    </a:extLst>
                  </pic:spPr>
                </pic:pic>
              </a:graphicData>
            </a:graphic>
          </wp:inline>
        </w:drawing>
      </w:r>
    </w:p>
    <w:p w14:paraId="31914CFD" w14:textId="4A09A858" w:rsidR="00CC1B66" w:rsidRDefault="00CC1B66" w:rsidP="00992F99">
      <w:pPr>
        <w:pStyle w:val="PRIMERAPLANA"/>
        <w:spacing w:line="360" w:lineRule="auto"/>
        <w:rPr>
          <w:rFonts w:cs="Arial"/>
          <w:bCs/>
          <w:sz w:val="24"/>
          <w:szCs w:val="24"/>
          <w:lang w:val="es-ES"/>
        </w:rPr>
      </w:pPr>
    </w:p>
    <w:p w14:paraId="7E467951" w14:textId="77777777" w:rsidR="00F12879" w:rsidRPr="00D17328" w:rsidRDefault="00F12879" w:rsidP="00F12879">
      <w:pPr>
        <w:pStyle w:val="PRIMERAPLANA"/>
        <w:spacing w:line="360" w:lineRule="auto"/>
        <w:rPr>
          <w:rFonts w:ascii="Times New Roman" w:hAnsi="Times New Roman"/>
          <w:bCs/>
          <w:lang w:val="es-ES"/>
        </w:rPr>
      </w:pPr>
      <w:r w:rsidRPr="00D17328">
        <w:rPr>
          <w:rFonts w:ascii="Times New Roman" w:hAnsi="Times New Roman"/>
          <w:bCs/>
          <w:lang w:val="es-ES"/>
        </w:rPr>
        <w:t>Para el ejercicio fiscal 2021, se presupuestan ingresos por 5,538.9 mmp, inferiores en 174.0 mmp respecto a la LIF 2020 (una variación real de -3.0%) y menores en 27.4 mmp a los ingresos que se esperan para el cierre del presente ejercicio (con una variación de -0.5 %).</w:t>
      </w:r>
    </w:p>
    <w:p w14:paraId="6EE95235" w14:textId="77777777" w:rsidR="00F12879" w:rsidRPr="00D17328" w:rsidRDefault="00F12879" w:rsidP="00F12879">
      <w:pPr>
        <w:pStyle w:val="PRIMERAPLANA"/>
        <w:spacing w:line="360" w:lineRule="auto"/>
        <w:rPr>
          <w:rFonts w:ascii="Times New Roman" w:hAnsi="Times New Roman"/>
          <w:bCs/>
          <w:lang w:val="es-ES"/>
        </w:rPr>
      </w:pPr>
    </w:p>
    <w:p w14:paraId="1BFA08EB" w14:textId="77CFF7D7" w:rsidR="00571023" w:rsidRPr="00D17328" w:rsidRDefault="00F12879" w:rsidP="00F12879">
      <w:pPr>
        <w:pStyle w:val="PRIMERAPLANA"/>
        <w:spacing w:line="360" w:lineRule="auto"/>
        <w:rPr>
          <w:rFonts w:ascii="Times New Roman" w:hAnsi="Times New Roman"/>
          <w:bCs/>
          <w:lang w:val="es-ES"/>
        </w:rPr>
      </w:pPr>
      <w:r w:rsidRPr="00D17328">
        <w:rPr>
          <w:rFonts w:ascii="Times New Roman" w:hAnsi="Times New Roman"/>
          <w:bCs/>
          <w:lang w:val="es-ES"/>
        </w:rPr>
        <w:t xml:space="preserve">Los menores ingresos estimados para 2021 con respecto al cierre esperado en 2020 se explican principalmente por ingresos de carácter no recurrente y no se tienen contemplados ingresos de esta naturaleza para 2021. Los menores ingresos con relación a la LIF 2020 se explican por la reducción esperada en los ingresos petroleros </w:t>
      </w:r>
      <w:r w:rsidR="00672077" w:rsidRPr="00D17328">
        <w:rPr>
          <w:rFonts w:ascii="Times New Roman" w:hAnsi="Times New Roman"/>
          <w:bCs/>
          <w:lang w:val="es-ES"/>
        </w:rPr>
        <w:t>asociada</w:t>
      </w:r>
      <w:r w:rsidRPr="00D17328">
        <w:rPr>
          <w:rFonts w:ascii="Times New Roman" w:hAnsi="Times New Roman"/>
          <w:bCs/>
          <w:lang w:val="es-ES"/>
        </w:rPr>
        <w:t xml:space="preserve"> principalmente, a la menor producción y precio del petróleo, y a menores ingresos no petroleros asociados a la reducción de la actividad económica.</w:t>
      </w:r>
    </w:p>
    <w:p w14:paraId="382409D2" w14:textId="2A5374A2" w:rsidR="00571023" w:rsidRPr="00D17328" w:rsidRDefault="00571023" w:rsidP="00992F99">
      <w:pPr>
        <w:pStyle w:val="PRIMERAPLANA"/>
        <w:spacing w:line="360" w:lineRule="auto"/>
        <w:rPr>
          <w:rFonts w:ascii="Times New Roman" w:hAnsi="Times New Roman"/>
          <w:bCs/>
          <w:lang w:val="es-ES"/>
        </w:rPr>
      </w:pPr>
    </w:p>
    <w:p w14:paraId="5EAE3B19" w14:textId="0063EA2C" w:rsidR="00571023" w:rsidRPr="00D17328" w:rsidRDefault="0092245E" w:rsidP="0092245E">
      <w:pPr>
        <w:pStyle w:val="PRIMERAPLANA"/>
        <w:spacing w:line="360" w:lineRule="auto"/>
        <w:rPr>
          <w:rFonts w:ascii="Times New Roman" w:hAnsi="Times New Roman"/>
          <w:bCs/>
          <w:lang w:val="es-ES"/>
        </w:rPr>
      </w:pPr>
      <w:r w:rsidRPr="00D17328">
        <w:rPr>
          <w:rFonts w:ascii="Times New Roman" w:hAnsi="Times New Roman"/>
          <w:bCs/>
          <w:lang w:val="es-ES"/>
        </w:rPr>
        <w:t>Para el ejercicio 2021 se presupuestan ingresos tributarios sin IEPS de gasolinas por un monto de 3,181.4 mmp, lo que implica un crecimiento real respecto al cierre estimado de 2020 de 4.6% y una reducción real de 2.8% con respecto a la LIF 2020. En el primer caso, se explica por el aumento en la actividad económica esperada para 2021 y por las ganancias esperadas en eficiencia recaudatoria por parte de la autoridad fiscal y el combate irrestricto a la evasión y elusión fiscales. La disminución real con respecto a lo previsto en la LIF 2020 se debe, fundamentalmente, a la caída esperada en la actividad económica para 2020, situación que reduce sustancialmente la base de la que se partirá al cierre de 2020 (273.7 mmp con respecto a la LIF</w:t>
      </w:r>
      <w:r w:rsidR="00672077" w:rsidRPr="00D17328">
        <w:rPr>
          <w:rFonts w:ascii="Times New Roman" w:hAnsi="Times New Roman"/>
          <w:bCs/>
          <w:lang w:val="es-ES"/>
        </w:rPr>
        <w:t xml:space="preserve"> </w:t>
      </w:r>
      <w:r w:rsidRPr="00D17328">
        <w:rPr>
          <w:rFonts w:ascii="Times New Roman" w:hAnsi="Times New Roman"/>
          <w:bCs/>
          <w:lang w:val="es-ES"/>
        </w:rPr>
        <w:t>2020). Si bien se anticipa un crecimiento positivo en 2021, el nivel nominal del PIB será menor a lo anticipado inicialmente para 2020, lo cual implicará que los ingresos tributarios también sean menores.</w:t>
      </w:r>
    </w:p>
    <w:p w14:paraId="19A993EA" w14:textId="22C6472B" w:rsidR="0092245E" w:rsidRPr="00D17328" w:rsidRDefault="0092245E" w:rsidP="00992F99">
      <w:pPr>
        <w:pStyle w:val="PRIMERAPLANA"/>
        <w:spacing w:line="360" w:lineRule="auto"/>
        <w:rPr>
          <w:rFonts w:ascii="Times New Roman" w:hAnsi="Times New Roman"/>
          <w:bCs/>
          <w:lang w:val="es-ES"/>
        </w:rPr>
      </w:pPr>
    </w:p>
    <w:p w14:paraId="2BA4F7B7" w14:textId="0C716D93" w:rsidR="00FE4C8D" w:rsidRPr="00D17328" w:rsidRDefault="00FE4C8D" w:rsidP="00FE4C8D">
      <w:pPr>
        <w:pStyle w:val="PRIMERAPLANA"/>
        <w:spacing w:line="360" w:lineRule="auto"/>
        <w:rPr>
          <w:rFonts w:ascii="Times New Roman" w:hAnsi="Times New Roman"/>
          <w:bCs/>
          <w:lang w:val="es-ES"/>
        </w:rPr>
      </w:pPr>
      <w:r w:rsidRPr="00D17328">
        <w:rPr>
          <w:rFonts w:ascii="Times New Roman" w:hAnsi="Times New Roman"/>
          <w:bCs/>
          <w:lang w:val="es-ES"/>
        </w:rPr>
        <w:t xml:space="preserve">Se presupuestan ingresos no tributarios del Gobierno Federal por un monto de 204.1 mmp lo que implica un monto menor en 60.6% en términos reales contra el cierre estimado del año, principalmente, porque en 2020 se contemplan ingresos de carácter no recurrente provenientes del FEIP para compensar la disminución de los ingresos del Gobierno Federal como establece la LFPRH, así como de otros fondos y fideicomisos utilizados para enfrentar la contingencia económica y sanitaria, sin </w:t>
      </w:r>
      <w:r w:rsidR="00672077" w:rsidRPr="00D17328">
        <w:rPr>
          <w:rFonts w:ascii="Times New Roman" w:hAnsi="Times New Roman"/>
          <w:bCs/>
          <w:lang w:val="es-ES"/>
        </w:rPr>
        <w:t>recurrir a mayor endeudamiento c</w:t>
      </w:r>
      <w:r w:rsidRPr="00D17328">
        <w:rPr>
          <w:rFonts w:ascii="Times New Roman" w:hAnsi="Times New Roman"/>
          <w:bCs/>
          <w:lang w:val="es-ES"/>
        </w:rPr>
        <w:t>on respecto a los ingresos de organismos y empresas distintos de Pemex, se estima una reducción de 1.3% en términos reales respecto al cierre estimado de 2020, principalmente porque en este año se espera que se obtengan recursos extraordinarios por la venta de bienes que se compensarán parcialmente con la mayor actividad económica esperada para 2021.</w:t>
      </w:r>
    </w:p>
    <w:p w14:paraId="7200E6D5" w14:textId="77777777" w:rsidR="00FE4C8D" w:rsidRPr="00D17328" w:rsidRDefault="00FE4C8D" w:rsidP="00992F99">
      <w:pPr>
        <w:pStyle w:val="PRIMERAPLANA"/>
        <w:spacing w:line="360" w:lineRule="auto"/>
        <w:rPr>
          <w:rFonts w:ascii="Times New Roman" w:hAnsi="Times New Roman"/>
          <w:bCs/>
          <w:lang w:val="es-ES"/>
        </w:rPr>
      </w:pPr>
    </w:p>
    <w:p w14:paraId="005126FD" w14:textId="366C5730" w:rsidR="00FE4C8D" w:rsidRPr="00D17328" w:rsidRDefault="00FE4C8D" w:rsidP="00FE4C8D">
      <w:pPr>
        <w:pStyle w:val="PRIMERAPLANA"/>
        <w:spacing w:line="360" w:lineRule="auto"/>
        <w:rPr>
          <w:rFonts w:ascii="Times New Roman" w:hAnsi="Times New Roman"/>
          <w:bCs/>
          <w:lang w:val="es-ES"/>
        </w:rPr>
      </w:pPr>
      <w:r w:rsidRPr="00D17328">
        <w:rPr>
          <w:rFonts w:ascii="Times New Roman" w:hAnsi="Times New Roman"/>
          <w:bCs/>
          <w:lang w:val="es-ES"/>
        </w:rPr>
        <w:t xml:space="preserve">Los recursos destinados al fortalecimiento de las haciendas locales por concepto de participaciones, aportaciones federales y otros conceptos, se estiman en 1,867.3 mmp, (que representa el 29.7% del gasto neto total que se plantea) de los cuales, 49.3% corresponde al pago de participaciones; el 44.8%, a las aportaciones federales que se canalizan a destinos específicos como educación, salud, infraestructura social y seguridad pública; y el restante 5.9% a otros conceptos, en los que se encuentran las asignaciones para convenios de coordinación, subsidios y otros gastos. </w:t>
      </w:r>
    </w:p>
    <w:p w14:paraId="75599A96" w14:textId="77777777" w:rsidR="00FE4C8D" w:rsidRPr="00D17328" w:rsidRDefault="00FE4C8D" w:rsidP="00FE4C8D">
      <w:pPr>
        <w:pStyle w:val="PRIMERAPLANA"/>
        <w:spacing w:line="360" w:lineRule="auto"/>
        <w:rPr>
          <w:rFonts w:ascii="Times New Roman" w:hAnsi="Times New Roman"/>
          <w:bCs/>
          <w:lang w:val="es-ES"/>
        </w:rPr>
      </w:pPr>
    </w:p>
    <w:p w14:paraId="336307C0" w14:textId="1D1CA6F3" w:rsidR="0092245E" w:rsidRPr="00D17328" w:rsidRDefault="00FE4C8D" w:rsidP="00FE4C8D">
      <w:pPr>
        <w:pStyle w:val="PRIMERAPLANA"/>
        <w:spacing w:line="360" w:lineRule="auto"/>
        <w:rPr>
          <w:rFonts w:ascii="Times New Roman" w:hAnsi="Times New Roman"/>
          <w:bCs/>
          <w:lang w:val="es-ES"/>
        </w:rPr>
      </w:pPr>
      <w:r w:rsidRPr="00D17328">
        <w:rPr>
          <w:rFonts w:ascii="Times New Roman" w:hAnsi="Times New Roman"/>
          <w:bCs/>
          <w:lang w:val="es-ES"/>
        </w:rPr>
        <w:t>Además, los recursos que se transfieren a los estados representan cerca del 30% del gasto neto total de sector público presupuestario.</w:t>
      </w:r>
    </w:p>
    <w:p w14:paraId="3D4327AE" w14:textId="74E78953" w:rsidR="0092245E" w:rsidRDefault="0092245E" w:rsidP="00992F99">
      <w:pPr>
        <w:pStyle w:val="PRIMERAPLANA"/>
        <w:spacing w:line="360" w:lineRule="auto"/>
        <w:rPr>
          <w:rFonts w:cs="Arial"/>
          <w:bCs/>
          <w:sz w:val="24"/>
          <w:szCs w:val="24"/>
          <w:lang w:val="es-ES"/>
        </w:rPr>
      </w:pPr>
    </w:p>
    <w:p w14:paraId="718C37AD" w14:textId="7E1CC25C" w:rsidR="0092245E" w:rsidRDefault="00FE4C8D" w:rsidP="00992F99">
      <w:pPr>
        <w:pStyle w:val="PRIMERAPLANA"/>
        <w:spacing w:line="360" w:lineRule="auto"/>
        <w:rPr>
          <w:rFonts w:cs="Arial"/>
          <w:bCs/>
          <w:sz w:val="24"/>
          <w:szCs w:val="24"/>
          <w:lang w:val="es-ES"/>
        </w:rPr>
      </w:pPr>
      <w:r>
        <w:rPr>
          <w:noProof/>
          <w:lang w:val="es-MX" w:eastAsia="es-MX"/>
        </w:rPr>
        <w:drawing>
          <wp:inline distT="0" distB="0" distL="0" distR="0" wp14:anchorId="3059334B" wp14:editId="4BE89461">
            <wp:extent cx="5471680" cy="1352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53" t="44464" r="16881" b="26765"/>
                    <a:stretch/>
                  </pic:blipFill>
                  <pic:spPr bwMode="auto">
                    <a:xfrm>
                      <a:off x="0" y="0"/>
                      <a:ext cx="5481822" cy="1355057"/>
                    </a:xfrm>
                    <a:prstGeom prst="rect">
                      <a:avLst/>
                    </a:prstGeom>
                    <a:ln>
                      <a:noFill/>
                    </a:ln>
                    <a:extLst>
                      <a:ext uri="{53640926-AAD7-44D8-BBD7-CCE9431645EC}">
                        <a14:shadowObscured xmlns:a14="http://schemas.microsoft.com/office/drawing/2010/main"/>
                      </a:ext>
                    </a:extLst>
                  </pic:spPr>
                </pic:pic>
              </a:graphicData>
            </a:graphic>
          </wp:inline>
        </w:drawing>
      </w:r>
    </w:p>
    <w:p w14:paraId="63C9E9EC" w14:textId="77777777" w:rsidR="00EE2F03" w:rsidRDefault="00EE2F03" w:rsidP="00EE2F03">
      <w:pPr>
        <w:pStyle w:val="PRIMERAPLANA"/>
        <w:spacing w:line="360" w:lineRule="auto"/>
        <w:rPr>
          <w:rFonts w:cs="Arial"/>
          <w:bCs/>
          <w:sz w:val="24"/>
          <w:szCs w:val="24"/>
          <w:lang w:val="es-ES"/>
        </w:rPr>
      </w:pPr>
    </w:p>
    <w:p w14:paraId="55F54A7D" w14:textId="6DAEBE5D" w:rsidR="00EE2F03" w:rsidRPr="00D17328" w:rsidRDefault="00EE2F03" w:rsidP="00EE2F03">
      <w:pPr>
        <w:pStyle w:val="PRIMERAPLANA"/>
        <w:spacing w:line="360" w:lineRule="auto"/>
        <w:rPr>
          <w:rFonts w:ascii="Times New Roman" w:hAnsi="Times New Roman"/>
          <w:bCs/>
          <w:lang w:val="es-ES"/>
        </w:rPr>
      </w:pPr>
      <w:r w:rsidRPr="00D17328">
        <w:rPr>
          <w:rFonts w:ascii="Times New Roman" w:hAnsi="Times New Roman"/>
          <w:bCs/>
          <w:lang w:val="es-ES"/>
        </w:rPr>
        <w:t xml:space="preserve">La política de deuda pública para 2021 se orientará a satisfacer de manera oportuna y eficiente las necesidades de financiamiento del Gobierno Federal, conservando el acceso a las distintas fuentes de financiamiento. De igual manera se busca seguir manteniendo una estructura sólida de la deuda pública que fortalezca las finanzas públicas y favorezca la conducción de la política económica en el mediano y largo plazos. </w:t>
      </w:r>
    </w:p>
    <w:p w14:paraId="6F682037" w14:textId="77777777" w:rsidR="00EE2F03" w:rsidRPr="00D17328" w:rsidRDefault="00EE2F03" w:rsidP="00EE2F03">
      <w:pPr>
        <w:pStyle w:val="PRIMERAPLANA"/>
        <w:spacing w:line="360" w:lineRule="auto"/>
        <w:rPr>
          <w:rFonts w:ascii="Times New Roman" w:hAnsi="Times New Roman"/>
          <w:bCs/>
          <w:lang w:val="es-ES"/>
        </w:rPr>
      </w:pPr>
    </w:p>
    <w:p w14:paraId="73493B11" w14:textId="77777777" w:rsidR="00D37214" w:rsidRPr="00D17328" w:rsidRDefault="00EE2F03" w:rsidP="00EE2F03">
      <w:pPr>
        <w:pStyle w:val="PRIMERAPLANA"/>
        <w:spacing w:line="360" w:lineRule="auto"/>
        <w:rPr>
          <w:rFonts w:ascii="Times New Roman" w:hAnsi="Times New Roman"/>
          <w:bCs/>
          <w:lang w:val="es-ES"/>
        </w:rPr>
      </w:pPr>
      <w:r w:rsidRPr="00D17328">
        <w:rPr>
          <w:rFonts w:ascii="Times New Roman" w:hAnsi="Times New Roman"/>
          <w:bCs/>
          <w:lang w:val="es-ES"/>
        </w:rPr>
        <w:t xml:space="preserve">De esta manera, la política considera los siguientes elementos: </w:t>
      </w:r>
    </w:p>
    <w:p w14:paraId="098BF559" w14:textId="77777777" w:rsidR="00D37214" w:rsidRPr="00D17328" w:rsidRDefault="00D37214" w:rsidP="00EE2F03">
      <w:pPr>
        <w:pStyle w:val="PRIMERAPLANA"/>
        <w:spacing w:line="360" w:lineRule="auto"/>
        <w:rPr>
          <w:rFonts w:ascii="Times New Roman" w:hAnsi="Times New Roman"/>
          <w:bCs/>
          <w:lang w:val="es-ES"/>
        </w:rPr>
      </w:pPr>
    </w:p>
    <w:p w14:paraId="79A55117" w14:textId="753E02A8" w:rsidR="00D37214" w:rsidRPr="00D17328" w:rsidRDefault="00672077" w:rsidP="00EE2F03">
      <w:pPr>
        <w:pStyle w:val="PRIMERAPLANA"/>
        <w:spacing w:line="360" w:lineRule="auto"/>
        <w:rPr>
          <w:rFonts w:ascii="Times New Roman" w:hAnsi="Times New Roman"/>
          <w:bCs/>
          <w:lang w:val="es-ES"/>
        </w:rPr>
      </w:pPr>
      <w:r w:rsidRPr="00D17328">
        <w:rPr>
          <w:rFonts w:ascii="Times New Roman" w:hAnsi="Times New Roman"/>
          <w:bCs/>
          <w:lang w:val="es-ES"/>
        </w:rPr>
        <w:t>1) S</w:t>
      </w:r>
      <w:r w:rsidR="00EE2F03" w:rsidRPr="00D17328">
        <w:rPr>
          <w:rFonts w:ascii="Times New Roman" w:hAnsi="Times New Roman"/>
          <w:bCs/>
          <w:lang w:val="es-ES"/>
        </w:rPr>
        <w:t xml:space="preserve">e buscará financiar la mayor parte de las necesidades del Gobierno Federal en el mercado interno y/o predominantemente con instrumentos de largo plazo y tasa fija, de manera que se mantenga un portafolio de pasivos sólido; </w:t>
      </w:r>
    </w:p>
    <w:p w14:paraId="7AC827A6" w14:textId="66F8E249" w:rsidR="00D37214" w:rsidRPr="00D17328" w:rsidRDefault="00672077" w:rsidP="00EE2F03">
      <w:pPr>
        <w:pStyle w:val="PRIMERAPLANA"/>
        <w:spacing w:line="360" w:lineRule="auto"/>
        <w:rPr>
          <w:rFonts w:ascii="Times New Roman" w:hAnsi="Times New Roman"/>
          <w:bCs/>
          <w:lang w:val="es-ES"/>
        </w:rPr>
      </w:pPr>
      <w:r w:rsidRPr="00D17328">
        <w:rPr>
          <w:rFonts w:ascii="Times New Roman" w:hAnsi="Times New Roman"/>
          <w:bCs/>
          <w:lang w:val="es-ES"/>
        </w:rPr>
        <w:t>2) S</w:t>
      </w:r>
      <w:r w:rsidR="00EE2F03" w:rsidRPr="00D17328">
        <w:rPr>
          <w:rFonts w:ascii="Times New Roman" w:hAnsi="Times New Roman"/>
          <w:bCs/>
          <w:lang w:val="es-ES"/>
        </w:rPr>
        <w:t xml:space="preserve">e buscará realizar operaciones de manejo de pasivos de manera regular, para mejorar el perfil de vencimientos de deuda y ajustar el portafolio a las condiciones financieras prevalecientes; </w:t>
      </w:r>
    </w:p>
    <w:p w14:paraId="12F8189A" w14:textId="750E0314" w:rsidR="00D37214" w:rsidRPr="00D17328" w:rsidRDefault="00672077" w:rsidP="00EE2F03">
      <w:pPr>
        <w:pStyle w:val="PRIMERAPLANA"/>
        <w:spacing w:line="360" w:lineRule="auto"/>
        <w:rPr>
          <w:rFonts w:ascii="Times New Roman" w:hAnsi="Times New Roman"/>
          <w:bCs/>
          <w:lang w:val="es-ES"/>
        </w:rPr>
      </w:pPr>
      <w:r w:rsidRPr="00D17328">
        <w:rPr>
          <w:rFonts w:ascii="Times New Roman" w:hAnsi="Times New Roman"/>
          <w:bCs/>
          <w:lang w:val="es-ES"/>
        </w:rPr>
        <w:t>3) L</w:t>
      </w:r>
      <w:r w:rsidR="00EE2F03" w:rsidRPr="00D17328">
        <w:rPr>
          <w:rFonts w:ascii="Times New Roman" w:hAnsi="Times New Roman"/>
          <w:bCs/>
          <w:lang w:val="es-ES"/>
        </w:rPr>
        <w:t>a política será proactiva, flexible e innovadora, a fin de implementar las medidas necesarias para asegurar el buen funcionamiento y liquidez en los mercados de deuda;</w:t>
      </w:r>
      <w:r w:rsidR="00D37214" w:rsidRPr="00D17328">
        <w:rPr>
          <w:rFonts w:ascii="Times New Roman" w:hAnsi="Times New Roman"/>
          <w:bCs/>
          <w:lang w:val="es-ES"/>
        </w:rPr>
        <w:t xml:space="preserve"> </w:t>
      </w:r>
    </w:p>
    <w:p w14:paraId="178F2B12" w14:textId="3598FA12" w:rsidR="00D37214" w:rsidRPr="00D17328" w:rsidRDefault="00672077" w:rsidP="00EE2F03">
      <w:pPr>
        <w:pStyle w:val="PRIMERAPLANA"/>
        <w:spacing w:line="360" w:lineRule="auto"/>
        <w:rPr>
          <w:rFonts w:ascii="Times New Roman" w:hAnsi="Times New Roman"/>
          <w:bCs/>
          <w:lang w:val="es-ES"/>
        </w:rPr>
      </w:pPr>
      <w:r w:rsidRPr="00D17328">
        <w:rPr>
          <w:rFonts w:ascii="Times New Roman" w:hAnsi="Times New Roman"/>
          <w:bCs/>
          <w:lang w:val="es-ES"/>
        </w:rPr>
        <w:t>4) S</w:t>
      </w:r>
      <w:r w:rsidR="00EE2F03" w:rsidRPr="00D17328">
        <w:rPr>
          <w:rFonts w:ascii="Times New Roman" w:hAnsi="Times New Roman"/>
          <w:bCs/>
          <w:lang w:val="es-ES"/>
        </w:rPr>
        <w:t>e buscará diversificar los mercados y ampliar la base de inversionistas, así como utilizar el crédito externo bajo</w:t>
      </w:r>
      <w:r w:rsidR="00D37214" w:rsidRPr="00D17328">
        <w:rPr>
          <w:rFonts w:ascii="Times New Roman" w:hAnsi="Times New Roman"/>
          <w:bCs/>
          <w:lang w:val="es-ES"/>
        </w:rPr>
        <w:t xml:space="preserve"> </w:t>
      </w:r>
      <w:r w:rsidR="00EE2F03" w:rsidRPr="00D17328">
        <w:rPr>
          <w:rFonts w:ascii="Times New Roman" w:hAnsi="Times New Roman"/>
          <w:bCs/>
          <w:lang w:val="es-ES"/>
        </w:rPr>
        <w:t>condiciones favorables en los mercados internacionales</w:t>
      </w:r>
      <w:r w:rsidR="00D37214" w:rsidRPr="00D17328">
        <w:rPr>
          <w:rFonts w:ascii="Times New Roman" w:hAnsi="Times New Roman"/>
          <w:bCs/>
          <w:lang w:val="es-ES"/>
        </w:rPr>
        <w:t>,</w:t>
      </w:r>
      <w:r w:rsidR="00EE2F03" w:rsidRPr="00D17328">
        <w:rPr>
          <w:rFonts w:ascii="Times New Roman" w:hAnsi="Times New Roman"/>
          <w:bCs/>
          <w:lang w:val="es-ES"/>
        </w:rPr>
        <w:t xml:space="preserve"> y</w:t>
      </w:r>
    </w:p>
    <w:p w14:paraId="2FCD0E63" w14:textId="48BE5C48" w:rsidR="0092245E" w:rsidRDefault="00672077" w:rsidP="00992F99">
      <w:pPr>
        <w:pStyle w:val="PRIMERAPLANA"/>
        <w:spacing w:line="360" w:lineRule="auto"/>
        <w:rPr>
          <w:rFonts w:ascii="Times New Roman" w:hAnsi="Times New Roman"/>
          <w:bCs/>
          <w:lang w:val="es-ES"/>
        </w:rPr>
      </w:pPr>
      <w:r w:rsidRPr="00D17328">
        <w:rPr>
          <w:rFonts w:ascii="Times New Roman" w:hAnsi="Times New Roman"/>
          <w:bCs/>
          <w:lang w:val="es-ES"/>
        </w:rPr>
        <w:t>5) S</w:t>
      </w:r>
      <w:r w:rsidR="00EE2F03" w:rsidRPr="00D17328">
        <w:rPr>
          <w:rFonts w:ascii="Times New Roman" w:hAnsi="Times New Roman"/>
          <w:bCs/>
          <w:lang w:val="es-ES"/>
        </w:rPr>
        <w:t>e seguirá utilizando de manera estratégica el</w:t>
      </w:r>
      <w:r w:rsidR="00D37214" w:rsidRPr="00D17328">
        <w:rPr>
          <w:rFonts w:ascii="Times New Roman" w:hAnsi="Times New Roman"/>
          <w:bCs/>
          <w:lang w:val="es-ES"/>
        </w:rPr>
        <w:t xml:space="preserve"> </w:t>
      </w:r>
      <w:r w:rsidR="00EE2F03" w:rsidRPr="00D17328">
        <w:rPr>
          <w:rFonts w:ascii="Times New Roman" w:hAnsi="Times New Roman"/>
          <w:bCs/>
          <w:lang w:val="es-ES"/>
        </w:rPr>
        <w:t>financiamiento proveniente de organismos financieros internacionales</w:t>
      </w:r>
      <w:r w:rsidRPr="00D17328">
        <w:rPr>
          <w:rFonts w:ascii="Times New Roman" w:hAnsi="Times New Roman"/>
          <w:bCs/>
          <w:lang w:val="es-ES"/>
        </w:rPr>
        <w:t>.</w:t>
      </w:r>
    </w:p>
    <w:p w14:paraId="49E70488" w14:textId="77777777" w:rsidR="001C3DBE" w:rsidRPr="00D17328" w:rsidRDefault="001C3DBE" w:rsidP="00992F99">
      <w:pPr>
        <w:pStyle w:val="PRIMERAPLANA"/>
        <w:spacing w:line="360" w:lineRule="auto"/>
        <w:rPr>
          <w:rFonts w:ascii="Times New Roman" w:hAnsi="Times New Roman"/>
          <w:bCs/>
          <w:lang w:val="es-ES"/>
        </w:rPr>
      </w:pPr>
    </w:p>
    <w:p w14:paraId="00B0DBF6" w14:textId="2E25DDDA" w:rsidR="00CB5626" w:rsidRPr="00D17328" w:rsidRDefault="00CB5626" w:rsidP="00CB5626">
      <w:pPr>
        <w:pStyle w:val="PRIMERAPLANA"/>
        <w:spacing w:line="360" w:lineRule="auto"/>
        <w:rPr>
          <w:rFonts w:ascii="Times New Roman" w:hAnsi="Times New Roman"/>
          <w:lang w:val="es-ES"/>
        </w:rPr>
      </w:pPr>
      <w:r w:rsidRPr="00D17328">
        <w:rPr>
          <w:rFonts w:ascii="Times New Roman" w:hAnsi="Times New Roman"/>
          <w:lang w:val="es-ES"/>
        </w:rPr>
        <w:t xml:space="preserve">Se presentan enseguida las principales variables empleadas en la estimación del marco macroeconómico 2021, establecidas en </w:t>
      </w:r>
      <w:r w:rsidRPr="00D17328">
        <w:rPr>
          <w:rFonts w:ascii="Times New Roman" w:hAnsi="Times New Roman"/>
          <w:bCs/>
          <w:lang w:val="es-ES"/>
        </w:rPr>
        <w:t>los CGPE_2021.</w:t>
      </w:r>
    </w:p>
    <w:p w14:paraId="283ACCFD" w14:textId="77777777" w:rsidR="00CB5626" w:rsidRDefault="00CB5626" w:rsidP="00992F99">
      <w:pPr>
        <w:pStyle w:val="PRIMERAPLANA"/>
        <w:spacing w:line="360" w:lineRule="auto"/>
        <w:rPr>
          <w:rFonts w:cs="Arial"/>
          <w:bCs/>
          <w:sz w:val="24"/>
          <w:szCs w:val="24"/>
          <w:lang w:val="es-ES"/>
        </w:rPr>
      </w:pPr>
    </w:p>
    <w:p w14:paraId="40B85A3C" w14:textId="69A50304" w:rsidR="0092245E" w:rsidRDefault="00CB5626" w:rsidP="00992F99">
      <w:pPr>
        <w:pStyle w:val="PRIMERAPLANA"/>
        <w:spacing w:line="360" w:lineRule="auto"/>
        <w:rPr>
          <w:rFonts w:cs="Arial"/>
          <w:bCs/>
          <w:sz w:val="24"/>
          <w:szCs w:val="24"/>
          <w:lang w:val="es-ES"/>
        </w:rPr>
      </w:pPr>
      <w:r>
        <w:rPr>
          <w:rFonts w:cs="Arial"/>
          <w:bCs/>
          <w:noProof/>
          <w:sz w:val="24"/>
          <w:szCs w:val="24"/>
          <w:lang w:val="es-MX" w:eastAsia="es-MX"/>
        </w:rPr>
        <w:drawing>
          <wp:inline distT="0" distB="0" distL="0" distR="0" wp14:anchorId="44861F7C" wp14:editId="39F0012D">
            <wp:extent cx="4969313" cy="5182180"/>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5620" cy="5251328"/>
                    </a:xfrm>
                    <a:prstGeom prst="rect">
                      <a:avLst/>
                    </a:prstGeom>
                    <a:noFill/>
                  </pic:spPr>
                </pic:pic>
              </a:graphicData>
            </a:graphic>
          </wp:inline>
        </w:drawing>
      </w:r>
    </w:p>
    <w:p w14:paraId="0669E3CC" w14:textId="77777777" w:rsidR="00537AAE"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 xml:space="preserve">Las estimaciones de finanzas públicas para el ejercicio fiscal 2021 se realizaron con base en un marco macroeconómico prudente, el cual toma en cuenta la evolución de las principales variables económicas, así como la incertidumbre que prevalece tras el impacto de la pandemia del COVID-19. En este marco, es importante considerar que durante el ejercicio fiscal se pueden presentar desviaciones con respecto a lo esperado en el momento de elaborar y aprobar el Paquete Económico 2021, como resultado de choques macroeconómicos de distinta índole. </w:t>
      </w:r>
    </w:p>
    <w:p w14:paraId="0AE2DDFD" w14:textId="77777777" w:rsidR="00537AAE" w:rsidRPr="00D17328" w:rsidRDefault="00537AAE" w:rsidP="00537AAE">
      <w:pPr>
        <w:pStyle w:val="PRIMERAPLANA"/>
        <w:spacing w:line="360" w:lineRule="auto"/>
        <w:rPr>
          <w:rFonts w:ascii="Times New Roman" w:hAnsi="Times New Roman"/>
          <w:bCs/>
          <w:lang w:val="es-ES"/>
        </w:rPr>
      </w:pPr>
    </w:p>
    <w:p w14:paraId="13C29141" w14:textId="18902D7A" w:rsidR="0092245E"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A continuación</w:t>
      </w:r>
      <w:r w:rsidR="00326DB5" w:rsidRPr="00D17328">
        <w:rPr>
          <w:rFonts w:ascii="Times New Roman" w:hAnsi="Times New Roman"/>
          <w:bCs/>
          <w:lang w:val="es-ES"/>
        </w:rPr>
        <w:t>,</w:t>
      </w:r>
      <w:r w:rsidRPr="00D17328">
        <w:rPr>
          <w:rFonts w:ascii="Times New Roman" w:hAnsi="Times New Roman"/>
          <w:bCs/>
          <w:lang w:val="es-ES"/>
        </w:rPr>
        <w:t xml:space="preserve"> se presenta un análisis de sensibilidad sobre el impacto en las estimaciones de los ingresos y el gasto ante posibles desviaciones de las principales variables del marco macroeconómico. </w:t>
      </w:r>
      <w:r w:rsidRPr="00D17328">
        <w:rPr>
          <w:rFonts w:ascii="Times New Roman" w:hAnsi="Times New Roman"/>
          <w:bCs/>
          <w:lang w:val="es-ES"/>
        </w:rPr>
        <w:lastRenderedPageBreak/>
        <w:t>Es preciso señalar que este análisis considera desviaciones individuales y no estima el impacto de desviaciones simultáneas.</w:t>
      </w:r>
    </w:p>
    <w:p w14:paraId="6D28ACC5" w14:textId="1189D944" w:rsidR="0092245E" w:rsidRDefault="0092245E" w:rsidP="00992F99">
      <w:pPr>
        <w:pStyle w:val="PRIMERAPLANA"/>
        <w:spacing w:line="360" w:lineRule="auto"/>
        <w:rPr>
          <w:rFonts w:cs="Arial"/>
          <w:bCs/>
          <w:sz w:val="24"/>
          <w:szCs w:val="24"/>
          <w:lang w:val="es-ES"/>
        </w:rPr>
      </w:pPr>
    </w:p>
    <w:p w14:paraId="7060C6F7" w14:textId="2FC3F8F9" w:rsidR="0092245E" w:rsidRDefault="00537AAE" w:rsidP="00992F99">
      <w:pPr>
        <w:pStyle w:val="PRIMERAPLANA"/>
        <w:spacing w:line="360" w:lineRule="auto"/>
        <w:rPr>
          <w:rFonts w:cs="Arial"/>
          <w:bCs/>
          <w:sz w:val="24"/>
          <w:szCs w:val="24"/>
          <w:lang w:val="es-ES"/>
        </w:rPr>
      </w:pPr>
      <w:r>
        <w:rPr>
          <w:noProof/>
          <w:lang w:val="es-MX" w:eastAsia="es-MX"/>
        </w:rPr>
        <w:drawing>
          <wp:inline distT="0" distB="0" distL="0" distR="0" wp14:anchorId="0C332873" wp14:editId="796A6036">
            <wp:extent cx="5285740" cy="3101009"/>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89" t="31386" r="21864" b="14285"/>
                    <a:stretch/>
                  </pic:blipFill>
                  <pic:spPr bwMode="auto">
                    <a:xfrm>
                      <a:off x="0" y="0"/>
                      <a:ext cx="5320333" cy="3121304"/>
                    </a:xfrm>
                    <a:prstGeom prst="rect">
                      <a:avLst/>
                    </a:prstGeom>
                    <a:ln>
                      <a:noFill/>
                    </a:ln>
                    <a:extLst>
                      <a:ext uri="{53640926-AAD7-44D8-BBD7-CCE9431645EC}">
                        <a14:shadowObscured xmlns:a14="http://schemas.microsoft.com/office/drawing/2010/main"/>
                      </a:ext>
                    </a:extLst>
                  </pic:spPr>
                </pic:pic>
              </a:graphicData>
            </a:graphic>
          </wp:inline>
        </w:drawing>
      </w:r>
    </w:p>
    <w:p w14:paraId="01D5445D" w14:textId="53969ED2" w:rsidR="0092245E" w:rsidRDefault="0092245E" w:rsidP="00992F99">
      <w:pPr>
        <w:pStyle w:val="PRIMERAPLANA"/>
        <w:spacing w:line="360" w:lineRule="auto"/>
        <w:rPr>
          <w:rFonts w:cs="Arial"/>
          <w:bCs/>
          <w:sz w:val="24"/>
          <w:szCs w:val="24"/>
          <w:lang w:val="es-ES"/>
        </w:rPr>
      </w:pPr>
    </w:p>
    <w:p w14:paraId="3B55AAF5" w14:textId="39976EC1" w:rsidR="00537AAE"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Además de las situaciones previstas anteriormente, existen factores extraordinarios que pueden afectar las</w:t>
      </w:r>
      <w:r w:rsidR="00046154" w:rsidRPr="00D17328">
        <w:rPr>
          <w:rFonts w:ascii="Times New Roman" w:hAnsi="Times New Roman"/>
          <w:bCs/>
          <w:lang w:val="es-ES"/>
        </w:rPr>
        <w:t xml:space="preserve"> </w:t>
      </w:r>
      <w:r w:rsidRPr="00D17328">
        <w:rPr>
          <w:rFonts w:ascii="Times New Roman" w:hAnsi="Times New Roman"/>
          <w:bCs/>
          <w:lang w:val="es-ES"/>
        </w:rPr>
        <w:t>finanzas públicas y que, debido a su naturaleza, son complicados de anticipar y cuantificar. No obstante, con la</w:t>
      </w:r>
      <w:r w:rsidR="00046154" w:rsidRPr="00D17328">
        <w:rPr>
          <w:rFonts w:ascii="Times New Roman" w:hAnsi="Times New Roman"/>
          <w:bCs/>
          <w:lang w:val="es-ES"/>
        </w:rPr>
        <w:t xml:space="preserve"> </w:t>
      </w:r>
      <w:r w:rsidRPr="00D17328">
        <w:rPr>
          <w:rFonts w:ascii="Times New Roman" w:hAnsi="Times New Roman"/>
          <w:bCs/>
          <w:lang w:val="es-ES"/>
        </w:rPr>
        <w:t>finalidad de aminorar el impacto que pueden tener estos en las finanzas públicas, el Gobierno de México cuenta</w:t>
      </w:r>
      <w:r w:rsidR="00046154" w:rsidRPr="00D17328">
        <w:rPr>
          <w:rFonts w:ascii="Times New Roman" w:hAnsi="Times New Roman"/>
          <w:bCs/>
          <w:lang w:val="es-ES"/>
        </w:rPr>
        <w:t xml:space="preserve"> </w:t>
      </w:r>
      <w:r w:rsidRPr="00D17328">
        <w:rPr>
          <w:rFonts w:ascii="Times New Roman" w:hAnsi="Times New Roman"/>
          <w:bCs/>
          <w:lang w:val="es-ES"/>
        </w:rPr>
        <w:t xml:space="preserve">con un conjunto de amortiguadores fiscales, entre los cuales destacan: </w:t>
      </w:r>
    </w:p>
    <w:p w14:paraId="0180C7A6" w14:textId="77777777" w:rsidR="00046154" w:rsidRPr="00D17328" w:rsidRDefault="00046154" w:rsidP="00537AAE">
      <w:pPr>
        <w:pStyle w:val="PRIMERAPLANA"/>
        <w:spacing w:line="360" w:lineRule="auto"/>
        <w:rPr>
          <w:rFonts w:ascii="Times New Roman" w:hAnsi="Times New Roman"/>
          <w:bCs/>
          <w:lang w:val="es-ES"/>
        </w:rPr>
      </w:pPr>
    </w:p>
    <w:p w14:paraId="14E358D4" w14:textId="3EA5AF19"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i) Una estrategia de coberturas petroleras contratadas tanto por Pemex como por el Gobierno Federal</w:t>
      </w:r>
      <w:r w:rsidR="00046154" w:rsidRPr="00D17328">
        <w:rPr>
          <w:rFonts w:ascii="Times New Roman" w:hAnsi="Times New Roman"/>
          <w:bCs/>
          <w:lang w:val="es-ES"/>
        </w:rPr>
        <w:t xml:space="preserve"> </w:t>
      </w:r>
      <w:r w:rsidRPr="00D17328">
        <w:rPr>
          <w:rFonts w:ascii="Times New Roman" w:hAnsi="Times New Roman"/>
          <w:bCs/>
          <w:lang w:val="es-ES"/>
        </w:rPr>
        <w:t>para cubrir los ingresos petroleros contra reducciones respecto a lo estimado en la LIF en el precio</w:t>
      </w:r>
      <w:r w:rsidR="00046154" w:rsidRPr="00D17328">
        <w:rPr>
          <w:rFonts w:ascii="Times New Roman" w:hAnsi="Times New Roman"/>
          <w:bCs/>
          <w:lang w:val="es-ES"/>
        </w:rPr>
        <w:t xml:space="preserve"> </w:t>
      </w:r>
      <w:r w:rsidRPr="00D17328">
        <w:rPr>
          <w:rFonts w:ascii="Times New Roman" w:hAnsi="Times New Roman"/>
          <w:bCs/>
          <w:lang w:val="es-ES"/>
        </w:rPr>
        <w:t>del crudo al 100%;</w:t>
      </w:r>
    </w:p>
    <w:p w14:paraId="3B7FD60F" w14:textId="132E5785" w:rsidR="00537AAE"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ii) La Línea de Crédito Flexible aprobada por el FMI para hacer frente a un posible entorno económico</w:t>
      </w:r>
      <w:r w:rsidR="00046154" w:rsidRPr="00D17328">
        <w:rPr>
          <w:rFonts w:ascii="Times New Roman" w:hAnsi="Times New Roman"/>
          <w:bCs/>
          <w:lang w:val="es-ES"/>
        </w:rPr>
        <w:t xml:space="preserve"> </w:t>
      </w:r>
      <w:r w:rsidRPr="00D17328">
        <w:rPr>
          <w:rFonts w:ascii="Times New Roman" w:hAnsi="Times New Roman"/>
          <w:bCs/>
          <w:lang w:val="es-ES"/>
        </w:rPr>
        <w:t>adverso por un total de alrededor de 6</w:t>
      </w:r>
      <w:r w:rsidR="00305EED" w:rsidRPr="00D17328">
        <w:rPr>
          <w:rFonts w:ascii="Times New Roman" w:hAnsi="Times New Roman"/>
          <w:bCs/>
          <w:lang w:val="es-ES"/>
        </w:rPr>
        <w:t>1.0 mmd (esto equivale a 44.56 mm</w:t>
      </w:r>
      <w:r w:rsidRPr="00D17328">
        <w:rPr>
          <w:rFonts w:ascii="Times New Roman" w:hAnsi="Times New Roman"/>
          <w:bCs/>
          <w:lang w:val="es-ES"/>
        </w:rPr>
        <w:t xml:space="preserve"> de</w:t>
      </w:r>
      <w:r w:rsidR="00046154" w:rsidRPr="00D17328">
        <w:rPr>
          <w:rFonts w:ascii="Times New Roman" w:hAnsi="Times New Roman"/>
          <w:bCs/>
          <w:lang w:val="es-ES"/>
        </w:rPr>
        <w:t xml:space="preserve"> </w:t>
      </w:r>
      <w:r w:rsidRPr="00D17328">
        <w:rPr>
          <w:rFonts w:ascii="Times New Roman" w:hAnsi="Times New Roman"/>
          <w:bCs/>
          <w:lang w:val="es-ES"/>
        </w:rPr>
        <w:t>Derechos Especiales de Giro);</w:t>
      </w:r>
    </w:p>
    <w:p w14:paraId="79397EAA" w14:textId="753B15D0"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iii) Línea swap con la FED por 60 mmd;</w:t>
      </w:r>
      <w:r w:rsidR="00046154" w:rsidRPr="00D17328">
        <w:rPr>
          <w:rFonts w:ascii="Times New Roman" w:hAnsi="Times New Roman"/>
          <w:bCs/>
          <w:lang w:val="es-ES"/>
        </w:rPr>
        <w:t xml:space="preserve"> </w:t>
      </w:r>
    </w:p>
    <w:p w14:paraId="4AD2A6D3" w14:textId="76C0D48E"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 xml:space="preserve">iv) Línea swap con el Tesoro de los EEUU por 9 mmd; </w:t>
      </w:r>
    </w:p>
    <w:p w14:paraId="5176EDB8" w14:textId="5EA73F80"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v) Reservas internacionales por 193.3 mmd al 28 de agosto de 2020;</w:t>
      </w:r>
    </w:p>
    <w:p w14:paraId="612DCEEB" w14:textId="513BEB57"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vi) La flexibilidad cambiaria que permite absorber choques externos;</w:t>
      </w:r>
    </w:p>
    <w:p w14:paraId="7A73D4C0" w14:textId="02C03A48"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lastRenderedPageBreak/>
        <w:t>vii) La composición de la deuda pública que permite hacer frente a riesgos de tipo de cambio, tasas de</w:t>
      </w:r>
      <w:r w:rsidR="00046154" w:rsidRPr="00D17328">
        <w:rPr>
          <w:rFonts w:ascii="Times New Roman" w:hAnsi="Times New Roman"/>
          <w:bCs/>
          <w:lang w:val="es-ES"/>
        </w:rPr>
        <w:t xml:space="preserve"> </w:t>
      </w:r>
      <w:r w:rsidRPr="00D17328">
        <w:rPr>
          <w:rFonts w:ascii="Times New Roman" w:hAnsi="Times New Roman"/>
          <w:bCs/>
          <w:lang w:val="es-ES"/>
        </w:rPr>
        <w:t>interés y refinanciamiento. Al cierre de julio, 74.9% de la deuda neta del Gobierno Federal se</w:t>
      </w:r>
      <w:r w:rsidR="00046154" w:rsidRPr="00D17328">
        <w:rPr>
          <w:rFonts w:ascii="Times New Roman" w:hAnsi="Times New Roman"/>
          <w:bCs/>
          <w:lang w:val="es-ES"/>
        </w:rPr>
        <w:t xml:space="preserve"> </w:t>
      </w:r>
      <w:r w:rsidRPr="00D17328">
        <w:rPr>
          <w:rFonts w:ascii="Times New Roman" w:hAnsi="Times New Roman"/>
          <w:bCs/>
          <w:lang w:val="es-ES"/>
        </w:rPr>
        <w:t>encontraba denominada en pesos y dentro de la deuda interna en valores gubernamentales el 80.6%</w:t>
      </w:r>
      <w:r w:rsidR="00046154" w:rsidRPr="00D17328">
        <w:rPr>
          <w:rFonts w:ascii="Times New Roman" w:hAnsi="Times New Roman"/>
          <w:bCs/>
          <w:lang w:val="es-ES"/>
        </w:rPr>
        <w:t xml:space="preserve"> </w:t>
      </w:r>
      <w:r w:rsidRPr="00D17328">
        <w:rPr>
          <w:rFonts w:ascii="Times New Roman" w:hAnsi="Times New Roman"/>
          <w:bCs/>
          <w:lang w:val="es-ES"/>
        </w:rPr>
        <w:t>se encuentra a tasa fija y largo plazo. Por otra parte, 100% de la deuda externa se encuentra a tasa fija;</w:t>
      </w:r>
    </w:p>
    <w:p w14:paraId="5E5BB2E6" w14:textId="23888F2F"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viii) El Seguro Catastrófico que brinda protección financiera al patrimonio del Fideicomiso del Fondo de</w:t>
      </w:r>
      <w:r w:rsidR="00046154" w:rsidRPr="00D17328">
        <w:rPr>
          <w:rFonts w:ascii="Times New Roman" w:hAnsi="Times New Roman"/>
          <w:bCs/>
          <w:lang w:val="es-ES"/>
        </w:rPr>
        <w:t xml:space="preserve"> </w:t>
      </w:r>
      <w:r w:rsidRPr="00D17328">
        <w:rPr>
          <w:rFonts w:ascii="Times New Roman" w:hAnsi="Times New Roman"/>
          <w:bCs/>
          <w:lang w:val="es-ES"/>
        </w:rPr>
        <w:t>Desastres Naturales (Fonden), el cual se renovó el pasado mes de julio y ofrecerá una cobertura por</w:t>
      </w:r>
      <w:r w:rsidR="00046154" w:rsidRPr="00D17328">
        <w:rPr>
          <w:rFonts w:ascii="Times New Roman" w:hAnsi="Times New Roman"/>
          <w:bCs/>
          <w:lang w:val="es-ES"/>
        </w:rPr>
        <w:t xml:space="preserve"> </w:t>
      </w:r>
      <w:r w:rsidRPr="00D17328">
        <w:rPr>
          <w:rFonts w:ascii="Times New Roman" w:hAnsi="Times New Roman"/>
          <w:bCs/>
          <w:lang w:val="es-ES"/>
        </w:rPr>
        <w:t>5.0 mmp;</w:t>
      </w:r>
    </w:p>
    <w:p w14:paraId="5ECD1871" w14:textId="48E9CC4D" w:rsidR="00046154"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ix) Recursos disponibles de 6.8 mmp al cierre de junio de 2020 en el Fideicomiso del Fondo de Desastres</w:t>
      </w:r>
      <w:r w:rsidR="00046154" w:rsidRPr="00D17328">
        <w:rPr>
          <w:rFonts w:ascii="Times New Roman" w:hAnsi="Times New Roman"/>
          <w:bCs/>
          <w:lang w:val="es-ES"/>
        </w:rPr>
        <w:t xml:space="preserve"> </w:t>
      </w:r>
      <w:r w:rsidRPr="00D17328">
        <w:rPr>
          <w:rFonts w:ascii="Times New Roman" w:hAnsi="Times New Roman"/>
          <w:bCs/>
          <w:lang w:val="es-ES"/>
        </w:rPr>
        <w:t>Naturales (Fonden), cuyo uso prevé apoyar a la población afectada por un desastre natural y</w:t>
      </w:r>
      <w:r w:rsidR="00046154" w:rsidRPr="00D17328">
        <w:rPr>
          <w:rFonts w:ascii="Times New Roman" w:hAnsi="Times New Roman"/>
          <w:bCs/>
          <w:lang w:val="es-ES"/>
        </w:rPr>
        <w:t xml:space="preserve"> </w:t>
      </w:r>
      <w:r w:rsidRPr="00D17328">
        <w:rPr>
          <w:rFonts w:ascii="Times New Roman" w:hAnsi="Times New Roman"/>
          <w:bCs/>
          <w:lang w:val="es-ES"/>
        </w:rPr>
        <w:t>salvaguardar la infraestructura pública en cinco sectores prioritarios: educación, salud, carretero,</w:t>
      </w:r>
      <w:r w:rsidR="00046154" w:rsidRPr="00D17328">
        <w:rPr>
          <w:rFonts w:ascii="Times New Roman" w:hAnsi="Times New Roman"/>
          <w:bCs/>
          <w:lang w:val="es-ES"/>
        </w:rPr>
        <w:t xml:space="preserve"> </w:t>
      </w:r>
      <w:r w:rsidRPr="00D17328">
        <w:rPr>
          <w:rFonts w:ascii="Times New Roman" w:hAnsi="Times New Roman"/>
          <w:bCs/>
          <w:lang w:val="es-ES"/>
        </w:rPr>
        <w:t>hidráulico y de vivienda en pobreza patrimonial;</w:t>
      </w:r>
    </w:p>
    <w:p w14:paraId="7B42FCD9" w14:textId="1D138782" w:rsidR="00537AAE" w:rsidRPr="00D17328" w:rsidRDefault="00537AAE" w:rsidP="00537AAE">
      <w:pPr>
        <w:pStyle w:val="PRIMERAPLANA"/>
        <w:spacing w:line="360" w:lineRule="auto"/>
        <w:rPr>
          <w:rFonts w:ascii="Times New Roman" w:hAnsi="Times New Roman"/>
          <w:bCs/>
          <w:lang w:val="es-ES"/>
        </w:rPr>
      </w:pPr>
      <w:r w:rsidRPr="00D17328">
        <w:rPr>
          <w:rFonts w:ascii="Times New Roman" w:hAnsi="Times New Roman"/>
          <w:bCs/>
          <w:lang w:val="es-ES"/>
        </w:rPr>
        <w:t>x) El Seguro Catastrófico que brinda protección financiera al patrimonio del Fonden, el cual se renovó</w:t>
      </w:r>
      <w:r w:rsidR="00046154" w:rsidRPr="00D17328">
        <w:rPr>
          <w:rFonts w:ascii="Times New Roman" w:hAnsi="Times New Roman"/>
          <w:bCs/>
          <w:lang w:val="es-ES"/>
        </w:rPr>
        <w:t xml:space="preserve"> </w:t>
      </w:r>
      <w:r w:rsidRPr="00D17328">
        <w:rPr>
          <w:rFonts w:ascii="Times New Roman" w:hAnsi="Times New Roman"/>
          <w:bCs/>
          <w:lang w:val="es-ES"/>
        </w:rPr>
        <w:t>el pasado mes de julio y ofrecerá una cobertura por 5.0 mmp.</w:t>
      </w:r>
    </w:p>
    <w:p w14:paraId="60095EB2" w14:textId="1906984F" w:rsidR="00571023" w:rsidRPr="00D17328" w:rsidRDefault="00571023" w:rsidP="00992F99">
      <w:pPr>
        <w:pStyle w:val="PRIMERAPLANA"/>
        <w:spacing w:line="360" w:lineRule="auto"/>
        <w:rPr>
          <w:rFonts w:ascii="Times New Roman" w:hAnsi="Times New Roman"/>
          <w:bCs/>
          <w:lang w:val="es-ES"/>
        </w:rPr>
      </w:pPr>
    </w:p>
    <w:p w14:paraId="35F59EEC" w14:textId="77777777" w:rsidR="00E62D0C" w:rsidRPr="00D17328" w:rsidRDefault="00E62D0C" w:rsidP="00E62D0C">
      <w:pPr>
        <w:pStyle w:val="PRIMERAPLANA"/>
        <w:spacing w:line="360" w:lineRule="auto"/>
        <w:rPr>
          <w:rFonts w:ascii="Times New Roman" w:hAnsi="Times New Roman"/>
          <w:bCs/>
          <w:lang w:val="es-ES"/>
        </w:rPr>
      </w:pPr>
      <w:r w:rsidRPr="00D17328">
        <w:rPr>
          <w:rFonts w:ascii="Times New Roman" w:hAnsi="Times New Roman"/>
          <w:bCs/>
          <w:lang w:val="es-ES"/>
        </w:rPr>
        <w:t>Es importante resaltar que para el ejercicio fiscal de 2020 no se aprobó la creación de impuestos nuevos ni un incremento en tasas de los impuestos vigentes. Asimismo, el gasto se ha ejercido con estricto apego a los principios de austeridad, honestidad y combate a la corrupción que caracterizan los compromisos del Gobierno de México.</w:t>
      </w:r>
    </w:p>
    <w:p w14:paraId="0BEBEF1A" w14:textId="2992B1F6" w:rsidR="00E96B36" w:rsidRDefault="00E96B36" w:rsidP="00992F99">
      <w:pPr>
        <w:pStyle w:val="PRIMERAPLANA"/>
        <w:spacing w:line="360" w:lineRule="auto"/>
        <w:rPr>
          <w:rFonts w:cs="Arial"/>
          <w:bCs/>
          <w:sz w:val="24"/>
          <w:szCs w:val="24"/>
          <w:lang w:val="es-ES"/>
        </w:rPr>
      </w:pPr>
    </w:p>
    <w:p w14:paraId="119FBCC3" w14:textId="1ADD71A0" w:rsidR="00932E86" w:rsidRPr="00D17328" w:rsidRDefault="00290E41" w:rsidP="00C50BE2">
      <w:pPr>
        <w:spacing w:line="360" w:lineRule="auto"/>
        <w:jc w:val="both"/>
        <w:rPr>
          <w:b/>
          <w:bCs/>
          <w:sz w:val="20"/>
          <w:szCs w:val="20"/>
        </w:rPr>
      </w:pPr>
      <w:r w:rsidRPr="00D17328">
        <w:rPr>
          <w:b/>
          <w:bCs/>
          <w:sz w:val="20"/>
          <w:szCs w:val="20"/>
        </w:rPr>
        <w:t>ENTORNO LOCAL</w:t>
      </w:r>
    </w:p>
    <w:p w14:paraId="38193E9C" w14:textId="77777777" w:rsidR="00C762D9" w:rsidRPr="00D17328" w:rsidRDefault="00C762D9" w:rsidP="00C762D9">
      <w:pPr>
        <w:pStyle w:val="PRIMERAPLANA"/>
        <w:spacing w:line="360" w:lineRule="auto"/>
        <w:rPr>
          <w:rFonts w:ascii="Times New Roman" w:hAnsi="Times New Roman"/>
          <w:lang w:val="es-ES"/>
        </w:rPr>
      </w:pPr>
    </w:p>
    <w:p w14:paraId="25DD6160" w14:textId="1CB55CE9" w:rsidR="004D14FE" w:rsidRPr="00D17328" w:rsidRDefault="00F179B6" w:rsidP="00101136">
      <w:pPr>
        <w:pStyle w:val="PRIMERAPLANA"/>
        <w:spacing w:line="360" w:lineRule="auto"/>
        <w:rPr>
          <w:rFonts w:ascii="Times New Roman" w:hAnsi="Times New Roman"/>
          <w:iCs/>
          <w:lang w:val="es-ES"/>
        </w:rPr>
      </w:pPr>
      <w:r w:rsidRPr="00D17328">
        <w:rPr>
          <w:rFonts w:ascii="Times New Roman" w:hAnsi="Times New Roman"/>
          <w:iCs/>
          <w:lang w:val="es-ES"/>
        </w:rPr>
        <w:t>El Estado de</w:t>
      </w:r>
      <w:r w:rsidR="004D14FE" w:rsidRPr="00D17328">
        <w:rPr>
          <w:rFonts w:ascii="Times New Roman" w:hAnsi="Times New Roman"/>
          <w:iCs/>
          <w:lang w:val="es-ES"/>
        </w:rPr>
        <w:t xml:space="preserve"> </w:t>
      </w:r>
      <w:r w:rsidRPr="00D17328">
        <w:rPr>
          <w:rFonts w:ascii="Times New Roman" w:hAnsi="Times New Roman"/>
          <w:iCs/>
          <w:lang w:val="es-ES"/>
        </w:rPr>
        <w:t xml:space="preserve">Tlaxcala cuenta con una población cercana a 1.3 millones de habitantes, </w:t>
      </w:r>
      <w:r w:rsidR="004D14FE" w:rsidRPr="00D17328">
        <w:rPr>
          <w:rFonts w:ascii="Times New Roman" w:hAnsi="Times New Roman"/>
          <w:iCs/>
          <w:lang w:val="es-ES"/>
        </w:rPr>
        <w:t xml:space="preserve">siendo el Estado más pequeño del país en términos de producción económica. La economía del </w:t>
      </w:r>
      <w:r w:rsidR="002B52B4" w:rsidRPr="00D17328">
        <w:rPr>
          <w:rFonts w:ascii="Times New Roman" w:hAnsi="Times New Roman"/>
          <w:iCs/>
          <w:lang w:val="es-ES"/>
        </w:rPr>
        <w:t xml:space="preserve">Estado </w:t>
      </w:r>
      <w:r w:rsidR="004D14FE" w:rsidRPr="00D17328">
        <w:rPr>
          <w:rFonts w:ascii="Times New Roman" w:hAnsi="Times New Roman"/>
          <w:iCs/>
          <w:lang w:val="es-ES"/>
        </w:rPr>
        <w:t xml:space="preserve">es débil en relación con </w:t>
      </w:r>
      <w:r w:rsidR="002B52B4" w:rsidRPr="00D17328">
        <w:rPr>
          <w:rFonts w:ascii="Times New Roman" w:hAnsi="Times New Roman"/>
          <w:iCs/>
          <w:lang w:val="es-ES"/>
        </w:rPr>
        <w:t>otras Entidades Federativas</w:t>
      </w:r>
      <w:r w:rsidR="004D14FE" w:rsidRPr="00D17328">
        <w:rPr>
          <w:rFonts w:ascii="Times New Roman" w:hAnsi="Times New Roman"/>
          <w:iCs/>
          <w:lang w:val="es-ES"/>
        </w:rPr>
        <w:t xml:space="preserve">, lo que limita su capacidad de generación de ingresos de la base fiscal </w:t>
      </w:r>
      <w:r w:rsidR="00A23A95" w:rsidRPr="00D17328">
        <w:rPr>
          <w:rFonts w:ascii="Times New Roman" w:hAnsi="Times New Roman"/>
          <w:iCs/>
          <w:lang w:val="es-ES"/>
        </w:rPr>
        <w:t xml:space="preserve">regional; el PIB </w:t>
      </w:r>
      <w:r w:rsidR="00A23A95" w:rsidRPr="00D17328">
        <w:rPr>
          <w:rFonts w:ascii="Times New Roman" w:hAnsi="Times New Roman"/>
          <w:i/>
          <w:iCs/>
          <w:lang w:val="es-ES"/>
        </w:rPr>
        <w:t>per cápita</w:t>
      </w:r>
      <w:r w:rsidR="00A23A95" w:rsidRPr="00D17328">
        <w:rPr>
          <w:rFonts w:ascii="Times New Roman" w:hAnsi="Times New Roman"/>
          <w:iCs/>
          <w:lang w:val="es-ES"/>
        </w:rPr>
        <w:t xml:space="preserve"> de</w:t>
      </w:r>
      <w:r w:rsidR="002B52B4" w:rsidRPr="00D17328">
        <w:rPr>
          <w:rFonts w:ascii="Times New Roman" w:hAnsi="Times New Roman"/>
          <w:iCs/>
          <w:lang w:val="es-ES"/>
        </w:rPr>
        <w:t xml:space="preserve"> nuestra Entidad</w:t>
      </w:r>
      <w:r w:rsidR="00A23A95" w:rsidRPr="00D17328">
        <w:rPr>
          <w:rFonts w:ascii="Times New Roman" w:hAnsi="Times New Roman"/>
          <w:iCs/>
          <w:lang w:val="es-ES"/>
        </w:rPr>
        <w:t xml:space="preserve"> en el ejercicio 201</w:t>
      </w:r>
      <w:r w:rsidR="00E62D0C" w:rsidRPr="00D17328">
        <w:rPr>
          <w:rFonts w:ascii="Times New Roman" w:hAnsi="Times New Roman"/>
          <w:iCs/>
          <w:lang w:val="es-ES"/>
        </w:rPr>
        <w:t>8</w:t>
      </w:r>
      <w:r w:rsidR="00A23A95" w:rsidRPr="00D17328">
        <w:rPr>
          <w:rFonts w:ascii="Times New Roman" w:hAnsi="Times New Roman"/>
          <w:iCs/>
          <w:lang w:val="es-ES"/>
        </w:rPr>
        <w:t xml:space="preserve"> fue equivalente</w:t>
      </w:r>
      <w:r w:rsidR="005322C3" w:rsidRPr="00D17328">
        <w:rPr>
          <w:rFonts w:ascii="Times New Roman" w:hAnsi="Times New Roman"/>
          <w:iCs/>
          <w:lang w:val="es-ES"/>
        </w:rPr>
        <w:t xml:space="preserve"> al 5</w:t>
      </w:r>
      <w:r w:rsidR="00E62D0C" w:rsidRPr="00D17328">
        <w:rPr>
          <w:rFonts w:ascii="Times New Roman" w:hAnsi="Times New Roman"/>
          <w:iCs/>
          <w:lang w:val="es-ES"/>
        </w:rPr>
        <w:t>3</w:t>
      </w:r>
      <w:r w:rsidR="005322C3" w:rsidRPr="00D17328">
        <w:rPr>
          <w:rFonts w:ascii="Times New Roman" w:hAnsi="Times New Roman"/>
          <w:iCs/>
          <w:lang w:val="es-ES"/>
        </w:rPr>
        <w:t xml:space="preserve">.1% del promedio nacional, cabe hacer mención que el nivel de ingresos propios es bajo y fue equivalente a </w:t>
      </w:r>
      <w:r w:rsidR="00E62D0C" w:rsidRPr="00D17328">
        <w:rPr>
          <w:rFonts w:ascii="Times New Roman" w:hAnsi="Times New Roman"/>
          <w:iCs/>
          <w:lang w:val="es-ES"/>
        </w:rPr>
        <w:t>13.6</w:t>
      </w:r>
      <w:r w:rsidR="005322C3" w:rsidRPr="00D17328">
        <w:rPr>
          <w:rFonts w:ascii="Times New Roman" w:hAnsi="Times New Roman"/>
          <w:iCs/>
          <w:lang w:val="es-ES"/>
        </w:rPr>
        <w:t xml:space="preserve">% de los ingresos </w:t>
      </w:r>
      <w:r w:rsidR="00E62D0C" w:rsidRPr="00D17328">
        <w:rPr>
          <w:rFonts w:ascii="Times New Roman" w:hAnsi="Times New Roman"/>
          <w:iCs/>
          <w:lang w:val="es-ES"/>
        </w:rPr>
        <w:t>operativos</w:t>
      </w:r>
      <w:r w:rsidR="005322C3" w:rsidRPr="00D17328">
        <w:rPr>
          <w:rFonts w:ascii="Times New Roman" w:hAnsi="Times New Roman"/>
          <w:iCs/>
          <w:lang w:val="es-ES"/>
        </w:rPr>
        <w:t xml:space="preserve"> en 201</w:t>
      </w:r>
      <w:r w:rsidR="00E62D0C" w:rsidRPr="00D17328">
        <w:rPr>
          <w:rFonts w:ascii="Times New Roman" w:hAnsi="Times New Roman"/>
          <w:iCs/>
          <w:lang w:val="es-ES"/>
        </w:rPr>
        <w:t>9</w:t>
      </w:r>
      <w:r w:rsidR="005322C3" w:rsidRPr="00D17328">
        <w:rPr>
          <w:rFonts w:ascii="Times New Roman" w:hAnsi="Times New Roman"/>
          <w:iCs/>
          <w:lang w:val="es-ES"/>
        </w:rPr>
        <w:t xml:space="preserve"> y de </w:t>
      </w:r>
      <w:r w:rsidR="00E62D0C" w:rsidRPr="00D17328">
        <w:rPr>
          <w:rFonts w:ascii="Times New Roman" w:hAnsi="Times New Roman"/>
          <w:iCs/>
          <w:lang w:val="es-ES"/>
        </w:rPr>
        <w:t>1</w:t>
      </w:r>
      <w:r w:rsidR="005322C3" w:rsidRPr="00D17328">
        <w:rPr>
          <w:rFonts w:ascii="Times New Roman" w:hAnsi="Times New Roman"/>
          <w:iCs/>
          <w:lang w:val="es-ES"/>
        </w:rPr>
        <w:t>4.</w:t>
      </w:r>
      <w:r w:rsidR="00E62D0C" w:rsidRPr="00D17328">
        <w:rPr>
          <w:rFonts w:ascii="Times New Roman" w:hAnsi="Times New Roman"/>
          <w:iCs/>
          <w:lang w:val="es-ES"/>
        </w:rPr>
        <w:t>8</w:t>
      </w:r>
      <w:r w:rsidR="005322C3" w:rsidRPr="00D17328">
        <w:rPr>
          <w:rFonts w:ascii="Times New Roman" w:hAnsi="Times New Roman"/>
          <w:iCs/>
          <w:lang w:val="es-ES"/>
        </w:rPr>
        <w:t>% en 201</w:t>
      </w:r>
      <w:r w:rsidR="00E62D0C" w:rsidRPr="00D17328">
        <w:rPr>
          <w:rFonts w:ascii="Times New Roman" w:hAnsi="Times New Roman"/>
          <w:iCs/>
          <w:lang w:val="es-ES"/>
        </w:rPr>
        <w:t>8</w:t>
      </w:r>
      <w:r w:rsidR="007E32B0" w:rsidRPr="00D17328">
        <w:rPr>
          <w:rFonts w:ascii="Times New Roman" w:hAnsi="Times New Roman"/>
          <w:iCs/>
          <w:lang w:val="es-ES"/>
        </w:rPr>
        <w:t>,</w:t>
      </w:r>
      <w:r w:rsidR="005322C3" w:rsidRPr="00D17328">
        <w:rPr>
          <w:rFonts w:ascii="Times New Roman" w:hAnsi="Times New Roman"/>
          <w:iCs/>
          <w:lang w:val="es-ES"/>
        </w:rPr>
        <w:t xml:space="preserve"> </w:t>
      </w:r>
      <w:r w:rsidR="00634B2C" w:rsidRPr="00D17328">
        <w:rPr>
          <w:rFonts w:ascii="Times New Roman" w:hAnsi="Times New Roman"/>
          <w:iCs/>
          <w:lang w:val="es-ES"/>
        </w:rPr>
        <w:t>si bien la rec</w:t>
      </w:r>
      <w:r w:rsidR="00647849" w:rsidRPr="00D17328">
        <w:rPr>
          <w:rFonts w:ascii="Times New Roman" w:hAnsi="Times New Roman"/>
          <w:iCs/>
          <w:lang w:val="es-ES"/>
        </w:rPr>
        <w:t>audación de impuestos incrementó</w:t>
      </w:r>
      <w:r w:rsidR="00634B2C" w:rsidRPr="00D17328">
        <w:rPr>
          <w:rFonts w:ascii="Times New Roman" w:hAnsi="Times New Roman"/>
          <w:iCs/>
          <w:lang w:val="es-ES"/>
        </w:rPr>
        <w:t xml:space="preserve"> 3% con respecto a 2018, </w:t>
      </w:r>
      <w:r w:rsidR="005322C3" w:rsidRPr="00D17328">
        <w:rPr>
          <w:rFonts w:ascii="Times New Roman" w:hAnsi="Times New Roman"/>
          <w:iCs/>
          <w:lang w:val="es-ES"/>
        </w:rPr>
        <w:t>este incremento se debió básicamente al aumento de la tasa del Impuesto Sobre Nóminas de</w:t>
      </w:r>
      <w:r w:rsidR="007E32B0" w:rsidRPr="00D17328">
        <w:rPr>
          <w:rFonts w:ascii="Times New Roman" w:hAnsi="Times New Roman"/>
          <w:iCs/>
          <w:lang w:val="es-ES"/>
        </w:rPr>
        <w:t>l</w:t>
      </w:r>
      <w:r w:rsidR="005322C3" w:rsidRPr="00D17328">
        <w:rPr>
          <w:rFonts w:ascii="Times New Roman" w:hAnsi="Times New Roman"/>
          <w:iCs/>
          <w:lang w:val="es-ES"/>
        </w:rPr>
        <w:t xml:space="preserve"> 2% a</w:t>
      </w:r>
      <w:r w:rsidR="007E32B0" w:rsidRPr="00D17328">
        <w:rPr>
          <w:rFonts w:ascii="Times New Roman" w:hAnsi="Times New Roman"/>
          <w:iCs/>
          <w:lang w:val="es-ES"/>
        </w:rPr>
        <w:t>l</w:t>
      </w:r>
      <w:r w:rsidR="005322C3" w:rsidRPr="00D17328">
        <w:rPr>
          <w:rFonts w:ascii="Times New Roman" w:hAnsi="Times New Roman"/>
          <w:iCs/>
          <w:lang w:val="es-ES"/>
        </w:rPr>
        <w:t xml:space="preserve"> 3% a partir del 2017, </w:t>
      </w:r>
      <w:r w:rsidR="00634B2C" w:rsidRPr="00D17328">
        <w:rPr>
          <w:rFonts w:ascii="Times New Roman" w:hAnsi="Times New Roman"/>
          <w:iCs/>
          <w:lang w:val="es-ES"/>
        </w:rPr>
        <w:t xml:space="preserve">la disminución </w:t>
      </w:r>
      <w:r w:rsidR="005322C3" w:rsidRPr="00D17328">
        <w:rPr>
          <w:rFonts w:ascii="Times New Roman" w:hAnsi="Times New Roman"/>
          <w:iCs/>
          <w:lang w:val="es-ES"/>
        </w:rPr>
        <w:t>observa</w:t>
      </w:r>
      <w:r w:rsidR="00634B2C" w:rsidRPr="00D17328">
        <w:rPr>
          <w:rFonts w:ascii="Times New Roman" w:hAnsi="Times New Roman"/>
          <w:iCs/>
          <w:lang w:val="es-ES"/>
        </w:rPr>
        <w:t>da en 2019 obedece a que en este año no hubo venta de activos como en 2018</w:t>
      </w:r>
      <w:r w:rsidR="005322C3" w:rsidRPr="00D17328">
        <w:rPr>
          <w:rFonts w:ascii="Times New Roman" w:hAnsi="Times New Roman"/>
          <w:iCs/>
          <w:lang w:val="es-ES"/>
        </w:rPr>
        <w:t>.</w:t>
      </w:r>
    </w:p>
    <w:p w14:paraId="19610834" w14:textId="1727A638" w:rsidR="004D14FE" w:rsidRPr="00D17328" w:rsidRDefault="004D14FE" w:rsidP="00101136">
      <w:pPr>
        <w:pStyle w:val="PRIMERAPLANA"/>
        <w:spacing w:line="360" w:lineRule="auto"/>
        <w:rPr>
          <w:rFonts w:ascii="Times New Roman" w:hAnsi="Times New Roman"/>
          <w:iCs/>
          <w:lang w:val="es-ES"/>
        </w:rPr>
      </w:pPr>
    </w:p>
    <w:p w14:paraId="6E220805" w14:textId="14E5E2B9" w:rsidR="007176EB" w:rsidRPr="00D17328" w:rsidRDefault="00634B2C" w:rsidP="00101136">
      <w:pPr>
        <w:pStyle w:val="PRIMERAPLANA"/>
        <w:spacing w:line="360" w:lineRule="auto"/>
        <w:rPr>
          <w:rFonts w:ascii="Times New Roman" w:hAnsi="Times New Roman"/>
          <w:iCs/>
          <w:lang w:val="es-ES"/>
        </w:rPr>
      </w:pPr>
      <w:r w:rsidRPr="00D17328">
        <w:rPr>
          <w:rFonts w:ascii="Times New Roman" w:hAnsi="Times New Roman"/>
          <w:iCs/>
          <w:lang w:val="es-ES"/>
        </w:rPr>
        <w:t>Se estima que durante el ejercicio 2020, los ingresos propios observa</w:t>
      </w:r>
      <w:r w:rsidR="00647849" w:rsidRPr="00D17328">
        <w:rPr>
          <w:rFonts w:ascii="Times New Roman" w:hAnsi="Times New Roman"/>
          <w:iCs/>
          <w:lang w:val="es-ES"/>
        </w:rPr>
        <w:t>rá</w:t>
      </w:r>
      <w:r w:rsidRPr="00D17328">
        <w:rPr>
          <w:rFonts w:ascii="Times New Roman" w:hAnsi="Times New Roman"/>
          <w:iCs/>
          <w:lang w:val="es-ES"/>
        </w:rPr>
        <w:t>n disminuciones, como resultado del menor dinamismo económico, originado por el brote epidémico del virus COVID-19</w:t>
      </w:r>
      <w:r w:rsidR="009C2BA8" w:rsidRPr="00D17328">
        <w:rPr>
          <w:rFonts w:ascii="Times New Roman" w:hAnsi="Times New Roman"/>
          <w:iCs/>
          <w:lang w:val="es-ES"/>
        </w:rPr>
        <w:t xml:space="preserve">, mismos que representan alrededor de un 12% de los ingresos operativos. Como medidas de apoyo al sector </w:t>
      </w:r>
      <w:r w:rsidR="009C2BA8" w:rsidRPr="00D17328">
        <w:rPr>
          <w:rFonts w:ascii="Times New Roman" w:hAnsi="Times New Roman"/>
          <w:iCs/>
          <w:lang w:val="es-ES"/>
        </w:rPr>
        <w:lastRenderedPageBreak/>
        <w:t>empresarial, se pospuso por tres meses el pago del Impuesto Sobre Nóminas (ISN), mismos que serán diferidos en los meses de julio a diciembre; asimismo, eliminó el pago del Impuesto por la Prestación del Servicio de Hospedaje de abril a diciembre, por lo que se espera una caída de entre el 5% y 10%</w:t>
      </w:r>
      <w:r w:rsidR="007176EB" w:rsidRPr="00D17328">
        <w:rPr>
          <w:rFonts w:ascii="Times New Roman" w:hAnsi="Times New Roman"/>
          <w:iCs/>
          <w:lang w:val="es-ES"/>
        </w:rPr>
        <w:t xml:space="preserve"> con respecto a la recaudación de 2019.</w:t>
      </w:r>
    </w:p>
    <w:p w14:paraId="4F200EBA" w14:textId="77777777" w:rsidR="007176EB" w:rsidRPr="00D17328" w:rsidRDefault="007176EB" w:rsidP="00101136">
      <w:pPr>
        <w:pStyle w:val="PRIMERAPLANA"/>
        <w:spacing w:line="360" w:lineRule="auto"/>
        <w:rPr>
          <w:rFonts w:ascii="Times New Roman" w:hAnsi="Times New Roman"/>
          <w:iCs/>
          <w:lang w:val="es-ES"/>
        </w:rPr>
      </w:pPr>
    </w:p>
    <w:p w14:paraId="1E9EE988" w14:textId="77777777" w:rsidR="007176EB" w:rsidRPr="00D17328" w:rsidRDefault="007176EB" w:rsidP="00101136">
      <w:pPr>
        <w:pStyle w:val="PRIMERAPLANA"/>
        <w:spacing w:line="360" w:lineRule="auto"/>
        <w:rPr>
          <w:rFonts w:ascii="Times New Roman" w:hAnsi="Times New Roman"/>
          <w:iCs/>
          <w:lang w:val="es-ES"/>
        </w:rPr>
      </w:pPr>
      <w:r w:rsidRPr="00D17328">
        <w:rPr>
          <w:rFonts w:ascii="Times New Roman" w:hAnsi="Times New Roman"/>
          <w:iCs/>
          <w:lang w:val="es-ES"/>
        </w:rPr>
        <w:t>Para 2021, se estima que los ingresos propios se recuperen parcialmente y representen un 12.3% de los ingresos operativos, lo que estará en función de los efectos de la pandemia a nivel estatal.</w:t>
      </w:r>
    </w:p>
    <w:p w14:paraId="713B28FD" w14:textId="77777777" w:rsidR="007176EB" w:rsidRPr="00D17328" w:rsidRDefault="007176EB" w:rsidP="00101136">
      <w:pPr>
        <w:pStyle w:val="PRIMERAPLANA"/>
        <w:spacing w:line="360" w:lineRule="auto"/>
        <w:rPr>
          <w:rFonts w:ascii="Times New Roman" w:hAnsi="Times New Roman"/>
          <w:iCs/>
          <w:lang w:val="es-ES"/>
        </w:rPr>
      </w:pPr>
    </w:p>
    <w:p w14:paraId="5274ACFF" w14:textId="77777777" w:rsidR="005F37E7" w:rsidRPr="00D17328" w:rsidRDefault="005322C3" w:rsidP="00101136">
      <w:pPr>
        <w:pStyle w:val="PRIMERAPLANA"/>
        <w:spacing w:line="360" w:lineRule="auto"/>
        <w:rPr>
          <w:rFonts w:ascii="Times New Roman" w:hAnsi="Times New Roman"/>
          <w:iCs/>
          <w:lang w:val="es-ES"/>
        </w:rPr>
      </w:pPr>
      <w:r w:rsidRPr="00D17328">
        <w:rPr>
          <w:rFonts w:ascii="Times New Roman" w:hAnsi="Times New Roman"/>
          <w:iCs/>
          <w:lang w:val="es-ES"/>
        </w:rPr>
        <w:t xml:space="preserve">El Estado de Tlaxcala ha implementado políticas de administración </w:t>
      </w:r>
      <w:r w:rsidR="00CD02CD" w:rsidRPr="00D17328">
        <w:rPr>
          <w:rFonts w:ascii="Times New Roman" w:hAnsi="Times New Roman"/>
          <w:iCs/>
          <w:lang w:val="es-ES"/>
        </w:rPr>
        <w:t xml:space="preserve">y de gobierno prudentes, obteniendo resultados positivos durante los últimos años. La política fiscal </w:t>
      </w:r>
      <w:r w:rsidR="007A3F16" w:rsidRPr="00D17328">
        <w:rPr>
          <w:rFonts w:ascii="Times New Roman" w:hAnsi="Times New Roman"/>
          <w:iCs/>
          <w:lang w:val="es-ES"/>
        </w:rPr>
        <w:t xml:space="preserve">mantenida </w:t>
      </w:r>
      <w:r w:rsidR="00CD02CD" w:rsidRPr="00D17328">
        <w:rPr>
          <w:rFonts w:ascii="Times New Roman" w:hAnsi="Times New Roman"/>
          <w:iCs/>
          <w:lang w:val="es-ES"/>
        </w:rPr>
        <w:t xml:space="preserve">ha limitado </w:t>
      </w:r>
      <w:r w:rsidR="007A3F16" w:rsidRPr="00D17328">
        <w:rPr>
          <w:rFonts w:ascii="Times New Roman" w:hAnsi="Times New Roman"/>
          <w:iCs/>
          <w:lang w:val="es-ES"/>
        </w:rPr>
        <w:t xml:space="preserve">el gasto corriente </w:t>
      </w:r>
      <w:r w:rsidR="00F877D6" w:rsidRPr="00D17328">
        <w:rPr>
          <w:rFonts w:ascii="Times New Roman" w:hAnsi="Times New Roman"/>
          <w:iCs/>
          <w:lang w:val="es-ES"/>
        </w:rPr>
        <w:t>respecto de los ingresos disponibles en cada ejercicio, por lo que</w:t>
      </w:r>
      <w:r w:rsidR="00E63A8F" w:rsidRPr="00D17328">
        <w:rPr>
          <w:rFonts w:ascii="Times New Roman" w:hAnsi="Times New Roman"/>
          <w:iCs/>
          <w:lang w:val="es-ES"/>
        </w:rPr>
        <w:t>,</w:t>
      </w:r>
      <w:r w:rsidR="00F877D6" w:rsidRPr="00D17328">
        <w:rPr>
          <w:rFonts w:ascii="Times New Roman" w:hAnsi="Times New Roman"/>
          <w:iCs/>
          <w:lang w:val="es-ES"/>
        </w:rPr>
        <w:t xml:space="preserve"> se estima que se </w:t>
      </w:r>
      <w:r w:rsidR="007176EB" w:rsidRPr="00D17328">
        <w:rPr>
          <w:rFonts w:ascii="Times New Roman" w:hAnsi="Times New Roman"/>
          <w:iCs/>
          <w:lang w:val="es-ES"/>
        </w:rPr>
        <w:t xml:space="preserve">sigan </w:t>
      </w:r>
      <w:r w:rsidR="00F877D6" w:rsidRPr="00D17328">
        <w:rPr>
          <w:rFonts w:ascii="Times New Roman" w:hAnsi="Times New Roman"/>
          <w:iCs/>
          <w:lang w:val="es-ES"/>
        </w:rPr>
        <w:t>registr</w:t>
      </w:r>
      <w:r w:rsidR="007176EB" w:rsidRPr="00D17328">
        <w:rPr>
          <w:rFonts w:ascii="Times New Roman" w:hAnsi="Times New Roman"/>
          <w:iCs/>
          <w:lang w:val="es-ES"/>
        </w:rPr>
        <w:t xml:space="preserve">ando </w:t>
      </w:r>
      <w:r w:rsidR="005F37E7" w:rsidRPr="00D17328">
        <w:rPr>
          <w:rFonts w:ascii="Times New Roman" w:hAnsi="Times New Roman"/>
          <w:iCs/>
          <w:lang w:val="es-ES"/>
        </w:rPr>
        <w:t xml:space="preserve">márgenes operativos positivos en 2020 y 2021, aunque menores, reflejando la disminución esperada de los ingresos propios y en las transferencias federales así como un incremento de los gastos como resultado de los apoyos otorgados a la población por la contingencia. </w:t>
      </w:r>
    </w:p>
    <w:p w14:paraId="63A74F62" w14:textId="77777777" w:rsidR="005F37E7" w:rsidRPr="00D17328" w:rsidRDefault="005F37E7" w:rsidP="00101136">
      <w:pPr>
        <w:pStyle w:val="PRIMERAPLANA"/>
        <w:spacing w:line="360" w:lineRule="auto"/>
        <w:rPr>
          <w:rFonts w:ascii="Times New Roman" w:hAnsi="Times New Roman"/>
          <w:iCs/>
          <w:lang w:val="es-ES"/>
        </w:rPr>
      </w:pPr>
    </w:p>
    <w:p w14:paraId="4CDB04BE" w14:textId="227E4F9B" w:rsidR="005F37E7" w:rsidRPr="00D17328" w:rsidRDefault="005F37E7" w:rsidP="00101136">
      <w:pPr>
        <w:pStyle w:val="PRIMERAPLANA"/>
        <w:spacing w:line="360" w:lineRule="auto"/>
        <w:rPr>
          <w:rFonts w:ascii="Times New Roman" w:hAnsi="Times New Roman"/>
          <w:iCs/>
          <w:lang w:val="es-ES"/>
        </w:rPr>
      </w:pPr>
      <w:r w:rsidRPr="00D17328">
        <w:rPr>
          <w:rFonts w:ascii="Times New Roman" w:hAnsi="Times New Roman"/>
          <w:iCs/>
          <w:lang w:val="es-ES"/>
        </w:rPr>
        <w:t xml:space="preserve">El Gobierno del Estado estima destinar un aproximado de 200 millones o el 2% de sus ingresos operativos para apoyos al sector salud, apoyo a población </w:t>
      </w:r>
      <w:r w:rsidR="001C1F0C" w:rsidRPr="00D17328">
        <w:rPr>
          <w:rFonts w:ascii="Times New Roman" w:hAnsi="Times New Roman"/>
          <w:iCs/>
          <w:lang w:val="es-ES"/>
        </w:rPr>
        <w:t>que no cuenta con seguridad social y apoyos a población vulnerable, por lo que el margen operativo se estima disminuya a 2.4% de los ingresos operativos en promedio para 2020 y 2021</w:t>
      </w:r>
      <w:r w:rsidR="00887029" w:rsidRPr="00D17328">
        <w:rPr>
          <w:rFonts w:ascii="Times New Roman" w:hAnsi="Times New Roman"/>
          <w:iCs/>
          <w:lang w:val="es-ES"/>
        </w:rPr>
        <w:t>.</w:t>
      </w:r>
    </w:p>
    <w:p w14:paraId="7B56CECD" w14:textId="2497D5F6" w:rsidR="005F37E7" w:rsidRPr="00D17328" w:rsidRDefault="005F37E7" w:rsidP="00101136">
      <w:pPr>
        <w:pStyle w:val="PRIMERAPLANA"/>
        <w:spacing w:line="360" w:lineRule="auto"/>
        <w:rPr>
          <w:rFonts w:ascii="Times New Roman" w:hAnsi="Times New Roman"/>
          <w:iCs/>
          <w:lang w:val="es-ES"/>
        </w:rPr>
      </w:pPr>
    </w:p>
    <w:p w14:paraId="6FF7F61C" w14:textId="5EB23A32" w:rsidR="00FC36CF" w:rsidRPr="00D17328" w:rsidRDefault="004E3336" w:rsidP="00101136">
      <w:pPr>
        <w:pStyle w:val="PRIMERAPLANA"/>
        <w:spacing w:line="360" w:lineRule="auto"/>
        <w:rPr>
          <w:rFonts w:ascii="Times New Roman" w:hAnsi="Times New Roman"/>
          <w:iCs/>
          <w:lang w:val="es-ES"/>
        </w:rPr>
      </w:pPr>
      <w:r w:rsidRPr="00D17328">
        <w:rPr>
          <w:rFonts w:ascii="Times New Roman" w:hAnsi="Times New Roman"/>
          <w:iCs/>
          <w:lang w:val="es-ES"/>
        </w:rPr>
        <w:t>En los últimos cinco años Tlaxcala ha registrado resultados financieros positivos como resultado de los márgenes operativos positivos y al ajuste en el gasto de capital a los recursos disponibles, equivalentes al 0.6% de los ingresos totales durante el periodo comprendido de 2015 a 2019; cabe destacar que los ingresos totales crecieron a una tasa anual de 4.6%, muy similar a la de los gastos totales de 4.8%.</w:t>
      </w:r>
    </w:p>
    <w:p w14:paraId="3F8AEE48" w14:textId="11EE7A67" w:rsidR="00FC36CF" w:rsidRPr="00D17328" w:rsidRDefault="00FC36CF" w:rsidP="00101136">
      <w:pPr>
        <w:pStyle w:val="PRIMERAPLANA"/>
        <w:spacing w:line="360" w:lineRule="auto"/>
        <w:rPr>
          <w:rFonts w:ascii="Times New Roman" w:hAnsi="Times New Roman"/>
          <w:iCs/>
          <w:lang w:val="es-ES"/>
        </w:rPr>
      </w:pPr>
    </w:p>
    <w:p w14:paraId="04DA7426" w14:textId="64F935DF" w:rsidR="00FC36CF" w:rsidRPr="00D17328" w:rsidRDefault="00317F52" w:rsidP="00101136">
      <w:pPr>
        <w:pStyle w:val="PRIMERAPLANA"/>
        <w:spacing w:line="360" w:lineRule="auto"/>
        <w:rPr>
          <w:rFonts w:ascii="Times New Roman" w:hAnsi="Times New Roman"/>
          <w:iCs/>
          <w:lang w:val="es-ES"/>
        </w:rPr>
      </w:pPr>
      <w:r w:rsidRPr="00D17328">
        <w:rPr>
          <w:rFonts w:ascii="Times New Roman" w:hAnsi="Times New Roman"/>
          <w:iCs/>
          <w:lang w:val="es-ES"/>
        </w:rPr>
        <w:t xml:space="preserve">Se esperan menores márgenes operativos en 2020 y 2021, así como que los </w:t>
      </w:r>
      <w:r w:rsidR="004B7C0A" w:rsidRPr="00D17328">
        <w:rPr>
          <w:rFonts w:ascii="Times New Roman" w:hAnsi="Times New Roman"/>
          <w:iCs/>
          <w:lang w:val="es-ES"/>
        </w:rPr>
        <w:t xml:space="preserve">ingresos por convenios reduzcan los niveles </w:t>
      </w:r>
      <w:r w:rsidRPr="00D17328">
        <w:rPr>
          <w:rFonts w:ascii="Times New Roman" w:hAnsi="Times New Roman"/>
          <w:iCs/>
          <w:lang w:val="es-ES"/>
        </w:rPr>
        <w:t xml:space="preserve">registrados en 2019, por lo que durante 2020 y 2021 </w:t>
      </w:r>
      <w:r w:rsidR="00BA20CF" w:rsidRPr="00D17328">
        <w:rPr>
          <w:rFonts w:ascii="Times New Roman" w:hAnsi="Times New Roman"/>
          <w:iCs/>
          <w:lang w:val="es-ES"/>
        </w:rPr>
        <w:t xml:space="preserve">Tlaxcala </w:t>
      </w:r>
      <w:r w:rsidR="004B7C0A" w:rsidRPr="00D17328">
        <w:rPr>
          <w:rFonts w:ascii="Times New Roman" w:hAnsi="Times New Roman"/>
          <w:iCs/>
          <w:lang w:val="es-ES"/>
        </w:rPr>
        <w:t>optimizará los recursos para evitar déficits financieros.</w:t>
      </w:r>
    </w:p>
    <w:p w14:paraId="3382B844" w14:textId="43339520" w:rsidR="00CD02CD" w:rsidRPr="00D17328" w:rsidRDefault="00CD02CD" w:rsidP="00101136">
      <w:pPr>
        <w:pStyle w:val="PRIMERAPLANA"/>
        <w:spacing w:line="360" w:lineRule="auto"/>
        <w:rPr>
          <w:rFonts w:ascii="Times New Roman" w:hAnsi="Times New Roman"/>
          <w:iCs/>
          <w:lang w:val="es-ES"/>
        </w:rPr>
      </w:pPr>
    </w:p>
    <w:p w14:paraId="2CECCF15" w14:textId="306F185B" w:rsidR="00CD02CD" w:rsidRPr="00D17328" w:rsidRDefault="0060276B" w:rsidP="00101136">
      <w:pPr>
        <w:pStyle w:val="PRIMERAPLANA"/>
        <w:spacing w:line="360" w:lineRule="auto"/>
        <w:rPr>
          <w:rFonts w:ascii="Times New Roman" w:hAnsi="Times New Roman"/>
          <w:iCs/>
          <w:lang w:val="es-ES"/>
        </w:rPr>
      </w:pPr>
      <w:r w:rsidRPr="00D17328">
        <w:rPr>
          <w:rFonts w:ascii="Times New Roman" w:hAnsi="Times New Roman"/>
          <w:iCs/>
          <w:lang w:val="es-ES"/>
        </w:rPr>
        <w:t>Los resultados financieros balanceados y la política de deuda conservadora</w:t>
      </w:r>
      <w:r w:rsidR="007E32B0" w:rsidRPr="00D17328">
        <w:rPr>
          <w:rFonts w:ascii="Times New Roman" w:hAnsi="Times New Roman"/>
          <w:iCs/>
          <w:lang w:val="es-ES"/>
        </w:rPr>
        <w:t>,</w:t>
      </w:r>
      <w:r w:rsidRPr="00D17328">
        <w:rPr>
          <w:rFonts w:ascii="Times New Roman" w:hAnsi="Times New Roman"/>
          <w:iCs/>
          <w:lang w:val="es-ES"/>
        </w:rPr>
        <w:t xml:space="preserve"> han permitido que desde el ejercicio 2008 el Estado de Tlaxcala haya registrado una posición libre de endeudamiento</w:t>
      </w:r>
      <w:r w:rsidR="007E4BEE" w:rsidRPr="00D17328">
        <w:rPr>
          <w:rFonts w:ascii="Times New Roman" w:hAnsi="Times New Roman"/>
          <w:iCs/>
          <w:lang w:val="es-ES"/>
        </w:rPr>
        <w:t xml:space="preserve">. </w:t>
      </w:r>
    </w:p>
    <w:p w14:paraId="008C8BF2" w14:textId="491FC342" w:rsidR="0060276B" w:rsidRPr="00D17328" w:rsidRDefault="0060276B" w:rsidP="00101136">
      <w:pPr>
        <w:pStyle w:val="PRIMERAPLANA"/>
        <w:spacing w:line="360" w:lineRule="auto"/>
        <w:rPr>
          <w:rFonts w:ascii="Times New Roman" w:hAnsi="Times New Roman"/>
          <w:iCs/>
          <w:lang w:val="es-ES"/>
        </w:rPr>
      </w:pPr>
    </w:p>
    <w:p w14:paraId="6292896D" w14:textId="7E899687" w:rsidR="004C3EAC" w:rsidRPr="00D17328" w:rsidRDefault="005124F0" w:rsidP="00101136">
      <w:pPr>
        <w:pStyle w:val="PRIMERAPLANA"/>
        <w:spacing w:line="360" w:lineRule="auto"/>
        <w:rPr>
          <w:rFonts w:ascii="Times New Roman" w:hAnsi="Times New Roman"/>
          <w:iCs/>
          <w:lang w:val="es-ES"/>
        </w:rPr>
      </w:pPr>
      <w:r w:rsidRPr="00D17328">
        <w:rPr>
          <w:rFonts w:ascii="Times New Roman" w:hAnsi="Times New Roman"/>
          <w:iCs/>
          <w:lang w:val="es-ES"/>
        </w:rPr>
        <w:lastRenderedPageBreak/>
        <w:t>Tlaxcala ha registrado superávits financieros en los últimos cinco años</w:t>
      </w:r>
      <w:r w:rsidR="008B1493" w:rsidRPr="00D17328">
        <w:rPr>
          <w:rFonts w:ascii="Times New Roman" w:hAnsi="Times New Roman"/>
          <w:iCs/>
          <w:lang w:val="es-ES"/>
        </w:rPr>
        <w:t>, la posición de liquidez también ha sido positiva, constituyéndose como un factor crediticio positivo</w:t>
      </w:r>
      <w:r w:rsidRPr="00D17328">
        <w:rPr>
          <w:rFonts w:ascii="Times New Roman" w:hAnsi="Times New Roman"/>
          <w:iCs/>
          <w:lang w:val="es-ES"/>
        </w:rPr>
        <w:t xml:space="preserve"> </w:t>
      </w:r>
      <w:r w:rsidR="008B1493" w:rsidRPr="00D17328">
        <w:rPr>
          <w:rFonts w:ascii="Times New Roman" w:hAnsi="Times New Roman"/>
          <w:iCs/>
          <w:lang w:val="es-ES"/>
        </w:rPr>
        <w:t>que permite hacer frente a choques externos imprevistos como es el caso del COVID-19</w:t>
      </w:r>
      <w:r w:rsidR="00091A03" w:rsidRPr="00D17328">
        <w:rPr>
          <w:rFonts w:ascii="Times New Roman" w:hAnsi="Times New Roman"/>
          <w:iCs/>
          <w:lang w:val="es-ES"/>
        </w:rPr>
        <w:t>.</w:t>
      </w:r>
    </w:p>
    <w:p w14:paraId="087B9011" w14:textId="77777777" w:rsidR="008656A4" w:rsidRPr="00D17328" w:rsidRDefault="008656A4" w:rsidP="00101136">
      <w:pPr>
        <w:pStyle w:val="PRIMERAPLANA"/>
        <w:spacing w:line="360" w:lineRule="auto"/>
        <w:rPr>
          <w:rFonts w:ascii="Times New Roman" w:hAnsi="Times New Roman"/>
          <w:iCs/>
          <w:lang w:val="es-ES"/>
        </w:rPr>
      </w:pPr>
    </w:p>
    <w:p w14:paraId="3B83C23C" w14:textId="2E9E2248" w:rsidR="00101136" w:rsidRPr="00D17328" w:rsidRDefault="00101136" w:rsidP="00101136">
      <w:pPr>
        <w:pStyle w:val="PRIMERAPLANA"/>
        <w:spacing w:line="360" w:lineRule="auto"/>
        <w:rPr>
          <w:rFonts w:ascii="Times New Roman" w:hAnsi="Times New Roman"/>
          <w:iCs/>
          <w:lang w:val="es-ES"/>
        </w:rPr>
      </w:pPr>
      <w:r w:rsidRPr="00D17328">
        <w:rPr>
          <w:rFonts w:ascii="Times New Roman" w:hAnsi="Times New Roman"/>
          <w:iCs/>
          <w:lang w:val="es-ES"/>
        </w:rPr>
        <w:t>La Iniciativa de Ley Ingresos del Estado de Tlaxcala para el Ejercicio Fiscal 20</w:t>
      </w:r>
      <w:r w:rsidR="00F97B53" w:rsidRPr="00D17328">
        <w:rPr>
          <w:rFonts w:ascii="Times New Roman" w:hAnsi="Times New Roman"/>
          <w:iCs/>
          <w:lang w:val="es-ES"/>
        </w:rPr>
        <w:t>2</w:t>
      </w:r>
      <w:r w:rsidR="008B1493" w:rsidRPr="00D17328">
        <w:rPr>
          <w:rFonts w:ascii="Times New Roman" w:hAnsi="Times New Roman"/>
          <w:iCs/>
          <w:lang w:val="es-ES"/>
        </w:rPr>
        <w:t>1</w:t>
      </w:r>
      <w:r w:rsidR="006E4E70" w:rsidRPr="00D17328">
        <w:rPr>
          <w:rFonts w:ascii="Times New Roman" w:hAnsi="Times New Roman"/>
          <w:iCs/>
          <w:lang w:val="es-ES"/>
        </w:rPr>
        <w:t>,</w:t>
      </w:r>
      <w:r w:rsidRPr="00D17328">
        <w:rPr>
          <w:rFonts w:ascii="Times New Roman" w:hAnsi="Times New Roman"/>
          <w:iCs/>
          <w:lang w:val="es-ES"/>
        </w:rPr>
        <w:t xml:space="preserve"> presentada ante </w:t>
      </w:r>
      <w:r w:rsidR="00581F45" w:rsidRPr="00D17328">
        <w:rPr>
          <w:rFonts w:ascii="Times New Roman" w:hAnsi="Times New Roman"/>
          <w:iCs/>
          <w:lang w:val="es-ES"/>
        </w:rPr>
        <w:t xml:space="preserve">ese </w:t>
      </w:r>
      <w:r w:rsidRPr="00D17328">
        <w:rPr>
          <w:rFonts w:ascii="Times New Roman" w:hAnsi="Times New Roman"/>
          <w:iCs/>
          <w:lang w:val="es-ES"/>
        </w:rPr>
        <w:t>Congreso del Estado, establece una esti</w:t>
      </w:r>
      <w:r w:rsidR="00251E15" w:rsidRPr="00D17328">
        <w:rPr>
          <w:rFonts w:ascii="Times New Roman" w:hAnsi="Times New Roman"/>
          <w:iCs/>
          <w:lang w:val="es-ES"/>
        </w:rPr>
        <w:t xml:space="preserve">mación </w:t>
      </w:r>
      <w:r w:rsidR="006E4E70" w:rsidRPr="00D17328">
        <w:rPr>
          <w:rFonts w:ascii="Times New Roman" w:hAnsi="Times New Roman"/>
          <w:iCs/>
          <w:lang w:val="es-ES"/>
        </w:rPr>
        <w:t xml:space="preserve">con base en las cifras </w:t>
      </w:r>
      <w:r w:rsidR="00201EC9" w:rsidRPr="00D17328">
        <w:rPr>
          <w:rFonts w:ascii="Times New Roman" w:hAnsi="Times New Roman"/>
          <w:iCs/>
          <w:lang w:val="es-ES"/>
        </w:rPr>
        <w:t>anuncia</w:t>
      </w:r>
      <w:r w:rsidR="008B1493" w:rsidRPr="00D17328">
        <w:rPr>
          <w:rFonts w:ascii="Times New Roman" w:hAnsi="Times New Roman"/>
          <w:iCs/>
          <w:lang w:val="es-ES"/>
        </w:rPr>
        <w:t>das</w:t>
      </w:r>
      <w:r w:rsidR="006E4E70" w:rsidRPr="00D17328">
        <w:rPr>
          <w:rFonts w:ascii="Times New Roman" w:hAnsi="Times New Roman"/>
          <w:iCs/>
          <w:lang w:val="es-ES"/>
        </w:rPr>
        <w:t xml:space="preserve"> por la Secretaría de Hacienda y Crédito Público para el ejercicio 202</w:t>
      </w:r>
      <w:r w:rsidR="008B1493" w:rsidRPr="00D17328">
        <w:rPr>
          <w:rFonts w:ascii="Times New Roman" w:hAnsi="Times New Roman"/>
          <w:iCs/>
          <w:lang w:val="es-ES"/>
        </w:rPr>
        <w:t>1</w:t>
      </w:r>
      <w:r w:rsidR="006E4E70" w:rsidRPr="00D17328">
        <w:rPr>
          <w:rFonts w:ascii="Times New Roman" w:hAnsi="Times New Roman"/>
          <w:iCs/>
          <w:lang w:val="es-ES"/>
        </w:rPr>
        <w:t>,</w:t>
      </w:r>
      <w:r w:rsidRPr="00D17328">
        <w:rPr>
          <w:rFonts w:ascii="Times New Roman" w:hAnsi="Times New Roman"/>
          <w:iCs/>
          <w:lang w:val="es-ES"/>
        </w:rPr>
        <w:t xml:space="preserve"> </w:t>
      </w:r>
      <w:r w:rsidR="00E63A8F" w:rsidRPr="00D17328">
        <w:rPr>
          <w:rFonts w:ascii="Times New Roman" w:hAnsi="Times New Roman"/>
          <w:iCs/>
          <w:lang w:val="es-ES"/>
        </w:rPr>
        <w:t xml:space="preserve">correspondientes a </w:t>
      </w:r>
      <w:r w:rsidRPr="00D17328">
        <w:rPr>
          <w:rFonts w:ascii="Times New Roman" w:hAnsi="Times New Roman"/>
          <w:iCs/>
          <w:lang w:val="es-ES"/>
        </w:rPr>
        <w:t>los conceptos por los cuales el Gobierno del Estado obten</w:t>
      </w:r>
      <w:r w:rsidR="00251E15" w:rsidRPr="00D17328">
        <w:rPr>
          <w:rFonts w:ascii="Times New Roman" w:hAnsi="Times New Roman"/>
          <w:iCs/>
          <w:lang w:val="es-ES"/>
        </w:rPr>
        <w:t>drá</w:t>
      </w:r>
      <w:r w:rsidRPr="00D17328">
        <w:rPr>
          <w:rFonts w:ascii="Times New Roman" w:hAnsi="Times New Roman"/>
          <w:iCs/>
          <w:lang w:val="es-ES"/>
        </w:rPr>
        <w:t xml:space="preserve"> los recursos económicos que requiere para la realización de sus funciones.</w:t>
      </w:r>
    </w:p>
    <w:p w14:paraId="48BF5049" w14:textId="77777777" w:rsidR="00101136" w:rsidRPr="00D17328" w:rsidRDefault="00101136" w:rsidP="00D627E8">
      <w:pPr>
        <w:spacing w:line="360" w:lineRule="auto"/>
        <w:jc w:val="both"/>
        <w:rPr>
          <w:sz w:val="20"/>
          <w:szCs w:val="20"/>
        </w:rPr>
      </w:pPr>
    </w:p>
    <w:p w14:paraId="6466AF76" w14:textId="74587F62" w:rsidR="00683140" w:rsidRDefault="00683140" w:rsidP="00A01E36">
      <w:pPr>
        <w:spacing w:line="360" w:lineRule="auto"/>
        <w:jc w:val="both"/>
        <w:rPr>
          <w:sz w:val="20"/>
          <w:szCs w:val="20"/>
        </w:rPr>
      </w:pPr>
      <w:r w:rsidRPr="00D17328">
        <w:rPr>
          <w:sz w:val="20"/>
          <w:szCs w:val="20"/>
        </w:rPr>
        <w:t xml:space="preserve">El comportamiento de los ingresos </w:t>
      </w:r>
      <w:r w:rsidR="00C632A9" w:rsidRPr="00D17328">
        <w:rPr>
          <w:sz w:val="20"/>
          <w:szCs w:val="20"/>
        </w:rPr>
        <w:t xml:space="preserve">derivados de </w:t>
      </w:r>
      <w:r w:rsidRPr="00D17328">
        <w:rPr>
          <w:sz w:val="20"/>
          <w:szCs w:val="20"/>
        </w:rPr>
        <w:t>fuentes</w:t>
      </w:r>
      <w:r w:rsidR="00C632A9" w:rsidRPr="00D17328">
        <w:rPr>
          <w:sz w:val="20"/>
          <w:szCs w:val="20"/>
        </w:rPr>
        <w:t xml:space="preserve"> locales </w:t>
      </w:r>
      <w:r w:rsidR="00E63A8F" w:rsidRPr="00D17328">
        <w:rPr>
          <w:sz w:val="20"/>
          <w:szCs w:val="20"/>
        </w:rPr>
        <w:t xml:space="preserve">en </w:t>
      </w:r>
      <w:r w:rsidR="00C632A9" w:rsidRPr="00D17328">
        <w:rPr>
          <w:sz w:val="20"/>
          <w:szCs w:val="20"/>
        </w:rPr>
        <w:t xml:space="preserve">los últimos 5 </w:t>
      </w:r>
      <w:r w:rsidRPr="00D17328">
        <w:rPr>
          <w:sz w:val="20"/>
          <w:szCs w:val="20"/>
        </w:rPr>
        <w:t>años, presenta estabilidad financiera, derivado de las acciones implementadas</w:t>
      </w:r>
      <w:r w:rsidR="001F2509" w:rsidRPr="00D17328">
        <w:rPr>
          <w:sz w:val="20"/>
          <w:szCs w:val="20"/>
        </w:rPr>
        <w:t xml:space="preserve"> y</w:t>
      </w:r>
      <w:r w:rsidRPr="00D17328">
        <w:rPr>
          <w:sz w:val="20"/>
          <w:szCs w:val="20"/>
        </w:rPr>
        <w:t xml:space="preserve"> enfocadas a la simplificación administrativa y </w:t>
      </w:r>
      <w:r w:rsidR="00153B83" w:rsidRPr="00D17328">
        <w:rPr>
          <w:sz w:val="20"/>
          <w:szCs w:val="20"/>
        </w:rPr>
        <w:t xml:space="preserve">a la </w:t>
      </w:r>
      <w:r w:rsidRPr="00D17328">
        <w:rPr>
          <w:sz w:val="20"/>
          <w:szCs w:val="20"/>
        </w:rPr>
        <w:t>mejora en l</w:t>
      </w:r>
      <w:r w:rsidR="00153B83" w:rsidRPr="00D17328">
        <w:rPr>
          <w:sz w:val="20"/>
          <w:szCs w:val="20"/>
        </w:rPr>
        <w:t xml:space="preserve">a prestación de </w:t>
      </w:r>
      <w:r w:rsidR="001F5A5A" w:rsidRPr="00D17328">
        <w:rPr>
          <w:sz w:val="20"/>
          <w:szCs w:val="20"/>
        </w:rPr>
        <w:t>servicio</w:t>
      </w:r>
      <w:r w:rsidR="00153B83" w:rsidRPr="00D17328">
        <w:rPr>
          <w:sz w:val="20"/>
          <w:szCs w:val="20"/>
        </w:rPr>
        <w:t>s</w:t>
      </w:r>
      <w:r w:rsidR="001F5A5A" w:rsidRPr="00D17328">
        <w:rPr>
          <w:sz w:val="20"/>
          <w:szCs w:val="20"/>
        </w:rPr>
        <w:t xml:space="preserve"> a</w:t>
      </w:r>
      <w:r w:rsidR="00156496" w:rsidRPr="00D17328">
        <w:rPr>
          <w:sz w:val="20"/>
          <w:szCs w:val="20"/>
        </w:rPr>
        <w:t xml:space="preserve"> </w:t>
      </w:r>
      <w:r w:rsidR="001F5A5A" w:rsidRPr="00D17328">
        <w:rPr>
          <w:sz w:val="20"/>
          <w:szCs w:val="20"/>
        </w:rPr>
        <w:t>l</w:t>
      </w:r>
      <w:r w:rsidR="00156496" w:rsidRPr="00D17328">
        <w:rPr>
          <w:sz w:val="20"/>
          <w:szCs w:val="20"/>
        </w:rPr>
        <w:t>a ciudadanía</w:t>
      </w:r>
      <w:r w:rsidR="004B7C0A" w:rsidRPr="00D17328">
        <w:rPr>
          <w:sz w:val="20"/>
          <w:szCs w:val="20"/>
        </w:rPr>
        <w:t>, sin embargo durante el ejercicio 2020 esta estabilidad se vio severamente afectada por los efectos de la pandemia ocasionada por el COVID-19.</w:t>
      </w:r>
    </w:p>
    <w:p w14:paraId="253DB717" w14:textId="4C4F88BA" w:rsidR="003E395F" w:rsidRDefault="00452088" w:rsidP="001C3DBE">
      <w:pPr>
        <w:spacing w:line="360" w:lineRule="auto"/>
        <w:jc w:val="center"/>
        <w:rPr>
          <w:rFonts w:ascii="Arial" w:hAnsi="Arial" w:cs="Arial"/>
          <w:b/>
          <w:sz w:val="10"/>
        </w:rPr>
      </w:pPr>
      <w:r w:rsidRPr="00D17328">
        <w:rPr>
          <w:b/>
          <w:sz w:val="20"/>
          <w:szCs w:val="20"/>
        </w:rPr>
        <w:t>RECAUDACIÓN DE IMPUESTOS PROPIOS 201</w:t>
      </w:r>
      <w:r w:rsidR="00A05923" w:rsidRPr="00D17328">
        <w:rPr>
          <w:b/>
          <w:sz w:val="20"/>
          <w:szCs w:val="20"/>
        </w:rPr>
        <w:t>5-2020</w:t>
      </w:r>
      <w:r w:rsidRPr="00D17328">
        <w:rPr>
          <w:b/>
          <w:sz w:val="20"/>
          <w:szCs w:val="20"/>
        </w:rPr>
        <w:t>* (Mdp)</w:t>
      </w:r>
    </w:p>
    <w:p w14:paraId="1AA4602E" w14:textId="6697E06E" w:rsidR="00515A89" w:rsidRDefault="00515A89" w:rsidP="00A01E36">
      <w:pPr>
        <w:spacing w:line="360" w:lineRule="auto"/>
        <w:jc w:val="both"/>
        <w:rPr>
          <w:rFonts w:ascii="Arial" w:hAnsi="Arial" w:cs="Arial"/>
          <w:b/>
          <w:sz w:val="10"/>
        </w:rPr>
      </w:pPr>
      <w:r w:rsidRPr="00515A89">
        <w:rPr>
          <w:noProof/>
          <w:lang w:val="es-MX" w:eastAsia="es-MX"/>
        </w:rPr>
        <w:drawing>
          <wp:inline distT="0" distB="0" distL="0" distR="0" wp14:anchorId="4CB63A36" wp14:editId="2B546595">
            <wp:extent cx="4321268" cy="1656244"/>
            <wp:effectExtent l="0" t="0" r="317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6406" cy="1677377"/>
                    </a:xfrm>
                    <a:prstGeom prst="rect">
                      <a:avLst/>
                    </a:prstGeom>
                    <a:noFill/>
                    <a:ln>
                      <a:noFill/>
                    </a:ln>
                  </pic:spPr>
                </pic:pic>
              </a:graphicData>
            </a:graphic>
          </wp:inline>
        </w:drawing>
      </w:r>
    </w:p>
    <w:p w14:paraId="73D998CA" w14:textId="77777777" w:rsidR="00153B83" w:rsidRPr="00D17328" w:rsidRDefault="00944433" w:rsidP="00A01E36">
      <w:pPr>
        <w:spacing w:line="360" w:lineRule="auto"/>
        <w:jc w:val="both"/>
        <w:rPr>
          <w:b/>
          <w:sz w:val="10"/>
        </w:rPr>
      </w:pPr>
      <w:r w:rsidRPr="00D17328">
        <w:rPr>
          <w:b/>
          <w:sz w:val="10"/>
        </w:rPr>
        <w:t xml:space="preserve">Fuente: Dirección de Contabilidad Gubernamental y Coordinación Hacendaria </w:t>
      </w:r>
    </w:p>
    <w:p w14:paraId="7DC77CD5" w14:textId="71E46110" w:rsidR="00683140" w:rsidRPr="00D17328" w:rsidRDefault="00153B83" w:rsidP="00A01E36">
      <w:pPr>
        <w:spacing w:line="360" w:lineRule="auto"/>
        <w:jc w:val="both"/>
        <w:rPr>
          <w:b/>
          <w:sz w:val="10"/>
        </w:rPr>
      </w:pPr>
      <w:r w:rsidRPr="00D17328">
        <w:rPr>
          <w:b/>
          <w:sz w:val="10"/>
        </w:rPr>
        <w:t>* Estimaciones al Cierre de 20</w:t>
      </w:r>
      <w:r w:rsidR="00427D8C" w:rsidRPr="00D17328">
        <w:rPr>
          <w:b/>
          <w:sz w:val="10"/>
        </w:rPr>
        <w:t>20</w:t>
      </w:r>
      <w:r w:rsidRPr="00D17328">
        <w:rPr>
          <w:b/>
          <w:sz w:val="10"/>
        </w:rPr>
        <w:t>.</w:t>
      </w:r>
    </w:p>
    <w:p w14:paraId="66B62F5A" w14:textId="23774729" w:rsidR="003E395F" w:rsidRDefault="003E395F" w:rsidP="00A01E36">
      <w:pPr>
        <w:spacing w:line="360" w:lineRule="auto"/>
        <w:jc w:val="both"/>
        <w:rPr>
          <w:rFonts w:ascii="Arial" w:hAnsi="Arial" w:cs="Arial"/>
          <w:b/>
          <w:sz w:val="10"/>
        </w:rPr>
      </w:pPr>
    </w:p>
    <w:p w14:paraId="5CFA6C8E" w14:textId="6D9162CF" w:rsidR="00515A89" w:rsidRDefault="00515A89" w:rsidP="00A01E36">
      <w:pPr>
        <w:spacing w:line="360" w:lineRule="auto"/>
        <w:jc w:val="both"/>
        <w:rPr>
          <w:rFonts w:ascii="Arial" w:hAnsi="Arial" w:cs="Arial"/>
          <w:b/>
          <w:sz w:val="10"/>
        </w:rPr>
      </w:pPr>
    </w:p>
    <w:p w14:paraId="7D88A312" w14:textId="59DF6399" w:rsidR="00515A89" w:rsidRDefault="00515A89" w:rsidP="00A01E36">
      <w:pPr>
        <w:spacing w:line="360" w:lineRule="auto"/>
        <w:jc w:val="both"/>
        <w:rPr>
          <w:rFonts w:ascii="Arial" w:hAnsi="Arial" w:cs="Arial"/>
          <w:b/>
          <w:sz w:val="10"/>
        </w:rPr>
      </w:pPr>
      <w:r>
        <w:rPr>
          <w:rFonts w:ascii="Arial" w:hAnsi="Arial" w:cs="Arial"/>
          <w:b/>
          <w:noProof/>
          <w:sz w:val="10"/>
          <w:lang w:val="es-MX" w:eastAsia="es-MX"/>
        </w:rPr>
        <w:lastRenderedPageBreak/>
        <w:drawing>
          <wp:inline distT="0" distB="0" distL="0" distR="0" wp14:anchorId="3FADD371" wp14:editId="148D94CB">
            <wp:extent cx="4391025" cy="32451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3245121"/>
                    </a:xfrm>
                    <a:prstGeom prst="rect">
                      <a:avLst/>
                    </a:prstGeom>
                    <a:noFill/>
                  </pic:spPr>
                </pic:pic>
              </a:graphicData>
            </a:graphic>
          </wp:inline>
        </w:drawing>
      </w:r>
    </w:p>
    <w:p w14:paraId="2725EDE8" w14:textId="77777777" w:rsidR="003E395F" w:rsidRPr="00B87196" w:rsidRDefault="003E395F" w:rsidP="00A01E36">
      <w:pPr>
        <w:spacing w:line="360" w:lineRule="auto"/>
        <w:jc w:val="both"/>
        <w:rPr>
          <w:rFonts w:ascii="Arial" w:hAnsi="Arial" w:cs="Arial"/>
          <w:b/>
          <w:sz w:val="10"/>
        </w:rPr>
      </w:pPr>
    </w:p>
    <w:p w14:paraId="7D200743" w14:textId="63F9390C" w:rsidR="00944433" w:rsidRPr="00D17328" w:rsidRDefault="00944433" w:rsidP="003E395F">
      <w:pPr>
        <w:spacing w:line="360" w:lineRule="auto"/>
        <w:jc w:val="both"/>
        <w:rPr>
          <w:b/>
          <w:sz w:val="10"/>
        </w:rPr>
      </w:pPr>
      <w:r w:rsidRPr="00D17328">
        <w:rPr>
          <w:b/>
          <w:sz w:val="10"/>
        </w:rPr>
        <w:t xml:space="preserve">Fuente: Dirección de Contabilidad Gubernamental y Coordinación Hacendaria </w:t>
      </w:r>
    </w:p>
    <w:p w14:paraId="50C38090" w14:textId="5E765EE8" w:rsidR="00944433" w:rsidRPr="00D17328" w:rsidRDefault="00944433" w:rsidP="003E395F">
      <w:pPr>
        <w:spacing w:line="360" w:lineRule="auto"/>
        <w:jc w:val="both"/>
        <w:rPr>
          <w:b/>
          <w:sz w:val="10"/>
        </w:rPr>
      </w:pPr>
      <w:r w:rsidRPr="00D17328">
        <w:rPr>
          <w:b/>
          <w:sz w:val="10"/>
        </w:rPr>
        <w:t>* Estimaciones al Cierre de 20</w:t>
      </w:r>
      <w:r w:rsidR="00427D8C" w:rsidRPr="00D17328">
        <w:rPr>
          <w:b/>
          <w:sz w:val="10"/>
        </w:rPr>
        <w:t>20</w:t>
      </w:r>
      <w:r w:rsidRPr="00D17328">
        <w:rPr>
          <w:b/>
          <w:sz w:val="10"/>
        </w:rPr>
        <w:t>.</w:t>
      </w:r>
    </w:p>
    <w:p w14:paraId="2BA8C8B2" w14:textId="77777777" w:rsidR="00F63F97" w:rsidRDefault="00F63F97" w:rsidP="003E395F">
      <w:pPr>
        <w:pStyle w:val="PRIMERAPLANA"/>
        <w:spacing w:line="360" w:lineRule="auto"/>
        <w:rPr>
          <w:rFonts w:cs="Arial"/>
          <w:sz w:val="24"/>
          <w:szCs w:val="24"/>
          <w:lang w:val="es-ES"/>
        </w:rPr>
      </w:pPr>
    </w:p>
    <w:p w14:paraId="4F337095" w14:textId="5DAC6791" w:rsidR="00177532" w:rsidRPr="00D17328" w:rsidRDefault="0069799C" w:rsidP="00A05923">
      <w:pPr>
        <w:pStyle w:val="PRIMERAPLANA"/>
        <w:spacing w:line="360" w:lineRule="auto"/>
        <w:rPr>
          <w:rFonts w:ascii="Times New Roman" w:hAnsi="Times New Roman"/>
          <w:lang w:val="es-ES"/>
        </w:rPr>
      </w:pPr>
      <w:r w:rsidRPr="00D17328">
        <w:rPr>
          <w:rFonts w:ascii="Times New Roman" w:hAnsi="Times New Roman"/>
          <w:lang w:val="es-ES"/>
        </w:rPr>
        <w:t xml:space="preserve">Ante un panorama económico </w:t>
      </w:r>
      <w:r w:rsidR="004D5BEF" w:rsidRPr="00D17328">
        <w:rPr>
          <w:rFonts w:ascii="Times New Roman" w:hAnsi="Times New Roman"/>
          <w:lang w:val="es-ES"/>
        </w:rPr>
        <w:t>que puede presentar riesgos</w:t>
      </w:r>
      <w:r w:rsidRPr="00D17328">
        <w:rPr>
          <w:rFonts w:ascii="Times New Roman" w:hAnsi="Times New Roman"/>
          <w:lang w:val="es-ES"/>
        </w:rPr>
        <w:t xml:space="preserve">, no se contempla la creación de nuevos impuestos, por lo que es fundamental implementar una política fiscal que contribuya a financiar el gasto público con ingresos provenientes de acciones que eficienten </w:t>
      </w:r>
      <w:r w:rsidR="00E63A8F" w:rsidRPr="00D17328">
        <w:rPr>
          <w:rFonts w:ascii="Times New Roman" w:hAnsi="Times New Roman"/>
          <w:lang w:val="es-ES"/>
        </w:rPr>
        <w:t>la recaudación y con ello se increment</w:t>
      </w:r>
      <w:r w:rsidR="00474AA0" w:rsidRPr="00D17328">
        <w:rPr>
          <w:rFonts w:ascii="Times New Roman" w:hAnsi="Times New Roman"/>
          <w:lang w:val="es-ES"/>
        </w:rPr>
        <w:t>en</w:t>
      </w:r>
      <w:r w:rsidR="00E63A8F" w:rsidRPr="00D17328">
        <w:rPr>
          <w:rFonts w:ascii="Times New Roman" w:hAnsi="Times New Roman"/>
          <w:lang w:val="es-ES"/>
        </w:rPr>
        <w:t xml:space="preserve"> </w:t>
      </w:r>
      <w:r w:rsidR="002E0BB4" w:rsidRPr="00D17328">
        <w:rPr>
          <w:rFonts w:ascii="Times New Roman" w:hAnsi="Times New Roman"/>
          <w:lang w:val="es-ES"/>
        </w:rPr>
        <w:t>gradualmente</w:t>
      </w:r>
      <w:r w:rsidRPr="00D17328">
        <w:rPr>
          <w:rFonts w:ascii="Times New Roman" w:hAnsi="Times New Roman"/>
          <w:lang w:val="es-ES"/>
        </w:rPr>
        <w:t xml:space="preserve"> los ingresos, siendo las estrategias principales</w:t>
      </w:r>
      <w:r w:rsidR="002E0BB4" w:rsidRPr="00D17328">
        <w:rPr>
          <w:rFonts w:ascii="Times New Roman" w:hAnsi="Times New Roman"/>
          <w:lang w:val="es-ES"/>
        </w:rPr>
        <w:t xml:space="preserve"> las siguientes:</w:t>
      </w:r>
      <w:r w:rsidRPr="00D17328">
        <w:rPr>
          <w:rFonts w:ascii="Times New Roman" w:hAnsi="Times New Roman"/>
          <w:lang w:val="es-ES"/>
        </w:rPr>
        <w:t xml:space="preserve"> el aumento de la base de contribuyentes, la promoción del uso de medios electrónicos de pago y la continua mejora de los procedimientos de fiscalización</w:t>
      </w:r>
      <w:r w:rsidR="00E61FBC" w:rsidRPr="00D17328">
        <w:rPr>
          <w:rFonts w:ascii="Times New Roman" w:hAnsi="Times New Roman"/>
          <w:lang w:val="es-ES"/>
        </w:rPr>
        <w:t>,</w:t>
      </w:r>
      <w:r w:rsidRPr="00D17328">
        <w:rPr>
          <w:rFonts w:ascii="Times New Roman" w:hAnsi="Times New Roman"/>
          <w:lang w:val="es-ES"/>
        </w:rPr>
        <w:t xml:space="preserve"> que garanticen la recuperación de créditos fiscales firmes.</w:t>
      </w:r>
      <w:r w:rsidR="00A05923" w:rsidRPr="00D17328">
        <w:rPr>
          <w:rFonts w:ascii="Times New Roman" w:hAnsi="Times New Roman"/>
          <w:lang w:val="es-ES"/>
        </w:rPr>
        <w:t xml:space="preserve"> </w:t>
      </w:r>
      <w:r w:rsidR="00177532" w:rsidRPr="00D17328">
        <w:rPr>
          <w:rFonts w:ascii="Times New Roman" w:hAnsi="Times New Roman"/>
          <w:lang w:val="es-ES"/>
        </w:rPr>
        <w:t xml:space="preserve">El Impuesto Sobre Nóminas </w:t>
      </w:r>
      <w:r w:rsidR="004D5BEF" w:rsidRPr="00D17328">
        <w:rPr>
          <w:rFonts w:ascii="Times New Roman" w:hAnsi="Times New Roman"/>
          <w:lang w:val="es-ES"/>
        </w:rPr>
        <w:t>como</w:t>
      </w:r>
      <w:r w:rsidR="00177532" w:rsidRPr="00D17328">
        <w:rPr>
          <w:rFonts w:ascii="Times New Roman" w:hAnsi="Times New Roman"/>
          <w:lang w:val="es-ES"/>
        </w:rPr>
        <w:t xml:space="preserve"> fuente de ingresos locales para sufragar el gasto público, ocupa el primer lugar en la estructura de los ingresos propios, </w:t>
      </w:r>
      <w:r w:rsidR="002E0BB4" w:rsidRPr="00D17328">
        <w:rPr>
          <w:rFonts w:ascii="Times New Roman" w:hAnsi="Times New Roman"/>
          <w:lang w:val="es-ES"/>
        </w:rPr>
        <w:t>por esa razón,</w:t>
      </w:r>
      <w:r w:rsidR="00177532" w:rsidRPr="00D17328">
        <w:rPr>
          <w:rFonts w:ascii="Times New Roman" w:hAnsi="Times New Roman"/>
          <w:lang w:val="es-ES"/>
        </w:rPr>
        <w:t xml:space="preserve"> se hace imprescindible fortalecer su recaudación</w:t>
      </w:r>
      <w:r w:rsidR="006563E8" w:rsidRPr="00D17328">
        <w:rPr>
          <w:rFonts w:ascii="Times New Roman" w:hAnsi="Times New Roman"/>
          <w:lang w:val="es-ES"/>
        </w:rPr>
        <w:t xml:space="preserve"> y fiscalización</w:t>
      </w:r>
      <w:r w:rsidR="00177532" w:rsidRPr="00D17328">
        <w:rPr>
          <w:rFonts w:ascii="Times New Roman" w:hAnsi="Times New Roman"/>
          <w:lang w:val="es-ES"/>
        </w:rPr>
        <w:t>.</w:t>
      </w:r>
    </w:p>
    <w:p w14:paraId="47CCF430" w14:textId="77777777" w:rsidR="00177532" w:rsidRPr="00D17328" w:rsidRDefault="00177532" w:rsidP="00177532">
      <w:pPr>
        <w:pStyle w:val="PRIMERAPLANA"/>
        <w:spacing w:line="360" w:lineRule="auto"/>
        <w:rPr>
          <w:rFonts w:ascii="Times New Roman" w:hAnsi="Times New Roman"/>
          <w:lang w:val="es-ES"/>
        </w:rPr>
      </w:pPr>
      <w:r w:rsidRPr="00D17328">
        <w:rPr>
          <w:rFonts w:ascii="Times New Roman" w:hAnsi="Times New Roman"/>
          <w:lang w:val="es-E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1CC0A28B" w14:textId="77777777" w:rsidR="00177532" w:rsidRPr="00D17328" w:rsidRDefault="00177532" w:rsidP="00177532">
      <w:pPr>
        <w:pStyle w:val="PRIMERAPLANA"/>
        <w:spacing w:line="360" w:lineRule="auto"/>
        <w:rPr>
          <w:rFonts w:ascii="Times New Roman" w:hAnsi="Times New Roman"/>
          <w:lang w:val="es-ES"/>
        </w:rPr>
      </w:pPr>
    </w:p>
    <w:p w14:paraId="09B7DD85" w14:textId="72CF9CBB" w:rsidR="00177532" w:rsidRPr="00D17328" w:rsidRDefault="001F2509" w:rsidP="00177532">
      <w:pPr>
        <w:pStyle w:val="PRIMERAPLANA"/>
        <w:spacing w:line="360" w:lineRule="auto"/>
        <w:rPr>
          <w:rFonts w:ascii="Times New Roman" w:hAnsi="Times New Roman"/>
          <w:lang w:val="es-ES"/>
        </w:rPr>
      </w:pPr>
      <w:r w:rsidRPr="00D17328">
        <w:rPr>
          <w:rFonts w:ascii="Times New Roman" w:hAnsi="Times New Roman"/>
          <w:lang w:val="es-ES"/>
        </w:rPr>
        <w:t>O</w:t>
      </w:r>
      <w:r w:rsidR="00177532" w:rsidRPr="00D17328">
        <w:rPr>
          <w:rFonts w:ascii="Times New Roman" w:hAnsi="Times New Roman"/>
          <w:lang w:val="es-ES"/>
        </w:rPr>
        <w:t>bserva</w:t>
      </w:r>
      <w:r w:rsidRPr="00D17328">
        <w:rPr>
          <w:rFonts w:ascii="Times New Roman" w:hAnsi="Times New Roman"/>
          <w:lang w:val="es-ES"/>
        </w:rPr>
        <w:t>ndo</w:t>
      </w:r>
      <w:r w:rsidR="00177532" w:rsidRPr="00D17328">
        <w:rPr>
          <w:rFonts w:ascii="Times New Roman" w:hAnsi="Times New Roman"/>
          <w:lang w:val="es-ES"/>
        </w:rPr>
        <w:t xml:space="preserve"> el principio de justicia tributaria, se prevé otorgar estímulos en materia del Impuesto Sobre Nóminas a empresas que ya se encuentren instaladas o de nueva creación con domicilio fiscal en el Estado, que contraten adultos mayores y a personas con </w:t>
      </w:r>
      <w:r w:rsidR="000C7F14" w:rsidRPr="00D17328">
        <w:rPr>
          <w:rFonts w:ascii="Times New Roman" w:hAnsi="Times New Roman"/>
          <w:lang w:val="es-ES"/>
        </w:rPr>
        <w:t>alguna dis</w:t>
      </w:r>
      <w:r w:rsidR="00177532" w:rsidRPr="00D17328">
        <w:rPr>
          <w:rFonts w:ascii="Times New Roman" w:hAnsi="Times New Roman"/>
          <w:lang w:val="es-ES"/>
        </w:rPr>
        <w:t>capacidad</w:t>
      </w:r>
      <w:r w:rsidR="000C7F14" w:rsidRPr="00D17328">
        <w:rPr>
          <w:rFonts w:ascii="Times New Roman" w:hAnsi="Times New Roman"/>
          <w:lang w:val="es-ES"/>
        </w:rPr>
        <w:t>;</w:t>
      </w:r>
      <w:r w:rsidRPr="00D17328">
        <w:rPr>
          <w:rFonts w:ascii="Times New Roman" w:hAnsi="Times New Roman"/>
          <w:lang w:val="es-ES"/>
        </w:rPr>
        <w:t xml:space="preserve"> por otra parte, </w:t>
      </w:r>
      <w:r w:rsidR="00177532" w:rsidRPr="00D17328">
        <w:rPr>
          <w:rFonts w:ascii="Times New Roman" w:hAnsi="Times New Roman"/>
          <w:lang w:val="es-ES"/>
        </w:rPr>
        <w:t xml:space="preserve">se </w:t>
      </w:r>
      <w:r w:rsidR="00177532" w:rsidRPr="00D17328">
        <w:rPr>
          <w:rFonts w:ascii="Times New Roman" w:hAnsi="Times New Roman"/>
          <w:lang w:val="es-ES"/>
        </w:rPr>
        <w:lastRenderedPageBreak/>
        <w:t>continuará subsidiando el pago del Impuesto Estatal Sob</w:t>
      </w:r>
      <w:r w:rsidR="00A05923" w:rsidRPr="00D17328">
        <w:rPr>
          <w:rFonts w:ascii="Times New Roman" w:hAnsi="Times New Roman"/>
          <w:lang w:val="es-ES"/>
        </w:rPr>
        <w:t>re Tenencia o Uso de Vehículos. S</w:t>
      </w:r>
      <w:r w:rsidR="00177532" w:rsidRPr="00D17328">
        <w:rPr>
          <w:rFonts w:ascii="Times New Roman" w:hAnsi="Times New Roman"/>
          <w:lang w:val="es-ES"/>
        </w:rPr>
        <w:t>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p>
    <w:p w14:paraId="6DB9F3EE" w14:textId="467E03FC" w:rsidR="00177532" w:rsidRPr="00D17328" w:rsidRDefault="00177532" w:rsidP="0069799C">
      <w:pPr>
        <w:pStyle w:val="PRIMERAPLANA"/>
        <w:spacing w:line="360" w:lineRule="auto"/>
        <w:rPr>
          <w:rFonts w:ascii="Times New Roman" w:hAnsi="Times New Roman"/>
          <w:lang w:val="es-ES"/>
        </w:rPr>
      </w:pPr>
    </w:p>
    <w:p w14:paraId="11CFEFA5" w14:textId="3490632D" w:rsidR="00B64CA4" w:rsidRPr="00D17328" w:rsidRDefault="00F92A14" w:rsidP="005F0514">
      <w:pPr>
        <w:pStyle w:val="PRIMERAPLANA"/>
        <w:spacing w:line="360" w:lineRule="auto"/>
        <w:rPr>
          <w:rFonts w:ascii="Times New Roman" w:hAnsi="Times New Roman"/>
          <w:lang w:val="es-ES"/>
        </w:rPr>
      </w:pPr>
      <w:r w:rsidRPr="00D17328">
        <w:rPr>
          <w:rFonts w:ascii="Times New Roman" w:hAnsi="Times New Roman"/>
          <w:lang w:val="es-ES"/>
        </w:rPr>
        <w:t>Las acciones de gobierno emprendidas por esta administración,</w:t>
      </w:r>
      <w:r w:rsidR="006563E8" w:rsidRPr="00D17328">
        <w:rPr>
          <w:rFonts w:ascii="Times New Roman" w:hAnsi="Times New Roman"/>
          <w:lang w:val="es-ES"/>
        </w:rPr>
        <w:t xml:space="preserve"> han</w:t>
      </w:r>
      <w:r w:rsidRPr="00D17328">
        <w:rPr>
          <w:rFonts w:ascii="Times New Roman" w:hAnsi="Times New Roman"/>
          <w:lang w:val="es-ES"/>
        </w:rPr>
        <w:t xml:space="preserve"> ten</w:t>
      </w:r>
      <w:r w:rsidR="006563E8" w:rsidRPr="00D17328">
        <w:rPr>
          <w:rFonts w:ascii="Times New Roman" w:hAnsi="Times New Roman"/>
          <w:lang w:val="es-ES"/>
        </w:rPr>
        <w:t>ido</w:t>
      </w:r>
      <w:r w:rsidRPr="00D17328">
        <w:rPr>
          <w:rFonts w:ascii="Times New Roman" w:hAnsi="Times New Roman"/>
          <w:lang w:val="es-ES"/>
        </w:rPr>
        <w:t xml:space="preserve"> como finalidad </w:t>
      </w:r>
      <w:r w:rsidR="00B64CA4" w:rsidRPr="00D17328">
        <w:rPr>
          <w:rFonts w:ascii="Times New Roman" w:hAnsi="Times New Roman"/>
          <w:lang w:val="es-ES"/>
        </w:rPr>
        <w:t xml:space="preserve">el desarrollo </w:t>
      </w:r>
      <w:r w:rsidR="0083776F" w:rsidRPr="00D17328">
        <w:rPr>
          <w:rFonts w:ascii="Times New Roman" w:hAnsi="Times New Roman"/>
          <w:lang w:val="es-ES"/>
        </w:rPr>
        <w:t>económico,</w:t>
      </w:r>
      <w:r w:rsidRPr="00D17328">
        <w:rPr>
          <w:rFonts w:ascii="Times New Roman" w:hAnsi="Times New Roman"/>
          <w:lang w:val="es-ES"/>
        </w:rPr>
        <w:t xml:space="preserve"> así como </w:t>
      </w:r>
      <w:r w:rsidR="006563E8" w:rsidRPr="00D17328">
        <w:rPr>
          <w:rFonts w:ascii="Times New Roman" w:hAnsi="Times New Roman"/>
          <w:lang w:val="es-ES"/>
        </w:rPr>
        <w:t xml:space="preserve">contribuir a </w:t>
      </w:r>
      <w:r w:rsidR="00B64CA4" w:rsidRPr="00D17328">
        <w:rPr>
          <w:rFonts w:ascii="Times New Roman" w:hAnsi="Times New Roman"/>
          <w:lang w:val="es-ES"/>
        </w:rPr>
        <w:t>mejor</w:t>
      </w:r>
      <w:r w:rsidRPr="00D17328">
        <w:rPr>
          <w:rFonts w:ascii="Times New Roman" w:hAnsi="Times New Roman"/>
          <w:lang w:val="es-ES"/>
        </w:rPr>
        <w:t>ar</w:t>
      </w:r>
      <w:r w:rsidR="00B64CA4" w:rsidRPr="00D17328">
        <w:rPr>
          <w:rFonts w:ascii="Times New Roman" w:hAnsi="Times New Roman"/>
          <w:lang w:val="es-ES"/>
        </w:rPr>
        <w:t xml:space="preserve"> </w:t>
      </w:r>
      <w:r w:rsidRPr="00D17328">
        <w:rPr>
          <w:rFonts w:ascii="Times New Roman" w:hAnsi="Times New Roman"/>
          <w:lang w:val="es-ES"/>
        </w:rPr>
        <w:t xml:space="preserve">las </w:t>
      </w:r>
      <w:r w:rsidR="00B64CA4" w:rsidRPr="00D17328">
        <w:rPr>
          <w:rFonts w:ascii="Times New Roman" w:hAnsi="Times New Roman"/>
          <w:lang w:val="es-ES"/>
        </w:rPr>
        <w:t xml:space="preserve">condiciones de vida </w:t>
      </w:r>
      <w:r w:rsidRPr="00D17328">
        <w:rPr>
          <w:rFonts w:ascii="Times New Roman" w:hAnsi="Times New Roman"/>
          <w:lang w:val="es-ES"/>
        </w:rPr>
        <w:t>de</w:t>
      </w:r>
      <w:r w:rsidR="00B64CA4" w:rsidRPr="00D17328">
        <w:rPr>
          <w:rFonts w:ascii="Times New Roman" w:hAnsi="Times New Roman"/>
          <w:lang w:val="es-ES"/>
        </w:rPr>
        <w:t xml:space="preserve"> la población del </w:t>
      </w:r>
      <w:r w:rsidR="002E0BB4" w:rsidRPr="00D17328">
        <w:rPr>
          <w:rFonts w:ascii="Times New Roman" w:hAnsi="Times New Roman"/>
          <w:lang w:val="es-ES"/>
        </w:rPr>
        <w:t>Estado</w:t>
      </w:r>
      <w:r w:rsidRPr="00D17328">
        <w:rPr>
          <w:rFonts w:ascii="Times New Roman" w:hAnsi="Times New Roman"/>
          <w:lang w:val="es-ES"/>
        </w:rPr>
        <w:t xml:space="preserve">, para lo cual </w:t>
      </w:r>
      <w:r w:rsidR="00B64CA4" w:rsidRPr="00D17328">
        <w:rPr>
          <w:rFonts w:ascii="Times New Roman" w:hAnsi="Times New Roman"/>
          <w:lang w:val="es-ES"/>
        </w:rPr>
        <w:t xml:space="preserve">se busca propiciar las condiciones que permitan crear más y mejores empleos en </w:t>
      </w:r>
      <w:r w:rsidR="00474AA0" w:rsidRPr="00D17328">
        <w:rPr>
          <w:rFonts w:ascii="Times New Roman" w:hAnsi="Times New Roman"/>
          <w:lang w:val="es-ES"/>
        </w:rPr>
        <w:t>la</w:t>
      </w:r>
      <w:r w:rsidR="002E0BB4" w:rsidRPr="00D17328">
        <w:rPr>
          <w:rFonts w:ascii="Times New Roman" w:hAnsi="Times New Roman"/>
          <w:lang w:val="es-ES"/>
        </w:rPr>
        <w:t xml:space="preserve"> Entidad</w:t>
      </w:r>
      <w:r w:rsidR="00B64CA4" w:rsidRPr="00D17328">
        <w:rPr>
          <w:rFonts w:ascii="Times New Roman" w:hAnsi="Times New Roman"/>
          <w:lang w:val="es-ES"/>
        </w:rPr>
        <w:t xml:space="preserve"> y con ello mejorar las condiciones </w:t>
      </w:r>
      <w:r w:rsidR="0083776F" w:rsidRPr="00D17328">
        <w:rPr>
          <w:rFonts w:ascii="Times New Roman" w:hAnsi="Times New Roman"/>
          <w:lang w:val="es-ES"/>
        </w:rPr>
        <w:t xml:space="preserve">de vida </w:t>
      </w:r>
      <w:r w:rsidR="00B64CA4" w:rsidRPr="00D17328">
        <w:rPr>
          <w:rFonts w:ascii="Times New Roman" w:hAnsi="Times New Roman"/>
          <w:lang w:val="es-ES"/>
        </w:rPr>
        <w:t>de las familias tlaxcaltecas</w:t>
      </w:r>
      <w:r w:rsidR="0083776F" w:rsidRPr="00D17328">
        <w:rPr>
          <w:rFonts w:ascii="Times New Roman" w:hAnsi="Times New Roman"/>
          <w:lang w:val="es-ES"/>
        </w:rPr>
        <w:t>.</w:t>
      </w:r>
    </w:p>
    <w:p w14:paraId="2D0B9E2A" w14:textId="77777777" w:rsidR="00A05923" w:rsidRPr="00D17328" w:rsidRDefault="00A05923" w:rsidP="005F0514">
      <w:pPr>
        <w:pStyle w:val="PRIMERAPLANA"/>
        <w:spacing w:line="360" w:lineRule="auto"/>
        <w:rPr>
          <w:rFonts w:ascii="Times New Roman" w:hAnsi="Times New Roman"/>
          <w:lang w:val="es-ES"/>
        </w:rPr>
      </w:pPr>
    </w:p>
    <w:p w14:paraId="4CBE83FD" w14:textId="6BD7F757" w:rsidR="00515A89" w:rsidRDefault="00515A89" w:rsidP="00515A89">
      <w:pPr>
        <w:pStyle w:val="PRIMERAPLANA"/>
        <w:spacing w:line="360" w:lineRule="auto"/>
        <w:rPr>
          <w:rFonts w:cs="Arial"/>
          <w:sz w:val="24"/>
          <w:szCs w:val="24"/>
          <w:lang w:val="es-ES"/>
        </w:rPr>
      </w:pPr>
      <w:r w:rsidRPr="00D17328">
        <w:rPr>
          <w:rFonts w:ascii="Times New Roman" w:hAnsi="Times New Roman"/>
          <w:lang w:val="es-ES"/>
        </w:rPr>
        <w:t>En el segundo trimestre de 2020, el Indicador Trimestral de la Actividad Económica Estatal (ITAEE), muestra que el Estado de Tlaxcala ha tenido una disminución en su crecimiento respecto del primer trimestre de 2020 y del segundo trimestre de 2019 con una variación del -15.9% y -22.8% respectivamente, destacándose la aportación más negativa en el sector secundario con un -0.30% a tasa anualizada, lo anterior como resultado de las medidas adoptadas por el Gobierno del Estado en consonancia con las impuestas por el Gobierno Federal, relativas a la contención de la epidemia por COVID-19, destacándose el cierre parcial o total de establecimientos comerciales y de las industrias de transformación</w:t>
      </w:r>
      <w:r w:rsidR="0090196F" w:rsidRPr="00D17328">
        <w:rPr>
          <w:rFonts w:ascii="Times New Roman" w:hAnsi="Times New Roman"/>
          <w:lang w:val="es-ES"/>
        </w:rPr>
        <w:t>.</w:t>
      </w:r>
      <w:r>
        <w:rPr>
          <w:rFonts w:cs="Arial"/>
          <w:sz w:val="24"/>
          <w:szCs w:val="24"/>
          <w:lang w:val="es-ES"/>
        </w:rPr>
        <w:t xml:space="preserve"> </w:t>
      </w:r>
    </w:p>
    <w:p w14:paraId="43DA4F49" w14:textId="77777777" w:rsidR="00515A89" w:rsidRDefault="00515A89" w:rsidP="00515A89">
      <w:pPr>
        <w:pStyle w:val="PRIMERAPLANA"/>
        <w:spacing w:line="360" w:lineRule="auto"/>
        <w:rPr>
          <w:rFonts w:cs="Arial"/>
          <w:sz w:val="24"/>
          <w:szCs w:val="24"/>
          <w:lang w:val="es-ES"/>
        </w:rPr>
      </w:pPr>
    </w:p>
    <w:p w14:paraId="29207D36" w14:textId="77777777" w:rsidR="00515A89" w:rsidRDefault="00515A89" w:rsidP="00515A89">
      <w:pPr>
        <w:pStyle w:val="PRIMERAPLANA"/>
        <w:spacing w:line="360" w:lineRule="auto"/>
        <w:jc w:val="center"/>
        <w:rPr>
          <w:rFonts w:cs="Arial"/>
          <w:sz w:val="24"/>
          <w:szCs w:val="24"/>
          <w:lang w:val="es-ES"/>
        </w:rPr>
      </w:pPr>
      <w:r>
        <w:rPr>
          <w:noProof/>
          <w:lang w:val="es-MX" w:eastAsia="es-MX"/>
        </w:rPr>
        <w:lastRenderedPageBreak/>
        <mc:AlternateContent>
          <mc:Choice Requires="wps">
            <w:drawing>
              <wp:anchor distT="0" distB="0" distL="114300" distR="114300" simplePos="0" relativeHeight="251677696" behindDoc="0" locked="0" layoutInCell="1" allowOverlap="1" wp14:anchorId="21FAEDFE" wp14:editId="4B0F9EC4">
                <wp:simplePos x="0" y="0"/>
                <wp:positionH relativeFrom="leftMargin">
                  <wp:posOffset>2539365</wp:posOffset>
                </wp:positionH>
                <wp:positionV relativeFrom="paragraph">
                  <wp:posOffset>5177155</wp:posOffset>
                </wp:positionV>
                <wp:extent cx="189865" cy="45720"/>
                <wp:effectExtent l="19050" t="38100" r="57785" b="49530"/>
                <wp:wrapNone/>
                <wp:docPr id="2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5B09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199.95pt;margin-top:407.65pt;width:14.95pt;height:3.6pt;flip:y;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" adj="15918" fillcolor="red" strokecolor="red" strokeweight="3pt">
                <v:shadow on="t" color="#823b0b" opacity=".5" offset="1pt"/>
                <w10:wrap anchorx="margin"/>
              </v:shape>
            </w:pict>
          </mc:Fallback>
        </mc:AlternateContent>
      </w:r>
      <w:r>
        <w:rPr>
          <w:noProof/>
          <w:lang w:val="es-MX" w:eastAsia="es-MX"/>
        </w:rPr>
        <w:drawing>
          <wp:inline distT="0" distB="0" distL="0" distR="0" wp14:anchorId="4C3B0D5D" wp14:editId="107C85ED">
            <wp:extent cx="4054961" cy="6127668"/>
            <wp:effectExtent l="0" t="0" r="3175"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79" t="20381" r="36477" b="7230"/>
                    <a:stretch/>
                  </pic:blipFill>
                  <pic:spPr bwMode="auto">
                    <a:xfrm>
                      <a:off x="0" y="0"/>
                      <a:ext cx="4108201" cy="6208122"/>
                    </a:xfrm>
                    <a:prstGeom prst="rect">
                      <a:avLst/>
                    </a:prstGeom>
                    <a:ln>
                      <a:noFill/>
                    </a:ln>
                    <a:extLst>
                      <a:ext uri="{53640926-AAD7-44D8-BBD7-CCE9431645EC}">
                        <a14:shadowObscured xmlns:a14="http://schemas.microsoft.com/office/drawing/2010/main"/>
                      </a:ext>
                    </a:extLst>
                  </pic:spPr>
                </pic:pic>
              </a:graphicData>
            </a:graphic>
          </wp:inline>
        </w:drawing>
      </w:r>
    </w:p>
    <w:p w14:paraId="5E70445A" w14:textId="77777777" w:rsidR="00515A89" w:rsidRDefault="00515A89" w:rsidP="00515A89">
      <w:pPr>
        <w:pStyle w:val="PRIMERAPLANA"/>
        <w:spacing w:line="360" w:lineRule="auto"/>
        <w:jc w:val="center"/>
        <w:rPr>
          <w:rFonts w:cs="Arial"/>
          <w:sz w:val="24"/>
          <w:szCs w:val="24"/>
          <w:lang w:val="es-ES"/>
        </w:rPr>
      </w:pPr>
      <w:r>
        <w:rPr>
          <w:noProof/>
          <w:lang w:val="es-MX" w:eastAsia="es-MX"/>
        </w:rPr>
        <w:lastRenderedPageBreak/>
        <mc:AlternateContent>
          <mc:Choice Requires="wps">
            <w:drawing>
              <wp:anchor distT="0" distB="0" distL="114300" distR="114300" simplePos="0" relativeHeight="251676672" behindDoc="0" locked="0" layoutInCell="1" allowOverlap="1" wp14:anchorId="142A801C" wp14:editId="3D816FB0">
                <wp:simplePos x="0" y="0"/>
                <wp:positionH relativeFrom="margin">
                  <wp:posOffset>631124</wp:posOffset>
                </wp:positionH>
                <wp:positionV relativeFrom="paragraph">
                  <wp:posOffset>2543885</wp:posOffset>
                </wp:positionV>
                <wp:extent cx="147995" cy="52855"/>
                <wp:effectExtent l="19050" t="38100" r="61595" b="61595"/>
                <wp:wrapNone/>
                <wp:docPr id="2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FC78AB7" id="AutoShape 86" o:spid="_x0000_s1026" type="#_x0000_t13" style="position:absolute;margin-left:49.7pt;margin-top:200.3pt;width:11.65pt;height: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exa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vMBI&#10;kR56dL3zOoZG5XkgaDCuAr9H82BDic7ca/rTIaVvO6Jafm2tHjpOGKSVBf/krwvBcHAVbYdPmgE8&#10;AfjI1aGxfQAEFtAhtuTp1BJ+8IjCz2x5sVpBZ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" adj="13172" fillcolor="red" strokecolor="red" strokeweight="3pt">
                <v:shadow on="t" color="#823b0b" opacity=".5" offset="1pt"/>
                <w10:wrap anchorx="margin"/>
              </v:shape>
            </w:pict>
          </mc:Fallback>
        </mc:AlternateContent>
      </w:r>
      <w:r>
        <w:rPr>
          <w:noProof/>
          <w:lang w:val="es-MX" w:eastAsia="es-MX"/>
        </w:rPr>
        <mc:AlternateContent>
          <mc:Choice Requires="wps">
            <w:drawing>
              <wp:anchor distT="0" distB="0" distL="114300" distR="114300" simplePos="0" relativeHeight="251678720" behindDoc="0" locked="0" layoutInCell="1" allowOverlap="1" wp14:anchorId="29A691A6" wp14:editId="762E578E">
                <wp:simplePos x="0" y="0"/>
                <wp:positionH relativeFrom="margin">
                  <wp:posOffset>3201035</wp:posOffset>
                </wp:positionH>
                <wp:positionV relativeFrom="paragraph">
                  <wp:posOffset>5674505</wp:posOffset>
                </wp:positionV>
                <wp:extent cx="147995" cy="52855"/>
                <wp:effectExtent l="19050" t="38100" r="61595" b="61595"/>
                <wp:wrapNone/>
                <wp:docPr id="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95" cy="5285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8E29E75" id="AutoShape 86" o:spid="_x0000_s1026" type="#_x0000_t13" style="position:absolute;margin-left:252.05pt;margin-top:446.8pt;width:11.65pt;height:4.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" adj="13172" fillcolor="red" strokecolor="red" strokeweight="3pt">
                <v:shadow on="t" color="#823b0b" opacity=".5" offset="1pt"/>
                <w10:wrap anchorx="margin"/>
              </v:shape>
            </w:pict>
          </mc:Fallback>
        </mc:AlternateContent>
      </w:r>
      <w:r>
        <w:rPr>
          <w:noProof/>
          <w:lang w:val="es-MX" w:eastAsia="es-MX"/>
        </w:rPr>
        <w:drawing>
          <wp:inline distT="0" distB="0" distL="0" distR="0" wp14:anchorId="6AE1E303" wp14:editId="76CED0D0">
            <wp:extent cx="5054578" cy="722028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80" t="23031" r="31671" b="10095"/>
                    <a:stretch/>
                  </pic:blipFill>
                  <pic:spPr bwMode="auto">
                    <a:xfrm>
                      <a:off x="0" y="0"/>
                      <a:ext cx="5118098" cy="7311022"/>
                    </a:xfrm>
                    <a:prstGeom prst="rect">
                      <a:avLst/>
                    </a:prstGeom>
                    <a:ln>
                      <a:noFill/>
                    </a:ln>
                    <a:extLst>
                      <a:ext uri="{53640926-AAD7-44D8-BBD7-CCE9431645EC}">
                        <a14:shadowObscured xmlns:a14="http://schemas.microsoft.com/office/drawing/2010/main"/>
                      </a:ext>
                    </a:extLst>
                  </pic:spPr>
                </pic:pic>
              </a:graphicData>
            </a:graphic>
          </wp:inline>
        </w:drawing>
      </w:r>
    </w:p>
    <w:p w14:paraId="13FB1254" w14:textId="77777777" w:rsidR="00515A89" w:rsidRDefault="00515A89" w:rsidP="00515A89">
      <w:pPr>
        <w:pStyle w:val="PRIMERAPLANA"/>
        <w:spacing w:line="360" w:lineRule="auto"/>
        <w:rPr>
          <w:rFonts w:cs="Arial"/>
          <w:sz w:val="24"/>
          <w:szCs w:val="24"/>
          <w:lang w:val="es-ES"/>
        </w:rPr>
      </w:pPr>
    </w:p>
    <w:p w14:paraId="09B9BBF3" w14:textId="2A6B187F" w:rsidR="007321DA" w:rsidRPr="00D17328" w:rsidRDefault="00A42DE9" w:rsidP="00921F6C">
      <w:pPr>
        <w:spacing w:line="360" w:lineRule="auto"/>
        <w:jc w:val="both"/>
        <w:rPr>
          <w:sz w:val="20"/>
          <w:szCs w:val="20"/>
        </w:rPr>
      </w:pPr>
      <w:r w:rsidRPr="00D17328">
        <w:rPr>
          <w:sz w:val="20"/>
          <w:szCs w:val="20"/>
        </w:rPr>
        <w:lastRenderedPageBreak/>
        <w:t>E</w:t>
      </w:r>
      <w:r w:rsidR="007321DA" w:rsidRPr="00D17328">
        <w:rPr>
          <w:sz w:val="20"/>
          <w:szCs w:val="20"/>
        </w:rPr>
        <w:t xml:space="preserve">l Gobierno del Estado considera prioritaria la atención </w:t>
      </w:r>
      <w:r w:rsidR="00647849" w:rsidRPr="00D17328">
        <w:rPr>
          <w:sz w:val="20"/>
          <w:szCs w:val="20"/>
        </w:rPr>
        <w:t>de</w:t>
      </w:r>
      <w:r w:rsidR="007321DA" w:rsidRPr="00D17328">
        <w:rPr>
          <w:sz w:val="20"/>
          <w:szCs w:val="20"/>
        </w:rPr>
        <w:t xml:space="preserve"> </w:t>
      </w:r>
      <w:r w:rsidR="004A3B16" w:rsidRPr="00D17328">
        <w:rPr>
          <w:sz w:val="20"/>
          <w:szCs w:val="20"/>
        </w:rPr>
        <w:t>los derechos de las niñas, niño</w:t>
      </w:r>
      <w:r w:rsidR="007321DA" w:rsidRPr="00D17328">
        <w:rPr>
          <w:sz w:val="20"/>
          <w:szCs w:val="20"/>
        </w:rPr>
        <w:t>s y adolescentes, previniendo la acumulación de rezagos y la desigualdad</w:t>
      </w:r>
      <w:r w:rsidR="007C60DB" w:rsidRPr="00D17328">
        <w:rPr>
          <w:sz w:val="20"/>
          <w:szCs w:val="20"/>
        </w:rPr>
        <w:t>,</w:t>
      </w:r>
      <w:r w:rsidR="007321DA" w:rsidRPr="00D17328">
        <w:rPr>
          <w:sz w:val="20"/>
          <w:szCs w:val="20"/>
        </w:rPr>
        <w:t xml:space="preserve"> amp</w:t>
      </w:r>
      <w:r w:rsidR="004A3B16" w:rsidRPr="00D17328">
        <w:rPr>
          <w:sz w:val="20"/>
          <w:szCs w:val="20"/>
        </w:rPr>
        <w:t>liando la atención dirigida a las niñas y niño</w:t>
      </w:r>
      <w:r w:rsidR="007321DA" w:rsidRPr="00D17328">
        <w:rPr>
          <w:sz w:val="20"/>
          <w:szCs w:val="20"/>
        </w:rPr>
        <w:t>s de 0 a 5 años y adolescentes hasta los 18 años</w:t>
      </w:r>
      <w:r w:rsidRPr="00D17328">
        <w:rPr>
          <w:sz w:val="20"/>
          <w:szCs w:val="20"/>
        </w:rPr>
        <w:t>, a través de un</w:t>
      </w:r>
      <w:r w:rsidR="00587997" w:rsidRPr="00D17328">
        <w:rPr>
          <w:sz w:val="20"/>
          <w:szCs w:val="20"/>
        </w:rPr>
        <w:t>a es</w:t>
      </w:r>
      <w:r w:rsidR="00F54489" w:rsidRPr="00D17328">
        <w:rPr>
          <w:sz w:val="20"/>
          <w:szCs w:val="20"/>
        </w:rPr>
        <w:t>trategia de inclusión social, incorporando propuestas y estrategias de desarrollo con perspectiva de género.</w:t>
      </w:r>
    </w:p>
    <w:p w14:paraId="356C1A17" w14:textId="77777777" w:rsidR="007321DA" w:rsidRPr="00D17328" w:rsidRDefault="007321DA" w:rsidP="00CC771B">
      <w:pPr>
        <w:spacing w:line="360" w:lineRule="auto"/>
        <w:jc w:val="both"/>
        <w:rPr>
          <w:sz w:val="20"/>
          <w:szCs w:val="20"/>
        </w:rPr>
      </w:pPr>
    </w:p>
    <w:p w14:paraId="056B7F09" w14:textId="77777777" w:rsidR="00515A89" w:rsidRPr="00D17328" w:rsidRDefault="00515A89" w:rsidP="00515A89">
      <w:pPr>
        <w:spacing w:line="360" w:lineRule="auto"/>
        <w:jc w:val="both"/>
        <w:rPr>
          <w:sz w:val="20"/>
          <w:szCs w:val="20"/>
        </w:rPr>
      </w:pPr>
      <w:r w:rsidRPr="00D17328">
        <w:rPr>
          <w:sz w:val="20"/>
          <w:szCs w:val="20"/>
        </w:rPr>
        <w:t>Al mes de octubre de 2020 la tasa de ocupación reflejó una participación del 1.1% al total nacional, presentando una disminución de 2,466, puestos de trabajo permanentes respecto a diciembre de 2019. Al mes de septiembre de 2020, se tienen registrados 99,807 trabajadores asegurados en el IMSS, tal y como se muestra en los cuadros siguientes:</w:t>
      </w:r>
    </w:p>
    <w:p w14:paraId="07F53AFD" w14:textId="77777777" w:rsidR="00515A89" w:rsidRDefault="00515A89" w:rsidP="00515A89">
      <w:pPr>
        <w:spacing w:line="360" w:lineRule="auto"/>
        <w:jc w:val="both"/>
        <w:rPr>
          <w:rFonts w:ascii="Arial" w:hAnsi="Arial" w:cs="Arial"/>
        </w:rPr>
      </w:pPr>
    </w:p>
    <w:p w14:paraId="65E4B0A8" w14:textId="77777777" w:rsidR="00515A89" w:rsidRDefault="00515A89" w:rsidP="00515A89">
      <w:pPr>
        <w:spacing w:line="360" w:lineRule="auto"/>
        <w:jc w:val="both"/>
        <w:rPr>
          <w:rFonts w:ascii="Arial" w:hAnsi="Arial" w:cs="Arial"/>
        </w:rPr>
      </w:pPr>
      <w:r>
        <w:rPr>
          <w:noProof/>
          <w:lang w:val="es-MX" w:eastAsia="es-MX"/>
        </w:rPr>
        <w:drawing>
          <wp:inline distT="0" distB="0" distL="0" distR="0" wp14:anchorId="142C6CB8" wp14:editId="07539B33">
            <wp:extent cx="5363470" cy="3167481"/>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37" t="17467" r="15710" b="15365"/>
                    <a:stretch/>
                  </pic:blipFill>
                  <pic:spPr bwMode="auto">
                    <a:xfrm>
                      <a:off x="0" y="0"/>
                      <a:ext cx="5412584" cy="3196486"/>
                    </a:xfrm>
                    <a:prstGeom prst="rect">
                      <a:avLst/>
                    </a:prstGeom>
                    <a:ln>
                      <a:noFill/>
                    </a:ln>
                    <a:extLst>
                      <a:ext uri="{53640926-AAD7-44D8-BBD7-CCE9431645EC}">
                        <a14:shadowObscured xmlns:a14="http://schemas.microsoft.com/office/drawing/2010/main"/>
                      </a:ext>
                    </a:extLst>
                  </pic:spPr>
                </pic:pic>
              </a:graphicData>
            </a:graphic>
          </wp:inline>
        </w:drawing>
      </w:r>
    </w:p>
    <w:p w14:paraId="115A1871" w14:textId="77777777" w:rsidR="00515A89" w:rsidRDefault="00515A89" w:rsidP="00515A89">
      <w:pPr>
        <w:spacing w:line="360" w:lineRule="auto"/>
        <w:jc w:val="both"/>
        <w:rPr>
          <w:rFonts w:ascii="Arial" w:hAnsi="Arial" w:cs="Arial"/>
        </w:rPr>
      </w:pPr>
    </w:p>
    <w:p w14:paraId="486860BF" w14:textId="77777777" w:rsidR="00515A89" w:rsidRDefault="00515A89" w:rsidP="00515A89">
      <w:pPr>
        <w:spacing w:line="360" w:lineRule="auto"/>
        <w:jc w:val="both"/>
        <w:rPr>
          <w:rFonts w:ascii="Arial" w:hAnsi="Arial" w:cs="Arial"/>
        </w:rPr>
      </w:pPr>
    </w:p>
    <w:p w14:paraId="675453FB" w14:textId="77777777" w:rsidR="00515A89" w:rsidRDefault="00515A89" w:rsidP="00515A89">
      <w:pPr>
        <w:spacing w:line="360" w:lineRule="auto"/>
        <w:jc w:val="both"/>
        <w:rPr>
          <w:rFonts w:ascii="Arial" w:hAnsi="Arial" w:cs="Arial"/>
        </w:rPr>
      </w:pPr>
      <w:r>
        <w:rPr>
          <w:noProof/>
          <w:lang w:val="es-MX" w:eastAsia="es-MX"/>
        </w:rPr>
        <w:lastRenderedPageBreak/>
        <w:drawing>
          <wp:inline distT="0" distB="0" distL="0" distR="0" wp14:anchorId="2D75AA87" wp14:editId="161BBCF6">
            <wp:extent cx="5280358"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97" t="22925" r="15566" b="10723"/>
                    <a:stretch/>
                  </pic:blipFill>
                  <pic:spPr bwMode="auto">
                    <a:xfrm>
                      <a:off x="0" y="0"/>
                      <a:ext cx="5312841" cy="2760075"/>
                    </a:xfrm>
                    <a:prstGeom prst="rect">
                      <a:avLst/>
                    </a:prstGeom>
                    <a:ln>
                      <a:noFill/>
                    </a:ln>
                    <a:extLst>
                      <a:ext uri="{53640926-AAD7-44D8-BBD7-CCE9431645EC}">
                        <a14:shadowObscured xmlns:a14="http://schemas.microsoft.com/office/drawing/2010/main"/>
                      </a:ext>
                    </a:extLst>
                  </pic:spPr>
                </pic:pic>
              </a:graphicData>
            </a:graphic>
          </wp:inline>
        </w:drawing>
      </w:r>
    </w:p>
    <w:p w14:paraId="314AA2A4" w14:textId="77777777" w:rsidR="00C50BE2" w:rsidRDefault="00C50BE2" w:rsidP="00515A89">
      <w:pPr>
        <w:spacing w:line="360" w:lineRule="auto"/>
        <w:jc w:val="both"/>
        <w:rPr>
          <w:sz w:val="20"/>
          <w:szCs w:val="20"/>
        </w:rPr>
      </w:pPr>
    </w:p>
    <w:p w14:paraId="49F37911" w14:textId="0BA4631F" w:rsidR="00515A89" w:rsidRDefault="00515A89" w:rsidP="00515A89">
      <w:pPr>
        <w:spacing w:line="360" w:lineRule="auto"/>
        <w:jc w:val="both"/>
        <w:rPr>
          <w:sz w:val="20"/>
          <w:szCs w:val="20"/>
        </w:rPr>
      </w:pPr>
      <w:r w:rsidRPr="00D17328">
        <w:rPr>
          <w:sz w:val="20"/>
          <w:szCs w:val="20"/>
        </w:rPr>
        <w:t>De acuerdo al Directorio Estadístico Nacional de Unidades Económicas, Tlaxcala cuenta con 81,304 Unidades Económicas, en los rubros siguientes:</w:t>
      </w:r>
    </w:p>
    <w:p w14:paraId="174E3477" w14:textId="77777777" w:rsidR="00C50BE2" w:rsidRDefault="00C50BE2" w:rsidP="00515A89">
      <w:pPr>
        <w:spacing w:line="360" w:lineRule="auto"/>
        <w:jc w:val="both"/>
        <w:rPr>
          <w:rFonts w:ascii="Arial" w:hAnsi="Arial" w:cs="Arial"/>
        </w:rPr>
      </w:pPr>
    </w:p>
    <w:p w14:paraId="1C785B8B" w14:textId="77777777" w:rsidR="00515A89" w:rsidRDefault="00515A89" w:rsidP="00515A89">
      <w:pPr>
        <w:spacing w:line="360" w:lineRule="auto"/>
        <w:jc w:val="center"/>
        <w:rPr>
          <w:rFonts w:ascii="Arial" w:hAnsi="Arial" w:cs="Arial"/>
          <w:b/>
          <w:sz w:val="12"/>
        </w:rPr>
      </w:pPr>
      <w:r w:rsidRPr="00A6403A">
        <w:rPr>
          <w:noProof/>
          <w:lang w:val="es-MX" w:eastAsia="es-MX"/>
        </w:rPr>
        <w:drawing>
          <wp:inline distT="0" distB="0" distL="0" distR="0" wp14:anchorId="412CDA85" wp14:editId="55893433">
            <wp:extent cx="2933214" cy="3343275"/>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053" cy="3386404"/>
                    </a:xfrm>
                    <a:prstGeom prst="rect">
                      <a:avLst/>
                    </a:prstGeom>
                    <a:noFill/>
                    <a:ln>
                      <a:noFill/>
                    </a:ln>
                  </pic:spPr>
                </pic:pic>
              </a:graphicData>
            </a:graphic>
          </wp:inline>
        </w:drawing>
      </w:r>
    </w:p>
    <w:p w14:paraId="505C9938" w14:textId="77777777" w:rsidR="00515A89" w:rsidRPr="00D17328" w:rsidRDefault="00515A89" w:rsidP="00515A89">
      <w:pPr>
        <w:spacing w:line="360" w:lineRule="auto"/>
        <w:ind w:left="1701"/>
        <w:rPr>
          <w:sz w:val="12"/>
        </w:rPr>
      </w:pPr>
      <w:r w:rsidRPr="00D17328">
        <w:rPr>
          <w:b/>
          <w:sz w:val="12"/>
        </w:rPr>
        <w:t>FUENTE:</w:t>
      </w:r>
      <w:r w:rsidRPr="00D17328">
        <w:rPr>
          <w:sz w:val="12"/>
        </w:rPr>
        <w:t xml:space="preserve"> INEGI. DENUE. Septiembre 2020.</w:t>
      </w:r>
    </w:p>
    <w:p w14:paraId="0B6EDC41" w14:textId="77777777" w:rsidR="00515A89" w:rsidRPr="00D17328" w:rsidRDefault="00515A89" w:rsidP="00515A89">
      <w:pPr>
        <w:spacing w:line="360" w:lineRule="auto"/>
        <w:jc w:val="both"/>
        <w:rPr>
          <w:sz w:val="20"/>
          <w:szCs w:val="20"/>
        </w:rPr>
      </w:pPr>
      <w:r w:rsidRPr="00D17328">
        <w:rPr>
          <w:sz w:val="20"/>
          <w:szCs w:val="20"/>
        </w:rPr>
        <w:lastRenderedPageBreak/>
        <w:t>Lo anterior, representa el 1.5% del total nacional. Al primer trimestre de 2020 la Población Económicamente Activa (PEA) ascendió a 618,948 personas, representando el 61.5% de la población en edad de trabajar. Del total de la PEA, el 96% está ocupada y el 4% se encuentra desocupada.</w:t>
      </w:r>
    </w:p>
    <w:p w14:paraId="37045419" w14:textId="77777777" w:rsidR="00515A89" w:rsidRDefault="00515A89" w:rsidP="00515A89">
      <w:pPr>
        <w:spacing w:line="360" w:lineRule="auto"/>
        <w:jc w:val="both"/>
        <w:rPr>
          <w:rFonts w:ascii="Arial" w:hAnsi="Arial" w:cs="Arial"/>
        </w:rPr>
      </w:pPr>
    </w:p>
    <w:p w14:paraId="3C1B1C8C" w14:textId="77777777" w:rsidR="00515A89" w:rsidRDefault="00515A89" w:rsidP="00515A89">
      <w:pPr>
        <w:spacing w:line="360" w:lineRule="auto"/>
        <w:jc w:val="both"/>
        <w:rPr>
          <w:rFonts w:ascii="Arial" w:hAnsi="Arial" w:cs="Arial"/>
        </w:rPr>
      </w:pPr>
      <w:r>
        <w:rPr>
          <w:noProof/>
          <w:lang w:val="es-MX" w:eastAsia="es-MX"/>
        </w:rPr>
        <w:drawing>
          <wp:inline distT="0" distB="0" distL="0" distR="0" wp14:anchorId="43BA97DB" wp14:editId="686095AE">
            <wp:extent cx="5498465" cy="3937845"/>
            <wp:effectExtent l="0" t="0" r="6985" b="571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596" t="22559" r="23685" b="6494"/>
                    <a:stretch/>
                  </pic:blipFill>
                  <pic:spPr bwMode="auto">
                    <a:xfrm>
                      <a:off x="0" y="0"/>
                      <a:ext cx="5519834" cy="3953149"/>
                    </a:xfrm>
                    <a:prstGeom prst="rect">
                      <a:avLst/>
                    </a:prstGeom>
                    <a:ln>
                      <a:noFill/>
                    </a:ln>
                    <a:extLst>
                      <a:ext uri="{53640926-AAD7-44D8-BBD7-CCE9431645EC}">
                        <a14:shadowObscured xmlns:a14="http://schemas.microsoft.com/office/drawing/2010/main"/>
                      </a:ext>
                    </a:extLst>
                  </pic:spPr>
                </pic:pic>
              </a:graphicData>
            </a:graphic>
          </wp:inline>
        </w:drawing>
      </w:r>
    </w:p>
    <w:p w14:paraId="7722FC0D" w14:textId="77777777" w:rsidR="00515A89" w:rsidRDefault="00515A89" w:rsidP="00515A89">
      <w:pPr>
        <w:spacing w:line="360" w:lineRule="auto"/>
        <w:jc w:val="both"/>
        <w:rPr>
          <w:rFonts w:ascii="Arial" w:hAnsi="Arial" w:cs="Arial"/>
        </w:rPr>
      </w:pPr>
    </w:p>
    <w:p w14:paraId="633499D1" w14:textId="4E8A39D4" w:rsidR="009C1149" w:rsidRPr="00D17328" w:rsidRDefault="00780FD3" w:rsidP="00CC771B">
      <w:pPr>
        <w:spacing w:line="360" w:lineRule="auto"/>
        <w:jc w:val="both"/>
        <w:rPr>
          <w:sz w:val="20"/>
          <w:szCs w:val="20"/>
        </w:rPr>
      </w:pPr>
      <w:r w:rsidRPr="00D17328">
        <w:rPr>
          <w:sz w:val="20"/>
          <w:szCs w:val="20"/>
        </w:rPr>
        <w:t>Con plena conciencia de la participación y neces</w:t>
      </w:r>
      <w:r w:rsidR="0081595A" w:rsidRPr="00D17328">
        <w:rPr>
          <w:sz w:val="20"/>
          <w:szCs w:val="20"/>
        </w:rPr>
        <w:t>idad de integración de nuestro E</w:t>
      </w:r>
      <w:r w:rsidRPr="00D17328">
        <w:rPr>
          <w:sz w:val="20"/>
          <w:szCs w:val="20"/>
        </w:rPr>
        <w:t>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w:t>
      </w:r>
      <w:r w:rsidR="008A4586" w:rsidRPr="00D17328">
        <w:rPr>
          <w:sz w:val="20"/>
          <w:szCs w:val="20"/>
        </w:rPr>
        <w:t>emos buscado insertar los productos tlaxcal</w:t>
      </w:r>
      <w:r w:rsidRPr="00D17328">
        <w:rPr>
          <w:sz w:val="20"/>
          <w:szCs w:val="20"/>
        </w:rPr>
        <w:t>tecas en los mercados nacional e internacional</w:t>
      </w:r>
      <w:r w:rsidR="008A4586" w:rsidRPr="00D17328">
        <w:rPr>
          <w:sz w:val="20"/>
          <w:szCs w:val="20"/>
        </w:rPr>
        <w:t xml:space="preserve">, dado que en el marco de una economía globalizada </w:t>
      </w:r>
      <w:r w:rsidR="0067663D" w:rsidRPr="00D17328">
        <w:rPr>
          <w:sz w:val="20"/>
          <w:szCs w:val="20"/>
        </w:rPr>
        <w:t xml:space="preserve">se </w:t>
      </w:r>
      <w:r w:rsidR="008A4586" w:rsidRPr="00D17328">
        <w:rPr>
          <w:sz w:val="20"/>
          <w:szCs w:val="20"/>
        </w:rPr>
        <w:t>presenta</w:t>
      </w:r>
      <w:r w:rsidR="0067663D" w:rsidRPr="00D17328">
        <w:rPr>
          <w:sz w:val="20"/>
          <w:szCs w:val="20"/>
        </w:rPr>
        <w:t>n</w:t>
      </w:r>
      <w:r w:rsidR="008A4586" w:rsidRPr="00D17328">
        <w:rPr>
          <w:sz w:val="20"/>
          <w:szCs w:val="20"/>
        </w:rPr>
        <w:t xml:space="preserve"> mayores complejidades, por lo que es indispensable identificar las oportunidades y aprovech</w:t>
      </w:r>
      <w:r w:rsidR="009C1149" w:rsidRPr="00D17328">
        <w:rPr>
          <w:sz w:val="20"/>
          <w:szCs w:val="20"/>
        </w:rPr>
        <w:t>arlas con eficacia.</w:t>
      </w:r>
    </w:p>
    <w:p w14:paraId="73FDD85D" w14:textId="77777777" w:rsidR="00E4277F" w:rsidRPr="00D17328" w:rsidRDefault="00E4277F" w:rsidP="00CC771B">
      <w:pPr>
        <w:spacing w:line="360" w:lineRule="auto"/>
        <w:jc w:val="both"/>
        <w:rPr>
          <w:sz w:val="20"/>
          <w:szCs w:val="20"/>
        </w:rPr>
      </w:pPr>
    </w:p>
    <w:p w14:paraId="6C626823" w14:textId="2AAE31BE" w:rsidR="0012754E" w:rsidRPr="00D17328" w:rsidRDefault="00735D45" w:rsidP="00CC771B">
      <w:pPr>
        <w:spacing w:line="360" w:lineRule="auto"/>
        <w:jc w:val="both"/>
        <w:rPr>
          <w:sz w:val="20"/>
          <w:szCs w:val="20"/>
        </w:rPr>
      </w:pPr>
      <w:r w:rsidRPr="00D17328">
        <w:rPr>
          <w:sz w:val="20"/>
          <w:szCs w:val="20"/>
        </w:rPr>
        <w:lastRenderedPageBreak/>
        <w:t xml:space="preserve">Al </w:t>
      </w:r>
      <w:r w:rsidR="00D140F6" w:rsidRPr="00D17328">
        <w:rPr>
          <w:sz w:val="20"/>
          <w:szCs w:val="20"/>
        </w:rPr>
        <w:t>segundo</w:t>
      </w:r>
      <w:r w:rsidRPr="00D17328">
        <w:rPr>
          <w:sz w:val="20"/>
          <w:szCs w:val="20"/>
        </w:rPr>
        <w:t xml:space="preserve"> trimestre de 20</w:t>
      </w:r>
      <w:r w:rsidR="00D140F6" w:rsidRPr="00D17328">
        <w:rPr>
          <w:sz w:val="20"/>
          <w:szCs w:val="20"/>
        </w:rPr>
        <w:t>20</w:t>
      </w:r>
      <w:r w:rsidR="0081595A" w:rsidRPr="00D17328">
        <w:rPr>
          <w:sz w:val="20"/>
          <w:szCs w:val="20"/>
        </w:rPr>
        <w:t>, la I</w:t>
      </w:r>
      <w:r w:rsidRPr="00D17328">
        <w:rPr>
          <w:sz w:val="20"/>
          <w:szCs w:val="20"/>
        </w:rPr>
        <w:t xml:space="preserve">nversión </w:t>
      </w:r>
      <w:r w:rsidR="0081595A" w:rsidRPr="00D17328">
        <w:rPr>
          <w:sz w:val="20"/>
          <w:szCs w:val="20"/>
        </w:rPr>
        <w:t>Extranjera Directa A</w:t>
      </w:r>
      <w:r w:rsidR="00E52073" w:rsidRPr="00D17328">
        <w:rPr>
          <w:sz w:val="20"/>
          <w:szCs w:val="20"/>
        </w:rPr>
        <w:t xml:space="preserve">cumulada </w:t>
      </w:r>
      <w:r w:rsidR="00776A4B" w:rsidRPr="00D17328">
        <w:rPr>
          <w:sz w:val="20"/>
          <w:szCs w:val="20"/>
        </w:rPr>
        <w:t xml:space="preserve">del año </w:t>
      </w:r>
      <w:r w:rsidR="00EB700F" w:rsidRPr="00D17328">
        <w:rPr>
          <w:sz w:val="20"/>
          <w:szCs w:val="20"/>
        </w:rPr>
        <w:t>2011</w:t>
      </w:r>
      <w:r w:rsidR="00776A4B" w:rsidRPr="00D17328">
        <w:rPr>
          <w:sz w:val="20"/>
          <w:szCs w:val="20"/>
        </w:rPr>
        <w:t xml:space="preserve"> </w:t>
      </w:r>
      <w:r w:rsidR="00E52073" w:rsidRPr="00D17328">
        <w:rPr>
          <w:sz w:val="20"/>
          <w:szCs w:val="20"/>
        </w:rPr>
        <w:t xml:space="preserve">al mes de </w:t>
      </w:r>
      <w:r w:rsidR="00D140F6" w:rsidRPr="00D17328">
        <w:rPr>
          <w:sz w:val="20"/>
          <w:szCs w:val="20"/>
        </w:rPr>
        <w:t>juni</w:t>
      </w:r>
      <w:r w:rsidR="00E37C7E" w:rsidRPr="00D17328">
        <w:rPr>
          <w:sz w:val="20"/>
          <w:szCs w:val="20"/>
        </w:rPr>
        <w:t>o</w:t>
      </w:r>
      <w:r w:rsidR="00E52073" w:rsidRPr="00D17328">
        <w:rPr>
          <w:sz w:val="20"/>
          <w:szCs w:val="20"/>
        </w:rPr>
        <w:t xml:space="preserve"> </w:t>
      </w:r>
      <w:r w:rsidR="00776A4B" w:rsidRPr="00D17328">
        <w:rPr>
          <w:sz w:val="20"/>
          <w:szCs w:val="20"/>
        </w:rPr>
        <w:t>de 20</w:t>
      </w:r>
      <w:r w:rsidR="00D140F6" w:rsidRPr="00D17328">
        <w:rPr>
          <w:sz w:val="20"/>
          <w:szCs w:val="20"/>
        </w:rPr>
        <w:t>20</w:t>
      </w:r>
      <w:r w:rsidR="00776A4B" w:rsidRPr="00D17328">
        <w:rPr>
          <w:sz w:val="20"/>
          <w:szCs w:val="20"/>
        </w:rPr>
        <w:t xml:space="preserve"> </w:t>
      </w:r>
      <w:r w:rsidRPr="00D17328">
        <w:rPr>
          <w:sz w:val="20"/>
          <w:szCs w:val="20"/>
        </w:rPr>
        <w:t>en</w:t>
      </w:r>
      <w:r w:rsidR="00E52073" w:rsidRPr="00D17328">
        <w:rPr>
          <w:sz w:val="20"/>
          <w:szCs w:val="20"/>
        </w:rPr>
        <w:t xml:space="preserve"> el Estado de </w:t>
      </w:r>
      <w:r w:rsidRPr="00D17328">
        <w:rPr>
          <w:sz w:val="20"/>
          <w:szCs w:val="20"/>
        </w:rPr>
        <w:t xml:space="preserve">Tlaxcala fue de </w:t>
      </w:r>
      <w:r w:rsidR="00E37C7E" w:rsidRPr="00D17328">
        <w:rPr>
          <w:sz w:val="20"/>
          <w:szCs w:val="20"/>
        </w:rPr>
        <w:t>1</w:t>
      </w:r>
      <w:r w:rsidR="009F02F1" w:rsidRPr="00D17328">
        <w:rPr>
          <w:sz w:val="20"/>
          <w:szCs w:val="20"/>
        </w:rPr>
        <w:t>,</w:t>
      </w:r>
      <w:r w:rsidR="00D140F6" w:rsidRPr="00D17328">
        <w:rPr>
          <w:sz w:val="20"/>
          <w:szCs w:val="20"/>
        </w:rPr>
        <w:t>895</w:t>
      </w:r>
      <w:r w:rsidR="008D3F97" w:rsidRPr="00D17328">
        <w:rPr>
          <w:sz w:val="20"/>
          <w:szCs w:val="20"/>
        </w:rPr>
        <w:t>.</w:t>
      </w:r>
      <w:r w:rsidR="00D140F6" w:rsidRPr="00D17328">
        <w:rPr>
          <w:sz w:val="20"/>
          <w:szCs w:val="20"/>
        </w:rPr>
        <w:t>5</w:t>
      </w:r>
      <w:r w:rsidR="00E52073" w:rsidRPr="00D17328">
        <w:rPr>
          <w:sz w:val="20"/>
          <w:szCs w:val="20"/>
        </w:rPr>
        <w:t xml:space="preserve"> millones de dólares</w:t>
      </w:r>
      <w:r w:rsidR="004146F7" w:rsidRPr="00D17328">
        <w:rPr>
          <w:sz w:val="20"/>
          <w:szCs w:val="20"/>
        </w:rPr>
        <w:t>,</w:t>
      </w:r>
      <w:r w:rsidR="00E52073" w:rsidRPr="00D17328">
        <w:rPr>
          <w:sz w:val="20"/>
          <w:szCs w:val="20"/>
        </w:rPr>
        <w:t xml:space="preserve"> lo q</w:t>
      </w:r>
      <w:r w:rsidR="002A5F26" w:rsidRPr="00D17328">
        <w:rPr>
          <w:sz w:val="20"/>
          <w:szCs w:val="20"/>
        </w:rPr>
        <w:t xml:space="preserve">ue representó un aporte del </w:t>
      </w:r>
      <w:r w:rsidR="00E37C7E" w:rsidRPr="00D17328">
        <w:rPr>
          <w:sz w:val="20"/>
          <w:szCs w:val="20"/>
        </w:rPr>
        <w:t>1</w:t>
      </w:r>
      <w:r w:rsidR="002A5F26" w:rsidRPr="00D17328">
        <w:rPr>
          <w:sz w:val="20"/>
          <w:szCs w:val="20"/>
        </w:rPr>
        <w:t>.</w:t>
      </w:r>
      <w:r w:rsidR="00E37C7E" w:rsidRPr="00D17328">
        <w:rPr>
          <w:sz w:val="20"/>
          <w:szCs w:val="20"/>
        </w:rPr>
        <w:t>0</w:t>
      </w:r>
      <w:r w:rsidR="002A6380" w:rsidRPr="00D17328">
        <w:rPr>
          <w:sz w:val="20"/>
          <w:szCs w:val="20"/>
        </w:rPr>
        <w:t xml:space="preserve"> </w:t>
      </w:r>
      <w:r w:rsidR="002A5F26" w:rsidRPr="00D17328">
        <w:rPr>
          <w:sz w:val="20"/>
          <w:szCs w:val="20"/>
        </w:rPr>
        <w:t xml:space="preserve">% </w:t>
      </w:r>
      <w:r w:rsidR="00E52073" w:rsidRPr="00D17328">
        <w:rPr>
          <w:sz w:val="20"/>
          <w:szCs w:val="20"/>
        </w:rPr>
        <w:t xml:space="preserve">al total nacional, </w:t>
      </w:r>
      <w:r w:rsidR="00884581" w:rsidRPr="00D17328">
        <w:rPr>
          <w:sz w:val="20"/>
          <w:szCs w:val="20"/>
        </w:rPr>
        <w:t xml:space="preserve">instalándose </w:t>
      </w:r>
      <w:r w:rsidR="00E52073" w:rsidRPr="00D17328">
        <w:rPr>
          <w:sz w:val="20"/>
          <w:szCs w:val="20"/>
        </w:rPr>
        <w:t>empresas de diversas nacionalidades</w:t>
      </w:r>
      <w:r w:rsidR="004146F7" w:rsidRPr="00D17328">
        <w:rPr>
          <w:sz w:val="20"/>
          <w:szCs w:val="20"/>
        </w:rPr>
        <w:t>, tal y como se observa en el cuadro comparativo siguiente:</w:t>
      </w:r>
    </w:p>
    <w:p w14:paraId="1641E667" w14:textId="6FF2E0A0" w:rsidR="0076316E" w:rsidRDefault="0076316E" w:rsidP="00CC771B">
      <w:pPr>
        <w:spacing w:line="360" w:lineRule="auto"/>
        <w:jc w:val="both"/>
        <w:rPr>
          <w:rFonts w:ascii="Arial" w:hAnsi="Arial" w:cs="Arial"/>
        </w:rPr>
      </w:pPr>
    </w:p>
    <w:p w14:paraId="53A04319" w14:textId="372B45DE" w:rsidR="00D140F6" w:rsidRDefault="00D140F6" w:rsidP="00CC771B">
      <w:pPr>
        <w:spacing w:line="360" w:lineRule="auto"/>
        <w:jc w:val="both"/>
        <w:rPr>
          <w:rFonts w:ascii="Arial" w:hAnsi="Arial" w:cs="Arial"/>
        </w:rPr>
      </w:pPr>
      <w:r w:rsidRPr="00D140F6">
        <w:rPr>
          <w:noProof/>
          <w:lang w:val="es-MX" w:eastAsia="es-MX"/>
        </w:rPr>
        <w:drawing>
          <wp:inline distT="0" distB="0" distL="0" distR="0" wp14:anchorId="1A8659C7" wp14:editId="1894D437">
            <wp:extent cx="5179695" cy="4179449"/>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695" cy="4179449"/>
                    </a:xfrm>
                    <a:prstGeom prst="rect">
                      <a:avLst/>
                    </a:prstGeom>
                    <a:noFill/>
                    <a:ln>
                      <a:noFill/>
                    </a:ln>
                  </pic:spPr>
                </pic:pic>
              </a:graphicData>
            </a:graphic>
          </wp:inline>
        </w:drawing>
      </w:r>
    </w:p>
    <w:p w14:paraId="6DD0E881" w14:textId="77777777" w:rsidR="00D140F6" w:rsidRDefault="00D140F6" w:rsidP="00CC771B">
      <w:pPr>
        <w:spacing w:line="360" w:lineRule="auto"/>
        <w:jc w:val="both"/>
        <w:rPr>
          <w:rFonts w:ascii="Arial" w:hAnsi="Arial" w:cs="Arial"/>
        </w:rPr>
      </w:pPr>
    </w:p>
    <w:p w14:paraId="2F682A8E" w14:textId="48E9715A" w:rsidR="00C34DC1" w:rsidRPr="00D17328" w:rsidRDefault="00314E6B" w:rsidP="00CC771B">
      <w:pPr>
        <w:spacing w:line="360" w:lineRule="auto"/>
        <w:jc w:val="both"/>
        <w:rPr>
          <w:sz w:val="20"/>
          <w:szCs w:val="20"/>
        </w:rPr>
      </w:pPr>
      <w:r w:rsidRPr="00D17328">
        <w:rPr>
          <w:noProof/>
          <w:sz w:val="20"/>
          <w:szCs w:val="20"/>
          <w:lang w:val="es-MX" w:eastAsia="es-MX"/>
        </w:rPr>
        <mc:AlternateContent>
          <mc:Choice Requires="wps">
            <w:drawing>
              <wp:anchor distT="0" distB="0" distL="114300" distR="114300" simplePos="0" relativeHeight="251666432" behindDoc="0" locked="0" layoutInCell="1" allowOverlap="1" wp14:anchorId="52A45DAB" wp14:editId="31C480A8">
                <wp:simplePos x="0" y="0"/>
                <wp:positionH relativeFrom="leftMargin">
                  <wp:align>right</wp:align>
                </wp:positionH>
                <wp:positionV relativeFrom="paragraph">
                  <wp:posOffset>3333513</wp:posOffset>
                </wp:positionV>
                <wp:extent cx="189865" cy="45720"/>
                <wp:effectExtent l="19050" t="38100" r="57785" b="49530"/>
                <wp:wrapNone/>
                <wp:docPr id="1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1FAC8E0" id="AutoShape 86" o:spid="_x0000_s1026" type="#_x0000_t13" style="position:absolute;margin-left:-36.25pt;margin-top:262.5pt;width:14.95pt;height:3.6pt;flip:y;z-index:251666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" adj="15918" fillcolor="red" strokecolor="red" strokeweight="3pt">
                <v:shadow on="t" color="#823b0b" opacity=".5" offset="1pt"/>
                <w10:wrap anchorx="margin"/>
              </v:shape>
            </w:pict>
          </mc:Fallback>
        </mc:AlternateContent>
      </w:r>
      <w:r w:rsidR="00C34DC1" w:rsidRPr="00D17328">
        <w:rPr>
          <w:sz w:val="20"/>
          <w:szCs w:val="20"/>
        </w:rPr>
        <w:t xml:space="preserve">El Estado de Tlaxcala se encuentra entre </w:t>
      </w:r>
      <w:r w:rsidR="006234E9" w:rsidRPr="00D17328">
        <w:rPr>
          <w:sz w:val="20"/>
          <w:szCs w:val="20"/>
        </w:rPr>
        <w:t xml:space="preserve">las </w:t>
      </w:r>
      <w:r w:rsidR="00263D39" w:rsidRPr="00D17328">
        <w:rPr>
          <w:sz w:val="20"/>
          <w:szCs w:val="20"/>
        </w:rPr>
        <w:t xml:space="preserve">10 </w:t>
      </w:r>
      <w:r w:rsidR="00C34DC1" w:rsidRPr="00D17328">
        <w:rPr>
          <w:sz w:val="20"/>
          <w:szCs w:val="20"/>
        </w:rPr>
        <w:t>Entidades mejor calificadas en el Índice de Información Presupuestal Estatal, elaborado por el Instituto Mexicano para la Competitividad</w:t>
      </w:r>
      <w:r w:rsidR="002579A3" w:rsidRPr="00D17328">
        <w:rPr>
          <w:sz w:val="20"/>
          <w:szCs w:val="20"/>
        </w:rPr>
        <w:t>,</w:t>
      </w:r>
      <w:r w:rsidR="00C34DC1" w:rsidRPr="00D17328">
        <w:rPr>
          <w:sz w:val="20"/>
          <w:szCs w:val="20"/>
        </w:rPr>
        <w:t xml:space="preserve"> A.C., reafirmándose el compromiso de esta administración con la transparencia presupuestal</w:t>
      </w:r>
      <w:r w:rsidR="001346C5" w:rsidRPr="00D17328">
        <w:rPr>
          <w:sz w:val="20"/>
          <w:szCs w:val="20"/>
        </w:rPr>
        <w:t>,</w:t>
      </w:r>
      <w:r w:rsidR="00C34DC1" w:rsidRPr="00D17328">
        <w:rPr>
          <w:sz w:val="20"/>
          <w:szCs w:val="20"/>
        </w:rPr>
        <w:t xml:space="preserve"> la rendición de cuentas</w:t>
      </w:r>
      <w:r w:rsidR="001346C5" w:rsidRPr="00D17328">
        <w:rPr>
          <w:sz w:val="20"/>
          <w:szCs w:val="20"/>
        </w:rPr>
        <w:t xml:space="preserve"> y el manejo responsable de las finanzas del Estado</w:t>
      </w:r>
      <w:r w:rsidR="00C34DC1" w:rsidRPr="00D17328">
        <w:rPr>
          <w:sz w:val="20"/>
          <w:szCs w:val="20"/>
        </w:rPr>
        <w:t>.</w:t>
      </w:r>
    </w:p>
    <w:p w14:paraId="022EC312" w14:textId="2980834B" w:rsidR="00CB094B" w:rsidRDefault="00CB094B" w:rsidP="00CC771B">
      <w:pPr>
        <w:spacing w:line="360" w:lineRule="auto"/>
        <w:jc w:val="both"/>
        <w:rPr>
          <w:rFonts w:ascii="Arial" w:hAnsi="Arial" w:cs="Arial"/>
        </w:rPr>
      </w:pPr>
    </w:p>
    <w:p w14:paraId="42398E17" w14:textId="151E5238" w:rsidR="00890AD4" w:rsidRDefault="00890AD4" w:rsidP="00CC771B">
      <w:pPr>
        <w:spacing w:line="360" w:lineRule="auto"/>
        <w:jc w:val="both"/>
        <w:rPr>
          <w:rFonts w:ascii="Arial" w:hAnsi="Arial" w:cs="Arial"/>
        </w:rPr>
      </w:pPr>
      <w:r>
        <w:rPr>
          <w:noProof/>
          <w:lang w:val="es-MX" w:eastAsia="es-MX"/>
        </w:rPr>
        <w:lastRenderedPageBreak/>
        <w:drawing>
          <wp:inline distT="0" distB="0" distL="0" distR="0" wp14:anchorId="4744EBA3" wp14:editId="3ECD8B70">
            <wp:extent cx="5310332" cy="2918230"/>
            <wp:effectExtent l="0" t="0" r="508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465" t="13585" r="12507" b="12134"/>
                    <a:stretch/>
                  </pic:blipFill>
                  <pic:spPr bwMode="auto">
                    <a:xfrm>
                      <a:off x="0" y="0"/>
                      <a:ext cx="5330777" cy="2929466"/>
                    </a:xfrm>
                    <a:prstGeom prst="rect">
                      <a:avLst/>
                    </a:prstGeom>
                    <a:ln>
                      <a:noFill/>
                    </a:ln>
                    <a:extLst>
                      <a:ext uri="{53640926-AAD7-44D8-BBD7-CCE9431645EC}">
                        <a14:shadowObscured xmlns:a14="http://schemas.microsoft.com/office/drawing/2010/main"/>
                      </a:ext>
                    </a:extLst>
                  </pic:spPr>
                </pic:pic>
              </a:graphicData>
            </a:graphic>
          </wp:inline>
        </w:drawing>
      </w:r>
    </w:p>
    <w:p w14:paraId="569684A9" w14:textId="4F6A8518" w:rsidR="00CB094B" w:rsidRDefault="00AE47C5" w:rsidP="00CC771B">
      <w:pPr>
        <w:spacing w:line="360" w:lineRule="auto"/>
        <w:jc w:val="both"/>
        <w:rPr>
          <w:rFonts w:ascii="Arial" w:hAnsi="Arial" w:cs="Arial"/>
        </w:rPr>
      </w:pPr>
      <w:r>
        <w:rPr>
          <w:noProof/>
          <w:lang w:val="es-MX" w:eastAsia="es-MX"/>
        </w:rPr>
        <mc:AlternateContent>
          <mc:Choice Requires="wps">
            <w:drawing>
              <wp:anchor distT="0" distB="0" distL="114300" distR="114300" simplePos="0" relativeHeight="251673600" behindDoc="0" locked="0" layoutInCell="1" allowOverlap="1" wp14:anchorId="4E15E2ED" wp14:editId="4B3995B7">
                <wp:simplePos x="0" y="0"/>
                <wp:positionH relativeFrom="margin">
                  <wp:align>left</wp:align>
                </wp:positionH>
                <wp:positionV relativeFrom="paragraph">
                  <wp:posOffset>1023938</wp:posOffset>
                </wp:positionV>
                <wp:extent cx="128587" cy="47625"/>
                <wp:effectExtent l="19050" t="38100" r="62230" b="66675"/>
                <wp:wrapNone/>
                <wp:docPr id="2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 cy="4762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48635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6" o:spid="_x0000_s1026" type="#_x0000_t13" style="position:absolute;margin-left:0;margin-top:80.65pt;width:10.1pt;height:3.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" adj="12860" fillcolor="red" strokecolor="red" strokeweight="3pt">
                <v:shadow on="t" color="#823b0b" opacity=".5" offset="1pt"/>
                <w10:wrap anchorx="margin"/>
              </v:shape>
            </w:pict>
          </mc:Fallback>
        </mc:AlternateContent>
      </w:r>
      <w:r w:rsidR="00CB094B">
        <w:rPr>
          <w:noProof/>
          <w:lang w:val="es-MX" w:eastAsia="es-MX"/>
        </w:rPr>
        <w:drawing>
          <wp:inline distT="0" distB="0" distL="0" distR="0" wp14:anchorId="27A471BB" wp14:editId="715DDADA">
            <wp:extent cx="5307412" cy="2867558"/>
            <wp:effectExtent l="0" t="0" r="762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clrChange>
                        <a:clrFrom>
                          <a:srgbClr val="EDEDED"/>
                        </a:clrFrom>
                        <a:clrTo>
                          <a:srgbClr val="EDEDED">
                            <a:alpha val="0"/>
                          </a:srgbClr>
                        </a:clrTo>
                      </a:clrChange>
                    </a:blip>
                    <a:srcRect l="9323" t="16070" r="10727" b="9971"/>
                    <a:stretch/>
                  </pic:blipFill>
                  <pic:spPr bwMode="auto">
                    <a:xfrm>
                      <a:off x="0" y="0"/>
                      <a:ext cx="5337246" cy="2883677"/>
                    </a:xfrm>
                    <a:prstGeom prst="rect">
                      <a:avLst/>
                    </a:prstGeom>
                    <a:ln>
                      <a:noFill/>
                    </a:ln>
                    <a:extLst>
                      <a:ext uri="{53640926-AAD7-44D8-BBD7-CCE9431645EC}">
                        <a14:shadowObscured xmlns:a14="http://schemas.microsoft.com/office/drawing/2010/main"/>
                      </a:ext>
                    </a:extLst>
                  </pic:spPr>
                </pic:pic>
              </a:graphicData>
            </a:graphic>
          </wp:inline>
        </w:drawing>
      </w:r>
    </w:p>
    <w:p w14:paraId="3ECFE781" w14:textId="4F88D545" w:rsidR="00CB094B" w:rsidRDefault="00CB094B" w:rsidP="00CC771B">
      <w:pPr>
        <w:spacing w:line="360" w:lineRule="auto"/>
        <w:jc w:val="both"/>
        <w:rPr>
          <w:rFonts w:ascii="Arial" w:hAnsi="Arial" w:cs="Arial"/>
        </w:rPr>
      </w:pPr>
    </w:p>
    <w:p w14:paraId="3E8ABD0D" w14:textId="53DFFFD1" w:rsidR="00A2054F" w:rsidRDefault="00CB094B" w:rsidP="00AE47C5">
      <w:pPr>
        <w:spacing w:line="360" w:lineRule="auto"/>
        <w:jc w:val="center"/>
        <w:rPr>
          <w:rFonts w:ascii="Arial" w:hAnsi="Arial" w:cs="Arial"/>
        </w:rPr>
      </w:pPr>
      <w:r>
        <w:rPr>
          <w:noProof/>
          <w:lang w:val="es-MX" w:eastAsia="es-MX"/>
        </w:rPr>
        <w:lastRenderedPageBreak/>
        <w:drawing>
          <wp:inline distT="0" distB="0" distL="0" distR="0" wp14:anchorId="23643CBE" wp14:editId="0D827E15">
            <wp:extent cx="4438015" cy="2124075"/>
            <wp:effectExtent l="0" t="0" r="63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011" t="35404" r="24284" b="15617"/>
                    <a:stretch/>
                  </pic:blipFill>
                  <pic:spPr bwMode="auto">
                    <a:xfrm>
                      <a:off x="0" y="0"/>
                      <a:ext cx="4495686" cy="2151677"/>
                    </a:xfrm>
                    <a:prstGeom prst="rect">
                      <a:avLst/>
                    </a:prstGeom>
                    <a:ln>
                      <a:noFill/>
                    </a:ln>
                    <a:extLst>
                      <a:ext uri="{53640926-AAD7-44D8-BBD7-CCE9431645EC}">
                        <a14:shadowObscured xmlns:a14="http://schemas.microsoft.com/office/drawing/2010/main"/>
                      </a:ext>
                    </a:extLst>
                  </pic:spPr>
                </pic:pic>
              </a:graphicData>
            </a:graphic>
          </wp:inline>
        </w:drawing>
      </w:r>
      <w:r w:rsidR="00AE47C5">
        <w:rPr>
          <w:noProof/>
          <w:lang w:val="es-MX" w:eastAsia="es-MX"/>
        </w:rPr>
        <w:drawing>
          <wp:inline distT="0" distB="0" distL="0" distR="0" wp14:anchorId="60848198" wp14:editId="66B48B4E">
            <wp:extent cx="4666615" cy="206692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323" t="36981" r="11625" b="7834"/>
                    <a:stretch/>
                  </pic:blipFill>
                  <pic:spPr bwMode="auto">
                    <a:xfrm>
                      <a:off x="0" y="0"/>
                      <a:ext cx="4729756" cy="2094891"/>
                    </a:xfrm>
                    <a:prstGeom prst="rect">
                      <a:avLst/>
                    </a:prstGeom>
                    <a:ln>
                      <a:noFill/>
                    </a:ln>
                    <a:extLst>
                      <a:ext uri="{53640926-AAD7-44D8-BBD7-CCE9431645EC}">
                        <a14:shadowObscured xmlns:a14="http://schemas.microsoft.com/office/drawing/2010/main"/>
                      </a:ext>
                    </a:extLst>
                  </pic:spPr>
                </pic:pic>
              </a:graphicData>
            </a:graphic>
          </wp:inline>
        </w:drawing>
      </w:r>
    </w:p>
    <w:p w14:paraId="5365D8BB" w14:textId="77777777" w:rsidR="00890AD4" w:rsidRDefault="00890AD4" w:rsidP="00AE47C5">
      <w:pPr>
        <w:spacing w:line="360" w:lineRule="auto"/>
        <w:jc w:val="center"/>
        <w:rPr>
          <w:rFonts w:ascii="Arial" w:hAnsi="Arial" w:cs="Arial"/>
        </w:rPr>
      </w:pPr>
    </w:p>
    <w:p w14:paraId="55348E4A" w14:textId="22C93EBE" w:rsidR="00E60EE4" w:rsidRPr="00D17328" w:rsidRDefault="002579A3" w:rsidP="00CC771B">
      <w:pPr>
        <w:spacing w:line="360" w:lineRule="auto"/>
        <w:jc w:val="both"/>
        <w:rPr>
          <w:sz w:val="20"/>
          <w:szCs w:val="20"/>
        </w:rPr>
      </w:pPr>
      <w:r w:rsidRPr="00D17328">
        <w:rPr>
          <w:sz w:val="20"/>
          <w:szCs w:val="20"/>
        </w:rPr>
        <w:t xml:space="preserve">Por otra parte, observando las disposiciones establecidas en la Ley de Disciplina Financiera de las Entidades Federativas y los Municipios, las estimaciones de ingresos que se prevén en la </w:t>
      </w:r>
      <w:r w:rsidR="001E17CD" w:rsidRPr="00D17328">
        <w:rPr>
          <w:sz w:val="20"/>
          <w:szCs w:val="20"/>
        </w:rPr>
        <w:t xml:space="preserve">presente </w:t>
      </w:r>
      <w:r w:rsidRPr="00D17328">
        <w:rPr>
          <w:sz w:val="20"/>
          <w:szCs w:val="20"/>
        </w:rPr>
        <w:t xml:space="preserve">Iniciativa, consideran proyecciones </w:t>
      </w:r>
      <w:r w:rsidR="009F5CCF" w:rsidRPr="00D17328">
        <w:rPr>
          <w:sz w:val="20"/>
          <w:szCs w:val="20"/>
        </w:rPr>
        <w:t xml:space="preserve">congruentes a los Criterios Generales de Política Económica </w:t>
      </w:r>
      <w:r w:rsidR="00263D39" w:rsidRPr="00D17328">
        <w:rPr>
          <w:sz w:val="20"/>
          <w:szCs w:val="20"/>
        </w:rPr>
        <w:t xml:space="preserve">para la Iniciativa de Ley de Ingresos y el Proyecto de Presupuesto de Egresos de la Federación correspondientes al Ejercicio Fiscal </w:t>
      </w:r>
      <w:r w:rsidR="009F5CCF" w:rsidRPr="00D17328">
        <w:rPr>
          <w:sz w:val="20"/>
          <w:szCs w:val="20"/>
        </w:rPr>
        <w:t>20</w:t>
      </w:r>
      <w:r w:rsidR="00263D39" w:rsidRPr="00D17328">
        <w:rPr>
          <w:sz w:val="20"/>
          <w:szCs w:val="20"/>
        </w:rPr>
        <w:t>2</w:t>
      </w:r>
      <w:r w:rsidR="00890AD4" w:rsidRPr="00D17328">
        <w:rPr>
          <w:sz w:val="20"/>
          <w:szCs w:val="20"/>
        </w:rPr>
        <w:t>1</w:t>
      </w:r>
      <w:r w:rsidR="00E60EE4" w:rsidRPr="00D17328">
        <w:rPr>
          <w:sz w:val="20"/>
          <w:szCs w:val="20"/>
        </w:rPr>
        <w:t>.</w:t>
      </w:r>
    </w:p>
    <w:p w14:paraId="5C4391CF" w14:textId="77777777" w:rsidR="002579A3" w:rsidRPr="00D17328" w:rsidRDefault="002579A3" w:rsidP="00CC771B">
      <w:pPr>
        <w:spacing w:line="360" w:lineRule="auto"/>
        <w:jc w:val="both"/>
        <w:rPr>
          <w:sz w:val="20"/>
          <w:szCs w:val="20"/>
        </w:rPr>
      </w:pPr>
    </w:p>
    <w:p w14:paraId="273DA5BE" w14:textId="49294509" w:rsidR="001C3914" w:rsidRPr="00D17328" w:rsidRDefault="0032731A" w:rsidP="00A61514">
      <w:pPr>
        <w:shd w:val="clear" w:color="auto" w:fill="FFFFFF" w:themeFill="background1"/>
        <w:spacing w:line="360" w:lineRule="auto"/>
        <w:jc w:val="both"/>
        <w:rPr>
          <w:sz w:val="20"/>
          <w:szCs w:val="20"/>
        </w:rPr>
      </w:pPr>
      <w:r w:rsidRPr="00D17328">
        <w:rPr>
          <w:sz w:val="20"/>
          <w:szCs w:val="20"/>
        </w:rPr>
        <w:t xml:space="preserve">En materia de ingresos provenientes </w:t>
      </w:r>
      <w:r w:rsidR="00BF0117" w:rsidRPr="00D17328">
        <w:rPr>
          <w:sz w:val="20"/>
          <w:szCs w:val="20"/>
        </w:rPr>
        <w:t xml:space="preserve">de </w:t>
      </w:r>
      <w:r w:rsidRPr="00D17328">
        <w:rPr>
          <w:sz w:val="20"/>
          <w:szCs w:val="20"/>
        </w:rPr>
        <w:t>fuentes locales</w:t>
      </w:r>
      <w:r w:rsidR="0081506F" w:rsidRPr="00D17328">
        <w:rPr>
          <w:sz w:val="20"/>
          <w:szCs w:val="20"/>
        </w:rPr>
        <w:t xml:space="preserve"> y derivado de la tendencia observada en la recaudación de los últimos cinco ejercicios fiscales</w:t>
      </w:r>
      <w:r w:rsidR="00E60EE4" w:rsidRPr="00D17328">
        <w:rPr>
          <w:sz w:val="20"/>
          <w:szCs w:val="20"/>
        </w:rPr>
        <w:t xml:space="preserve">, se estima </w:t>
      </w:r>
      <w:r w:rsidR="001E17CD" w:rsidRPr="00D17328">
        <w:rPr>
          <w:sz w:val="20"/>
          <w:szCs w:val="20"/>
        </w:rPr>
        <w:t xml:space="preserve">que </w:t>
      </w:r>
      <w:r w:rsidR="000E0407" w:rsidRPr="00D17328">
        <w:rPr>
          <w:sz w:val="20"/>
          <w:szCs w:val="20"/>
        </w:rPr>
        <w:t>para el ejercicio fiscal de 20</w:t>
      </w:r>
      <w:r w:rsidR="00263D39" w:rsidRPr="00D17328">
        <w:rPr>
          <w:sz w:val="20"/>
          <w:szCs w:val="20"/>
        </w:rPr>
        <w:t>2</w:t>
      </w:r>
      <w:r w:rsidR="00890AD4" w:rsidRPr="00D17328">
        <w:rPr>
          <w:sz w:val="20"/>
          <w:szCs w:val="20"/>
        </w:rPr>
        <w:t>1</w:t>
      </w:r>
      <w:r w:rsidR="000E0407" w:rsidRPr="00D17328">
        <w:rPr>
          <w:sz w:val="20"/>
          <w:szCs w:val="20"/>
        </w:rPr>
        <w:t xml:space="preserve">, </w:t>
      </w:r>
      <w:r w:rsidR="001E17CD" w:rsidRPr="00D17328">
        <w:rPr>
          <w:sz w:val="20"/>
          <w:szCs w:val="20"/>
        </w:rPr>
        <w:t xml:space="preserve">exista </w:t>
      </w:r>
      <w:r w:rsidR="00D57A87" w:rsidRPr="00D17328">
        <w:rPr>
          <w:sz w:val="20"/>
          <w:szCs w:val="20"/>
        </w:rPr>
        <w:t xml:space="preserve">una variación </w:t>
      </w:r>
      <w:r w:rsidR="005B1DF4" w:rsidRPr="00D17328">
        <w:rPr>
          <w:sz w:val="20"/>
          <w:szCs w:val="20"/>
        </w:rPr>
        <w:t>del</w:t>
      </w:r>
      <w:r w:rsidR="00E60EE4" w:rsidRPr="00D17328">
        <w:rPr>
          <w:sz w:val="20"/>
          <w:szCs w:val="20"/>
        </w:rPr>
        <w:t xml:space="preserve"> </w:t>
      </w:r>
      <w:r w:rsidR="008B5306" w:rsidRPr="00D17328">
        <w:rPr>
          <w:sz w:val="20"/>
          <w:szCs w:val="20"/>
        </w:rPr>
        <w:t>-9</w:t>
      </w:r>
      <w:r w:rsidR="0058040C" w:rsidRPr="00D17328">
        <w:rPr>
          <w:sz w:val="20"/>
          <w:szCs w:val="20"/>
        </w:rPr>
        <w:t>.</w:t>
      </w:r>
      <w:r w:rsidR="008B5306" w:rsidRPr="00D17328">
        <w:rPr>
          <w:sz w:val="20"/>
          <w:szCs w:val="20"/>
        </w:rPr>
        <w:t>97</w:t>
      </w:r>
      <w:r w:rsidR="008B79EE" w:rsidRPr="00D17328">
        <w:rPr>
          <w:sz w:val="20"/>
          <w:szCs w:val="20"/>
        </w:rPr>
        <w:t>%</w:t>
      </w:r>
      <w:r w:rsidR="00D27DC9" w:rsidRPr="00D17328">
        <w:rPr>
          <w:sz w:val="20"/>
          <w:szCs w:val="20"/>
        </w:rPr>
        <w:t xml:space="preserve"> </w:t>
      </w:r>
      <w:r w:rsidR="00E60EE4" w:rsidRPr="00D17328">
        <w:rPr>
          <w:sz w:val="20"/>
          <w:szCs w:val="20"/>
        </w:rPr>
        <w:t>con relación a</w:t>
      </w:r>
      <w:r w:rsidR="006E0312" w:rsidRPr="00D17328">
        <w:rPr>
          <w:sz w:val="20"/>
          <w:szCs w:val="20"/>
        </w:rPr>
        <w:t xml:space="preserve"> </w:t>
      </w:r>
      <w:r w:rsidR="00D57A87" w:rsidRPr="00D17328">
        <w:rPr>
          <w:sz w:val="20"/>
          <w:szCs w:val="20"/>
        </w:rPr>
        <w:t>l</w:t>
      </w:r>
      <w:r w:rsidR="006E0312" w:rsidRPr="00D17328">
        <w:rPr>
          <w:sz w:val="20"/>
          <w:szCs w:val="20"/>
        </w:rPr>
        <w:t>a</w:t>
      </w:r>
      <w:r w:rsidR="00E60EE4" w:rsidRPr="00D17328">
        <w:rPr>
          <w:sz w:val="20"/>
          <w:szCs w:val="20"/>
        </w:rPr>
        <w:t xml:space="preserve"> </w:t>
      </w:r>
      <w:r w:rsidR="001E17CD" w:rsidRPr="00D17328">
        <w:rPr>
          <w:sz w:val="20"/>
          <w:szCs w:val="20"/>
        </w:rPr>
        <w:t xml:space="preserve">Ley </w:t>
      </w:r>
      <w:r w:rsidR="006E0312" w:rsidRPr="00D17328">
        <w:rPr>
          <w:sz w:val="20"/>
          <w:szCs w:val="20"/>
        </w:rPr>
        <w:t xml:space="preserve">de </w:t>
      </w:r>
      <w:r w:rsidR="001E17CD" w:rsidRPr="00D17328">
        <w:rPr>
          <w:sz w:val="20"/>
          <w:szCs w:val="20"/>
        </w:rPr>
        <w:t xml:space="preserve">Ingresos </w:t>
      </w:r>
      <w:r w:rsidR="006E0312" w:rsidRPr="00D17328">
        <w:rPr>
          <w:sz w:val="20"/>
          <w:szCs w:val="20"/>
        </w:rPr>
        <w:t xml:space="preserve">aprobada </w:t>
      </w:r>
      <w:r w:rsidR="00D57A87" w:rsidRPr="00D17328">
        <w:rPr>
          <w:sz w:val="20"/>
          <w:szCs w:val="20"/>
        </w:rPr>
        <w:t xml:space="preserve">para </w:t>
      </w:r>
      <w:r w:rsidR="00E60EE4" w:rsidRPr="00D17328">
        <w:rPr>
          <w:sz w:val="20"/>
          <w:szCs w:val="20"/>
        </w:rPr>
        <w:t>el ejercicio fiscal de 20</w:t>
      </w:r>
      <w:r w:rsidR="00160920" w:rsidRPr="00D17328">
        <w:rPr>
          <w:sz w:val="20"/>
          <w:szCs w:val="20"/>
        </w:rPr>
        <w:t>20</w:t>
      </w:r>
      <w:r w:rsidR="001C3914" w:rsidRPr="00D17328">
        <w:rPr>
          <w:sz w:val="20"/>
          <w:szCs w:val="20"/>
        </w:rPr>
        <w:t xml:space="preserve">, tal como se muestra en el </w:t>
      </w:r>
      <w:r w:rsidR="001E17CD" w:rsidRPr="00D17328">
        <w:rPr>
          <w:sz w:val="20"/>
          <w:szCs w:val="20"/>
        </w:rPr>
        <w:t xml:space="preserve">gráfico </w:t>
      </w:r>
      <w:r w:rsidR="001C3914" w:rsidRPr="00D17328">
        <w:rPr>
          <w:sz w:val="20"/>
          <w:szCs w:val="20"/>
        </w:rPr>
        <w:t>siguiente</w:t>
      </w:r>
      <w:r w:rsidR="00E405F3" w:rsidRPr="00D17328">
        <w:rPr>
          <w:sz w:val="20"/>
          <w:szCs w:val="20"/>
        </w:rPr>
        <w:t>:</w:t>
      </w:r>
    </w:p>
    <w:p w14:paraId="030C20F3" w14:textId="027958A0" w:rsidR="00B63E7E" w:rsidRPr="00890AD4" w:rsidRDefault="00B63E7E" w:rsidP="00CC771B">
      <w:pPr>
        <w:spacing w:line="360" w:lineRule="auto"/>
        <w:jc w:val="both"/>
        <w:rPr>
          <w:rFonts w:ascii="Arial" w:hAnsi="Arial" w:cs="Arial"/>
          <w:highlight w:val="yellow"/>
        </w:rPr>
      </w:pPr>
    </w:p>
    <w:p w14:paraId="0449A5D4" w14:textId="146A3BAD" w:rsidR="002542AF" w:rsidRPr="00890AD4" w:rsidRDefault="008B5306" w:rsidP="00030F41">
      <w:pPr>
        <w:spacing w:line="360" w:lineRule="auto"/>
        <w:jc w:val="center"/>
        <w:rPr>
          <w:rFonts w:ascii="Arial" w:hAnsi="Arial" w:cs="Arial"/>
          <w:highlight w:val="yellow"/>
        </w:rPr>
      </w:pPr>
      <w:r w:rsidRPr="001A5DB6">
        <w:rPr>
          <w:rFonts w:ascii="Arial" w:hAnsi="Arial" w:cs="Arial"/>
          <w:noProof/>
          <w:lang w:val="es-MX" w:eastAsia="es-MX"/>
        </w:rPr>
        <w:lastRenderedPageBreak/>
        <w:drawing>
          <wp:inline distT="0" distB="0" distL="0" distR="0" wp14:anchorId="4F547207" wp14:editId="784C1CA1">
            <wp:extent cx="4538244" cy="32670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5333" cy="3279377"/>
                    </a:xfrm>
                    <a:prstGeom prst="rect">
                      <a:avLst/>
                    </a:prstGeom>
                    <a:noFill/>
                  </pic:spPr>
                </pic:pic>
              </a:graphicData>
            </a:graphic>
          </wp:inline>
        </w:drawing>
      </w:r>
    </w:p>
    <w:p w14:paraId="4ED51510" w14:textId="0DF67796" w:rsidR="00F7394D" w:rsidRPr="00D17328" w:rsidRDefault="00F7394D" w:rsidP="00A45461">
      <w:pPr>
        <w:spacing w:line="360" w:lineRule="auto"/>
        <w:ind w:left="567"/>
        <w:rPr>
          <w:sz w:val="14"/>
        </w:rPr>
      </w:pPr>
      <w:r w:rsidRPr="00D17328">
        <w:rPr>
          <w:b/>
          <w:sz w:val="14"/>
        </w:rPr>
        <w:t xml:space="preserve">Fuente: </w:t>
      </w:r>
      <w:r w:rsidRPr="00D17328">
        <w:rPr>
          <w:sz w:val="14"/>
        </w:rPr>
        <w:t>Dirección de Ingresos y Fiscalización</w:t>
      </w:r>
      <w:r w:rsidR="003456A6" w:rsidRPr="00D17328">
        <w:rPr>
          <w:sz w:val="14"/>
        </w:rPr>
        <w:t>.</w:t>
      </w:r>
    </w:p>
    <w:p w14:paraId="5D3E8FCD" w14:textId="77777777" w:rsidR="00F7394D" w:rsidRPr="008B5306" w:rsidRDefault="00F7394D" w:rsidP="00CC771B">
      <w:pPr>
        <w:spacing w:line="360" w:lineRule="auto"/>
        <w:jc w:val="both"/>
        <w:rPr>
          <w:rFonts w:ascii="Arial" w:hAnsi="Arial" w:cs="Arial"/>
        </w:rPr>
      </w:pPr>
    </w:p>
    <w:p w14:paraId="7F463D58" w14:textId="1A5B4835" w:rsidR="00F24D3C" w:rsidRPr="00D17328" w:rsidRDefault="00AF761D" w:rsidP="00CC771B">
      <w:pPr>
        <w:spacing w:line="360" w:lineRule="auto"/>
        <w:jc w:val="both"/>
        <w:rPr>
          <w:sz w:val="20"/>
          <w:szCs w:val="20"/>
        </w:rPr>
      </w:pPr>
      <w:r w:rsidRPr="00D17328">
        <w:rPr>
          <w:sz w:val="20"/>
          <w:szCs w:val="20"/>
        </w:rPr>
        <w:t>Por otra parte, se incluye</w:t>
      </w:r>
      <w:r w:rsidR="00D57A87" w:rsidRPr="00D17328">
        <w:rPr>
          <w:sz w:val="20"/>
          <w:szCs w:val="20"/>
        </w:rPr>
        <w:t>n</w:t>
      </w:r>
      <w:r w:rsidRPr="00D17328">
        <w:rPr>
          <w:sz w:val="20"/>
          <w:szCs w:val="20"/>
        </w:rPr>
        <w:t xml:space="preserve"> los ingresos que se esperan captar por parte de los </w:t>
      </w:r>
      <w:r w:rsidR="001E17CD" w:rsidRPr="00D17328">
        <w:rPr>
          <w:sz w:val="20"/>
          <w:szCs w:val="20"/>
        </w:rPr>
        <w:t>Organismos Públicos Descentralizados</w:t>
      </w:r>
      <w:r w:rsidRPr="00D17328">
        <w:rPr>
          <w:sz w:val="20"/>
          <w:szCs w:val="20"/>
        </w:rPr>
        <w:t xml:space="preserve">, </w:t>
      </w:r>
      <w:r w:rsidR="00C0269B" w:rsidRPr="00D17328">
        <w:rPr>
          <w:sz w:val="20"/>
          <w:szCs w:val="20"/>
        </w:rPr>
        <w:t>por la prestación de servicios inherentes a sus funciones</w:t>
      </w:r>
      <w:r w:rsidRPr="00D17328">
        <w:rPr>
          <w:sz w:val="20"/>
          <w:szCs w:val="20"/>
        </w:rPr>
        <w:t>,</w:t>
      </w:r>
      <w:r w:rsidR="00C0269B" w:rsidRPr="00D17328">
        <w:rPr>
          <w:sz w:val="20"/>
          <w:szCs w:val="20"/>
        </w:rPr>
        <w:t xml:space="preserve"> mismos que serán recaudados a través de la Secretaría de Planeación y Finanzas</w:t>
      </w:r>
      <w:r w:rsidR="00BA037D" w:rsidRPr="00D17328">
        <w:rPr>
          <w:sz w:val="20"/>
          <w:szCs w:val="20"/>
        </w:rPr>
        <w:t>.</w:t>
      </w:r>
    </w:p>
    <w:p w14:paraId="63D55331" w14:textId="77777777" w:rsidR="00032997" w:rsidRPr="00D17328" w:rsidRDefault="00032997" w:rsidP="00CC771B">
      <w:pPr>
        <w:spacing w:line="360" w:lineRule="auto"/>
        <w:jc w:val="both"/>
        <w:rPr>
          <w:sz w:val="20"/>
          <w:szCs w:val="20"/>
          <w:highlight w:val="yellow"/>
        </w:rPr>
      </w:pPr>
    </w:p>
    <w:p w14:paraId="44AC4F6C" w14:textId="7CF222EE" w:rsidR="00FD0688" w:rsidRPr="00817CF9" w:rsidRDefault="001E44B0" w:rsidP="00C77C87">
      <w:pPr>
        <w:spacing w:line="360" w:lineRule="auto"/>
        <w:jc w:val="both"/>
        <w:rPr>
          <w:rFonts w:ascii="Arial" w:hAnsi="Arial" w:cs="Arial"/>
        </w:rPr>
      </w:pPr>
      <w:r w:rsidRPr="00D17328">
        <w:rPr>
          <w:sz w:val="20"/>
          <w:szCs w:val="20"/>
        </w:rPr>
        <w:t xml:space="preserve">En lo </w:t>
      </w:r>
      <w:r w:rsidR="00BA037D" w:rsidRPr="00D17328">
        <w:rPr>
          <w:sz w:val="20"/>
          <w:szCs w:val="20"/>
        </w:rPr>
        <w:t xml:space="preserve">que corresponde a </w:t>
      </w:r>
      <w:r w:rsidRPr="00D17328">
        <w:rPr>
          <w:sz w:val="20"/>
          <w:szCs w:val="20"/>
        </w:rPr>
        <w:t>participaciones federales</w:t>
      </w:r>
      <w:r w:rsidR="008F70CB" w:rsidRPr="00D17328">
        <w:rPr>
          <w:sz w:val="20"/>
          <w:szCs w:val="20"/>
        </w:rPr>
        <w:t xml:space="preserve"> referenciadas a la Recaudación Federal Participable en el presente ejercicio</w:t>
      </w:r>
      <w:r w:rsidR="00817CF9" w:rsidRPr="00D17328">
        <w:rPr>
          <w:sz w:val="20"/>
          <w:szCs w:val="20"/>
        </w:rPr>
        <w:t xml:space="preserve"> (al mes de septiembre de 2020</w:t>
      </w:r>
      <w:r w:rsidR="00C77C87" w:rsidRPr="00D17328">
        <w:rPr>
          <w:sz w:val="20"/>
          <w:szCs w:val="20"/>
        </w:rPr>
        <w:t>)</w:t>
      </w:r>
      <w:r w:rsidRPr="00D17328">
        <w:rPr>
          <w:sz w:val="20"/>
          <w:szCs w:val="20"/>
        </w:rPr>
        <w:t xml:space="preserve">, la distribución </w:t>
      </w:r>
      <w:r w:rsidR="00FD0688" w:rsidRPr="00D17328">
        <w:rPr>
          <w:sz w:val="20"/>
          <w:szCs w:val="20"/>
        </w:rPr>
        <w:t xml:space="preserve">por Entidad Federativa, </w:t>
      </w:r>
      <w:r w:rsidRPr="00D17328">
        <w:rPr>
          <w:sz w:val="20"/>
          <w:szCs w:val="20"/>
        </w:rPr>
        <w:t xml:space="preserve">muestra un </w:t>
      </w:r>
      <w:r w:rsidR="00C77C87" w:rsidRPr="00D17328">
        <w:rPr>
          <w:sz w:val="20"/>
          <w:szCs w:val="20"/>
        </w:rPr>
        <w:t xml:space="preserve">decremento </w:t>
      </w:r>
      <w:r w:rsidR="00FD0688" w:rsidRPr="00D17328">
        <w:rPr>
          <w:sz w:val="20"/>
          <w:szCs w:val="20"/>
        </w:rPr>
        <w:t xml:space="preserve">promedio de </w:t>
      </w:r>
      <w:r w:rsidR="00C77C87" w:rsidRPr="00D17328">
        <w:rPr>
          <w:sz w:val="20"/>
          <w:szCs w:val="20"/>
        </w:rPr>
        <w:t>-</w:t>
      </w:r>
      <w:r w:rsidR="00817CF9" w:rsidRPr="00D17328">
        <w:rPr>
          <w:sz w:val="20"/>
          <w:szCs w:val="20"/>
        </w:rPr>
        <w:t>11</w:t>
      </w:r>
      <w:r w:rsidR="00FD0688" w:rsidRPr="00D17328">
        <w:rPr>
          <w:sz w:val="20"/>
          <w:szCs w:val="20"/>
        </w:rPr>
        <w:t>.</w:t>
      </w:r>
      <w:r w:rsidR="00817CF9" w:rsidRPr="00D17328">
        <w:rPr>
          <w:sz w:val="20"/>
          <w:szCs w:val="20"/>
        </w:rPr>
        <w:t>21</w:t>
      </w:r>
      <w:r w:rsidR="00FD0688" w:rsidRPr="00D17328">
        <w:rPr>
          <w:sz w:val="20"/>
          <w:szCs w:val="20"/>
        </w:rPr>
        <w:t>%</w:t>
      </w:r>
      <w:r w:rsidR="004B7C0A" w:rsidRPr="00D17328">
        <w:rPr>
          <w:sz w:val="20"/>
          <w:szCs w:val="20"/>
        </w:rPr>
        <w:t>;</w:t>
      </w:r>
      <w:r w:rsidR="00FD0688" w:rsidRPr="00D17328">
        <w:rPr>
          <w:sz w:val="20"/>
          <w:szCs w:val="20"/>
        </w:rPr>
        <w:t xml:space="preserve"> Tlax</w:t>
      </w:r>
      <w:r w:rsidR="00C94434" w:rsidRPr="00D17328">
        <w:rPr>
          <w:sz w:val="20"/>
          <w:szCs w:val="20"/>
        </w:rPr>
        <w:t xml:space="preserve">cala </w:t>
      </w:r>
      <w:r w:rsidR="00D9232E" w:rsidRPr="00D17328">
        <w:rPr>
          <w:sz w:val="20"/>
          <w:szCs w:val="20"/>
        </w:rPr>
        <w:t>se sitú</w:t>
      </w:r>
      <w:r w:rsidRPr="00D17328">
        <w:rPr>
          <w:sz w:val="20"/>
          <w:szCs w:val="20"/>
        </w:rPr>
        <w:t xml:space="preserve">a con un </w:t>
      </w:r>
      <w:r w:rsidR="00817CF9" w:rsidRPr="00D17328">
        <w:rPr>
          <w:sz w:val="20"/>
          <w:szCs w:val="20"/>
        </w:rPr>
        <w:t>-8</w:t>
      </w:r>
      <w:r w:rsidR="00B466C6" w:rsidRPr="00D17328">
        <w:rPr>
          <w:sz w:val="20"/>
          <w:szCs w:val="20"/>
        </w:rPr>
        <w:t>.</w:t>
      </w:r>
      <w:r w:rsidR="00817CF9" w:rsidRPr="00D17328">
        <w:rPr>
          <w:sz w:val="20"/>
          <w:szCs w:val="20"/>
        </w:rPr>
        <w:t>07</w:t>
      </w:r>
      <w:r w:rsidR="00FD0688" w:rsidRPr="00D17328">
        <w:rPr>
          <w:sz w:val="20"/>
          <w:szCs w:val="20"/>
        </w:rPr>
        <w:t xml:space="preserve">%, esto derivado del </w:t>
      </w:r>
      <w:r w:rsidR="00C77C87" w:rsidRPr="00D17328">
        <w:rPr>
          <w:sz w:val="20"/>
          <w:szCs w:val="20"/>
        </w:rPr>
        <w:t xml:space="preserve">comportamiento económico tanto nacional como internacional, además por la eficiencia en la </w:t>
      </w:r>
      <w:r w:rsidR="008F70CB" w:rsidRPr="00D17328">
        <w:rPr>
          <w:sz w:val="20"/>
          <w:szCs w:val="20"/>
        </w:rPr>
        <w:t xml:space="preserve">recaudación </w:t>
      </w:r>
      <w:r w:rsidR="00FD0688" w:rsidRPr="00D17328">
        <w:rPr>
          <w:sz w:val="20"/>
          <w:szCs w:val="20"/>
        </w:rPr>
        <w:t>de los i</w:t>
      </w:r>
      <w:r w:rsidR="00D9232E" w:rsidRPr="00D17328">
        <w:rPr>
          <w:sz w:val="20"/>
          <w:szCs w:val="20"/>
        </w:rPr>
        <w:t>mpuestos</w:t>
      </w:r>
      <w:r w:rsidR="00FD0688" w:rsidRPr="00D17328">
        <w:rPr>
          <w:sz w:val="20"/>
          <w:szCs w:val="20"/>
        </w:rPr>
        <w:t xml:space="preserve"> y derechos locales</w:t>
      </w:r>
      <w:r w:rsidRPr="00D17328">
        <w:rPr>
          <w:sz w:val="20"/>
          <w:szCs w:val="20"/>
        </w:rPr>
        <w:t xml:space="preserve"> (incluye predial y agua municipal)</w:t>
      </w:r>
      <w:r w:rsidR="00FD0688" w:rsidRPr="00D17328">
        <w:rPr>
          <w:sz w:val="20"/>
          <w:szCs w:val="20"/>
        </w:rPr>
        <w:t xml:space="preserve"> </w:t>
      </w:r>
      <w:r w:rsidR="00C94434" w:rsidRPr="00D17328">
        <w:rPr>
          <w:sz w:val="20"/>
          <w:szCs w:val="20"/>
        </w:rPr>
        <w:t>en los periodos</w:t>
      </w:r>
      <w:r w:rsidR="00FD0688" w:rsidRPr="00D17328">
        <w:rPr>
          <w:sz w:val="20"/>
          <w:szCs w:val="20"/>
        </w:rPr>
        <w:t xml:space="preserve"> </w:t>
      </w:r>
      <w:r w:rsidR="00C77C87" w:rsidRPr="00D17328">
        <w:rPr>
          <w:sz w:val="20"/>
          <w:szCs w:val="20"/>
        </w:rPr>
        <w:t>201</w:t>
      </w:r>
      <w:r w:rsidR="00817CF9" w:rsidRPr="00D17328">
        <w:rPr>
          <w:sz w:val="20"/>
          <w:szCs w:val="20"/>
        </w:rPr>
        <w:t>8-2019</w:t>
      </w:r>
      <w:r w:rsidR="00FD0688" w:rsidRPr="00D17328">
        <w:rPr>
          <w:sz w:val="20"/>
          <w:szCs w:val="20"/>
        </w:rPr>
        <w:t xml:space="preserve"> </w:t>
      </w:r>
      <w:r w:rsidRPr="00D17328">
        <w:rPr>
          <w:sz w:val="20"/>
          <w:szCs w:val="20"/>
        </w:rPr>
        <w:t xml:space="preserve">tal como se aprecia en el </w:t>
      </w:r>
      <w:r w:rsidR="00FD0688" w:rsidRPr="00D17328">
        <w:rPr>
          <w:sz w:val="20"/>
          <w:szCs w:val="20"/>
        </w:rPr>
        <w:t>gráfico</w:t>
      </w:r>
      <w:r w:rsidR="001E17CD" w:rsidRPr="00D17328">
        <w:rPr>
          <w:sz w:val="20"/>
          <w:szCs w:val="20"/>
        </w:rPr>
        <w:t xml:space="preserve"> siguiente:</w:t>
      </w:r>
      <w:r w:rsidR="00FD0688" w:rsidRPr="00D17328">
        <w:rPr>
          <w:sz w:val="20"/>
          <w:szCs w:val="20"/>
        </w:rPr>
        <w:t xml:space="preserve"> </w:t>
      </w:r>
    </w:p>
    <w:p w14:paraId="216FB389" w14:textId="77777777" w:rsidR="00FD0688" w:rsidRPr="00890AD4" w:rsidRDefault="00FD0688" w:rsidP="00C77C87">
      <w:pPr>
        <w:spacing w:line="360" w:lineRule="auto"/>
        <w:jc w:val="both"/>
        <w:rPr>
          <w:rFonts w:ascii="Arial" w:hAnsi="Arial" w:cs="Arial"/>
          <w:highlight w:val="yellow"/>
        </w:rPr>
      </w:pPr>
    </w:p>
    <w:p w14:paraId="55474551" w14:textId="61A16FBC" w:rsidR="00FD0688" w:rsidRPr="00890AD4" w:rsidRDefault="00F7391B" w:rsidP="00C77C87">
      <w:pPr>
        <w:spacing w:line="360" w:lineRule="auto"/>
        <w:jc w:val="both"/>
        <w:rPr>
          <w:rFonts w:ascii="Arial" w:hAnsi="Arial" w:cs="Arial"/>
          <w:highlight w:val="yellow"/>
        </w:rPr>
      </w:pPr>
      <w:r w:rsidRPr="00890AD4">
        <w:rPr>
          <w:rFonts w:ascii="Arial" w:hAnsi="Arial" w:cs="Arial"/>
          <w:noProof/>
          <w:highlight w:val="yellow"/>
          <w:lang w:val="es-MX" w:eastAsia="es-MX"/>
        </w:rPr>
        <w:lastRenderedPageBreak/>
        <mc:AlternateContent>
          <mc:Choice Requires="wps">
            <w:drawing>
              <wp:anchor distT="0" distB="0" distL="114300" distR="114300" simplePos="0" relativeHeight="251663360" behindDoc="0" locked="0" layoutInCell="1" allowOverlap="1" wp14:anchorId="4516C8EC" wp14:editId="39F984E3">
                <wp:simplePos x="0" y="0"/>
                <wp:positionH relativeFrom="column">
                  <wp:posOffset>543560</wp:posOffset>
                </wp:positionH>
                <wp:positionV relativeFrom="paragraph">
                  <wp:posOffset>605155</wp:posOffset>
                </wp:positionV>
                <wp:extent cx="72044" cy="215091"/>
                <wp:effectExtent l="19050" t="0" r="42545" b="33020"/>
                <wp:wrapNone/>
                <wp:docPr id="2"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44" cy="215091"/>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BE6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42.8pt;margin-top:47.65pt;width:5.65pt;height:1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" adj="17983" fillcolor="#c00000" strokecolor="#c00000" strokeweight="1pt">
                <v:path arrowok="t"/>
              </v:shape>
            </w:pict>
          </mc:Fallback>
        </mc:AlternateContent>
      </w:r>
      <w:r w:rsidR="00817CF9" w:rsidRPr="00E902C9">
        <w:rPr>
          <w:rFonts w:ascii="Arial" w:hAnsi="Arial" w:cs="Arial"/>
          <w:noProof/>
          <w:lang w:val="es-MX" w:eastAsia="es-MX"/>
        </w:rPr>
        <w:drawing>
          <wp:inline distT="0" distB="0" distL="0" distR="0" wp14:anchorId="2D61860B" wp14:editId="3BCE29D8">
            <wp:extent cx="5072021" cy="2781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22060" cy="2808739"/>
                    </a:xfrm>
                    <a:prstGeom prst="rect">
                      <a:avLst/>
                    </a:prstGeom>
                    <a:noFill/>
                  </pic:spPr>
                </pic:pic>
              </a:graphicData>
            </a:graphic>
          </wp:inline>
        </w:drawing>
      </w:r>
    </w:p>
    <w:p w14:paraId="2A3B1742" w14:textId="5C3AFF8F" w:rsidR="00FD0688" w:rsidRPr="00D17328" w:rsidRDefault="00D36EFE" w:rsidP="00C77C87">
      <w:pPr>
        <w:spacing w:line="360" w:lineRule="auto"/>
        <w:jc w:val="both"/>
        <w:rPr>
          <w:b/>
          <w:sz w:val="14"/>
        </w:rPr>
      </w:pPr>
      <w:r w:rsidRPr="00D17328">
        <w:rPr>
          <w:b/>
          <w:sz w:val="14"/>
        </w:rPr>
        <w:t>Nota</w:t>
      </w:r>
      <w:r w:rsidR="00F7394D" w:rsidRPr="00D17328">
        <w:rPr>
          <w:b/>
          <w:sz w:val="14"/>
        </w:rPr>
        <w:t>: E</w:t>
      </w:r>
      <w:r w:rsidRPr="00D17328">
        <w:rPr>
          <w:b/>
          <w:sz w:val="14"/>
        </w:rPr>
        <w:t>stas cifras no contienen la compensación de FEIEF 2020</w:t>
      </w:r>
      <w:r w:rsidR="00F7394D" w:rsidRPr="00D17328">
        <w:rPr>
          <w:b/>
          <w:sz w:val="14"/>
        </w:rPr>
        <w:t>.</w:t>
      </w:r>
    </w:p>
    <w:p w14:paraId="5349E472" w14:textId="77777777" w:rsidR="00D36EFE" w:rsidRPr="00D17328" w:rsidRDefault="00D36EFE" w:rsidP="00D36EFE">
      <w:pPr>
        <w:spacing w:line="360" w:lineRule="auto"/>
        <w:jc w:val="both"/>
        <w:rPr>
          <w:b/>
          <w:sz w:val="14"/>
        </w:rPr>
      </w:pPr>
      <w:r w:rsidRPr="00D17328">
        <w:rPr>
          <w:b/>
          <w:sz w:val="14"/>
        </w:rPr>
        <w:t>Fuente: Elaboración propia DCGCH.</w:t>
      </w:r>
    </w:p>
    <w:p w14:paraId="7BF7B764" w14:textId="77777777" w:rsidR="00032997" w:rsidRPr="001C3DBE" w:rsidRDefault="00032997" w:rsidP="00C77C87">
      <w:pPr>
        <w:spacing w:line="360" w:lineRule="auto"/>
        <w:jc w:val="both"/>
        <w:rPr>
          <w:rFonts w:ascii="Arial" w:hAnsi="Arial" w:cs="Arial"/>
          <w:sz w:val="10"/>
          <w:szCs w:val="10"/>
          <w:highlight w:val="yellow"/>
        </w:rPr>
      </w:pPr>
    </w:p>
    <w:p w14:paraId="1691DA9C" w14:textId="77777777" w:rsidR="00110D17" w:rsidRDefault="00110D17" w:rsidP="00C77C87">
      <w:pPr>
        <w:spacing w:line="360" w:lineRule="auto"/>
        <w:jc w:val="both"/>
        <w:rPr>
          <w:sz w:val="20"/>
          <w:szCs w:val="20"/>
        </w:rPr>
      </w:pPr>
    </w:p>
    <w:p w14:paraId="37F808DB" w14:textId="62305DE9" w:rsidR="00E405F3" w:rsidRPr="00D17328" w:rsidRDefault="00902A3C" w:rsidP="00C77C87">
      <w:pPr>
        <w:spacing w:line="360" w:lineRule="auto"/>
        <w:jc w:val="both"/>
        <w:rPr>
          <w:sz w:val="20"/>
          <w:szCs w:val="20"/>
        </w:rPr>
      </w:pPr>
      <w:r w:rsidRPr="00D17328">
        <w:rPr>
          <w:sz w:val="20"/>
          <w:szCs w:val="20"/>
        </w:rPr>
        <w:t>P</w:t>
      </w:r>
      <w:r w:rsidR="00A779F7" w:rsidRPr="00D17328">
        <w:rPr>
          <w:sz w:val="20"/>
          <w:szCs w:val="20"/>
        </w:rPr>
        <w:t xml:space="preserve">ara </w:t>
      </w:r>
      <w:r w:rsidR="00703760" w:rsidRPr="00D17328">
        <w:rPr>
          <w:sz w:val="20"/>
          <w:szCs w:val="20"/>
        </w:rPr>
        <w:t xml:space="preserve">el ejercicio </w:t>
      </w:r>
      <w:r w:rsidR="001E17CD" w:rsidRPr="00D17328">
        <w:rPr>
          <w:sz w:val="20"/>
          <w:szCs w:val="20"/>
        </w:rPr>
        <w:t xml:space="preserve">fiscal </w:t>
      </w:r>
      <w:r w:rsidR="00A779F7" w:rsidRPr="00D17328">
        <w:rPr>
          <w:sz w:val="20"/>
          <w:szCs w:val="20"/>
        </w:rPr>
        <w:t>20</w:t>
      </w:r>
      <w:r w:rsidR="00817CF9" w:rsidRPr="00D17328">
        <w:rPr>
          <w:sz w:val="20"/>
          <w:szCs w:val="20"/>
        </w:rPr>
        <w:t>21</w:t>
      </w:r>
      <w:r w:rsidR="00A3670F" w:rsidRPr="00D17328">
        <w:rPr>
          <w:sz w:val="20"/>
          <w:szCs w:val="20"/>
        </w:rPr>
        <w:t>,</w:t>
      </w:r>
      <w:r w:rsidR="00A779F7" w:rsidRPr="00D17328">
        <w:rPr>
          <w:sz w:val="20"/>
          <w:szCs w:val="20"/>
        </w:rPr>
        <w:t xml:space="preserve"> se prevé un</w:t>
      </w:r>
      <w:r w:rsidR="00C94434" w:rsidRPr="00D17328">
        <w:rPr>
          <w:sz w:val="20"/>
          <w:szCs w:val="20"/>
        </w:rPr>
        <w:t>a</w:t>
      </w:r>
      <w:r w:rsidR="00A779F7" w:rsidRPr="00D17328">
        <w:rPr>
          <w:sz w:val="20"/>
          <w:szCs w:val="20"/>
        </w:rPr>
        <w:t xml:space="preserve"> </w:t>
      </w:r>
      <w:r w:rsidR="00C94434" w:rsidRPr="00D17328">
        <w:rPr>
          <w:sz w:val="20"/>
          <w:szCs w:val="20"/>
        </w:rPr>
        <w:t>variación</w:t>
      </w:r>
      <w:r w:rsidR="00A779F7" w:rsidRPr="00D17328">
        <w:rPr>
          <w:sz w:val="20"/>
          <w:szCs w:val="20"/>
        </w:rPr>
        <w:t xml:space="preserve"> </w:t>
      </w:r>
      <w:r w:rsidR="00BD6173" w:rsidRPr="00D17328">
        <w:rPr>
          <w:sz w:val="20"/>
          <w:szCs w:val="20"/>
        </w:rPr>
        <w:t xml:space="preserve">del </w:t>
      </w:r>
      <w:r w:rsidR="00817CF9" w:rsidRPr="00D17328">
        <w:rPr>
          <w:sz w:val="20"/>
          <w:szCs w:val="20"/>
        </w:rPr>
        <w:t>-2.31</w:t>
      </w:r>
      <w:r w:rsidR="00B04876" w:rsidRPr="00D17328">
        <w:rPr>
          <w:sz w:val="20"/>
          <w:szCs w:val="20"/>
        </w:rPr>
        <w:t>%</w:t>
      </w:r>
      <w:r w:rsidR="00C94434" w:rsidRPr="00D17328">
        <w:rPr>
          <w:sz w:val="20"/>
          <w:szCs w:val="20"/>
        </w:rPr>
        <w:t xml:space="preserve"> </w:t>
      </w:r>
      <w:r w:rsidR="00703760" w:rsidRPr="00D17328">
        <w:rPr>
          <w:sz w:val="20"/>
          <w:szCs w:val="20"/>
        </w:rPr>
        <w:t xml:space="preserve">en las participaciones federales, </w:t>
      </w:r>
      <w:r w:rsidR="00C94434" w:rsidRPr="00D17328">
        <w:rPr>
          <w:sz w:val="20"/>
          <w:szCs w:val="20"/>
        </w:rPr>
        <w:t xml:space="preserve">respecto </w:t>
      </w:r>
      <w:r w:rsidR="0047189B" w:rsidRPr="00D17328">
        <w:rPr>
          <w:sz w:val="20"/>
          <w:szCs w:val="20"/>
        </w:rPr>
        <w:t>de las cifras autorizadas en la Ley de Ingresos del Estado</w:t>
      </w:r>
      <w:r w:rsidR="004A70CF" w:rsidRPr="00D17328">
        <w:rPr>
          <w:sz w:val="20"/>
          <w:szCs w:val="20"/>
        </w:rPr>
        <w:t xml:space="preserve"> de Tlaxcala</w:t>
      </w:r>
      <w:r w:rsidR="0047189B" w:rsidRPr="00D17328">
        <w:rPr>
          <w:sz w:val="20"/>
          <w:szCs w:val="20"/>
        </w:rPr>
        <w:t xml:space="preserve"> </w:t>
      </w:r>
      <w:r w:rsidR="004A70CF" w:rsidRPr="00D17328">
        <w:rPr>
          <w:sz w:val="20"/>
          <w:szCs w:val="20"/>
        </w:rPr>
        <w:t>para el E</w:t>
      </w:r>
      <w:r w:rsidR="0047189B" w:rsidRPr="00D17328">
        <w:rPr>
          <w:sz w:val="20"/>
          <w:szCs w:val="20"/>
        </w:rPr>
        <w:t xml:space="preserve">jercicio </w:t>
      </w:r>
      <w:r w:rsidR="004A70CF" w:rsidRPr="00D17328">
        <w:rPr>
          <w:sz w:val="20"/>
          <w:szCs w:val="20"/>
        </w:rPr>
        <w:t>F</w:t>
      </w:r>
      <w:r w:rsidR="0047189B" w:rsidRPr="00D17328">
        <w:rPr>
          <w:sz w:val="20"/>
          <w:szCs w:val="20"/>
        </w:rPr>
        <w:t xml:space="preserve">iscal </w:t>
      </w:r>
      <w:r w:rsidR="00C94434" w:rsidRPr="00D17328">
        <w:rPr>
          <w:sz w:val="20"/>
          <w:szCs w:val="20"/>
        </w:rPr>
        <w:t>20</w:t>
      </w:r>
      <w:r w:rsidR="00817CF9" w:rsidRPr="00D17328">
        <w:rPr>
          <w:sz w:val="20"/>
          <w:szCs w:val="20"/>
        </w:rPr>
        <w:t>20</w:t>
      </w:r>
      <w:r w:rsidR="001E17CD" w:rsidRPr="00D17328">
        <w:rPr>
          <w:sz w:val="20"/>
          <w:szCs w:val="20"/>
        </w:rPr>
        <w:t>, tal y como se muestra en la gráfica siguiente:</w:t>
      </w:r>
    </w:p>
    <w:p w14:paraId="41789725" w14:textId="47552E83" w:rsidR="00A32AFB" w:rsidRPr="00805C43" w:rsidRDefault="00817CF9" w:rsidP="00C77C87">
      <w:pPr>
        <w:spacing w:line="360" w:lineRule="auto"/>
        <w:jc w:val="center"/>
        <w:rPr>
          <w:rFonts w:ascii="Arial" w:hAnsi="Arial" w:cs="Arial"/>
        </w:rPr>
      </w:pPr>
      <w:r w:rsidRPr="00805C43">
        <w:rPr>
          <w:rFonts w:ascii="Arial" w:hAnsi="Arial" w:cs="Arial"/>
          <w:noProof/>
          <w:lang w:val="es-MX" w:eastAsia="es-MX"/>
        </w:rPr>
        <w:drawing>
          <wp:inline distT="0" distB="0" distL="0" distR="0" wp14:anchorId="095B6D57" wp14:editId="11C9AD92">
            <wp:extent cx="3953663" cy="278130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8695" cy="2798909"/>
                    </a:xfrm>
                    <a:prstGeom prst="rect">
                      <a:avLst/>
                    </a:prstGeom>
                    <a:noFill/>
                  </pic:spPr>
                </pic:pic>
              </a:graphicData>
            </a:graphic>
          </wp:inline>
        </w:drawing>
      </w:r>
    </w:p>
    <w:p w14:paraId="135835B0"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4A4B3B43" w14:textId="77777777" w:rsidR="009C4AF9" w:rsidRPr="00890AD4" w:rsidRDefault="009C4AF9" w:rsidP="00CC771B">
      <w:pPr>
        <w:spacing w:line="360" w:lineRule="auto"/>
        <w:jc w:val="both"/>
        <w:rPr>
          <w:rFonts w:ascii="Arial" w:hAnsi="Arial" w:cs="Arial"/>
          <w:highlight w:val="yellow"/>
        </w:rPr>
      </w:pPr>
    </w:p>
    <w:p w14:paraId="432D447E" w14:textId="493A1832" w:rsidR="00CC771B" w:rsidRPr="00D17328" w:rsidRDefault="00F54069" w:rsidP="00CC771B">
      <w:pPr>
        <w:spacing w:line="360" w:lineRule="auto"/>
        <w:jc w:val="both"/>
        <w:rPr>
          <w:sz w:val="20"/>
          <w:szCs w:val="20"/>
        </w:rPr>
      </w:pPr>
      <w:r w:rsidRPr="00D17328">
        <w:rPr>
          <w:sz w:val="20"/>
          <w:szCs w:val="20"/>
        </w:rPr>
        <w:lastRenderedPageBreak/>
        <w:t xml:space="preserve">En el caso de las aportaciones federales, </w:t>
      </w:r>
      <w:r w:rsidR="00BF54CF" w:rsidRPr="00D17328">
        <w:rPr>
          <w:sz w:val="20"/>
          <w:szCs w:val="20"/>
        </w:rPr>
        <w:t>se espera un comportamiento a</w:t>
      </w:r>
      <w:r w:rsidR="001E17CD" w:rsidRPr="00D17328">
        <w:rPr>
          <w:sz w:val="20"/>
          <w:szCs w:val="20"/>
        </w:rPr>
        <w:t xml:space="preserve"> </w:t>
      </w:r>
      <w:r w:rsidR="00BF54CF" w:rsidRPr="00D17328">
        <w:rPr>
          <w:sz w:val="20"/>
          <w:szCs w:val="20"/>
        </w:rPr>
        <w:t>l</w:t>
      </w:r>
      <w:r w:rsidR="001E17CD" w:rsidRPr="00D17328">
        <w:rPr>
          <w:sz w:val="20"/>
          <w:szCs w:val="20"/>
        </w:rPr>
        <w:t>a</w:t>
      </w:r>
      <w:r w:rsidR="00BF54CF" w:rsidRPr="00D17328">
        <w:rPr>
          <w:sz w:val="20"/>
          <w:szCs w:val="20"/>
        </w:rPr>
        <w:t xml:space="preserve"> alza</w:t>
      </w:r>
      <w:r w:rsidR="00703760" w:rsidRPr="00D17328">
        <w:rPr>
          <w:sz w:val="20"/>
          <w:szCs w:val="20"/>
        </w:rPr>
        <w:t>,</w:t>
      </w:r>
      <w:r w:rsidR="00621C8D" w:rsidRPr="00D17328">
        <w:rPr>
          <w:sz w:val="20"/>
          <w:szCs w:val="20"/>
        </w:rPr>
        <w:t xml:space="preserve"> </w:t>
      </w:r>
      <w:r w:rsidR="007B7264" w:rsidRPr="00D17328">
        <w:rPr>
          <w:sz w:val="20"/>
          <w:szCs w:val="20"/>
        </w:rPr>
        <w:t>da</w:t>
      </w:r>
      <w:r w:rsidR="00A3670F" w:rsidRPr="00D17328">
        <w:rPr>
          <w:sz w:val="20"/>
          <w:szCs w:val="20"/>
        </w:rPr>
        <w:t>do que son recursos etiquetados</w:t>
      </w:r>
      <w:r w:rsidR="007B7264" w:rsidRPr="00D17328">
        <w:rPr>
          <w:sz w:val="20"/>
          <w:szCs w:val="20"/>
        </w:rPr>
        <w:t xml:space="preserve">, </w:t>
      </w:r>
      <w:r w:rsidR="00BF54CF" w:rsidRPr="00D17328">
        <w:rPr>
          <w:sz w:val="20"/>
          <w:szCs w:val="20"/>
        </w:rPr>
        <w:t xml:space="preserve">se estima </w:t>
      </w:r>
      <w:r w:rsidR="00C41230" w:rsidRPr="00D17328">
        <w:rPr>
          <w:sz w:val="20"/>
          <w:szCs w:val="20"/>
        </w:rPr>
        <w:t>un</w:t>
      </w:r>
      <w:r w:rsidR="00D9232E" w:rsidRPr="00D17328">
        <w:rPr>
          <w:sz w:val="20"/>
          <w:szCs w:val="20"/>
        </w:rPr>
        <w:t>a</w:t>
      </w:r>
      <w:r w:rsidR="00C41230" w:rsidRPr="00D17328">
        <w:rPr>
          <w:sz w:val="20"/>
          <w:szCs w:val="20"/>
        </w:rPr>
        <w:t xml:space="preserve"> </w:t>
      </w:r>
      <w:r w:rsidR="00D9232E" w:rsidRPr="00D17328">
        <w:rPr>
          <w:sz w:val="20"/>
          <w:szCs w:val="20"/>
        </w:rPr>
        <w:t>variación positiva d</w:t>
      </w:r>
      <w:r w:rsidR="002E441F" w:rsidRPr="00D17328">
        <w:rPr>
          <w:sz w:val="20"/>
          <w:szCs w:val="20"/>
        </w:rPr>
        <w:t xml:space="preserve">el </w:t>
      </w:r>
      <w:r w:rsidR="00D044FA" w:rsidRPr="00D17328">
        <w:rPr>
          <w:sz w:val="20"/>
          <w:szCs w:val="20"/>
        </w:rPr>
        <w:t>2</w:t>
      </w:r>
      <w:r w:rsidR="00C41230" w:rsidRPr="00D17328">
        <w:rPr>
          <w:sz w:val="20"/>
          <w:szCs w:val="20"/>
        </w:rPr>
        <w:t>.</w:t>
      </w:r>
      <w:r w:rsidR="00D044FA" w:rsidRPr="00D17328">
        <w:rPr>
          <w:sz w:val="20"/>
          <w:szCs w:val="20"/>
        </w:rPr>
        <w:t>17</w:t>
      </w:r>
      <w:r w:rsidR="005B080A" w:rsidRPr="00D17328">
        <w:rPr>
          <w:sz w:val="20"/>
          <w:szCs w:val="20"/>
        </w:rPr>
        <w:t xml:space="preserve">% </w:t>
      </w:r>
      <w:r w:rsidR="00BF54CF" w:rsidRPr="00D17328">
        <w:rPr>
          <w:sz w:val="20"/>
          <w:szCs w:val="20"/>
        </w:rPr>
        <w:t>con relación a las cifras aprobadas en el ejercicio fiscal 20</w:t>
      </w:r>
      <w:r w:rsidR="00D044FA" w:rsidRPr="00D17328">
        <w:rPr>
          <w:sz w:val="20"/>
          <w:szCs w:val="20"/>
        </w:rPr>
        <w:t>20</w:t>
      </w:r>
      <w:r w:rsidR="001E17CD" w:rsidRPr="00D17328">
        <w:rPr>
          <w:sz w:val="20"/>
          <w:szCs w:val="20"/>
        </w:rPr>
        <w:t xml:space="preserve">, como se ejemplifica a continuación: </w:t>
      </w:r>
    </w:p>
    <w:p w14:paraId="3AA976BB" w14:textId="7E6A8A9E" w:rsidR="00F54069" w:rsidRPr="00B87D72" w:rsidRDefault="00817CF9" w:rsidP="00C77C87">
      <w:pPr>
        <w:spacing w:line="360" w:lineRule="auto"/>
        <w:jc w:val="center"/>
      </w:pPr>
      <w:r w:rsidRPr="00B87D72">
        <w:rPr>
          <w:noProof/>
          <w:lang w:val="es-MX" w:eastAsia="es-MX"/>
        </w:rPr>
        <w:drawing>
          <wp:inline distT="0" distB="0" distL="0" distR="0" wp14:anchorId="32412791" wp14:editId="0CF36FCA">
            <wp:extent cx="4725695" cy="31813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9102" cy="3197108"/>
                    </a:xfrm>
                    <a:prstGeom prst="rect">
                      <a:avLst/>
                    </a:prstGeom>
                    <a:noFill/>
                  </pic:spPr>
                </pic:pic>
              </a:graphicData>
            </a:graphic>
          </wp:inline>
        </w:drawing>
      </w:r>
    </w:p>
    <w:p w14:paraId="3A106114"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71ECFF40" w14:textId="77777777" w:rsidR="004A6EF1" w:rsidRPr="00B87D72" w:rsidRDefault="004A6EF1" w:rsidP="00F7394D">
      <w:pPr>
        <w:spacing w:line="360" w:lineRule="auto"/>
        <w:jc w:val="both"/>
        <w:rPr>
          <w:rFonts w:ascii="Arial" w:hAnsi="Arial" w:cs="Arial"/>
        </w:rPr>
      </w:pPr>
    </w:p>
    <w:p w14:paraId="3F8863C2" w14:textId="6E86C18C" w:rsidR="007B7264" w:rsidRPr="00D17328" w:rsidRDefault="009C644E" w:rsidP="00B87D72">
      <w:pPr>
        <w:spacing w:line="360" w:lineRule="auto"/>
        <w:jc w:val="both"/>
        <w:rPr>
          <w:sz w:val="20"/>
          <w:szCs w:val="20"/>
        </w:rPr>
      </w:pPr>
      <w:r w:rsidRPr="00D17328">
        <w:rPr>
          <w:sz w:val="20"/>
          <w:szCs w:val="20"/>
        </w:rPr>
        <w:t>P</w:t>
      </w:r>
      <w:r w:rsidR="007B7264" w:rsidRPr="00D17328">
        <w:rPr>
          <w:sz w:val="20"/>
          <w:szCs w:val="20"/>
        </w:rPr>
        <w:t>ara el ejercicio fiscal 20</w:t>
      </w:r>
      <w:r w:rsidR="00386F57" w:rsidRPr="00D17328">
        <w:rPr>
          <w:sz w:val="20"/>
          <w:szCs w:val="20"/>
        </w:rPr>
        <w:t>2</w:t>
      </w:r>
      <w:r w:rsidR="00160920" w:rsidRPr="00D17328">
        <w:rPr>
          <w:sz w:val="20"/>
          <w:szCs w:val="20"/>
        </w:rPr>
        <w:t>1</w:t>
      </w:r>
      <w:r w:rsidR="007B7264" w:rsidRPr="00D17328">
        <w:rPr>
          <w:sz w:val="20"/>
          <w:szCs w:val="20"/>
        </w:rPr>
        <w:t>, se prevé obtener un total de ingresos para el Estado de Tlaxcala por $</w:t>
      </w:r>
      <w:r w:rsidR="00817CF9" w:rsidRPr="00D17328">
        <w:rPr>
          <w:sz w:val="20"/>
          <w:szCs w:val="20"/>
        </w:rPr>
        <w:t>20,667,669,175.00</w:t>
      </w:r>
      <w:r w:rsidR="00805C43" w:rsidRPr="00D17328">
        <w:rPr>
          <w:sz w:val="20"/>
          <w:szCs w:val="20"/>
        </w:rPr>
        <w:t>,</w:t>
      </w:r>
      <w:r w:rsidR="007B7264" w:rsidRPr="00D17328">
        <w:rPr>
          <w:sz w:val="20"/>
          <w:szCs w:val="20"/>
        </w:rPr>
        <w:t xml:space="preserve"> provenientes de fuentes locales, participaciones e incentivos económicos, aportaciones federales, convenios suscritos con el Gobierno Federal y extraordinarios, lo que representa u</w:t>
      </w:r>
      <w:r w:rsidR="00475574" w:rsidRPr="00D17328">
        <w:rPr>
          <w:sz w:val="20"/>
          <w:szCs w:val="20"/>
        </w:rPr>
        <w:t>n</w:t>
      </w:r>
      <w:r w:rsidR="00D9232E" w:rsidRPr="00D17328">
        <w:rPr>
          <w:sz w:val="20"/>
          <w:szCs w:val="20"/>
        </w:rPr>
        <w:t xml:space="preserve">a variación </w:t>
      </w:r>
      <w:r w:rsidR="00160920" w:rsidRPr="00D17328">
        <w:rPr>
          <w:sz w:val="20"/>
          <w:szCs w:val="20"/>
        </w:rPr>
        <w:t xml:space="preserve">a la baja </w:t>
      </w:r>
      <w:r w:rsidR="00475574" w:rsidRPr="00D17328">
        <w:rPr>
          <w:sz w:val="20"/>
          <w:szCs w:val="20"/>
        </w:rPr>
        <w:t xml:space="preserve">del </w:t>
      </w:r>
      <w:r w:rsidR="00817CF9" w:rsidRPr="00D17328">
        <w:rPr>
          <w:sz w:val="20"/>
          <w:szCs w:val="20"/>
        </w:rPr>
        <w:t>-</w:t>
      </w:r>
      <w:r w:rsidR="00160920" w:rsidRPr="00D17328">
        <w:rPr>
          <w:sz w:val="20"/>
          <w:szCs w:val="20"/>
        </w:rPr>
        <w:t>0</w:t>
      </w:r>
      <w:r w:rsidR="00030F41" w:rsidRPr="00D17328">
        <w:rPr>
          <w:sz w:val="20"/>
          <w:szCs w:val="20"/>
        </w:rPr>
        <w:t>.</w:t>
      </w:r>
      <w:r w:rsidR="00817CF9" w:rsidRPr="00D17328">
        <w:rPr>
          <w:sz w:val="20"/>
          <w:szCs w:val="20"/>
        </w:rPr>
        <w:t>54</w:t>
      </w:r>
      <w:r w:rsidR="00C270AE" w:rsidRPr="00D17328">
        <w:rPr>
          <w:sz w:val="20"/>
          <w:szCs w:val="20"/>
        </w:rPr>
        <w:t>% respecto de</w:t>
      </w:r>
      <w:r w:rsidR="00C5509C" w:rsidRPr="00D17328">
        <w:rPr>
          <w:sz w:val="20"/>
          <w:szCs w:val="20"/>
        </w:rPr>
        <w:t xml:space="preserve"> </w:t>
      </w:r>
      <w:r w:rsidR="00C270AE" w:rsidRPr="00D17328">
        <w:rPr>
          <w:sz w:val="20"/>
          <w:szCs w:val="20"/>
        </w:rPr>
        <w:t>l</w:t>
      </w:r>
      <w:r w:rsidR="00C5509C" w:rsidRPr="00D17328">
        <w:rPr>
          <w:sz w:val="20"/>
          <w:szCs w:val="20"/>
        </w:rPr>
        <w:t xml:space="preserve">as cifras autorizadas en la Ley de Ingresos </w:t>
      </w:r>
      <w:r w:rsidR="0050219A" w:rsidRPr="00D17328">
        <w:rPr>
          <w:sz w:val="20"/>
          <w:szCs w:val="20"/>
        </w:rPr>
        <w:t xml:space="preserve">del Estado de Tlaxcala, </w:t>
      </w:r>
      <w:r w:rsidR="00C5509C" w:rsidRPr="00D17328">
        <w:rPr>
          <w:sz w:val="20"/>
          <w:szCs w:val="20"/>
        </w:rPr>
        <w:t xml:space="preserve">para </w:t>
      </w:r>
      <w:r w:rsidR="001E17CD" w:rsidRPr="00D17328">
        <w:rPr>
          <w:sz w:val="20"/>
          <w:szCs w:val="20"/>
        </w:rPr>
        <w:t xml:space="preserve">el </w:t>
      </w:r>
      <w:r w:rsidR="0050219A" w:rsidRPr="00D17328">
        <w:rPr>
          <w:sz w:val="20"/>
          <w:szCs w:val="20"/>
        </w:rPr>
        <w:t>E</w:t>
      </w:r>
      <w:r w:rsidR="001E17CD" w:rsidRPr="00D17328">
        <w:rPr>
          <w:sz w:val="20"/>
          <w:szCs w:val="20"/>
        </w:rPr>
        <w:t xml:space="preserve">jercicio </w:t>
      </w:r>
      <w:r w:rsidR="0050219A" w:rsidRPr="00D17328">
        <w:rPr>
          <w:sz w:val="20"/>
          <w:szCs w:val="20"/>
        </w:rPr>
        <w:t>F</w:t>
      </w:r>
      <w:r w:rsidR="001E17CD" w:rsidRPr="00D17328">
        <w:rPr>
          <w:sz w:val="20"/>
          <w:szCs w:val="20"/>
        </w:rPr>
        <w:t xml:space="preserve">iscal </w:t>
      </w:r>
      <w:r w:rsidR="00C5509C" w:rsidRPr="00D17328">
        <w:rPr>
          <w:sz w:val="20"/>
          <w:szCs w:val="20"/>
        </w:rPr>
        <w:t>20</w:t>
      </w:r>
      <w:r w:rsidR="00160920" w:rsidRPr="00D17328">
        <w:rPr>
          <w:sz w:val="20"/>
          <w:szCs w:val="20"/>
        </w:rPr>
        <w:t>20</w:t>
      </w:r>
      <w:r w:rsidR="001E17CD" w:rsidRPr="00D17328">
        <w:rPr>
          <w:sz w:val="20"/>
          <w:szCs w:val="20"/>
        </w:rPr>
        <w:t>, tal y como se observa en la gráfica siguiente:</w:t>
      </w:r>
    </w:p>
    <w:p w14:paraId="6E67D4ED" w14:textId="77777777" w:rsidR="00091AA8" w:rsidRPr="00B87D72" w:rsidRDefault="00091AA8" w:rsidP="007B7264">
      <w:pPr>
        <w:spacing w:line="360" w:lineRule="auto"/>
        <w:jc w:val="both"/>
        <w:rPr>
          <w:rFonts w:ascii="Arial" w:hAnsi="Arial" w:cs="Arial"/>
        </w:rPr>
      </w:pPr>
    </w:p>
    <w:p w14:paraId="206084EE" w14:textId="7C982C20" w:rsidR="00824AFB" w:rsidRPr="00805C43" w:rsidRDefault="00D337FD" w:rsidP="008A500A">
      <w:pPr>
        <w:spacing w:line="360" w:lineRule="auto"/>
        <w:jc w:val="both"/>
        <w:rPr>
          <w:rFonts w:ascii="Arial" w:hAnsi="Arial" w:cs="Arial"/>
        </w:rPr>
      </w:pPr>
      <w:r w:rsidRPr="00805C43">
        <w:rPr>
          <w:rFonts w:ascii="Arial" w:hAnsi="Arial" w:cs="Arial"/>
          <w:noProof/>
          <w:lang w:val="es-MX" w:eastAsia="es-MX"/>
        </w:rPr>
        <w:lastRenderedPageBreak/>
        <w:drawing>
          <wp:inline distT="0" distB="0" distL="0" distR="0" wp14:anchorId="7AA42B7F" wp14:editId="1B69DFFD">
            <wp:extent cx="5085643" cy="2629105"/>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5193" cy="2649551"/>
                    </a:xfrm>
                    <a:prstGeom prst="rect">
                      <a:avLst/>
                    </a:prstGeom>
                    <a:noFill/>
                  </pic:spPr>
                </pic:pic>
              </a:graphicData>
            </a:graphic>
          </wp:inline>
        </w:drawing>
      </w:r>
    </w:p>
    <w:p w14:paraId="7330A3EF" w14:textId="77777777" w:rsidR="00F7394D" w:rsidRPr="00D17328" w:rsidRDefault="00F7394D" w:rsidP="00F7394D">
      <w:pPr>
        <w:spacing w:line="360" w:lineRule="auto"/>
        <w:jc w:val="both"/>
        <w:rPr>
          <w:b/>
          <w:sz w:val="12"/>
          <w:szCs w:val="12"/>
        </w:rPr>
      </w:pPr>
      <w:r w:rsidRPr="00D17328">
        <w:rPr>
          <w:b/>
          <w:sz w:val="12"/>
          <w:szCs w:val="12"/>
        </w:rPr>
        <w:t>Fuente: Elaboración propia DCGCH.</w:t>
      </w:r>
    </w:p>
    <w:p w14:paraId="31D8699D" w14:textId="77777777" w:rsidR="00460723" w:rsidRPr="00890AD4" w:rsidRDefault="00460723" w:rsidP="00CC771B">
      <w:pPr>
        <w:spacing w:line="360" w:lineRule="auto"/>
        <w:jc w:val="both"/>
        <w:rPr>
          <w:rFonts w:ascii="Arial" w:hAnsi="Arial" w:cs="Arial"/>
          <w:highlight w:val="yellow"/>
        </w:rPr>
      </w:pPr>
    </w:p>
    <w:p w14:paraId="56588CFE" w14:textId="79729B98" w:rsidR="00CC771B" w:rsidRPr="00D17328" w:rsidRDefault="00D9232E" w:rsidP="00CC771B">
      <w:pPr>
        <w:spacing w:line="360" w:lineRule="auto"/>
        <w:jc w:val="both"/>
        <w:rPr>
          <w:sz w:val="20"/>
          <w:szCs w:val="20"/>
        </w:rPr>
      </w:pPr>
      <w:r w:rsidRPr="00D17328">
        <w:rPr>
          <w:sz w:val="20"/>
          <w:szCs w:val="20"/>
        </w:rPr>
        <w:t>La presente I</w:t>
      </w:r>
      <w:r w:rsidR="00CC771B" w:rsidRPr="00D17328">
        <w:rPr>
          <w:sz w:val="20"/>
          <w:szCs w:val="20"/>
        </w:rPr>
        <w:t>niciativa, garantiza las fuentes de financiamiento de los programas y proyectos previstos en la Iniciativa de Decreto de Presupuesto de Egresos del Estado de Tlaxcala para el Ejercicio Fiscal 20</w:t>
      </w:r>
      <w:r w:rsidR="00386F57" w:rsidRPr="00D17328">
        <w:rPr>
          <w:sz w:val="20"/>
          <w:szCs w:val="20"/>
        </w:rPr>
        <w:t>2</w:t>
      </w:r>
      <w:r w:rsidR="00160920" w:rsidRPr="00D17328">
        <w:rPr>
          <w:sz w:val="20"/>
          <w:szCs w:val="20"/>
        </w:rPr>
        <w:t>1</w:t>
      </w:r>
      <w:r w:rsidR="00E02C1F" w:rsidRPr="00D17328">
        <w:rPr>
          <w:sz w:val="20"/>
          <w:szCs w:val="20"/>
        </w:rPr>
        <w:t>, observando los</w:t>
      </w:r>
      <w:r w:rsidR="00CC771B" w:rsidRPr="00D17328">
        <w:rPr>
          <w:sz w:val="20"/>
          <w:szCs w:val="20"/>
        </w:rPr>
        <w:t xml:space="preserve"> principios de eficiencia, economía, austeridad y eficacia.</w:t>
      </w:r>
    </w:p>
    <w:p w14:paraId="38907747" w14:textId="77777777" w:rsidR="002A5FEB" w:rsidRPr="00D17328" w:rsidRDefault="002A5FEB" w:rsidP="007159E7">
      <w:pPr>
        <w:spacing w:line="360" w:lineRule="auto"/>
        <w:jc w:val="both"/>
        <w:rPr>
          <w:sz w:val="20"/>
          <w:szCs w:val="20"/>
        </w:rPr>
      </w:pPr>
    </w:p>
    <w:p w14:paraId="77199B09" w14:textId="109A1FEA" w:rsidR="00EF3880" w:rsidRPr="00D17328" w:rsidRDefault="00EF3880" w:rsidP="00800CF7">
      <w:pPr>
        <w:numPr>
          <w:ilvl w:val="0"/>
          <w:numId w:val="3"/>
        </w:numPr>
        <w:spacing w:line="360" w:lineRule="auto"/>
        <w:ind w:left="567" w:hanging="567"/>
        <w:jc w:val="both"/>
        <w:rPr>
          <w:b/>
          <w:bCs/>
          <w:sz w:val="20"/>
          <w:szCs w:val="20"/>
        </w:rPr>
      </w:pPr>
      <w:r w:rsidRPr="00D17328">
        <w:rPr>
          <w:b/>
          <w:bCs/>
          <w:sz w:val="20"/>
          <w:szCs w:val="20"/>
        </w:rPr>
        <w:t>PERSPECTIVAS ECONÓMICAS</w:t>
      </w:r>
      <w:r w:rsidR="008D3728" w:rsidRPr="00D17328">
        <w:rPr>
          <w:b/>
          <w:bCs/>
          <w:sz w:val="20"/>
          <w:szCs w:val="20"/>
        </w:rPr>
        <w:t xml:space="preserve"> </w:t>
      </w:r>
      <w:r w:rsidRPr="00D17328">
        <w:rPr>
          <w:b/>
          <w:bCs/>
          <w:sz w:val="20"/>
          <w:szCs w:val="20"/>
        </w:rPr>
        <w:t xml:space="preserve">Y FISCALES </w:t>
      </w:r>
      <w:r w:rsidR="008D3728" w:rsidRPr="00D17328">
        <w:rPr>
          <w:b/>
          <w:bCs/>
          <w:sz w:val="20"/>
          <w:szCs w:val="20"/>
        </w:rPr>
        <w:t xml:space="preserve">DEL ESTADO DE TLAXCALA </w:t>
      </w:r>
      <w:r w:rsidR="00185604" w:rsidRPr="00D17328">
        <w:rPr>
          <w:b/>
          <w:bCs/>
          <w:sz w:val="20"/>
          <w:szCs w:val="20"/>
        </w:rPr>
        <w:t>20</w:t>
      </w:r>
      <w:r w:rsidR="00890AD4" w:rsidRPr="00D17328">
        <w:rPr>
          <w:b/>
          <w:bCs/>
          <w:sz w:val="20"/>
          <w:szCs w:val="20"/>
        </w:rPr>
        <w:t>21</w:t>
      </w:r>
      <w:r w:rsidRPr="00D17328">
        <w:rPr>
          <w:b/>
          <w:bCs/>
          <w:sz w:val="20"/>
          <w:szCs w:val="20"/>
        </w:rPr>
        <w:t>-202</w:t>
      </w:r>
      <w:r w:rsidR="00890AD4" w:rsidRPr="00D17328">
        <w:rPr>
          <w:b/>
          <w:bCs/>
          <w:sz w:val="20"/>
          <w:szCs w:val="20"/>
        </w:rPr>
        <w:t>6</w:t>
      </w:r>
      <w:r w:rsidR="002F0F09" w:rsidRPr="00D17328">
        <w:rPr>
          <w:b/>
          <w:bCs/>
          <w:sz w:val="20"/>
          <w:szCs w:val="20"/>
        </w:rPr>
        <w:t>.</w:t>
      </w:r>
    </w:p>
    <w:p w14:paraId="2C5D8DA6" w14:textId="77777777" w:rsidR="00EF3880" w:rsidRPr="00D17328" w:rsidRDefault="00EF3880" w:rsidP="007159E7">
      <w:pPr>
        <w:spacing w:line="360" w:lineRule="auto"/>
        <w:jc w:val="both"/>
        <w:rPr>
          <w:sz w:val="20"/>
          <w:szCs w:val="20"/>
        </w:rPr>
      </w:pPr>
    </w:p>
    <w:p w14:paraId="1C0FEA01" w14:textId="68E8981D" w:rsidR="00EF3880" w:rsidRPr="00D17328" w:rsidRDefault="00EF3880" w:rsidP="00EF3880">
      <w:pPr>
        <w:spacing w:line="360" w:lineRule="auto"/>
        <w:jc w:val="both"/>
        <w:rPr>
          <w:sz w:val="20"/>
          <w:szCs w:val="20"/>
        </w:rPr>
      </w:pPr>
      <w:r w:rsidRPr="00D17328">
        <w:rPr>
          <w:sz w:val="20"/>
          <w:szCs w:val="20"/>
        </w:rPr>
        <w:t xml:space="preserve">El Paquete Económico </w:t>
      </w:r>
      <w:r w:rsidR="00B767A4" w:rsidRPr="00D17328">
        <w:rPr>
          <w:sz w:val="20"/>
          <w:szCs w:val="20"/>
        </w:rPr>
        <w:t xml:space="preserve">Estatal </w:t>
      </w:r>
      <w:r w:rsidRPr="00D17328">
        <w:rPr>
          <w:sz w:val="20"/>
          <w:szCs w:val="20"/>
        </w:rPr>
        <w:t xml:space="preserve">para </w:t>
      </w:r>
      <w:r w:rsidR="00161E0F" w:rsidRPr="00D17328">
        <w:rPr>
          <w:sz w:val="20"/>
          <w:szCs w:val="20"/>
        </w:rPr>
        <w:t xml:space="preserve">el ejercicio fiscal </w:t>
      </w:r>
      <w:r w:rsidRPr="00D17328">
        <w:rPr>
          <w:sz w:val="20"/>
          <w:szCs w:val="20"/>
        </w:rPr>
        <w:t>20</w:t>
      </w:r>
      <w:r w:rsidR="00890AD4" w:rsidRPr="00D17328">
        <w:rPr>
          <w:sz w:val="20"/>
          <w:szCs w:val="20"/>
        </w:rPr>
        <w:t>21</w:t>
      </w:r>
      <w:r w:rsidR="00627949" w:rsidRPr="00D17328">
        <w:rPr>
          <w:sz w:val="20"/>
          <w:szCs w:val="20"/>
        </w:rPr>
        <w:t xml:space="preserve"> puesto a consideración del Congreso del Estado</w:t>
      </w:r>
      <w:r w:rsidRPr="00D17328">
        <w:rPr>
          <w:sz w:val="20"/>
          <w:szCs w:val="20"/>
        </w:rPr>
        <w:t>, refleja el compromiso de</w:t>
      </w:r>
      <w:r w:rsidR="00CB7176" w:rsidRPr="00D17328">
        <w:rPr>
          <w:sz w:val="20"/>
          <w:szCs w:val="20"/>
        </w:rPr>
        <w:t xml:space="preserve"> esta Administración </w:t>
      </w:r>
      <w:r w:rsidRPr="00D17328">
        <w:rPr>
          <w:sz w:val="20"/>
          <w:szCs w:val="20"/>
        </w:rPr>
        <w:t>de manej</w:t>
      </w:r>
      <w:r w:rsidR="00627949" w:rsidRPr="00D17328">
        <w:rPr>
          <w:sz w:val="20"/>
          <w:szCs w:val="20"/>
        </w:rPr>
        <w:t>ar con</w:t>
      </w:r>
      <w:r w:rsidRPr="00D17328">
        <w:rPr>
          <w:sz w:val="20"/>
          <w:szCs w:val="20"/>
        </w:rPr>
        <w:t xml:space="preserve"> responsab</w:t>
      </w:r>
      <w:r w:rsidR="00627949" w:rsidRPr="00D17328">
        <w:rPr>
          <w:sz w:val="20"/>
          <w:szCs w:val="20"/>
        </w:rPr>
        <w:t>ilidad</w:t>
      </w:r>
      <w:r w:rsidRPr="00D17328">
        <w:rPr>
          <w:sz w:val="20"/>
          <w:szCs w:val="20"/>
        </w:rPr>
        <w:t xml:space="preserve"> </w:t>
      </w:r>
      <w:r w:rsidR="00CB7176" w:rsidRPr="00D17328">
        <w:rPr>
          <w:sz w:val="20"/>
          <w:szCs w:val="20"/>
        </w:rPr>
        <w:t xml:space="preserve">y congruencia </w:t>
      </w:r>
      <w:r w:rsidRPr="00D17328">
        <w:rPr>
          <w:sz w:val="20"/>
          <w:szCs w:val="20"/>
        </w:rPr>
        <w:t>las finanzas públicas</w:t>
      </w:r>
      <w:r w:rsidR="001E17CD" w:rsidRPr="00D17328">
        <w:rPr>
          <w:sz w:val="20"/>
          <w:szCs w:val="20"/>
        </w:rPr>
        <w:t>,</w:t>
      </w:r>
      <w:r w:rsidRPr="00D17328">
        <w:rPr>
          <w:sz w:val="20"/>
          <w:szCs w:val="20"/>
        </w:rPr>
        <w:t xml:space="preserve"> </w:t>
      </w:r>
      <w:r w:rsidR="00CB7176" w:rsidRPr="00D17328">
        <w:rPr>
          <w:sz w:val="20"/>
          <w:szCs w:val="20"/>
        </w:rPr>
        <w:t xml:space="preserve">considerando los diversos factores adversos que afectan a la economía mundial y repercuten directamente </w:t>
      </w:r>
      <w:r w:rsidR="00F14EAB" w:rsidRPr="00D17328">
        <w:rPr>
          <w:sz w:val="20"/>
          <w:szCs w:val="20"/>
        </w:rPr>
        <w:t>en nuestro país y en nuestro Estado.</w:t>
      </w:r>
    </w:p>
    <w:p w14:paraId="2990F3E5" w14:textId="77777777" w:rsidR="00EC11B5" w:rsidRPr="00D17328" w:rsidRDefault="00EC11B5" w:rsidP="00EF3880">
      <w:pPr>
        <w:spacing w:line="360" w:lineRule="auto"/>
        <w:jc w:val="both"/>
        <w:rPr>
          <w:sz w:val="20"/>
          <w:szCs w:val="20"/>
        </w:rPr>
      </w:pPr>
    </w:p>
    <w:p w14:paraId="55C610E1" w14:textId="4A5CB0B5" w:rsidR="00161E0F" w:rsidRPr="00D17328" w:rsidRDefault="00161E0F" w:rsidP="00161E0F">
      <w:pPr>
        <w:spacing w:line="360" w:lineRule="auto"/>
        <w:jc w:val="both"/>
        <w:rPr>
          <w:sz w:val="20"/>
          <w:szCs w:val="20"/>
        </w:rPr>
      </w:pPr>
      <w:r w:rsidRPr="00D17328">
        <w:rPr>
          <w:sz w:val="20"/>
          <w:szCs w:val="20"/>
        </w:rPr>
        <w:t>El compromiso por la transparencia y rendición de cuentas con la ciudadanía</w:t>
      </w:r>
      <w:r w:rsidR="001E17CD" w:rsidRPr="00D17328">
        <w:rPr>
          <w:sz w:val="20"/>
          <w:szCs w:val="20"/>
        </w:rPr>
        <w:t>,</w:t>
      </w:r>
      <w:r w:rsidRPr="00D17328">
        <w:rPr>
          <w:sz w:val="20"/>
          <w:szCs w:val="20"/>
        </w:rPr>
        <w:t xml:space="preserve"> se refuerza con la </w:t>
      </w:r>
      <w:r w:rsidR="00FB3D6B" w:rsidRPr="00D17328">
        <w:rPr>
          <w:sz w:val="20"/>
          <w:szCs w:val="20"/>
        </w:rPr>
        <w:t xml:space="preserve">observancia a las disposiciones </w:t>
      </w:r>
      <w:r w:rsidRPr="00D17328">
        <w:rPr>
          <w:sz w:val="20"/>
          <w:szCs w:val="20"/>
        </w:rPr>
        <w:t xml:space="preserve">del Sistema Estatal Anticorrupción, aplicable al Estado y los municipios, </w:t>
      </w:r>
      <w:r w:rsidR="001E17CD" w:rsidRPr="00D17328">
        <w:rPr>
          <w:sz w:val="20"/>
          <w:szCs w:val="20"/>
        </w:rPr>
        <w:t xml:space="preserve">el cual </w:t>
      </w:r>
      <w:r w:rsidRPr="00D17328">
        <w:rPr>
          <w:sz w:val="20"/>
          <w:szCs w:val="20"/>
        </w:rPr>
        <w:t xml:space="preserve">fija las bases para la fiscalización y control de los recursos públicos, </w:t>
      </w:r>
      <w:r w:rsidR="003C4D09" w:rsidRPr="00D17328">
        <w:rPr>
          <w:sz w:val="20"/>
          <w:szCs w:val="20"/>
        </w:rPr>
        <w:t>involucra</w:t>
      </w:r>
      <w:r w:rsidR="00FB3D6B" w:rsidRPr="00D17328">
        <w:rPr>
          <w:sz w:val="20"/>
          <w:szCs w:val="20"/>
        </w:rPr>
        <w:t>ndo</w:t>
      </w:r>
      <w:r w:rsidR="003C4D09" w:rsidRPr="00D17328">
        <w:rPr>
          <w:sz w:val="20"/>
          <w:szCs w:val="20"/>
        </w:rPr>
        <w:t xml:space="preserve"> activamente </w:t>
      </w:r>
      <w:r w:rsidRPr="00D17328">
        <w:rPr>
          <w:sz w:val="20"/>
          <w:szCs w:val="20"/>
        </w:rPr>
        <w:t xml:space="preserve">a la sociedad civil al integrar </w:t>
      </w:r>
      <w:r w:rsidR="001E17CD" w:rsidRPr="00D17328">
        <w:rPr>
          <w:sz w:val="20"/>
          <w:szCs w:val="20"/>
        </w:rPr>
        <w:t>e</w:t>
      </w:r>
      <w:r w:rsidRPr="00D17328">
        <w:rPr>
          <w:sz w:val="20"/>
          <w:szCs w:val="20"/>
        </w:rPr>
        <w:t>l Comité de Participación Ciudadana.</w:t>
      </w:r>
    </w:p>
    <w:p w14:paraId="3C5C8466" w14:textId="77777777" w:rsidR="00161E0F" w:rsidRPr="00D17328" w:rsidRDefault="00161E0F" w:rsidP="00161E0F">
      <w:pPr>
        <w:spacing w:line="360" w:lineRule="auto"/>
        <w:jc w:val="both"/>
        <w:rPr>
          <w:sz w:val="20"/>
          <w:szCs w:val="20"/>
        </w:rPr>
      </w:pPr>
    </w:p>
    <w:p w14:paraId="5CF5BB24" w14:textId="1B58F031" w:rsidR="00DD6971" w:rsidRPr="00D17328" w:rsidRDefault="00DD6971" w:rsidP="00DD6971">
      <w:pPr>
        <w:spacing w:line="360" w:lineRule="auto"/>
        <w:jc w:val="both"/>
        <w:rPr>
          <w:sz w:val="20"/>
          <w:szCs w:val="20"/>
        </w:rPr>
      </w:pPr>
      <w:r w:rsidRPr="00D17328">
        <w:rPr>
          <w:sz w:val="20"/>
          <w:szCs w:val="20"/>
        </w:rPr>
        <w:t xml:space="preserve">El escenario de finanzas públicas de mediano plazo, para los años 2021-2026, utilizan un marco macroeconómico prudente. Los pronósticos de crecimiento del PIB son inerciales y no consideran </w:t>
      </w:r>
      <w:r w:rsidRPr="00D17328">
        <w:rPr>
          <w:sz w:val="20"/>
          <w:szCs w:val="20"/>
        </w:rPr>
        <w:lastRenderedPageBreak/>
        <w:t xml:space="preserve">políticas económicas que están a discusión en la agenda económica ni incorporan todos los efectos de política pública del Gobierno de México para el resto de la Administración. </w:t>
      </w:r>
    </w:p>
    <w:p w14:paraId="352D13F1" w14:textId="77777777" w:rsidR="00DD6971" w:rsidRPr="00D17328" w:rsidRDefault="00DD6971" w:rsidP="00DD6971">
      <w:pPr>
        <w:spacing w:line="360" w:lineRule="auto"/>
        <w:jc w:val="both"/>
        <w:rPr>
          <w:sz w:val="20"/>
          <w:szCs w:val="20"/>
        </w:rPr>
      </w:pPr>
    </w:p>
    <w:p w14:paraId="2098E6E9" w14:textId="77777777" w:rsidR="00DD6971" w:rsidRPr="00D17328" w:rsidRDefault="00DD6971" w:rsidP="00DD6971">
      <w:pPr>
        <w:spacing w:line="360" w:lineRule="auto"/>
        <w:jc w:val="both"/>
        <w:rPr>
          <w:sz w:val="20"/>
          <w:szCs w:val="20"/>
        </w:rPr>
      </w:pPr>
      <w:r w:rsidRPr="00D17328">
        <w:rPr>
          <w:sz w:val="20"/>
          <w:szCs w:val="20"/>
        </w:rPr>
        <w:t xml:space="preserve">Durante el periodo 2021-2026, se espera que el crecimiento de la actividad económica global sea mayor que el promedio esperado para 2020 de 0.25%. En particular, para EEUU los analistas encuestados por Blue Chip (edición de marzo de 2020) pronostican que durante el periodo 2022-2026 el PIB de ese país se expanda a un ritmo anual promedio de 2.0%, menor que el 3.8% para 2021. De acuerdo con la misma encuesta, para la producción industrial de EEUU se prevé un crecimiento anual promedio de 2.0%, menor que el 3.4% esperado para 2021. </w:t>
      </w:r>
    </w:p>
    <w:p w14:paraId="3C92D94E" w14:textId="77777777" w:rsidR="00DD6971" w:rsidRPr="00D17328" w:rsidRDefault="00DD6971" w:rsidP="00DD6971">
      <w:pPr>
        <w:spacing w:line="360" w:lineRule="auto"/>
        <w:jc w:val="both"/>
        <w:rPr>
          <w:sz w:val="20"/>
          <w:szCs w:val="20"/>
        </w:rPr>
      </w:pPr>
    </w:p>
    <w:p w14:paraId="7F5A42F6" w14:textId="55F5E855" w:rsidR="00DD6971" w:rsidRPr="00D17328" w:rsidRDefault="00DD6971" w:rsidP="00DD6971">
      <w:pPr>
        <w:spacing w:line="360" w:lineRule="auto"/>
        <w:jc w:val="both"/>
        <w:rPr>
          <w:sz w:val="20"/>
          <w:szCs w:val="20"/>
        </w:rPr>
      </w:pPr>
      <w:r w:rsidRPr="00D17328">
        <w:rPr>
          <w:sz w:val="20"/>
          <w:szCs w:val="20"/>
        </w:rPr>
        <w:t xml:space="preserve">La estabilización esperada para la economía estadounidense se explica, en gran medida, por un mejor desempeño de la economía ante las medidas de apoyo fiscal y monetario que el gobierno ha puesto en marcha. En términos de la inflación de EEUU para el periodo 2022-2026, los analistas encuestados por Blue Chip pronostican un nivel promedio de 2.2%, ligeramente mayor al objetivo de la </w:t>
      </w:r>
      <w:r w:rsidR="009F4A3B" w:rsidRPr="00D17328">
        <w:rPr>
          <w:sz w:val="20"/>
          <w:szCs w:val="20"/>
        </w:rPr>
        <w:t>reserva federal de EEUU (</w:t>
      </w:r>
      <w:r w:rsidRPr="00D17328">
        <w:rPr>
          <w:sz w:val="20"/>
          <w:szCs w:val="20"/>
        </w:rPr>
        <w:t>FED</w:t>
      </w:r>
      <w:r w:rsidR="009F4A3B" w:rsidRPr="00D17328">
        <w:rPr>
          <w:sz w:val="20"/>
          <w:szCs w:val="20"/>
        </w:rPr>
        <w:t>)</w:t>
      </w:r>
      <w:r w:rsidRPr="00D17328">
        <w:rPr>
          <w:sz w:val="20"/>
          <w:szCs w:val="20"/>
        </w:rPr>
        <w:t xml:space="preserve"> de 2%. Los analistas encuestados anticipan que durante ese mismo periodo los rendimientos de los bonos del Tesoro de EEUU a tres meses y diez años promedien 1.9 y 2.7%, respectivamente. </w:t>
      </w:r>
    </w:p>
    <w:p w14:paraId="6C2515B3" w14:textId="77777777" w:rsidR="00DD6971" w:rsidRPr="00D17328" w:rsidRDefault="00DD6971" w:rsidP="00DD6971">
      <w:pPr>
        <w:spacing w:line="360" w:lineRule="auto"/>
        <w:jc w:val="both"/>
        <w:rPr>
          <w:sz w:val="20"/>
          <w:szCs w:val="20"/>
        </w:rPr>
      </w:pPr>
    </w:p>
    <w:p w14:paraId="58AD4BA2" w14:textId="497A35D4" w:rsidR="00DD6971" w:rsidRPr="00D17328" w:rsidRDefault="00DD6971" w:rsidP="00DD6971">
      <w:pPr>
        <w:spacing w:line="360" w:lineRule="auto"/>
        <w:jc w:val="both"/>
        <w:rPr>
          <w:sz w:val="20"/>
          <w:szCs w:val="20"/>
        </w:rPr>
      </w:pPr>
      <w:r w:rsidRPr="00D17328">
        <w:rPr>
          <w:sz w:val="20"/>
          <w:szCs w:val="20"/>
        </w:rPr>
        <w:t>En congruencia con la evolución esperada para el PIB y la producción industrial de los EEUU, se estima que en el mediano plazo se observará un incremento en el ritmo de crecimiento de la demanda externa de México, que se verá soportada por una mayor competitividad. Por otro lado, el fortalecimiento de las condiciones domésticas en los últimos años permite proyectar un crecimiento continuo del empleo, una mayor disponibilidad de financiamiento y niveles crecientes de inversión, lo que generaría una aceleración gradual en la demanda interna.</w:t>
      </w:r>
    </w:p>
    <w:p w14:paraId="706FD25D" w14:textId="77777777" w:rsidR="00DD6971" w:rsidRPr="00D17328" w:rsidRDefault="00DD6971" w:rsidP="00DD6971">
      <w:pPr>
        <w:spacing w:line="360" w:lineRule="auto"/>
        <w:jc w:val="both"/>
        <w:rPr>
          <w:sz w:val="20"/>
          <w:szCs w:val="20"/>
        </w:rPr>
      </w:pPr>
    </w:p>
    <w:p w14:paraId="3E1E123B" w14:textId="77777777" w:rsidR="00DD6971" w:rsidRPr="00D17328" w:rsidRDefault="00DD6971" w:rsidP="00DD6971">
      <w:pPr>
        <w:spacing w:line="360" w:lineRule="auto"/>
        <w:jc w:val="both"/>
        <w:rPr>
          <w:sz w:val="20"/>
          <w:szCs w:val="20"/>
        </w:rPr>
      </w:pPr>
      <w:r w:rsidRPr="00D17328">
        <w:rPr>
          <w:sz w:val="20"/>
          <w:szCs w:val="20"/>
        </w:rPr>
        <w:t xml:space="preserve">En contraste, se espera que las exportaciones petroleras se recuperen gradualmente, en la medida que se incremente la plataforma de producción de petróleo. Esta plataforma de producción incluye la esperada por parte del sector privado. Finalmente, se espera que tanto la demanda interna como la externa propicien un entorno favorable para el consumo y la inversión. </w:t>
      </w:r>
    </w:p>
    <w:p w14:paraId="0D408877" w14:textId="77777777" w:rsidR="00DD6971" w:rsidRPr="00D17328" w:rsidRDefault="00DD6971" w:rsidP="00DD6971">
      <w:pPr>
        <w:spacing w:line="360" w:lineRule="auto"/>
        <w:jc w:val="both"/>
        <w:rPr>
          <w:sz w:val="20"/>
          <w:szCs w:val="20"/>
        </w:rPr>
      </w:pPr>
    </w:p>
    <w:p w14:paraId="6167B69C" w14:textId="42DA112B" w:rsidR="00DD6971" w:rsidRPr="00D17328" w:rsidRDefault="00DD6971" w:rsidP="00DD6971">
      <w:pPr>
        <w:spacing w:line="360" w:lineRule="auto"/>
        <w:jc w:val="both"/>
        <w:rPr>
          <w:sz w:val="20"/>
          <w:szCs w:val="20"/>
        </w:rPr>
      </w:pPr>
      <w:r w:rsidRPr="00D17328">
        <w:rPr>
          <w:sz w:val="20"/>
          <w:szCs w:val="20"/>
        </w:rPr>
        <w:t>De esta manera, se estima que en el periodo 202</w:t>
      </w:r>
      <w:r w:rsidR="004A59BD" w:rsidRPr="00D17328">
        <w:rPr>
          <w:sz w:val="20"/>
          <w:szCs w:val="20"/>
        </w:rPr>
        <w:t>2</w:t>
      </w:r>
      <w:r w:rsidRPr="00D17328">
        <w:rPr>
          <w:sz w:val="20"/>
          <w:szCs w:val="20"/>
        </w:rPr>
        <w:t xml:space="preserve">-2026 el PIB de México registre un crecimiento real anual de entre 2.0 y 3.0%. Específicamente, la estimación puntual del crecimiento del PIB </w:t>
      </w:r>
      <w:r w:rsidR="004A59BD" w:rsidRPr="00D17328">
        <w:rPr>
          <w:sz w:val="20"/>
          <w:szCs w:val="20"/>
        </w:rPr>
        <w:t xml:space="preserve">para 2021 es del 4.6%, </w:t>
      </w:r>
      <w:r w:rsidRPr="00D17328">
        <w:rPr>
          <w:sz w:val="20"/>
          <w:szCs w:val="20"/>
        </w:rPr>
        <w:t>para 2022 se ubica en 2.6%, y de 2023 a 202</w:t>
      </w:r>
      <w:r w:rsidR="004A59BD" w:rsidRPr="00D17328">
        <w:rPr>
          <w:sz w:val="20"/>
          <w:szCs w:val="20"/>
        </w:rPr>
        <w:t>6</w:t>
      </w:r>
      <w:r w:rsidRPr="00D17328">
        <w:rPr>
          <w:sz w:val="20"/>
          <w:szCs w:val="20"/>
        </w:rPr>
        <w:t xml:space="preserve"> en 2.5%. Cabe señalar que estas estimaciones se ubican ligeramente por arriba de la expectativa del FMI para el periodo 2021-2024 con un </w:t>
      </w:r>
      <w:r w:rsidRPr="00D17328">
        <w:rPr>
          <w:sz w:val="20"/>
          <w:szCs w:val="20"/>
        </w:rPr>
        <w:lastRenderedPageBreak/>
        <w:t xml:space="preserve">crecimiento promedio de 2.2% y del pronóstico promedio de los próximos diez años reportado por los analistas encuestados por el Banco de México de 1.9%, de acuerdo con la encuesta publicada el 1 de septiembre de 2020. </w:t>
      </w:r>
    </w:p>
    <w:p w14:paraId="36BDDF7F" w14:textId="7565442E" w:rsidR="00D85D57" w:rsidRDefault="00D85D57" w:rsidP="00DD6971">
      <w:pPr>
        <w:spacing w:line="360" w:lineRule="auto"/>
        <w:jc w:val="both"/>
        <w:rPr>
          <w:rFonts w:ascii="Arial" w:hAnsi="Arial" w:cs="Arial"/>
        </w:rPr>
      </w:pPr>
      <w:r>
        <w:rPr>
          <w:noProof/>
          <w:lang w:val="es-MX" w:eastAsia="es-MX"/>
        </w:rPr>
        <w:drawing>
          <wp:inline distT="0" distB="0" distL="0" distR="0" wp14:anchorId="48F580B6" wp14:editId="25F00D0D">
            <wp:extent cx="5381625" cy="2780970"/>
            <wp:effectExtent l="0" t="0" r="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021" t="31059" r="17065" b="10418"/>
                    <a:stretch/>
                  </pic:blipFill>
                  <pic:spPr bwMode="auto">
                    <a:xfrm>
                      <a:off x="0" y="0"/>
                      <a:ext cx="5445674" cy="2814068"/>
                    </a:xfrm>
                    <a:prstGeom prst="rect">
                      <a:avLst/>
                    </a:prstGeom>
                    <a:ln>
                      <a:noFill/>
                    </a:ln>
                    <a:extLst>
                      <a:ext uri="{53640926-AAD7-44D8-BBD7-CCE9431645EC}">
                        <a14:shadowObscured xmlns:a14="http://schemas.microsoft.com/office/drawing/2010/main"/>
                      </a:ext>
                    </a:extLst>
                  </pic:spPr>
                </pic:pic>
              </a:graphicData>
            </a:graphic>
          </wp:inline>
        </w:drawing>
      </w:r>
    </w:p>
    <w:p w14:paraId="09400178" w14:textId="0F04EDDD" w:rsidR="00DD6971" w:rsidRPr="00D17328" w:rsidRDefault="00DD6971" w:rsidP="00DD6971">
      <w:pPr>
        <w:spacing w:line="360" w:lineRule="auto"/>
        <w:jc w:val="both"/>
        <w:rPr>
          <w:sz w:val="20"/>
          <w:szCs w:val="20"/>
        </w:rPr>
      </w:pPr>
      <w:r w:rsidRPr="00D17328">
        <w:rPr>
          <w:sz w:val="20"/>
          <w:szCs w:val="20"/>
        </w:rPr>
        <w:t>Se considera que en el periodo 2022-2026 la inflación se ubicará en la meta establecida por el Banco de México de 3.0%. Asimismo, se supone una ligera depreciación del tipo de cambio nominal en el horizonte previsto, congruente con una trayectoria del tipo de cambio real bilateral peso-dólar constante en el periodo 2022-2026 y tomando en cuenta el comportamiento esperado de mediano plazo para la inflación en los EEUU. En este marco, se supone un incremento gradual de la tasa de Cetes a 28 días, para ubicarla en 4.75% en 2022. De este modo, se estima que aumente a 5.25% en 2023 y se mantenga en 5.5% de 2024 hasta 2026, en línea con el pronóstico de la actividad económica, la inflación y la política monetaria del Banco de México. Igualmente, se prevé que el diferencial entre las tasas de referencia de México y EEUU se estabilice de manera paulatina.</w:t>
      </w:r>
    </w:p>
    <w:p w14:paraId="3E41656B" w14:textId="61ABBFD0" w:rsidR="00DD6971" w:rsidRPr="00D17328" w:rsidRDefault="00DD6971" w:rsidP="00EF3880">
      <w:pPr>
        <w:spacing w:line="360" w:lineRule="auto"/>
        <w:jc w:val="both"/>
        <w:rPr>
          <w:sz w:val="20"/>
          <w:szCs w:val="20"/>
        </w:rPr>
      </w:pPr>
    </w:p>
    <w:p w14:paraId="427D9622" w14:textId="16525C90" w:rsidR="00410420" w:rsidRPr="00D17328" w:rsidRDefault="00410420" w:rsidP="004A59BD">
      <w:pPr>
        <w:spacing w:line="360" w:lineRule="auto"/>
        <w:jc w:val="both"/>
        <w:rPr>
          <w:sz w:val="20"/>
          <w:szCs w:val="20"/>
        </w:rPr>
      </w:pPr>
      <w:r w:rsidRPr="00D17328">
        <w:rPr>
          <w:sz w:val="20"/>
          <w:szCs w:val="20"/>
        </w:rPr>
        <w:t>Durante el horizonte proyectado, el déficit de la cuenta corriente de la balanza de pagos se ubicará en un nivel</w:t>
      </w:r>
      <w:r w:rsidR="004A59BD" w:rsidRPr="00D17328">
        <w:rPr>
          <w:sz w:val="20"/>
          <w:szCs w:val="20"/>
        </w:rPr>
        <w:t xml:space="preserve"> </w:t>
      </w:r>
      <w:r w:rsidRPr="00D17328">
        <w:rPr>
          <w:sz w:val="20"/>
          <w:szCs w:val="20"/>
        </w:rPr>
        <w:t>promedio de 1.4% del PIB, que puede considerarse moderado. Por otro lado, se prevé que los ingresos por remesas</w:t>
      </w:r>
      <w:r w:rsidR="004A59BD" w:rsidRPr="00D17328">
        <w:rPr>
          <w:sz w:val="20"/>
          <w:szCs w:val="20"/>
        </w:rPr>
        <w:t xml:space="preserve"> </w:t>
      </w:r>
      <w:r w:rsidRPr="00D17328">
        <w:rPr>
          <w:sz w:val="20"/>
          <w:szCs w:val="20"/>
        </w:rPr>
        <w:t>familiares registren un crecimiento continuo y sostenido de manera consistente con el crecimiento económico</w:t>
      </w:r>
      <w:r w:rsidR="004A59BD" w:rsidRPr="00D17328">
        <w:rPr>
          <w:sz w:val="20"/>
          <w:szCs w:val="20"/>
        </w:rPr>
        <w:t xml:space="preserve"> </w:t>
      </w:r>
      <w:r w:rsidRPr="00D17328">
        <w:rPr>
          <w:sz w:val="20"/>
          <w:szCs w:val="20"/>
        </w:rPr>
        <w:t>que se espera para EEUU. Este escenario también incorpora precios promedio de la mezcla mexicana para el</w:t>
      </w:r>
      <w:r w:rsidR="004A59BD" w:rsidRPr="00D17328">
        <w:rPr>
          <w:sz w:val="20"/>
          <w:szCs w:val="20"/>
        </w:rPr>
        <w:t xml:space="preserve"> </w:t>
      </w:r>
      <w:r w:rsidRPr="00D17328">
        <w:rPr>
          <w:sz w:val="20"/>
          <w:szCs w:val="20"/>
        </w:rPr>
        <w:t>periodo 2022-2026 de 49.3 dpb, en promedio, la tendencia a la baja en los futuros del precio del WTI y el diferencial</w:t>
      </w:r>
      <w:r w:rsidR="004A59BD" w:rsidRPr="00D17328">
        <w:rPr>
          <w:sz w:val="20"/>
          <w:szCs w:val="20"/>
        </w:rPr>
        <w:t xml:space="preserve"> </w:t>
      </w:r>
      <w:r w:rsidRPr="00D17328">
        <w:rPr>
          <w:sz w:val="20"/>
          <w:szCs w:val="20"/>
        </w:rPr>
        <w:t xml:space="preserve">del periodo 2019-2020 entre los precios de esta referencia internacional y el de la mezcla mexicana. </w:t>
      </w:r>
    </w:p>
    <w:p w14:paraId="70B5C95D" w14:textId="77777777" w:rsidR="004A59BD" w:rsidRPr="00D17328" w:rsidRDefault="004A59BD" w:rsidP="004A59BD">
      <w:pPr>
        <w:spacing w:line="360" w:lineRule="auto"/>
        <w:jc w:val="both"/>
        <w:rPr>
          <w:sz w:val="20"/>
          <w:szCs w:val="20"/>
        </w:rPr>
      </w:pPr>
    </w:p>
    <w:p w14:paraId="2EED7A78" w14:textId="77777777" w:rsidR="009F4A3B" w:rsidRPr="00D17328" w:rsidRDefault="00410420" w:rsidP="00410420">
      <w:pPr>
        <w:spacing w:line="360" w:lineRule="auto"/>
        <w:jc w:val="both"/>
        <w:rPr>
          <w:sz w:val="20"/>
          <w:szCs w:val="20"/>
        </w:rPr>
      </w:pPr>
      <w:r w:rsidRPr="00D17328">
        <w:rPr>
          <w:sz w:val="20"/>
          <w:szCs w:val="20"/>
        </w:rPr>
        <w:lastRenderedPageBreak/>
        <w:t>El escenario macroeconómico de mediano plazo está sujeto a riesgos que podrían modificar las trayectorias</w:t>
      </w:r>
      <w:r w:rsidR="004A59BD" w:rsidRPr="00D17328">
        <w:rPr>
          <w:sz w:val="20"/>
          <w:szCs w:val="20"/>
        </w:rPr>
        <w:t xml:space="preserve"> </w:t>
      </w:r>
      <w:r w:rsidRPr="00D17328">
        <w:rPr>
          <w:sz w:val="20"/>
          <w:szCs w:val="20"/>
        </w:rPr>
        <w:t xml:space="preserve">anticipadas. Entre los factores que pueden generar un entorno más benéfico al alza se encuentran: </w:t>
      </w:r>
    </w:p>
    <w:p w14:paraId="1F8AE2B2" w14:textId="77777777" w:rsidR="00E902C9" w:rsidRPr="00D17328" w:rsidRDefault="00E902C9" w:rsidP="00410420">
      <w:pPr>
        <w:spacing w:line="360" w:lineRule="auto"/>
        <w:jc w:val="both"/>
        <w:rPr>
          <w:sz w:val="20"/>
          <w:szCs w:val="20"/>
        </w:rPr>
      </w:pPr>
    </w:p>
    <w:p w14:paraId="7E82815E" w14:textId="72145CB7" w:rsidR="00E902C9" w:rsidRPr="00D17328" w:rsidRDefault="00410420" w:rsidP="00410420">
      <w:pPr>
        <w:spacing w:line="360" w:lineRule="auto"/>
        <w:jc w:val="both"/>
        <w:rPr>
          <w:sz w:val="20"/>
          <w:szCs w:val="20"/>
        </w:rPr>
      </w:pPr>
      <w:r w:rsidRPr="00D17328">
        <w:rPr>
          <w:sz w:val="20"/>
          <w:szCs w:val="20"/>
        </w:rPr>
        <w:t>1) Una</w:t>
      </w:r>
      <w:r w:rsidR="00D85D57" w:rsidRPr="00D17328">
        <w:rPr>
          <w:sz w:val="20"/>
          <w:szCs w:val="20"/>
        </w:rPr>
        <w:t xml:space="preserve"> </w:t>
      </w:r>
      <w:r w:rsidRPr="00D17328">
        <w:rPr>
          <w:sz w:val="20"/>
          <w:szCs w:val="20"/>
        </w:rPr>
        <w:t>disminución significativa del número de nuevos contagios por el COVID-19 o la finalización del desarrollo y</w:t>
      </w:r>
      <w:r w:rsidR="00D85D57" w:rsidRPr="00D17328">
        <w:rPr>
          <w:sz w:val="20"/>
          <w:szCs w:val="20"/>
        </w:rPr>
        <w:t xml:space="preserve"> </w:t>
      </w:r>
      <w:r w:rsidR="009F4A3B" w:rsidRPr="00D17328">
        <w:rPr>
          <w:sz w:val="20"/>
          <w:szCs w:val="20"/>
        </w:rPr>
        <w:t>producción de una vacuna.</w:t>
      </w:r>
    </w:p>
    <w:p w14:paraId="1F1B18AB" w14:textId="1235CB80" w:rsidR="00E902C9" w:rsidRPr="00D17328" w:rsidRDefault="00410420" w:rsidP="00410420">
      <w:pPr>
        <w:spacing w:line="360" w:lineRule="auto"/>
        <w:jc w:val="both"/>
        <w:rPr>
          <w:sz w:val="20"/>
          <w:szCs w:val="20"/>
        </w:rPr>
      </w:pPr>
      <w:r w:rsidRPr="00D17328">
        <w:rPr>
          <w:sz w:val="20"/>
          <w:szCs w:val="20"/>
        </w:rPr>
        <w:t>2) Una disminución de las barreras al comercio como parte de la resolución favorable</w:t>
      </w:r>
      <w:r w:rsidR="00D85D57" w:rsidRPr="00D17328">
        <w:rPr>
          <w:sz w:val="20"/>
          <w:szCs w:val="20"/>
        </w:rPr>
        <w:t xml:space="preserve"> </w:t>
      </w:r>
      <w:r w:rsidRPr="00D17328">
        <w:rPr>
          <w:sz w:val="20"/>
          <w:szCs w:val="20"/>
        </w:rPr>
        <w:t>de acuerdos comerciales y resol</w:t>
      </w:r>
      <w:r w:rsidR="009F4A3B" w:rsidRPr="00D17328">
        <w:rPr>
          <w:sz w:val="20"/>
          <w:szCs w:val="20"/>
        </w:rPr>
        <w:t>ución de conflictos ante la OMC.</w:t>
      </w:r>
      <w:r w:rsidRPr="00D17328">
        <w:rPr>
          <w:sz w:val="20"/>
          <w:szCs w:val="20"/>
        </w:rPr>
        <w:t xml:space="preserve"> </w:t>
      </w:r>
    </w:p>
    <w:p w14:paraId="14EA6DB9" w14:textId="38FB633E" w:rsidR="00DD6971" w:rsidRPr="00D17328" w:rsidRDefault="00410420" w:rsidP="00410420">
      <w:pPr>
        <w:spacing w:line="360" w:lineRule="auto"/>
        <w:jc w:val="both"/>
        <w:rPr>
          <w:sz w:val="20"/>
          <w:szCs w:val="20"/>
        </w:rPr>
      </w:pPr>
      <w:r w:rsidRPr="00D17328">
        <w:rPr>
          <w:sz w:val="20"/>
          <w:szCs w:val="20"/>
        </w:rPr>
        <w:t>3) Aumentos en la productividad global por la</w:t>
      </w:r>
      <w:r w:rsidR="00D85D57" w:rsidRPr="00D17328">
        <w:rPr>
          <w:sz w:val="20"/>
          <w:szCs w:val="20"/>
        </w:rPr>
        <w:t xml:space="preserve"> </w:t>
      </w:r>
      <w:r w:rsidRPr="00D17328">
        <w:rPr>
          <w:sz w:val="20"/>
          <w:szCs w:val="20"/>
        </w:rPr>
        <w:t>implementaci</w:t>
      </w:r>
      <w:r w:rsidR="009F4A3B" w:rsidRPr="00D17328">
        <w:rPr>
          <w:sz w:val="20"/>
          <w:szCs w:val="20"/>
        </w:rPr>
        <w:t>ón de políticas que la impulsen.</w:t>
      </w:r>
    </w:p>
    <w:p w14:paraId="55DDE700" w14:textId="15AF8DF4" w:rsidR="00DD6971" w:rsidRPr="00D17328" w:rsidRDefault="00DD6971" w:rsidP="00EF3880">
      <w:pPr>
        <w:spacing w:line="360" w:lineRule="auto"/>
        <w:jc w:val="both"/>
        <w:rPr>
          <w:sz w:val="20"/>
          <w:szCs w:val="20"/>
        </w:rPr>
      </w:pPr>
    </w:p>
    <w:p w14:paraId="7F91395E" w14:textId="77777777" w:rsidR="009F4A3B" w:rsidRPr="00D17328" w:rsidRDefault="00D85D57" w:rsidP="00D85D57">
      <w:pPr>
        <w:spacing w:line="360" w:lineRule="auto"/>
        <w:jc w:val="both"/>
        <w:rPr>
          <w:sz w:val="20"/>
          <w:szCs w:val="20"/>
        </w:rPr>
      </w:pPr>
      <w:r w:rsidRPr="00D17328">
        <w:rPr>
          <w:sz w:val="20"/>
          <w:szCs w:val="20"/>
        </w:rPr>
        <w:t xml:space="preserve">Dentro de los riesgos a la baja destacan los siguientes: </w:t>
      </w:r>
    </w:p>
    <w:p w14:paraId="15C345DA" w14:textId="77777777" w:rsidR="00E902C9" w:rsidRPr="00D17328" w:rsidRDefault="00E902C9" w:rsidP="00D85D57">
      <w:pPr>
        <w:spacing w:line="360" w:lineRule="auto"/>
        <w:jc w:val="both"/>
        <w:rPr>
          <w:sz w:val="20"/>
          <w:szCs w:val="20"/>
        </w:rPr>
      </w:pPr>
    </w:p>
    <w:p w14:paraId="1A5BB059" w14:textId="34CC9A15" w:rsidR="00E902C9" w:rsidRPr="00D17328" w:rsidRDefault="00D85D57" w:rsidP="00D85D57">
      <w:pPr>
        <w:spacing w:line="360" w:lineRule="auto"/>
        <w:jc w:val="both"/>
        <w:rPr>
          <w:sz w:val="20"/>
          <w:szCs w:val="20"/>
        </w:rPr>
      </w:pPr>
      <w:r w:rsidRPr="00D17328">
        <w:rPr>
          <w:sz w:val="20"/>
          <w:szCs w:val="20"/>
        </w:rPr>
        <w:t>1) Que continúen las disrupciones por la pandemia del COVID-19 y se profundicen las tensiones comerciales afectando la estabilidad del sistema financiero y el crecimiento global de mediano plazo</w:t>
      </w:r>
      <w:r w:rsidR="009F4A3B" w:rsidRPr="00D17328">
        <w:rPr>
          <w:sz w:val="20"/>
          <w:szCs w:val="20"/>
        </w:rPr>
        <w:t>.</w:t>
      </w:r>
    </w:p>
    <w:p w14:paraId="4F9BF93F" w14:textId="283FF464" w:rsidR="00E902C9" w:rsidRPr="00D17328" w:rsidRDefault="00D85D57" w:rsidP="00D85D57">
      <w:pPr>
        <w:spacing w:line="360" w:lineRule="auto"/>
        <w:jc w:val="both"/>
        <w:rPr>
          <w:sz w:val="20"/>
          <w:szCs w:val="20"/>
        </w:rPr>
      </w:pPr>
      <w:r w:rsidRPr="00D17328">
        <w:rPr>
          <w:sz w:val="20"/>
          <w:szCs w:val="20"/>
        </w:rPr>
        <w:t>2) Una profundización de los conflictos comerciales y los riesgos geopolíticos que genere menores perspectivas de crecimiento en la economía mundial</w:t>
      </w:r>
      <w:r w:rsidR="009F4A3B" w:rsidRPr="00D17328">
        <w:rPr>
          <w:sz w:val="20"/>
          <w:szCs w:val="20"/>
        </w:rPr>
        <w:t>.</w:t>
      </w:r>
    </w:p>
    <w:p w14:paraId="24405901" w14:textId="388F7539" w:rsidR="00E902C9" w:rsidRPr="00D17328" w:rsidRDefault="00D85D57" w:rsidP="00D85D57">
      <w:pPr>
        <w:spacing w:line="360" w:lineRule="auto"/>
        <w:jc w:val="both"/>
        <w:rPr>
          <w:sz w:val="20"/>
          <w:szCs w:val="20"/>
        </w:rPr>
      </w:pPr>
      <w:r w:rsidRPr="00D17328">
        <w:rPr>
          <w:sz w:val="20"/>
          <w:szCs w:val="20"/>
        </w:rPr>
        <w:t xml:space="preserve">3) Una recuperación de la economía de EEUU más lenta que la esperada y </w:t>
      </w:r>
    </w:p>
    <w:p w14:paraId="47F370FD" w14:textId="76C95149" w:rsidR="009F4A3B" w:rsidRPr="00D17328" w:rsidRDefault="00D85D57" w:rsidP="00D85D57">
      <w:pPr>
        <w:spacing w:line="360" w:lineRule="auto"/>
        <w:jc w:val="both"/>
        <w:rPr>
          <w:sz w:val="20"/>
          <w:szCs w:val="20"/>
        </w:rPr>
      </w:pPr>
      <w:r w:rsidRPr="00D17328">
        <w:rPr>
          <w:sz w:val="20"/>
          <w:szCs w:val="20"/>
        </w:rPr>
        <w:t xml:space="preserve">4) La materialización de condiciones más restrictivas en los mercados financieros internacionales por los procesos de normalización de las economías que afecten la inversión y los flujos de capitales a nivel mundial. </w:t>
      </w:r>
    </w:p>
    <w:p w14:paraId="4FB263A7" w14:textId="77777777" w:rsidR="009F4A3B" w:rsidRPr="00D17328" w:rsidRDefault="009F4A3B" w:rsidP="00D85D57">
      <w:pPr>
        <w:spacing w:line="360" w:lineRule="auto"/>
        <w:jc w:val="both"/>
        <w:rPr>
          <w:sz w:val="20"/>
          <w:szCs w:val="20"/>
        </w:rPr>
      </w:pPr>
    </w:p>
    <w:p w14:paraId="218F3B5A" w14:textId="79838823" w:rsidR="0026749A" w:rsidRPr="00D17328" w:rsidRDefault="0026749A" w:rsidP="0026749A">
      <w:pPr>
        <w:spacing w:line="360" w:lineRule="auto"/>
        <w:jc w:val="both"/>
        <w:rPr>
          <w:sz w:val="20"/>
          <w:szCs w:val="20"/>
        </w:rPr>
      </w:pPr>
      <w:r w:rsidRPr="00D17328">
        <w:rPr>
          <w:sz w:val="20"/>
          <w:szCs w:val="20"/>
        </w:rPr>
        <w:t>En el siguiente cuadro se presentan las perspectivas de finanzas públicas de mediano plazo para el Estado de Tlaxcala</w:t>
      </w:r>
      <w:r w:rsidR="00827206" w:rsidRPr="00D17328">
        <w:rPr>
          <w:sz w:val="20"/>
          <w:szCs w:val="20"/>
        </w:rPr>
        <w:t xml:space="preserve">, tomando como referencia los </w:t>
      </w:r>
      <w:r w:rsidR="00DF1CAE" w:rsidRPr="00D17328">
        <w:rPr>
          <w:sz w:val="20"/>
          <w:szCs w:val="20"/>
        </w:rPr>
        <w:t>Criterios Generales de Política Económica para la Iniciativa de Ley de Ingresos y el Proyecto de Presupuesto de Egresos de la Federación correspondientes al Ejercicio Fiscal</w:t>
      </w:r>
      <w:r w:rsidR="008C4D9B" w:rsidRPr="00D17328">
        <w:rPr>
          <w:sz w:val="20"/>
          <w:szCs w:val="20"/>
        </w:rPr>
        <w:t xml:space="preserve"> 2021</w:t>
      </w:r>
      <w:r w:rsidR="00827206" w:rsidRPr="00D17328">
        <w:rPr>
          <w:sz w:val="20"/>
          <w:szCs w:val="20"/>
        </w:rPr>
        <w:t>.</w:t>
      </w:r>
    </w:p>
    <w:p w14:paraId="72C635EB" w14:textId="238B19B5" w:rsidR="00CC24CE" w:rsidRDefault="00CC24CE" w:rsidP="00CC24CE">
      <w:pPr>
        <w:spacing w:line="360" w:lineRule="auto"/>
        <w:jc w:val="center"/>
        <w:rPr>
          <w:rFonts w:ascii="Arial" w:hAnsi="Arial" w:cs="Arial"/>
        </w:rPr>
      </w:pPr>
      <w:r w:rsidRPr="00CC24CE">
        <w:rPr>
          <w:noProof/>
          <w:lang w:val="es-MX" w:eastAsia="es-MX"/>
        </w:rPr>
        <w:lastRenderedPageBreak/>
        <w:drawing>
          <wp:inline distT="0" distB="0" distL="0" distR="0" wp14:anchorId="04DF82E2" wp14:editId="72B8626D">
            <wp:extent cx="5086350" cy="45466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9470" cy="4576205"/>
                    </a:xfrm>
                    <a:prstGeom prst="rect">
                      <a:avLst/>
                    </a:prstGeom>
                    <a:noFill/>
                    <a:ln>
                      <a:noFill/>
                    </a:ln>
                  </pic:spPr>
                </pic:pic>
              </a:graphicData>
            </a:graphic>
          </wp:inline>
        </w:drawing>
      </w:r>
    </w:p>
    <w:p w14:paraId="54319555" w14:textId="0C47932D" w:rsidR="008F0BB7" w:rsidRDefault="008F0BB7" w:rsidP="008F0BB7">
      <w:pPr>
        <w:spacing w:line="360" w:lineRule="auto"/>
        <w:jc w:val="center"/>
        <w:rPr>
          <w:rFonts w:ascii="Arial" w:hAnsi="Arial" w:cs="Arial"/>
        </w:rPr>
      </w:pP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46"/>
      </w:tblGrid>
      <w:tr w:rsidR="00E94ADD" w:rsidRPr="00D17328" w14:paraId="639D654D" w14:textId="77777777" w:rsidTr="00C50BE2">
        <w:trPr>
          <w:tblHeader/>
        </w:trPr>
        <w:tc>
          <w:tcPr>
            <w:tcW w:w="8222" w:type="dxa"/>
            <w:gridSpan w:val="2"/>
            <w:shd w:val="clear" w:color="auto" w:fill="A8D08D" w:themeFill="accent6" w:themeFillTint="99"/>
          </w:tcPr>
          <w:p w14:paraId="5258F207" w14:textId="77777777" w:rsidR="00E94ADD" w:rsidRPr="00D17328" w:rsidRDefault="00654AF5" w:rsidP="00654AF5">
            <w:pPr>
              <w:spacing w:line="360" w:lineRule="auto"/>
              <w:jc w:val="center"/>
              <w:rPr>
                <w:b/>
                <w:sz w:val="20"/>
                <w:szCs w:val="20"/>
              </w:rPr>
            </w:pPr>
            <w:r w:rsidRPr="00D17328">
              <w:rPr>
                <w:b/>
                <w:sz w:val="20"/>
                <w:szCs w:val="20"/>
              </w:rPr>
              <w:t>GOBIERNO DEL ESTADO DE TLAXCALA</w:t>
            </w:r>
          </w:p>
          <w:p w14:paraId="3949E9DC" w14:textId="6B0609DE" w:rsidR="00654AF5" w:rsidRPr="00D17328" w:rsidRDefault="00654AF5" w:rsidP="00FE24A4">
            <w:pPr>
              <w:spacing w:line="360" w:lineRule="auto"/>
              <w:jc w:val="center"/>
              <w:rPr>
                <w:b/>
                <w:sz w:val="20"/>
                <w:szCs w:val="20"/>
              </w:rPr>
            </w:pPr>
            <w:r w:rsidRPr="00D17328">
              <w:rPr>
                <w:b/>
                <w:sz w:val="20"/>
                <w:szCs w:val="20"/>
              </w:rPr>
              <w:t>SUPUESTOS DE FINANZAS PÚBLICAS DE MEDIANO PLAZO 20</w:t>
            </w:r>
            <w:r w:rsidR="00DF1CAE" w:rsidRPr="00D17328">
              <w:rPr>
                <w:b/>
                <w:sz w:val="20"/>
                <w:szCs w:val="20"/>
              </w:rPr>
              <w:t>2</w:t>
            </w:r>
            <w:r w:rsidR="00FE24A4" w:rsidRPr="00D17328">
              <w:rPr>
                <w:b/>
                <w:sz w:val="20"/>
                <w:szCs w:val="20"/>
              </w:rPr>
              <w:t>2</w:t>
            </w:r>
            <w:r w:rsidRPr="00D17328">
              <w:rPr>
                <w:b/>
                <w:sz w:val="20"/>
                <w:szCs w:val="20"/>
              </w:rPr>
              <w:t>-202</w:t>
            </w:r>
            <w:r w:rsidR="007E0F49" w:rsidRPr="00D17328">
              <w:rPr>
                <w:b/>
                <w:sz w:val="20"/>
                <w:szCs w:val="20"/>
              </w:rPr>
              <w:t>6</w:t>
            </w:r>
          </w:p>
        </w:tc>
      </w:tr>
      <w:tr w:rsidR="00E94ADD" w:rsidRPr="00D17328" w14:paraId="534CE62A" w14:textId="77777777" w:rsidTr="00894E91">
        <w:tc>
          <w:tcPr>
            <w:tcW w:w="2376" w:type="dxa"/>
          </w:tcPr>
          <w:p w14:paraId="284426A5" w14:textId="77777777" w:rsidR="00E94ADD" w:rsidRPr="00D17328" w:rsidRDefault="00654AF5" w:rsidP="00654AF5">
            <w:pPr>
              <w:spacing w:line="360" w:lineRule="auto"/>
              <w:jc w:val="center"/>
              <w:rPr>
                <w:b/>
                <w:sz w:val="20"/>
                <w:szCs w:val="20"/>
              </w:rPr>
            </w:pPr>
            <w:r w:rsidRPr="00D17328">
              <w:rPr>
                <w:b/>
                <w:sz w:val="20"/>
                <w:szCs w:val="20"/>
              </w:rPr>
              <w:t>Concepto</w:t>
            </w:r>
          </w:p>
        </w:tc>
        <w:tc>
          <w:tcPr>
            <w:tcW w:w="5846" w:type="dxa"/>
          </w:tcPr>
          <w:p w14:paraId="598B6274" w14:textId="77777777" w:rsidR="00E94ADD" w:rsidRPr="00D17328" w:rsidRDefault="00654AF5" w:rsidP="00654AF5">
            <w:pPr>
              <w:spacing w:line="360" w:lineRule="auto"/>
              <w:jc w:val="center"/>
              <w:rPr>
                <w:b/>
                <w:sz w:val="20"/>
                <w:szCs w:val="20"/>
              </w:rPr>
            </w:pPr>
            <w:r w:rsidRPr="00D17328">
              <w:rPr>
                <w:b/>
                <w:sz w:val="20"/>
                <w:szCs w:val="20"/>
              </w:rPr>
              <w:t>Supuestos</w:t>
            </w:r>
          </w:p>
        </w:tc>
      </w:tr>
      <w:tr w:rsidR="00A966F7" w:rsidRPr="00D17328" w14:paraId="681E2D4C" w14:textId="77777777" w:rsidTr="00894E91">
        <w:tc>
          <w:tcPr>
            <w:tcW w:w="2376" w:type="dxa"/>
          </w:tcPr>
          <w:p w14:paraId="4826B3EC" w14:textId="77777777" w:rsidR="00A966F7" w:rsidRPr="00D17328" w:rsidRDefault="00A966F7" w:rsidP="007159E7">
            <w:pPr>
              <w:spacing w:line="360" w:lineRule="auto"/>
              <w:jc w:val="both"/>
              <w:rPr>
                <w:b/>
                <w:sz w:val="20"/>
                <w:szCs w:val="20"/>
              </w:rPr>
            </w:pPr>
          </w:p>
        </w:tc>
        <w:tc>
          <w:tcPr>
            <w:tcW w:w="5846" w:type="dxa"/>
          </w:tcPr>
          <w:p w14:paraId="0FD13656" w14:textId="77777777" w:rsidR="00A966F7" w:rsidRPr="00D17328" w:rsidRDefault="00A966F7" w:rsidP="00A966F7">
            <w:pPr>
              <w:spacing w:line="360" w:lineRule="auto"/>
              <w:jc w:val="center"/>
              <w:rPr>
                <w:b/>
                <w:sz w:val="20"/>
                <w:szCs w:val="20"/>
              </w:rPr>
            </w:pPr>
            <w:r w:rsidRPr="00D17328">
              <w:rPr>
                <w:b/>
                <w:sz w:val="20"/>
                <w:szCs w:val="20"/>
              </w:rPr>
              <w:t>Fuente de recursos</w:t>
            </w:r>
          </w:p>
        </w:tc>
      </w:tr>
      <w:tr w:rsidR="00E94ADD" w:rsidRPr="00D17328" w14:paraId="4518FF1F" w14:textId="77777777" w:rsidTr="00F532D5">
        <w:trPr>
          <w:trHeight w:val="633"/>
        </w:trPr>
        <w:tc>
          <w:tcPr>
            <w:tcW w:w="2376" w:type="dxa"/>
          </w:tcPr>
          <w:p w14:paraId="68BCB551" w14:textId="77777777" w:rsidR="00E94ADD" w:rsidRPr="00D17328" w:rsidRDefault="00654AF5" w:rsidP="007159E7">
            <w:pPr>
              <w:spacing w:line="360" w:lineRule="auto"/>
              <w:jc w:val="both"/>
              <w:rPr>
                <w:sz w:val="20"/>
                <w:szCs w:val="20"/>
              </w:rPr>
            </w:pPr>
            <w:r w:rsidRPr="00D17328">
              <w:rPr>
                <w:sz w:val="20"/>
                <w:szCs w:val="20"/>
              </w:rPr>
              <w:t>Impuestos</w:t>
            </w:r>
          </w:p>
        </w:tc>
        <w:tc>
          <w:tcPr>
            <w:tcW w:w="5846" w:type="dxa"/>
          </w:tcPr>
          <w:p w14:paraId="2A84D62B" w14:textId="68BAB5CA" w:rsidR="00C804AA" w:rsidRPr="00D17328" w:rsidRDefault="00654AF5" w:rsidP="00F532D5">
            <w:pPr>
              <w:spacing w:line="360" w:lineRule="auto"/>
              <w:jc w:val="both"/>
              <w:rPr>
                <w:sz w:val="20"/>
                <w:szCs w:val="20"/>
              </w:rPr>
            </w:pPr>
            <w:r w:rsidRPr="00D17328">
              <w:rPr>
                <w:sz w:val="20"/>
                <w:szCs w:val="20"/>
              </w:rPr>
              <w:t xml:space="preserve">La recaudación aumenta </w:t>
            </w:r>
            <w:r w:rsidR="004569C4" w:rsidRPr="00D17328">
              <w:rPr>
                <w:sz w:val="20"/>
                <w:szCs w:val="20"/>
              </w:rPr>
              <w:t>a una tasa anual promedio de 2</w:t>
            </w:r>
            <w:r w:rsidR="00DB6B17" w:rsidRPr="00D17328">
              <w:rPr>
                <w:sz w:val="20"/>
                <w:szCs w:val="20"/>
              </w:rPr>
              <w:t>.</w:t>
            </w:r>
            <w:r w:rsidR="00FE24A4" w:rsidRPr="00D17328">
              <w:rPr>
                <w:sz w:val="20"/>
                <w:szCs w:val="20"/>
              </w:rPr>
              <w:t>5</w:t>
            </w:r>
            <w:r w:rsidRPr="00D17328">
              <w:rPr>
                <w:sz w:val="20"/>
                <w:szCs w:val="20"/>
              </w:rPr>
              <w:t>%, ligeramente mayor a lo estimado.</w:t>
            </w:r>
          </w:p>
        </w:tc>
      </w:tr>
      <w:tr w:rsidR="00654AF5" w:rsidRPr="00D17328" w14:paraId="4C2D5EFF" w14:textId="77777777" w:rsidTr="00894E91">
        <w:tc>
          <w:tcPr>
            <w:tcW w:w="2376" w:type="dxa"/>
          </w:tcPr>
          <w:p w14:paraId="6B001762" w14:textId="77777777" w:rsidR="00654AF5" w:rsidRPr="00D17328" w:rsidRDefault="00654AF5" w:rsidP="007159E7">
            <w:pPr>
              <w:spacing w:line="360" w:lineRule="auto"/>
              <w:jc w:val="both"/>
              <w:rPr>
                <w:sz w:val="20"/>
                <w:szCs w:val="20"/>
              </w:rPr>
            </w:pPr>
            <w:r w:rsidRPr="00D17328">
              <w:rPr>
                <w:sz w:val="20"/>
                <w:szCs w:val="20"/>
              </w:rPr>
              <w:t>Derechos</w:t>
            </w:r>
          </w:p>
        </w:tc>
        <w:tc>
          <w:tcPr>
            <w:tcW w:w="5846" w:type="dxa"/>
          </w:tcPr>
          <w:p w14:paraId="7D8E039B" w14:textId="5DDCFD98" w:rsidR="00C804AA" w:rsidRPr="00D17328" w:rsidRDefault="00654AF5" w:rsidP="00F532D5">
            <w:pPr>
              <w:spacing w:line="360" w:lineRule="auto"/>
              <w:jc w:val="both"/>
              <w:rPr>
                <w:sz w:val="20"/>
                <w:szCs w:val="20"/>
              </w:rPr>
            </w:pPr>
            <w:r w:rsidRPr="00D17328">
              <w:rPr>
                <w:sz w:val="20"/>
                <w:szCs w:val="20"/>
              </w:rPr>
              <w:t xml:space="preserve">La recaudación aumenta </w:t>
            </w:r>
            <w:r w:rsidR="00DB6B17" w:rsidRPr="00D17328">
              <w:rPr>
                <w:sz w:val="20"/>
                <w:szCs w:val="20"/>
              </w:rPr>
              <w:t xml:space="preserve">a una tasa anual promedio de </w:t>
            </w:r>
            <w:r w:rsidR="004569C4" w:rsidRPr="00D17328">
              <w:rPr>
                <w:sz w:val="20"/>
                <w:szCs w:val="20"/>
              </w:rPr>
              <w:t>2</w:t>
            </w:r>
            <w:r w:rsidR="00DB6B17" w:rsidRPr="00D17328">
              <w:rPr>
                <w:sz w:val="20"/>
                <w:szCs w:val="20"/>
              </w:rPr>
              <w:t>.</w:t>
            </w:r>
            <w:r w:rsidR="00FE24A4" w:rsidRPr="00D17328">
              <w:rPr>
                <w:sz w:val="20"/>
                <w:szCs w:val="20"/>
              </w:rPr>
              <w:t>5</w:t>
            </w:r>
            <w:r w:rsidRPr="00D17328">
              <w:rPr>
                <w:sz w:val="20"/>
                <w:szCs w:val="20"/>
              </w:rPr>
              <w:t>%, ligeramente mayor a lo estimado</w:t>
            </w:r>
            <w:r w:rsidR="002038AC" w:rsidRPr="00D17328">
              <w:rPr>
                <w:sz w:val="20"/>
                <w:szCs w:val="20"/>
              </w:rPr>
              <w:t>, derivado de los servicios prestados por Dependencias del Poder Ejecutivo</w:t>
            </w:r>
            <w:r w:rsidRPr="00D17328">
              <w:rPr>
                <w:sz w:val="20"/>
                <w:szCs w:val="20"/>
              </w:rPr>
              <w:t>.</w:t>
            </w:r>
          </w:p>
        </w:tc>
      </w:tr>
      <w:tr w:rsidR="00654AF5" w:rsidRPr="00D17328" w14:paraId="4DA5F98C" w14:textId="77777777" w:rsidTr="00894E91">
        <w:tc>
          <w:tcPr>
            <w:tcW w:w="2376" w:type="dxa"/>
          </w:tcPr>
          <w:p w14:paraId="03A24910" w14:textId="77777777" w:rsidR="00654AF5" w:rsidRPr="00D17328" w:rsidRDefault="00654AF5" w:rsidP="007159E7">
            <w:pPr>
              <w:spacing w:line="360" w:lineRule="auto"/>
              <w:jc w:val="both"/>
              <w:rPr>
                <w:sz w:val="20"/>
                <w:szCs w:val="20"/>
              </w:rPr>
            </w:pPr>
            <w:r w:rsidRPr="00D17328">
              <w:rPr>
                <w:sz w:val="20"/>
                <w:szCs w:val="20"/>
              </w:rPr>
              <w:t>Productos</w:t>
            </w:r>
          </w:p>
        </w:tc>
        <w:tc>
          <w:tcPr>
            <w:tcW w:w="5846" w:type="dxa"/>
          </w:tcPr>
          <w:p w14:paraId="03D997EC" w14:textId="01F989B0" w:rsidR="00C804AA" w:rsidRPr="00D17328" w:rsidRDefault="002038AC" w:rsidP="00F532D5">
            <w:pPr>
              <w:spacing w:line="360" w:lineRule="auto"/>
              <w:jc w:val="both"/>
              <w:rPr>
                <w:sz w:val="20"/>
                <w:szCs w:val="20"/>
              </w:rPr>
            </w:pPr>
            <w:r w:rsidRPr="00D17328">
              <w:rPr>
                <w:sz w:val="20"/>
                <w:szCs w:val="20"/>
              </w:rPr>
              <w:t>Aumentan a una tasa similar al crecimiento real de la recaudación de contribuciones.</w:t>
            </w:r>
          </w:p>
        </w:tc>
      </w:tr>
      <w:tr w:rsidR="00654AF5" w:rsidRPr="00D17328" w14:paraId="7E86CCD2" w14:textId="77777777" w:rsidTr="00894E91">
        <w:tc>
          <w:tcPr>
            <w:tcW w:w="2376" w:type="dxa"/>
          </w:tcPr>
          <w:p w14:paraId="73634E44" w14:textId="77777777" w:rsidR="00654AF5" w:rsidRPr="00D17328" w:rsidRDefault="00654AF5" w:rsidP="007159E7">
            <w:pPr>
              <w:spacing w:line="360" w:lineRule="auto"/>
              <w:jc w:val="both"/>
              <w:rPr>
                <w:sz w:val="20"/>
                <w:szCs w:val="20"/>
              </w:rPr>
            </w:pPr>
            <w:r w:rsidRPr="00D17328">
              <w:rPr>
                <w:sz w:val="20"/>
                <w:szCs w:val="20"/>
              </w:rPr>
              <w:lastRenderedPageBreak/>
              <w:t>Aprovechamientos</w:t>
            </w:r>
          </w:p>
        </w:tc>
        <w:tc>
          <w:tcPr>
            <w:tcW w:w="5846" w:type="dxa"/>
          </w:tcPr>
          <w:p w14:paraId="43BE81CF" w14:textId="77777777" w:rsidR="00654AF5" w:rsidRPr="00D17328" w:rsidRDefault="002038AC" w:rsidP="007159E7">
            <w:pPr>
              <w:spacing w:line="360" w:lineRule="auto"/>
              <w:jc w:val="both"/>
              <w:rPr>
                <w:sz w:val="20"/>
                <w:szCs w:val="20"/>
              </w:rPr>
            </w:pPr>
            <w:r w:rsidRPr="00D17328">
              <w:rPr>
                <w:sz w:val="20"/>
                <w:szCs w:val="20"/>
              </w:rPr>
              <w:t>Aumentan en función de la recaudación esperada en contribuciones.</w:t>
            </w:r>
          </w:p>
        </w:tc>
      </w:tr>
      <w:tr w:rsidR="00654AF5" w:rsidRPr="00D17328" w14:paraId="68C0A4F4" w14:textId="77777777" w:rsidTr="00894E91">
        <w:tc>
          <w:tcPr>
            <w:tcW w:w="2376" w:type="dxa"/>
          </w:tcPr>
          <w:p w14:paraId="146C8057" w14:textId="77777777" w:rsidR="00654AF5" w:rsidRPr="00D17328" w:rsidRDefault="00654AF5" w:rsidP="007159E7">
            <w:pPr>
              <w:spacing w:line="360" w:lineRule="auto"/>
              <w:jc w:val="both"/>
              <w:rPr>
                <w:sz w:val="20"/>
                <w:szCs w:val="20"/>
              </w:rPr>
            </w:pPr>
            <w:r w:rsidRPr="00D17328">
              <w:rPr>
                <w:sz w:val="20"/>
                <w:szCs w:val="20"/>
              </w:rPr>
              <w:t>Participaciones</w:t>
            </w:r>
          </w:p>
        </w:tc>
        <w:tc>
          <w:tcPr>
            <w:tcW w:w="5846" w:type="dxa"/>
          </w:tcPr>
          <w:p w14:paraId="21843A63" w14:textId="5D23D3C4" w:rsidR="00C804AA" w:rsidRPr="00D17328" w:rsidRDefault="002038AC" w:rsidP="00F532D5">
            <w:pPr>
              <w:spacing w:line="360" w:lineRule="auto"/>
              <w:jc w:val="both"/>
              <w:rPr>
                <w:sz w:val="20"/>
                <w:szCs w:val="20"/>
              </w:rPr>
            </w:pPr>
            <w:r w:rsidRPr="00D17328">
              <w:rPr>
                <w:sz w:val="20"/>
                <w:szCs w:val="20"/>
              </w:rPr>
              <w:t>Consideran un incremento en función de la recaudación federal participable, tomando como base la recaudación de ingresos tributarios, no tributarios e ingresos petroleros.</w:t>
            </w:r>
          </w:p>
        </w:tc>
      </w:tr>
      <w:tr w:rsidR="00654AF5" w:rsidRPr="00D17328" w14:paraId="685F568E" w14:textId="77777777" w:rsidTr="00894E91">
        <w:tc>
          <w:tcPr>
            <w:tcW w:w="2376" w:type="dxa"/>
          </w:tcPr>
          <w:p w14:paraId="41851F4C" w14:textId="77777777" w:rsidR="00654AF5" w:rsidRPr="00D17328" w:rsidRDefault="00654AF5" w:rsidP="007159E7">
            <w:pPr>
              <w:spacing w:line="360" w:lineRule="auto"/>
              <w:jc w:val="both"/>
              <w:rPr>
                <w:sz w:val="20"/>
                <w:szCs w:val="20"/>
              </w:rPr>
            </w:pPr>
            <w:r w:rsidRPr="00D17328">
              <w:rPr>
                <w:sz w:val="20"/>
                <w:szCs w:val="20"/>
              </w:rPr>
              <w:t>Incentivos Económicos</w:t>
            </w:r>
          </w:p>
        </w:tc>
        <w:tc>
          <w:tcPr>
            <w:tcW w:w="5846" w:type="dxa"/>
          </w:tcPr>
          <w:p w14:paraId="2B0E8DB6" w14:textId="427FF433" w:rsidR="00C804AA" w:rsidRPr="00D17328" w:rsidRDefault="002038AC" w:rsidP="00F532D5">
            <w:pPr>
              <w:spacing w:line="360" w:lineRule="auto"/>
              <w:jc w:val="both"/>
              <w:rPr>
                <w:sz w:val="20"/>
                <w:szCs w:val="20"/>
              </w:rPr>
            </w:pPr>
            <w:r w:rsidRPr="00D17328">
              <w:rPr>
                <w:sz w:val="20"/>
                <w:szCs w:val="20"/>
              </w:rPr>
              <w:t>Aumentan en función de las acciones de fiscalización concurrentes y de los incentivos otorgados a través del Convenio de Colaboración Administrativa en Materia Fiscal Federal.</w:t>
            </w:r>
          </w:p>
        </w:tc>
      </w:tr>
      <w:tr w:rsidR="00654AF5" w:rsidRPr="00D17328" w14:paraId="41EE59E6" w14:textId="77777777" w:rsidTr="00894E91">
        <w:tc>
          <w:tcPr>
            <w:tcW w:w="2376" w:type="dxa"/>
          </w:tcPr>
          <w:p w14:paraId="2C8884D1" w14:textId="77777777" w:rsidR="00654AF5" w:rsidRPr="00D17328" w:rsidRDefault="00654AF5" w:rsidP="007159E7">
            <w:pPr>
              <w:spacing w:line="360" w:lineRule="auto"/>
              <w:jc w:val="both"/>
              <w:rPr>
                <w:sz w:val="20"/>
                <w:szCs w:val="20"/>
              </w:rPr>
            </w:pPr>
            <w:r w:rsidRPr="00D17328">
              <w:rPr>
                <w:sz w:val="20"/>
                <w:szCs w:val="20"/>
              </w:rPr>
              <w:t>Aportaciones</w:t>
            </w:r>
          </w:p>
        </w:tc>
        <w:tc>
          <w:tcPr>
            <w:tcW w:w="5846" w:type="dxa"/>
          </w:tcPr>
          <w:p w14:paraId="0C5C09BD" w14:textId="41C82BE2" w:rsidR="00C804AA" w:rsidRPr="00D17328" w:rsidRDefault="002038AC" w:rsidP="00F532D5">
            <w:pPr>
              <w:spacing w:line="360" w:lineRule="auto"/>
              <w:jc w:val="both"/>
              <w:rPr>
                <w:sz w:val="20"/>
                <w:szCs w:val="20"/>
              </w:rPr>
            </w:pPr>
            <w:r w:rsidRPr="00D17328">
              <w:rPr>
                <w:sz w:val="20"/>
                <w:szCs w:val="20"/>
              </w:rPr>
              <w:t xml:space="preserve">Se incrementan a una tasa de crecimiento promedio del </w:t>
            </w:r>
            <w:r w:rsidR="004569C4" w:rsidRPr="00D17328">
              <w:rPr>
                <w:sz w:val="20"/>
                <w:szCs w:val="20"/>
              </w:rPr>
              <w:t>2</w:t>
            </w:r>
            <w:r w:rsidRPr="00D17328">
              <w:rPr>
                <w:sz w:val="20"/>
                <w:szCs w:val="20"/>
              </w:rPr>
              <w:t>.</w:t>
            </w:r>
            <w:r w:rsidR="00FE24A4" w:rsidRPr="00D17328">
              <w:rPr>
                <w:sz w:val="20"/>
                <w:szCs w:val="20"/>
              </w:rPr>
              <w:t>5</w:t>
            </w:r>
            <w:r w:rsidRPr="00D17328">
              <w:rPr>
                <w:sz w:val="20"/>
                <w:szCs w:val="20"/>
              </w:rPr>
              <w:t>%.</w:t>
            </w:r>
          </w:p>
        </w:tc>
      </w:tr>
      <w:tr w:rsidR="00654AF5" w:rsidRPr="00D17328" w14:paraId="661AC360" w14:textId="77777777" w:rsidTr="00894E91">
        <w:tc>
          <w:tcPr>
            <w:tcW w:w="2376" w:type="dxa"/>
          </w:tcPr>
          <w:p w14:paraId="6FFB95E8" w14:textId="77777777" w:rsidR="00654AF5" w:rsidRPr="00D17328" w:rsidRDefault="00654AF5" w:rsidP="007159E7">
            <w:pPr>
              <w:spacing w:line="360" w:lineRule="auto"/>
              <w:jc w:val="both"/>
              <w:rPr>
                <w:sz w:val="20"/>
                <w:szCs w:val="20"/>
              </w:rPr>
            </w:pPr>
            <w:r w:rsidRPr="00D17328">
              <w:rPr>
                <w:sz w:val="20"/>
                <w:szCs w:val="20"/>
              </w:rPr>
              <w:t>Convenios</w:t>
            </w:r>
          </w:p>
        </w:tc>
        <w:tc>
          <w:tcPr>
            <w:tcW w:w="5846" w:type="dxa"/>
          </w:tcPr>
          <w:p w14:paraId="21B2DED1" w14:textId="77777777" w:rsidR="00654AF5" w:rsidRPr="00D17328" w:rsidRDefault="002038AC" w:rsidP="002038AC">
            <w:pPr>
              <w:spacing w:line="360" w:lineRule="auto"/>
              <w:jc w:val="both"/>
              <w:rPr>
                <w:sz w:val="20"/>
                <w:szCs w:val="20"/>
              </w:rPr>
            </w:pPr>
            <w:r w:rsidRPr="00D17328">
              <w:rPr>
                <w:sz w:val="20"/>
                <w:szCs w:val="20"/>
              </w:rPr>
              <w:t>Considera una alta variabilidad ya que la obtención de</w:t>
            </w:r>
            <w:r w:rsidR="00DB6B17" w:rsidRPr="00D17328">
              <w:rPr>
                <w:sz w:val="20"/>
                <w:szCs w:val="20"/>
              </w:rPr>
              <w:t xml:space="preserve"> recursos por este concepto está</w:t>
            </w:r>
            <w:r w:rsidRPr="00D17328">
              <w:rPr>
                <w:sz w:val="20"/>
                <w:szCs w:val="20"/>
              </w:rPr>
              <w:t xml:space="preserve"> en función de las negociaciones del presupuesto que se efectúen.</w:t>
            </w:r>
          </w:p>
        </w:tc>
      </w:tr>
    </w:tbl>
    <w:p w14:paraId="487DE4DE" w14:textId="6752AF9F" w:rsidR="009C644E" w:rsidRDefault="009C644E" w:rsidP="007159E7">
      <w:pPr>
        <w:spacing w:line="360" w:lineRule="auto"/>
        <w:jc w:val="both"/>
        <w:rPr>
          <w:rFonts w:ascii="Arial" w:hAnsi="Arial" w:cs="Arial"/>
        </w:rPr>
      </w:pPr>
    </w:p>
    <w:p w14:paraId="74A07EEA" w14:textId="4CCCA4AC" w:rsidR="00E1065D" w:rsidRPr="00F532D5" w:rsidRDefault="0050219A" w:rsidP="00C50BE2">
      <w:pPr>
        <w:spacing w:line="360" w:lineRule="auto"/>
        <w:jc w:val="both"/>
        <w:rPr>
          <w:b/>
          <w:bCs/>
          <w:sz w:val="20"/>
          <w:szCs w:val="20"/>
        </w:rPr>
      </w:pPr>
      <w:r w:rsidRPr="00F532D5">
        <w:rPr>
          <w:b/>
          <w:bCs/>
          <w:sz w:val="20"/>
          <w:szCs w:val="20"/>
        </w:rPr>
        <w:t>RIESGOS FISCALES</w:t>
      </w:r>
    </w:p>
    <w:p w14:paraId="4C31DDA7" w14:textId="77777777" w:rsidR="00E1065D" w:rsidRPr="00F532D5" w:rsidRDefault="00E1065D" w:rsidP="007159E7">
      <w:pPr>
        <w:spacing w:line="360" w:lineRule="auto"/>
        <w:jc w:val="both"/>
        <w:rPr>
          <w:sz w:val="20"/>
          <w:szCs w:val="20"/>
        </w:rPr>
      </w:pPr>
    </w:p>
    <w:p w14:paraId="227F5913" w14:textId="77777777" w:rsidR="00672F48" w:rsidRPr="00F532D5" w:rsidRDefault="00672F48" w:rsidP="00672F48">
      <w:pPr>
        <w:spacing w:line="360" w:lineRule="auto"/>
        <w:jc w:val="both"/>
        <w:rPr>
          <w:sz w:val="20"/>
          <w:szCs w:val="20"/>
        </w:rPr>
      </w:pPr>
      <w:r w:rsidRPr="00F532D5">
        <w:rPr>
          <w:sz w:val="20"/>
          <w:szCs w:val="20"/>
        </w:rPr>
        <w:t xml:space="preserve">El escenario macroeconómico de mediano plazo está sujeto a riesgos que podrían modificar las trayectorias anticipadas. Entre los factores que pueden generar un entorno más benéfico al alza se encuentran: </w:t>
      </w:r>
    </w:p>
    <w:p w14:paraId="2F6FE081" w14:textId="77777777" w:rsidR="00672F48" w:rsidRPr="00F532D5" w:rsidRDefault="00672F48" w:rsidP="00672F48">
      <w:pPr>
        <w:spacing w:line="360" w:lineRule="auto"/>
        <w:jc w:val="both"/>
        <w:rPr>
          <w:sz w:val="20"/>
          <w:szCs w:val="20"/>
        </w:rPr>
      </w:pPr>
    </w:p>
    <w:p w14:paraId="090478FC" w14:textId="7290DDD3" w:rsidR="00672F48" w:rsidRPr="00F532D5" w:rsidRDefault="00672F48" w:rsidP="00672F48">
      <w:pPr>
        <w:spacing w:line="360" w:lineRule="auto"/>
        <w:jc w:val="both"/>
        <w:rPr>
          <w:sz w:val="20"/>
          <w:szCs w:val="20"/>
        </w:rPr>
      </w:pPr>
      <w:r w:rsidRPr="00F532D5">
        <w:rPr>
          <w:sz w:val="20"/>
          <w:szCs w:val="20"/>
        </w:rPr>
        <w:t xml:space="preserve">1) Una disminución significativa del número de nuevos contagios por el COVID-19 o la finalización del desarrollo y producción de una vacuna; </w:t>
      </w:r>
    </w:p>
    <w:p w14:paraId="37F9B4E6" w14:textId="3A9AEADA" w:rsidR="00672F48" w:rsidRPr="00F532D5" w:rsidRDefault="00672F48" w:rsidP="00672F48">
      <w:pPr>
        <w:spacing w:line="360" w:lineRule="auto"/>
        <w:jc w:val="both"/>
        <w:rPr>
          <w:sz w:val="20"/>
          <w:szCs w:val="20"/>
        </w:rPr>
      </w:pPr>
      <w:r w:rsidRPr="00F532D5">
        <w:rPr>
          <w:sz w:val="20"/>
          <w:szCs w:val="20"/>
        </w:rPr>
        <w:t xml:space="preserve">2) Una disminución de las barreras al comercio como parte de la resolución favorable de acuerdos comerciales y resolución de conflictos ante la OMC; </w:t>
      </w:r>
    </w:p>
    <w:p w14:paraId="2D211237" w14:textId="2E98D395" w:rsidR="00672F48" w:rsidRPr="00F532D5" w:rsidRDefault="00672F48" w:rsidP="00672F48">
      <w:pPr>
        <w:spacing w:line="360" w:lineRule="auto"/>
        <w:jc w:val="both"/>
        <w:rPr>
          <w:sz w:val="20"/>
          <w:szCs w:val="20"/>
        </w:rPr>
      </w:pPr>
      <w:r w:rsidRPr="00F532D5">
        <w:rPr>
          <w:sz w:val="20"/>
          <w:szCs w:val="20"/>
        </w:rPr>
        <w:t>3) Aumentos en la productividad global por la implementación de políticas que la impulsen.</w:t>
      </w:r>
    </w:p>
    <w:p w14:paraId="68C48ABD" w14:textId="77777777" w:rsidR="00672F48" w:rsidRPr="00F532D5" w:rsidRDefault="00672F48" w:rsidP="00672F48">
      <w:pPr>
        <w:spacing w:line="360" w:lineRule="auto"/>
        <w:jc w:val="both"/>
        <w:rPr>
          <w:sz w:val="20"/>
          <w:szCs w:val="20"/>
        </w:rPr>
      </w:pPr>
    </w:p>
    <w:p w14:paraId="7556C4C2" w14:textId="77777777" w:rsidR="00672F48" w:rsidRPr="00F532D5" w:rsidRDefault="00672F48" w:rsidP="00672F48">
      <w:pPr>
        <w:spacing w:line="360" w:lineRule="auto"/>
        <w:jc w:val="both"/>
        <w:rPr>
          <w:sz w:val="20"/>
          <w:szCs w:val="20"/>
        </w:rPr>
      </w:pPr>
      <w:r w:rsidRPr="00F532D5">
        <w:rPr>
          <w:sz w:val="20"/>
          <w:szCs w:val="20"/>
        </w:rPr>
        <w:t xml:space="preserve">Dentro de los riesgos a la baja destacan los siguientes: </w:t>
      </w:r>
    </w:p>
    <w:p w14:paraId="5ED54830" w14:textId="77777777" w:rsidR="00672F48" w:rsidRPr="00F532D5" w:rsidRDefault="00672F48" w:rsidP="00672F48">
      <w:pPr>
        <w:spacing w:line="360" w:lineRule="auto"/>
        <w:jc w:val="both"/>
        <w:rPr>
          <w:sz w:val="20"/>
          <w:szCs w:val="20"/>
        </w:rPr>
      </w:pPr>
    </w:p>
    <w:p w14:paraId="48E534AC" w14:textId="64308921" w:rsidR="00672F48" w:rsidRPr="00F532D5" w:rsidRDefault="00672F48" w:rsidP="00672F48">
      <w:pPr>
        <w:spacing w:line="360" w:lineRule="auto"/>
        <w:jc w:val="both"/>
        <w:rPr>
          <w:sz w:val="20"/>
          <w:szCs w:val="20"/>
        </w:rPr>
      </w:pPr>
      <w:r w:rsidRPr="00F532D5">
        <w:rPr>
          <w:sz w:val="20"/>
          <w:szCs w:val="20"/>
        </w:rPr>
        <w:t xml:space="preserve">1) Que continúen las disrupciones por la pandemia del COVID-19 y se profundicen las tensiones comerciales afectando la estabilidad del sistema financiero y el crecimiento global de mediano plazo; </w:t>
      </w:r>
    </w:p>
    <w:p w14:paraId="273EEC54" w14:textId="3509B252" w:rsidR="00672F48" w:rsidRPr="00F532D5" w:rsidRDefault="00672F48" w:rsidP="00672F48">
      <w:pPr>
        <w:spacing w:line="360" w:lineRule="auto"/>
        <w:jc w:val="both"/>
        <w:rPr>
          <w:sz w:val="20"/>
          <w:szCs w:val="20"/>
        </w:rPr>
      </w:pPr>
      <w:r w:rsidRPr="00F532D5">
        <w:rPr>
          <w:sz w:val="20"/>
          <w:szCs w:val="20"/>
        </w:rPr>
        <w:t xml:space="preserve">2) Una profundización de los conflictos comerciales y los riesgos geopolíticos que genere menores perspectivas de crecimiento en la economía mundial; </w:t>
      </w:r>
    </w:p>
    <w:p w14:paraId="03032986" w14:textId="4962AC74" w:rsidR="00672F48" w:rsidRPr="00F532D5" w:rsidRDefault="00672F48" w:rsidP="001C3DBE">
      <w:pPr>
        <w:spacing w:line="360" w:lineRule="auto"/>
        <w:jc w:val="both"/>
        <w:rPr>
          <w:sz w:val="20"/>
          <w:szCs w:val="20"/>
        </w:rPr>
      </w:pPr>
      <w:r w:rsidRPr="00F532D5">
        <w:rPr>
          <w:sz w:val="20"/>
          <w:szCs w:val="20"/>
        </w:rPr>
        <w:t xml:space="preserve">3) Una recuperación de la economía de EEUU más lenta que la esperada y </w:t>
      </w:r>
    </w:p>
    <w:p w14:paraId="570B6ECB" w14:textId="4D567E69" w:rsidR="00672F48" w:rsidRPr="00F532D5" w:rsidRDefault="00672F48" w:rsidP="00672F48">
      <w:pPr>
        <w:spacing w:line="360" w:lineRule="auto"/>
        <w:jc w:val="both"/>
        <w:rPr>
          <w:sz w:val="20"/>
          <w:szCs w:val="20"/>
        </w:rPr>
      </w:pPr>
      <w:r w:rsidRPr="00F532D5">
        <w:rPr>
          <w:sz w:val="20"/>
          <w:szCs w:val="20"/>
        </w:rPr>
        <w:lastRenderedPageBreak/>
        <w:t xml:space="preserve">4) La materialización de condiciones más restrictivas en los mercados financieros internacionales por los procesos de normalización de las economías que afecten la inversión y los flujos de capitales a nivel mundial. </w:t>
      </w:r>
    </w:p>
    <w:p w14:paraId="6E35B88C" w14:textId="77777777" w:rsidR="004569C4" w:rsidRPr="00F532D5" w:rsidRDefault="004569C4" w:rsidP="00B7607A">
      <w:pPr>
        <w:spacing w:line="360" w:lineRule="auto"/>
        <w:jc w:val="both"/>
        <w:rPr>
          <w:sz w:val="20"/>
          <w:szCs w:val="20"/>
        </w:rPr>
      </w:pPr>
    </w:p>
    <w:p w14:paraId="0D68256E" w14:textId="6D584400" w:rsidR="00EF3880" w:rsidRPr="00F532D5" w:rsidRDefault="00B7607A" w:rsidP="00B7607A">
      <w:pPr>
        <w:spacing w:line="360" w:lineRule="auto"/>
        <w:jc w:val="both"/>
        <w:rPr>
          <w:sz w:val="20"/>
          <w:szCs w:val="20"/>
        </w:rPr>
      </w:pPr>
      <w:r w:rsidRPr="00F532D5">
        <w:rPr>
          <w:sz w:val="20"/>
          <w:szCs w:val="20"/>
        </w:rPr>
        <w:t xml:space="preserve">En consecuencia, el diseño e implementación de la política fiscal </w:t>
      </w:r>
      <w:r w:rsidR="00A058A1" w:rsidRPr="00F532D5">
        <w:rPr>
          <w:sz w:val="20"/>
          <w:szCs w:val="20"/>
        </w:rPr>
        <w:t xml:space="preserve">del Estado </w:t>
      </w:r>
      <w:r w:rsidRPr="00F532D5">
        <w:rPr>
          <w:sz w:val="20"/>
          <w:szCs w:val="20"/>
        </w:rPr>
        <w:t>debe considerar los riesgos de mediano y largo plazos. A continuación</w:t>
      </w:r>
      <w:r w:rsidR="00A058A1" w:rsidRPr="00F532D5">
        <w:rPr>
          <w:sz w:val="20"/>
          <w:szCs w:val="20"/>
        </w:rPr>
        <w:t>,</w:t>
      </w:r>
      <w:r w:rsidRPr="00F532D5">
        <w:rPr>
          <w:sz w:val="20"/>
          <w:szCs w:val="20"/>
        </w:rPr>
        <w:t xml:space="preserve"> se presentan los principales factores </w:t>
      </w:r>
      <w:r w:rsidR="00031372" w:rsidRPr="00F532D5">
        <w:rPr>
          <w:sz w:val="20"/>
          <w:szCs w:val="20"/>
        </w:rPr>
        <w:t xml:space="preserve">estatales </w:t>
      </w:r>
      <w:r w:rsidRPr="00F532D5">
        <w:rPr>
          <w:sz w:val="20"/>
          <w:szCs w:val="20"/>
        </w:rPr>
        <w:t>que podrían tener un impacto en las finanzas públicas y las acciones que se han tomado para evitar que se conviertan en un riesgo para las finanzas públicas del Estado.</w:t>
      </w:r>
    </w:p>
    <w:p w14:paraId="4EA2730B" w14:textId="77777777" w:rsidR="00DB6B17" w:rsidRPr="00F532D5" w:rsidRDefault="00DB6B17" w:rsidP="00E725D0">
      <w:pPr>
        <w:spacing w:line="360" w:lineRule="auto"/>
        <w:jc w:val="both"/>
        <w:rPr>
          <w:b/>
          <w:sz w:val="20"/>
          <w:szCs w:val="20"/>
        </w:rPr>
      </w:pPr>
    </w:p>
    <w:p w14:paraId="49244C88" w14:textId="77777777" w:rsidR="00B7607A" w:rsidRPr="00F532D5" w:rsidRDefault="00E725D0" w:rsidP="00E725D0">
      <w:pPr>
        <w:spacing w:line="360" w:lineRule="auto"/>
        <w:jc w:val="both"/>
        <w:rPr>
          <w:b/>
          <w:sz w:val="20"/>
          <w:szCs w:val="20"/>
        </w:rPr>
      </w:pPr>
      <w:r w:rsidRPr="00F532D5">
        <w:rPr>
          <w:b/>
          <w:sz w:val="20"/>
          <w:szCs w:val="20"/>
        </w:rPr>
        <w:t xml:space="preserve">1. </w:t>
      </w:r>
      <w:r w:rsidR="00B7607A" w:rsidRPr="00F532D5">
        <w:rPr>
          <w:b/>
          <w:sz w:val="20"/>
          <w:szCs w:val="20"/>
        </w:rPr>
        <w:t>Pensiones y Jubilaciones</w:t>
      </w:r>
    </w:p>
    <w:p w14:paraId="1098C797" w14:textId="77777777" w:rsidR="00031372" w:rsidRPr="00F532D5" w:rsidRDefault="00031372" w:rsidP="00031372">
      <w:pPr>
        <w:spacing w:line="360" w:lineRule="auto"/>
        <w:jc w:val="both"/>
        <w:rPr>
          <w:sz w:val="20"/>
          <w:szCs w:val="20"/>
        </w:rPr>
      </w:pPr>
    </w:p>
    <w:p w14:paraId="502D9896" w14:textId="021056E5" w:rsidR="00B7607A" w:rsidRPr="00F532D5" w:rsidRDefault="00DB6B17" w:rsidP="00B7607A">
      <w:pPr>
        <w:spacing w:line="360" w:lineRule="auto"/>
        <w:jc w:val="both"/>
        <w:rPr>
          <w:sz w:val="20"/>
          <w:szCs w:val="20"/>
        </w:rPr>
      </w:pPr>
      <w:r w:rsidRPr="00F532D5">
        <w:rPr>
          <w:sz w:val="20"/>
          <w:szCs w:val="20"/>
        </w:rPr>
        <w:t xml:space="preserve">Los sistemas de pensiones tienen como objetivo proteger el flujo de ingresos de un trabajador y su familia. El flujo de ingresos presente o futuro de una familia puede verse interrumpido por la materialización de los </w:t>
      </w:r>
      <w:r w:rsidR="0050219A" w:rsidRPr="00F532D5">
        <w:rPr>
          <w:sz w:val="20"/>
          <w:szCs w:val="20"/>
        </w:rPr>
        <w:t xml:space="preserve">riesgos </w:t>
      </w:r>
      <w:r w:rsidRPr="00F532D5">
        <w:rPr>
          <w:sz w:val="20"/>
          <w:szCs w:val="20"/>
        </w:rPr>
        <w:t>siguientes: la edad avanzada, la cesantía en edad avanzada, la muerte prematura</w:t>
      </w:r>
      <w:r w:rsidR="008A18B7" w:rsidRPr="00F532D5">
        <w:rPr>
          <w:sz w:val="20"/>
          <w:szCs w:val="20"/>
        </w:rPr>
        <w:t>,</w:t>
      </w:r>
      <w:r w:rsidRPr="00F532D5">
        <w:rPr>
          <w:sz w:val="20"/>
          <w:szCs w:val="20"/>
        </w:rPr>
        <w:t xml:space="preserve"> los accidentes y las enfermedades que causan la invalidez o incapacidad de seguir trabajando. </w:t>
      </w:r>
      <w:r w:rsidR="00B7607A" w:rsidRPr="00F532D5">
        <w:rPr>
          <w:sz w:val="20"/>
          <w:szCs w:val="20"/>
        </w:rPr>
        <w:t xml:space="preserve">Es de resaltar que el </w:t>
      </w:r>
      <w:r w:rsidR="007C1E27" w:rsidRPr="00F532D5">
        <w:rPr>
          <w:sz w:val="20"/>
          <w:szCs w:val="20"/>
        </w:rPr>
        <w:t>S</w:t>
      </w:r>
      <w:r w:rsidR="00B7607A" w:rsidRPr="00F532D5">
        <w:rPr>
          <w:sz w:val="20"/>
          <w:szCs w:val="20"/>
        </w:rPr>
        <w:t xml:space="preserve">istema de Pensiones del Estado, </w:t>
      </w:r>
      <w:r w:rsidR="00410BD1" w:rsidRPr="00F532D5">
        <w:rPr>
          <w:sz w:val="20"/>
          <w:szCs w:val="20"/>
        </w:rPr>
        <w:t xml:space="preserve">en </w:t>
      </w:r>
      <w:r w:rsidR="00E725D0" w:rsidRPr="00F532D5">
        <w:rPr>
          <w:sz w:val="20"/>
          <w:szCs w:val="20"/>
        </w:rPr>
        <w:t>la Administración 2011-2016</w:t>
      </w:r>
      <w:r w:rsidR="00410BD1" w:rsidRPr="00F532D5">
        <w:rPr>
          <w:sz w:val="20"/>
          <w:szCs w:val="20"/>
        </w:rPr>
        <w:t xml:space="preserve">, </w:t>
      </w:r>
      <w:r w:rsidR="00B7607A" w:rsidRPr="00F532D5">
        <w:rPr>
          <w:sz w:val="20"/>
          <w:szCs w:val="20"/>
        </w:rPr>
        <w:t>promo</w:t>
      </w:r>
      <w:r w:rsidR="00410BD1" w:rsidRPr="00F532D5">
        <w:rPr>
          <w:sz w:val="20"/>
          <w:szCs w:val="20"/>
        </w:rPr>
        <w:t>vió</w:t>
      </w:r>
      <w:r w:rsidR="00B7607A" w:rsidRPr="00F532D5">
        <w:rPr>
          <w:sz w:val="20"/>
          <w:szCs w:val="20"/>
        </w:rPr>
        <w:t xml:space="preserve"> y desarroll</w:t>
      </w:r>
      <w:r w:rsidR="00410BD1" w:rsidRPr="00F532D5">
        <w:rPr>
          <w:sz w:val="20"/>
          <w:szCs w:val="20"/>
        </w:rPr>
        <w:t>ó</w:t>
      </w:r>
      <w:r w:rsidR="00B7607A" w:rsidRPr="00F532D5">
        <w:rPr>
          <w:sz w:val="20"/>
          <w:szCs w:val="20"/>
        </w:rPr>
        <w:t xml:space="preserve"> un esquema de pensiones que permit</w:t>
      </w:r>
      <w:r w:rsidR="008A18B7" w:rsidRPr="00F532D5">
        <w:rPr>
          <w:sz w:val="20"/>
          <w:szCs w:val="20"/>
        </w:rPr>
        <w:t>irá</w:t>
      </w:r>
      <w:r w:rsidR="00E725D0" w:rsidRPr="00F532D5">
        <w:rPr>
          <w:sz w:val="20"/>
          <w:szCs w:val="20"/>
        </w:rPr>
        <w:t xml:space="preserve">, </w:t>
      </w:r>
      <w:r w:rsidR="00B7607A" w:rsidRPr="00F532D5">
        <w:rPr>
          <w:sz w:val="20"/>
          <w:szCs w:val="20"/>
        </w:rPr>
        <w:t>en el largo plazo</w:t>
      </w:r>
      <w:r w:rsidR="00E725D0" w:rsidRPr="00F532D5">
        <w:rPr>
          <w:sz w:val="20"/>
          <w:szCs w:val="20"/>
        </w:rPr>
        <w:t>,</w:t>
      </w:r>
      <w:r w:rsidR="00B7607A" w:rsidRPr="00F532D5">
        <w:rPr>
          <w:sz w:val="20"/>
          <w:szCs w:val="20"/>
        </w:rPr>
        <w:t xml:space="preserve"> garantizar el pago de las mismas, respetando los plazos para las jubilaciones.</w:t>
      </w:r>
    </w:p>
    <w:p w14:paraId="00439D32" w14:textId="77777777" w:rsidR="00FD34E2" w:rsidRPr="00F532D5" w:rsidRDefault="00FD34E2" w:rsidP="00B7607A">
      <w:pPr>
        <w:spacing w:line="360" w:lineRule="auto"/>
        <w:jc w:val="both"/>
        <w:rPr>
          <w:sz w:val="20"/>
          <w:szCs w:val="20"/>
        </w:rPr>
      </w:pPr>
    </w:p>
    <w:p w14:paraId="3CF22D74" w14:textId="77777777" w:rsidR="00E725D0" w:rsidRPr="00F532D5" w:rsidRDefault="00E725D0" w:rsidP="00B7607A">
      <w:pPr>
        <w:spacing w:line="360" w:lineRule="auto"/>
        <w:jc w:val="both"/>
        <w:rPr>
          <w:sz w:val="20"/>
          <w:szCs w:val="20"/>
        </w:rPr>
      </w:pPr>
      <w:r w:rsidRPr="00F532D5">
        <w:rPr>
          <w:sz w:val="20"/>
          <w:szCs w:val="20"/>
        </w:rPr>
        <w:t>La reforma estructural aprobada por el Congreso</w:t>
      </w:r>
      <w:r w:rsidR="00410BD1" w:rsidRPr="00F532D5">
        <w:rPr>
          <w:sz w:val="20"/>
          <w:szCs w:val="20"/>
        </w:rPr>
        <w:t>,</w:t>
      </w:r>
      <w:r w:rsidRPr="00F532D5">
        <w:rPr>
          <w:sz w:val="20"/>
          <w:szCs w:val="20"/>
        </w:rPr>
        <w:t xml:space="preserve"> permitió las mejoras siguientes:</w:t>
      </w:r>
    </w:p>
    <w:p w14:paraId="31C68E04" w14:textId="77777777" w:rsidR="00E725D0" w:rsidRPr="00F532D5" w:rsidRDefault="00E725D0" w:rsidP="00B7607A">
      <w:pPr>
        <w:spacing w:line="360" w:lineRule="auto"/>
        <w:jc w:val="both"/>
        <w:rPr>
          <w:sz w:val="20"/>
          <w:szCs w:val="20"/>
        </w:rPr>
      </w:pPr>
    </w:p>
    <w:p w14:paraId="0795444A" w14:textId="2E91579C" w:rsidR="00E725D0" w:rsidRPr="001C3DBE" w:rsidRDefault="00E725D0" w:rsidP="00800CF7">
      <w:pPr>
        <w:pStyle w:val="Prrafodelista"/>
        <w:numPr>
          <w:ilvl w:val="0"/>
          <w:numId w:val="4"/>
        </w:numPr>
        <w:spacing w:line="360" w:lineRule="auto"/>
        <w:jc w:val="both"/>
        <w:rPr>
          <w:sz w:val="20"/>
          <w:szCs w:val="20"/>
        </w:rPr>
      </w:pPr>
      <w:r w:rsidRPr="001C3DBE">
        <w:rPr>
          <w:sz w:val="20"/>
          <w:szCs w:val="20"/>
        </w:rPr>
        <w:t>S</w:t>
      </w:r>
      <w:r w:rsidR="00B7607A" w:rsidRPr="001C3DBE">
        <w:rPr>
          <w:sz w:val="20"/>
          <w:szCs w:val="20"/>
        </w:rPr>
        <w:t xml:space="preserve">e incrementaron las aportaciones de jubilados y pensionados pasando de un 3% a un 6%, </w:t>
      </w:r>
      <w:r w:rsidRPr="001C3DBE">
        <w:rPr>
          <w:sz w:val="20"/>
          <w:szCs w:val="20"/>
        </w:rPr>
        <w:t xml:space="preserve">manteniendo </w:t>
      </w:r>
      <w:r w:rsidR="00B7607A" w:rsidRPr="001C3DBE">
        <w:rPr>
          <w:sz w:val="20"/>
          <w:szCs w:val="20"/>
        </w:rPr>
        <w:t>los mismos derechos que la Ley anterior les brindaba.</w:t>
      </w:r>
      <w:r w:rsidR="007C1E27" w:rsidRPr="001C3DBE">
        <w:rPr>
          <w:sz w:val="20"/>
          <w:szCs w:val="20"/>
        </w:rPr>
        <w:t xml:space="preserve"> </w:t>
      </w:r>
    </w:p>
    <w:p w14:paraId="5F12D63B" w14:textId="66CD0A1F" w:rsidR="00E725D0" w:rsidRPr="001C3DBE" w:rsidRDefault="00B7607A" w:rsidP="00800CF7">
      <w:pPr>
        <w:pStyle w:val="Prrafodelista"/>
        <w:numPr>
          <w:ilvl w:val="0"/>
          <w:numId w:val="4"/>
        </w:numPr>
        <w:spacing w:line="360" w:lineRule="auto"/>
        <w:jc w:val="both"/>
        <w:rPr>
          <w:sz w:val="20"/>
          <w:szCs w:val="20"/>
        </w:rPr>
      </w:pPr>
      <w:r w:rsidRPr="001C3DBE">
        <w:rPr>
          <w:sz w:val="20"/>
          <w:szCs w:val="20"/>
        </w:rPr>
        <w:t xml:space="preserve">A los servidores públicos activos </w:t>
      </w:r>
      <w:r w:rsidR="00E725D0" w:rsidRPr="001C3DBE">
        <w:rPr>
          <w:sz w:val="20"/>
          <w:szCs w:val="20"/>
        </w:rPr>
        <w:t>se les duplicó</w:t>
      </w:r>
      <w:r w:rsidRPr="001C3DBE">
        <w:rPr>
          <w:sz w:val="20"/>
          <w:szCs w:val="20"/>
        </w:rPr>
        <w:t xml:space="preserve"> su aportación del 6% al 12% del salario base. </w:t>
      </w:r>
    </w:p>
    <w:p w14:paraId="70B16DEC" w14:textId="06BC337B" w:rsidR="00E725D0" w:rsidRPr="00F532D5" w:rsidRDefault="00E725D0" w:rsidP="00800CF7">
      <w:pPr>
        <w:pStyle w:val="Prrafodelista"/>
        <w:numPr>
          <w:ilvl w:val="0"/>
          <w:numId w:val="4"/>
        </w:numPr>
        <w:spacing w:line="360" w:lineRule="auto"/>
        <w:jc w:val="both"/>
        <w:rPr>
          <w:sz w:val="20"/>
          <w:szCs w:val="20"/>
        </w:rPr>
      </w:pPr>
      <w:r w:rsidRPr="00F532D5">
        <w:rPr>
          <w:sz w:val="20"/>
          <w:szCs w:val="20"/>
        </w:rPr>
        <w:t>L</w:t>
      </w:r>
      <w:r w:rsidR="00B7607A" w:rsidRPr="00F532D5">
        <w:rPr>
          <w:sz w:val="20"/>
          <w:szCs w:val="20"/>
        </w:rPr>
        <w:t>a aportación</w:t>
      </w:r>
      <w:r w:rsidR="007C1E27" w:rsidRPr="00F532D5">
        <w:rPr>
          <w:sz w:val="20"/>
          <w:szCs w:val="20"/>
        </w:rPr>
        <w:t xml:space="preserve"> </w:t>
      </w:r>
      <w:r w:rsidR="00B7607A" w:rsidRPr="00F532D5">
        <w:rPr>
          <w:sz w:val="20"/>
          <w:szCs w:val="20"/>
        </w:rPr>
        <w:t>del Gobierno se duplic</w:t>
      </w:r>
      <w:r w:rsidRPr="00F532D5">
        <w:rPr>
          <w:sz w:val="20"/>
          <w:szCs w:val="20"/>
        </w:rPr>
        <w:t>ó</w:t>
      </w:r>
      <w:r w:rsidR="00B7607A" w:rsidRPr="00F532D5">
        <w:rPr>
          <w:sz w:val="20"/>
          <w:szCs w:val="20"/>
        </w:rPr>
        <w:t xml:space="preserve"> pasando del 9% al 18% del salario base. En el esquema anterior, el gobierno aportaba $0.50 más de aportación que el servidor público, es decir por cada peso que aportaba el trabajador</w:t>
      </w:r>
      <w:r w:rsidR="0050219A" w:rsidRPr="00F532D5">
        <w:rPr>
          <w:sz w:val="20"/>
          <w:szCs w:val="20"/>
        </w:rPr>
        <w:t>,</w:t>
      </w:r>
      <w:r w:rsidR="00B7607A" w:rsidRPr="00F532D5">
        <w:rPr>
          <w:sz w:val="20"/>
          <w:szCs w:val="20"/>
        </w:rPr>
        <w:t xml:space="preserve"> el gobierno aportaba $1.50. En el esquema actual el gobierno aporta $1.00 más que el servidor público, es decir por cada $2.00 aportados por el trabajador, el gobierno aporta $3.00.</w:t>
      </w:r>
    </w:p>
    <w:p w14:paraId="61D2E46D" w14:textId="77777777" w:rsidR="00E725D0" w:rsidRPr="00F532D5" w:rsidRDefault="00E725D0" w:rsidP="00E725D0">
      <w:pPr>
        <w:pStyle w:val="Prrafodelista"/>
        <w:rPr>
          <w:sz w:val="20"/>
          <w:szCs w:val="20"/>
        </w:rPr>
      </w:pPr>
    </w:p>
    <w:p w14:paraId="6BE77451" w14:textId="0F3B4EDC" w:rsidR="00E725D0" w:rsidRPr="001C3DBE" w:rsidRDefault="00B7607A" w:rsidP="00800CF7">
      <w:pPr>
        <w:pStyle w:val="Prrafodelista"/>
        <w:numPr>
          <w:ilvl w:val="0"/>
          <w:numId w:val="4"/>
        </w:numPr>
        <w:spacing w:line="360" w:lineRule="auto"/>
        <w:jc w:val="both"/>
        <w:rPr>
          <w:sz w:val="20"/>
          <w:szCs w:val="20"/>
        </w:rPr>
      </w:pPr>
      <w:r w:rsidRPr="001C3DBE">
        <w:rPr>
          <w:sz w:val="20"/>
          <w:szCs w:val="20"/>
        </w:rPr>
        <w:t>Para los servid</w:t>
      </w:r>
      <w:r w:rsidR="00787460" w:rsidRPr="001C3DBE">
        <w:rPr>
          <w:sz w:val="20"/>
          <w:szCs w:val="20"/>
        </w:rPr>
        <w:t>ores públicos de nuevo ingreso e</w:t>
      </w:r>
      <w:r w:rsidRPr="001C3DBE">
        <w:rPr>
          <w:sz w:val="20"/>
          <w:szCs w:val="20"/>
        </w:rPr>
        <w:t>l esquema de afiliación es el de cuentas individuales.</w:t>
      </w:r>
      <w:r w:rsidR="007C1E27" w:rsidRPr="001C3DBE">
        <w:rPr>
          <w:sz w:val="20"/>
          <w:szCs w:val="20"/>
        </w:rPr>
        <w:t xml:space="preserve"> </w:t>
      </w:r>
      <w:r w:rsidRPr="001C3DBE">
        <w:rPr>
          <w:sz w:val="20"/>
          <w:szCs w:val="20"/>
        </w:rPr>
        <w:t xml:space="preserve">En cuanto a la edad para jubilarse, se establece </w:t>
      </w:r>
      <w:r w:rsidR="00787460" w:rsidRPr="001C3DBE">
        <w:rPr>
          <w:sz w:val="20"/>
          <w:szCs w:val="20"/>
        </w:rPr>
        <w:t xml:space="preserve">incrementarla </w:t>
      </w:r>
      <w:r w:rsidRPr="001C3DBE">
        <w:rPr>
          <w:sz w:val="20"/>
          <w:szCs w:val="20"/>
        </w:rPr>
        <w:t>de manera gradual</w:t>
      </w:r>
      <w:r w:rsidR="00787460" w:rsidRPr="001C3DBE">
        <w:rPr>
          <w:sz w:val="20"/>
          <w:szCs w:val="20"/>
        </w:rPr>
        <w:t>;</w:t>
      </w:r>
      <w:r w:rsidRPr="001C3DBE">
        <w:rPr>
          <w:sz w:val="20"/>
          <w:szCs w:val="20"/>
        </w:rPr>
        <w:t xml:space="preserve"> es decir</w:t>
      </w:r>
      <w:r w:rsidR="00787460" w:rsidRPr="001C3DBE">
        <w:rPr>
          <w:sz w:val="20"/>
          <w:szCs w:val="20"/>
        </w:rPr>
        <w:t>,</w:t>
      </w:r>
      <w:r w:rsidRPr="001C3DBE">
        <w:rPr>
          <w:sz w:val="20"/>
          <w:szCs w:val="20"/>
        </w:rPr>
        <w:t xml:space="preserve"> para el 2013 y 2014 se consider</w:t>
      </w:r>
      <w:r w:rsidR="007C1E27" w:rsidRPr="001C3DBE">
        <w:rPr>
          <w:sz w:val="20"/>
          <w:szCs w:val="20"/>
        </w:rPr>
        <w:t>ó</w:t>
      </w:r>
      <w:r w:rsidRPr="001C3DBE">
        <w:rPr>
          <w:sz w:val="20"/>
          <w:szCs w:val="20"/>
        </w:rPr>
        <w:t xml:space="preserve"> </w:t>
      </w:r>
      <w:r w:rsidR="00787460" w:rsidRPr="001C3DBE">
        <w:rPr>
          <w:sz w:val="20"/>
          <w:szCs w:val="20"/>
        </w:rPr>
        <w:t xml:space="preserve">a </w:t>
      </w:r>
      <w:r w:rsidRPr="001C3DBE">
        <w:rPr>
          <w:sz w:val="20"/>
          <w:szCs w:val="20"/>
        </w:rPr>
        <w:t>los 53 años de edad y</w:t>
      </w:r>
      <w:r w:rsidR="008A18B7" w:rsidRPr="001C3DBE">
        <w:rPr>
          <w:sz w:val="20"/>
          <w:szCs w:val="20"/>
        </w:rPr>
        <w:t>/o</w:t>
      </w:r>
      <w:r w:rsidRPr="001C3DBE">
        <w:rPr>
          <w:sz w:val="20"/>
          <w:szCs w:val="20"/>
        </w:rPr>
        <w:t xml:space="preserve"> 28 años de servicio y para 2015 y 2016 </w:t>
      </w:r>
      <w:r w:rsidR="007C1E27" w:rsidRPr="001C3DBE">
        <w:rPr>
          <w:sz w:val="20"/>
          <w:szCs w:val="20"/>
        </w:rPr>
        <w:t>se aumentó</w:t>
      </w:r>
      <w:r w:rsidRPr="001C3DBE">
        <w:rPr>
          <w:sz w:val="20"/>
          <w:szCs w:val="20"/>
        </w:rPr>
        <w:t xml:space="preserve"> un año, es decir 54 años de edad y</w:t>
      </w:r>
      <w:r w:rsidR="008A18B7" w:rsidRPr="001C3DBE">
        <w:rPr>
          <w:sz w:val="20"/>
          <w:szCs w:val="20"/>
        </w:rPr>
        <w:t>/o</w:t>
      </w:r>
      <w:r w:rsidRPr="001C3DBE">
        <w:rPr>
          <w:sz w:val="20"/>
          <w:szCs w:val="20"/>
        </w:rPr>
        <w:t xml:space="preserve"> 28 años de servicio y así </w:t>
      </w:r>
      <w:r w:rsidR="00787460" w:rsidRPr="001C3DBE">
        <w:rPr>
          <w:sz w:val="20"/>
          <w:szCs w:val="20"/>
        </w:rPr>
        <w:lastRenderedPageBreak/>
        <w:t xml:space="preserve">sucesivamente </w:t>
      </w:r>
      <w:r w:rsidRPr="001C3DBE">
        <w:rPr>
          <w:sz w:val="20"/>
          <w:szCs w:val="20"/>
        </w:rPr>
        <w:t>dos años calendario</w:t>
      </w:r>
      <w:r w:rsidR="00787460" w:rsidRPr="001C3DBE">
        <w:rPr>
          <w:sz w:val="20"/>
          <w:szCs w:val="20"/>
        </w:rPr>
        <w:t>,</w:t>
      </w:r>
      <w:r w:rsidRPr="001C3DBE">
        <w:rPr>
          <w:sz w:val="20"/>
          <w:szCs w:val="20"/>
        </w:rPr>
        <w:t xml:space="preserve"> por un año de edad</w:t>
      </w:r>
      <w:r w:rsidR="00787460" w:rsidRPr="001C3DBE">
        <w:rPr>
          <w:sz w:val="20"/>
          <w:szCs w:val="20"/>
        </w:rPr>
        <w:t>,</w:t>
      </w:r>
      <w:r w:rsidRPr="001C3DBE">
        <w:rPr>
          <w:sz w:val="20"/>
          <w:szCs w:val="20"/>
        </w:rPr>
        <w:t xml:space="preserve"> hasta el 2024 en donde hombres y mujeres llegaran a 58 años </w:t>
      </w:r>
      <w:r w:rsidR="00031372" w:rsidRPr="001C3DBE">
        <w:rPr>
          <w:sz w:val="20"/>
          <w:szCs w:val="20"/>
        </w:rPr>
        <w:t>de edad y 28</w:t>
      </w:r>
      <w:r w:rsidRPr="001C3DBE">
        <w:rPr>
          <w:sz w:val="20"/>
          <w:szCs w:val="20"/>
        </w:rPr>
        <w:t xml:space="preserve"> años de aportación.</w:t>
      </w:r>
    </w:p>
    <w:p w14:paraId="29662C5B" w14:textId="77777777" w:rsidR="00B7607A" w:rsidRPr="00F532D5" w:rsidRDefault="00B7607A" w:rsidP="00800CF7">
      <w:pPr>
        <w:pStyle w:val="Prrafodelista"/>
        <w:numPr>
          <w:ilvl w:val="0"/>
          <w:numId w:val="4"/>
        </w:numPr>
        <w:spacing w:line="360" w:lineRule="auto"/>
        <w:jc w:val="both"/>
        <w:rPr>
          <w:sz w:val="20"/>
          <w:szCs w:val="20"/>
        </w:rPr>
      </w:pPr>
      <w:r w:rsidRPr="00F532D5">
        <w:rPr>
          <w:sz w:val="20"/>
          <w:szCs w:val="20"/>
        </w:rPr>
        <w:t>Los servidores públicos serán sujetos del Libro A de este ordenamiento, excepto en el caso de que los servidores públicos opten por el Régimen Permanente de Ahorro Personal, siempre y cuando manifiesten su voluntad libre e informada y por escrito a la Institución de ser sujeto al Libro B, dentro del plazo de seis meses</w:t>
      </w:r>
      <w:r w:rsidR="00787460" w:rsidRPr="00F532D5">
        <w:rPr>
          <w:sz w:val="20"/>
          <w:szCs w:val="20"/>
        </w:rPr>
        <w:t>,</w:t>
      </w:r>
      <w:r w:rsidRPr="00F532D5">
        <w:rPr>
          <w:sz w:val="20"/>
          <w:szCs w:val="20"/>
        </w:rPr>
        <w:t xml:space="preserve"> siguientes a la entrada en vigor de la Ley de Pensiones.</w:t>
      </w:r>
    </w:p>
    <w:p w14:paraId="5A171352" w14:textId="77777777" w:rsidR="00073F8A" w:rsidRPr="00F532D5" w:rsidRDefault="00073F8A" w:rsidP="00B7607A">
      <w:pPr>
        <w:spacing w:line="360" w:lineRule="auto"/>
        <w:jc w:val="both"/>
        <w:rPr>
          <w:sz w:val="20"/>
          <w:szCs w:val="20"/>
        </w:rPr>
      </w:pPr>
    </w:p>
    <w:p w14:paraId="4FC06C4F" w14:textId="787D7EA7" w:rsidR="00B7607A" w:rsidRPr="00F532D5" w:rsidRDefault="00B7607A" w:rsidP="00B7607A">
      <w:pPr>
        <w:spacing w:line="360" w:lineRule="auto"/>
        <w:jc w:val="both"/>
        <w:rPr>
          <w:sz w:val="20"/>
          <w:szCs w:val="20"/>
        </w:rPr>
      </w:pPr>
      <w:r w:rsidRPr="00F532D5">
        <w:rPr>
          <w:sz w:val="20"/>
          <w:szCs w:val="20"/>
        </w:rPr>
        <w:t xml:space="preserve">Con lo anterior, se </w:t>
      </w:r>
      <w:r w:rsidR="008A18B7" w:rsidRPr="00F532D5">
        <w:rPr>
          <w:sz w:val="20"/>
          <w:szCs w:val="20"/>
        </w:rPr>
        <w:t>dio</w:t>
      </w:r>
      <w:r w:rsidRPr="00F532D5">
        <w:rPr>
          <w:sz w:val="20"/>
          <w:szCs w:val="20"/>
        </w:rPr>
        <w:t xml:space="preserve"> sustentabilidad y viabilidad económica a la institución, dado que</w:t>
      </w:r>
      <w:r w:rsidR="00787460" w:rsidRPr="00F532D5">
        <w:rPr>
          <w:sz w:val="20"/>
          <w:szCs w:val="20"/>
        </w:rPr>
        <w:t>,</w:t>
      </w:r>
      <w:r w:rsidRPr="00F532D5">
        <w:rPr>
          <w:sz w:val="20"/>
          <w:szCs w:val="20"/>
        </w:rPr>
        <w:t xml:space="preserve"> si sólo se hubieran aumentado las aportaciones, estas hubiesen sido </w:t>
      </w:r>
      <w:r w:rsidR="00787460" w:rsidRPr="00F532D5">
        <w:rPr>
          <w:sz w:val="20"/>
          <w:szCs w:val="20"/>
        </w:rPr>
        <w:t xml:space="preserve">suficientes sólo </w:t>
      </w:r>
      <w:r w:rsidRPr="00F532D5">
        <w:rPr>
          <w:sz w:val="20"/>
          <w:szCs w:val="20"/>
        </w:rPr>
        <w:t>para financiar las jubilaciones de lo</w:t>
      </w:r>
      <w:r w:rsidR="00787460" w:rsidRPr="00F532D5">
        <w:rPr>
          <w:sz w:val="20"/>
          <w:szCs w:val="20"/>
        </w:rPr>
        <w:t xml:space="preserve">s inactivos, pero no </w:t>
      </w:r>
      <w:r w:rsidRPr="00F532D5">
        <w:rPr>
          <w:sz w:val="20"/>
          <w:szCs w:val="20"/>
        </w:rPr>
        <w:t>para pagar a los nuevos jubilados, por lo que</w:t>
      </w:r>
      <w:r w:rsidR="00787460" w:rsidRPr="00F532D5">
        <w:rPr>
          <w:sz w:val="20"/>
          <w:szCs w:val="20"/>
        </w:rPr>
        <w:t xml:space="preserve">, </w:t>
      </w:r>
      <w:r w:rsidRPr="00F532D5">
        <w:rPr>
          <w:sz w:val="20"/>
          <w:szCs w:val="20"/>
        </w:rPr>
        <w:t xml:space="preserve">en el mediano plazo no </w:t>
      </w:r>
      <w:r w:rsidR="00787460" w:rsidRPr="00F532D5">
        <w:rPr>
          <w:sz w:val="20"/>
          <w:szCs w:val="20"/>
        </w:rPr>
        <w:t>hubiera sido sustentable</w:t>
      </w:r>
      <w:r w:rsidRPr="00F532D5">
        <w:rPr>
          <w:sz w:val="20"/>
          <w:szCs w:val="20"/>
        </w:rPr>
        <w:t xml:space="preserve"> financiera</w:t>
      </w:r>
      <w:r w:rsidR="00787460" w:rsidRPr="00F532D5">
        <w:rPr>
          <w:sz w:val="20"/>
          <w:szCs w:val="20"/>
        </w:rPr>
        <w:t>mente</w:t>
      </w:r>
      <w:r w:rsidRPr="00F532D5">
        <w:rPr>
          <w:sz w:val="20"/>
          <w:szCs w:val="20"/>
        </w:rPr>
        <w:t>; por ello en un horizonte de largo plazo</w:t>
      </w:r>
      <w:r w:rsidR="00787460" w:rsidRPr="00F532D5">
        <w:rPr>
          <w:sz w:val="20"/>
          <w:szCs w:val="20"/>
        </w:rPr>
        <w:t>,</w:t>
      </w:r>
      <w:r w:rsidRPr="00F532D5">
        <w:rPr>
          <w:sz w:val="20"/>
          <w:szCs w:val="20"/>
        </w:rPr>
        <w:t xml:space="preserve"> </w:t>
      </w:r>
      <w:r w:rsidR="00787460" w:rsidRPr="00F532D5">
        <w:rPr>
          <w:sz w:val="20"/>
          <w:szCs w:val="20"/>
        </w:rPr>
        <w:t>fue</w:t>
      </w:r>
      <w:r w:rsidRPr="00F532D5">
        <w:rPr>
          <w:sz w:val="20"/>
          <w:szCs w:val="20"/>
        </w:rPr>
        <w:t xml:space="preserve"> necesario aumentar la edad promedio de jubilación y establecer cuentas individuales para los nuevos afiliados.</w:t>
      </w:r>
    </w:p>
    <w:p w14:paraId="2407F6F5" w14:textId="77777777" w:rsidR="00031372" w:rsidRPr="00F532D5" w:rsidRDefault="00031372" w:rsidP="00B7607A">
      <w:pPr>
        <w:spacing w:line="360" w:lineRule="auto"/>
        <w:jc w:val="both"/>
        <w:rPr>
          <w:sz w:val="20"/>
          <w:szCs w:val="20"/>
        </w:rPr>
      </w:pPr>
    </w:p>
    <w:p w14:paraId="6099C9D4" w14:textId="77777777" w:rsidR="00B7607A" w:rsidRPr="00F532D5" w:rsidRDefault="00B7607A" w:rsidP="00B7607A">
      <w:pPr>
        <w:spacing w:line="360" w:lineRule="auto"/>
        <w:jc w:val="both"/>
        <w:rPr>
          <w:sz w:val="20"/>
          <w:szCs w:val="20"/>
        </w:rPr>
      </w:pPr>
      <w:r w:rsidRPr="00F532D5">
        <w:rPr>
          <w:sz w:val="20"/>
          <w:szCs w:val="20"/>
        </w:rPr>
        <w:t>Con estas reformas estructurales se garantiza a los jubilados y pensionados el pago puntual de sus pensiones, otorgándoles seguridad económica</w:t>
      </w:r>
      <w:r w:rsidR="00787460" w:rsidRPr="00F532D5">
        <w:rPr>
          <w:sz w:val="20"/>
          <w:szCs w:val="20"/>
        </w:rPr>
        <w:t xml:space="preserve">, </w:t>
      </w:r>
      <w:r w:rsidRPr="00F532D5">
        <w:rPr>
          <w:sz w:val="20"/>
          <w:szCs w:val="20"/>
        </w:rPr>
        <w:t>y conservar sus derechos de la Ley anterior.</w:t>
      </w:r>
    </w:p>
    <w:p w14:paraId="06E0A608" w14:textId="77777777" w:rsidR="00B7607A" w:rsidRPr="00F532D5" w:rsidRDefault="00B7607A" w:rsidP="007159E7">
      <w:pPr>
        <w:spacing w:line="360" w:lineRule="auto"/>
        <w:jc w:val="both"/>
        <w:rPr>
          <w:sz w:val="20"/>
          <w:szCs w:val="20"/>
        </w:rPr>
      </w:pPr>
    </w:p>
    <w:p w14:paraId="734E367A" w14:textId="77777777" w:rsidR="00222EA1" w:rsidRPr="00F532D5" w:rsidRDefault="00222EA1" w:rsidP="007159E7">
      <w:pPr>
        <w:spacing w:line="360" w:lineRule="auto"/>
        <w:jc w:val="both"/>
        <w:rPr>
          <w:sz w:val="20"/>
          <w:szCs w:val="20"/>
        </w:rPr>
      </w:pPr>
      <w:r w:rsidRPr="00F532D5">
        <w:rPr>
          <w:sz w:val="20"/>
          <w:szCs w:val="20"/>
        </w:rPr>
        <w:t>Con la reforma al Sistema Estatal de Pensiones y a los servicios médicos se buscó impulsar mecanismos que incentivaran la capitalización de Pensiones Civiles, a través de la modificación en las cuotas de aportación por parte del Gobierno Estatal y del trabajador y de las edades para jubilación y pensión de los trabajadores en activo.</w:t>
      </w:r>
    </w:p>
    <w:p w14:paraId="1A8CE1A8" w14:textId="77777777" w:rsidR="00222EA1" w:rsidRPr="00F532D5" w:rsidRDefault="00222EA1" w:rsidP="007159E7">
      <w:pPr>
        <w:spacing w:line="360" w:lineRule="auto"/>
        <w:jc w:val="both"/>
        <w:rPr>
          <w:sz w:val="20"/>
          <w:szCs w:val="20"/>
        </w:rPr>
      </w:pPr>
    </w:p>
    <w:p w14:paraId="29B99CE9" w14:textId="5418A479" w:rsidR="00222EA1" w:rsidRPr="00F532D5" w:rsidRDefault="00222EA1" w:rsidP="007159E7">
      <w:pPr>
        <w:spacing w:line="360" w:lineRule="auto"/>
        <w:jc w:val="both"/>
        <w:rPr>
          <w:sz w:val="20"/>
          <w:szCs w:val="20"/>
        </w:rPr>
      </w:pPr>
      <w:r w:rsidRPr="00F532D5">
        <w:rPr>
          <w:sz w:val="20"/>
          <w:szCs w:val="20"/>
        </w:rPr>
        <w:t>Adicionalmente</w:t>
      </w:r>
      <w:r w:rsidR="00795AA6" w:rsidRPr="00F532D5">
        <w:rPr>
          <w:sz w:val="20"/>
          <w:szCs w:val="20"/>
        </w:rPr>
        <w:t>,</w:t>
      </w:r>
      <w:r w:rsidRPr="00F532D5">
        <w:rPr>
          <w:sz w:val="20"/>
          <w:szCs w:val="20"/>
        </w:rPr>
        <w:t xml:space="preserv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50C556EF" w14:textId="08F6D880" w:rsidR="00032945" w:rsidRPr="00F532D5" w:rsidRDefault="00032945" w:rsidP="007159E7">
      <w:pPr>
        <w:spacing w:line="360" w:lineRule="auto"/>
        <w:jc w:val="both"/>
        <w:rPr>
          <w:sz w:val="20"/>
          <w:szCs w:val="20"/>
        </w:rPr>
      </w:pPr>
    </w:p>
    <w:p w14:paraId="794031B4" w14:textId="77777777" w:rsidR="001C3DBE" w:rsidRDefault="00D42996" w:rsidP="007159E7">
      <w:pPr>
        <w:spacing w:line="360" w:lineRule="auto"/>
        <w:jc w:val="both"/>
        <w:rPr>
          <w:sz w:val="20"/>
          <w:szCs w:val="20"/>
        </w:rPr>
      </w:pPr>
      <w:r w:rsidRPr="00F532D5">
        <w:rPr>
          <w:sz w:val="20"/>
          <w:szCs w:val="20"/>
        </w:rPr>
        <w:t>Con estas reformas, se redujo el pasivo de pensiones no fondeado de un estimado de 22,000 mdp a 9,413 mdp, que en términos porcentuales corresponden de</w:t>
      </w:r>
      <w:r w:rsidR="00795AA6" w:rsidRPr="00F532D5">
        <w:rPr>
          <w:sz w:val="20"/>
          <w:szCs w:val="20"/>
        </w:rPr>
        <w:t>l</w:t>
      </w:r>
      <w:r w:rsidRPr="00F532D5">
        <w:rPr>
          <w:sz w:val="20"/>
          <w:szCs w:val="20"/>
        </w:rPr>
        <w:t xml:space="preserve"> 134% a</w:t>
      </w:r>
      <w:r w:rsidR="00795AA6" w:rsidRPr="00F532D5">
        <w:rPr>
          <w:sz w:val="20"/>
          <w:szCs w:val="20"/>
        </w:rPr>
        <w:t>l</w:t>
      </w:r>
      <w:r w:rsidRPr="00F532D5">
        <w:rPr>
          <w:sz w:val="20"/>
          <w:szCs w:val="20"/>
        </w:rPr>
        <w:t xml:space="preserve"> 47% de los ingresos totales del organismo.</w:t>
      </w:r>
    </w:p>
    <w:p w14:paraId="1B450E74" w14:textId="77777777" w:rsidR="001C3DBE" w:rsidRDefault="001C3DBE" w:rsidP="007159E7">
      <w:pPr>
        <w:spacing w:line="360" w:lineRule="auto"/>
        <w:jc w:val="both"/>
        <w:rPr>
          <w:sz w:val="20"/>
          <w:szCs w:val="20"/>
        </w:rPr>
      </w:pPr>
    </w:p>
    <w:p w14:paraId="22D3E894" w14:textId="4758230A" w:rsidR="009B52A6" w:rsidRPr="001C3DBE" w:rsidRDefault="001C3DBE" w:rsidP="007159E7">
      <w:pPr>
        <w:spacing w:line="360" w:lineRule="auto"/>
        <w:jc w:val="both"/>
        <w:rPr>
          <w:sz w:val="20"/>
          <w:szCs w:val="20"/>
        </w:rPr>
      </w:pPr>
      <w:r>
        <w:rPr>
          <w:b/>
          <w:sz w:val="20"/>
          <w:szCs w:val="20"/>
        </w:rPr>
        <w:t xml:space="preserve">2. </w:t>
      </w:r>
      <w:r w:rsidR="009B52A6" w:rsidRPr="00F532D5">
        <w:rPr>
          <w:b/>
          <w:sz w:val="20"/>
          <w:szCs w:val="20"/>
        </w:rPr>
        <w:t>Deuda Pública</w:t>
      </w:r>
    </w:p>
    <w:p w14:paraId="368E3994" w14:textId="77777777" w:rsidR="009B52A6" w:rsidRPr="00F532D5" w:rsidRDefault="009B52A6" w:rsidP="007159E7">
      <w:pPr>
        <w:spacing w:line="360" w:lineRule="auto"/>
        <w:jc w:val="both"/>
        <w:rPr>
          <w:sz w:val="20"/>
          <w:szCs w:val="20"/>
        </w:rPr>
      </w:pPr>
    </w:p>
    <w:p w14:paraId="0943A502" w14:textId="06AA857B" w:rsidR="009B52A6" w:rsidRPr="00F532D5" w:rsidRDefault="00867E42" w:rsidP="009B52A6">
      <w:pPr>
        <w:spacing w:line="360" w:lineRule="auto"/>
        <w:jc w:val="both"/>
        <w:rPr>
          <w:sz w:val="20"/>
          <w:szCs w:val="20"/>
        </w:rPr>
      </w:pPr>
      <w:r w:rsidRPr="00F532D5">
        <w:rPr>
          <w:sz w:val="20"/>
          <w:szCs w:val="20"/>
        </w:rPr>
        <w:t xml:space="preserve">La Política de Deuda del Gobierno del Estado </w:t>
      </w:r>
      <w:r w:rsidR="00492F00" w:rsidRPr="00F532D5">
        <w:rPr>
          <w:sz w:val="20"/>
          <w:szCs w:val="20"/>
        </w:rPr>
        <w:t xml:space="preserve">es ejemplo </w:t>
      </w:r>
      <w:r w:rsidRPr="00F532D5">
        <w:rPr>
          <w:sz w:val="20"/>
          <w:szCs w:val="20"/>
        </w:rPr>
        <w:t xml:space="preserve">a nivel nacional, ya que siguiendo los principios de </w:t>
      </w:r>
      <w:r w:rsidR="00492F00" w:rsidRPr="00F532D5">
        <w:rPr>
          <w:sz w:val="20"/>
          <w:szCs w:val="20"/>
        </w:rPr>
        <w:t xml:space="preserve">disciplina y responsabilidad </w:t>
      </w:r>
      <w:r w:rsidRPr="00F532D5">
        <w:rPr>
          <w:sz w:val="20"/>
          <w:szCs w:val="20"/>
        </w:rPr>
        <w:t>hacendaria</w:t>
      </w:r>
      <w:r w:rsidR="00492F00" w:rsidRPr="00F532D5">
        <w:rPr>
          <w:sz w:val="20"/>
          <w:szCs w:val="20"/>
        </w:rPr>
        <w:t xml:space="preserve">, </w:t>
      </w:r>
      <w:r w:rsidRPr="00F532D5">
        <w:rPr>
          <w:sz w:val="20"/>
          <w:szCs w:val="20"/>
        </w:rPr>
        <w:t>ubican a Tlaxcala co</w:t>
      </w:r>
      <w:r w:rsidR="00492F00" w:rsidRPr="00F532D5">
        <w:rPr>
          <w:sz w:val="20"/>
          <w:szCs w:val="20"/>
        </w:rPr>
        <w:t>n un 0%</w:t>
      </w:r>
      <w:r w:rsidR="009B52A6" w:rsidRPr="00F532D5">
        <w:rPr>
          <w:sz w:val="20"/>
          <w:szCs w:val="20"/>
        </w:rPr>
        <w:t xml:space="preserve"> </w:t>
      </w:r>
      <w:r w:rsidR="00492F00" w:rsidRPr="00F532D5">
        <w:rPr>
          <w:sz w:val="20"/>
          <w:szCs w:val="20"/>
        </w:rPr>
        <w:t xml:space="preserve">como porcentaje </w:t>
      </w:r>
      <w:r w:rsidR="00492F00" w:rsidRPr="00F532D5">
        <w:rPr>
          <w:sz w:val="20"/>
          <w:szCs w:val="20"/>
        </w:rPr>
        <w:lastRenderedPageBreak/>
        <w:t xml:space="preserve">del PIB Estatal </w:t>
      </w:r>
      <w:r w:rsidRPr="00F532D5">
        <w:rPr>
          <w:sz w:val="20"/>
          <w:szCs w:val="20"/>
        </w:rPr>
        <w:t>en</w:t>
      </w:r>
      <w:r w:rsidR="00492F00" w:rsidRPr="00F532D5">
        <w:rPr>
          <w:sz w:val="20"/>
          <w:szCs w:val="20"/>
        </w:rPr>
        <w:t xml:space="preserve"> nivel de endeudamiento del Estado</w:t>
      </w:r>
      <w:r w:rsidR="002C1CBA" w:rsidRPr="00F532D5">
        <w:rPr>
          <w:sz w:val="20"/>
          <w:szCs w:val="20"/>
        </w:rPr>
        <w:t xml:space="preserve">, ya que </w:t>
      </w:r>
      <w:r w:rsidR="009B52A6" w:rsidRPr="00F532D5">
        <w:rPr>
          <w:sz w:val="20"/>
          <w:szCs w:val="20"/>
        </w:rPr>
        <w:t>el mantenimiento de finanzas públicas sanas</w:t>
      </w:r>
      <w:r w:rsidR="002C1CBA" w:rsidRPr="00F532D5">
        <w:rPr>
          <w:sz w:val="20"/>
          <w:szCs w:val="20"/>
        </w:rPr>
        <w:t xml:space="preserve"> es prioridad de esta administración;</w:t>
      </w:r>
      <w:r w:rsidR="009B52A6" w:rsidRPr="00F532D5">
        <w:rPr>
          <w:sz w:val="20"/>
          <w:szCs w:val="20"/>
        </w:rPr>
        <w:t xml:space="preserve"> sin embargo, considerando el deterioro de los resultados fiscales a nivel nacional podría conducir al requerimiento de recursos para </w:t>
      </w:r>
      <w:r w:rsidR="00AE6061" w:rsidRPr="00F532D5">
        <w:rPr>
          <w:sz w:val="20"/>
          <w:szCs w:val="20"/>
        </w:rPr>
        <w:t xml:space="preserve">mejorar los niveles de liquidez para promover la inversión pública productiva, </w:t>
      </w:r>
      <w:r w:rsidR="009B52A6" w:rsidRPr="00F532D5">
        <w:rPr>
          <w:sz w:val="20"/>
          <w:szCs w:val="20"/>
        </w:rPr>
        <w:t>por lo que no se desestima en el mediano plazo, la posibilidad de contratación de deuda para el financiamiento del gasto</w:t>
      </w:r>
      <w:r w:rsidR="00AE6061" w:rsidRPr="00F532D5">
        <w:rPr>
          <w:sz w:val="20"/>
          <w:szCs w:val="20"/>
        </w:rPr>
        <w:t xml:space="preserve"> de inversión; asimismo, trabajamos continuamente con agencias calificadoras para tener información que nos permita tomar las mejores condiciones financieras para los financiamientos a implementar</w:t>
      </w:r>
      <w:r w:rsidR="009B52A6" w:rsidRPr="00F532D5">
        <w:rPr>
          <w:sz w:val="20"/>
          <w:szCs w:val="20"/>
        </w:rPr>
        <w:t>.</w:t>
      </w:r>
    </w:p>
    <w:p w14:paraId="2C42C604" w14:textId="77777777" w:rsidR="00C167B8" w:rsidRPr="00F532D5" w:rsidRDefault="00C167B8" w:rsidP="007159E7">
      <w:pPr>
        <w:spacing w:line="360" w:lineRule="auto"/>
        <w:jc w:val="both"/>
        <w:rPr>
          <w:sz w:val="20"/>
          <w:szCs w:val="20"/>
        </w:rPr>
      </w:pPr>
    </w:p>
    <w:p w14:paraId="18B352C3" w14:textId="77777777" w:rsidR="009B52A6" w:rsidRPr="00F532D5" w:rsidRDefault="009B52A6" w:rsidP="009B52A6">
      <w:pPr>
        <w:spacing w:line="360" w:lineRule="auto"/>
        <w:jc w:val="both"/>
        <w:rPr>
          <w:b/>
          <w:sz w:val="20"/>
          <w:szCs w:val="20"/>
        </w:rPr>
      </w:pPr>
      <w:r w:rsidRPr="00F532D5">
        <w:rPr>
          <w:b/>
          <w:sz w:val="20"/>
          <w:szCs w:val="20"/>
        </w:rPr>
        <w:t>3. Menor crecimiento económico</w:t>
      </w:r>
    </w:p>
    <w:p w14:paraId="327ABC03" w14:textId="77777777" w:rsidR="009B52A6" w:rsidRPr="00F532D5" w:rsidRDefault="009B52A6" w:rsidP="009B52A6">
      <w:pPr>
        <w:spacing w:line="360" w:lineRule="auto"/>
        <w:jc w:val="both"/>
        <w:rPr>
          <w:sz w:val="20"/>
          <w:szCs w:val="20"/>
        </w:rPr>
      </w:pPr>
    </w:p>
    <w:p w14:paraId="19FE629E" w14:textId="77777777" w:rsidR="00435760" w:rsidRPr="00F532D5" w:rsidRDefault="00435760" w:rsidP="00435760">
      <w:pPr>
        <w:pStyle w:val="PRIMERAPLANA"/>
        <w:spacing w:line="360" w:lineRule="auto"/>
        <w:rPr>
          <w:rFonts w:ascii="Times New Roman" w:hAnsi="Times New Roman"/>
          <w:iCs/>
          <w:lang w:val="es-ES"/>
        </w:rPr>
      </w:pPr>
      <w:r w:rsidRPr="00F532D5">
        <w:rPr>
          <w:rFonts w:ascii="Times New Roman" w:hAnsi="Times New Roman"/>
          <w:iCs/>
          <w:lang w:val="es-ES"/>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el PIB </w:t>
      </w:r>
      <w:r w:rsidRPr="00F532D5">
        <w:rPr>
          <w:rFonts w:ascii="Times New Roman" w:hAnsi="Times New Roman"/>
          <w:i/>
          <w:iCs/>
          <w:lang w:val="es-ES"/>
        </w:rPr>
        <w:t>per cápita</w:t>
      </w:r>
      <w:r w:rsidRPr="00F532D5">
        <w:rPr>
          <w:rFonts w:ascii="Times New Roman" w:hAnsi="Times New Roman"/>
          <w:iCs/>
          <w:lang w:val="es-ES"/>
        </w:rPr>
        <w:t xml:space="preserve"> de nuestra Entidad en el ejercicio 2018 fue equivalente al 53.1% del promedio nacional, cabe hacer mención que el nivel de ingresos propios es bajo y fue equivalente a 13.6% de los ingresos operativos en 2019 y de 14.8% en 2018, si bien la recaudación de impuestos incremento 3% con respecto a 2018, este incremento se debió básicamente al aumento de la tasa del Impuesto Sobre Nóminas del 2% al 3% a partir del 2017, la disminución observada en 2019 obedece a que en este año no hubo venta de activos como en 2018.</w:t>
      </w:r>
    </w:p>
    <w:p w14:paraId="691DEF29" w14:textId="77777777" w:rsidR="009B52A6" w:rsidRPr="00F532D5" w:rsidRDefault="009B52A6" w:rsidP="009B52A6">
      <w:pPr>
        <w:spacing w:line="360" w:lineRule="auto"/>
        <w:jc w:val="both"/>
        <w:rPr>
          <w:sz w:val="20"/>
          <w:szCs w:val="20"/>
        </w:rPr>
      </w:pPr>
    </w:p>
    <w:p w14:paraId="4AB6A0BC" w14:textId="77777777" w:rsidR="00F532D5" w:rsidRDefault="009B52A6" w:rsidP="00F532D5">
      <w:pPr>
        <w:spacing w:line="360" w:lineRule="auto"/>
        <w:jc w:val="both"/>
        <w:rPr>
          <w:sz w:val="20"/>
          <w:szCs w:val="20"/>
        </w:rPr>
      </w:pPr>
      <w:r w:rsidRPr="00F532D5">
        <w:rPr>
          <w:sz w:val="20"/>
          <w:szCs w:val="20"/>
        </w:rPr>
        <w:t xml:space="preserve">Para contener este riesgo, el </w:t>
      </w:r>
      <w:r w:rsidR="009D4425" w:rsidRPr="00F532D5">
        <w:rPr>
          <w:sz w:val="20"/>
          <w:szCs w:val="20"/>
        </w:rPr>
        <w:t>G</w:t>
      </w:r>
      <w:r w:rsidRPr="00F532D5">
        <w:rPr>
          <w:sz w:val="20"/>
          <w:szCs w:val="20"/>
        </w:rPr>
        <w:t xml:space="preserve">obierno </w:t>
      </w:r>
      <w:r w:rsidR="009D4425" w:rsidRPr="00F532D5">
        <w:rPr>
          <w:sz w:val="20"/>
          <w:szCs w:val="20"/>
        </w:rPr>
        <w:t xml:space="preserve">del Estado ha llevado a cabo </w:t>
      </w:r>
      <w:r w:rsidRPr="00F532D5">
        <w:rPr>
          <w:sz w:val="20"/>
          <w:szCs w:val="20"/>
        </w:rPr>
        <w:t xml:space="preserve">una </w:t>
      </w:r>
      <w:r w:rsidR="008D7AC7" w:rsidRPr="00F532D5">
        <w:rPr>
          <w:sz w:val="20"/>
          <w:szCs w:val="20"/>
        </w:rPr>
        <w:t xml:space="preserve">serie de acciones, entre las que encontramos una </w:t>
      </w:r>
      <w:r w:rsidRPr="00F532D5">
        <w:rPr>
          <w:sz w:val="20"/>
          <w:szCs w:val="20"/>
        </w:rPr>
        <w:t xml:space="preserve">mayor promoción de la inversión pública </w:t>
      </w:r>
      <w:r w:rsidR="00006F88" w:rsidRPr="00F532D5">
        <w:rPr>
          <w:sz w:val="20"/>
          <w:szCs w:val="20"/>
        </w:rPr>
        <w:t xml:space="preserve">y privada así como </w:t>
      </w:r>
      <w:r w:rsidRPr="00F532D5">
        <w:rPr>
          <w:sz w:val="20"/>
          <w:szCs w:val="20"/>
        </w:rPr>
        <w:t>del turismo, la incorporación de causantes informales, intensificar la fiscalización y el cobro de impuestos para fomentar la economía e incrementar la recaudación</w:t>
      </w:r>
      <w:r w:rsidR="008D7AC7" w:rsidRPr="00F532D5">
        <w:rPr>
          <w:sz w:val="20"/>
          <w:szCs w:val="20"/>
        </w:rPr>
        <w:t xml:space="preserve"> de ingresos propios; sin embargo debido a la desaceleración económica y a la crisis sanitaria por COVID-19, se espera que estas acciones se vean menguadas</w:t>
      </w:r>
      <w:r w:rsidRPr="00F532D5">
        <w:rPr>
          <w:sz w:val="20"/>
          <w:szCs w:val="20"/>
        </w:rPr>
        <w:t>.</w:t>
      </w:r>
    </w:p>
    <w:p w14:paraId="4348271F" w14:textId="77777777" w:rsidR="001C3DBE" w:rsidRDefault="001C3DBE" w:rsidP="00F532D5">
      <w:pPr>
        <w:spacing w:line="360" w:lineRule="auto"/>
        <w:jc w:val="both"/>
        <w:rPr>
          <w:sz w:val="20"/>
          <w:szCs w:val="20"/>
        </w:rPr>
      </w:pPr>
    </w:p>
    <w:p w14:paraId="4CD3C188" w14:textId="5B412AB5" w:rsidR="00BB2E8A" w:rsidRPr="00F532D5" w:rsidRDefault="00BB2E8A" w:rsidP="00F532D5">
      <w:pPr>
        <w:spacing w:line="360" w:lineRule="auto"/>
        <w:jc w:val="both"/>
        <w:rPr>
          <w:b/>
          <w:bCs/>
          <w:sz w:val="20"/>
          <w:szCs w:val="20"/>
        </w:rPr>
      </w:pPr>
      <w:r w:rsidRPr="00F532D5">
        <w:rPr>
          <w:b/>
          <w:bCs/>
          <w:sz w:val="20"/>
          <w:szCs w:val="20"/>
        </w:rPr>
        <w:t>EVOLUCIÓN DE LAS FINANZAS PÚBLICAS 201</w:t>
      </w:r>
      <w:r w:rsidR="008D7AC7" w:rsidRPr="00F532D5">
        <w:rPr>
          <w:b/>
          <w:bCs/>
          <w:sz w:val="20"/>
          <w:szCs w:val="20"/>
        </w:rPr>
        <w:t>5</w:t>
      </w:r>
      <w:r w:rsidRPr="00F532D5">
        <w:rPr>
          <w:b/>
          <w:bCs/>
          <w:sz w:val="20"/>
          <w:szCs w:val="20"/>
        </w:rPr>
        <w:t>-20</w:t>
      </w:r>
      <w:r w:rsidR="00E128AC" w:rsidRPr="00F532D5">
        <w:rPr>
          <w:b/>
          <w:bCs/>
          <w:sz w:val="20"/>
          <w:szCs w:val="20"/>
        </w:rPr>
        <w:t>21</w:t>
      </w:r>
      <w:r w:rsidR="008D7AC7" w:rsidRPr="00F532D5">
        <w:rPr>
          <w:b/>
          <w:bCs/>
          <w:sz w:val="20"/>
          <w:szCs w:val="20"/>
        </w:rPr>
        <w:t>.</w:t>
      </w:r>
    </w:p>
    <w:p w14:paraId="72B461FC" w14:textId="77777777" w:rsidR="00BB2E8A" w:rsidRPr="00F532D5" w:rsidRDefault="00BB2E8A" w:rsidP="007159E7">
      <w:pPr>
        <w:spacing w:line="360" w:lineRule="auto"/>
        <w:jc w:val="both"/>
        <w:rPr>
          <w:sz w:val="20"/>
          <w:szCs w:val="20"/>
        </w:rPr>
      </w:pPr>
    </w:p>
    <w:p w14:paraId="0D1FE9C0" w14:textId="0BAFD5D2" w:rsidR="006655F8" w:rsidRPr="00F532D5" w:rsidRDefault="007331F4" w:rsidP="007159E7">
      <w:pPr>
        <w:spacing w:line="360" w:lineRule="auto"/>
        <w:jc w:val="both"/>
        <w:rPr>
          <w:sz w:val="20"/>
          <w:szCs w:val="20"/>
        </w:rPr>
      </w:pPr>
      <w:r w:rsidRPr="00F532D5">
        <w:rPr>
          <w:sz w:val="20"/>
          <w:szCs w:val="20"/>
        </w:rPr>
        <w:t>La evolución de las finanzas públicas del Estado obedece a la dinámica de los ingresos estatales totales, los cuales a su vez son determinados por el comportamiento de la Recaudación Federal Participable (RFP); esta situación que no es privativa del Estado de Tlaxcala</w:t>
      </w:r>
      <w:r w:rsidR="006655F8" w:rsidRPr="00F532D5">
        <w:rPr>
          <w:sz w:val="20"/>
          <w:szCs w:val="20"/>
        </w:rPr>
        <w:t>,</w:t>
      </w:r>
      <w:r w:rsidRPr="00F532D5">
        <w:rPr>
          <w:sz w:val="20"/>
          <w:szCs w:val="20"/>
        </w:rPr>
        <w:t xml:space="preserve"> sino que se presenta en </w:t>
      </w:r>
      <w:r w:rsidR="006655F8" w:rsidRPr="00F532D5">
        <w:rPr>
          <w:sz w:val="20"/>
          <w:szCs w:val="20"/>
        </w:rPr>
        <w:t>la</w:t>
      </w:r>
      <w:r w:rsidRPr="00F532D5">
        <w:rPr>
          <w:sz w:val="20"/>
          <w:szCs w:val="20"/>
        </w:rPr>
        <w:t xml:space="preserve"> gran mayoría de las entidades de la República, debido a las condiciones de los Convenios de Coordinación Fiscal y </w:t>
      </w:r>
      <w:r w:rsidR="006655F8" w:rsidRPr="00F532D5">
        <w:rPr>
          <w:sz w:val="20"/>
          <w:szCs w:val="20"/>
        </w:rPr>
        <w:t xml:space="preserve">a </w:t>
      </w:r>
      <w:r w:rsidRPr="00F532D5">
        <w:rPr>
          <w:sz w:val="20"/>
          <w:szCs w:val="20"/>
        </w:rPr>
        <w:t>las potestades tributarias que se otorgan a los estados para evitar la doble tributación</w:t>
      </w:r>
      <w:r w:rsidR="006655F8" w:rsidRPr="00F532D5">
        <w:rPr>
          <w:sz w:val="20"/>
          <w:szCs w:val="20"/>
        </w:rPr>
        <w:t>,</w:t>
      </w:r>
      <w:r w:rsidRPr="00F532D5">
        <w:rPr>
          <w:sz w:val="20"/>
          <w:szCs w:val="20"/>
        </w:rPr>
        <w:t xml:space="preserve"> propicia que </w:t>
      </w:r>
      <w:r w:rsidRPr="00F532D5">
        <w:rPr>
          <w:sz w:val="20"/>
          <w:szCs w:val="20"/>
        </w:rPr>
        <w:lastRenderedPageBreak/>
        <w:t xml:space="preserve">las finanzas públicas </w:t>
      </w:r>
      <w:r w:rsidR="006655F8" w:rsidRPr="00F532D5">
        <w:rPr>
          <w:sz w:val="20"/>
          <w:szCs w:val="20"/>
        </w:rPr>
        <w:t>estatales</w:t>
      </w:r>
      <w:r w:rsidRPr="00F532D5">
        <w:rPr>
          <w:sz w:val="20"/>
          <w:szCs w:val="20"/>
        </w:rPr>
        <w:t xml:space="preserve"> </w:t>
      </w:r>
      <w:r w:rsidR="006655F8" w:rsidRPr="00F532D5">
        <w:rPr>
          <w:sz w:val="20"/>
          <w:szCs w:val="20"/>
        </w:rPr>
        <w:t>sean</w:t>
      </w:r>
      <w:r w:rsidRPr="00F532D5">
        <w:rPr>
          <w:sz w:val="20"/>
          <w:szCs w:val="20"/>
        </w:rPr>
        <w:t xml:space="preserve"> sensibles ante el comportamiento de la economía nacional</w:t>
      </w:r>
      <w:r w:rsidR="006655F8" w:rsidRPr="00F532D5">
        <w:rPr>
          <w:sz w:val="20"/>
          <w:szCs w:val="20"/>
        </w:rPr>
        <w:t xml:space="preserve"> e internacional</w:t>
      </w:r>
      <w:r w:rsidR="004D5CEE" w:rsidRPr="00F532D5">
        <w:rPr>
          <w:sz w:val="20"/>
          <w:szCs w:val="20"/>
        </w:rPr>
        <w:t>, tal y como se observa en la gráfica siguiente:</w:t>
      </w:r>
    </w:p>
    <w:p w14:paraId="1C571F21" w14:textId="02141E38" w:rsidR="00907A5A" w:rsidRDefault="00E128AC" w:rsidP="00CA396E">
      <w:pPr>
        <w:spacing w:line="360" w:lineRule="auto"/>
        <w:jc w:val="both"/>
        <w:rPr>
          <w:rFonts w:ascii="Arial" w:hAnsi="Arial" w:cs="Arial"/>
        </w:rPr>
      </w:pPr>
      <w:r>
        <w:rPr>
          <w:rFonts w:ascii="Arial" w:hAnsi="Arial" w:cs="Arial"/>
          <w:noProof/>
          <w:lang w:val="es-MX" w:eastAsia="es-MX"/>
        </w:rPr>
        <w:drawing>
          <wp:inline distT="0" distB="0" distL="0" distR="0" wp14:anchorId="0CE0A323" wp14:editId="780E2C86">
            <wp:extent cx="5213226" cy="2594759"/>
            <wp:effectExtent l="0" t="0" r="698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8357" cy="2617222"/>
                    </a:xfrm>
                    <a:prstGeom prst="rect">
                      <a:avLst/>
                    </a:prstGeom>
                    <a:noFill/>
                  </pic:spPr>
                </pic:pic>
              </a:graphicData>
            </a:graphic>
          </wp:inline>
        </w:drawing>
      </w:r>
    </w:p>
    <w:p w14:paraId="5551E730" w14:textId="6EC31EEA" w:rsidR="00907A5A" w:rsidRPr="00F532D5" w:rsidRDefault="00907A5A" w:rsidP="00907A5A">
      <w:pPr>
        <w:spacing w:line="360" w:lineRule="auto"/>
        <w:jc w:val="both"/>
        <w:rPr>
          <w:sz w:val="12"/>
          <w:szCs w:val="12"/>
        </w:rPr>
      </w:pPr>
      <w:r w:rsidRPr="00F532D5">
        <w:rPr>
          <w:b/>
          <w:sz w:val="12"/>
          <w:szCs w:val="12"/>
        </w:rPr>
        <w:t xml:space="preserve">Fuente: </w:t>
      </w:r>
      <w:r w:rsidRPr="00F532D5">
        <w:rPr>
          <w:sz w:val="12"/>
          <w:szCs w:val="12"/>
        </w:rPr>
        <w:t>www.DOF.gob.mx Ley de Ingresos de la Federac</w:t>
      </w:r>
      <w:r w:rsidR="00E128AC" w:rsidRPr="00F532D5">
        <w:rPr>
          <w:sz w:val="12"/>
          <w:szCs w:val="12"/>
        </w:rPr>
        <w:t>ión Ejercicios Fiscales 2012-2021*</w:t>
      </w:r>
      <w:r w:rsidR="00CA396E" w:rsidRPr="00F532D5">
        <w:rPr>
          <w:sz w:val="12"/>
          <w:szCs w:val="12"/>
        </w:rPr>
        <w:t xml:space="preserve">, </w:t>
      </w:r>
      <w:r w:rsidR="0002266C" w:rsidRPr="00F532D5">
        <w:rPr>
          <w:sz w:val="12"/>
          <w:szCs w:val="12"/>
        </w:rPr>
        <w:t>Criterios Gene</w:t>
      </w:r>
      <w:r w:rsidR="00CA396E" w:rsidRPr="00F532D5">
        <w:rPr>
          <w:sz w:val="12"/>
          <w:szCs w:val="12"/>
        </w:rPr>
        <w:t>rales de Política Económica 2020</w:t>
      </w:r>
      <w:r w:rsidRPr="00F532D5">
        <w:rPr>
          <w:sz w:val="12"/>
          <w:szCs w:val="12"/>
        </w:rPr>
        <w:t xml:space="preserve">. </w:t>
      </w:r>
    </w:p>
    <w:p w14:paraId="5D64E6D2" w14:textId="77777777" w:rsidR="00894E91" w:rsidRPr="00907A5A" w:rsidRDefault="00894E91" w:rsidP="00907A5A">
      <w:pPr>
        <w:spacing w:line="360" w:lineRule="auto"/>
        <w:jc w:val="both"/>
        <w:rPr>
          <w:rFonts w:ascii="Arial" w:hAnsi="Arial" w:cs="Arial"/>
          <w:sz w:val="12"/>
        </w:rPr>
      </w:pPr>
    </w:p>
    <w:p w14:paraId="3CDFE52B" w14:textId="5DC270CE" w:rsidR="00601F95" w:rsidRPr="00F532D5" w:rsidRDefault="007331F4" w:rsidP="007159E7">
      <w:pPr>
        <w:spacing w:line="360" w:lineRule="auto"/>
        <w:jc w:val="both"/>
        <w:rPr>
          <w:sz w:val="20"/>
          <w:szCs w:val="20"/>
        </w:rPr>
      </w:pPr>
      <w:r w:rsidRPr="00F532D5">
        <w:rPr>
          <w:sz w:val="20"/>
          <w:szCs w:val="20"/>
        </w:rPr>
        <w:t xml:space="preserve">Durante el </w:t>
      </w:r>
      <w:r w:rsidR="006655F8" w:rsidRPr="00F532D5">
        <w:rPr>
          <w:sz w:val="20"/>
          <w:szCs w:val="20"/>
        </w:rPr>
        <w:t>periodo 201</w:t>
      </w:r>
      <w:r w:rsidR="009D4425" w:rsidRPr="00F532D5">
        <w:rPr>
          <w:sz w:val="20"/>
          <w:szCs w:val="20"/>
        </w:rPr>
        <w:t>5</w:t>
      </w:r>
      <w:r w:rsidR="006655F8" w:rsidRPr="00F532D5">
        <w:rPr>
          <w:sz w:val="20"/>
          <w:szCs w:val="20"/>
        </w:rPr>
        <w:t>-20</w:t>
      </w:r>
      <w:r w:rsidR="008D7AC7" w:rsidRPr="00F532D5">
        <w:rPr>
          <w:sz w:val="20"/>
          <w:szCs w:val="20"/>
        </w:rPr>
        <w:t>20</w:t>
      </w:r>
      <w:r w:rsidRPr="00F532D5">
        <w:rPr>
          <w:sz w:val="20"/>
          <w:szCs w:val="20"/>
        </w:rPr>
        <w:t xml:space="preserve">, los ingresos provenientes de la Federación registraron un incremento real moderado, debido principalmente a los resultados positivos </w:t>
      </w:r>
      <w:r w:rsidR="006655F8" w:rsidRPr="00F532D5">
        <w:rPr>
          <w:sz w:val="20"/>
          <w:szCs w:val="20"/>
        </w:rPr>
        <w:t>de la economía nacional</w:t>
      </w:r>
      <w:r w:rsidR="00601F95" w:rsidRPr="00F532D5">
        <w:rPr>
          <w:sz w:val="20"/>
          <w:szCs w:val="20"/>
        </w:rPr>
        <w:t>, sin embargo la baja en los precios del petróleo en años recientes, así como la salida del Reino Unido de la Unión Europea y la constante apreciación del dólar frente al peso, son factores que han aumentado la volatilidad de capitales en el país, rompiendo la dinámica de crecimiento observada en el periodo aludido; por otra parte y en concordancia con las políticas aplicadas por el Gobierno Federal, el Ejecutivo del Estado puso en marcha una política fiscal para la contención del gasto</w:t>
      </w:r>
      <w:r w:rsidR="00E54A17" w:rsidRPr="00F532D5">
        <w:rPr>
          <w:sz w:val="20"/>
          <w:szCs w:val="20"/>
        </w:rPr>
        <w:t>, implementando entre otras medidas la aplicación de</w:t>
      </w:r>
      <w:r w:rsidR="003D73E0" w:rsidRPr="00F532D5">
        <w:rPr>
          <w:sz w:val="20"/>
          <w:szCs w:val="20"/>
        </w:rPr>
        <w:t xml:space="preserve">l Acuerdo que Establece los Lineamientos y Políticas Generales del Ejercicio del Presupuesto, las Medidas de Mejora y Modernización, así como de Austeridad del Gasto Público de la Gestión Administrativa </w:t>
      </w:r>
      <w:r w:rsidR="00E54A17" w:rsidRPr="00F532D5">
        <w:rPr>
          <w:sz w:val="20"/>
          <w:szCs w:val="20"/>
        </w:rPr>
        <w:t>por parte de las Dependencias y Entidades del Ejecutivo, a fin de optimizar el uso de recursos materiales y financieros al interior de los entes públicos, se disminuyeron las estructuras burocráticas de personal y se extinguieron entes públicos que realizaban actividades concurrentes con otros.</w:t>
      </w:r>
    </w:p>
    <w:p w14:paraId="74676A79" w14:textId="77777777" w:rsidR="004F193D" w:rsidRPr="00F532D5" w:rsidRDefault="004F193D" w:rsidP="007159E7">
      <w:pPr>
        <w:spacing w:line="360" w:lineRule="auto"/>
        <w:jc w:val="both"/>
        <w:rPr>
          <w:sz w:val="20"/>
          <w:szCs w:val="20"/>
        </w:rPr>
      </w:pPr>
    </w:p>
    <w:p w14:paraId="7B2B68FB" w14:textId="6BA74268" w:rsidR="00BB2E8A" w:rsidRPr="00F532D5" w:rsidRDefault="00CF295C" w:rsidP="007159E7">
      <w:pPr>
        <w:spacing w:line="360" w:lineRule="auto"/>
        <w:jc w:val="both"/>
        <w:rPr>
          <w:sz w:val="20"/>
          <w:szCs w:val="20"/>
        </w:rPr>
      </w:pPr>
      <w:r w:rsidRPr="00F532D5">
        <w:rPr>
          <w:sz w:val="20"/>
          <w:szCs w:val="20"/>
        </w:rPr>
        <w:t>La modernización de la administración tributaria ti</w:t>
      </w:r>
      <w:r w:rsidR="00D41537" w:rsidRPr="00F532D5">
        <w:rPr>
          <w:sz w:val="20"/>
          <w:szCs w:val="20"/>
        </w:rPr>
        <w:t>ene</w:t>
      </w:r>
      <w:r w:rsidRPr="00F532D5">
        <w:rPr>
          <w:sz w:val="20"/>
          <w:szCs w:val="20"/>
        </w:rPr>
        <w:t xml:space="preserve"> un papel </w:t>
      </w:r>
      <w:r w:rsidR="00D41537" w:rsidRPr="00F532D5">
        <w:rPr>
          <w:sz w:val="20"/>
          <w:szCs w:val="20"/>
        </w:rPr>
        <w:t xml:space="preserve">fundamental </w:t>
      </w:r>
      <w:r w:rsidRPr="00F532D5">
        <w:rPr>
          <w:sz w:val="20"/>
          <w:szCs w:val="20"/>
        </w:rPr>
        <w:t xml:space="preserve">en el fortalecimiento de la hacienda pública estatal. En este rubro, </w:t>
      </w:r>
      <w:r w:rsidR="00D41537" w:rsidRPr="00F532D5">
        <w:rPr>
          <w:sz w:val="20"/>
          <w:szCs w:val="20"/>
        </w:rPr>
        <w:t xml:space="preserve">se han implementado </w:t>
      </w:r>
      <w:r w:rsidRPr="00F532D5">
        <w:rPr>
          <w:sz w:val="20"/>
          <w:szCs w:val="20"/>
        </w:rPr>
        <w:t>mejoras administrativas, consolid</w:t>
      </w:r>
      <w:r w:rsidR="00D41537" w:rsidRPr="00F532D5">
        <w:rPr>
          <w:sz w:val="20"/>
          <w:szCs w:val="20"/>
        </w:rPr>
        <w:t>ándose</w:t>
      </w:r>
      <w:r w:rsidRPr="00F532D5">
        <w:rPr>
          <w:sz w:val="20"/>
          <w:szCs w:val="20"/>
        </w:rPr>
        <w:t xml:space="preserve"> la aplicación de sistemas recaudatorios más eficientes; reforz</w:t>
      </w:r>
      <w:r w:rsidR="00D41537" w:rsidRPr="00F532D5">
        <w:rPr>
          <w:sz w:val="20"/>
          <w:szCs w:val="20"/>
        </w:rPr>
        <w:t>ando</w:t>
      </w:r>
      <w:r w:rsidRPr="00F532D5">
        <w:rPr>
          <w:sz w:val="20"/>
          <w:szCs w:val="20"/>
        </w:rPr>
        <w:t xml:space="preserve"> la fiscalización de </w:t>
      </w:r>
      <w:r w:rsidRPr="00F532D5">
        <w:rPr>
          <w:sz w:val="20"/>
          <w:szCs w:val="20"/>
        </w:rPr>
        <w:lastRenderedPageBreak/>
        <w:t>contribuyentes de impuestos estatales y promovi</w:t>
      </w:r>
      <w:r w:rsidR="00D41537" w:rsidRPr="00F532D5">
        <w:rPr>
          <w:sz w:val="20"/>
          <w:szCs w:val="20"/>
        </w:rPr>
        <w:t>endo</w:t>
      </w:r>
      <w:r w:rsidRPr="00F532D5">
        <w:rPr>
          <w:sz w:val="20"/>
          <w:szCs w:val="20"/>
        </w:rPr>
        <w:t xml:space="preserve"> activamente el pago de contribuciones vía internet</w:t>
      </w:r>
      <w:r w:rsidR="004D5CEE" w:rsidRPr="00F532D5">
        <w:rPr>
          <w:sz w:val="20"/>
          <w:szCs w:val="20"/>
        </w:rPr>
        <w:t xml:space="preserve">, </w:t>
      </w:r>
      <w:r w:rsidR="0000030A" w:rsidRPr="00F532D5">
        <w:rPr>
          <w:sz w:val="20"/>
          <w:szCs w:val="20"/>
        </w:rPr>
        <w:t>tal y como se puede apreciar en la gráfica siguiente:</w:t>
      </w:r>
    </w:p>
    <w:p w14:paraId="4B675041" w14:textId="77777777" w:rsidR="004459D1" w:rsidRDefault="004459D1" w:rsidP="007159E7">
      <w:pPr>
        <w:spacing w:line="360" w:lineRule="auto"/>
        <w:jc w:val="both"/>
        <w:rPr>
          <w:rFonts w:ascii="Arial" w:hAnsi="Arial" w:cs="Arial"/>
        </w:rPr>
      </w:pPr>
    </w:p>
    <w:p w14:paraId="557EBD2E" w14:textId="78668D33" w:rsidR="003E7C60" w:rsidRDefault="007631D5" w:rsidP="006913B9">
      <w:pPr>
        <w:spacing w:line="360" w:lineRule="auto"/>
        <w:jc w:val="both"/>
        <w:rPr>
          <w:rFonts w:ascii="Arial" w:hAnsi="Arial" w:cs="Arial"/>
        </w:rPr>
      </w:pPr>
      <w:r>
        <w:rPr>
          <w:rFonts w:ascii="Arial" w:hAnsi="Arial" w:cs="Arial"/>
          <w:noProof/>
          <w:lang w:val="es-MX" w:eastAsia="es-MX"/>
        </w:rPr>
        <w:drawing>
          <wp:inline distT="0" distB="0" distL="0" distR="0" wp14:anchorId="0B47707C" wp14:editId="2873831D">
            <wp:extent cx="5158032" cy="2579016"/>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9621" cy="2594811"/>
                    </a:xfrm>
                    <a:prstGeom prst="rect">
                      <a:avLst/>
                    </a:prstGeom>
                    <a:noFill/>
                  </pic:spPr>
                </pic:pic>
              </a:graphicData>
            </a:graphic>
          </wp:inline>
        </w:drawing>
      </w:r>
    </w:p>
    <w:p w14:paraId="32BFE9A1" w14:textId="77777777" w:rsidR="00F67DCB" w:rsidRDefault="00F67DCB" w:rsidP="007159E7">
      <w:pPr>
        <w:spacing w:line="360" w:lineRule="auto"/>
        <w:jc w:val="both"/>
        <w:rPr>
          <w:rFonts w:ascii="Arial" w:hAnsi="Arial" w:cs="Arial"/>
        </w:rPr>
      </w:pPr>
    </w:p>
    <w:p w14:paraId="4F263F24" w14:textId="4211A5D4" w:rsidR="00F916BC" w:rsidRDefault="00E725D0" w:rsidP="007159E7">
      <w:pPr>
        <w:spacing w:line="360" w:lineRule="auto"/>
        <w:jc w:val="both"/>
        <w:rPr>
          <w:rFonts w:ascii="Arial" w:hAnsi="Arial" w:cs="Arial"/>
        </w:rPr>
      </w:pPr>
      <w:r w:rsidRPr="00F532D5">
        <w:rPr>
          <w:sz w:val="20"/>
          <w:szCs w:val="20"/>
        </w:rPr>
        <w:t>A continuación</w:t>
      </w:r>
      <w:r w:rsidR="00AE1827" w:rsidRPr="00F532D5">
        <w:rPr>
          <w:sz w:val="20"/>
          <w:szCs w:val="20"/>
        </w:rPr>
        <w:t>,</w:t>
      </w:r>
      <w:r w:rsidRPr="00F532D5">
        <w:rPr>
          <w:sz w:val="20"/>
          <w:szCs w:val="20"/>
        </w:rPr>
        <w:t xml:space="preserve"> se presentan los resultados obtenidos </w:t>
      </w:r>
      <w:r w:rsidR="00AA58AF" w:rsidRPr="00F532D5">
        <w:rPr>
          <w:sz w:val="20"/>
          <w:szCs w:val="20"/>
        </w:rPr>
        <w:t xml:space="preserve">en la recaudación de contribuciones locales, así como de recursos federales etiquetados y de libre disposición </w:t>
      </w:r>
      <w:r w:rsidRPr="00F532D5">
        <w:rPr>
          <w:sz w:val="20"/>
          <w:szCs w:val="20"/>
        </w:rPr>
        <w:t>en los últimos cinco años y el pronóstico de cierre 20</w:t>
      </w:r>
      <w:r w:rsidR="00FB6F8C" w:rsidRPr="00F532D5">
        <w:rPr>
          <w:sz w:val="20"/>
          <w:szCs w:val="20"/>
        </w:rPr>
        <w:t>20</w:t>
      </w:r>
      <w:r w:rsidRPr="00F532D5">
        <w:rPr>
          <w:sz w:val="20"/>
          <w:szCs w:val="20"/>
        </w:rPr>
        <w:t>.</w:t>
      </w:r>
    </w:p>
    <w:p w14:paraId="20C6ED7D" w14:textId="77777777" w:rsidR="00E15C97" w:rsidRDefault="00E15C97" w:rsidP="007159E7">
      <w:pPr>
        <w:spacing w:line="360" w:lineRule="auto"/>
        <w:jc w:val="both"/>
        <w:rPr>
          <w:rFonts w:ascii="Arial" w:hAnsi="Arial" w:cs="Arial"/>
        </w:rPr>
      </w:pPr>
    </w:p>
    <w:p w14:paraId="41ADAA36" w14:textId="4DE4D001" w:rsidR="00F916BC" w:rsidRDefault="00E15C97" w:rsidP="007159E7">
      <w:pPr>
        <w:spacing w:line="360" w:lineRule="auto"/>
        <w:jc w:val="both"/>
        <w:rPr>
          <w:rFonts w:ascii="Arial" w:hAnsi="Arial" w:cs="Arial"/>
        </w:rPr>
      </w:pPr>
      <w:r w:rsidRPr="00E15C97">
        <w:rPr>
          <w:noProof/>
          <w:lang w:val="es-MX" w:eastAsia="es-MX"/>
        </w:rPr>
        <w:lastRenderedPageBreak/>
        <w:drawing>
          <wp:inline distT="0" distB="0" distL="0" distR="0" wp14:anchorId="7FB1F799" wp14:editId="2A9C3277">
            <wp:extent cx="5303520" cy="6567019"/>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2497" cy="6590517"/>
                    </a:xfrm>
                    <a:prstGeom prst="rect">
                      <a:avLst/>
                    </a:prstGeom>
                    <a:noFill/>
                    <a:ln>
                      <a:noFill/>
                    </a:ln>
                  </pic:spPr>
                </pic:pic>
              </a:graphicData>
            </a:graphic>
          </wp:inline>
        </w:drawing>
      </w:r>
    </w:p>
    <w:p w14:paraId="2E3F6644" w14:textId="77777777" w:rsidR="00C50BE2" w:rsidRDefault="00C50BE2" w:rsidP="007159E7">
      <w:pPr>
        <w:spacing w:line="360" w:lineRule="auto"/>
        <w:jc w:val="both"/>
        <w:rPr>
          <w:rFonts w:ascii="Arial" w:hAnsi="Arial" w:cs="Arial"/>
        </w:rPr>
      </w:pPr>
    </w:p>
    <w:p w14:paraId="5142F88C" w14:textId="77777777" w:rsidR="00C50BE2" w:rsidRDefault="00C50BE2" w:rsidP="007159E7">
      <w:pPr>
        <w:spacing w:line="360" w:lineRule="auto"/>
        <w:jc w:val="both"/>
        <w:rPr>
          <w:rFonts w:ascii="Arial" w:hAnsi="Arial" w:cs="Arial"/>
        </w:rPr>
      </w:pPr>
    </w:p>
    <w:p w14:paraId="1145F565" w14:textId="77777777" w:rsidR="00C50BE2" w:rsidRDefault="00C50BE2" w:rsidP="007159E7">
      <w:pPr>
        <w:spacing w:line="360" w:lineRule="auto"/>
        <w:jc w:val="both"/>
        <w:rPr>
          <w:rFonts w:ascii="Arial" w:hAnsi="Arial" w:cs="Arial"/>
        </w:rPr>
      </w:pPr>
    </w:p>
    <w:p w14:paraId="0DD4B594" w14:textId="316F7D3C" w:rsidR="001A5C69" w:rsidRPr="00F532D5" w:rsidRDefault="00E1065D" w:rsidP="00C50BE2">
      <w:pPr>
        <w:spacing w:line="360" w:lineRule="auto"/>
        <w:jc w:val="both"/>
        <w:rPr>
          <w:b/>
          <w:bCs/>
          <w:sz w:val="20"/>
          <w:szCs w:val="20"/>
        </w:rPr>
      </w:pPr>
      <w:r w:rsidRPr="00F532D5">
        <w:rPr>
          <w:b/>
          <w:bCs/>
          <w:sz w:val="20"/>
          <w:szCs w:val="20"/>
        </w:rPr>
        <w:lastRenderedPageBreak/>
        <w:t xml:space="preserve">SISTEMA ESTATAL DE </w:t>
      </w:r>
      <w:r w:rsidR="0050219A" w:rsidRPr="00F532D5">
        <w:rPr>
          <w:b/>
          <w:bCs/>
          <w:sz w:val="20"/>
          <w:szCs w:val="20"/>
        </w:rPr>
        <w:t>PENSIONES</w:t>
      </w:r>
    </w:p>
    <w:p w14:paraId="3446A70A" w14:textId="77777777" w:rsidR="00E329AF" w:rsidRPr="00F532D5" w:rsidRDefault="00E329AF" w:rsidP="007159E7">
      <w:pPr>
        <w:spacing w:line="360" w:lineRule="auto"/>
        <w:jc w:val="both"/>
        <w:rPr>
          <w:sz w:val="20"/>
          <w:szCs w:val="20"/>
        </w:rPr>
      </w:pPr>
    </w:p>
    <w:p w14:paraId="1582EDEC" w14:textId="23763D55" w:rsidR="004A5FFD" w:rsidRPr="00F532D5" w:rsidRDefault="004A5FFD" w:rsidP="004A5FFD">
      <w:pPr>
        <w:spacing w:line="360" w:lineRule="auto"/>
        <w:jc w:val="both"/>
        <w:rPr>
          <w:sz w:val="20"/>
          <w:szCs w:val="20"/>
        </w:rPr>
      </w:pPr>
      <w:r w:rsidRPr="00F532D5">
        <w:rPr>
          <w:sz w:val="20"/>
          <w:szCs w:val="20"/>
        </w:rPr>
        <w:t>De acuerdo al último estudio actuarial de las pensiones del Estado de Tlaxcala</w:t>
      </w:r>
      <w:r w:rsidRPr="00F532D5">
        <w:rPr>
          <w:b/>
          <w:sz w:val="20"/>
          <w:szCs w:val="20"/>
          <w:vertAlign w:val="superscript"/>
        </w:rPr>
        <w:footnoteReference w:id="1"/>
      </w:r>
      <w:r w:rsidRPr="00F532D5">
        <w:rPr>
          <w:sz w:val="20"/>
          <w:szCs w:val="20"/>
        </w:rPr>
        <w:t>, correspondiente al ejercicio fiscal 20</w:t>
      </w:r>
      <w:r w:rsidR="00D11788" w:rsidRPr="00F532D5">
        <w:rPr>
          <w:sz w:val="20"/>
          <w:szCs w:val="20"/>
        </w:rPr>
        <w:t>1</w:t>
      </w:r>
      <w:r w:rsidR="00FB6F8C" w:rsidRPr="00F532D5">
        <w:rPr>
          <w:sz w:val="20"/>
          <w:szCs w:val="20"/>
        </w:rPr>
        <w:t>9</w:t>
      </w:r>
      <w:r w:rsidRPr="00F532D5">
        <w:rPr>
          <w:sz w:val="20"/>
          <w:szCs w:val="20"/>
        </w:rPr>
        <w:t xml:space="preserve"> y con una vigencia al ejercicio 20</w:t>
      </w:r>
      <w:r w:rsidR="00D11788" w:rsidRPr="00F532D5">
        <w:rPr>
          <w:sz w:val="20"/>
          <w:szCs w:val="20"/>
        </w:rPr>
        <w:t>21</w:t>
      </w:r>
      <w:r w:rsidRPr="00F532D5">
        <w:rPr>
          <w:sz w:val="20"/>
          <w:szCs w:val="20"/>
        </w:rPr>
        <w:t xml:space="preserve"> se tiene una reserva actuarial de </w:t>
      </w:r>
      <w:r w:rsidR="002B65E4" w:rsidRPr="00F532D5">
        <w:rPr>
          <w:sz w:val="20"/>
          <w:szCs w:val="20"/>
        </w:rPr>
        <w:t>3</w:t>
      </w:r>
      <w:r w:rsidR="00FB6F8C" w:rsidRPr="00F532D5">
        <w:rPr>
          <w:sz w:val="20"/>
          <w:szCs w:val="20"/>
        </w:rPr>
        <w:t>39</w:t>
      </w:r>
      <w:r w:rsidRPr="00F532D5">
        <w:rPr>
          <w:sz w:val="20"/>
          <w:szCs w:val="20"/>
        </w:rPr>
        <w:t>.</w:t>
      </w:r>
      <w:r w:rsidR="00FB6F8C" w:rsidRPr="00F532D5">
        <w:rPr>
          <w:sz w:val="20"/>
          <w:szCs w:val="20"/>
        </w:rPr>
        <w:t>85</w:t>
      </w:r>
      <w:r w:rsidRPr="00F532D5">
        <w:rPr>
          <w:sz w:val="20"/>
          <w:szCs w:val="20"/>
        </w:rPr>
        <w:t xml:space="preserve"> m</w:t>
      </w:r>
      <w:r w:rsidR="009358F9" w:rsidRPr="00F532D5">
        <w:rPr>
          <w:sz w:val="20"/>
          <w:szCs w:val="20"/>
        </w:rPr>
        <w:t>dp</w:t>
      </w:r>
      <w:r w:rsidRPr="00F532D5">
        <w:rPr>
          <w:sz w:val="20"/>
          <w:szCs w:val="20"/>
        </w:rPr>
        <w:t>, con una población afiliada activa de 8,</w:t>
      </w:r>
      <w:r w:rsidR="00FB6F8C" w:rsidRPr="00F532D5">
        <w:rPr>
          <w:sz w:val="20"/>
          <w:szCs w:val="20"/>
        </w:rPr>
        <w:t>115</w:t>
      </w:r>
      <w:r w:rsidR="002B65E4" w:rsidRPr="00F532D5">
        <w:rPr>
          <w:sz w:val="20"/>
          <w:szCs w:val="20"/>
        </w:rPr>
        <w:t xml:space="preserve"> trabajadores y 2</w:t>
      </w:r>
      <w:r w:rsidRPr="00F532D5">
        <w:rPr>
          <w:sz w:val="20"/>
          <w:szCs w:val="20"/>
        </w:rPr>
        <w:t>,</w:t>
      </w:r>
      <w:r w:rsidR="002B65E4" w:rsidRPr="00F532D5">
        <w:rPr>
          <w:sz w:val="20"/>
          <w:szCs w:val="20"/>
        </w:rPr>
        <w:t>0</w:t>
      </w:r>
      <w:r w:rsidR="00FB6F8C" w:rsidRPr="00F532D5">
        <w:rPr>
          <w:sz w:val="20"/>
          <w:szCs w:val="20"/>
        </w:rPr>
        <w:t>70</w:t>
      </w:r>
      <w:r w:rsidRPr="00F532D5">
        <w:rPr>
          <w:sz w:val="20"/>
          <w:szCs w:val="20"/>
        </w:rPr>
        <w:t xml:space="preserve"> </w:t>
      </w:r>
      <w:r w:rsidR="002B65E4" w:rsidRPr="00F532D5">
        <w:rPr>
          <w:sz w:val="20"/>
          <w:szCs w:val="20"/>
        </w:rPr>
        <w:t>pension</w:t>
      </w:r>
      <w:r w:rsidRPr="00F532D5">
        <w:rPr>
          <w:sz w:val="20"/>
          <w:szCs w:val="20"/>
        </w:rPr>
        <w:t>ados, como a continuación se presenta:</w:t>
      </w:r>
    </w:p>
    <w:p w14:paraId="45277DD7" w14:textId="77777777" w:rsidR="00F916BC" w:rsidRPr="00F532D5" w:rsidRDefault="00F916BC" w:rsidP="004A5FFD">
      <w:pPr>
        <w:spacing w:line="360" w:lineRule="auto"/>
        <w:jc w:val="center"/>
        <w:rPr>
          <w:b/>
          <w:sz w:val="20"/>
          <w:szCs w:val="20"/>
        </w:rPr>
      </w:pPr>
    </w:p>
    <w:p w14:paraId="5AEE2E8E" w14:textId="2E7121B9" w:rsidR="004A5FFD" w:rsidRPr="00F532D5" w:rsidRDefault="004A5FFD" w:rsidP="004A5FFD">
      <w:pPr>
        <w:spacing w:line="360" w:lineRule="auto"/>
        <w:jc w:val="center"/>
        <w:rPr>
          <w:b/>
          <w:sz w:val="20"/>
          <w:szCs w:val="20"/>
        </w:rPr>
      </w:pPr>
      <w:r w:rsidRPr="00F532D5">
        <w:rPr>
          <w:b/>
          <w:sz w:val="20"/>
          <w:szCs w:val="20"/>
        </w:rPr>
        <w:t>Estudio Actuarial de Pensiones</w:t>
      </w:r>
    </w:p>
    <w:p w14:paraId="4EFF5158" w14:textId="628E1FD9" w:rsidR="00AA6398" w:rsidRDefault="00FB6F8C" w:rsidP="004A5FFD">
      <w:pPr>
        <w:spacing w:line="360" w:lineRule="auto"/>
        <w:jc w:val="both"/>
        <w:rPr>
          <w:rFonts w:ascii="Arial" w:hAnsi="Arial" w:cs="Arial"/>
        </w:rPr>
      </w:pPr>
      <w:r>
        <w:rPr>
          <w:noProof/>
          <w:lang w:val="es-MX" w:eastAsia="es-MX"/>
        </w:rPr>
        <w:drawing>
          <wp:inline distT="0" distB="0" distL="0" distR="0" wp14:anchorId="5C13CD31" wp14:editId="10F776DC">
            <wp:extent cx="5210312" cy="3657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colorTemperature colorTemp="5900"/>
                              </a14:imgEffect>
                              <a14:imgEffect>
                                <a14:brightnessContrast bright="18000" contrast="16000"/>
                              </a14:imgEffect>
                            </a14:imgLayer>
                          </a14:imgProps>
                        </a:ext>
                      </a:extLst>
                    </a:blip>
                    <a:srcRect l="26073" t="22207" r="23178" b="17679"/>
                    <a:stretch/>
                  </pic:blipFill>
                  <pic:spPr bwMode="auto">
                    <a:xfrm>
                      <a:off x="0" y="0"/>
                      <a:ext cx="5238351" cy="3677283"/>
                    </a:xfrm>
                    <a:prstGeom prst="rect">
                      <a:avLst/>
                    </a:prstGeom>
                    <a:ln>
                      <a:noFill/>
                    </a:ln>
                    <a:extLst>
                      <a:ext uri="{53640926-AAD7-44D8-BBD7-CCE9431645EC}">
                        <a14:shadowObscured xmlns:a14="http://schemas.microsoft.com/office/drawing/2010/main"/>
                      </a:ext>
                    </a:extLst>
                  </pic:spPr>
                </pic:pic>
              </a:graphicData>
            </a:graphic>
          </wp:inline>
        </w:drawing>
      </w:r>
    </w:p>
    <w:p w14:paraId="0168BB60" w14:textId="77777777" w:rsidR="004B0E8A" w:rsidRDefault="004B0E8A" w:rsidP="004A5FFD">
      <w:pPr>
        <w:spacing w:line="360" w:lineRule="auto"/>
        <w:jc w:val="both"/>
        <w:rPr>
          <w:rFonts w:ascii="Arial" w:hAnsi="Arial" w:cs="Arial"/>
        </w:rPr>
      </w:pPr>
    </w:p>
    <w:p w14:paraId="21F42A0F" w14:textId="3B42E521" w:rsidR="004A5FFD" w:rsidRDefault="00AA6398" w:rsidP="004A5FFD">
      <w:pPr>
        <w:spacing w:line="360" w:lineRule="auto"/>
        <w:jc w:val="both"/>
        <w:rPr>
          <w:rFonts w:ascii="Arial" w:hAnsi="Arial" w:cs="Arial"/>
        </w:rPr>
      </w:pPr>
      <w:r>
        <w:rPr>
          <w:noProof/>
          <w:lang w:val="es-MX" w:eastAsia="es-MX"/>
        </w:rPr>
        <w:lastRenderedPageBreak/>
        <w:drawing>
          <wp:inline distT="0" distB="0" distL="0" distR="0" wp14:anchorId="105D048C" wp14:editId="2E435468">
            <wp:extent cx="5172075" cy="279929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14:paraId="6B6EE0AE" w14:textId="0A688488" w:rsidR="004A5FFD" w:rsidRDefault="00572379" w:rsidP="004A5FFD">
      <w:pPr>
        <w:spacing w:line="360" w:lineRule="auto"/>
        <w:jc w:val="both"/>
        <w:rPr>
          <w:rFonts w:ascii="Arial" w:hAnsi="Arial" w:cs="Arial"/>
        </w:rPr>
      </w:pPr>
      <w:r>
        <w:rPr>
          <w:noProof/>
          <w:lang w:val="es-MX" w:eastAsia="es-MX"/>
        </w:rPr>
        <w:drawing>
          <wp:inline distT="0" distB="0" distL="0" distR="0" wp14:anchorId="79D6B0A3" wp14:editId="35696A94">
            <wp:extent cx="5142586" cy="2669234"/>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BEBA8EAE-BF5A-486C-A8C5-ECC9F3942E4B}">
                          <a14:imgProps xmlns:a14="http://schemas.microsoft.com/office/drawing/2010/main">
                            <a14:imgLayer r:embed="rId41">
                              <a14:imgEffect>
                                <a14:brightnessContrast bright="17000"/>
                              </a14:imgEffect>
                            </a14:imgLayer>
                          </a14:imgProps>
                        </a:ext>
                      </a:extLst>
                    </a:blip>
                    <a:srcRect l="19927" t="27620" r="11812" b="22653"/>
                    <a:stretch/>
                  </pic:blipFill>
                  <pic:spPr bwMode="auto">
                    <a:xfrm>
                      <a:off x="0" y="0"/>
                      <a:ext cx="5181601" cy="2689484"/>
                    </a:xfrm>
                    <a:prstGeom prst="rect">
                      <a:avLst/>
                    </a:prstGeom>
                    <a:ln>
                      <a:noFill/>
                    </a:ln>
                    <a:extLst>
                      <a:ext uri="{53640926-AAD7-44D8-BBD7-CCE9431645EC}">
                        <a14:shadowObscured xmlns:a14="http://schemas.microsoft.com/office/drawing/2010/main"/>
                      </a:ext>
                    </a:extLst>
                  </pic:spPr>
                </pic:pic>
              </a:graphicData>
            </a:graphic>
          </wp:inline>
        </w:drawing>
      </w:r>
    </w:p>
    <w:p w14:paraId="17AE52BF" w14:textId="44B411DF" w:rsidR="004A5FFD" w:rsidRDefault="005C3154" w:rsidP="00C174A5">
      <w:pPr>
        <w:spacing w:line="360" w:lineRule="auto"/>
        <w:jc w:val="center"/>
        <w:rPr>
          <w:rFonts w:ascii="Arial" w:hAnsi="Arial" w:cs="Arial"/>
        </w:rPr>
      </w:pPr>
      <w:r>
        <w:rPr>
          <w:noProof/>
          <w:lang w:val="es-MX" w:eastAsia="es-MX"/>
        </w:rPr>
        <w:drawing>
          <wp:inline distT="0" distB="0" distL="0" distR="0" wp14:anchorId="00D2596D" wp14:editId="4B9F8707">
            <wp:extent cx="5175926" cy="1638604"/>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BEBA8EAE-BF5A-486C-A8C5-ECC9F3942E4B}">
                          <a14:imgProps xmlns:a14="http://schemas.microsoft.com/office/drawing/2010/main">
                            <a14:imgLayer r:embed="rId43">
                              <a14:imgEffect>
                                <a14:brightnessContrast bright="7000"/>
                              </a14:imgEffect>
                            </a14:imgLayer>
                          </a14:imgProps>
                        </a:ext>
                      </a:extLst>
                    </a:blip>
                    <a:srcRect l="19933" t="44946" r="28745" b="26168"/>
                    <a:stretch/>
                  </pic:blipFill>
                  <pic:spPr bwMode="auto">
                    <a:xfrm>
                      <a:off x="0" y="0"/>
                      <a:ext cx="5226519" cy="1654621"/>
                    </a:xfrm>
                    <a:prstGeom prst="rect">
                      <a:avLst/>
                    </a:prstGeom>
                    <a:ln>
                      <a:noFill/>
                    </a:ln>
                    <a:extLst>
                      <a:ext uri="{53640926-AAD7-44D8-BBD7-CCE9431645EC}">
                        <a14:shadowObscured xmlns:a14="http://schemas.microsoft.com/office/drawing/2010/main"/>
                      </a:ext>
                    </a:extLst>
                  </pic:spPr>
                </pic:pic>
              </a:graphicData>
            </a:graphic>
          </wp:inline>
        </w:drawing>
      </w:r>
    </w:p>
    <w:p w14:paraId="336956A4" w14:textId="4E168D79" w:rsidR="00246656" w:rsidRDefault="002F4EF8" w:rsidP="004A5FFD">
      <w:pPr>
        <w:spacing w:line="360" w:lineRule="auto"/>
        <w:jc w:val="both"/>
        <w:rPr>
          <w:sz w:val="20"/>
          <w:szCs w:val="20"/>
        </w:rPr>
      </w:pPr>
      <w:r w:rsidRPr="00F532D5">
        <w:rPr>
          <w:sz w:val="20"/>
          <w:szCs w:val="20"/>
        </w:rPr>
        <w:lastRenderedPageBreak/>
        <w:t xml:space="preserve">Con la finalidad de coadyuvar en el saneamiento de las Pensiones Civiles del Estado de Tlaxcala, el Ejecutivo del Estado ha otorgado a la fecha aportaciones extraordinarias a Pensiones Civiles del Estado por un importe estimado de </w:t>
      </w:r>
      <w:r w:rsidR="00FB0F08" w:rsidRPr="00F532D5">
        <w:rPr>
          <w:sz w:val="20"/>
          <w:szCs w:val="20"/>
        </w:rPr>
        <w:t>64</w:t>
      </w:r>
      <w:r w:rsidR="00805C87" w:rsidRPr="00F532D5">
        <w:rPr>
          <w:sz w:val="20"/>
          <w:szCs w:val="20"/>
        </w:rPr>
        <w:t>6</w:t>
      </w:r>
      <w:r w:rsidRPr="00F532D5">
        <w:rPr>
          <w:sz w:val="20"/>
          <w:szCs w:val="20"/>
        </w:rPr>
        <w:t>.</w:t>
      </w:r>
      <w:r w:rsidR="00FB0F08" w:rsidRPr="00F532D5">
        <w:rPr>
          <w:sz w:val="20"/>
          <w:szCs w:val="20"/>
        </w:rPr>
        <w:t>5</w:t>
      </w:r>
      <w:r w:rsidRPr="00F532D5">
        <w:rPr>
          <w:sz w:val="20"/>
          <w:szCs w:val="20"/>
        </w:rPr>
        <w:t xml:space="preserve"> </w:t>
      </w:r>
      <w:r w:rsidR="00E15C97" w:rsidRPr="00F532D5">
        <w:rPr>
          <w:sz w:val="20"/>
          <w:szCs w:val="20"/>
        </w:rPr>
        <w:t>mdp</w:t>
      </w:r>
      <w:r w:rsidRPr="00F532D5">
        <w:rPr>
          <w:sz w:val="20"/>
          <w:szCs w:val="20"/>
        </w:rPr>
        <w:t xml:space="preserve"> al cierre de 20</w:t>
      </w:r>
      <w:r w:rsidR="004E5905" w:rsidRPr="00F532D5">
        <w:rPr>
          <w:sz w:val="20"/>
          <w:szCs w:val="20"/>
        </w:rPr>
        <w:t>20</w:t>
      </w:r>
      <w:r w:rsidRPr="00F532D5">
        <w:rPr>
          <w:sz w:val="20"/>
          <w:szCs w:val="20"/>
        </w:rPr>
        <w:t xml:space="preserve">, considerándose a su vez, dentro de la presente Iniciativa una aportación extraordinaria por hasta </w:t>
      </w:r>
      <w:r w:rsidR="006C052B" w:rsidRPr="00F532D5">
        <w:rPr>
          <w:sz w:val="20"/>
          <w:szCs w:val="20"/>
        </w:rPr>
        <w:t>89.5</w:t>
      </w:r>
      <w:r w:rsidRPr="00F532D5">
        <w:rPr>
          <w:sz w:val="20"/>
          <w:szCs w:val="20"/>
        </w:rPr>
        <w:t xml:space="preserve"> </w:t>
      </w:r>
      <w:r w:rsidR="00E15C97" w:rsidRPr="00F532D5">
        <w:rPr>
          <w:sz w:val="20"/>
          <w:szCs w:val="20"/>
        </w:rPr>
        <w:t>mdp</w:t>
      </w:r>
      <w:r w:rsidRPr="00F532D5">
        <w:rPr>
          <w:sz w:val="20"/>
          <w:szCs w:val="20"/>
        </w:rPr>
        <w:t>.</w:t>
      </w:r>
    </w:p>
    <w:p w14:paraId="257228DF" w14:textId="77777777" w:rsidR="001C3DBE" w:rsidRDefault="001C3DBE" w:rsidP="004A5FFD">
      <w:pPr>
        <w:spacing w:line="360" w:lineRule="auto"/>
        <w:jc w:val="both"/>
        <w:rPr>
          <w:rFonts w:ascii="Arial" w:hAnsi="Arial" w:cs="Arial"/>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4A5FFD" w:rsidRPr="00F532D5" w14:paraId="351E60EC" w14:textId="77777777" w:rsidTr="00385149">
        <w:trPr>
          <w:trHeight w:val="701"/>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50C36D3C" w14:textId="77777777" w:rsidR="004A5FFD" w:rsidRPr="00F532D5" w:rsidRDefault="004A5FFD" w:rsidP="002B18DD">
            <w:pPr>
              <w:spacing w:line="360" w:lineRule="auto"/>
              <w:jc w:val="center"/>
              <w:rPr>
                <w:b/>
                <w:bCs/>
                <w:color w:val="000000"/>
                <w:sz w:val="20"/>
                <w:szCs w:val="20"/>
                <w:lang w:eastAsia="es-MX"/>
              </w:rPr>
            </w:pPr>
            <w:r w:rsidRPr="00F532D5">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744278BA" w14:textId="598D3173" w:rsidR="004A5FFD" w:rsidRPr="00F532D5" w:rsidRDefault="004A5FFD" w:rsidP="002B18DD">
            <w:pPr>
              <w:spacing w:line="360" w:lineRule="auto"/>
              <w:jc w:val="center"/>
              <w:rPr>
                <w:b/>
                <w:bCs/>
                <w:color w:val="000000"/>
                <w:sz w:val="20"/>
                <w:szCs w:val="20"/>
                <w:lang w:eastAsia="es-MX"/>
              </w:rPr>
            </w:pPr>
            <w:r w:rsidRPr="00F532D5">
              <w:rPr>
                <w:b/>
                <w:bCs/>
                <w:color w:val="000000"/>
                <w:sz w:val="20"/>
                <w:szCs w:val="20"/>
                <w:lang w:eastAsia="es-MX"/>
              </w:rPr>
              <w:t>APOYO ESTATAL EXTRAORDINARIO</w:t>
            </w:r>
            <w:r w:rsidR="00E15C97" w:rsidRPr="00F532D5">
              <w:rPr>
                <w:b/>
                <w:bCs/>
                <w:color w:val="000000"/>
                <w:sz w:val="20"/>
                <w:szCs w:val="20"/>
                <w:lang w:eastAsia="es-MX"/>
              </w:rPr>
              <w:t xml:space="preserve"> (MDP)</w:t>
            </w:r>
          </w:p>
        </w:tc>
      </w:tr>
      <w:tr w:rsidR="004A5FFD" w:rsidRPr="00F532D5" w14:paraId="1C2B8868" w14:textId="77777777" w:rsidTr="006E7218">
        <w:trPr>
          <w:trHeight w:val="2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790032"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2011</w:t>
            </w:r>
          </w:p>
        </w:tc>
        <w:tc>
          <w:tcPr>
            <w:tcW w:w="2080" w:type="dxa"/>
            <w:tcBorders>
              <w:top w:val="nil"/>
              <w:left w:val="nil"/>
              <w:bottom w:val="single" w:sz="4" w:space="0" w:color="auto"/>
              <w:right w:val="single" w:sz="4" w:space="0" w:color="auto"/>
            </w:tcBorders>
            <w:shd w:val="clear" w:color="auto" w:fill="auto"/>
            <w:noWrap/>
            <w:vAlign w:val="center"/>
            <w:hideMark/>
          </w:tcPr>
          <w:p w14:paraId="62095C6C" w14:textId="77777777" w:rsidR="004A5FFD" w:rsidRPr="00F532D5" w:rsidRDefault="004A5FFD" w:rsidP="005F0514">
            <w:pPr>
              <w:spacing w:line="360" w:lineRule="auto"/>
              <w:jc w:val="right"/>
              <w:rPr>
                <w:color w:val="000000"/>
                <w:sz w:val="20"/>
                <w:szCs w:val="20"/>
                <w:lang w:eastAsia="es-MX"/>
              </w:rPr>
            </w:pPr>
            <w:r w:rsidRPr="00F532D5">
              <w:rPr>
                <w:color w:val="000000"/>
                <w:sz w:val="20"/>
                <w:szCs w:val="20"/>
                <w:lang w:eastAsia="es-MX"/>
              </w:rPr>
              <w:t>1</w:t>
            </w:r>
            <w:r w:rsidR="005F0514" w:rsidRPr="00F532D5">
              <w:rPr>
                <w:color w:val="000000"/>
                <w:sz w:val="20"/>
                <w:szCs w:val="20"/>
                <w:lang w:eastAsia="es-MX"/>
              </w:rPr>
              <w:t>39</w:t>
            </w:r>
            <w:r w:rsidRPr="00F532D5">
              <w:rPr>
                <w:color w:val="000000"/>
                <w:sz w:val="20"/>
                <w:szCs w:val="20"/>
                <w:lang w:eastAsia="es-MX"/>
              </w:rPr>
              <w:t>.</w:t>
            </w:r>
            <w:r w:rsidR="005F0514" w:rsidRPr="00F532D5">
              <w:rPr>
                <w:color w:val="000000"/>
                <w:sz w:val="20"/>
                <w:szCs w:val="20"/>
                <w:lang w:eastAsia="es-MX"/>
              </w:rPr>
              <w:t>7</w:t>
            </w:r>
          </w:p>
        </w:tc>
      </w:tr>
      <w:tr w:rsidR="004A5FFD" w:rsidRPr="00F532D5" w14:paraId="0C0F314A" w14:textId="77777777" w:rsidTr="006E7218">
        <w:trPr>
          <w:trHeight w:val="1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1CCA35"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2012</w:t>
            </w:r>
          </w:p>
        </w:tc>
        <w:tc>
          <w:tcPr>
            <w:tcW w:w="2080" w:type="dxa"/>
            <w:tcBorders>
              <w:top w:val="nil"/>
              <w:left w:val="nil"/>
              <w:bottom w:val="single" w:sz="4" w:space="0" w:color="auto"/>
              <w:right w:val="single" w:sz="4" w:space="0" w:color="auto"/>
            </w:tcBorders>
            <w:shd w:val="clear" w:color="auto" w:fill="auto"/>
            <w:noWrap/>
            <w:vAlign w:val="center"/>
            <w:hideMark/>
          </w:tcPr>
          <w:p w14:paraId="64863795" w14:textId="77777777" w:rsidR="004A5FFD" w:rsidRPr="00F532D5" w:rsidRDefault="004A5FFD" w:rsidP="005F0514">
            <w:pPr>
              <w:spacing w:line="360" w:lineRule="auto"/>
              <w:jc w:val="right"/>
              <w:rPr>
                <w:color w:val="000000"/>
                <w:sz w:val="20"/>
                <w:szCs w:val="20"/>
                <w:lang w:eastAsia="es-MX"/>
              </w:rPr>
            </w:pPr>
            <w:r w:rsidRPr="00F532D5">
              <w:rPr>
                <w:color w:val="000000"/>
                <w:sz w:val="20"/>
                <w:szCs w:val="20"/>
                <w:lang w:eastAsia="es-MX"/>
              </w:rPr>
              <w:t>118.</w:t>
            </w:r>
            <w:r w:rsidR="005F0514" w:rsidRPr="00F532D5">
              <w:rPr>
                <w:color w:val="000000"/>
                <w:sz w:val="20"/>
                <w:szCs w:val="20"/>
                <w:lang w:eastAsia="es-MX"/>
              </w:rPr>
              <w:t>3</w:t>
            </w:r>
          </w:p>
        </w:tc>
      </w:tr>
      <w:tr w:rsidR="004A5FFD" w:rsidRPr="00F532D5" w14:paraId="3CF98EF4" w14:textId="77777777" w:rsidTr="006E7218">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E29569"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2013</w:t>
            </w:r>
          </w:p>
        </w:tc>
        <w:tc>
          <w:tcPr>
            <w:tcW w:w="2080" w:type="dxa"/>
            <w:tcBorders>
              <w:top w:val="nil"/>
              <w:left w:val="nil"/>
              <w:bottom w:val="single" w:sz="4" w:space="0" w:color="auto"/>
              <w:right w:val="single" w:sz="4" w:space="0" w:color="auto"/>
            </w:tcBorders>
            <w:shd w:val="clear" w:color="auto" w:fill="auto"/>
            <w:noWrap/>
            <w:vAlign w:val="center"/>
            <w:hideMark/>
          </w:tcPr>
          <w:p w14:paraId="388AB975"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16.5</w:t>
            </w:r>
          </w:p>
        </w:tc>
      </w:tr>
      <w:tr w:rsidR="004A5FFD" w:rsidRPr="00F532D5" w14:paraId="716ED99B" w14:textId="77777777" w:rsidTr="006E7218">
        <w:trPr>
          <w:trHeight w:val="32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CEDEB20"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2014</w:t>
            </w:r>
          </w:p>
        </w:tc>
        <w:tc>
          <w:tcPr>
            <w:tcW w:w="2080" w:type="dxa"/>
            <w:tcBorders>
              <w:top w:val="nil"/>
              <w:left w:val="nil"/>
              <w:bottom w:val="single" w:sz="4" w:space="0" w:color="auto"/>
              <w:right w:val="single" w:sz="4" w:space="0" w:color="auto"/>
            </w:tcBorders>
            <w:shd w:val="clear" w:color="auto" w:fill="auto"/>
            <w:noWrap/>
            <w:vAlign w:val="center"/>
            <w:hideMark/>
          </w:tcPr>
          <w:p w14:paraId="5E620536"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29.0</w:t>
            </w:r>
          </w:p>
        </w:tc>
      </w:tr>
      <w:tr w:rsidR="004A5FFD" w:rsidRPr="00F532D5" w14:paraId="52D11E69" w14:textId="77777777" w:rsidTr="006E7218">
        <w:trPr>
          <w:trHeight w:val="326"/>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49F0C37" w14:textId="77777777" w:rsidR="004A5FFD" w:rsidRPr="00F532D5" w:rsidRDefault="004A5FFD" w:rsidP="002B18DD">
            <w:pPr>
              <w:spacing w:line="360" w:lineRule="auto"/>
              <w:rPr>
                <w:b/>
                <w:bCs/>
                <w:color w:val="000000"/>
                <w:sz w:val="20"/>
                <w:szCs w:val="20"/>
                <w:lang w:eastAsia="es-MX"/>
              </w:rPr>
            </w:pPr>
            <w:r w:rsidRPr="00F532D5">
              <w:rPr>
                <w:b/>
                <w:bCs/>
                <w:color w:val="000000"/>
                <w:sz w:val="20"/>
                <w:szCs w:val="20"/>
                <w:lang w:eastAsia="es-MX"/>
              </w:rPr>
              <w:t>Ejercicio 2015</w:t>
            </w:r>
          </w:p>
        </w:tc>
        <w:tc>
          <w:tcPr>
            <w:tcW w:w="2080" w:type="dxa"/>
            <w:tcBorders>
              <w:top w:val="nil"/>
              <w:left w:val="nil"/>
              <w:bottom w:val="single" w:sz="4" w:space="0" w:color="auto"/>
              <w:right w:val="single" w:sz="4" w:space="0" w:color="auto"/>
            </w:tcBorders>
            <w:shd w:val="clear" w:color="auto" w:fill="auto"/>
            <w:noWrap/>
            <w:vAlign w:val="center"/>
            <w:hideMark/>
          </w:tcPr>
          <w:p w14:paraId="24A46C07" w14:textId="77777777" w:rsidR="004A5FFD" w:rsidRPr="00F532D5" w:rsidRDefault="004A5FFD" w:rsidP="002B18DD">
            <w:pPr>
              <w:spacing w:line="360" w:lineRule="auto"/>
              <w:jc w:val="right"/>
              <w:rPr>
                <w:color w:val="000000"/>
                <w:sz w:val="20"/>
                <w:szCs w:val="20"/>
                <w:lang w:eastAsia="es-MX"/>
              </w:rPr>
            </w:pPr>
            <w:r w:rsidRPr="00F532D5">
              <w:rPr>
                <w:color w:val="000000"/>
                <w:sz w:val="20"/>
                <w:szCs w:val="20"/>
                <w:lang w:eastAsia="es-MX"/>
              </w:rPr>
              <w:t>34.6</w:t>
            </w:r>
          </w:p>
        </w:tc>
      </w:tr>
      <w:tr w:rsidR="004A5FFD" w:rsidRPr="00F532D5" w14:paraId="1718DCC5" w14:textId="77777777" w:rsidTr="006E7218">
        <w:trPr>
          <w:trHeight w:val="332"/>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888221" w14:textId="77777777" w:rsidR="004A5FFD" w:rsidRPr="00F532D5" w:rsidRDefault="004A5FFD" w:rsidP="00A4442A">
            <w:pPr>
              <w:spacing w:line="360" w:lineRule="auto"/>
              <w:rPr>
                <w:b/>
                <w:bCs/>
                <w:color w:val="000000"/>
                <w:sz w:val="20"/>
                <w:szCs w:val="20"/>
                <w:lang w:eastAsia="es-MX"/>
              </w:rPr>
            </w:pPr>
            <w:r w:rsidRPr="00F532D5">
              <w:rPr>
                <w:b/>
                <w:bCs/>
                <w:color w:val="000000"/>
                <w:sz w:val="20"/>
                <w:szCs w:val="20"/>
                <w:lang w:eastAsia="es-MX"/>
              </w:rPr>
              <w:t>Ejercicio 2016</w:t>
            </w:r>
          </w:p>
        </w:tc>
        <w:tc>
          <w:tcPr>
            <w:tcW w:w="2080" w:type="dxa"/>
            <w:tcBorders>
              <w:top w:val="nil"/>
              <w:left w:val="nil"/>
              <w:bottom w:val="single" w:sz="4" w:space="0" w:color="auto"/>
              <w:right w:val="single" w:sz="4" w:space="0" w:color="auto"/>
            </w:tcBorders>
            <w:shd w:val="clear" w:color="auto" w:fill="auto"/>
            <w:noWrap/>
            <w:vAlign w:val="center"/>
            <w:hideMark/>
          </w:tcPr>
          <w:p w14:paraId="7EF4F99C" w14:textId="77777777" w:rsidR="004A5FFD" w:rsidRPr="00F532D5" w:rsidRDefault="00A4442A" w:rsidP="00A4442A">
            <w:pPr>
              <w:spacing w:line="360" w:lineRule="auto"/>
              <w:jc w:val="right"/>
              <w:rPr>
                <w:color w:val="000000"/>
                <w:sz w:val="20"/>
                <w:szCs w:val="20"/>
                <w:lang w:eastAsia="es-MX"/>
              </w:rPr>
            </w:pPr>
            <w:r w:rsidRPr="00F532D5">
              <w:rPr>
                <w:color w:val="000000"/>
                <w:sz w:val="20"/>
                <w:szCs w:val="20"/>
                <w:lang w:eastAsia="es-MX"/>
              </w:rPr>
              <w:t>165</w:t>
            </w:r>
            <w:r w:rsidR="00B216E0" w:rsidRPr="00F532D5">
              <w:rPr>
                <w:color w:val="000000"/>
                <w:sz w:val="20"/>
                <w:szCs w:val="20"/>
                <w:lang w:eastAsia="es-MX"/>
              </w:rPr>
              <w:t>.</w:t>
            </w:r>
            <w:r w:rsidRPr="00F532D5">
              <w:rPr>
                <w:color w:val="000000"/>
                <w:sz w:val="20"/>
                <w:szCs w:val="20"/>
                <w:lang w:eastAsia="es-MX"/>
              </w:rPr>
              <w:t>3</w:t>
            </w:r>
          </w:p>
        </w:tc>
      </w:tr>
      <w:tr w:rsidR="00A4442A" w:rsidRPr="00F532D5" w14:paraId="1613A586" w14:textId="77777777" w:rsidTr="006E7218">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FDA383A" w14:textId="44A37FE3" w:rsidR="00A4442A" w:rsidRPr="00F532D5" w:rsidRDefault="00A4442A" w:rsidP="00F532D5">
            <w:pPr>
              <w:spacing w:line="360" w:lineRule="auto"/>
              <w:rPr>
                <w:b/>
                <w:bCs/>
                <w:color w:val="000000"/>
                <w:sz w:val="20"/>
                <w:szCs w:val="20"/>
                <w:lang w:eastAsia="es-MX"/>
              </w:rPr>
            </w:pPr>
            <w:r w:rsidRPr="00F532D5">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61ABC78F" w14:textId="07F6E1C0" w:rsidR="00A4442A" w:rsidRPr="00F532D5" w:rsidRDefault="005E73F9" w:rsidP="005E73F9">
            <w:pPr>
              <w:spacing w:line="360" w:lineRule="auto"/>
              <w:jc w:val="right"/>
              <w:rPr>
                <w:bCs/>
                <w:color w:val="000000"/>
                <w:sz w:val="20"/>
                <w:szCs w:val="20"/>
                <w:highlight w:val="yellow"/>
                <w:lang w:eastAsia="es-MX"/>
              </w:rPr>
            </w:pPr>
            <w:r w:rsidRPr="00F532D5">
              <w:rPr>
                <w:bCs/>
                <w:color w:val="000000"/>
                <w:sz w:val="20"/>
                <w:szCs w:val="20"/>
                <w:lang w:eastAsia="es-MX"/>
              </w:rPr>
              <w:t>26</w:t>
            </w:r>
            <w:r w:rsidR="00A4442A" w:rsidRPr="00F532D5">
              <w:rPr>
                <w:bCs/>
                <w:color w:val="000000"/>
                <w:sz w:val="20"/>
                <w:szCs w:val="20"/>
                <w:lang w:eastAsia="es-MX"/>
              </w:rPr>
              <w:t>.</w:t>
            </w:r>
            <w:r w:rsidRPr="00F532D5">
              <w:rPr>
                <w:bCs/>
                <w:color w:val="000000"/>
                <w:sz w:val="20"/>
                <w:szCs w:val="20"/>
                <w:lang w:eastAsia="es-MX"/>
              </w:rPr>
              <w:t>6</w:t>
            </w:r>
          </w:p>
        </w:tc>
      </w:tr>
      <w:tr w:rsidR="00A674A7" w:rsidRPr="00F532D5" w14:paraId="7BD1B736" w14:textId="77777777" w:rsidTr="00385149">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8EA12A9" w14:textId="19D24E23" w:rsidR="00A674A7" w:rsidRPr="00F532D5" w:rsidRDefault="00A674A7" w:rsidP="00F532D5">
            <w:pPr>
              <w:spacing w:line="360" w:lineRule="auto"/>
              <w:rPr>
                <w:b/>
                <w:bCs/>
                <w:color w:val="000000"/>
                <w:sz w:val="20"/>
                <w:szCs w:val="20"/>
                <w:lang w:eastAsia="es-MX"/>
              </w:rPr>
            </w:pPr>
            <w:r w:rsidRPr="00F532D5">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36DA9D4F" w14:textId="0D48D5C7" w:rsidR="00A674A7" w:rsidRPr="00F532D5" w:rsidRDefault="00CD3C22" w:rsidP="007B42A1">
            <w:pPr>
              <w:spacing w:line="360" w:lineRule="auto"/>
              <w:jc w:val="right"/>
              <w:rPr>
                <w:bCs/>
                <w:color w:val="000000"/>
                <w:sz w:val="20"/>
                <w:szCs w:val="20"/>
                <w:lang w:eastAsia="es-MX"/>
              </w:rPr>
            </w:pPr>
            <w:r w:rsidRPr="00F532D5">
              <w:rPr>
                <w:bCs/>
                <w:color w:val="000000"/>
                <w:sz w:val="20"/>
                <w:szCs w:val="20"/>
                <w:lang w:eastAsia="es-MX"/>
              </w:rPr>
              <w:t>3</w:t>
            </w:r>
            <w:r w:rsidR="007B42A1" w:rsidRPr="00F532D5">
              <w:rPr>
                <w:bCs/>
                <w:color w:val="000000"/>
                <w:sz w:val="20"/>
                <w:szCs w:val="20"/>
                <w:lang w:eastAsia="es-MX"/>
              </w:rPr>
              <w:t>1</w:t>
            </w:r>
            <w:r w:rsidR="00A674A7" w:rsidRPr="00F532D5">
              <w:rPr>
                <w:bCs/>
                <w:color w:val="000000"/>
                <w:sz w:val="20"/>
                <w:szCs w:val="20"/>
                <w:lang w:eastAsia="es-MX"/>
              </w:rPr>
              <w:t>.0</w:t>
            </w:r>
          </w:p>
        </w:tc>
      </w:tr>
      <w:tr w:rsidR="00A674A7" w:rsidRPr="00F532D5" w14:paraId="1F94A37A" w14:textId="77777777" w:rsidTr="00385149">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BC48493" w14:textId="400574D4" w:rsidR="00A674A7" w:rsidRPr="00F532D5" w:rsidRDefault="00A674A7" w:rsidP="00F532D5">
            <w:pPr>
              <w:spacing w:line="360" w:lineRule="auto"/>
              <w:rPr>
                <w:b/>
                <w:bCs/>
                <w:color w:val="000000"/>
                <w:sz w:val="20"/>
                <w:szCs w:val="20"/>
                <w:lang w:eastAsia="es-MX"/>
              </w:rPr>
            </w:pPr>
            <w:r w:rsidRPr="00F532D5">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7D1EBF0F" w14:textId="5E76B3CD" w:rsidR="00A674A7" w:rsidRPr="00F532D5" w:rsidRDefault="004E5905" w:rsidP="00A674A7">
            <w:pPr>
              <w:spacing w:line="360" w:lineRule="auto"/>
              <w:jc w:val="right"/>
              <w:rPr>
                <w:bCs/>
                <w:color w:val="000000"/>
                <w:sz w:val="20"/>
                <w:szCs w:val="20"/>
                <w:lang w:eastAsia="es-MX"/>
              </w:rPr>
            </w:pPr>
            <w:r w:rsidRPr="00F532D5">
              <w:rPr>
                <w:bCs/>
                <w:color w:val="000000"/>
                <w:sz w:val="20"/>
                <w:szCs w:val="20"/>
                <w:lang w:eastAsia="es-MX"/>
              </w:rPr>
              <w:t>5</w:t>
            </w:r>
            <w:r w:rsidR="00805C87" w:rsidRPr="00F532D5">
              <w:rPr>
                <w:bCs/>
                <w:color w:val="000000"/>
                <w:sz w:val="20"/>
                <w:szCs w:val="20"/>
                <w:lang w:eastAsia="es-MX"/>
              </w:rPr>
              <w:t>5</w:t>
            </w:r>
            <w:r w:rsidR="00A674A7" w:rsidRPr="00F532D5">
              <w:rPr>
                <w:bCs/>
                <w:color w:val="000000"/>
                <w:sz w:val="20"/>
                <w:szCs w:val="20"/>
                <w:lang w:eastAsia="es-MX"/>
              </w:rPr>
              <w:t>.0</w:t>
            </w:r>
          </w:p>
        </w:tc>
      </w:tr>
      <w:tr w:rsidR="008C157D" w:rsidRPr="00F532D5" w14:paraId="19B16024"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1FD2EF5" w14:textId="6CFA2571" w:rsidR="008C157D" w:rsidRPr="00F532D5" w:rsidRDefault="004E5905" w:rsidP="00A674A7">
            <w:pPr>
              <w:spacing w:line="360" w:lineRule="auto"/>
              <w:jc w:val="center"/>
              <w:rPr>
                <w:b/>
                <w:bCs/>
                <w:color w:val="000000"/>
                <w:sz w:val="20"/>
                <w:szCs w:val="20"/>
                <w:lang w:eastAsia="es-MX"/>
              </w:rPr>
            </w:pPr>
            <w:r w:rsidRPr="00F532D5">
              <w:rPr>
                <w:b/>
                <w:bCs/>
                <w:color w:val="000000"/>
                <w:sz w:val="20"/>
                <w:szCs w:val="20"/>
                <w:lang w:eastAsia="es-MX"/>
              </w:rPr>
              <w:t>*</w:t>
            </w:r>
            <w:r w:rsidR="008C157D" w:rsidRPr="00F532D5">
              <w:rPr>
                <w:b/>
                <w:bCs/>
                <w:color w:val="000000"/>
                <w:sz w:val="20"/>
                <w:szCs w:val="20"/>
                <w:lang w:eastAsia="es-MX"/>
              </w:rPr>
              <w:t>Ejercicio 2020</w:t>
            </w:r>
          </w:p>
        </w:tc>
        <w:tc>
          <w:tcPr>
            <w:tcW w:w="2080" w:type="dxa"/>
            <w:tcBorders>
              <w:top w:val="nil"/>
              <w:left w:val="nil"/>
              <w:bottom w:val="single" w:sz="4" w:space="0" w:color="auto"/>
              <w:right w:val="single" w:sz="4" w:space="0" w:color="auto"/>
            </w:tcBorders>
            <w:shd w:val="clear" w:color="auto" w:fill="auto"/>
            <w:noWrap/>
            <w:vAlign w:val="center"/>
          </w:tcPr>
          <w:p w14:paraId="18FF6AD0" w14:textId="75A434B1" w:rsidR="008C157D" w:rsidRPr="00F532D5" w:rsidRDefault="00A83F52" w:rsidP="00A83F52">
            <w:pPr>
              <w:spacing w:line="360" w:lineRule="auto"/>
              <w:jc w:val="right"/>
              <w:rPr>
                <w:bCs/>
                <w:color w:val="000000"/>
                <w:sz w:val="20"/>
                <w:szCs w:val="20"/>
                <w:lang w:eastAsia="es-MX"/>
              </w:rPr>
            </w:pPr>
            <w:r w:rsidRPr="00F532D5">
              <w:rPr>
                <w:bCs/>
                <w:color w:val="000000"/>
                <w:sz w:val="20"/>
                <w:szCs w:val="20"/>
                <w:lang w:eastAsia="es-MX"/>
              </w:rPr>
              <w:t>3</w:t>
            </w:r>
            <w:r w:rsidR="000B70CA" w:rsidRPr="00F532D5">
              <w:rPr>
                <w:bCs/>
                <w:color w:val="000000"/>
                <w:sz w:val="20"/>
                <w:szCs w:val="20"/>
                <w:lang w:eastAsia="es-MX"/>
              </w:rPr>
              <w:t>0.</w:t>
            </w:r>
            <w:r w:rsidRPr="00F532D5">
              <w:rPr>
                <w:bCs/>
                <w:color w:val="000000"/>
                <w:sz w:val="20"/>
                <w:szCs w:val="20"/>
                <w:lang w:eastAsia="es-MX"/>
              </w:rPr>
              <w:t>5</w:t>
            </w:r>
          </w:p>
        </w:tc>
      </w:tr>
      <w:tr w:rsidR="00A674A7" w:rsidRPr="00F532D5" w14:paraId="3C413C3D" w14:textId="77777777" w:rsidTr="00385149">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C1C0BA" w14:textId="77777777" w:rsidR="00A674A7" w:rsidRPr="00F532D5" w:rsidRDefault="00A674A7" w:rsidP="00A674A7">
            <w:pPr>
              <w:spacing w:line="360" w:lineRule="auto"/>
              <w:jc w:val="center"/>
              <w:rPr>
                <w:b/>
                <w:bCs/>
                <w:color w:val="000000"/>
                <w:sz w:val="20"/>
                <w:szCs w:val="20"/>
                <w:lang w:eastAsia="es-MX"/>
              </w:rPr>
            </w:pPr>
            <w:r w:rsidRPr="00F532D5">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460B5824" w14:textId="4A968CD7" w:rsidR="00A674A7" w:rsidRPr="00F532D5" w:rsidRDefault="00BF54D1" w:rsidP="00FB0F08">
            <w:pPr>
              <w:spacing w:line="360" w:lineRule="auto"/>
              <w:jc w:val="right"/>
              <w:rPr>
                <w:b/>
                <w:bCs/>
                <w:color w:val="000000"/>
                <w:sz w:val="20"/>
                <w:szCs w:val="20"/>
                <w:lang w:eastAsia="es-MX"/>
              </w:rPr>
            </w:pPr>
            <w:r w:rsidRPr="00F532D5">
              <w:rPr>
                <w:b/>
                <w:bCs/>
                <w:color w:val="000000"/>
                <w:sz w:val="20"/>
                <w:szCs w:val="20"/>
                <w:lang w:eastAsia="es-MX"/>
              </w:rPr>
              <w:t>6</w:t>
            </w:r>
            <w:r w:rsidR="00FB0F08" w:rsidRPr="00F532D5">
              <w:rPr>
                <w:b/>
                <w:bCs/>
                <w:color w:val="000000"/>
                <w:sz w:val="20"/>
                <w:szCs w:val="20"/>
                <w:lang w:eastAsia="es-MX"/>
              </w:rPr>
              <w:t>4</w:t>
            </w:r>
            <w:r w:rsidRPr="00F532D5">
              <w:rPr>
                <w:b/>
                <w:bCs/>
                <w:color w:val="000000"/>
                <w:sz w:val="20"/>
                <w:szCs w:val="20"/>
                <w:lang w:eastAsia="es-MX"/>
              </w:rPr>
              <w:t>6.</w:t>
            </w:r>
            <w:r w:rsidR="00FB0F08" w:rsidRPr="00F532D5">
              <w:rPr>
                <w:b/>
                <w:bCs/>
                <w:color w:val="000000"/>
                <w:sz w:val="20"/>
                <w:szCs w:val="20"/>
                <w:lang w:eastAsia="es-MX"/>
              </w:rPr>
              <w:t>5</w:t>
            </w:r>
          </w:p>
        </w:tc>
      </w:tr>
    </w:tbl>
    <w:p w14:paraId="2DB0BDDD" w14:textId="098C6E2F" w:rsidR="004A5FFD" w:rsidRPr="00032945" w:rsidRDefault="004A5FFD" w:rsidP="002F4EF8">
      <w:pPr>
        <w:spacing w:line="360" w:lineRule="auto"/>
        <w:ind w:left="2268"/>
        <w:rPr>
          <w:rFonts w:ascii="Arial" w:hAnsi="Arial" w:cs="Arial"/>
          <w:b/>
          <w:sz w:val="16"/>
        </w:rPr>
      </w:pPr>
      <w:r w:rsidRPr="00032945">
        <w:rPr>
          <w:rFonts w:ascii="Arial" w:hAnsi="Arial" w:cs="Arial"/>
          <w:b/>
          <w:sz w:val="16"/>
        </w:rPr>
        <w:t>* Cifra Estimada al Cierre de 20</w:t>
      </w:r>
      <w:r w:rsidR="004E5905">
        <w:rPr>
          <w:rFonts w:ascii="Arial" w:hAnsi="Arial" w:cs="Arial"/>
          <w:b/>
          <w:sz w:val="16"/>
        </w:rPr>
        <w:t>20</w:t>
      </w:r>
    </w:p>
    <w:p w14:paraId="1F4929C5" w14:textId="77777777" w:rsidR="00CB18D0" w:rsidRPr="00385149" w:rsidRDefault="00CB18D0" w:rsidP="004A5FFD">
      <w:pPr>
        <w:spacing w:line="360" w:lineRule="auto"/>
        <w:jc w:val="both"/>
        <w:rPr>
          <w:rFonts w:ascii="Arial" w:hAnsi="Arial" w:cs="Arial"/>
          <w:sz w:val="14"/>
        </w:rPr>
      </w:pPr>
    </w:p>
    <w:p w14:paraId="28362497" w14:textId="7EC946D3" w:rsidR="004A5FFD" w:rsidRPr="00F532D5" w:rsidRDefault="004A5FFD" w:rsidP="004A5FFD">
      <w:pPr>
        <w:spacing w:line="360" w:lineRule="auto"/>
        <w:jc w:val="both"/>
        <w:rPr>
          <w:sz w:val="20"/>
          <w:szCs w:val="20"/>
        </w:rPr>
      </w:pPr>
      <w:r w:rsidRPr="00F532D5">
        <w:rPr>
          <w:sz w:val="20"/>
          <w:szCs w:val="20"/>
        </w:rPr>
        <w:t>Los ingresos propios de Pensiones Civiles del Estado de Tlaxcala, se ha</w:t>
      </w:r>
      <w:r w:rsidR="00B22430" w:rsidRPr="00F532D5">
        <w:rPr>
          <w:sz w:val="20"/>
          <w:szCs w:val="20"/>
        </w:rPr>
        <w:t>n</w:t>
      </w:r>
      <w:r w:rsidRPr="00F532D5">
        <w:rPr>
          <w:sz w:val="20"/>
          <w:szCs w:val="20"/>
        </w:rPr>
        <w:t xml:space="preserve"> visto incrementado</w:t>
      </w:r>
      <w:r w:rsidR="00B22430" w:rsidRPr="00F532D5">
        <w:rPr>
          <w:sz w:val="20"/>
          <w:szCs w:val="20"/>
        </w:rPr>
        <w:t>s</w:t>
      </w:r>
      <w:r w:rsidRPr="00F532D5">
        <w:rPr>
          <w:sz w:val="20"/>
          <w:szCs w:val="20"/>
        </w:rPr>
        <w:t>, a partir, de la reforma</w:t>
      </w:r>
      <w:r w:rsidR="007F0C9E" w:rsidRPr="00F532D5">
        <w:rPr>
          <w:sz w:val="20"/>
          <w:szCs w:val="20"/>
        </w:rPr>
        <w:t>, como a continuación se observa</w:t>
      </w:r>
      <w:r w:rsidRPr="00F532D5">
        <w:rPr>
          <w:sz w:val="20"/>
          <w:szCs w:val="20"/>
        </w:rPr>
        <w:t>:</w:t>
      </w:r>
    </w:p>
    <w:p w14:paraId="02D3D251" w14:textId="77777777" w:rsidR="00CB18D0" w:rsidRPr="006E7218" w:rsidRDefault="00CB18D0" w:rsidP="004A5FFD">
      <w:pPr>
        <w:spacing w:line="360" w:lineRule="auto"/>
        <w:jc w:val="both"/>
        <w:rPr>
          <w:rFonts w:ascii="Arial" w:hAnsi="Arial" w:cs="Arial"/>
          <w:sz w:val="12"/>
        </w:rPr>
      </w:pPr>
    </w:p>
    <w:tbl>
      <w:tblPr>
        <w:tblpPr w:leftFromText="141" w:rightFromText="141" w:vertAnchor="text" w:tblpXSpec="center" w:tblpY="1"/>
        <w:tblOverlap w:val="never"/>
        <w:tblW w:w="3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0"/>
        <w:gridCol w:w="1900"/>
      </w:tblGrid>
      <w:tr w:rsidR="004A5FFD" w:rsidRPr="00F532D5" w14:paraId="5861796D" w14:textId="77777777" w:rsidTr="00C50BE2">
        <w:trPr>
          <w:trHeight w:val="777"/>
          <w:tblHeader/>
        </w:trPr>
        <w:tc>
          <w:tcPr>
            <w:tcW w:w="1540" w:type="dxa"/>
            <w:shd w:val="clear" w:color="auto" w:fill="A8D08D" w:themeFill="accent6" w:themeFillTint="99"/>
            <w:noWrap/>
            <w:vAlign w:val="center"/>
            <w:hideMark/>
          </w:tcPr>
          <w:p w14:paraId="1D29CECB" w14:textId="77777777"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t>AÑO</w:t>
            </w:r>
          </w:p>
        </w:tc>
        <w:tc>
          <w:tcPr>
            <w:tcW w:w="1900" w:type="dxa"/>
            <w:shd w:val="clear" w:color="auto" w:fill="A8D08D" w:themeFill="accent6" w:themeFillTint="99"/>
            <w:vAlign w:val="center"/>
            <w:hideMark/>
          </w:tcPr>
          <w:p w14:paraId="67EF0A0D" w14:textId="6FB91B58"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t>APORTACIONES Y RETENCIONES</w:t>
            </w:r>
            <w:r w:rsidR="00E15C97" w:rsidRPr="00F532D5">
              <w:rPr>
                <w:b/>
                <w:bCs/>
                <w:color w:val="000000"/>
                <w:sz w:val="20"/>
                <w:szCs w:val="20"/>
                <w:lang w:eastAsia="es-MX"/>
              </w:rPr>
              <w:t xml:space="preserve"> (MDP)</w:t>
            </w:r>
          </w:p>
        </w:tc>
      </w:tr>
      <w:tr w:rsidR="004A5FFD" w:rsidRPr="00F532D5" w14:paraId="6D5E51D0" w14:textId="77777777" w:rsidTr="00F532D5">
        <w:trPr>
          <w:trHeight w:val="391"/>
        </w:trPr>
        <w:tc>
          <w:tcPr>
            <w:tcW w:w="1540" w:type="dxa"/>
            <w:shd w:val="clear" w:color="auto" w:fill="auto"/>
            <w:noWrap/>
            <w:vAlign w:val="center"/>
            <w:hideMark/>
          </w:tcPr>
          <w:p w14:paraId="2E7C293C"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2011</w:t>
            </w:r>
          </w:p>
        </w:tc>
        <w:tc>
          <w:tcPr>
            <w:tcW w:w="1900" w:type="dxa"/>
            <w:shd w:val="clear" w:color="auto" w:fill="auto"/>
            <w:noWrap/>
            <w:vAlign w:val="center"/>
            <w:hideMark/>
          </w:tcPr>
          <w:p w14:paraId="6C46A615"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100.9 </w:t>
            </w:r>
          </w:p>
        </w:tc>
      </w:tr>
      <w:tr w:rsidR="004A5FFD" w:rsidRPr="00F532D5" w14:paraId="4D05F477" w14:textId="77777777" w:rsidTr="00F532D5">
        <w:trPr>
          <w:trHeight w:val="398"/>
        </w:trPr>
        <w:tc>
          <w:tcPr>
            <w:tcW w:w="1540" w:type="dxa"/>
            <w:shd w:val="clear" w:color="auto" w:fill="auto"/>
            <w:noWrap/>
            <w:vAlign w:val="center"/>
            <w:hideMark/>
          </w:tcPr>
          <w:p w14:paraId="56757ED7"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2012</w:t>
            </w:r>
          </w:p>
        </w:tc>
        <w:tc>
          <w:tcPr>
            <w:tcW w:w="1900" w:type="dxa"/>
            <w:shd w:val="clear" w:color="auto" w:fill="auto"/>
            <w:noWrap/>
            <w:vAlign w:val="center"/>
            <w:hideMark/>
          </w:tcPr>
          <w:p w14:paraId="748FD5B2"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103.3 </w:t>
            </w:r>
          </w:p>
        </w:tc>
      </w:tr>
      <w:tr w:rsidR="004A5FFD" w:rsidRPr="00F532D5" w14:paraId="0A0CBC5A" w14:textId="77777777" w:rsidTr="00F532D5">
        <w:trPr>
          <w:trHeight w:val="404"/>
        </w:trPr>
        <w:tc>
          <w:tcPr>
            <w:tcW w:w="1540" w:type="dxa"/>
            <w:shd w:val="clear" w:color="auto" w:fill="auto"/>
            <w:noWrap/>
            <w:vAlign w:val="center"/>
            <w:hideMark/>
          </w:tcPr>
          <w:p w14:paraId="78805B29"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2013</w:t>
            </w:r>
          </w:p>
        </w:tc>
        <w:tc>
          <w:tcPr>
            <w:tcW w:w="1900" w:type="dxa"/>
            <w:shd w:val="clear" w:color="auto" w:fill="auto"/>
            <w:noWrap/>
            <w:vAlign w:val="center"/>
            <w:hideMark/>
          </w:tcPr>
          <w:p w14:paraId="6F361D3E"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205.9 </w:t>
            </w:r>
          </w:p>
        </w:tc>
      </w:tr>
      <w:tr w:rsidR="004A5FFD" w:rsidRPr="00F532D5" w14:paraId="316958DD" w14:textId="77777777" w:rsidTr="00F532D5">
        <w:trPr>
          <w:trHeight w:val="423"/>
        </w:trPr>
        <w:tc>
          <w:tcPr>
            <w:tcW w:w="1540" w:type="dxa"/>
            <w:shd w:val="clear" w:color="auto" w:fill="auto"/>
            <w:noWrap/>
            <w:vAlign w:val="center"/>
            <w:hideMark/>
          </w:tcPr>
          <w:p w14:paraId="25A280AB"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2014</w:t>
            </w:r>
          </w:p>
        </w:tc>
        <w:tc>
          <w:tcPr>
            <w:tcW w:w="1900" w:type="dxa"/>
            <w:shd w:val="clear" w:color="auto" w:fill="auto"/>
            <w:noWrap/>
            <w:vAlign w:val="center"/>
            <w:hideMark/>
          </w:tcPr>
          <w:p w14:paraId="662EEDE5"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221.2 </w:t>
            </w:r>
          </w:p>
        </w:tc>
      </w:tr>
      <w:tr w:rsidR="004A5FFD" w:rsidRPr="00F532D5" w14:paraId="11D8E821" w14:textId="77777777" w:rsidTr="00F532D5">
        <w:trPr>
          <w:trHeight w:val="415"/>
        </w:trPr>
        <w:tc>
          <w:tcPr>
            <w:tcW w:w="1540" w:type="dxa"/>
            <w:shd w:val="clear" w:color="auto" w:fill="auto"/>
            <w:noWrap/>
            <w:vAlign w:val="center"/>
            <w:hideMark/>
          </w:tcPr>
          <w:p w14:paraId="3182D4A0"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2015</w:t>
            </w:r>
          </w:p>
        </w:tc>
        <w:tc>
          <w:tcPr>
            <w:tcW w:w="1900" w:type="dxa"/>
            <w:shd w:val="clear" w:color="auto" w:fill="auto"/>
            <w:noWrap/>
            <w:vAlign w:val="center"/>
            <w:hideMark/>
          </w:tcPr>
          <w:p w14:paraId="0323DCC3"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 xml:space="preserve">223.9 </w:t>
            </w:r>
          </w:p>
        </w:tc>
      </w:tr>
      <w:tr w:rsidR="004A5FFD" w:rsidRPr="00F532D5" w14:paraId="6A845043" w14:textId="77777777" w:rsidTr="00F532D5">
        <w:trPr>
          <w:trHeight w:val="387"/>
        </w:trPr>
        <w:tc>
          <w:tcPr>
            <w:tcW w:w="1540" w:type="dxa"/>
            <w:shd w:val="clear" w:color="auto" w:fill="auto"/>
            <w:noWrap/>
            <w:vAlign w:val="center"/>
            <w:hideMark/>
          </w:tcPr>
          <w:p w14:paraId="494DF1D0" w14:textId="77777777" w:rsidR="004A5FFD" w:rsidRPr="00F532D5" w:rsidRDefault="004A5FFD" w:rsidP="00FB0F08">
            <w:pPr>
              <w:spacing w:line="360" w:lineRule="auto"/>
              <w:rPr>
                <w:b/>
                <w:bCs/>
                <w:color w:val="000000"/>
                <w:sz w:val="20"/>
                <w:szCs w:val="20"/>
                <w:lang w:eastAsia="es-MX"/>
              </w:rPr>
            </w:pPr>
            <w:r w:rsidRPr="00F532D5">
              <w:rPr>
                <w:b/>
                <w:bCs/>
                <w:color w:val="000000"/>
                <w:sz w:val="20"/>
                <w:szCs w:val="20"/>
                <w:lang w:eastAsia="es-MX"/>
              </w:rPr>
              <w:t>Ejercicio 201</w:t>
            </w:r>
            <w:r w:rsidR="00A4442A" w:rsidRPr="00F532D5">
              <w:rPr>
                <w:b/>
                <w:bCs/>
                <w:color w:val="000000"/>
                <w:sz w:val="20"/>
                <w:szCs w:val="20"/>
                <w:lang w:eastAsia="es-MX"/>
              </w:rPr>
              <w:t>6</w:t>
            </w:r>
          </w:p>
        </w:tc>
        <w:tc>
          <w:tcPr>
            <w:tcW w:w="1900" w:type="dxa"/>
            <w:shd w:val="clear" w:color="auto" w:fill="auto"/>
            <w:noWrap/>
            <w:vAlign w:val="center"/>
            <w:hideMark/>
          </w:tcPr>
          <w:p w14:paraId="4E428F67" w14:textId="77777777" w:rsidR="004A5FFD" w:rsidRPr="00F532D5" w:rsidRDefault="004A5FFD" w:rsidP="00FB0F08">
            <w:pPr>
              <w:spacing w:line="360" w:lineRule="auto"/>
              <w:jc w:val="right"/>
              <w:rPr>
                <w:color w:val="000000"/>
                <w:sz w:val="20"/>
                <w:szCs w:val="20"/>
                <w:lang w:eastAsia="es-MX"/>
              </w:rPr>
            </w:pPr>
            <w:r w:rsidRPr="00F532D5">
              <w:rPr>
                <w:color w:val="000000"/>
                <w:sz w:val="20"/>
                <w:szCs w:val="20"/>
                <w:lang w:eastAsia="es-MX"/>
              </w:rPr>
              <w:t>2</w:t>
            </w:r>
            <w:r w:rsidR="00A4442A" w:rsidRPr="00F532D5">
              <w:rPr>
                <w:color w:val="000000"/>
                <w:sz w:val="20"/>
                <w:szCs w:val="20"/>
                <w:lang w:eastAsia="es-MX"/>
              </w:rPr>
              <w:t>48</w:t>
            </w:r>
            <w:r w:rsidRPr="00F532D5">
              <w:rPr>
                <w:color w:val="000000"/>
                <w:sz w:val="20"/>
                <w:szCs w:val="20"/>
                <w:lang w:eastAsia="es-MX"/>
              </w:rPr>
              <w:t>.</w:t>
            </w:r>
            <w:r w:rsidR="00A4442A" w:rsidRPr="00F532D5">
              <w:rPr>
                <w:color w:val="000000"/>
                <w:sz w:val="20"/>
                <w:szCs w:val="20"/>
                <w:lang w:eastAsia="es-MX"/>
              </w:rPr>
              <w:t>9</w:t>
            </w:r>
            <w:r w:rsidRPr="00F532D5">
              <w:rPr>
                <w:color w:val="000000"/>
                <w:sz w:val="20"/>
                <w:szCs w:val="20"/>
                <w:lang w:eastAsia="es-MX"/>
              </w:rPr>
              <w:t xml:space="preserve"> </w:t>
            </w:r>
          </w:p>
        </w:tc>
      </w:tr>
      <w:tr w:rsidR="00A4442A" w:rsidRPr="00F532D5" w14:paraId="6CD39F07" w14:textId="77777777" w:rsidTr="00F532D5">
        <w:trPr>
          <w:trHeight w:val="300"/>
        </w:trPr>
        <w:tc>
          <w:tcPr>
            <w:tcW w:w="1540" w:type="dxa"/>
            <w:shd w:val="clear" w:color="auto" w:fill="auto"/>
            <w:noWrap/>
            <w:vAlign w:val="center"/>
          </w:tcPr>
          <w:p w14:paraId="7107FF1E" w14:textId="7207C4FF" w:rsidR="00A4442A" w:rsidRPr="00F532D5" w:rsidRDefault="00A4442A" w:rsidP="00FB0F08">
            <w:pPr>
              <w:spacing w:line="360" w:lineRule="auto"/>
              <w:jc w:val="center"/>
              <w:rPr>
                <w:b/>
                <w:bCs/>
                <w:color w:val="000000"/>
                <w:sz w:val="20"/>
                <w:szCs w:val="20"/>
                <w:lang w:eastAsia="es-MX"/>
              </w:rPr>
            </w:pPr>
            <w:r w:rsidRPr="00F532D5">
              <w:rPr>
                <w:b/>
                <w:bCs/>
                <w:color w:val="000000"/>
                <w:sz w:val="20"/>
                <w:szCs w:val="20"/>
                <w:lang w:eastAsia="es-MX"/>
              </w:rPr>
              <w:lastRenderedPageBreak/>
              <w:t>Ejercicio 2017</w:t>
            </w:r>
          </w:p>
        </w:tc>
        <w:tc>
          <w:tcPr>
            <w:tcW w:w="1900" w:type="dxa"/>
            <w:shd w:val="clear" w:color="auto" w:fill="auto"/>
            <w:noWrap/>
            <w:vAlign w:val="bottom"/>
          </w:tcPr>
          <w:p w14:paraId="5AD30780" w14:textId="0A3EA331" w:rsidR="00A4442A" w:rsidRPr="00F532D5" w:rsidRDefault="005C54B5" w:rsidP="00FB0F08">
            <w:pPr>
              <w:spacing w:line="360" w:lineRule="auto"/>
              <w:jc w:val="right"/>
              <w:rPr>
                <w:bCs/>
                <w:color w:val="000000"/>
                <w:sz w:val="20"/>
                <w:szCs w:val="20"/>
                <w:lang w:eastAsia="es-MX"/>
              </w:rPr>
            </w:pPr>
            <w:r w:rsidRPr="00F532D5">
              <w:rPr>
                <w:bCs/>
                <w:color w:val="000000"/>
                <w:sz w:val="20"/>
                <w:szCs w:val="20"/>
                <w:lang w:eastAsia="es-MX"/>
              </w:rPr>
              <w:t>275</w:t>
            </w:r>
            <w:r w:rsidR="00A4442A" w:rsidRPr="00F532D5">
              <w:rPr>
                <w:bCs/>
                <w:color w:val="000000"/>
                <w:sz w:val="20"/>
                <w:szCs w:val="20"/>
                <w:lang w:eastAsia="es-MX"/>
              </w:rPr>
              <w:t>.</w:t>
            </w:r>
            <w:r w:rsidRPr="00F532D5">
              <w:rPr>
                <w:bCs/>
                <w:color w:val="000000"/>
                <w:sz w:val="20"/>
                <w:szCs w:val="20"/>
                <w:lang w:eastAsia="es-MX"/>
              </w:rPr>
              <w:t>2</w:t>
            </w:r>
          </w:p>
        </w:tc>
      </w:tr>
      <w:tr w:rsidR="008D0636" w:rsidRPr="00F532D5" w14:paraId="786D84A4" w14:textId="77777777" w:rsidTr="00F532D5">
        <w:trPr>
          <w:trHeight w:val="300"/>
        </w:trPr>
        <w:tc>
          <w:tcPr>
            <w:tcW w:w="1540" w:type="dxa"/>
            <w:shd w:val="clear" w:color="auto" w:fill="auto"/>
            <w:noWrap/>
            <w:vAlign w:val="center"/>
          </w:tcPr>
          <w:p w14:paraId="13D4FAC0" w14:textId="68181260" w:rsidR="008D0636" w:rsidRPr="00F532D5" w:rsidRDefault="008D0636" w:rsidP="00FB0F08">
            <w:pPr>
              <w:spacing w:line="360" w:lineRule="auto"/>
              <w:jc w:val="center"/>
              <w:rPr>
                <w:b/>
                <w:bCs/>
                <w:color w:val="000000"/>
                <w:sz w:val="20"/>
                <w:szCs w:val="20"/>
                <w:lang w:eastAsia="es-MX"/>
              </w:rPr>
            </w:pPr>
            <w:r w:rsidRPr="00F532D5">
              <w:rPr>
                <w:b/>
                <w:bCs/>
                <w:color w:val="000000"/>
                <w:sz w:val="20"/>
                <w:szCs w:val="20"/>
                <w:lang w:eastAsia="es-MX"/>
              </w:rPr>
              <w:t>Ejercicio 201</w:t>
            </w:r>
            <w:r w:rsidR="00D72CCB" w:rsidRPr="00F532D5">
              <w:rPr>
                <w:b/>
                <w:bCs/>
                <w:color w:val="000000"/>
                <w:sz w:val="20"/>
                <w:szCs w:val="20"/>
                <w:lang w:eastAsia="es-MX"/>
              </w:rPr>
              <w:t>8</w:t>
            </w:r>
          </w:p>
        </w:tc>
        <w:tc>
          <w:tcPr>
            <w:tcW w:w="1900" w:type="dxa"/>
            <w:shd w:val="clear" w:color="auto" w:fill="auto"/>
            <w:noWrap/>
            <w:vAlign w:val="bottom"/>
          </w:tcPr>
          <w:p w14:paraId="6CA45C15" w14:textId="6BFF61A1" w:rsidR="008D0636" w:rsidRPr="00F532D5" w:rsidRDefault="00903E74" w:rsidP="00FB0F08">
            <w:pPr>
              <w:spacing w:line="360" w:lineRule="auto"/>
              <w:jc w:val="right"/>
              <w:rPr>
                <w:bCs/>
                <w:color w:val="000000"/>
                <w:sz w:val="20"/>
                <w:szCs w:val="20"/>
                <w:lang w:eastAsia="es-MX"/>
              </w:rPr>
            </w:pPr>
            <w:r w:rsidRPr="00F532D5">
              <w:rPr>
                <w:bCs/>
                <w:color w:val="000000"/>
                <w:sz w:val="20"/>
                <w:szCs w:val="20"/>
                <w:lang w:eastAsia="es-MX"/>
              </w:rPr>
              <w:t>2</w:t>
            </w:r>
            <w:r w:rsidR="007B42A1" w:rsidRPr="00F532D5">
              <w:rPr>
                <w:bCs/>
                <w:color w:val="000000"/>
                <w:sz w:val="20"/>
                <w:szCs w:val="20"/>
                <w:lang w:eastAsia="es-MX"/>
              </w:rPr>
              <w:t>67</w:t>
            </w:r>
            <w:r w:rsidR="006F4B7F" w:rsidRPr="00F532D5">
              <w:rPr>
                <w:bCs/>
                <w:color w:val="000000"/>
                <w:sz w:val="20"/>
                <w:szCs w:val="20"/>
                <w:lang w:eastAsia="es-MX"/>
              </w:rPr>
              <w:t>.</w:t>
            </w:r>
            <w:r w:rsidR="007B42A1" w:rsidRPr="00F532D5">
              <w:rPr>
                <w:bCs/>
                <w:color w:val="000000"/>
                <w:sz w:val="20"/>
                <w:szCs w:val="20"/>
                <w:lang w:eastAsia="es-MX"/>
              </w:rPr>
              <w:t>1</w:t>
            </w:r>
          </w:p>
        </w:tc>
      </w:tr>
      <w:tr w:rsidR="00EA1CA2" w:rsidRPr="00F532D5" w14:paraId="68760099" w14:textId="77777777" w:rsidTr="00F532D5">
        <w:trPr>
          <w:trHeight w:val="300"/>
        </w:trPr>
        <w:tc>
          <w:tcPr>
            <w:tcW w:w="1540" w:type="dxa"/>
            <w:shd w:val="clear" w:color="auto" w:fill="auto"/>
            <w:noWrap/>
            <w:vAlign w:val="center"/>
          </w:tcPr>
          <w:p w14:paraId="637F9D73" w14:textId="75C42C0A" w:rsidR="00EA1CA2" w:rsidRPr="00F532D5" w:rsidRDefault="00EA1CA2" w:rsidP="00FB0F08">
            <w:pPr>
              <w:spacing w:line="360" w:lineRule="auto"/>
              <w:jc w:val="center"/>
              <w:rPr>
                <w:b/>
                <w:bCs/>
                <w:color w:val="000000"/>
                <w:sz w:val="20"/>
                <w:szCs w:val="20"/>
                <w:lang w:eastAsia="es-MX"/>
              </w:rPr>
            </w:pPr>
            <w:r w:rsidRPr="00F532D5">
              <w:rPr>
                <w:b/>
                <w:bCs/>
                <w:color w:val="000000"/>
                <w:sz w:val="20"/>
                <w:szCs w:val="20"/>
                <w:lang w:eastAsia="es-MX"/>
              </w:rPr>
              <w:t>Ejercicio 2019</w:t>
            </w:r>
          </w:p>
        </w:tc>
        <w:tc>
          <w:tcPr>
            <w:tcW w:w="1900" w:type="dxa"/>
            <w:shd w:val="clear" w:color="auto" w:fill="auto"/>
            <w:noWrap/>
            <w:vAlign w:val="bottom"/>
          </w:tcPr>
          <w:p w14:paraId="31C833BF" w14:textId="68F233BB" w:rsidR="00EA1CA2" w:rsidRPr="00F532D5" w:rsidRDefault="00937A59" w:rsidP="00FB0F08">
            <w:pPr>
              <w:spacing w:line="360" w:lineRule="auto"/>
              <w:jc w:val="right"/>
              <w:rPr>
                <w:bCs/>
                <w:color w:val="000000"/>
                <w:sz w:val="20"/>
                <w:szCs w:val="20"/>
                <w:lang w:eastAsia="es-MX"/>
              </w:rPr>
            </w:pPr>
            <w:r w:rsidRPr="00F532D5">
              <w:rPr>
                <w:bCs/>
                <w:color w:val="000000"/>
                <w:sz w:val="20"/>
                <w:szCs w:val="20"/>
                <w:lang w:eastAsia="es-MX"/>
              </w:rPr>
              <w:t>2</w:t>
            </w:r>
            <w:r w:rsidR="004E5905" w:rsidRPr="00F532D5">
              <w:rPr>
                <w:bCs/>
                <w:color w:val="000000"/>
                <w:sz w:val="20"/>
                <w:szCs w:val="20"/>
                <w:lang w:eastAsia="es-MX"/>
              </w:rPr>
              <w:t>9</w:t>
            </w:r>
            <w:r w:rsidRPr="00F532D5">
              <w:rPr>
                <w:bCs/>
                <w:color w:val="000000"/>
                <w:sz w:val="20"/>
                <w:szCs w:val="20"/>
                <w:lang w:eastAsia="es-MX"/>
              </w:rPr>
              <w:t>0</w:t>
            </w:r>
            <w:r w:rsidR="007B42A1" w:rsidRPr="00F532D5">
              <w:rPr>
                <w:bCs/>
                <w:color w:val="000000"/>
                <w:sz w:val="20"/>
                <w:szCs w:val="20"/>
                <w:lang w:eastAsia="es-MX"/>
              </w:rPr>
              <w:t>.</w:t>
            </w:r>
            <w:r w:rsidR="004E5905" w:rsidRPr="00F532D5">
              <w:rPr>
                <w:bCs/>
                <w:color w:val="000000"/>
                <w:sz w:val="20"/>
                <w:szCs w:val="20"/>
                <w:lang w:eastAsia="es-MX"/>
              </w:rPr>
              <w:t>9</w:t>
            </w:r>
          </w:p>
        </w:tc>
      </w:tr>
      <w:tr w:rsidR="004E5905" w:rsidRPr="00F532D5" w14:paraId="259D4D34" w14:textId="77777777" w:rsidTr="00F532D5">
        <w:trPr>
          <w:trHeight w:val="209"/>
        </w:trPr>
        <w:tc>
          <w:tcPr>
            <w:tcW w:w="1540" w:type="dxa"/>
            <w:shd w:val="clear" w:color="auto" w:fill="auto"/>
            <w:noWrap/>
            <w:vAlign w:val="center"/>
          </w:tcPr>
          <w:p w14:paraId="52E2E4B7" w14:textId="0C81EDE0" w:rsidR="004E5905" w:rsidRPr="00F532D5" w:rsidRDefault="004E5905" w:rsidP="00FB0F08">
            <w:pPr>
              <w:spacing w:line="360" w:lineRule="auto"/>
              <w:jc w:val="center"/>
              <w:rPr>
                <w:b/>
                <w:bCs/>
                <w:color w:val="000000"/>
                <w:sz w:val="20"/>
                <w:szCs w:val="20"/>
                <w:lang w:eastAsia="es-MX"/>
              </w:rPr>
            </w:pPr>
            <w:r w:rsidRPr="00F532D5">
              <w:rPr>
                <w:b/>
                <w:bCs/>
                <w:color w:val="000000"/>
                <w:sz w:val="20"/>
                <w:szCs w:val="20"/>
                <w:lang w:eastAsia="es-MX"/>
              </w:rPr>
              <w:t>*Ejercicio 2020</w:t>
            </w:r>
          </w:p>
        </w:tc>
        <w:tc>
          <w:tcPr>
            <w:tcW w:w="1900" w:type="dxa"/>
            <w:shd w:val="clear" w:color="auto" w:fill="auto"/>
            <w:noWrap/>
            <w:vAlign w:val="bottom"/>
          </w:tcPr>
          <w:p w14:paraId="656D1A78" w14:textId="4EC104B3" w:rsidR="004E5905" w:rsidRPr="00F532D5" w:rsidRDefault="00A83F52" w:rsidP="00FB0F08">
            <w:pPr>
              <w:spacing w:line="360" w:lineRule="auto"/>
              <w:jc w:val="right"/>
              <w:rPr>
                <w:bCs/>
                <w:color w:val="000000"/>
                <w:sz w:val="20"/>
                <w:szCs w:val="20"/>
                <w:lang w:eastAsia="es-MX"/>
              </w:rPr>
            </w:pPr>
            <w:r w:rsidRPr="00F532D5">
              <w:rPr>
                <w:bCs/>
                <w:color w:val="000000"/>
                <w:sz w:val="20"/>
                <w:szCs w:val="20"/>
                <w:lang w:eastAsia="es-MX"/>
              </w:rPr>
              <w:t>226.3</w:t>
            </w:r>
          </w:p>
        </w:tc>
      </w:tr>
      <w:tr w:rsidR="004A5FFD" w:rsidRPr="00F532D5" w14:paraId="48A6B3AC" w14:textId="77777777" w:rsidTr="00F532D5">
        <w:trPr>
          <w:trHeight w:val="209"/>
        </w:trPr>
        <w:tc>
          <w:tcPr>
            <w:tcW w:w="1540" w:type="dxa"/>
            <w:shd w:val="clear" w:color="auto" w:fill="auto"/>
            <w:noWrap/>
            <w:vAlign w:val="center"/>
            <w:hideMark/>
          </w:tcPr>
          <w:p w14:paraId="0D88AE1B" w14:textId="77777777" w:rsidR="004A5FFD" w:rsidRPr="00F532D5" w:rsidRDefault="004A5FFD" w:rsidP="00FB0F08">
            <w:pPr>
              <w:spacing w:line="360" w:lineRule="auto"/>
              <w:jc w:val="center"/>
              <w:rPr>
                <w:b/>
                <w:bCs/>
                <w:color w:val="000000"/>
                <w:sz w:val="20"/>
                <w:szCs w:val="20"/>
                <w:lang w:eastAsia="es-MX"/>
              </w:rPr>
            </w:pPr>
            <w:r w:rsidRPr="00F532D5">
              <w:rPr>
                <w:b/>
                <w:bCs/>
                <w:color w:val="000000"/>
                <w:sz w:val="20"/>
                <w:szCs w:val="20"/>
                <w:lang w:eastAsia="es-MX"/>
              </w:rPr>
              <w:t>SUMA</w:t>
            </w:r>
          </w:p>
        </w:tc>
        <w:tc>
          <w:tcPr>
            <w:tcW w:w="1900" w:type="dxa"/>
            <w:shd w:val="clear" w:color="auto" w:fill="auto"/>
            <w:noWrap/>
            <w:vAlign w:val="bottom"/>
            <w:hideMark/>
          </w:tcPr>
          <w:p w14:paraId="4F8BFE46" w14:textId="7AEF32BA" w:rsidR="004A5FFD" w:rsidRPr="00F532D5" w:rsidRDefault="00BF54D1" w:rsidP="00FB0F08">
            <w:pPr>
              <w:spacing w:line="360" w:lineRule="auto"/>
              <w:jc w:val="right"/>
              <w:rPr>
                <w:b/>
                <w:bCs/>
                <w:color w:val="000000"/>
                <w:sz w:val="20"/>
                <w:szCs w:val="20"/>
                <w:lang w:eastAsia="es-MX"/>
              </w:rPr>
            </w:pPr>
            <w:r w:rsidRPr="00F532D5">
              <w:rPr>
                <w:b/>
                <w:bCs/>
                <w:color w:val="000000"/>
                <w:sz w:val="20"/>
                <w:szCs w:val="20"/>
                <w:lang w:eastAsia="es-MX"/>
              </w:rPr>
              <w:t>2,</w:t>
            </w:r>
            <w:r w:rsidR="00FB0F08" w:rsidRPr="00F532D5">
              <w:rPr>
                <w:b/>
                <w:bCs/>
                <w:color w:val="000000"/>
                <w:sz w:val="20"/>
                <w:szCs w:val="20"/>
                <w:lang w:eastAsia="es-MX"/>
              </w:rPr>
              <w:t>163.6</w:t>
            </w:r>
            <w:r w:rsidR="004A5FFD" w:rsidRPr="00F532D5">
              <w:rPr>
                <w:b/>
                <w:bCs/>
                <w:color w:val="000000"/>
                <w:sz w:val="20"/>
                <w:szCs w:val="20"/>
                <w:lang w:eastAsia="es-MX"/>
              </w:rPr>
              <w:t xml:space="preserve"> </w:t>
            </w:r>
          </w:p>
        </w:tc>
      </w:tr>
    </w:tbl>
    <w:p w14:paraId="3E47AB12" w14:textId="1CEC76D8" w:rsidR="004A5FFD" w:rsidRPr="00032945" w:rsidRDefault="00FB0F08" w:rsidP="00C50BE2">
      <w:pPr>
        <w:spacing w:line="360" w:lineRule="auto"/>
        <w:rPr>
          <w:rFonts w:ascii="Arial" w:hAnsi="Arial" w:cs="Arial"/>
          <w:b/>
          <w:sz w:val="16"/>
        </w:rPr>
      </w:pPr>
      <w:r>
        <w:rPr>
          <w:rFonts w:ascii="Arial" w:hAnsi="Arial" w:cs="Arial"/>
          <w:b/>
          <w:sz w:val="16"/>
        </w:rPr>
        <w:lastRenderedPageBreak/>
        <w:br w:type="textWrapping" w:clear="all"/>
      </w:r>
      <w:r w:rsidR="004A5FFD" w:rsidRPr="00903E74">
        <w:rPr>
          <w:rFonts w:ascii="Arial" w:hAnsi="Arial" w:cs="Arial"/>
          <w:b/>
          <w:sz w:val="16"/>
        </w:rPr>
        <w:t xml:space="preserve">* Cifras al Cierre del </w:t>
      </w:r>
      <w:r w:rsidR="00A4442A" w:rsidRPr="00903E74">
        <w:rPr>
          <w:rFonts w:ascii="Arial" w:hAnsi="Arial" w:cs="Arial"/>
          <w:b/>
          <w:sz w:val="16"/>
        </w:rPr>
        <w:t xml:space="preserve">mes de </w:t>
      </w:r>
      <w:r w:rsidR="00E15C97">
        <w:rPr>
          <w:rFonts w:ascii="Arial" w:hAnsi="Arial" w:cs="Arial"/>
          <w:b/>
          <w:sz w:val="16"/>
        </w:rPr>
        <w:t>septiembre</w:t>
      </w:r>
      <w:r w:rsidR="00A4442A" w:rsidRPr="00903E74">
        <w:rPr>
          <w:rFonts w:ascii="Arial" w:hAnsi="Arial" w:cs="Arial"/>
          <w:b/>
          <w:sz w:val="16"/>
        </w:rPr>
        <w:t xml:space="preserve"> </w:t>
      </w:r>
      <w:r w:rsidR="00B978B3" w:rsidRPr="00903E74">
        <w:rPr>
          <w:rFonts w:ascii="Arial" w:hAnsi="Arial" w:cs="Arial"/>
          <w:b/>
          <w:sz w:val="16"/>
        </w:rPr>
        <w:t xml:space="preserve">de </w:t>
      </w:r>
      <w:r w:rsidR="004A5FFD" w:rsidRPr="00903E74">
        <w:rPr>
          <w:rFonts w:ascii="Arial" w:hAnsi="Arial" w:cs="Arial"/>
          <w:b/>
          <w:sz w:val="16"/>
        </w:rPr>
        <w:t>20</w:t>
      </w:r>
      <w:r w:rsidR="004E5905">
        <w:rPr>
          <w:rFonts w:ascii="Arial" w:hAnsi="Arial" w:cs="Arial"/>
          <w:b/>
          <w:sz w:val="16"/>
        </w:rPr>
        <w:t>20</w:t>
      </w:r>
      <w:r w:rsidR="006F4B7F" w:rsidRPr="00903E74">
        <w:rPr>
          <w:rFonts w:ascii="Arial" w:hAnsi="Arial" w:cs="Arial"/>
          <w:b/>
          <w:sz w:val="16"/>
        </w:rPr>
        <w:t>.</w:t>
      </w:r>
    </w:p>
    <w:p w14:paraId="33E93485" w14:textId="77777777" w:rsidR="001C3DBE" w:rsidRPr="001C3DBE" w:rsidRDefault="001C3DBE" w:rsidP="002F4EF8">
      <w:pPr>
        <w:spacing w:line="360" w:lineRule="auto"/>
        <w:jc w:val="both"/>
        <w:rPr>
          <w:sz w:val="10"/>
          <w:szCs w:val="10"/>
        </w:rPr>
      </w:pPr>
    </w:p>
    <w:p w14:paraId="19EFEA13" w14:textId="7082F1A5" w:rsidR="00B87D72" w:rsidRPr="002F4EF8" w:rsidRDefault="002F4EF8" w:rsidP="002F4EF8">
      <w:pPr>
        <w:spacing w:line="360" w:lineRule="auto"/>
        <w:jc w:val="both"/>
        <w:rPr>
          <w:rFonts w:ascii="Arial" w:hAnsi="Arial" w:cs="Arial"/>
        </w:rPr>
      </w:pPr>
      <w:r w:rsidRPr="00F532D5">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tbl>
      <w:tblPr>
        <w:tblW w:w="4064" w:type="dxa"/>
        <w:jc w:val="center"/>
        <w:tblCellMar>
          <w:left w:w="70" w:type="dxa"/>
          <w:right w:w="70" w:type="dxa"/>
        </w:tblCellMar>
        <w:tblLook w:val="04A0" w:firstRow="1" w:lastRow="0" w:firstColumn="1" w:lastColumn="0" w:noHBand="0" w:noVBand="1"/>
      </w:tblPr>
      <w:tblGrid>
        <w:gridCol w:w="1560"/>
        <w:gridCol w:w="2504"/>
      </w:tblGrid>
      <w:tr w:rsidR="00E4753D" w:rsidRPr="00F532D5" w14:paraId="7ADBA39B" w14:textId="77777777" w:rsidTr="00010E5A">
        <w:trPr>
          <w:trHeight w:val="746"/>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4F53706"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E4C9422"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FONDO DE CRÉDITOS (MDP)</w:t>
            </w:r>
          </w:p>
        </w:tc>
      </w:tr>
      <w:tr w:rsidR="00E4753D" w:rsidRPr="00F532D5" w14:paraId="27492004" w14:textId="77777777" w:rsidTr="009407AB">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20678B" w14:textId="77777777" w:rsidR="00E4753D" w:rsidRPr="00F532D5" w:rsidRDefault="00E4753D" w:rsidP="009407AB">
            <w:pPr>
              <w:spacing w:line="360" w:lineRule="auto"/>
              <w:rPr>
                <w:b/>
                <w:bCs/>
                <w:color w:val="000000"/>
                <w:sz w:val="20"/>
                <w:szCs w:val="20"/>
                <w:lang w:eastAsia="es-MX"/>
              </w:rPr>
            </w:pPr>
            <w:r w:rsidRPr="00F532D5">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1131319D" w14:textId="77777777" w:rsidR="00E4753D" w:rsidRPr="00F532D5" w:rsidRDefault="00E4753D" w:rsidP="009407AB">
            <w:pPr>
              <w:spacing w:line="360" w:lineRule="auto"/>
              <w:jc w:val="right"/>
              <w:rPr>
                <w:color w:val="000000"/>
                <w:sz w:val="20"/>
                <w:szCs w:val="20"/>
                <w:lang w:eastAsia="es-MX"/>
              </w:rPr>
            </w:pPr>
            <w:r w:rsidRPr="00F532D5">
              <w:rPr>
                <w:color w:val="000000"/>
                <w:sz w:val="20"/>
                <w:szCs w:val="20"/>
                <w:lang w:eastAsia="es-MX"/>
              </w:rPr>
              <w:t>70.0</w:t>
            </w:r>
          </w:p>
        </w:tc>
      </w:tr>
      <w:tr w:rsidR="00E4753D" w:rsidRPr="00F532D5" w14:paraId="33EC2B77" w14:textId="77777777" w:rsidTr="009407AB">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5DF3F9" w14:textId="77777777" w:rsidR="00E4753D" w:rsidRPr="00F532D5" w:rsidRDefault="00E4753D" w:rsidP="009407AB">
            <w:pPr>
              <w:spacing w:line="360" w:lineRule="auto"/>
              <w:rPr>
                <w:b/>
                <w:bCs/>
                <w:color w:val="000000"/>
                <w:sz w:val="20"/>
                <w:szCs w:val="20"/>
                <w:lang w:eastAsia="es-MX"/>
              </w:rPr>
            </w:pPr>
            <w:r w:rsidRPr="00F532D5">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E656BFB" w14:textId="77777777" w:rsidR="00E4753D" w:rsidRPr="00F532D5" w:rsidRDefault="00E4753D" w:rsidP="009407AB">
            <w:pPr>
              <w:spacing w:line="360" w:lineRule="auto"/>
              <w:jc w:val="right"/>
              <w:rPr>
                <w:color w:val="000000"/>
                <w:sz w:val="20"/>
                <w:szCs w:val="20"/>
                <w:lang w:eastAsia="es-MX"/>
              </w:rPr>
            </w:pPr>
            <w:r w:rsidRPr="00F532D5">
              <w:rPr>
                <w:color w:val="000000"/>
                <w:sz w:val="20"/>
                <w:szCs w:val="20"/>
                <w:lang w:eastAsia="es-MX"/>
              </w:rPr>
              <w:t>21.0</w:t>
            </w:r>
          </w:p>
        </w:tc>
      </w:tr>
      <w:tr w:rsidR="00E4753D" w:rsidRPr="00F532D5" w14:paraId="5A9FA68B"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64C3F50" w14:textId="79BB4523" w:rsidR="00E4753D" w:rsidRPr="00F532D5" w:rsidRDefault="00E4753D" w:rsidP="00491CE4">
            <w:pPr>
              <w:spacing w:line="360" w:lineRule="auto"/>
              <w:rPr>
                <w:b/>
                <w:bCs/>
                <w:color w:val="000000"/>
                <w:sz w:val="20"/>
                <w:szCs w:val="20"/>
                <w:lang w:eastAsia="es-MX"/>
              </w:rPr>
            </w:pPr>
            <w:r w:rsidRPr="00F532D5">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362593B0" w14:textId="77777777" w:rsidR="00E4753D" w:rsidRPr="00F532D5" w:rsidRDefault="00E4753D" w:rsidP="009407AB">
            <w:pPr>
              <w:spacing w:line="360" w:lineRule="auto"/>
              <w:jc w:val="right"/>
              <w:rPr>
                <w:bCs/>
                <w:color w:val="000000"/>
                <w:sz w:val="20"/>
                <w:szCs w:val="20"/>
                <w:lang w:eastAsia="es-MX"/>
              </w:rPr>
            </w:pPr>
            <w:r w:rsidRPr="00F532D5">
              <w:rPr>
                <w:bCs/>
                <w:color w:val="000000"/>
                <w:sz w:val="20"/>
                <w:szCs w:val="20"/>
                <w:lang w:eastAsia="es-MX"/>
              </w:rPr>
              <w:t>59.0</w:t>
            </w:r>
          </w:p>
        </w:tc>
      </w:tr>
      <w:tr w:rsidR="00491CE4" w:rsidRPr="00F532D5" w14:paraId="06F22635"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E5F189B" w14:textId="75A7A90E" w:rsidR="00491CE4" w:rsidRPr="00F532D5" w:rsidRDefault="00491CE4" w:rsidP="005E73F9">
            <w:pPr>
              <w:spacing w:line="360" w:lineRule="auto"/>
              <w:jc w:val="center"/>
              <w:rPr>
                <w:b/>
                <w:bCs/>
                <w:color w:val="000000"/>
                <w:sz w:val="20"/>
                <w:szCs w:val="20"/>
                <w:lang w:eastAsia="es-MX"/>
              </w:rPr>
            </w:pPr>
            <w:r w:rsidRPr="00F532D5">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013FC841" w14:textId="076DA9AB" w:rsidR="00491CE4" w:rsidRPr="00F532D5" w:rsidRDefault="00491CE4" w:rsidP="00E4753D">
            <w:pPr>
              <w:spacing w:line="360" w:lineRule="auto"/>
              <w:jc w:val="right"/>
              <w:rPr>
                <w:bCs/>
                <w:color w:val="000000"/>
                <w:sz w:val="20"/>
                <w:szCs w:val="20"/>
                <w:lang w:eastAsia="es-MX"/>
              </w:rPr>
            </w:pPr>
            <w:r w:rsidRPr="00F532D5">
              <w:rPr>
                <w:bCs/>
                <w:color w:val="000000"/>
                <w:sz w:val="20"/>
                <w:szCs w:val="20"/>
                <w:lang w:eastAsia="es-MX"/>
              </w:rPr>
              <w:t>0.0</w:t>
            </w:r>
          </w:p>
        </w:tc>
      </w:tr>
      <w:tr w:rsidR="00B949DC" w:rsidRPr="00F532D5" w14:paraId="5E1F1360"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43680C6" w14:textId="5976EC32" w:rsidR="00B949DC" w:rsidRPr="00F532D5" w:rsidRDefault="005E73F9" w:rsidP="00DB0E90">
            <w:pPr>
              <w:spacing w:line="360" w:lineRule="auto"/>
              <w:jc w:val="center"/>
              <w:rPr>
                <w:b/>
                <w:bCs/>
                <w:color w:val="000000"/>
                <w:sz w:val="20"/>
                <w:szCs w:val="20"/>
                <w:lang w:eastAsia="es-MX"/>
              </w:rPr>
            </w:pPr>
            <w:r w:rsidRPr="00F532D5">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09F6DA3D" w14:textId="02B4C97D" w:rsidR="00B949DC" w:rsidRPr="00F532D5" w:rsidRDefault="005E73F9" w:rsidP="00E4753D">
            <w:pPr>
              <w:spacing w:line="360" w:lineRule="auto"/>
              <w:jc w:val="right"/>
              <w:rPr>
                <w:bCs/>
                <w:color w:val="000000"/>
                <w:sz w:val="20"/>
                <w:szCs w:val="20"/>
                <w:lang w:eastAsia="es-MX"/>
              </w:rPr>
            </w:pPr>
            <w:r w:rsidRPr="00F532D5">
              <w:rPr>
                <w:bCs/>
                <w:color w:val="000000"/>
                <w:sz w:val="20"/>
                <w:szCs w:val="20"/>
                <w:lang w:eastAsia="es-MX"/>
              </w:rPr>
              <w:t>0.0</w:t>
            </w:r>
          </w:p>
        </w:tc>
      </w:tr>
      <w:tr w:rsidR="003F310A" w:rsidRPr="00F532D5" w14:paraId="4B20C14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2D0C4F19" w14:textId="39F53DE8" w:rsidR="003F310A" w:rsidRPr="00F532D5" w:rsidRDefault="003F310A" w:rsidP="00DB0E90">
            <w:pPr>
              <w:spacing w:line="360" w:lineRule="auto"/>
              <w:jc w:val="center"/>
              <w:rPr>
                <w:b/>
                <w:bCs/>
                <w:color w:val="000000"/>
                <w:sz w:val="20"/>
                <w:szCs w:val="20"/>
                <w:lang w:eastAsia="es-MX"/>
              </w:rPr>
            </w:pPr>
            <w:r w:rsidRPr="00F532D5">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14:paraId="4C4340FB" w14:textId="433CE87A" w:rsidR="003F310A" w:rsidRPr="00F532D5" w:rsidRDefault="003F310A" w:rsidP="00E4753D">
            <w:pPr>
              <w:spacing w:line="360" w:lineRule="auto"/>
              <w:jc w:val="right"/>
              <w:rPr>
                <w:bCs/>
                <w:color w:val="000000"/>
                <w:sz w:val="20"/>
                <w:szCs w:val="20"/>
                <w:lang w:eastAsia="es-MX"/>
              </w:rPr>
            </w:pPr>
            <w:r w:rsidRPr="00F532D5">
              <w:rPr>
                <w:bCs/>
                <w:color w:val="000000"/>
                <w:sz w:val="20"/>
                <w:szCs w:val="20"/>
                <w:lang w:eastAsia="es-MX"/>
              </w:rPr>
              <w:t>0.0</w:t>
            </w:r>
          </w:p>
        </w:tc>
      </w:tr>
      <w:tr w:rsidR="008C37F3" w:rsidRPr="00F532D5" w14:paraId="673253B7"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9755E47" w14:textId="794C9AD3" w:rsidR="008C37F3" w:rsidRPr="00F532D5" w:rsidRDefault="008C37F3" w:rsidP="009407AB">
            <w:pPr>
              <w:spacing w:line="360" w:lineRule="auto"/>
              <w:jc w:val="center"/>
              <w:rPr>
                <w:b/>
                <w:bCs/>
                <w:color w:val="000000"/>
                <w:sz w:val="20"/>
                <w:szCs w:val="20"/>
                <w:lang w:eastAsia="es-MX"/>
              </w:rPr>
            </w:pPr>
            <w:r w:rsidRPr="00F532D5">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14:paraId="36AEB3BE" w14:textId="301647FA" w:rsidR="008C37F3" w:rsidRPr="00F532D5" w:rsidRDefault="008C37F3" w:rsidP="00E4753D">
            <w:pPr>
              <w:spacing w:line="360" w:lineRule="auto"/>
              <w:jc w:val="right"/>
              <w:rPr>
                <w:bCs/>
                <w:color w:val="000000"/>
                <w:sz w:val="20"/>
                <w:szCs w:val="20"/>
                <w:lang w:eastAsia="es-MX"/>
              </w:rPr>
            </w:pPr>
            <w:r w:rsidRPr="00F532D5">
              <w:rPr>
                <w:bCs/>
                <w:color w:val="000000"/>
                <w:sz w:val="20"/>
                <w:szCs w:val="20"/>
                <w:lang w:eastAsia="es-MX"/>
              </w:rPr>
              <w:t>0.0</w:t>
            </w:r>
          </w:p>
        </w:tc>
      </w:tr>
      <w:tr w:rsidR="00E4753D" w:rsidRPr="00F532D5" w14:paraId="26DFF71A" w14:textId="77777777" w:rsidTr="009407AB">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9C51A02" w14:textId="77777777" w:rsidR="00E4753D" w:rsidRPr="00F532D5" w:rsidRDefault="00E4753D" w:rsidP="009407AB">
            <w:pPr>
              <w:spacing w:line="360" w:lineRule="auto"/>
              <w:jc w:val="center"/>
              <w:rPr>
                <w:b/>
                <w:bCs/>
                <w:color w:val="000000"/>
                <w:sz w:val="20"/>
                <w:szCs w:val="20"/>
                <w:lang w:eastAsia="es-MX"/>
              </w:rPr>
            </w:pPr>
            <w:r w:rsidRPr="00F532D5">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59838DB3" w14:textId="77777777" w:rsidR="00E4753D" w:rsidRPr="00F532D5" w:rsidRDefault="00E4753D" w:rsidP="00E4753D">
            <w:pPr>
              <w:spacing w:line="360" w:lineRule="auto"/>
              <w:jc w:val="right"/>
              <w:rPr>
                <w:b/>
                <w:bCs/>
                <w:color w:val="000000"/>
                <w:sz w:val="20"/>
                <w:szCs w:val="20"/>
                <w:lang w:eastAsia="es-MX"/>
              </w:rPr>
            </w:pPr>
            <w:r w:rsidRPr="00F532D5">
              <w:rPr>
                <w:b/>
                <w:bCs/>
                <w:color w:val="000000"/>
                <w:sz w:val="20"/>
                <w:szCs w:val="20"/>
                <w:lang w:eastAsia="es-MX"/>
              </w:rPr>
              <w:t>150.0</w:t>
            </w:r>
          </w:p>
        </w:tc>
      </w:tr>
    </w:tbl>
    <w:p w14:paraId="4D3E99B5" w14:textId="16D5D061" w:rsidR="001431C4" w:rsidRPr="00032945" w:rsidRDefault="001431C4" w:rsidP="001431C4">
      <w:pPr>
        <w:spacing w:line="360" w:lineRule="auto"/>
        <w:jc w:val="center"/>
        <w:rPr>
          <w:rFonts w:ascii="Arial" w:hAnsi="Arial" w:cs="Arial"/>
          <w:b/>
          <w:sz w:val="16"/>
        </w:rPr>
      </w:pPr>
      <w:r w:rsidRPr="00903E74">
        <w:rPr>
          <w:rFonts w:ascii="Arial" w:hAnsi="Arial" w:cs="Arial"/>
          <w:b/>
          <w:sz w:val="16"/>
        </w:rPr>
        <w:t xml:space="preserve">* Cifras al Cierre del mes de </w:t>
      </w:r>
      <w:r w:rsidR="00246656">
        <w:rPr>
          <w:rFonts w:ascii="Arial" w:hAnsi="Arial" w:cs="Arial"/>
          <w:b/>
          <w:sz w:val="16"/>
        </w:rPr>
        <w:t>septiem</w:t>
      </w:r>
      <w:r w:rsidR="00937A59">
        <w:rPr>
          <w:rFonts w:ascii="Arial" w:hAnsi="Arial" w:cs="Arial"/>
          <w:b/>
          <w:sz w:val="16"/>
        </w:rPr>
        <w:t>bre</w:t>
      </w:r>
      <w:r w:rsidRPr="00903E74">
        <w:rPr>
          <w:rFonts w:ascii="Arial" w:hAnsi="Arial" w:cs="Arial"/>
          <w:b/>
          <w:sz w:val="16"/>
        </w:rPr>
        <w:t xml:space="preserve"> de 20</w:t>
      </w:r>
      <w:r w:rsidR="008C37F3">
        <w:rPr>
          <w:rFonts w:ascii="Arial" w:hAnsi="Arial" w:cs="Arial"/>
          <w:b/>
          <w:sz w:val="16"/>
        </w:rPr>
        <w:t>20</w:t>
      </w:r>
      <w:r w:rsidRPr="00903E74">
        <w:rPr>
          <w:rFonts w:ascii="Arial" w:hAnsi="Arial" w:cs="Arial"/>
          <w:b/>
          <w:sz w:val="16"/>
        </w:rPr>
        <w:t>.</w:t>
      </w:r>
    </w:p>
    <w:p w14:paraId="5AA00EAA" w14:textId="77777777" w:rsidR="00B87D72" w:rsidRDefault="00B87D72" w:rsidP="00491CE4">
      <w:pPr>
        <w:spacing w:line="360" w:lineRule="auto"/>
        <w:jc w:val="both"/>
        <w:rPr>
          <w:rFonts w:ascii="Arial" w:hAnsi="Arial" w:cs="Arial"/>
          <w:b/>
        </w:rPr>
      </w:pPr>
    </w:p>
    <w:p w14:paraId="1A703987" w14:textId="087808D5" w:rsidR="006A0440" w:rsidRDefault="00A83F52" w:rsidP="00491CE4">
      <w:pPr>
        <w:spacing w:line="360" w:lineRule="auto"/>
        <w:jc w:val="both"/>
        <w:rPr>
          <w:rFonts w:ascii="Arial" w:hAnsi="Arial" w:cs="Arial"/>
          <w:b/>
        </w:rPr>
      </w:pPr>
      <w:r>
        <w:rPr>
          <w:rFonts w:ascii="Arial" w:hAnsi="Arial" w:cs="Arial"/>
          <w:b/>
          <w:noProof/>
          <w:lang w:val="es-MX" w:eastAsia="es-MX"/>
        </w:rPr>
        <w:drawing>
          <wp:inline distT="0" distB="0" distL="0" distR="0" wp14:anchorId="4E8A111A" wp14:editId="734DD430">
            <wp:extent cx="4831374" cy="24765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86266" cy="2504637"/>
                    </a:xfrm>
                    <a:prstGeom prst="rect">
                      <a:avLst/>
                    </a:prstGeom>
                    <a:noFill/>
                  </pic:spPr>
                </pic:pic>
              </a:graphicData>
            </a:graphic>
          </wp:inline>
        </w:drawing>
      </w:r>
    </w:p>
    <w:p w14:paraId="123A1109" w14:textId="77777777" w:rsidR="007F2448" w:rsidRPr="00C50BE2" w:rsidRDefault="007F2448" w:rsidP="00C50BE2">
      <w:pPr>
        <w:spacing w:line="360" w:lineRule="auto"/>
        <w:jc w:val="both"/>
        <w:rPr>
          <w:b/>
          <w:sz w:val="20"/>
          <w:szCs w:val="20"/>
        </w:rPr>
      </w:pPr>
      <w:r w:rsidRPr="00C50BE2">
        <w:rPr>
          <w:b/>
          <w:sz w:val="20"/>
          <w:szCs w:val="20"/>
        </w:rPr>
        <w:lastRenderedPageBreak/>
        <w:t>CONCLUSIÓN</w:t>
      </w:r>
    </w:p>
    <w:p w14:paraId="58AC37A5" w14:textId="77777777" w:rsidR="007F2448" w:rsidRPr="00F532D5" w:rsidRDefault="007F2448" w:rsidP="007F2448">
      <w:pPr>
        <w:spacing w:line="360" w:lineRule="auto"/>
        <w:ind w:left="-11"/>
        <w:jc w:val="both"/>
        <w:rPr>
          <w:sz w:val="20"/>
          <w:szCs w:val="20"/>
        </w:rPr>
      </w:pPr>
    </w:p>
    <w:p w14:paraId="71C9F6FF" w14:textId="77777777" w:rsidR="007E0976" w:rsidRPr="00F532D5" w:rsidRDefault="007E0976" w:rsidP="004A5FFD">
      <w:pPr>
        <w:spacing w:line="360" w:lineRule="auto"/>
        <w:ind w:left="-11"/>
        <w:jc w:val="both"/>
        <w:rPr>
          <w:sz w:val="20"/>
          <w:szCs w:val="20"/>
        </w:rPr>
      </w:pPr>
      <w:r w:rsidRPr="00F532D5">
        <w:rPr>
          <w:sz w:val="20"/>
          <w:szCs w:val="20"/>
        </w:rPr>
        <w:t xml:space="preserve">Siendo México un país de constantes cambios y de crecientes necesidades, es trascendental implementar los mecanismos y emprender las acciones que coadyuven a solventar las demandas de la población. La ampliación de la base de contribuyentes, la ejecución de acciones para recuperar créditos fiscales, la modernización de los sistemas de recaudación, así como la orientación de la política fiscal a la obtención de objetivos prioritarios para el Estado, son los puntos centrales para cumplir con los objetivos establecidos en el Plan Estatal de Desarrollo 2017-2021. </w:t>
      </w:r>
    </w:p>
    <w:p w14:paraId="613BB9D8" w14:textId="77777777" w:rsidR="007E0976" w:rsidRPr="00F532D5" w:rsidRDefault="007E0976" w:rsidP="004A5FFD">
      <w:pPr>
        <w:spacing w:line="360" w:lineRule="auto"/>
        <w:ind w:left="-11"/>
        <w:jc w:val="both"/>
        <w:rPr>
          <w:sz w:val="20"/>
          <w:szCs w:val="20"/>
        </w:rPr>
      </w:pPr>
    </w:p>
    <w:p w14:paraId="2BE342B4" w14:textId="274D9CD5" w:rsidR="007E0976" w:rsidRPr="00F532D5" w:rsidRDefault="007E0976" w:rsidP="004A5FFD">
      <w:pPr>
        <w:spacing w:line="360" w:lineRule="auto"/>
        <w:ind w:left="-11"/>
        <w:jc w:val="both"/>
        <w:rPr>
          <w:sz w:val="20"/>
          <w:szCs w:val="20"/>
        </w:rPr>
      </w:pPr>
      <w:r w:rsidRPr="00F532D5">
        <w:rPr>
          <w:sz w:val="20"/>
          <w:szCs w:val="20"/>
        </w:rPr>
        <w:t>Estos objetivos, están orientados al fortalecimiento y consolidación de las fuentes de ingresos de origen fiscal, a través de la obtención de mayores recursos con base en un impulso recaudatorio real, que estimule la inversión productiva y el empleo formal. Asimismo, el Sistema Nacional de Coordinación Fiscal será un instrumento de gran relevancia para allegarnos de recursos vía Participaciones Federales</w:t>
      </w:r>
      <w:r w:rsidR="00875FCB" w:rsidRPr="00F532D5">
        <w:rPr>
          <w:sz w:val="20"/>
          <w:szCs w:val="20"/>
        </w:rPr>
        <w:t xml:space="preserve"> e</w:t>
      </w:r>
      <w:r w:rsidRPr="00F532D5">
        <w:rPr>
          <w:sz w:val="20"/>
          <w:szCs w:val="20"/>
        </w:rPr>
        <w:t xml:space="preserve"> Incentivos derivados de la </w:t>
      </w:r>
      <w:r w:rsidR="00875FCB" w:rsidRPr="00F532D5">
        <w:rPr>
          <w:sz w:val="20"/>
          <w:szCs w:val="20"/>
        </w:rPr>
        <w:t>C</w:t>
      </w:r>
      <w:r w:rsidRPr="00F532D5">
        <w:rPr>
          <w:sz w:val="20"/>
          <w:szCs w:val="20"/>
        </w:rPr>
        <w:t xml:space="preserve">olaboración </w:t>
      </w:r>
      <w:r w:rsidR="00875FCB" w:rsidRPr="00F532D5">
        <w:rPr>
          <w:sz w:val="20"/>
          <w:szCs w:val="20"/>
        </w:rPr>
        <w:t>F</w:t>
      </w:r>
      <w:r w:rsidRPr="00F532D5">
        <w:rPr>
          <w:sz w:val="20"/>
          <w:szCs w:val="20"/>
        </w:rPr>
        <w:t>iscal.</w:t>
      </w:r>
    </w:p>
    <w:p w14:paraId="7FE6E2F4" w14:textId="77777777" w:rsidR="008C37F3" w:rsidRPr="00F532D5" w:rsidRDefault="008C37F3" w:rsidP="004A5FFD">
      <w:pPr>
        <w:spacing w:line="360" w:lineRule="auto"/>
        <w:ind w:left="-11"/>
        <w:jc w:val="both"/>
        <w:rPr>
          <w:sz w:val="20"/>
          <w:szCs w:val="20"/>
        </w:rPr>
      </w:pPr>
    </w:p>
    <w:p w14:paraId="5C7D51E6" w14:textId="38CD05FE" w:rsidR="00AA4EDF" w:rsidRPr="00F532D5" w:rsidRDefault="00E97433" w:rsidP="004A5FFD">
      <w:pPr>
        <w:spacing w:line="360" w:lineRule="auto"/>
        <w:ind w:left="-11"/>
        <w:jc w:val="both"/>
        <w:rPr>
          <w:sz w:val="20"/>
          <w:szCs w:val="20"/>
        </w:rPr>
      </w:pPr>
      <w:r w:rsidRPr="00F532D5">
        <w:rPr>
          <w:sz w:val="20"/>
          <w:szCs w:val="20"/>
        </w:rPr>
        <w:t xml:space="preserve">La política de ingresos del Estado, contribuirá a </w:t>
      </w:r>
      <w:r w:rsidR="00875FCB" w:rsidRPr="00F532D5">
        <w:rPr>
          <w:sz w:val="20"/>
          <w:szCs w:val="20"/>
        </w:rPr>
        <w:t xml:space="preserve">reactivar la economía y a </w:t>
      </w:r>
      <w:r w:rsidRPr="00F532D5">
        <w:rPr>
          <w:sz w:val="20"/>
          <w:szCs w:val="20"/>
        </w:rPr>
        <w:t xml:space="preserve">mantener un Balance Presupuestario Sostenible con </w:t>
      </w:r>
      <w:r w:rsidR="008C37F3" w:rsidRPr="00F532D5">
        <w:rPr>
          <w:sz w:val="20"/>
          <w:szCs w:val="20"/>
        </w:rPr>
        <w:t xml:space="preserve">una </w:t>
      </w:r>
      <w:r w:rsidRPr="00F532D5">
        <w:rPr>
          <w:sz w:val="20"/>
          <w:szCs w:val="20"/>
        </w:rPr>
        <w:t>recaudación que soporte el financiamiento del gasto público. En el ejercicio fiscal 20</w:t>
      </w:r>
      <w:r w:rsidR="008C37F3" w:rsidRPr="00F532D5">
        <w:rPr>
          <w:sz w:val="20"/>
          <w:szCs w:val="20"/>
        </w:rPr>
        <w:t>21</w:t>
      </w:r>
      <w:r w:rsidRPr="00F532D5">
        <w:rPr>
          <w:sz w:val="20"/>
          <w:szCs w:val="20"/>
        </w:rPr>
        <w:t xml:space="preserve"> los esfuerzos de planeación, programación y presupuestación de los ingresos públicos se orientarán hacia los resultados siguientes:</w:t>
      </w:r>
    </w:p>
    <w:p w14:paraId="6C779C7D" w14:textId="77777777" w:rsidR="00E97433" w:rsidRPr="00F532D5" w:rsidRDefault="00E97433" w:rsidP="004A5FFD">
      <w:pPr>
        <w:spacing w:line="360" w:lineRule="auto"/>
        <w:ind w:left="-11"/>
        <w:jc w:val="both"/>
        <w:rPr>
          <w:sz w:val="20"/>
          <w:szCs w:val="20"/>
        </w:rPr>
      </w:pPr>
    </w:p>
    <w:p w14:paraId="17FD7596" w14:textId="1C1C81B1" w:rsidR="00E97433" w:rsidRPr="00F532D5" w:rsidRDefault="00875FCB" w:rsidP="00800CF7">
      <w:pPr>
        <w:pStyle w:val="Prrafodelista"/>
        <w:numPr>
          <w:ilvl w:val="0"/>
          <w:numId w:val="16"/>
        </w:numPr>
        <w:spacing w:line="360" w:lineRule="auto"/>
        <w:jc w:val="both"/>
        <w:rPr>
          <w:sz w:val="20"/>
          <w:szCs w:val="20"/>
        </w:rPr>
      </w:pPr>
      <w:r w:rsidRPr="00F532D5">
        <w:rPr>
          <w:sz w:val="20"/>
          <w:szCs w:val="20"/>
        </w:rPr>
        <w:t>En materia Tributaria, promover el cumplimiento voluntario y ampliar la base de contribuyentes en todas sus modalidades e incrementar los niveles de recaudación de ingresos propios</w:t>
      </w:r>
      <w:r w:rsidR="00E97433" w:rsidRPr="00F532D5">
        <w:rPr>
          <w:sz w:val="20"/>
          <w:szCs w:val="20"/>
        </w:rPr>
        <w:t>;</w:t>
      </w:r>
    </w:p>
    <w:p w14:paraId="5C6F7E96" w14:textId="77777777" w:rsidR="00E97433" w:rsidRPr="00F532D5" w:rsidRDefault="00E97433" w:rsidP="00E97433">
      <w:pPr>
        <w:pStyle w:val="Prrafodelista"/>
        <w:spacing w:line="360" w:lineRule="auto"/>
        <w:ind w:left="379"/>
        <w:jc w:val="both"/>
        <w:rPr>
          <w:sz w:val="20"/>
          <w:szCs w:val="20"/>
        </w:rPr>
      </w:pPr>
    </w:p>
    <w:p w14:paraId="2974A6C0" w14:textId="592FB411" w:rsidR="00E97433" w:rsidRPr="00F532D5" w:rsidRDefault="00875FCB" w:rsidP="00800CF7">
      <w:pPr>
        <w:pStyle w:val="Prrafodelista"/>
        <w:numPr>
          <w:ilvl w:val="0"/>
          <w:numId w:val="16"/>
        </w:numPr>
        <w:spacing w:line="360" w:lineRule="auto"/>
        <w:jc w:val="both"/>
        <w:rPr>
          <w:sz w:val="20"/>
          <w:szCs w:val="20"/>
        </w:rPr>
      </w:pPr>
      <w:r w:rsidRPr="00F532D5">
        <w:rPr>
          <w:sz w:val="20"/>
          <w:szCs w:val="20"/>
        </w:rPr>
        <w:t>En materia de Fiscalización, detectar y combatir la evasión, elusión y defraudación fiscal de los diversos sectores económicos del Estado, cumplir con las metas establecidas en los Programas de Fiscalización Concurrente y de Fiscalización de Impuestos Estatales</w:t>
      </w:r>
      <w:r w:rsidR="000B70CA" w:rsidRPr="00F532D5">
        <w:rPr>
          <w:sz w:val="20"/>
          <w:szCs w:val="20"/>
        </w:rPr>
        <w:t xml:space="preserve"> y</w:t>
      </w:r>
      <w:r w:rsidRPr="00F532D5">
        <w:rPr>
          <w:sz w:val="20"/>
          <w:szCs w:val="20"/>
        </w:rPr>
        <w:t xml:space="preserve"> modernizar la función fiscalizadora en el Estado a través de la profesionalización del personal</w:t>
      </w:r>
      <w:r w:rsidR="00E97433" w:rsidRPr="00F532D5">
        <w:rPr>
          <w:sz w:val="20"/>
          <w:szCs w:val="20"/>
        </w:rPr>
        <w:t>;</w:t>
      </w:r>
    </w:p>
    <w:p w14:paraId="0FE860AE" w14:textId="77777777" w:rsidR="00E97433" w:rsidRPr="00F532D5" w:rsidRDefault="00E97433" w:rsidP="00E97433">
      <w:pPr>
        <w:pStyle w:val="Prrafodelista"/>
        <w:rPr>
          <w:sz w:val="20"/>
          <w:szCs w:val="20"/>
        </w:rPr>
      </w:pPr>
    </w:p>
    <w:p w14:paraId="33F59DC1" w14:textId="66E1DBAF" w:rsidR="00E97433" w:rsidRPr="00F532D5" w:rsidRDefault="000B70CA" w:rsidP="00800CF7">
      <w:pPr>
        <w:pStyle w:val="Prrafodelista"/>
        <w:numPr>
          <w:ilvl w:val="0"/>
          <w:numId w:val="16"/>
        </w:numPr>
        <w:spacing w:line="360" w:lineRule="auto"/>
        <w:jc w:val="both"/>
        <w:rPr>
          <w:sz w:val="20"/>
          <w:szCs w:val="20"/>
        </w:rPr>
      </w:pPr>
      <w:r w:rsidRPr="00F532D5">
        <w:rPr>
          <w:sz w:val="20"/>
          <w:szCs w:val="20"/>
        </w:rPr>
        <w:t xml:space="preserve">En materia de Coordinación Fiscal, procurar mejores niveles en la percepción de Participaciones Federales, a través del análisis de las variables de asignación, proveer de mayores potestades tributarias a los Municipios, fortalecer los </w:t>
      </w:r>
      <w:r w:rsidR="0020741B" w:rsidRPr="00F532D5">
        <w:rPr>
          <w:sz w:val="20"/>
          <w:szCs w:val="20"/>
        </w:rPr>
        <w:t>canales</w:t>
      </w:r>
      <w:r w:rsidRPr="00F532D5">
        <w:rPr>
          <w:sz w:val="20"/>
          <w:szCs w:val="20"/>
        </w:rPr>
        <w:t xml:space="preserve"> de información entre los Municipios y el Estado</w:t>
      </w:r>
      <w:r w:rsidR="0020741B" w:rsidRPr="00F532D5">
        <w:rPr>
          <w:sz w:val="20"/>
          <w:szCs w:val="20"/>
        </w:rPr>
        <w:t>,</w:t>
      </w:r>
      <w:r w:rsidRPr="00F532D5">
        <w:rPr>
          <w:sz w:val="20"/>
          <w:szCs w:val="20"/>
        </w:rPr>
        <w:t xml:space="preserve"> a fin de </w:t>
      </w:r>
      <w:r w:rsidR="0020741B" w:rsidRPr="00F532D5">
        <w:rPr>
          <w:sz w:val="20"/>
          <w:szCs w:val="20"/>
        </w:rPr>
        <w:t xml:space="preserve">poseer información confiable </w:t>
      </w:r>
      <w:r w:rsidRPr="00F532D5">
        <w:rPr>
          <w:sz w:val="20"/>
          <w:szCs w:val="20"/>
        </w:rPr>
        <w:t xml:space="preserve">para la determinación de los </w:t>
      </w:r>
      <w:r w:rsidR="0020741B" w:rsidRPr="00F532D5">
        <w:rPr>
          <w:sz w:val="20"/>
          <w:szCs w:val="20"/>
        </w:rPr>
        <w:t>coeficientes de participaciones.</w:t>
      </w:r>
    </w:p>
    <w:p w14:paraId="3BD43D74" w14:textId="77777777" w:rsidR="004033AE" w:rsidRPr="00F532D5" w:rsidRDefault="004033AE" w:rsidP="004033AE">
      <w:pPr>
        <w:spacing w:line="360" w:lineRule="auto"/>
        <w:ind w:left="-11"/>
        <w:jc w:val="both"/>
        <w:rPr>
          <w:sz w:val="20"/>
          <w:szCs w:val="20"/>
        </w:rPr>
      </w:pPr>
    </w:p>
    <w:p w14:paraId="4EBBCEA7" w14:textId="739FC03C" w:rsidR="00AA4EDF" w:rsidRPr="00F532D5" w:rsidRDefault="0020741B" w:rsidP="004033AE">
      <w:pPr>
        <w:spacing w:line="360" w:lineRule="auto"/>
        <w:ind w:left="-11"/>
        <w:jc w:val="both"/>
        <w:rPr>
          <w:sz w:val="20"/>
          <w:szCs w:val="20"/>
        </w:rPr>
      </w:pPr>
      <w:r w:rsidRPr="00F532D5">
        <w:rPr>
          <w:sz w:val="20"/>
          <w:szCs w:val="20"/>
        </w:rPr>
        <w:t>Es por</w:t>
      </w:r>
      <w:r w:rsidR="00AA4EDF" w:rsidRPr="00F532D5">
        <w:rPr>
          <w:sz w:val="20"/>
          <w:szCs w:val="20"/>
        </w:rPr>
        <w:t xml:space="preserve"> ello</w:t>
      </w:r>
      <w:r w:rsidRPr="00F532D5">
        <w:rPr>
          <w:sz w:val="20"/>
          <w:szCs w:val="20"/>
        </w:rPr>
        <w:t xml:space="preserve"> que</w:t>
      </w:r>
      <w:r w:rsidR="00AA4EDF" w:rsidRPr="00F532D5">
        <w:rPr>
          <w:sz w:val="20"/>
          <w:szCs w:val="20"/>
        </w:rPr>
        <w:t xml:space="preserve"> las acciones de </w:t>
      </w:r>
      <w:r w:rsidR="007F0C9E" w:rsidRPr="00F532D5">
        <w:rPr>
          <w:sz w:val="20"/>
          <w:szCs w:val="20"/>
        </w:rPr>
        <w:t xml:space="preserve">Gobierno </w:t>
      </w:r>
      <w:r w:rsidR="00AA4EDF" w:rsidRPr="00F532D5">
        <w:rPr>
          <w:sz w:val="20"/>
          <w:szCs w:val="20"/>
        </w:rPr>
        <w:t>en est</w:t>
      </w:r>
      <w:r w:rsidRPr="00F532D5">
        <w:rPr>
          <w:sz w:val="20"/>
          <w:szCs w:val="20"/>
        </w:rPr>
        <w:t>os</w:t>
      </w:r>
      <w:r w:rsidR="00AA4EDF" w:rsidRPr="00F532D5">
        <w:rPr>
          <w:sz w:val="20"/>
          <w:szCs w:val="20"/>
        </w:rPr>
        <w:t xml:space="preserve"> ámbito</w:t>
      </w:r>
      <w:r w:rsidRPr="00F532D5">
        <w:rPr>
          <w:sz w:val="20"/>
          <w:szCs w:val="20"/>
        </w:rPr>
        <w:t>s</w:t>
      </w:r>
      <w:r w:rsidR="00AA4EDF" w:rsidRPr="00F532D5">
        <w:rPr>
          <w:sz w:val="20"/>
          <w:szCs w:val="20"/>
        </w:rPr>
        <w:t xml:space="preserve">, forman parte de una estrategia integral que considera como punto de partida, la realidad económica del </w:t>
      </w:r>
      <w:r w:rsidR="007F0C9E" w:rsidRPr="00F532D5">
        <w:rPr>
          <w:sz w:val="20"/>
          <w:szCs w:val="20"/>
        </w:rPr>
        <w:t>Estado</w:t>
      </w:r>
      <w:r w:rsidR="00AA4EDF" w:rsidRPr="00F532D5">
        <w:rPr>
          <w:sz w:val="20"/>
          <w:szCs w:val="20"/>
        </w:rPr>
        <w:t>, sus fortalezas y los retos a enfrentar en los próximos años para garantizar un mejoramiento en la vida de todos los tlaxcaltecas.</w:t>
      </w:r>
    </w:p>
    <w:p w14:paraId="7DB5C22A" w14:textId="77777777" w:rsidR="00735B67" w:rsidRPr="00F532D5" w:rsidRDefault="00735B67" w:rsidP="004A5FFD">
      <w:pPr>
        <w:spacing w:line="360" w:lineRule="auto"/>
        <w:ind w:left="-11"/>
        <w:jc w:val="both"/>
        <w:rPr>
          <w:sz w:val="20"/>
          <w:szCs w:val="20"/>
        </w:rPr>
      </w:pPr>
    </w:p>
    <w:p w14:paraId="4C1A1560" w14:textId="08DEE87B" w:rsidR="00735B67" w:rsidRPr="00F532D5" w:rsidRDefault="00B8618D" w:rsidP="004A5FFD">
      <w:pPr>
        <w:spacing w:line="360" w:lineRule="auto"/>
        <w:ind w:left="-11"/>
        <w:jc w:val="both"/>
        <w:rPr>
          <w:sz w:val="20"/>
          <w:szCs w:val="20"/>
        </w:rPr>
      </w:pPr>
      <w:r w:rsidRPr="00F532D5">
        <w:rPr>
          <w:sz w:val="20"/>
          <w:szCs w:val="20"/>
        </w:rPr>
        <w:t>La Iniciativa de Ley de Ingresos del Estado de Tlaxcala para el Ejercicio Fiscal 20</w:t>
      </w:r>
      <w:r w:rsidR="00B86B5D" w:rsidRPr="00F532D5">
        <w:rPr>
          <w:sz w:val="20"/>
          <w:szCs w:val="20"/>
        </w:rPr>
        <w:t>2</w:t>
      </w:r>
      <w:r w:rsidR="00F56779" w:rsidRPr="00F532D5">
        <w:rPr>
          <w:sz w:val="20"/>
          <w:szCs w:val="20"/>
        </w:rPr>
        <w:t>1</w:t>
      </w:r>
      <w:r w:rsidRPr="00F532D5">
        <w:rPr>
          <w:sz w:val="20"/>
          <w:szCs w:val="20"/>
        </w:rPr>
        <w:t>, considera un pronóstico de ingresos prudente, observando la evolución de las finanzas estatales y de los posibles riesgos que pudieran modificar las metas planteadas, así como las medidas para contener dichos riesgos</w:t>
      </w:r>
      <w:r w:rsidR="00FB0F08" w:rsidRPr="00F532D5">
        <w:rPr>
          <w:sz w:val="20"/>
          <w:szCs w:val="20"/>
        </w:rPr>
        <w:t>; es por ello</w:t>
      </w:r>
      <w:r w:rsidRPr="00F532D5">
        <w:rPr>
          <w:sz w:val="20"/>
          <w:szCs w:val="20"/>
        </w:rPr>
        <w:t xml:space="preserve"> que esta </w:t>
      </w:r>
      <w:r w:rsidR="0050219A" w:rsidRPr="00F532D5">
        <w:rPr>
          <w:sz w:val="20"/>
          <w:szCs w:val="20"/>
        </w:rPr>
        <w:t>a</w:t>
      </w:r>
      <w:r w:rsidRPr="00F532D5">
        <w:rPr>
          <w:sz w:val="20"/>
          <w:szCs w:val="20"/>
        </w:rPr>
        <w:t>dministración</w:t>
      </w:r>
      <w:r w:rsidR="00FB0F08" w:rsidRPr="00F532D5">
        <w:rPr>
          <w:sz w:val="20"/>
          <w:szCs w:val="20"/>
        </w:rPr>
        <w:t>,</w:t>
      </w:r>
      <w:r w:rsidRPr="00F532D5">
        <w:rPr>
          <w:sz w:val="20"/>
          <w:szCs w:val="20"/>
        </w:rPr>
        <w:t xml:space="preserve">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246BE7" w:rsidRPr="00F532D5">
        <w:rPr>
          <w:sz w:val="20"/>
          <w:szCs w:val="20"/>
        </w:rPr>
        <w:t>l</w:t>
      </w:r>
      <w:r w:rsidR="00E77CE2" w:rsidRPr="00F532D5">
        <w:rPr>
          <w:sz w:val="20"/>
          <w:szCs w:val="20"/>
        </w:rPr>
        <w:t>os</w:t>
      </w:r>
      <w:r w:rsidR="00246BE7" w:rsidRPr="00F532D5">
        <w:rPr>
          <w:sz w:val="20"/>
          <w:szCs w:val="20"/>
        </w:rPr>
        <w:t xml:space="preserve"> </w:t>
      </w:r>
      <w:r w:rsidR="00E77CE2" w:rsidRPr="00F532D5">
        <w:rPr>
          <w:sz w:val="20"/>
          <w:szCs w:val="20"/>
        </w:rPr>
        <w:t>Criterios Generales de Política Económica para la Iniciativa de Ley de Ingresos y el Proyecto de Presupuesto de Egresos de la Federación correspondientes al Ejercicio Fiscal 202</w:t>
      </w:r>
      <w:r w:rsidR="008578A2" w:rsidRPr="00F532D5">
        <w:rPr>
          <w:sz w:val="20"/>
          <w:szCs w:val="20"/>
        </w:rPr>
        <w:t>1</w:t>
      </w:r>
      <w:r w:rsidR="00E77CE2" w:rsidRPr="00F532D5">
        <w:rPr>
          <w:sz w:val="20"/>
          <w:szCs w:val="20"/>
        </w:rPr>
        <w:t>, del Plan Estatal de Desarrollo 2017-2021 y del Código Financiero para el Estado de Tlaxcala y sus Municipios.</w:t>
      </w:r>
    </w:p>
    <w:p w14:paraId="6506394D" w14:textId="2AFE9978" w:rsidR="00B8618D" w:rsidRPr="00F532D5" w:rsidRDefault="00B8618D" w:rsidP="004A5FFD">
      <w:pPr>
        <w:spacing w:line="360" w:lineRule="auto"/>
        <w:ind w:left="-11"/>
        <w:jc w:val="both"/>
        <w:rPr>
          <w:sz w:val="20"/>
          <w:szCs w:val="20"/>
        </w:rPr>
      </w:pPr>
    </w:p>
    <w:p w14:paraId="0CD7024B" w14:textId="3DB14EE8" w:rsidR="00793380" w:rsidRPr="00F532D5" w:rsidRDefault="00793380" w:rsidP="007F2448">
      <w:pPr>
        <w:spacing w:line="360" w:lineRule="auto"/>
        <w:ind w:left="-11"/>
        <w:jc w:val="both"/>
        <w:rPr>
          <w:sz w:val="20"/>
          <w:szCs w:val="20"/>
        </w:rPr>
      </w:pPr>
      <w:r w:rsidRPr="00F532D5">
        <w:rPr>
          <w:sz w:val="20"/>
          <w:szCs w:val="20"/>
        </w:rPr>
        <w:t xml:space="preserve">Por lo </w:t>
      </w:r>
      <w:r w:rsidR="003860C6" w:rsidRPr="00F532D5">
        <w:rPr>
          <w:sz w:val="20"/>
          <w:szCs w:val="20"/>
        </w:rPr>
        <w:t>que</w:t>
      </w:r>
      <w:r w:rsidRPr="00F532D5">
        <w:rPr>
          <w:sz w:val="20"/>
          <w:szCs w:val="20"/>
        </w:rPr>
        <w:t xml:space="preserve">, </w:t>
      </w:r>
      <w:r w:rsidR="008451E2" w:rsidRPr="00F532D5">
        <w:rPr>
          <w:sz w:val="20"/>
          <w:szCs w:val="20"/>
        </w:rPr>
        <w:t>las estrategias</w:t>
      </w:r>
      <w:r w:rsidRPr="00F532D5">
        <w:rPr>
          <w:sz w:val="20"/>
          <w:szCs w:val="20"/>
        </w:rPr>
        <w:t xml:space="preserve"> </w:t>
      </w:r>
      <w:r w:rsidR="003860C6" w:rsidRPr="00F532D5">
        <w:rPr>
          <w:sz w:val="20"/>
          <w:szCs w:val="20"/>
        </w:rPr>
        <w:t>a seguir</w:t>
      </w:r>
      <w:r w:rsidRPr="00F532D5">
        <w:rPr>
          <w:sz w:val="20"/>
          <w:szCs w:val="20"/>
        </w:rPr>
        <w:t xml:space="preserve"> </w:t>
      </w:r>
      <w:r w:rsidR="00E77CE2" w:rsidRPr="00F532D5">
        <w:rPr>
          <w:sz w:val="20"/>
          <w:szCs w:val="20"/>
        </w:rPr>
        <w:t>por el Gobierno del Estado son las siguientes:</w:t>
      </w:r>
    </w:p>
    <w:p w14:paraId="2F7FAE3F" w14:textId="77777777" w:rsidR="004A5FFD" w:rsidRPr="00F532D5" w:rsidRDefault="004A5FFD" w:rsidP="007F2448">
      <w:pPr>
        <w:spacing w:line="360" w:lineRule="auto"/>
        <w:ind w:left="-11"/>
        <w:jc w:val="both"/>
        <w:rPr>
          <w:sz w:val="20"/>
          <w:szCs w:val="20"/>
        </w:rPr>
      </w:pPr>
    </w:p>
    <w:p w14:paraId="1E109DFE" w14:textId="46AF899D" w:rsidR="00793380" w:rsidRPr="00F532D5" w:rsidRDefault="003860C6" w:rsidP="00800CF7">
      <w:pPr>
        <w:pStyle w:val="Prrafodelista"/>
        <w:numPr>
          <w:ilvl w:val="0"/>
          <w:numId w:val="5"/>
        </w:numPr>
        <w:spacing w:line="360" w:lineRule="auto"/>
        <w:jc w:val="both"/>
        <w:rPr>
          <w:sz w:val="20"/>
          <w:szCs w:val="20"/>
        </w:rPr>
      </w:pPr>
      <w:r w:rsidRPr="00F532D5">
        <w:rPr>
          <w:sz w:val="20"/>
          <w:szCs w:val="20"/>
        </w:rPr>
        <w:t>E</w:t>
      </w:r>
      <w:r w:rsidR="00793380" w:rsidRPr="00F532D5">
        <w:rPr>
          <w:sz w:val="20"/>
          <w:szCs w:val="20"/>
        </w:rPr>
        <w:t>ndeudamiento</w:t>
      </w:r>
      <w:r w:rsidRPr="00F532D5">
        <w:rPr>
          <w:sz w:val="20"/>
          <w:szCs w:val="20"/>
        </w:rPr>
        <w:t xml:space="preserve"> Cero</w:t>
      </w:r>
    </w:p>
    <w:p w14:paraId="7E89D2BD" w14:textId="7777777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No creación de nuevos impuestos</w:t>
      </w:r>
    </w:p>
    <w:p w14:paraId="0866A914" w14:textId="64560EB6"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 xml:space="preserve">Finanzas </w:t>
      </w:r>
      <w:r w:rsidR="003860C6" w:rsidRPr="00F532D5">
        <w:rPr>
          <w:sz w:val="20"/>
          <w:szCs w:val="20"/>
        </w:rPr>
        <w:t xml:space="preserve">Estatales </w:t>
      </w:r>
      <w:r w:rsidRPr="00F532D5">
        <w:rPr>
          <w:sz w:val="20"/>
          <w:szCs w:val="20"/>
        </w:rPr>
        <w:t>sanas</w:t>
      </w:r>
    </w:p>
    <w:p w14:paraId="5496C70E" w14:textId="53F4C379" w:rsidR="00F230BD" w:rsidRPr="00F532D5" w:rsidRDefault="00F230BD" w:rsidP="00800CF7">
      <w:pPr>
        <w:pStyle w:val="Prrafodelista"/>
        <w:numPr>
          <w:ilvl w:val="0"/>
          <w:numId w:val="5"/>
        </w:numPr>
        <w:spacing w:line="360" w:lineRule="auto"/>
        <w:jc w:val="both"/>
        <w:rPr>
          <w:sz w:val="20"/>
          <w:szCs w:val="20"/>
        </w:rPr>
      </w:pPr>
      <w:r w:rsidRPr="00F532D5">
        <w:rPr>
          <w:sz w:val="20"/>
          <w:szCs w:val="20"/>
        </w:rPr>
        <w:t>Establecer beneficios fiscales a sectores de la población</w:t>
      </w:r>
    </w:p>
    <w:p w14:paraId="65712706" w14:textId="6564517B"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 xml:space="preserve">Cumplimiento de la </w:t>
      </w:r>
      <w:r w:rsidR="003860C6" w:rsidRPr="00F532D5">
        <w:rPr>
          <w:sz w:val="20"/>
          <w:szCs w:val="20"/>
        </w:rPr>
        <w:t>normatividad emitida por el</w:t>
      </w:r>
      <w:r w:rsidRPr="00F532D5">
        <w:rPr>
          <w:sz w:val="20"/>
          <w:szCs w:val="20"/>
        </w:rPr>
        <w:t xml:space="preserve"> CONAC</w:t>
      </w:r>
    </w:p>
    <w:p w14:paraId="40F30B50" w14:textId="7777777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Cumplimiento de los criterios del IMCO</w:t>
      </w:r>
    </w:p>
    <w:p w14:paraId="4705D8C0" w14:textId="7777777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Transparencia y Rendición de Cuentas</w:t>
      </w:r>
    </w:p>
    <w:p w14:paraId="46590BAD" w14:textId="7777777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Simplificación de procesos y gobierno digital</w:t>
      </w:r>
    </w:p>
    <w:p w14:paraId="6121C217" w14:textId="7777777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Integración del Paquete Económico conforme a lo establecido en la Ley de Disciplina Financiera</w:t>
      </w:r>
    </w:p>
    <w:p w14:paraId="671FC8D1" w14:textId="3BD0D5FE"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 xml:space="preserve">Congruencia </w:t>
      </w:r>
      <w:r w:rsidR="00F230BD" w:rsidRPr="00F532D5">
        <w:rPr>
          <w:sz w:val="20"/>
          <w:szCs w:val="20"/>
        </w:rPr>
        <w:t>en</w:t>
      </w:r>
      <w:r w:rsidRPr="00F532D5">
        <w:rPr>
          <w:sz w:val="20"/>
          <w:szCs w:val="20"/>
        </w:rPr>
        <w:t xml:space="preserve"> los pronósticos de recaudación federal y estatal</w:t>
      </w:r>
    </w:p>
    <w:p w14:paraId="4967D94F" w14:textId="0DEB1E57" w:rsidR="00793380" w:rsidRPr="00F532D5" w:rsidRDefault="00793380" w:rsidP="00800CF7">
      <w:pPr>
        <w:pStyle w:val="Prrafodelista"/>
        <w:numPr>
          <w:ilvl w:val="0"/>
          <w:numId w:val="5"/>
        </w:numPr>
        <w:spacing w:line="360" w:lineRule="auto"/>
        <w:jc w:val="both"/>
        <w:rPr>
          <w:sz w:val="20"/>
          <w:szCs w:val="20"/>
        </w:rPr>
      </w:pPr>
      <w:r w:rsidRPr="00F532D5">
        <w:rPr>
          <w:sz w:val="20"/>
          <w:szCs w:val="20"/>
        </w:rPr>
        <w:t>Riesgos fiscales, evolución y perspectivas económicas</w:t>
      </w:r>
      <w:r w:rsidR="000107BD" w:rsidRPr="00F532D5">
        <w:rPr>
          <w:sz w:val="20"/>
          <w:szCs w:val="20"/>
        </w:rPr>
        <w:t>.</w:t>
      </w:r>
    </w:p>
    <w:p w14:paraId="30088E4E" w14:textId="77777777" w:rsidR="002A6380" w:rsidRPr="00F532D5" w:rsidRDefault="002A6380" w:rsidP="00793380">
      <w:pPr>
        <w:spacing w:line="360" w:lineRule="auto"/>
        <w:ind w:left="-11"/>
        <w:jc w:val="both"/>
        <w:rPr>
          <w:sz w:val="20"/>
          <w:szCs w:val="20"/>
        </w:rPr>
      </w:pPr>
    </w:p>
    <w:p w14:paraId="534821AC" w14:textId="77777777" w:rsidR="00285340" w:rsidRPr="00F532D5" w:rsidRDefault="001446DA" w:rsidP="00793380">
      <w:pPr>
        <w:spacing w:line="360" w:lineRule="auto"/>
        <w:ind w:left="-11"/>
        <w:jc w:val="both"/>
        <w:rPr>
          <w:sz w:val="20"/>
          <w:szCs w:val="20"/>
        </w:rPr>
      </w:pPr>
      <w:r w:rsidRPr="00F532D5">
        <w:rPr>
          <w:sz w:val="20"/>
          <w:szCs w:val="20"/>
        </w:rPr>
        <w:t xml:space="preserve">Con estas medidas, </w:t>
      </w:r>
      <w:r w:rsidR="00793380" w:rsidRPr="00F532D5">
        <w:rPr>
          <w:sz w:val="20"/>
          <w:szCs w:val="20"/>
        </w:rPr>
        <w:t xml:space="preserve">la presente Iniciativa </w:t>
      </w:r>
      <w:r w:rsidR="00285340" w:rsidRPr="00F532D5">
        <w:rPr>
          <w:sz w:val="20"/>
          <w:szCs w:val="20"/>
        </w:rPr>
        <w:t xml:space="preserve">garantiza </w:t>
      </w:r>
      <w:r w:rsidRPr="00F532D5">
        <w:rPr>
          <w:sz w:val="20"/>
          <w:szCs w:val="20"/>
        </w:rPr>
        <w:t xml:space="preserve">que la </w:t>
      </w:r>
      <w:r w:rsidR="00285340" w:rsidRPr="00F532D5">
        <w:rPr>
          <w:sz w:val="20"/>
          <w:szCs w:val="20"/>
        </w:rPr>
        <w:t xml:space="preserve">hacienda </w:t>
      </w:r>
      <w:r w:rsidRPr="00F532D5">
        <w:rPr>
          <w:sz w:val="20"/>
          <w:szCs w:val="20"/>
        </w:rPr>
        <w:t xml:space="preserve">estatal cuente </w:t>
      </w:r>
      <w:r w:rsidR="00285340" w:rsidRPr="00F532D5">
        <w:rPr>
          <w:sz w:val="20"/>
          <w:szCs w:val="20"/>
        </w:rPr>
        <w:t xml:space="preserve">con finanzas sanas; </w:t>
      </w:r>
      <w:r w:rsidRPr="00F532D5">
        <w:rPr>
          <w:sz w:val="20"/>
          <w:szCs w:val="20"/>
        </w:rPr>
        <w:t xml:space="preserve">observando </w:t>
      </w:r>
      <w:r w:rsidR="00285340" w:rsidRPr="00F532D5">
        <w:rPr>
          <w:sz w:val="20"/>
          <w:szCs w:val="20"/>
        </w:rPr>
        <w:t xml:space="preserve">los principios de eficiencia, eficacia, economía, austeridad, honradez y transparencia. </w:t>
      </w:r>
    </w:p>
    <w:p w14:paraId="6D5FAB33" w14:textId="77777777" w:rsidR="003E3C67" w:rsidRPr="00F532D5" w:rsidRDefault="003E3C67" w:rsidP="00793380">
      <w:pPr>
        <w:spacing w:line="360" w:lineRule="auto"/>
        <w:ind w:left="-11"/>
        <w:jc w:val="both"/>
        <w:rPr>
          <w:sz w:val="20"/>
          <w:szCs w:val="20"/>
        </w:rPr>
      </w:pPr>
    </w:p>
    <w:p w14:paraId="794A4F04" w14:textId="7B6CCF4F" w:rsidR="00441FE8" w:rsidRDefault="007159E7" w:rsidP="00036390">
      <w:pPr>
        <w:spacing w:line="360" w:lineRule="auto"/>
        <w:ind w:left="-11"/>
        <w:jc w:val="both"/>
        <w:rPr>
          <w:sz w:val="20"/>
          <w:szCs w:val="20"/>
        </w:rPr>
      </w:pPr>
      <w:r w:rsidRPr="00F532D5">
        <w:rPr>
          <w:sz w:val="20"/>
          <w:szCs w:val="20"/>
        </w:rPr>
        <w:lastRenderedPageBreak/>
        <w:t xml:space="preserve">Por lo antes expuesto y dando cumplimiento a </w:t>
      </w:r>
      <w:r w:rsidR="00285340" w:rsidRPr="00F532D5">
        <w:rPr>
          <w:sz w:val="20"/>
          <w:szCs w:val="20"/>
        </w:rPr>
        <w:t xml:space="preserve">lo establecido </w:t>
      </w:r>
      <w:r w:rsidRPr="00F532D5">
        <w:rPr>
          <w:sz w:val="20"/>
          <w:szCs w:val="20"/>
        </w:rPr>
        <w:t xml:space="preserve">en la Constitución Política del Estado Libre y Soberano de Tlaxcala, me permito someter a consideración de ese Congreso la </w:t>
      </w:r>
      <w:r w:rsidR="00285340" w:rsidRPr="00F532D5">
        <w:rPr>
          <w:sz w:val="20"/>
          <w:szCs w:val="20"/>
        </w:rPr>
        <w:t>Iniciativa de Ley de Ingresos del Estado de Tlaxcala para el Ejercicio Fiscal 20</w:t>
      </w:r>
      <w:r w:rsidR="008C6E3D" w:rsidRPr="00F532D5">
        <w:rPr>
          <w:sz w:val="20"/>
          <w:szCs w:val="20"/>
        </w:rPr>
        <w:t>2</w:t>
      </w:r>
      <w:r w:rsidR="004C414B" w:rsidRPr="00F532D5">
        <w:rPr>
          <w:sz w:val="20"/>
          <w:szCs w:val="20"/>
        </w:rPr>
        <w:t>1</w:t>
      </w:r>
      <w:r w:rsidR="00014202" w:rsidRPr="00F532D5">
        <w:rPr>
          <w:sz w:val="20"/>
          <w:szCs w:val="20"/>
        </w:rPr>
        <w:t>,</w:t>
      </w:r>
      <w:r w:rsidR="004A5FFD" w:rsidRPr="00F532D5">
        <w:rPr>
          <w:sz w:val="20"/>
          <w:szCs w:val="20"/>
        </w:rPr>
        <w:t xml:space="preserve"> que prevé un monto total de ingresos por </w:t>
      </w:r>
      <w:r w:rsidR="004A5FFD" w:rsidRPr="00F532D5">
        <w:rPr>
          <w:b/>
          <w:sz w:val="20"/>
          <w:szCs w:val="20"/>
        </w:rPr>
        <w:t>$</w:t>
      </w:r>
      <w:r w:rsidR="00441FE8" w:rsidRPr="00F532D5">
        <w:rPr>
          <w:b/>
          <w:sz w:val="20"/>
          <w:szCs w:val="20"/>
        </w:rPr>
        <w:t xml:space="preserve"> </w:t>
      </w:r>
      <w:r w:rsidR="004809F3" w:rsidRPr="00F532D5">
        <w:rPr>
          <w:b/>
          <w:sz w:val="20"/>
          <w:szCs w:val="20"/>
        </w:rPr>
        <w:t>2</w:t>
      </w:r>
      <w:r w:rsidR="00ED283C" w:rsidRPr="00F532D5">
        <w:rPr>
          <w:b/>
          <w:sz w:val="20"/>
          <w:szCs w:val="20"/>
        </w:rPr>
        <w:t>0</w:t>
      </w:r>
      <w:r w:rsidR="004809F3" w:rsidRPr="00F532D5">
        <w:rPr>
          <w:b/>
          <w:sz w:val="20"/>
          <w:szCs w:val="20"/>
        </w:rPr>
        <w:t>,</w:t>
      </w:r>
      <w:r w:rsidR="00D45186" w:rsidRPr="00F532D5">
        <w:rPr>
          <w:b/>
          <w:sz w:val="20"/>
          <w:szCs w:val="20"/>
        </w:rPr>
        <w:t>6</w:t>
      </w:r>
      <w:r w:rsidR="005446B4" w:rsidRPr="00F532D5">
        <w:rPr>
          <w:b/>
          <w:sz w:val="20"/>
          <w:szCs w:val="20"/>
        </w:rPr>
        <w:t>67</w:t>
      </w:r>
      <w:r w:rsidR="007D1948" w:rsidRPr="00F532D5">
        <w:rPr>
          <w:b/>
          <w:sz w:val="20"/>
          <w:szCs w:val="20"/>
        </w:rPr>
        <w:t>,</w:t>
      </w:r>
      <w:r w:rsidR="005446B4" w:rsidRPr="00F532D5">
        <w:rPr>
          <w:b/>
          <w:sz w:val="20"/>
          <w:szCs w:val="20"/>
        </w:rPr>
        <w:t>669</w:t>
      </w:r>
      <w:r w:rsidR="004809F3" w:rsidRPr="00F532D5">
        <w:rPr>
          <w:b/>
          <w:sz w:val="20"/>
          <w:szCs w:val="20"/>
        </w:rPr>
        <w:t>,</w:t>
      </w:r>
      <w:r w:rsidR="005446B4" w:rsidRPr="00F532D5">
        <w:rPr>
          <w:b/>
          <w:sz w:val="20"/>
          <w:szCs w:val="20"/>
        </w:rPr>
        <w:t>175</w:t>
      </w:r>
      <w:r w:rsidR="004809F3" w:rsidRPr="00F532D5">
        <w:rPr>
          <w:b/>
          <w:sz w:val="20"/>
          <w:szCs w:val="20"/>
        </w:rPr>
        <w:t>.</w:t>
      </w:r>
      <w:r w:rsidR="00ED283C" w:rsidRPr="00F532D5">
        <w:rPr>
          <w:b/>
          <w:sz w:val="20"/>
          <w:szCs w:val="20"/>
        </w:rPr>
        <w:t>00</w:t>
      </w:r>
      <w:r w:rsidR="00686AC1" w:rsidRPr="00F532D5">
        <w:rPr>
          <w:b/>
          <w:sz w:val="20"/>
          <w:szCs w:val="20"/>
        </w:rPr>
        <w:t xml:space="preserve">, </w:t>
      </w:r>
      <w:r w:rsidR="00686AC1" w:rsidRPr="00F532D5">
        <w:rPr>
          <w:sz w:val="20"/>
          <w:szCs w:val="20"/>
        </w:rPr>
        <w:t>(Veinte mil seiscientos sesenta y siete millones seiscientos sesenta y nueve mil ciento setenta y cinco pesos 00/100 M.N.).</w:t>
      </w:r>
    </w:p>
    <w:p w14:paraId="13CE1A0A" w14:textId="77777777" w:rsidR="00BE1C47" w:rsidRDefault="00BE1C47" w:rsidP="00036390">
      <w:pPr>
        <w:spacing w:line="360" w:lineRule="auto"/>
        <w:ind w:left="-11"/>
        <w:jc w:val="both"/>
        <w:rPr>
          <w:sz w:val="20"/>
          <w:szCs w:val="20"/>
        </w:rPr>
      </w:pPr>
    </w:p>
    <w:p w14:paraId="6B6898E0" w14:textId="77777777" w:rsidR="00560012" w:rsidRDefault="00560012" w:rsidP="00036390">
      <w:pPr>
        <w:spacing w:line="360" w:lineRule="auto"/>
        <w:ind w:left="-11"/>
        <w:jc w:val="both"/>
        <w:rPr>
          <w:sz w:val="20"/>
          <w:szCs w:val="20"/>
        </w:rPr>
      </w:pPr>
    </w:p>
    <w:p w14:paraId="0F131DBD" w14:textId="77777777" w:rsidR="00560012" w:rsidRDefault="00560012" w:rsidP="00800CF7">
      <w:pPr>
        <w:pStyle w:val="Prrafodelista"/>
        <w:numPr>
          <w:ilvl w:val="0"/>
          <w:numId w:val="20"/>
        </w:numPr>
        <w:spacing w:line="360" w:lineRule="auto"/>
        <w:ind w:left="709"/>
        <w:contextualSpacing/>
        <w:rPr>
          <w:b/>
          <w:sz w:val="20"/>
          <w:szCs w:val="20"/>
        </w:rPr>
      </w:pPr>
      <w:r>
        <w:rPr>
          <w:b/>
          <w:sz w:val="20"/>
          <w:szCs w:val="20"/>
        </w:rPr>
        <w:t>EN MATERIA DE EGRESOS</w:t>
      </w:r>
    </w:p>
    <w:p w14:paraId="434C8CC2" w14:textId="77777777" w:rsidR="00560012" w:rsidRPr="00560012" w:rsidRDefault="00560012" w:rsidP="00560012">
      <w:pPr>
        <w:spacing w:line="360" w:lineRule="auto"/>
        <w:contextualSpacing/>
        <w:rPr>
          <w:b/>
          <w:sz w:val="20"/>
          <w:szCs w:val="20"/>
        </w:rPr>
      </w:pPr>
    </w:p>
    <w:p w14:paraId="27CFC26A" w14:textId="77777777" w:rsidR="00687FDF" w:rsidRPr="00955A4C"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t xml:space="preserve">Para el Ejercicio Fiscal 2021 se plantea un Proyecto de Presupuesto de Egresos del Gobierno del Estado balanceado que a pesar de la situación que se está viviendo, planea atender la emergencia sanitaria provocada por la propagación del virus SARS-CoV2 (COVID-19) e impulsará de igual manera a la recuperación de la economía, </w:t>
      </w:r>
      <w:r w:rsidRPr="00955A4C">
        <w:rPr>
          <w:rFonts w:eastAsia="Calibri"/>
          <w:color w:val="000000" w:themeColor="text1"/>
          <w:sz w:val="20"/>
          <w:szCs w:val="20"/>
        </w:rPr>
        <w:t>con apego al Acuerdo que Establece los Lineamientos y Políticas Generales del Ejercicio del Presupuesto, las Medidas de Mejora y Modernización, así como de Austeridad del Gasto Público de la Gestión Administrativa</w:t>
      </w:r>
      <w:r>
        <w:rPr>
          <w:rFonts w:eastAsia="Calibri"/>
          <w:color w:val="000000" w:themeColor="text1"/>
          <w:sz w:val="20"/>
          <w:szCs w:val="20"/>
        </w:rPr>
        <w:t>.</w:t>
      </w:r>
    </w:p>
    <w:p w14:paraId="68622DA7" w14:textId="77777777" w:rsidR="00687FDF" w:rsidRPr="00955A4C" w:rsidRDefault="00687FDF" w:rsidP="00687FDF">
      <w:pPr>
        <w:spacing w:line="360" w:lineRule="auto"/>
        <w:jc w:val="both"/>
        <w:rPr>
          <w:rFonts w:eastAsia="Calibri"/>
          <w:color w:val="000000" w:themeColor="text1"/>
          <w:sz w:val="20"/>
          <w:szCs w:val="20"/>
        </w:rPr>
      </w:pPr>
    </w:p>
    <w:p w14:paraId="197E5502" w14:textId="77777777" w:rsidR="00687FDF"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t xml:space="preserve">Por su parte, el Gobierno Federal con el fin de resolver tanto la emergencia sanitaria como el déficit acumulado en el curso de los años en la materia continuará con el fortalecimiento de los recursos humanos y físicos del sistema de salud, para así potenciar la calidad de vida de la población. </w:t>
      </w:r>
      <w:r w:rsidRPr="00955A4C">
        <w:rPr>
          <w:rFonts w:eastAsia="Calibri"/>
          <w:color w:val="000000" w:themeColor="text1"/>
          <w:sz w:val="20"/>
          <w:szCs w:val="20"/>
        </w:rPr>
        <w:t xml:space="preserve">En este sentido,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 (CGPE) son diferentes al de los años anteriores, y se distinguen por una reflexión más profunda sobre los aspectos económicos y sociales, así como en materia de salud, economía y finanzas del país</w:t>
      </w:r>
      <w:r w:rsidRPr="00955A4C">
        <w:rPr>
          <w:rFonts w:eastAsia="Calibri"/>
          <w:color w:val="000000" w:themeColor="text1"/>
          <w:sz w:val="20"/>
          <w:szCs w:val="20"/>
        </w:rPr>
        <w:t>.</w:t>
      </w:r>
    </w:p>
    <w:p w14:paraId="1E8FF270" w14:textId="77777777" w:rsidR="00687FDF" w:rsidRDefault="00687FDF" w:rsidP="00687FDF">
      <w:pPr>
        <w:spacing w:line="360" w:lineRule="auto"/>
        <w:jc w:val="both"/>
        <w:rPr>
          <w:rFonts w:eastAsia="Calibri"/>
          <w:color w:val="000000" w:themeColor="text1"/>
          <w:sz w:val="20"/>
          <w:szCs w:val="20"/>
        </w:rPr>
      </w:pPr>
    </w:p>
    <w:p w14:paraId="13547BD2" w14:textId="77777777" w:rsidR="00687FDF"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t>Así mismo los CGPE contienen un análisis de los resultados de las políticas implementadas al momento, los retos que quedan por superar y sobre las medidas de política que se proponen para lograrlo.</w:t>
      </w:r>
    </w:p>
    <w:p w14:paraId="2B1EE58E" w14:textId="77777777" w:rsidR="00687FDF" w:rsidRDefault="00687FDF" w:rsidP="00687FDF">
      <w:pPr>
        <w:spacing w:line="360" w:lineRule="auto"/>
        <w:jc w:val="both"/>
        <w:rPr>
          <w:rFonts w:eastAsia="Calibri"/>
          <w:color w:val="000000" w:themeColor="text1"/>
          <w:sz w:val="20"/>
          <w:szCs w:val="20"/>
        </w:rPr>
      </w:pPr>
    </w:p>
    <w:p w14:paraId="5B595040" w14:textId="77777777" w:rsidR="00687FDF"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t>Por ello el Proyecto de Presupuesto de Egresos de la Federación 2021 (PPEF) plantea un aumento real respecto al Presupuesto de Egresos de la Federación 2020 de 9.1% en el ramo de salud y de 5.0% para IMSS e ISSSTE en conjunto.</w:t>
      </w:r>
    </w:p>
    <w:p w14:paraId="0C689506" w14:textId="77777777" w:rsidR="00687FDF" w:rsidRDefault="00687FDF" w:rsidP="00687FDF">
      <w:pPr>
        <w:spacing w:line="360" w:lineRule="auto"/>
        <w:jc w:val="both"/>
        <w:rPr>
          <w:rFonts w:eastAsia="Calibri"/>
          <w:color w:val="000000" w:themeColor="text1"/>
          <w:sz w:val="20"/>
          <w:szCs w:val="20"/>
        </w:rPr>
      </w:pPr>
    </w:p>
    <w:p w14:paraId="2329BEA1" w14:textId="77777777" w:rsidR="00687FDF" w:rsidRDefault="00687FDF" w:rsidP="00687FDF">
      <w:pPr>
        <w:spacing w:line="360" w:lineRule="auto"/>
        <w:jc w:val="both"/>
        <w:rPr>
          <w:sz w:val="20"/>
          <w:szCs w:val="20"/>
        </w:rPr>
      </w:pPr>
      <w:r>
        <w:rPr>
          <w:rFonts w:eastAsia="Calibri"/>
          <w:color w:val="000000" w:themeColor="text1"/>
          <w:sz w:val="20"/>
          <w:szCs w:val="20"/>
        </w:rPr>
        <w:t xml:space="preserve">En la integración del </w:t>
      </w:r>
      <w:r w:rsidRPr="00955A4C">
        <w:rPr>
          <w:sz w:val="20"/>
          <w:szCs w:val="20"/>
        </w:rPr>
        <w:t>Proyecto de</w:t>
      </w:r>
      <w:r>
        <w:rPr>
          <w:sz w:val="20"/>
          <w:szCs w:val="20"/>
        </w:rPr>
        <w:t xml:space="preserve"> Decreto de</w:t>
      </w:r>
      <w:r w:rsidRPr="00955A4C">
        <w:rPr>
          <w:sz w:val="20"/>
          <w:szCs w:val="20"/>
        </w:rPr>
        <w:t xml:space="preserve"> Presupuesto de Egresos de la Federación 202</w:t>
      </w:r>
      <w:r>
        <w:rPr>
          <w:sz w:val="20"/>
          <w:szCs w:val="20"/>
        </w:rPr>
        <w:t xml:space="preserve">1 se prevé una trayectoria descendiente durante el resto de la administración para el balance solicitado hasta </w:t>
      </w:r>
      <w:r>
        <w:rPr>
          <w:sz w:val="20"/>
          <w:szCs w:val="20"/>
        </w:rPr>
        <w:lastRenderedPageBreak/>
        <w:t>regresarlo al equilibrio, de conformidad con el compromiso del Gobierno de México de usar prudentemente el crédito público. La disminución se verá apoyada con la eventual normalización de la actividad económica asociada a la disponibilidad de una vacuna contra el COVID-19, las mejores condiciones en el sector petrolero, el impulso que brindará el T-MEC (Tratado de Libre Comercio) al comercio y la inversión, los beneficios de corto y largo plazo del desarrollo de infraestructura y la profundización del sector financiero, ejemplificada por el crecimiento en el ahorro que se espera genere la reforma de pensiones.</w:t>
      </w:r>
    </w:p>
    <w:p w14:paraId="1382E9DA" w14:textId="77777777" w:rsidR="00687FDF" w:rsidRPr="00955A4C" w:rsidRDefault="00687FDF" w:rsidP="00687FDF">
      <w:pPr>
        <w:spacing w:line="360" w:lineRule="auto"/>
        <w:jc w:val="both"/>
        <w:rPr>
          <w:rFonts w:eastAsia="Calibri"/>
          <w:color w:val="000000" w:themeColor="text1"/>
          <w:sz w:val="20"/>
          <w:szCs w:val="20"/>
        </w:rPr>
      </w:pPr>
    </w:p>
    <w:p w14:paraId="20520EFD" w14:textId="77777777" w:rsidR="00687FDF" w:rsidRPr="00955A4C" w:rsidRDefault="00687FDF" w:rsidP="00687FDF">
      <w:pPr>
        <w:spacing w:line="360" w:lineRule="auto"/>
        <w:ind w:left="-11"/>
        <w:jc w:val="both"/>
        <w:rPr>
          <w:sz w:val="20"/>
          <w:szCs w:val="20"/>
        </w:rPr>
      </w:pPr>
      <w:r w:rsidRPr="00955A4C">
        <w:rPr>
          <w:sz w:val="20"/>
          <w:szCs w:val="20"/>
        </w:rPr>
        <w:t xml:space="preserve">La integración del </w:t>
      </w:r>
      <w:r w:rsidRPr="00096094">
        <w:rPr>
          <w:rFonts w:eastAsia="Calibri"/>
          <w:sz w:val="20"/>
          <w:szCs w:val="20"/>
        </w:rPr>
        <w:t>Proyecto de Decreto de Presupuesto de Egresos del Estado de Tlaxcala para el Ejercicio Fiscal 202</w:t>
      </w:r>
      <w:r>
        <w:rPr>
          <w:rFonts w:eastAsia="Calibri"/>
          <w:sz w:val="20"/>
          <w:szCs w:val="20"/>
        </w:rPr>
        <w:t>1</w:t>
      </w:r>
      <w:r w:rsidRPr="00096094">
        <w:rPr>
          <w:rFonts w:eastAsia="Calibri"/>
          <w:sz w:val="20"/>
          <w:szCs w:val="20"/>
        </w:rPr>
        <w:t xml:space="preserve"> </w:t>
      </w:r>
      <w:r w:rsidRPr="00955A4C">
        <w:rPr>
          <w:sz w:val="20"/>
          <w:szCs w:val="20"/>
        </w:rPr>
        <w:t xml:space="preserve">atiende el principio de equilibrio presupuestal entre los ingresos y egresos, tomando en cuenta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w:t>
      </w:r>
      <w:r w:rsidRPr="00955A4C">
        <w:rPr>
          <w:rFonts w:eastAsia="Calibri"/>
          <w:color w:val="000000" w:themeColor="text1"/>
          <w:sz w:val="20"/>
          <w:szCs w:val="20"/>
        </w:rPr>
        <w:t xml:space="preserve"> (CGPE)</w:t>
      </w:r>
      <w:r w:rsidRPr="00955A4C">
        <w:rPr>
          <w:sz w:val="20"/>
          <w:szCs w:val="20"/>
        </w:rPr>
        <w:t xml:space="preserve"> presentados por el Gobierno </w:t>
      </w:r>
      <w:r>
        <w:rPr>
          <w:sz w:val="20"/>
          <w:szCs w:val="20"/>
        </w:rPr>
        <w:t>Federal</w:t>
      </w:r>
      <w:r w:rsidRPr="00955A4C">
        <w:rPr>
          <w:sz w:val="20"/>
          <w:szCs w:val="20"/>
        </w:rPr>
        <w:t xml:space="preserve">, los cuales prevén un crecimiento real </w:t>
      </w:r>
      <w:r w:rsidRPr="00955A4C">
        <w:rPr>
          <w:rFonts w:eastAsia="Calibri"/>
          <w:color w:val="000000" w:themeColor="text1"/>
          <w:sz w:val="20"/>
          <w:szCs w:val="20"/>
        </w:rPr>
        <w:t>anual del PIB en 202</w:t>
      </w:r>
      <w:r>
        <w:rPr>
          <w:rFonts w:eastAsia="Calibri"/>
          <w:color w:val="000000" w:themeColor="text1"/>
          <w:sz w:val="20"/>
          <w:szCs w:val="20"/>
        </w:rPr>
        <w:t>1</w:t>
      </w:r>
      <w:r w:rsidRPr="00955A4C">
        <w:rPr>
          <w:rFonts w:eastAsia="Calibri"/>
          <w:color w:val="000000" w:themeColor="text1"/>
          <w:sz w:val="20"/>
          <w:szCs w:val="20"/>
        </w:rPr>
        <w:t xml:space="preserve"> de</w:t>
      </w:r>
      <w:r>
        <w:rPr>
          <w:rFonts w:eastAsia="Calibri"/>
          <w:color w:val="000000" w:themeColor="text1"/>
          <w:sz w:val="20"/>
          <w:szCs w:val="20"/>
        </w:rPr>
        <w:t>l</w:t>
      </w:r>
      <w:r w:rsidRPr="00955A4C">
        <w:rPr>
          <w:rFonts w:eastAsia="Calibri"/>
          <w:color w:val="000000" w:themeColor="text1"/>
          <w:sz w:val="20"/>
          <w:szCs w:val="20"/>
        </w:rPr>
        <w:t xml:space="preserve"> </w:t>
      </w:r>
      <w:r>
        <w:rPr>
          <w:rFonts w:eastAsia="Calibri"/>
          <w:color w:val="000000" w:themeColor="text1"/>
          <w:sz w:val="20"/>
          <w:szCs w:val="20"/>
        </w:rPr>
        <w:t>4.6</w:t>
      </w:r>
      <w:r w:rsidRPr="00955A4C">
        <w:rPr>
          <w:rFonts w:eastAsia="Calibri"/>
          <w:color w:val="000000" w:themeColor="text1"/>
          <w:sz w:val="20"/>
          <w:szCs w:val="20"/>
        </w:rPr>
        <w:t>%.</w:t>
      </w:r>
    </w:p>
    <w:p w14:paraId="0715BBA2" w14:textId="77777777" w:rsidR="00687FDF" w:rsidRPr="00955A4C" w:rsidRDefault="00687FDF" w:rsidP="00687FDF">
      <w:pPr>
        <w:spacing w:line="360" w:lineRule="auto"/>
        <w:ind w:left="-11"/>
        <w:jc w:val="both"/>
        <w:rPr>
          <w:sz w:val="20"/>
          <w:szCs w:val="20"/>
        </w:rPr>
      </w:pPr>
    </w:p>
    <w:p w14:paraId="67CBE069" w14:textId="77777777" w:rsidR="00687FDF" w:rsidRPr="00955A4C" w:rsidRDefault="00687FDF" w:rsidP="00687FDF">
      <w:pPr>
        <w:spacing w:line="360" w:lineRule="auto"/>
        <w:ind w:left="-11"/>
        <w:jc w:val="both"/>
        <w:rPr>
          <w:sz w:val="20"/>
          <w:szCs w:val="20"/>
        </w:rPr>
      </w:pPr>
      <w:r w:rsidRPr="00955A4C">
        <w:rPr>
          <w:sz w:val="20"/>
          <w:szCs w:val="20"/>
        </w:rPr>
        <w:t xml:space="preserve">En apego a lo que establece la Ley General de Contabilidad Gubernamental, la Ley Federal de Presupuesto y Responsabilidad Hacendaria, la Ley de Coordinación Fiscal, </w:t>
      </w:r>
      <w:r>
        <w:rPr>
          <w:sz w:val="20"/>
          <w:szCs w:val="20"/>
        </w:rPr>
        <w:t xml:space="preserve">la </w:t>
      </w:r>
      <w:r w:rsidRPr="007E2244">
        <w:rPr>
          <w:sz w:val="20"/>
          <w:szCs w:val="20"/>
        </w:rPr>
        <w:t>Ley Federal de Transparencia y Acceso a la Información Pública</w:t>
      </w:r>
      <w:r w:rsidRPr="00955A4C">
        <w:rPr>
          <w:sz w:val="20"/>
          <w:szCs w:val="20"/>
        </w:rPr>
        <w:t>, la Ley de Disciplina Financiera de las Entidades Federativas y los Municipios, así como las políticas públicas establecidas</w:t>
      </w:r>
      <w:r>
        <w:rPr>
          <w:sz w:val="20"/>
          <w:szCs w:val="20"/>
        </w:rPr>
        <w:t xml:space="preserve">, </w:t>
      </w:r>
      <w:r w:rsidRPr="00955A4C">
        <w:rPr>
          <w:sz w:val="20"/>
          <w:szCs w:val="20"/>
        </w:rPr>
        <w:t xml:space="preserve">se elaboró el Proyecto </w:t>
      </w:r>
      <w:r>
        <w:rPr>
          <w:sz w:val="20"/>
          <w:szCs w:val="20"/>
        </w:rPr>
        <w:t xml:space="preserve">de Decreto </w:t>
      </w:r>
      <w:r w:rsidRPr="00955A4C">
        <w:rPr>
          <w:sz w:val="20"/>
          <w:szCs w:val="20"/>
        </w:rPr>
        <w:t>de Presupuesto de Egresos</w:t>
      </w:r>
      <w:r>
        <w:rPr>
          <w:sz w:val="20"/>
          <w:szCs w:val="20"/>
        </w:rPr>
        <w:t xml:space="preserve"> de Estado de Tlaxcala</w:t>
      </w:r>
      <w:r w:rsidRPr="00955A4C">
        <w:rPr>
          <w:sz w:val="20"/>
          <w:szCs w:val="20"/>
        </w:rPr>
        <w:t xml:space="preserve"> 202</w:t>
      </w:r>
      <w:r>
        <w:rPr>
          <w:sz w:val="20"/>
          <w:szCs w:val="20"/>
        </w:rPr>
        <w:t>1</w:t>
      </w:r>
      <w:r w:rsidRPr="00955A4C">
        <w:rPr>
          <w:sz w:val="20"/>
          <w:szCs w:val="20"/>
        </w:rPr>
        <w:t>, mediante el modelo de Presupuesto basado en Resultados (PbR) y el Sistema de Evaluación del Desempeño (SED)</w:t>
      </w:r>
      <w:r>
        <w:rPr>
          <w:sz w:val="20"/>
          <w:szCs w:val="20"/>
        </w:rPr>
        <w:t xml:space="preserve">, </w:t>
      </w:r>
      <w:r w:rsidRPr="00955A4C">
        <w:rPr>
          <w:sz w:val="20"/>
          <w:szCs w:val="20"/>
        </w:rPr>
        <w:t>que permitirá en el corto y mediano plazo mejorar la ejecución de los programas y proyectos, a fin de mejorar los productos y servicios públicos en beneficio de la población.</w:t>
      </w:r>
    </w:p>
    <w:p w14:paraId="136CFC95" w14:textId="77777777" w:rsidR="00687FDF" w:rsidRPr="00955A4C" w:rsidRDefault="00687FDF" w:rsidP="00687FDF">
      <w:pPr>
        <w:spacing w:line="360" w:lineRule="auto"/>
        <w:ind w:left="-11"/>
        <w:jc w:val="both"/>
        <w:rPr>
          <w:sz w:val="20"/>
          <w:szCs w:val="20"/>
        </w:rPr>
      </w:pPr>
    </w:p>
    <w:p w14:paraId="57228AD6" w14:textId="77777777" w:rsidR="00687FDF" w:rsidRDefault="00687FDF" w:rsidP="00687FDF">
      <w:pPr>
        <w:spacing w:line="360" w:lineRule="auto"/>
        <w:ind w:left="-11"/>
        <w:jc w:val="both"/>
        <w:rPr>
          <w:sz w:val="20"/>
          <w:szCs w:val="20"/>
        </w:rPr>
      </w:pPr>
      <w:r w:rsidRPr="00955A4C">
        <w:rPr>
          <w:sz w:val="20"/>
          <w:szCs w:val="20"/>
        </w:rPr>
        <w:t xml:space="preserve">El Proyecto </w:t>
      </w:r>
      <w:r>
        <w:rPr>
          <w:sz w:val="20"/>
          <w:szCs w:val="20"/>
        </w:rPr>
        <w:t xml:space="preserve">de Decreto </w:t>
      </w:r>
      <w:r w:rsidRPr="00955A4C">
        <w:rPr>
          <w:sz w:val="20"/>
          <w:szCs w:val="20"/>
        </w:rPr>
        <w:t>de Presupuesto de Egresos</w:t>
      </w:r>
      <w:r>
        <w:rPr>
          <w:sz w:val="20"/>
          <w:szCs w:val="20"/>
        </w:rPr>
        <w:t xml:space="preserve"> del Estado de Tlaxcala</w:t>
      </w:r>
      <w:r w:rsidRPr="00955A4C">
        <w:rPr>
          <w:sz w:val="20"/>
          <w:szCs w:val="20"/>
        </w:rPr>
        <w:t xml:space="preserve"> </w:t>
      </w:r>
      <w:r>
        <w:rPr>
          <w:sz w:val="20"/>
          <w:szCs w:val="20"/>
        </w:rPr>
        <w:t xml:space="preserve">para el Ejercicio Fiscal </w:t>
      </w:r>
      <w:r w:rsidRPr="00955A4C">
        <w:rPr>
          <w:sz w:val="20"/>
          <w:szCs w:val="20"/>
        </w:rPr>
        <w:t>2</w:t>
      </w:r>
      <w:r>
        <w:rPr>
          <w:sz w:val="20"/>
          <w:szCs w:val="20"/>
        </w:rPr>
        <w:t xml:space="preserve">021 </w:t>
      </w:r>
      <w:r w:rsidRPr="00955A4C">
        <w:rPr>
          <w:sz w:val="20"/>
          <w:szCs w:val="20"/>
        </w:rPr>
        <w:t>que se somete a la consideración de esta Legislatu</w:t>
      </w:r>
      <w:r>
        <w:rPr>
          <w:sz w:val="20"/>
          <w:szCs w:val="20"/>
        </w:rPr>
        <w:t xml:space="preserve">ra, se estructura de acuerdo a la Clasificación Administrativa, Clasificación Funcional del Gasto, Clasificación Programática, Clasificador por Tipo de Gasto, </w:t>
      </w:r>
      <w:r w:rsidRPr="00955A4C">
        <w:rPr>
          <w:sz w:val="20"/>
          <w:szCs w:val="20"/>
        </w:rPr>
        <w:t>Clasificador por Objeto del Gasto</w:t>
      </w:r>
      <w:r>
        <w:rPr>
          <w:sz w:val="20"/>
          <w:szCs w:val="20"/>
        </w:rPr>
        <w:t xml:space="preserve"> y Clasificador por Fuentes de Financiamiento,</w:t>
      </w:r>
      <w:r w:rsidRPr="00955A4C">
        <w:rPr>
          <w:sz w:val="20"/>
          <w:szCs w:val="20"/>
        </w:rPr>
        <w:t xml:space="preserve"> y en la norma para armonizar la presentación de la información adicional del Proyecto del Presupuesto de Egresos, aprobados por el Consejo Nacional de Armonización Contable (CONAC); por otra parte, y a efecto de dar cumplimiento a lo preceptuado en la Ley de Disciplina Financiera de las Entidades Federativas y los Municipios, se incluyen como anexos los formatos de información presupuestal, pensiones y de personal establecidos en el artículo 5 de esa Ley.</w:t>
      </w:r>
    </w:p>
    <w:p w14:paraId="6335221C" w14:textId="77777777" w:rsidR="00687FDF" w:rsidRDefault="00687FDF" w:rsidP="00687FDF">
      <w:pPr>
        <w:spacing w:line="360" w:lineRule="auto"/>
        <w:ind w:left="-11"/>
        <w:jc w:val="both"/>
        <w:rPr>
          <w:sz w:val="20"/>
          <w:szCs w:val="20"/>
        </w:rPr>
      </w:pPr>
    </w:p>
    <w:p w14:paraId="086A7B5F" w14:textId="77777777" w:rsidR="00687FDF" w:rsidRPr="00955A4C" w:rsidRDefault="00687FDF" w:rsidP="00687FDF">
      <w:pPr>
        <w:spacing w:line="360" w:lineRule="auto"/>
        <w:ind w:left="-11"/>
        <w:jc w:val="both"/>
        <w:rPr>
          <w:sz w:val="20"/>
          <w:szCs w:val="20"/>
        </w:rPr>
      </w:pPr>
      <w:r>
        <w:rPr>
          <w:sz w:val="20"/>
          <w:szCs w:val="20"/>
        </w:rPr>
        <w:lastRenderedPageBreak/>
        <w:t>Ahora bien, en este Proyecto de Decreto de Presupuesto de Egresos del Estado de Tlaxcala para el Ejercicio Fiscal 2021 destacan los objetivos de política pública siguientes: ampliar y fortalecer las capacidades del sistema de salud, particularmente los servicios orientados a la atención de los grupos más vulnerables, estimando que en 2021 continuará la reactivación iniciada en el segundo semestre de 2020, a medida que las unidades económicas se adapten al nuevo entorno y que la contención de la enfermedad generada por el virus SARS-CoV2 (COVID-19) en México y en el exterior, permita la disminución paulatina de las medidas de confinamiento y, por tanto, una mayor utilización de la capacidad productiva instalada.</w:t>
      </w:r>
    </w:p>
    <w:p w14:paraId="780B8DE7" w14:textId="77777777" w:rsidR="00687FDF" w:rsidRPr="00955A4C" w:rsidRDefault="00687FDF" w:rsidP="00687FDF">
      <w:pPr>
        <w:spacing w:line="360" w:lineRule="auto"/>
        <w:ind w:left="-11"/>
        <w:jc w:val="both"/>
        <w:rPr>
          <w:sz w:val="20"/>
          <w:szCs w:val="20"/>
        </w:rPr>
      </w:pPr>
    </w:p>
    <w:p w14:paraId="6E4FBF11" w14:textId="77777777" w:rsidR="00687FDF" w:rsidRPr="00955A4C" w:rsidRDefault="00687FDF" w:rsidP="00687FDF">
      <w:pPr>
        <w:spacing w:line="360" w:lineRule="auto"/>
        <w:ind w:left="-11"/>
        <w:jc w:val="both"/>
        <w:rPr>
          <w:sz w:val="20"/>
          <w:szCs w:val="20"/>
        </w:rPr>
      </w:pPr>
      <w:r>
        <w:rPr>
          <w:sz w:val="20"/>
          <w:szCs w:val="20"/>
        </w:rPr>
        <w:t>No dejando atrás</w:t>
      </w:r>
      <w:r w:rsidRPr="00955A4C">
        <w:rPr>
          <w:sz w:val="20"/>
          <w:szCs w:val="20"/>
        </w:rPr>
        <w:t xml:space="preserve">  </w:t>
      </w:r>
      <w:r>
        <w:rPr>
          <w:sz w:val="20"/>
          <w:szCs w:val="20"/>
        </w:rPr>
        <w:t xml:space="preserve">que las </w:t>
      </w:r>
      <w:r w:rsidRPr="00955A4C">
        <w:rPr>
          <w:sz w:val="20"/>
          <w:szCs w:val="20"/>
        </w:rPr>
        <w:t>estrategia</w:t>
      </w:r>
      <w:r>
        <w:rPr>
          <w:sz w:val="20"/>
          <w:szCs w:val="20"/>
        </w:rPr>
        <w:t>s de la Administración Pública Estatal están</w:t>
      </w:r>
      <w:r w:rsidRPr="00955A4C">
        <w:rPr>
          <w:sz w:val="20"/>
          <w:szCs w:val="20"/>
        </w:rPr>
        <w:t xml:space="preserve"> basada</w:t>
      </w:r>
      <w:r>
        <w:rPr>
          <w:sz w:val="20"/>
          <w:szCs w:val="20"/>
        </w:rPr>
        <w:t>s</w:t>
      </w:r>
      <w:r w:rsidRPr="00955A4C">
        <w:rPr>
          <w:sz w:val="20"/>
          <w:szCs w:val="20"/>
        </w:rPr>
        <w:t xml:space="preserve"> en un gasto racional y austero</w:t>
      </w:r>
      <w:r>
        <w:rPr>
          <w:sz w:val="20"/>
          <w:szCs w:val="20"/>
        </w:rPr>
        <w:t xml:space="preserve"> en las dependencias y entidades</w:t>
      </w:r>
      <w:r w:rsidRPr="00955A4C">
        <w:rPr>
          <w:sz w:val="20"/>
          <w:szCs w:val="20"/>
        </w:rPr>
        <w:t xml:space="preserve">, </w:t>
      </w:r>
      <w:r>
        <w:rPr>
          <w:sz w:val="20"/>
          <w:szCs w:val="20"/>
        </w:rPr>
        <w:t>se deberá</w:t>
      </w:r>
      <w:r w:rsidRPr="00955A4C">
        <w:rPr>
          <w:sz w:val="20"/>
          <w:szCs w:val="20"/>
        </w:rPr>
        <w:t xml:space="preserve"> propic</w:t>
      </w:r>
      <w:r>
        <w:rPr>
          <w:sz w:val="20"/>
          <w:szCs w:val="20"/>
        </w:rPr>
        <w:t>iar</w:t>
      </w:r>
      <w:r w:rsidRPr="00955A4C">
        <w:rPr>
          <w:sz w:val="20"/>
          <w:szCs w:val="20"/>
        </w:rPr>
        <w:t xml:space="preserve"> en sus estructuras la eficiente y eficaz prestación de los servicios proporcio</w:t>
      </w:r>
      <w:r>
        <w:rPr>
          <w:sz w:val="20"/>
          <w:szCs w:val="20"/>
        </w:rPr>
        <w:t>nados a la sociedad.</w:t>
      </w:r>
    </w:p>
    <w:p w14:paraId="0461DB9A" w14:textId="77777777" w:rsidR="00687FDF" w:rsidRPr="00955A4C" w:rsidRDefault="00687FDF" w:rsidP="00687FDF">
      <w:pPr>
        <w:spacing w:line="360" w:lineRule="auto"/>
        <w:ind w:left="-11"/>
        <w:jc w:val="both"/>
        <w:rPr>
          <w:sz w:val="20"/>
          <w:szCs w:val="20"/>
        </w:rPr>
      </w:pPr>
    </w:p>
    <w:p w14:paraId="39325021" w14:textId="77777777" w:rsidR="00687FDF" w:rsidRPr="004C5AB3" w:rsidRDefault="00687FDF" w:rsidP="00687FDF">
      <w:pPr>
        <w:spacing w:line="360" w:lineRule="auto"/>
        <w:jc w:val="both"/>
        <w:rPr>
          <w:color w:val="000000" w:themeColor="text1"/>
          <w:sz w:val="20"/>
          <w:szCs w:val="20"/>
        </w:rPr>
      </w:pPr>
      <w:r w:rsidRPr="004C5AB3">
        <w:rPr>
          <w:color w:val="000000" w:themeColor="text1"/>
          <w:sz w:val="20"/>
          <w:szCs w:val="20"/>
        </w:rPr>
        <w:t xml:space="preserve">El presente </w:t>
      </w:r>
      <w:r w:rsidRPr="004C5AB3">
        <w:rPr>
          <w:rFonts w:eastAsia="Calibri"/>
          <w:color w:val="000000" w:themeColor="text1"/>
          <w:sz w:val="20"/>
          <w:szCs w:val="20"/>
        </w:rPr>
        <w:t>Proyecto de Decreto de Presupuesto de Egresos del Estado de Tlaxcala para el Ejercicio Fiscal 2021</w:t>
      </w:r>
      <w:r w:rsidRPr="004C5AB3">
        <w:rPr>
          <w:color w:val="000000" w:themeColor="text1"/>
          <w:sz w:val="20"/>
          <w:szCs w:val="20"/>
        </w:rPr>
        <w:t>, busca con acciones concretas multiplicar y sumar esfuerzos para disminuir la pobreza y desigualdad, al proporcionar mejores productos y servicios públicos de salud, educación y vivienda, seguridad social, alimentación y seguridad pública, para elevar la calidad de vida de la población.</w:t>
      </w:r>
    </w:p>
    <w:p w14:paraId="5A38C9C5" w14:textId="77777777" w:rsidR="00687FDF" w:rsidRPr="00955A4C" w:rsidRDefault="00687FDF" w:rsidP="00687FDF">
      <w:pPr>
        <w:spacing w:line="360" w:lineRule="auto"/>
        <w:jc w:val="both"/>
        <w:rPr>
          <w:rFonts w:eastAsia="Calibri"/>
          <w:color w:val="000000" w:themeColor="text1"/>
          <w:sz w:val="20"/>
          <w:szCs w:val="20"/>
        </w:rPr>
      </w:pPr>
    </w:p>
    <w:p w14:paraId="4FA164DB" w14:textId="77777777" w:rsidR="00687FDF" w:rsidRPr="00955A4C" w:rsidRDefault="00687FDF" w:rsidP="00687FDF">
      <w:pPr>
        <w:spacing w:line="360" w:lineRule="auto"/>
        <w:jc w:val="both"/>
        <w:rPr>
          <w:rFonts w:eastAsia="Calibri"/>
          <w:b/>
          <w:color w:val="000000" w:themeColor="text1"/>
          <w:sz w:val="20"/>
          <w:szCs w:val="20"/>
        </w:rPr>
      </w:pPr>
      <w:r w:rsidRPr="00955A4C">
        <w:rPr>
          <w:rFonts w:eastAsia="Calibri"/>
          <w:b/>
          <w:color w:val="000000" w:themeColor="text1"/>
          <w:sz w:val="20"/>
          <w:szCs w:val="20"/>
        </w:rPr>
        <w:t>ENTORNO INTERNACIONAL</w:t>
      </w:r>
    </w:p>
    <w:p w14:paraId="7DA6FAAC" w14:textId="77777777" w:rsidR="00687FDF" w:rsidRPr="00955A4C" w:rsidRDefault="00687FDF" w:rsidP="00687FDF">
      <w:pPr>
        <w:spacing w:line="360" w:lineRule="auto"/>
        <w:jc w:val="both"/>
        <w:rPr>
          <w:iCs/>
          <w:color w:val="000000" w:themeColor="text1"/>
          <w:sz w:val="20"/>
          <w:szCs w:val="20"/>
        </w:rPr>
      </w:pPr>
    </w:p>
    <w:p w14:paraId="09EBA5E1" w14:textId="77777777" w:rsidR="00687FDF" w:rsidRDefault="00687FDF" w:rsidP="00687FDF">
      <w:pPr>
        <w:spacing w:line="360" w:lineRule="auto"/>
        <w:jc w:val="both"/>
        <w:rPr>
          <w:iCs/>
          <w:color w:val="000000" w:themeColor="text1"/>
          <w:sz w:val="20"/>
          <w:szCs w:val="20"/>
        </w:rPr>
      </w:pPr>
      <w:r w:rsidRPr="00955A4C">
        <w:rPr>
          <w:iCs/>
          <w:color w:val="000000" w:themeColor="text1"/>
          <w:sz w:val="20"/>
          <w:szCs w:val="20"/>
        </w:rPr>
        <w:t>De acuerdo con el Fondo Monetario Internacional (FMI), el crecimiento mundial</w:t>
      </w:r>
      <w:r>
        <w:rPr>
          <w:iCs/>
          <w:color w:val="000000" w:themeColor="text1"/>
          <w:sz w:val="20"/>
          <w:szCs w:val="20"/>
        </w:rPr>
        <w:t xml:space="preserve"> para 2020 está proyectado en -4.9%, lo anterior en su reporte de Perspectivas Económicas de Junio, la pandemia de COVID-19 ha tenido un impacto más negativo que lo previsto en el primer semestre de 2020 y la recuperación será más gradual de lo que se había pronosticado. En 2021 el crecimiento está proyectado en 5.2%. Se proyecta que el consumo se fortalezca poco a poco, sin embargo estos pronósticos están teñidos de incertidumbre, como por ejemplo: </w:t>
      </w:r>
    </w:p>
    <w:p w14:paraId="033529D9" w14:textId="77777777" w:rsidR="00687FDF" w:rsidRDefault="00687FDF" w:rsidP="00687FDF">
      <w:pPr>
        <w:spacing w:line="360" w:lineRule="auto"/>
        <w:jc w:val="both"/>
        <w:rPr>
          <w:iCs/>
          <w:color w:val="000000" w:themeColor="text1"/>
          <w:sz w:val="20"/>
          <w:szCs w:val="20"/>
        </w:rPr>
      </w:pPr>
    </w:p>
    <w:p w14:paraId="304752ED" w14:textId="77777777" w:rsidR="00687FDF" w:rsidRDefault="00687FDF" w:rsidP="00800CF7">
      <w:pPr>
        <w:pStyle w:val="Prrafodelista"/>
        <w:numPr>
          <w:ilvl w:val="0"/>
          <w:numId w:val="29"/>
        </w:numPr>
        <w:spacing w:line="360" w:lineRule="auto"/>
        <w:jc w:val="both"/>
        <w:rPr>
          <w:iCs/>
          <w:color w:val="000000" w:themeColor="text1"/>
          <w:sz w:val="20"/>
          <w:szCs w:val="20"/>
        </w:rPr>
      </w:pPr>
      <w:r>
        <w:rPr>
          <w:iCs/>
          <w:color w:val="000000" w:themeColor="text1"/>
          <w:sz w:val="20"/>
          <w:szCs w:val="20"/>
        </w:rPr>
        <w:t>La duración de la pandemia y los confinamientos necesarios.</w:t>
      </w:r>
    </w:p>
    <w:p w14:paraId="3B450BB0" w14:textId="77777777" w:rsidR="00687FDF" w:rsidRDefault="00687FDF" w:rsidP="00800CF7">
      <w:pPr>
        <w:pStyle w:val="Prrafodelista"/>
        <w:numPr>
          <w:ilvl w:val="0"/>
          <w:numId w:val="29"/>
        </w:numPr>
        <w:spacing w:line="360" w:lineRule="auto"/>
        <w:jc w:val="both"/>
        <w:rPr>
          <w:iCs/>
          <w:color w:val="000000" w:themeColor="text1"/>
          <w:sz w:val="20"/>
          <w:szCs w:val="20"/>
        </w:rPr>
      </w:pPr>
      <w:r>
        <w:rPr>
          <w:iCs/>
          <w:color w:val="000000" w:themeColor="text1"/>
          <w:sz w:val="20"/>
          <w:szCs w:val="20"/>
        </w:rPr>
        <w:t>El distanciamiento social voluntario, que afectará al gasto.</w:t>
      </w:r>
    </w:p>
    <w:p w14:paraId="62DE449D" w14:textId="77777777" w:rsidR="00687FDF" w:rsidRDefault="00687FDF" w:rsidP="00800CF7">
      <w:pPr>
        <w:pStyle w:val="Prrafodelista"/>
        <w:numPr>
          <w:ilvl w:val="0"/>
          <w:numId w:val="29"/>
        </w:numPr>
        <w:spacing w:line="360" w:lineRule="auto"/>
        <w:jc w:val="both"/>
        <w:rPr>
          <w:iCs/>
          <w:color w:val="000000" w:themeColor="text1"/>
          <w:sz w:val="20"/>
          <w:szCs w:val="20"/>
        </w:rPr>
      </w:pPr>
      <w:r>
        <w:rPr>
          <w:iCs/>
          <w:color w:val="000000" w:themeColor="text1"/>
          <w:sz w:val="20"/>
          <w:szCs w:val="20"/>
        </w:rPr>
        <w:t>La capacidad de los trabajadores desplazados para obtener empleo en sectores posiblemente diferentes.</w:t>
      </w:r>
    </w:p>
    <w:p w14:paraId="03FB2789" w14:textId="77777777" w:rsidR="00687FDF" w:rsidRDefault="00687FDF" w:rsidP="00800CF7">
      <w:pPr>
        <w:pStyle w:val="Prrafodelista"/>
        <w:numPr>
          <w:ilvl w:val="0"/>
          <w:numId w:val="29"/>
        </w:numPr>
        <w:spacing w:line="360" w:lineRule="auto"/>
        <w:jc w:val="both"/>
        <w:rPr>
          <w:iCs/>
          <w:color w:val="000000" w:themeColor="text1"/>
          <w:sz w:val="20"/>
          <w:szCs w:val="20"/>
        </w:rPr>
      </w:pPr>
      <w:r>
        <w:rPr>
          <w:iCs/>
          <w:color w:val="000000" w:themeColor="text1"/>
          <w:sz w:val="20"/>
          <w:szCs w:val="20"/>
        </w:rPr>
        <w:t>La cicatrización causada por los cierres de empresas y la salida de trabajadores de la fuerza. laboral, que podrían dificultar la recuperación de la actividad una vez superada la pandemia.</w:t>
      </w:r>
    </w:p>
    <w:p w14:paraId="552866D8" w14:textId="77777777" w:rsidR="00687FDF" w:rsidRDefault="00687FDF" w:rsidP="00800CF7">
      <w:pPr>
        <w:pStyle w:val="Prrafodelista"/>
        <w:numPr>
          <w:ilvl w:val="0"/>
          <w:numId w:val="29"/>
        </w:numPr>
        <w:spacing w:line="360" w:lineRule="auto"/>
        <w:jc w:val="both"/>
        <w:rPr>
          <w:iCs/>
          <w:color w:val="000000" w:themeColor="text1"/>
          <w:sz w:val="20"/>
          <w:szCs w:val="20"/>
        </w:rPr>
      </w:pPr>
      <w:r>
        <w:rPr>
          <w:iCs/>
          <w:color w:val="000000" w:themeColor="text1"/>
          <w:sz w:val="20"/>
          <w:szCs w:val="20"/>
        </w:rPr>
        <w:t>El impacto de los cambios incorporados a la seguridad en los lugares de trabajo.</w:t>
      </w:r>
    </w:p>
    <w:p w14:paraId="09FE4F87" w14:textId="77777777" w:rsidR="00687FDF" w:rsidRDefault="00687FDF" w:rsidP="00687FDF">
      <w:pPr>
        <w:spacing w:line="360" w:lineRule="auto"/>
        <w:jc w:val="both"/>
        <w:rPr>
          <w:iCs/>
          <w:color w:val="000000" w:themeColor="text1"/>
          <w:sz w:val="20"/>
          <w:szCs w:val="20"/>
        </w:rPr>
      </w:pPr>
    </w:p>
    <w:p w14:paraId="7C3DA676" w14:textId="77777777" w:rsidR="00687FDF" w:rsidRDefault="00687FDF" w:rsidP="00687FDF">
      <w:pPr>
        <w:spacing w:line="360" w:lineRule="auto"/>
        <w:jc w:val="both"/>
        <w:rPr>
          <w:iCs/>
          <w:color w:val="000000" w:themeColor="text1"/>
          <w:sz w:val="20"/>
          <w:szCs w:val="20"/>
        </w:rPr>
      </w:pPr>
      <w:r w:rsidRPr="00CE7E17">
        <w:rPr>
          <w:iCs/>
          <w:color w:val="000000" w:themeColor="text1"/>
          <w:sz w:val="20"/>
          <w:szCs w:val="20"/>
        </w:rPr>
        <w:t>Se proyecta que en 2021 la tasa de crecimiento de las economías de mercados emergentes y en desarrollo aumente a 5</w:t>
      </w:r>
      <w:r>
        <w:rPr>
          <w:iCs/>
          <w:color w:val="000000" w:themeColor="text1"/>
          <w:sz w:val="20"/>
          <w:szCs w:val="20"/>
        </w:rPr>
        <w:t>.</w:t>
      </w:r>
      <w:r w:rsidRPr="00CE7E17">
        <w:rPr>
          <w:iCs/>
          <w:color w:val="000000" w:themeColor="text1"/>
          <w:sz w:val="20"/>
          <w:szCs w:val="20"/>
        </w:rPr>
        <w:t>9%, gracias en parte al repunte que se pronostica para China (8</w:t>
      </w:r>
      <w:r>
        <w:rPr>
          <w:iCs/>
          <w:color w:val="000000" w:themeColor="text1"/>
          <w:sz w:val="20"/>
          <w:szCs w:val="20"/>
        </w:rPr>
        <w:t>.</w:t>
      </w:r>
      <w:r w:rsidRPr="00CE7E17">
        <w:rPr>
          <w:iCs/>
          <w:color w:val="000000" w:themeColor="text1"/>
          <w:sz w:val="20"/>
          <w:szCs w:val="20"/>
        </w:rPr>
        <w:t>2%). Excluyendo a China, para ese grupo de países se pr</w:t>
      </w:r>
      <w:r>
        <w:rPr>
          <w:iCs/>
          <w:color w:val="000000" w:themeColor="text1"/>
          <w:sz w:val="20"/>
          <w:szCs w:val="20"/>
        </w:rPr>
        <w:t>evén tasas de crecimiento de –5.0% en 2020 y 4.</w:t>
      </w:r>
      <w:r w:rsidRPr="00CE7E17">
        <w:rPr>
          <w:iCs/>
          <w:color w:val="000000" w:themeColor="text1"/>
          <w:sz w:val="20"/>
          <w:szCs w:val="20"/>
        </w:rPr>
        <w:t>7% en 2021, con lo cual el PIB de 2021 para este subgrupo de economías de mercados emergentes y en desarrollo se situaría apenas por debajo del nivel registrado en 2019.</w:t>
      </w:r>
    </w:p>
    <w:p w14:paraId="6427F473" w14:textId="77777777" w:rsidR="00687FDF" w:rsidRDefault="00687FDF" w:rsidP="00687FDF">
      <w:pPr>
        <w:spacing w:line="360" w:lineRule="auto"/>
        <w:jc w:val="both"/>
        <w:rPr>
          <w:iCs/>
          <w:color w:val="000000" w:themeColor="text1"/>
          <w:sz w:val="20"/>
          <w:szCs w:val="20"/>
        </w:rPr>
      </w:pPr>
    </w:p>
    <w:p w14:paraId="6BD9DC15" w14:textId="77777777" w:rsidR="00687FDF" w:rsidRDefault="00687FDF" w:rsidP="00687FDF">
      <w:pPr>
        <w:spacing w:line="360" w:lineRule="auto"/>
        <w:jc w:val="both"/>
        <w:rPr>
          <w:iCs/>
          <w:color w:val="000000" w:themeColor="text1"/>
          <w:sz w:val="20"/>
          <w:szCs w:val="20"/>
        </w:rPr>
      </w:pPr>
      <w:r>
        <w:rPr>
          <w:iCs/>
          <w:color w:val="000000" w:themeColor="text1"/>
          <w:sz w:val="20"/>
          <w:szCs w:val="20"/>
        </w:rPr>
        <w:t xml:space="preserve">La incertidumbre fundamental acerca de la evolución de la pandemia es un importante factor determinante de las perspectivas económicas, y hace difícil la caracterización de la balanza de riesgos. Los ensayos de la vacuna también han avanzado a gran velocidad, el desarrollo de una vacuna segura y eficaz daría un impulso a la actitud y podría mejorar los resultados de crecimiento en 2021, incluso si el ritmo de producción de la vacuna no se acelera lo suficiente como para lograr la inmunidad de grupo para fines del año 2021. </w:t>
      </w:r>
    </w:p>
    <w:p w14:paraId="1FDCF895" w14:textId="77777777" w:rsidR="00687FDF" w:rsidRDefault="00687FDF" w:rsidP="00687FDF">
      <w:pPr>
        <w:spacing w:line="360" w:lineRule="auto"/>
        <w:jc w:val="both"/>
        <w:rPr>
          <w:iCs/>
          <w:color w:val="000000" w:themeColor="text1"/>
          <w:sz w:val="20"/>
          <w:szCs w:val="20"/>
        </w:rPr>
      </w:pPr>
    </w:p>
    <w:p w14:paraId="7B3935C8" w14:textId="77777777" w:rsidR="00687FDF" w:rsidRDefault="00687FDF" w:rsidP="00687FDF">
      <w:pPr>
        <w:spacing w:line="360" w:lineRule="auto"/>
        <w:jc w:val="both"/>
        <w:rPr>
          <w:iCs/>
          <w:color w:val="000000" w:themeColor="text1"/>
          <w:sz w:val="20"/>
          <w:szCs w:val="20"/>
        </w:rPr>
      </w:pPr>
      <w:r>
        <w:rPr>
          <w:iCs/>
          <w:color w:val="000000" w:themeColor="text1"/>
          <w:sz w:val="20"/>
          <w:szCs w:val="20"/>
        </w:rPr>
        <w:t>El desconocimiento sobre la duración de la pandemia y los efectos latentes sobre la economía global, aumentaron la aversión al riesgo ocasionando una salida significativa de capital de los mercados financieros de dichas economías, depreciaciones de sus monedas, incremento en las primas de riesgo y deterioro de los volúmenes de operación de los mercados bursátiles. Por su parte la expectativa, de una pronunciada reducción en la demanda global trajo consigo una rápida disminución del precio del petróleo.</w:t>
      </w:r>
    </w:p>
    <w:p w14:paraId="5CD128B3" w14:textId="77777777" w:rsidR="00687FDF" w:rsidRDefault="00687FDF" w:rsidP="00687FDF">
      <w:pPr>
        <w:spacing w:line="360" w:lineRule="auto"/>
        <w:jc w:val="both"/>
        <w:rPr>
          <w:iCs/>
          <w:color w:val="000000" w:themeColor="text1"/>
          <w:sz w:val="20"/>
          <w:szCs w:val="20"/>
        </w:rPr>
      </w:pPr>
    </w:p>
    <w:p w14:paraId="5F133C5C" w14:textId="77777777" w:rsidR="00687FDF" w:rsidRDefault="00687FDF" w:rsidP="00687FDF">
      <w:pPr>
        <w:spacing w:line="360" w:lineRule="auto"/>
        <w:jc w:val="both"/>
        <w:rPr>
          <w:iCs/>
          <w:color w:val="000000" w:themeColor="text1"/>
          <w:sz w:val="20"/>
          <w:szCs w:val="20"/>
        </w:rPr>
      </w:pPr>
      <w:r>
        <w:rPr>
          <w:iCs/>
          <w:color w:val="000000" w:themeColor="text1"/>
          <w:sz w:val="20"/>
          <w:szCs w:val="20"/>
        </w:rPr>
        <w:t>Independientemente</w:t>
      </w:r>
      <w:r w:rsidRPr="00487A58">
        <w:rPr>
          <w:iCs/>
          <w:color w:val="000000" w:themeColor="text1"/>
          <w:sz w:val="20"/>
          <w:szCs w:val="20"/>
        </w:rPr>
        <w:t xml:space="preserve"> de los riesgos a la baja relacionados con la pandemia, el recrudecimiento de las tensiones entre Estados Unidos y China en múltiples frentes, las deterioradas relaciones entre los productores de petróleo de la coalición de la Organización de Países Productores de Petróleo (OPEP)+ y el descontento social generalizado constituyen retos adicionales para la economía mundial. Además, en un contexto de inflación baja y fuerte endeudamiento (particularmente en las economías avanzadas), la debilidad prolongada de la demanda agregada podría agravar la desinflación y las dificultades de servicio de la deuda, lo cual a su vez supondría otro lastre para la actividad</w:t>
      </w:r>
      <w:r>
        <w:rPr>
          <w:iCs/>
          <w:color w:val="000000" w:themeColor="text1"/>
          <w:sz w:val="20"/>
          <w:szCs w:val="20"/>
        </w:rPr>
        <w:t xml:space="preserve"> económica</w:t>
      </w:r>
      <w:r w:rsidRPr="00487A58">
        <w:rPr>
          <w:iCs/>
          <w:color w:val="000000" w:themeColor="text1"/>
          <w:sz w:val="20"/>
          <w:szCs w:val="20"/>
        </w:rPr>
        <w:t>.</w:t>
      </w:r>
    </w:p>
    <w:p w14:paraId="7FFF6D62" w14:textId="77777777" w:rsidR="00687FDF" w:rsidRDefault="00687FDF" w:rsidP="00687FDF">
      <w:pPr>
        <w:spacing w:line="360" w:lineRule="auto"/>
        <w:jc w:val="both"/>
        <w:rPr>
          <w:iCs/>
          <w:color w:val="000000" w:themeColor="text1"/>
          <w:sz w:val="20"/>
          <w:szCs w:val="20"/>
        </w:rPr>
      </w:pPr>
    </w:p>
    <w:p w14:paraId="05145240" w14:textId="77777777" w:rsidR="00687FDF" w:rsidRPr="00955A4C" w:rsidRDefault="00687FDF" w:rsidP="00687FDF">
      <w:pPr>
        <w:spacing w:line="360" w:lineRule="auto"/>
        <w:jc w:val="both"/>
        <w:rPr>
          <w:iCs/>
          <w:color w:val="000000" w:themeColor="text1"/>
          <w:sz w:val="20"/>
          <w:szCs w:val="20"/>
        </w:rPr>
      </w:pPr>
      <w:r>
        <w:rPr>
          <w:iCs/>
          <w:color w:val="000000" w:themeColor="text1"/>
          <w:sz w:val="20"/>
          <w:szCs w:val="20"/>
        </w:rPr>
        <w:t>A su vez la iniciativa del G-20 para suspender temporalmente los pagos del servicio de la deuda oficial de los países de bajo ingreso, es un importante primer paso para ayudarlos a preservar la liquidez internacional y canalizar recursos para combatir la crisis sanitaria.</w:t>
      </w:r>
    </w:p>
    <w:p w14:paraId="77A40849" w14:textId="77777777" w:rsidR="00687FDF" w:rsidRPr="00955A4C" w:rsidRDefault="00687FDF" w:rsidP="00687FDF">
      <w:pPr>
        <w:spacing w:line="360" w:lineRule="auto"/>
        <w:jc w:val="both"/>
        <w:rPr>
          <w:color w:val="000000" w:themeColor="text1"/>
          <w:sz w:val="20"/>
          <w:szCs w:val="20"/>
        </w:rPr>
      </w:pPr>
    </w:p>
    <w:p w14:paraId="64C9A688" w14:textId="77777777" w:rsidR="00BE1C47" w:rsidRDefault="00BE1C47" w:rsidP="00687FDF">
      <w:pPr>
        <w:spacing w:line="360" w:lineRule="auto"/>
        <w:jc w:val="both"/>
        <w:rPr>
          <w:rFonts w:eastAsia="Calibri"/>
          <w:b/>
          <w:color w:val="000000" w:themeColor="text1"/>
          <w:sz w:val="20"/>
          <w:szCs w:val="20"/>
        </w:rPr>
      </w:pPr>
    </w:p>
    <w:p w14:paraId="6ADECAB5" w14:textId="77777777" w:rsidR="00687FDF" w:rsidRPr="00955A4C" w:rsidRDefault="00687FDF" w:rsidP="00687FDF">
      <w:pPr>
        <w:spacing w:line="360" w:lineRule="auto"/>
        <w:jc w:val="both"/>
        <w:rPr>
          <w:rFonts w:eastAsia="Calibri"/>
          <w:b/>
          <w:color w:val="000000" w:themeColor="text1"/>
          <w:sz w:val="20"/>
          <w:szCs w:val="20"/>
        </w:rPr>
      </w:pPr>
      <w:r w:rsidRPr="00955A4C">
        <w:rPr>
          <w:rFonts w:eastAsia="Calibri"/>
          <w:b/>
          <w:color w:val="000000" w:themeColor="text1"/>
          <w:sz w:val="20"/>
          <w:szCs w:val="20"/>
        </w:rPr>
        <w:lastRenderedPageBreak/>
        <w:t>PANORAMA NACIONAL</w:t>
      </w:r>
    </w:p>
    <w:p w14:paraId="00137B11" w14:textId="77777777" w:rsidR="00687FDF" w:rsidRPr="00955A4C" w:rsidRDefault="00687FDF" w:rsidP="00687FDF">
      <w:pPr>
        <w:spacing w:line="360" w:lineRule="auto"/>
        <w:jc w:val="both"/>
        <w:rPr>
          <w:color w:val="000000" w:themeColor="text1"/>
          <w:sz w:val="20"/>
          <w:szCs w:val="20"/>
        </w:rPr>
      </w:pPr>
    </w:p>
    <w:p w14:paraId="0664F1A7" w14:textId="77777777" w:rsidR="00687FDF" w:rsidRDefault="00687FDF" w:rsidP="00687FDF">
      <w:pPr>
        <w:spacing w:line="360" w:lineRule="auto"/>
        <w:jc w:val="both"/>
        <w:rPr>
          <w:color w:val="000000" w:themeColor="text1"/>
          <w:sz w:val="20"/>
          <w:szCs w:val="20"/>
        </w:rPr>
      </w:pPr>
      <w:r>
        <w:rPr>
          <w:color w:val="000000" w:themeColor="text1"/>
          <w:sz w:val="20"/>
          <w:szCs w:val="20"/>
        </w:rPr>
        <w:t>Durante 2021 la trayectoria continuará marcando el ritmo de la reapertura y delineando la ejecución de la política económica. El Gobierno Federal en apoyo a la situación que se vive hoy en día derivado de la pandemia planteo un aumento real respecto al 2020 en materia de salud, mantendrá las becas que han ayudado alrededor de 11.7 millones de niños y jóvenes de todos los niveles escolares, así como robustecer los programas para el Bienestar de las Personas Adultas Mayores y de las Personas con Discapacidad; se plantea un gasto de inversión pública superior en 5.3% real respecto al Presupuesto de Egresos 2020 (PEF), a fin de apoyar el rápido restablecimiento de la economía en el corto plazo, así como mejorar la conectividad interna y externa de México.</w:t>
      </w:r>
    </w:p>
    <w:p w14:paraId="6997492A" w14:textId="77777777" w:rsidR="00687FDF" w:rsidRDefault="00687FDF" w:rsidP="00687FDF">
      <w:pPr>
        <w:spacing w:line="360" w:lineRule="auto"/>
        <w:jc w:val="both"/>
        <w:rPr>
          <w:color w:val="000000" w:themeColor="text1"/>
          <w:sz w:val="20"/>
          <w:szCs w:val="20"/>
        </w:rPr>
      </w:pPr>
    </w:p>
    <w:p w14:paraId="6BDED246" w14:textId="77777777" w:rsidR="00687FDF" w:rsidRDefault="00687FDF" w:rsidP="00687FDF">
      <w:pPr>
        <w:spacing w:line="360" w:lineRule="auto"/>
        <w:jc w:val="both"/>
        <w:rPr>
          <w:color w:val="000000" w:themeColor="text1"/>
          <w:sz w:val="20"/>
          <w:szCs w:val="20"/>
        </w:rPr>
      </w:pPr>
      <w:r>
        <w:rPr>
          <w:color w:val="000000" w:themeColor="text1"/>
          <w:sz w:val="20"/>
          <w:szCs w:val="20"/>
        </w:rPr>
        <w:t>En México e</w:t>
      </w:r>
      <w:r w:rsidRPr="008C091F">
        <w:rPr>
          <w:color w:val="000000" w:themeColor="text1"/>
          <w:sz w:val="20"/>
          <w:szCs w:val="20"/>
        </w:rPr>
        <w:t xml:space="preserve">l entorno macroeconómico fue desfavorable durante el segundo trimestre, no obstante, los saldos obtenidos en el balance público en sus diferentes integraciones, si bien no resultaron conforme a lo estimado, tampoco reflejan la gravedad de la situación económica y social que prevalecía. El Balance Público (sin inversión de alto impacto) y el Balance Primario Presupuestario registraron superávits de 28 mil 762.8 mdp y de 55 mil 635.6 mdp respectivamente; es de señalar que el superávit sin inversión superó la cifra esperada para el </w:t>
      </w:r>
      <w:r>
        <w:rPr>
          <w:color w:val="000000" w:themeColor="text1"/>
          <w:sz w:val="20"/>
          <w:szCs w:val="20"/>
        </w:rPr>
        <w:t>período</w:t>
      </w:r>
      <w:r w:rsidRPr="008C091F">
        <w:rPr>
          <w:color w:val="000000" w:themeColor="text1"/>
          <w:sz w:val="20"/>
          <w:szCs w:val="20"/>
        </w:rPr>
        <w:t>, no siendo así para el superávit primario presupuestario, que se ubicó por debajo de lo programado. El déficit presupuestario fue equivalente a 1.3% del PIB. En un entorno complejo, los ingresos presupuestarios resultaron inferiores tanto a los esperados para el período (168,966.4 mdp menos) como si se comparan con los recaudados en el mismo per</w:t>
      </w:r>
      <w:r>
        <w:rPr>
          <w:color w:val="000000" w:themeColor="text1"/>
          <w:sz w:val="20"/>
          <w:szCs w:val="20"/>
        </w:rPr>
        <w:t>í</w:t>
      </w:r>
      <w:r w:rsidRPr="008C091F">
        <w:rPr>
          <w:color w:val="000000" w:themeColor="text1"/>
          <w:sz w:val="20"/>
          <w:szCs w:val="20"/>
        </w:rPr>
        <w:t>odo de 2019 (-3.7% real). Los ingresos petroleros se ubicaron en 249 mil 795 mdp, 208 mil 811 mdp menos que lo programado, lo que se debe, principalmente, a los efectos adversos derivados de las restricciones de movilidad y la incertidumbre sobre la velocidad de recuperación.</w:t>
      </w:r>
    </w:p>
    <w:p w14:paraId="5E35C562" w14:textId="77777777" w:rsidR="00687FDF" w:rsidRDefault="00687FDF" w:rsidP="00687FDF">
      <w:pPr>
        <w:spacing w:line="360" w:lineRule="auto"/>
        <w:jc w:val="both"/>
        <w:rPr>
          <w:color w:val="000000" w:themeColor="text1"/>
          <w:sz w:val="20"/>
          <w:szCs w:val="20"/>
        </w:rPr>
      </w:pPr>
    </w:p>
    <w:p w14:paraId="4FE2277A" w14:textId="77777777" w:rsidR="00687FDF" w:rsidRDefault="00687FDF" w:rsidP="00687FDF">
      <w:pPr>
        <w:spacing w:line="360" w:lineRule="auto"/>
        <w:jc w:val="both"/>
        <w:rPr>
          <w:color w:val="000000" w:themeColor="text1"/>
          <w:sz w:val="20"/>
          <w:szCs w:val="20"/>
        </w:rPr>
      </w:pPr>
      <w:r w:rsidRPr="008D1788">
        <w:rPr>
          <w:color w:val="000000" w:themeColor="text1"/>
          <w:sz w:val="20"/>
          <w:szCs w:val="20"/>
        </w:rPr>
        <w:t>Los ingresos tributarios por su parte totalizaron 1 billón 748 mil 786 mdp, monto que no refleja el complejo entorno económico que se atraviesa. Esta recaudación se explica por los esfuerzos de la autoridad hacendaria por mejorar el cumplimiento de los contribuyentes. Los ingresos no tributarios fueron superiores a lo programado en 109 mil 49 mdp situación que se asocia con el uso de activos financieros como política para evitar endeudamiento adicional y desequilibrios macroeconómicos durante un per</w:t>
      </w:r>
      <w:r>
        <w:rPr>
          <w:color w:val="000000" w:themeColor="text1"/>
          <w:sz w:val="20"/>
          <w:szCs w:val="20"/>
        </w:rPr>
        <w:t>í</w:t>
      </w:r>
      <w:r w:rsidRPr="008D1788">
        <w:rPr>
          <w:color w:val="000000" w:themeColor="text1"/>
          <w:sz w:val="20"/>
          <w:szCs w:val="20"/>
        </w:rPr>
        <w:t>odo incierto a nivel global en materia económica y financiera.</w:t>
      </w:r>
    </w:p>
    <w:p w14:paraId="32115C39" w14:textId="77777777" w:rsidR="00687FDF" w:rsidRDefault="00687FDF" w:rsidP="00687FDF">
      <w:pPr>
        <w:spacing w:line="360" w:lineRule="auto"/>
        <w:jc w:val="both"/>
        <w:rPr>
          <w:color w:val="000000" w:themeColor="text1"/>
          <w:sz w:val="20"/>
          <w:szCs w:val="20"/>
        </w:rPr>
      </w:pPr>
    </w:p>
    <w:p w14:paraId="5F0BB592" w14:textId="77777777" w:rsidR="00687FDF" w:rsidRDefault="00687FDF" w:rsidP="00687FDF">
      <w:pPr>
        <w:spacing w:line="360" w:lineRule="auto"/>
        <w:jc w:val="both"/>
        <w:rPr>
          <w:color w:val="000000" w:themeColor="text1"/>
          <w:sz w:val="20"/>
          <w:szCs w:val="20"/>
        </w:rPr>
      </w:pPr>
      <w:r w:rsidRPr="008D1788">
        <w:rPr>
          <w:color w:val="000000" w:themeColor="text1"/>
          <w:sz w:val="20"/>
          <w:szCs w:val="20"/>
        </w:rPr>
        <w:t>Sin embargo, para compensar en parte la disminución de los ingresos, el Gobierno Federal hará uso de los recursos del Fondo de Estabilización de los Ingresos Presupuestarios (FEIP), de acuerdo con la normatividad aplicable.</w:t>
      </w:r>
    </w:p>
    <w:p w14:paraId="5F418B16" w14:textId="77777777" w:rsidR="00687FDF" w:rsidRDefault="00687FDF" w:rsidP="00687FDF">
      <w:pPr>
        <w:spacing w:line="360" w:lineRule="auto"/>
        <w:jc w:val="both"/>
        <w:rPr>
          <w:color w:val="000000" w:themeColor="text1"/>
          <w:sz w:val="20"/>
          <w:szCs w:val="20"/>
        </w:rPr>
      </w:pPr>
    </w:p>
    <w:p w14:paraId="7081BE28" w14:textId="77777777" w:rsidR="00687FDF" w:rsidRPr="00955A4C" w:rsidRDefault="00687FDF" w:rsidP="00687FDF">
      <w:pPr>
        <w:spacing w:line="360" w:lineRule="auto"/>
        <w:jc w:val="both"/>
        <w:rPr>
          <w:rFonts w:eastAsia="Calibri"/>
          <w:b/>
          <w:i/>
          <w:color w:val="000000" w:themeColor="text1"/>
          <w:sz w:val="20"/>
          <w:szCs w:val="20"/>
        </w:rPr>
      </w:pPr>
      <w:r w:rsidRPr="008C2D2C">
        <w:rPr>
          <w:color w:val="000000" w:themeColor="text1"/>
          <w:sz w:val="20"/>
          <w:szCs w:val="20"/>
        </w:rPr>
        <w:t>Por otro lado, la evolución del gasto entre enero y junio revela un manejo precautorio de las erogaciones públicas frente a la baja de los ingresos. Si bien, la SHCP acota que su aplicación al final del per</w:t>
      </w:r>
      <w:r>
        <w:rPr>
          <w:color w:val="000000" w:themeColor="text1"/>
          <w:sz w:val="20"/>
          <w:szCs w:val="20"/>
        </w:rPr>
        <w:t>í</w:t>
      </w:r>
      <w:r w:rsidRPr="008C2D2C">
        <w:rPr>
          <w:color w:val="000000" w:themeColor="text1"/>
          <w:sz w:val="20"/>
          <w:szCs w:val="20"/>
        </w:rPr>
        <w:t>odo refleja las acciones llevadas a cabo para enfrentar la emergencia sanitaria y proteger a la población, en especial a la población en situación de vulnerabilidad, agrega que, en lo que resta del año, se buscará mejorar la eficiencia recaudatoria y generar ahorros presupuestarios, especialmente en el gasto corriente, para financiar los programas prioritarios del Gobierno Federal, así como para atender las eventualidades de la emergencia de salud y económicas que se presenten, como resultado del brote epidemiológico.</w:t>
      </w:r>
    </w:p>
    <w:p w14:paraId="3C68E557" w14:textId="77777777" w:rsidR="00687FDF" w:rsidRPr="00955A4C" w:rsidRDefault="00687FDF" w:rsidP="00687FDF">
      <w:pPr>
        <w:spacing w:line="360" w:lineRule="auto"/>
        <w:jc w:val="both"/>
        <w:rPr>
          <w:rFonts w:eastAsia="Calibri"/>
          <w:b/>
          <w:color w:val="000000" w:themeColor="text1"/>
          <w:sz w:val="20"/>
          <w:szCs w:val="20"/>
        </w:rPr>
      </w:pPr>
    </w:p>
    <w:p w14:paraId="1F330829" w14:textId="77777777" w:rsidR="00687FDF" w:rsidRPr="00955A4C" w:rsidRDefault="00687FDF" w:rsidP="00687FDF">
      <w:pPr>
        <w:spacing w:line="360" w:lineRule="auto"/>
        <w:jc w:val="both"/>
        <w:rPr>
          <w:rFonts w:eastAsia="Calibri"/>
          <w:b/>
          <w:color w:val="000000" w:themeColor="text1"/>
          <w:sz w:val="20"/>
          <w:szCs w:val="20"/>
        </w:rPr>
      </w:pPr>
      <w:r>
        <w:rPr>
          <w:rFonts w:eastAsia="Calibri"/>
          <w:b/>
          <w:color w:val="000000" w:themeColor="text1"/>
          <w:sz w:val="20"/>
          <w:szCs w:val="20"/>
        </w:rPr>
        <w:t>DISCIPLINA FINANCIERA</w:t>
      </w:r>
    </w:p>
    <w:p w14:paraId="03CCC04D" w14:textId="77777777" w:rsidR="00687FDF" w:rsidRPr="00955A4C" w:rsidRDefault="00687FDF" w:rsidP="00687FDF">
      <w:pPr>
        <w:spacing w:line="360" w:lineRule="auto"/>
        <w:jc w:val="both"/>
        <w:rPr>
          <w:rFonts w:eastAsia="Calibri"/>
          <w:b/>
          <w:color w:val="000000" w:themeColor="text1"/>
          <w:sz w:val="20"/>
          <w:szCs w:val="20"/>
        </w:rPr>
      </w:pPr>
    </w:p>
    <w:p w14:paraId="60F9EE50" w14:textId="77777777" w:rsidR="00687FDF" w:rsidRPr="00955A4C" w:rsidRDefault="00687FDF" w:rsidP="00687FDF">
      <w:pPr>
        <w:spacing w:line="360" w:lineRule="auto"/>
        <w:jc w:val="both"/>
        <w:rPr>
          <w:rFonts w:eastAsia="Calibri"/>
          <w:color w:val="000000" w:themeColor="text1"/>
          <w:sz w:val="20"/>
          <w:szCs w:val="20"/>
        </w:rPr>
      </w:pPr>
      <w:r w:rsidRPr="00955A4C">
        <w:rPr>
          <w:rFonts w:eastAsia="Calibri"/>
          <w:color w:val="000000" w:themeColor="text1"/>
          <w:sz w:val="20"/>
          <w:szCs w:val="20"/>
        </w:rPr>
        <w:t>El objetivo de la Ley de Disciplina Financiera de las Entidades Federativas y los Municipios, es promover finanzas públicas locales sostenibles, a través de reglas de disciplina financiera, el uso responsable de la deuda pública, así como el fortalecimiento de la transparencia y rendición de cuentas, entre otras medidas.</w:t>
      </w:r>
    </w:p>
    <w:p w14:paraId="6F385092" w14:textId="77777777" w:rsidR="00687FDF" w:rsidRPr="00955A4C" w:rsidRDefault="00687FDF" w:rsidP="00687FDF">
      <w:pPr>
        <w:spacing w:line="360" w:lineRule="auto"/>
        <w:jc w:val="both"/>
        <w:rPr>
          <w:rFonts w:eastAsia="Calibri"/>
          <w:color w:val="000000" w:themeColor="text1"/>
          <w:sz w:val="20"/>
          <w:szCs w:val="20"/>
        </w:rPr>
      </w:pPr>
    </w:p>
    <w:p w14:paraId="5E77E540" w14:textId="77777777" w:rsidR="00687FDF" w:rsidRPr="00955A4C" w:rsidRDefault="00687FDF" w:rsidP="00687FDF">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El </w:t>
      </w:r>
      <w:r w:rsidRPr="00096094">
        <w:rPr>
          <w:rFonts w:eastAsia="Calibri"/>
          <w:sz w:val="20"/>
          <w:szCs w:val="20"/>
        </w:rPr>
        <w:t>Proyecto de Decreto de Presupuesto de Egresos del Estado de Tlaxcala para el Ejercicio Fiscal 202</w:t>
      </w:r>
      <w:r>
        <w:rPr>
          <w:rFonts w:eastAsia="Calibri"/>
          <w:sz w:val="20"/>
          <w:szCs w:val="20"/>
        </w:rPr>
        <w:t>1</w:t>
      </w:r>
      <w:r w:rsidRPr="00096094">
        <w:rPr>
          <w:rFonts w:eastAsia="Calibri"/>
          <w:sz w:val="20"/>
          <w:szCs w:val="20"/>
        </w:rPr>
        <w:t xml:space="preserve"> </w:t>
      </w:r>
      <w:r w:rsidRPr="00955A4C">
        <w:rPr>
          <w:rFonts w:eastAsia="Calibri"/>
          <w:color w:val="000000" w:themeColor="text1"/>
          <w:sz w:val="20"/>
          <w:szCs w:val="20"/>
        </w:rPr>
        <w:t>contiene en su estructura las diversas disposiciones establecidas en dicha Ley de Disciplina Financiera de las Entidades Federativas y los Municipios.</w:t>
      </w:r>
    </w:p>
    <w:p w14:paraId="38A2BDF7" w14:textId="77777777" w:rsidR="00687FDF" w:rsidRPr="00955A4C" w:rsidRDefault="00687FDF" w:rsidP="00687FDF">
      <w:pPr>
        <w:spacing w:line="360" w:lineRule="auto"/>
        <w:jc w:val="both"/>
        <w:rPr>
          <w:rFonts w:eastAsia="Calibri"/>
          <w:color w:val="000000" w:themeColor="text1"/>
          <w:sz w:val="20"/>
          <w:szCs w:val="20"/>
        </w:rPr>
      </w:pPr>
    </w:p>
    <w:p w14:paraId="565E6DEB" w14:textId="77777777" w:rsidR="00687FDF" w:rsidRPr="00955A4C" w:rsidRDefault="00687FDF" w:rsidP="00687FDF">
      <w:pPr>
        <w:spacing w:line="360" w:lineRule="auto"/>
        <w:jc w:val="both"/>
        <w:rPr>
          <w:rFonts w:eastAsia="Calibri"/>
          <w:color w:val="000000" w:themeColor="text1"/>
          <w:sz w:val="20"/>
          <w:szCs w:val="20"/>
        </w:rPr>
      </w:pPr>
      <w:r w:rsidRPr="00955A4C">
        <w:rPr>
          <w:rFonts w:eastAsia="Calibri"/>
          <w:color w:val="000000" w:themeColor="text1"/>
          <w:sz w:val="20"/>
          <w:szCs w:val="20"/>
        </w:rPr>
        <w:t>En prim</w:t>
      </w:r>
      <w:r>
        <w:rPr>
          <w:rFonts w:eastAsia="Calibri"/>
          <w:color w:val="000000" w:themeColor="text1"/>
          <w:sz w:val="20"/>
          <w:szCs w:val="20"/>
        </w:rPr>
        <w:t>er lugar, tiene sustento en el P</w:t>
      </w:r>
      <w:r w:rsidRPr="00955A4C">
        <w:rPr>
          <w:rFonts w:eastAsia="Calibri"/>
          <w:color w:val="000000" w:themeColor="text1"/>
          <w:sz w:val="20"/>
          <w:szCs w:val="20"/>
        </w:rPr>
        <w:t xml:space="preserve">lan </w:t>
      </w:r>
      <w:r>
        <w:rPr>
          <w:rFonts w:eastAsia="Calibri"/>
          <w:color w:val="000000" w:themeColor="text1"/>
          <w:sz w:val="20"/>
          <w:szCs w:val="20"/>
        </w:rPr>
        <w:t>N</w:t>
      </w:r>
      <w:r w:rsidRPr="00955A4C">
        <w:rPr>
          <w:rFonts w:eastAsia="Calibri"/>
          <w:color w:val="000000" w:themeColor="text1"/>
          <w:sz w:val="20"/>
          <w:szCs w:val="20"/>
        </w:rPr>
        <w:t xml:space="preserve">acional de </w:t>
      </w:r>
      <w:r>
        <w:rPr>
          <w:rFonts w:eastAsia="Calibri"/>
          <w:color w:val="000000" w:themeColor="text1"/>
          <w:sz w:val="20"/>
          <w:szCs w:val="20"/>
        </w:rPr>
        <w:t>D</w:t>
      </w:r>
      <w:r w:rsidRPr="00955A4C">
        <w:rPr>
          <w:rFonts w:eastAsia="Calibri"/>
          <w:color w:val="000000" w:themeColor="text1"/>
          <w:sz w:val="20"/>
          <w:szCs w:val="20"/>
        </w:rPr>
        <w:t>esarrollo y en las políticas estatales fijando objetivos, estrategias e indicadores de desempeño cuantificables y o</w:t>
      </w:r>
      <w:r>
        <w:rPr>
          <w:rFonts w:eastAsia="Calibri"/>
          <w:color w:val="000000" w:themeColor="text1"/>
          <w:sz w:val="20"/>
          <w:szCs w:val="20"/>
        </w:rPr>
        <w:t xml:space="preserve">bservando en su elaboración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 xml:space="preserve">la Federación </w:t>
      </w:r>
      <w:r w:rsidRPr="00955A4C">
        <w:rPr>
          <w:rFonts w:eastAsia="Calibri"/>
          <w:color w:val="000000" w:themeColor="text1"/>
          <w:sz w:val="20"/>
          <w:szCs w:val="20"/>
        </w:rPr>
        <w:t>(CGPE) que presentó la SHCP para el ejercicio</w:t>
      </w:r>
      <w:r>
        <w:rPr>
          <w:rFonts w:eastAsia="Calibri"/>
          <w:color w:val="000000" w:themeColor="text1"/>
          <w:sz w:val="20"/>
          <w:szCs w:val="20"/>
        </w:rPr>
        <w:t xml:space="preserve"> fiscal</w:t>
      </w:r>
      <w:r w:rsidRPr="00955A4C">
        <w:rPr>
          <w:rFonts w:eastAsia="Calibri"/>
          <w:color w:val="000000" w:themeColor="text1"/>
          <w:sz w:val="20"/>
          <w:szCs w:val="20"/>
        </w:rPr>
        <w:t xml:space="preserve"> 202</w:t>
      </w:r>
      <w:r>
        <w:rPr>
          <w:rFonts w:eastAsia="Calibri"/>
          <w:color w:val="000000" w:themeColor="text1"/>
          <w:sz w:val="20"/>
          <w:szCs w:val="20"/>
        </w:rPr>
        <w:t>1</w:t>
      </w:r>
      <w:r w:rsidRPr="00955A4C">
        <w:rPr>
          <w:rFonts w:eastAsia="Calibri"/>
          <w:color w:val="000000" w:themeColor="text1"/>
          <w:sz w:val="20"/>
          <w:szCs w:val="20"/>
        </w:rPr>
        <w:t>.</w:t>
      </w:r>
    </w:p>
    <w:p w14:paraId="7FABAB41" w14:textId="77777777" w:rsidR="00687FDF" w:rsidRPr="00955A4C" w:rsidRDefault="00687FDF" w:rsidP="00687FDF">
      <w:pPr>
        <w:spacing w:line="360" w:lineRule="auto"/>
        <w:jc w:val="both"/>
        <w:rPr>
          <w:rFonts w:eastAsia="Calibri"/>
          <w:color w:val="000000" w:themeColor="text1"/>
          <w:sz w:val="20"/>
          <w:szCs w:val="20"/>
        </w:rPr>
      </w:pPr>
    </w:p>
    <w:p w14:paraId="77D5E97A" w14:textId="77777777" w:rsidR="00687FDF" w:rsidRDefault="00687FDF" w:rsidP="00687FDF">
      <w:pPr>
        <w:spacing w:line="360" w:lineRule="auto"/>
        <w:jc w:val="both"/>
        <w:rPr>
          <w:rFonts w:eastAsia="Calibri"/>
          <w:color w:val="000000" w:themeColor="text1"/>
          <w:sz w:val="20"/>
          <w:szCs w:val="20"/>
        </w:rPr>
      </w:pPr>
      <w:r w:rsidRPr="00955A4C">
        <w:rPr>
          <w:rFonts w:eastAsia="Calibri"/>
          <w:color w:val="000000" w:themeColor="text1"/>
          <w:sz w:val="20"/>
          <w:szCs w:val="20"/>
        </w:rPr>
        <w:t>En concordancia con el proyecto nacional, en esta iniciativa se consideraron:</w:t>
      </w:r>
    </w:p>
    <w:p w14:paraId="646AD9BD" w14:textId="77777777" w:rsidR="00687FDF" w:rsidRPr="00955A4C" w:rsidRDefault="00687FDF" w:rsidP="00687FDF">
      <w:pPr>
        <w:spacing w:line="360" w:lineRule="auto"/>
        <w:jc w:val="both"/>
        <w:rPr>
          <w:rFonts w:eastAsia="Calibri"/>
          <w:color w:val="000000" w:themeColor="text1"/>
          <w:sz w:val="20"/>
          <w:szCs w:val="20"/>
        </w:rPr>
      </w:pPr>
    </w:p>
    <w:p w14:paraId="72302191" w14:textId="77777777" w:rsidR="00687FDF" w:rsidRDefault="00687FDF" w:rsidP="00800CF7">
      <w:pPr>
        <w:pStyle w:val="Prrafodelista"/>
        <w:numPr>
          <w:ilvl w:val="0"/>
          <w:numId w:val="21"/>
        </w:numPr>
        <w:spacing w:line="360" w:lineRule="auto"/>
        <w:jc w:val="both"/>
        <w:rPr>
          <w:rFonts w:eastAsia="Calibri"/>
          <w:color w:val="000000" w:themeColor="text1"/>
          <w:sz w:val="20"/>
          <w:szCs w:val="20"/>
        </w:rPr>
      </w:pPr>
      <w:r>
        <w:rPr>
          <w:rFonts w:eastAsia="Calibri"/>
          <w:color w:val="000000" w:themeColor="text1"/>
          <w:sz w:val="20"/>
          <w:szCs w:val="20"/>
        </w:rPr>
        <w:t>Objetivos anuales, estrategias y metas.</w:t>
      </w:r>
    </w:p>
    <w:p w14:paraId="3B84A5D2" w14:textId="77777777" w:rsidR="00687FDF" w:rsidRPr="002E0CC2" w:rsidRDefault="00687FDF" w:rsidP="00800CF7">
      <w:pPr>
        <w:pStyle w:val="Prrafodelista"/>
        <w:numPr>
          <w:ilvl w:val="0"/>
          <w:numId w:val="21"/>
        </w:numPr>
        <w:spacing w:line="360" w:lineRule="auto"/>
        <w:jc w:val="both"/>
        <w:rPr>
          <w:rFonts w:eastAsia="Calibri"/>
          <w:color w:val="000000" w:themeColor="text1"/>
          <w:sz w:val="20"/>
          <w:szCs w:val="20"/>
        </w:rPr>
      </w:pPr>
      <w:r w:rsidRPr="00955A4C">
        <w:rPr>
          <w:rFonts w:eastAsia="Calibri"/>
          <w:color w:val="000000" w:themeColor="text1"/>
          <w:sz w:val="20"/>
          <w:szCs w:val="20"/>
        </w:rPr>
        <w:t>Las proyecciones de egresos en materia presupuestal.</w:t>
      </w:r>
    </w:p>
    <w:p w14:paraId="6ADA43BA" w14:textId="77777777" w:rsidR="00687FDF" w:rsidRPr="00955A4C" w:rsidRDefault="00687FDF" w:rsidP="00800CF7">
      <w:pPr>
        <w:pStyle w:val="Prrafodelista"/>
        <w:numPr>
          <w:ilvl w:val="0"/>
          <w:numId w:val="21"/>
        </w:numPr>
        <w:spacing w:line="360" w:lineRule="auto"/>
        <w:jc w:val="both"/>
        <w:rPr>
          <w:rFonts w:eastAsia="Calibri"/>
          <w:color w:val="000000" w:themeColor="text1"/>
          <w:sz w:val="20"/>
          <w:szCs w:val="20"/>
        </w:rPr>
      </w:pPr>
      <w:r w:rsidRPr="00955A4C">
        <w:rPr>
          <w:rFonts w:eastAsia="Calibri"/>
          <w:color w:val="000000" w:themeColor="text1"/>
          <w:sz w:val="20"/>
          <w:szCs w:val="20"/>
        </w:rPr>
        <w:t>Los riesgos para las finanzas públicas estatales.</w:t>
      </w:r>
    </w:p>
    <w:p w14:paraId="526519A0" w14:textId="77777777" w:rsidR="00687FDF" w:rsidRDefault="00687FDF" w:rsidP="00800CF7">
      <w:pPr>
        <w:pStyle w:val="Prrafodelista"/>
        <w:numPr>
          <w:ilvl w:val="0"/>
          <w:numId w:val="21"/>
        </w:numPr>
        <w:spacing w:line="360" w:lineRule="auto"/>
        <w:jc w:val="both"/>
        <w:rPr>
          <w:rFonts w:eastAsia="Calibri"/>
          <w:color w:val="000000" w:themeColor="text1"/>
          <w:sz w:val="20"/>
          <w:szCs w:val="20"/>
        </w:rPr>
      </w:pPr>
      <w:r w:rsidRPr="00955A4C">
        <w:rPr>
          <w:rFonts w:eastAsia="Calibri"/>
          <w:color w:val="000000" w:themeColor="text1"/>
          <w:sz w:val="20"/>
          <w:szCs w:val="20"/>
        </w:rPr>
        <w:t>Los resultados presupuestarios de los últimos cinco años.</w:t>
      </w:r>
    </w:p>
    <w:p w14:paraId="0B94EE10" w14:textId="77777777" w:rsidR="00687FDF" w:rsidRPr="002E0CC2" w:rsidRDefault="00687FDF" w:rsidP="00800CF7">
      <w:pPr>
        <w:pStyle w:val="Prrafodelista"/>
        <w:numPr>
          <w:ilvl w:val="0"/>
          <w:numId w:val="21"/>
        </w:numPr>
        <w:spacing w:line="360" w:lineRule="auto"/>
        <w:jc w:val="both"/>
        <w:rPr>
          <w:rFonts w:eastAsia="Calibri"/>
          <w:color w:val="000000" w:themeColor="text1"/>
          <w:sz w:val="20"/>
          <w:szCs w:val="20"/>
        </w:rPr>
      </w:pPr>
      <w:r w:rsidRPr="002E0CC2">
        <w:rPr>
          <w:rFonts w:eastAsia="Calibri"/>
          <w:color w:val="000000" w:themeColor="text1"/>
          <w:sz w:val="20"/>
          <w:szCs w:val="20"/>
        </w:rPr>
        <w:t>Un estudio Actuarial de Pensiones de sus trabajadores.</w:t>
      </w:r>
    </w:p>
    <w:p w14:paraId="6B7D949B" w14:textId="77777777" w:rsidR="00687FDF" w:rsidRPr="00955A4C" w:rsidRDefault="00687FDF" w:rsidP="00687FDF">
      <w:pPr>
        <w:pStyle w:val="Prrafodelista"/>
        <w:spacing w:line="360" w:lineRule="auto"/>
        <w:ind w:left="720"/>
        <w:jc w:val="both"/>
        <w:rPr>
          <w:rFonts w:eastAsia="Calibri"/>
          <w:color w:val="000000" w:themeColor="text1"/>
          <w:sz w:val="20"/>
          <w:szCs w:val="20"/>
        </w:rPr>
      </w:pPr>
    </w:p>
    <w:p w14:paraId="4BBAF25F" w14:textId="77777777" w:rsidR="00687FDF" w:rsidRPr="00955A4C"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lastRenderedPageBreak/>
        <w:t>Asimismo, en este</w:t>
      </w:r>
      <w:r w:rsidRPr="00955A4C">
        <w:rPr>
          <w:rFonts w:eastAsia="Calibri"/>
          <w:color w:val="000000" w:themeColor="text1"/>
          <w:sz w:val="20"/>
          <w:szCs w:val="20"/>
        </w:rPr>
        <w:t xml:space="preserve"> </w:t>
      </w:r>
      <w:r>
        <w:rPr>
          <w:rFonts w:eastAsia="Calibri"/>
          <w:color w:val="000000" w:themeColor="text1"/>
          <w:sz w:val="20"/>
          <w:szCs w:val="20"/>
        </w:rPr>
        <w:t xml:space="preserve">presente </w:t>
      </w:r>
      <w:r w:rsidRPr="00096094">
        <w:rPr>
          <w:rFonts w:eastAsia="Calibri"/>
          <w:sz w:val="20"/>
          <w:szCs w:val="20"/>
        </w:rPr>
        <w:t>Proyecto de Decreto de Presupuesto de Egresos del Estado de Tlaxcala para el Ejercicio Fiscal 202</w:t>
      </w:r>
      <w:r>
        <w:rPr>
          <w:rFonts w:eastAsia="Calibri"/>
          <w:sz w:val="20"/>
          <w:szCs w:val="20"/>
        </w:rPr>
        <w:t xml:space="preserve">1 </w:t>
      </w:r>
      <w:r w:rsidRPr="00955A4C">
        <w:rPr>
          <w:rFonts w:eastAsia="Calibri"/>
          <w:color w:val="000000" w:themeColor="text1"/>
          <w:sz w:val="20"/>
          <w:szCs w:val="20"/>
        </w:rPr>
        <w:t>se prevén medidas y recursos para atender diversas situaciones que pudieran afectar las finanzas públicas, destacando las siguientes:</w:t>
      </w:r>
    </w:p>
    <w:p w14:paraId="5DF10E49" w14:textId="77777777" w:rsidR="00687FDF" w:rsidRPr="00955A4C" w:rsidRDefault="00687FDF" w:rsidP="00687FDF">
      <w:pPr>
        <w:spacing w:line="360" w:lineRule="auto"/>
        <w:jc w:val="both"/>
        <w:rPr>
          <w:rFonts w:eastAsia="Calibri"/>
          <w:color w:val="000000" w:themeColor="text1"/>
          <w:sz w:val="20"/>
          <w:szCs w:val="20"/>
        </w:rPr>
      </w:pPr>
    </w:p>
    <w:p w14:paraId="03BDF651" w14:textId="77777777" w:rsidR="00687FDF" w:rsidRPr="00955A4C" w:rsidRDefault="00687FDF" w:rsidP="00800CF7">
      <w:pPr>
        <w:pStyle w:val="Prrafodelista"/>
        <w:numPr>
          <w:ilvl w:val="1"/>
          <w:numId w:val="22"/>
        </w:numPr>
        <w:spacing w:line="360" w:lineRule="auto"/>
        <w:jc w:val="both"/>
        <w:rPr>
          <w:rFonts w:eastAsia="Calibri"/>
          <w:color w:val="000000" w:themeColor="text1"/>
          <w:sz w:val="20"/>
          <w:szCs w:val="20"/>
        </w:rPr>
      </w:pPr>
      <w:r w:rsidRPr="00955A4C">
        <w:rPr>
          <w:rFonts w:eastAsia="Calibri"/>
          <w:b/>
          <w:color w:val="000000" w:themeColor="text1"/>
          <w:sz w:val="20"/>
          <w:szCs w:val="20"/>
        </w:rPr>
        <w:t>Pensiones</w:t>
      </w:r>
      <w:r w:rsidRPr="00955A4C">
        <w:rPr>
          <w:rFonts w:eastAsia="Calibri"/>
          <w:color w:val="000000" w:themeColor="text1"/>
          <w:sz w:val="20"/>
          <w:szCs w:val="20"/>
        </w:rPr>
        <w:t>.- Tema financiero que se desarrolla en el apartado de Riesgos Fiscales.</w:t>
      </w:r>
    </w:p>
    <w:p w14:paraId="299F3534" w14:textId="77777777" w:rsidR="00687FDF" w:rsidRPr="00955A4C" w:rsidRDefault="00687FDF" w:rsidP="00800CF7">
      <w:pPr>
        <w:pStyle w:val="Prrafodelista"/>
        <w:numPr>
          <w:ilvl w:val="1"/>
          <w:numId w:val="22"/>
        </w:numPr>
        <w:spacing w:line="360" w:lineRule="auto"/>
        <w:jc w:val="both"/>
        <w:rPr>
          <w:rFonts w:eastAsia="Calibri"/>
          <w:color w:val="000000" w:themeColor="text1"/>
          <w:sz w:val="20"/>
          <w:szCs w:val="20"/>
        </w:rPr>
      </w:pPr>
      <w:r w:rsidRPr="00955A4C">
        <w:rPr>
          <w:rFonts w:eastAsia="Calibri"/>
          <w:b/>
          <w:color w:val="000000" w:themeColor="text1"/>
          <w:sz w:val="20"/>
          <w:szCs w:val="20"/>
        </w:rPr>
        <w:t>Desastres naturales</w:t>
      </w:r>
      <w:r w:rsidRPr="00955A4C">
        <w:rPr>
          <w:rFonts w:eastAsia="Calibri"/>
          <w:color w:val="000000" w:themeColor="text1"/>
          <w:sz w:val="20"/>
          <w:szCs w:val="20"/>
        </w:rPr>
        <w:t>.- Se consideran recursos</w:t>
      </w:r>
      <w:r>
        <w:rPr>
          <w:rFonts w:eastAsia="Calibri"/>
          <w:color w:val="000000" w:themeColor="text1"/>
          <w:sz w:val="20"/>
          <w:szCs w:val="20"/>
        </w:rPr>
        <w:t xml:space="preserve"> para aportación al </w:t>
      </w:r>
      <w:r w:rsidRPr="00955A4C">
        <w:rPr>
          <w:rFonts w:eastAsia="Calibri"/>
          <w:color w:val="000000" w:themeColor="text1"/>
          <w:sz w:val="20"/>
          <w:szCs w:val="20"/>
        </w:rPr>
        <w:t xml:space="preserve">fondo específico para desastres naturales, </w:t>
      </w:r>
      <w:r w:rsidRPr="00C976E5">
        <w:rPr>
          <w:rFonts w:eastAsia="Calibri"/>
          <w:color w:val="000000" w:themeColor="text1"/>
          <w:sz w:val="20"/>
          <w:szCs w:val="20"/>
        </w:rPr>
        <w:t xml:space="preserve">por un monto de </w:t>
      </w:r>
      <w:r>
        <w:rPr>
          <w:rFonts w:eastAsia="Calibri"/>
          <w:color w:val="000000" w:themeColor="text1"/>
          <w:sz w:val="20"/>
          <w:szCs w:val="20"/>
        </w:rPr>
        <w:t>15</w:t>
      </w:r>
      <w:r w:rsidRPr="00C976E5">
        <w:rPr>
          <w:rFonts w:eastAsia="Calibri"/>
          <w:color w:val="000000" w:themeColor="text1"/>
          <w:sz w:val="20"/>
          <w:szCs w:val="20"/>
        </w:rPr>
        <w:t xml:space="preserve"> millones de pesos, </w:t>
      </w:r>
      <w:r w:rsidRPr="00955A4C">
        <w:rPr>
          <w:rFonts w:eastAsia="Calibri"/>
          <w:color w:val="000000" w:themeColor="text1"/>
          <w:sz w:val="20"/>
          <w:szCs w:val="20"/>
        </w:rPr>
        <w:t>para cubrir el costo de daños en infraestructura pública y atender a la población afectada. Los re</w:t>
      </w:r>
      <w:r>
        <w:rPr>
          <w:rFonts w:eastAsia="Calibri"/>
          <w:color w:val="000000" w:themeColor="text1"/>
          <w:sz w:val="20"/>
          <w:szCs w:val="20"/>
        </w:rPr>
        <w:t>cursos se deberán depositar en el</w:t>
      </w:r>
      <w:r w:rsidRPr="00955A4C">
        <w:rPr>
          <w:rFonts w:eastAsia="Calibri"/>
          <w:color w:val="000000" w:themeColor="text1"/>
          <w:sz w:val="20"/>
          <w:szCs w:val="20"/>
        </w:rPr>
        <w:t xml:space="preserve"> fideicomiso de administración y pago</w:t>
      </w:r>
      <w:r>
        <w:rPr>
          <w:rFonts w:eastAsia="Calibri"/>
          <w:color w:val="000000" w:themeColor="text1"/>
          <w:sz w:val="20"/>
          <w:szCs w:val="20"/>
        </w:rPr>
        <w:t xml:space="preserve"> correspondiente</w:t>
      </w:r>
      <w:r w:rsidRPr="00955A4C">
        <w:rPr>
          <w:rFonts w:eastAsia="Calibri"/>
          <w:color w:val="000000" w:themeColor="text1"/>
          <w:sz w:val="20"/>
          <w:szCs w:val="20"/>
        </w:rPr>
        <w:t>.</w:t>
      </w:r>
    </w:p>
    <w:p w14:paraId="5BC8D312" w14:textId="77777777" w:rsidR="00687FDF" w:rsidRPr="002E0CC2" w:rsidRDefault="00687FDF" w:rsidP="00800CF7">
      <w:pPr>
        <w:pStyle w:val="Prrafodelista"/>
        <w:numPr>
          <w:ilvl w:val="1"/>
          <w:numId w:val="22"/>
        </w:numPr>
        <w:spacing w:line="360" w:lineRule="auto"/>
        <w:jc w:val="both"/>
        <w:rPr>
          <w:rFonts w:eastAsia="Calibri"/>
          <w:sz w:val="20"/>
          <w:szCs w:val="20"/>
        </w:rPr>
      </w:pPr>
      <w:r w:rsidRPr="002E0CC2">
        <w:rPr>
          <w:rFonts w:eastAsia="Calibri"/>
          <w:b/>
          <w:sz w:val="20"/>
          <w:szCs w:val="20"/>
        </w:rPr>
        <w:t>Servicios personales</w:t>
      </w:r>
      <w:r w:rsidRPr="002E0CC2">
        <w:rPr>
          <w:rFonts w:eastAsia="Calibri"/>
          <w:sz w:val="20"/>
          <w:szCs w:val="20"/>
        </w:rPr>
        <w:t>.- Se incluye una sección específica correspondiente al gasto en servicios personales, el cual comprende las remuneraciones de los servidores públicos, desglosando las percepciones ordinarias y extraordinarias, e incluyendo las erogaciones por concepto de obligaciones de carácter fiscal y de seguridad social inherentes a las mismas.</w:t>
      </w:r>
      <w:r>
        <w:rPr>
          <w:rFonts w:eastAsia="Calibri"/>
          <w:sz w:val="20"/>
          <w:szCs w:val="20"/>
        </w:rPr>
        <w:t xml:space="preserve"> </w:t>
      </w:r>
    </w:p>
    <w:p w14:paraId="425648CF" w14:textId="77777777" w:rsidR="00687FDF" w:rsidRPr="00955A4C" w:rsidRDefault="00687FDF" w:rsidP="00800CF7">
      <w:pPr>
        <w:pStyle w:val="Prrafodelista"/>
        <w:numPr>
          <w:ilvl w:val="1"/>
          <w:numId w:val="22"/>
        </w:numPr>
        <w:spacing w:line="360" w:lineRule="auto"/>
        <w:jc w:val="both"/>
        <w:rPr>
          <w:rFonts w:eastAsia="Calibri"/>
          <w:color w:val="000000" w:themeColor="text1"/>
          <w:sz w:val="20"/>
          <w:szCs w:val="20"/>
        </w:rPr>
      </w:pPr>
      <w:r w:rsidRPr="00955A4C">
        <w:rPr>
          <w:rFonts w:eastAsia="Calibri"/>
          <w:b/>
          <w:color w:val="000000" w:themeColor="text1"/>
          <w:sz w:val="20"/>
          <w:szCs w:val="20"/>
        </w:rPr>
        <w:t>Excedentes presupuestarios</w:t>
      </w:r>
      <w:r w:rsidRPr="00955A4C">
        <w:rPr>
          <w:rFonts w:eastAsia="Calibri"/>
          <w:color w:val="000000" w:themeColor="text1"/>
          <w:sz w:val="20"/>
          <w:szCs w:val="20"/>
        </w:rPr>
        <w:t>.- Por otro lado, en el proyecto se establece que, en caso de cumplirse o rebasarse las expectativas económicas previstas, los excedentes presupuestarios que se determinen, deberán aplicarse, de conformidad con lo establecido en el Código Financiero para el Estado de Tlaxcala y sus Municipios</w:t>
      </w:r>
      <w:r>
        <w:rPr>
          <w:rFonts w:eastAsia="Calibri"/>
          <w:color w:val="000000" w:themeColor="text1"/>
          <w:sz w:val="20"/>
          <w:szCs w:val="20"/>
        </w:rPr>
        <w:t xml:space="preserve"> </w:t>
      </w:r>
      <w:r w:rsidRPr="00955A4C">
        <w:rPr>
          <w:rFonts w:eastAsia="Calibri"/>
          <w:color w:val="000000" w:themeColor="text1"/>
          <w:sz w:val="20"/>
          <w:szCs w:val="20"/>
        </w:rPr>
        <w:t>como sigue:</w:t>
      </w:r>
    </w:p>
    <w:p w14:paraId="0333FCED" w14:textId="77777777" w:rsidR="00687FDF" w:rsidRPr="00955A4C" w:rsidRDefault="00687FDF" w:rsidP="00800CF7">
      <w:pPr>
        <w:pStyle w:val="Prrafodelista"/>
        <w:numPr>
          <w:ilvl w:val="2"/>
          <w:numId w:val="30"/>
        </w:numPr>
        <w:spacing w:line="360" w:lineRule="auto"/>
        <w:jc w:val="both"/>
        <w:rPr>
          <w:rFonts w:eastAsia="Calibri"/>
          <w:color w:val="000000" w:themeColor="text1"/>
          <w:sz w:val="20"/>
          <w:szCs w:val="20"/>
        </w:rPr>
      </w:pPr>
      <w:r w:rsidRPr="00955A4C">
        <w:rPr>
          <w:rFonts w:eastAsia="Calibri"/>
          <w:color w:val="000000" w:themeColor="text1"/>
          <w:sz w:val="20"/>
          <w:szCs w:val="20"/>
        </w:rPr>
        <w:t>Por lo menos el 50 por ciento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la atención de desastres naturales y de pensiones, y</w:t>
      </w:r>
    </w:p>
    <w:p w14:paraId="7C7ACDC3" w14:textId="77777777" w:rsidR="00687FDF" w:rsidRPr="00955A4C" w:rsidRDefault="00687FDF" w:rsidP="00800CF7">
      <w:pPr>
        <w:pStyle w:val="Prrafodelista"/>
        <w:numPr>
          <w:ilvl w:val="2"/>
          <w:numId w:val="30"/>
        </w:numPr>
        <w:spacing w:line="360" w:lineRule="auto"/>
        <w:jc w:val="both"/>
        <w:rPr>
          <w:rFonts w:eastAsia="Calibri"/>
          <w:color w:val="000000" w:themeColor="text1"/>
          <w:sz w:val="20"/>
          <w:szCs w:val="20"/>
        </w:rPr>
      </w:pPr>
      <w:r w:rsidRPr="00955A4C">
        <w:rPr>
          <w:rFonts w:eastAsia="Calibri"/>
          <w:color w:val="000000" w:themeColor="text1"/>
          <w:sz w:val="20"/>
          <w:szCs w:val="20"/>
        </w:rPr>
        <w:t>En su caso, el remanente para: Inversión pública productiva, a través del Fondo de Inversión Pública Productiva Estatal o Municipal, según sea el caso, con el fin de que los recursos correspondientes se ejerzan a más tardar en el ejercicio inmediato siguiente y el Fondo de Compensación Estatal o Municipal, según sea el caso, que tiene por objeto compensar la caída de Ingresos de libre disposición de ejercicios subsecuentes.</w:t>
      </w:r>
    </w:p>
    <w:p w14:paraId="0E349E7E" w14:textId="77777777" w:rsidR="00687FDF" w:rsidRPr="00955A4C" w:rsidRDefault="00687FDF" w:rsidP="00687FDF">
      <w:pPr>
        <w:pStyle w:val="Prrafodelista"/>
        <w:spacing w:line="360" w:lineRule="auto"/>
        <w:ind w:left="1440"/>
        <w:jc w:val="both"/>
        <w:rPr>
          <w:rFonts w:eastAsia="Calibri"/>
          <w:color w:val="000000" w:themeColor="text1"/>
          <w:sz w:val="20"/>
          <w:szCs w:val="20"/>
        </w:rPr>
      </w:pPr>
    </w:p>
    <w:p w14:paraId="13B0FA81" w14:textId="77777777" w:rsidR="00687FDF" w:rsidRDefault="00687FDF" w:rsidP="00687FDF">
      <w:pPr>
        <w:spacing w:line="360" w:lineRule="auto"/>
        <w:jc w:val="both"/>
        <w:rPr>
          <w:rFonts w:eastAsia="Calibri"/>
          <w:color w:val="000000" w:themeColor="text1"/>
          <w:sz w:val="20"/>
          <w:szCs w:val="20"/>
        </w:rPr>
      </w:pPr>
      <w:r w:rsidRPr="00267C93">
        <w:rPr>
          <w:rFonts w:eastAsia="Calibri"/>
          <w:color w:val="000000" w:themeColor="text1"/>
          <w:sz w:val="20"/>
          <w:szCs w:val="20"/>
        </w:rPr>
        <w:lastRenderedPageBreak/>
        <w:t>Los ingresos excedentes podrán destinarse a los rubros mencionados sin limitación alguna, siempre y cuando el Estado se clasifique en un nivel de endeudamiento sostenible d</w:t>
      </w:r>
      <w:r>
        <w:rPr>
          <w:rFonts w:eastAsia="Calibri"/>
          <w:color w:val="000000" w:themeColor="text1"/>
          <w:sz w:val="20"/>
          <w:szCs w:val="20"/>
        </w:rPr>
        <w:t>e acuerdo al Sistema de Alertas.</w:t>
      </w:r>
    </w:p>
    <w:p w14:paraId="0786D938" w14:textId="77777777" w:rsidR="00687FDF" w:rsidRDefault="00687FDF" w:rsidP="00687FDF">
      <w:pPr>
        <w:spacing w:line="360" w:lineRule="auto"/>
        <w:jc w:val="both"/>
        <w:rPr>
          <w:rFonts w:eastAsia="Calibri"/>
          <w:color w:val="000000" w:themeColor="text1"/>
          <w:sz w:val="20"/>
          <w:szCs w:val="20"/>
        </w:rPr>
      </w:pPr>
    </w:p>
    <w:p w14:paraId="5B47EF37" w14:textId="77777777" w:rsidR="00687FDF" w:rsidRDefault="00687FDF" w:rsidP="00687FDF">
      <w:pPr>
        <w:spacing w:line="360" w:lineRule="auto"/>
        <w:jc w:val="both"/>
        <w:rPr>
          <w:rFonts w:eastAsia="Calibri"/>
          <w:color w:val="000000" w:themeColor="text1"/>
          <w:sz w:val="20"/>
          <w:szCs w:val="20"/>
        </w:rPr>
      </w:pPr>
      <w:r>
        <w:rPr>
          <w:rFonts w:eastAsia="Calibri"/>
          <w:color w:val="000000" w:themeColor="text1"/>
          <w:sz w:val="20"/>
          <w:szCs w:val="20"/>
        </w:rPr>
        <w:t>Y por la Ley de Disciplina Financiera de las Entidades Federativas y los Municipios que enuncia lo siguiente:</w:t>
      </w:r>
    </w:p>
    <w:p w14:paraId="71B101D2" w14:textId="77777777" w:rsidR="00687FDF" w:rsidRDefault="00687FDF" w:rsidP="00687FDF">
      <w:pPr>
        <w:spacing w:line="360" w:lineRule="auto"/>
        <w:jc w:val="both"/>
        <w:rPr>
          <w:rFonts w:eastAsia="Calibri"/>
          <w:color w:val="000000" w:themeColor="text1"/>
          <w:sz w:val="20"/>
          <w:szCs w:val="20"/>
        </w:rPr>
      </w:pPr>
    </w:p>
    <w:p w14:paraId="2E9FC442" w14:textId="77777777" w:rsidR="00687FDF" w:rsidRPr="001C6AC8" w:rsidRDefault="00687FDF" w:rsidP="00800CF7">
      <w:pPr>
        <w:pStyle w:val="Prrafodelista"/>
        <w:numPr>
          <w:ilvl w:val="0"/>
          <w:numId w:val="23"/>
        </w:numPr>
        <w:spacing w:line="360" w:lineRule="auto"/>
        <w:jc w:val="both"/>
        <w:rPr>
          <w:rFonts w:eastAsia="Calibri"/>
          <w:color w:val="000000" w:themeColor="text1"/>
          <w:sz w:val="20"/>
          <w:szCs w:val="20"/>
        </w:rPr>
      </w:pPr>
      <w:r w:rsidRPr="001C6AC8">
        <w:rPr>
          <w:sz w:val="20"/>
          <w:szCs w:val="20"/>
        </w:rPr>
        <w:t>Cuando la Entidad Federativa se clasifique en un nivel de endeudamiento sostenible de acuerdo al Sistema de Alertas, podrá utilizar hasta un 5 por ciento de los recursos a los que se refiere el prese</w:t>
      </w:r>
      <w:r>
        <w:rPr>
          <w:sz w:val="20"/>
          <w:szCs w:val="20"/>
        </w:rPr>
        <w:t>nte artículo para cubrir Gasto C</w:t>
      </w:r>
      <w:r w:rsidRPr="001C6AC8">
        <w:rPr>
          <w:sz w:val="20"/>
          <w:szCs w:val="20"/>
        </w:rPr>
        <w:t>orriente.</w:t>
      </w:r>
    </w:p>
    <w:p w14:paraId="4238F244" w14:textId="77777777" w:rsidR="00687FDF" w:rsidRPr="00955A4C" w:rsidRDefault="00687FDF" w:rsidP="00687FDF">
      <w:pPr>
        <w:spacing w:line="360" w:lineRule="auto"/>
        <w:jc w:val="both"/>
        <w:rPr>
          <w:rFonts w:eastAsia="Calibri"/>
          <w:color w:val="000000" w:themeColor="text1"/>
          <w:sz w:val="20"/>
          <w:szCs w:val="20"/>
        </w:rPr>
      </w:pPr>
    </w:p>
    <w:p w14:paraId="1DB2EFD3" w14:textId="77777777" w:rsidR="00687FDF" w:rsidRPr="00955A4C" w:rsidRDefault="00687FDF" w:rsidP="00687FDF">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Los Municipios y demás entes públicos se apegarán a la misma regla, conforme lo previsto en </w:t>
      </w:r>
      <w:r>
        <w:rPr>
          <w:rFonts w:eastAsia="Calibri"/>
          <w:color w:val="000000" w:themeColor="text1"/>
          <w:sz w:val="20"/>
          <w:szCs w:val="20"/>
        </w:rPr>
        <w:t xml:space="preserve">el Código Financiero para el Estado </w:t>
      </w:r>
      <w:r w:rsidRPr="00955A4C">
        <w:rPr>
          <w:rFonts w:eastAsia="Calibri"/>
          <w:color w:val="000000" w:themeColor="text1"/>
          <w:sz w:val="20"/>
          <w:szCs w:val="20"/>
        </w:rPr>
        <w:t xml:space="preserve">Tlaxcala </w:t>
      </w:r>
      <w:r>
        <w:rPr>
          <w:rFonts w:eastAsia="Calibri"/>
          <w:color w:val="000000" w:themeColor="text1"/>
          <w:sz w:val="20"/>
          <w:szCs w:val="20"/>
        </w:rPr>
        <w:t>y</w:t>
      </w:r>
      <w:r w:rsidRPr="00955A4C">
        <w:rPr>
          <w:rFonts w:eastAsia="Calibri"/>
          <w:color w:val="000000" w:themeColor="text1"/>
          <w:sz w:val="20"/>
          <w:szCs w:val="20"/>
        </w:rPr>
        <w:t xml:space="preserve"> sus Municipios.</w:t>
      </w:r>
    </w:p>
    <w:p w14:paraId="74A73250" w14:textId="77777777" w:rsidR="00687FDF" w:rsidRPr="00955A4C" w:rsidRDefault="00687FDF" w:rsidP="00687FDF">
      <w:pPr>
        <w:spacing w:line="360" w:lineRule="auto"/>
        <w:jc w:val="both"/>
        <w:rPr>
          <w:rFonts w:eastAsia="Calibri"/>
          <w:color w:val="000000" w:themeColor="text1"/>
          <w:sz w:val="20"/>
          <w:szCs w:val="20"/>
        </w:rPr>
      </w:pPr>
    </w:p>
    <w:p w14:paraId="4D421DE6" w14:textId="77777777" w:rsidR="00687FDF" w:rsidRDefault="00687FDF" w:rsidP="00687FDF">
      <w:pPr>
        <w:spacing w:line="360" w:lineRule="auto"/>
        <w:jc w:val="both"/>
        <w:rPr>
          <w:rFonts w:eastAsia="Calibri"/>
          <w:b/>
          <w:bCs/>
          <w:sz w:val="20"/>
          <w:szCs w:val="20"/>
        </w:rPr>
      </w:pPr>
    </w:p>
    <w:p w14:paraId="7C81DDB0" w14:textId="77777777" w:rsidR="00687FDF" w:rsidRPr="00955A4C" w:rsidRDefault="00687FDF" w:rsidP="00687FDF">
      <w:pPr>
        <w:spacing w:line="360" w:lineRule="auto"/>
        <w:jc w:val="both"/>
        <w:rPr>
          <w:b/>
          <w:sz w:val="20"/>
          <w:szCs w:val="20"/>
        </w:rPr>
      </w:pPr>
      <w:r w:rsidRPr="00955A4C">
        <w:rPr>
          <w:rFonts w:eastAsia="Calibri"/>
          <w:b/>
          <w:bCs/>
          <w:sz w:val="20"/>
          <w:szCs w:val="20"/>
        </w:rPr>
        <w:t>PERSPECTIVAS ECONÓMICAS Y FISCALES DEL ESTADO DE TLAXCALA 20</w:t>
      </w:r>
      <w:r>
        <w:rPr>
          <w:rFonts w:eastAsia="Calibri"/>
          <w:b/>
          <w:bCs/>
          <w:sz w:val="20"/>
          <w:szCs w:val="20"/>
        </w:rPr>
        <w:t>21</w:t>
      </w:r>
      <w:r w:rsidRPr="00955A4C">
        <w:rPr>
          <w:rFonts w:eastAsia="Calibri"/>
          <w:b/>
          <w:bCs/>
          <w:sz w:val="20"/>
          <w:szCs w:val="20"/>
        </w:rPr>
        <w:t>-202</w:t>
      </w:r>
      <w:r>
        <w:rPr>
          <w:rFonts w:eastAsia="Calibri"/>
          <w:b/>
          <w:bCs/>
          <w:sz w:val="20"/>
          <w:szCs w:val="20"/>
        </w:rPr>
        <w:t>6</w:t>
      </w:r>
      <w:r w:rsidRPr="00955A4C">
        <w:rPr>
          <w:rFonts w:eastAsia="Calibri"/>
          <w:b/>
          <w:bCs/>
          <w:sz w:val="20"/>
          <w:szCs w:val="20"/>
        </w:rPr>
        <w:t>.</w:t>
      </w:r>
    </w:p>
    <w:p w14:paraId="1D22A0AD" w14:textId="77777777" w:rsidR="00687FDF" w:rsidRPr="00955A4C" w:rsidRDefault="00687FDF" w:rsidP="00687FDF">
      <w:pPr>
        <w:spacing w:line="360" w:lineRule="auto"/>
        <w:jc w:val="both"/>
        <w:rPr>
          <w:sz w:val="20"/>
          <w:szCs w:val="20"/>
        </w:rPr>
      </w:pPr>
    </w:p>
    <w:p w14:paraId="547ACA83" w14:textId="77777777" w:rsidR="00687FDF" w:rsidRPr="00955A4C" w:rsidRDefault="00687FDF" w:rsidP="00687FDF">
      <w:pPr>
        <w:spacing w:line="360" w:lineRule="auto"/>
        <w:jc w:val="both"/>
        <w:rPr>
          <w:sz w:val="20"/>
          <w:szCs w:val="20"/>
        </w:rPr>
      </w:pPr>
      <w:r w:rsidRPr="00955A4C">
        <w:rPr>
          <w:sz w:val="20"/>
          <w:szCs w:val="20"/>
        </w:rPr>
        <w:t>El Paquete Económico para</w:t>
      </w:r>
      <w:r>
        <w:rPr>
          <w:sz w:val="20"/>
          <w:szCs w:val="20"/>
        </w:rPr>
        <w:t xml:space="preserve"> el Ejercicio Fiscal</w:t>
      </w:r>
      <w:r w:rsidRPr="00955A4C">
        <w:rPr>
          <w:sz w:val="20"/>
          <w:szCs w:val="20"/>
        </w:rPr>
        <w:t xml:space="preserve"> 202</w:t>
      </w:r>
      <w:r>
        <w:rPr>
          <w:sz w:val="20"/>
          <w:szCs w:val="20"/>
        </w:rPr>
        <w:t>1</w:t>
      </w:r>
      <w:r w:rsidRPr="00955A4C">
        <w:rPr>
          <w:sz w:val="20"/>
          <w:szCs w:val="20"/>
        </w:rPr>
        <w:t xml:space="preserve"> puesto a consideración de esta </w:t>
      </w:r>
      <w:r>
        <w:rPr>
          <w:sz w:val="20"/>
          <w:szCs w:val="20"/>
        </w:rPr>
        <w:t>Legislatura</w:t>
      </w:r>
      <w:r w:rsidRPr="00955A4C">
        <w:rPr>
          <w:sz w:val="20"/>
          <w:szCs w:val="20"/>
        </w:rPr>
        <w:t xml:space="preserve">, refleja el compromiso del Ejecutivo del Estado de continuar con un manejo responsable de las finanzas públicas para promover la estabilidad económica. Asimismo, en el </w:t>
      </w:r>
      <w:r>
        <w:rPr>
          <w:sz w:val="20"/>
          <w:szCs w:val="20"/>
        </w:rPr>
        <w:t xml:space="preserve">Proyecto de </w:t>
      </w:r>
      <w:r>
        <w:rPr>
          <w:rFonts w:eastAsia="Calibri"/>
          <w:color w:val="000000" w:themeColor="text1"/>
          <w:sz w:val="20"/>
          <w:szCs w:val="20"/>
        </w:rPr>
        <w:t>Presupuesto de Egresos del Estado para el Ejercicio Fiscal 2021</w:t>
      </w:r>
      <w:r w:rsidRPr="00955A4C">
        <w:rPr>
          <w:sz w:val="20"/>
          <w:szCs w:val="20"/>
        </w:rPr>
        <w:t xml:space="preserve">, se mantiene la política de austeridad y disciplina presupuestaria para los entes del Gobierno del Estado, en congruencia con las políticas establecidas por el Gobierno Federal en la optimización de las plantillas laborales y la reasignación de funciones que permitan la mejor aplicación de los recursos públicos en los diferentes programas y proyectos de inversión. </w:t>
      </w:r>
    </w:p>
    <w:p w14:paraId="05B7F03D" w14:textId="77777777" w:rsidR="00687FDF" w:rsidRPr="00955A4C" w:rsidRDefault="00687FDF" w:rsidP="00687FDF">
      <w:pPr>
        <w:spacing w:line="360" w:lineRule="auto"/>
        <w:jc w:val="both"/>
        <w:rPr>
          <w:sz w:val="20"/>
          <w:szCs w:val="20"/>
        </w:rPr>
      </w:pPr>
    </w:p>
    <w:p w14:paraId="7C88162B" w14:textId="77777777" w:rsidR="00687FDF" w:rsidRDefault="00687FDF" w:rsidP="00687FDF">
      <w:pPr>
        <w:spacing w:line="360" w:lineRule="auto"/>
        <w:jc w:val="both"/>
        <w:rPr>
          <w:sz w:val="20"/>
          <w:szCs w:val="20"/>
        </w:rPr>
      </w:pPr>
      <w:r w:rsidRPr="00955A4C">
        <w:rPr>
          <w:sz w:val="20"/>
          <w:szCs w:val="20"/>
        </w:rPr>
        <w:t>Por lo anterior, y con la finalidad de permanecer en la trayectoria de consolidación fiscal, el Gobierno del Estado propone continuar con la aplicación de acciones que permitan generar ahorros en el gasto público, tales como: el evitar la duplicidad de funciones, eficientar procesos administrativos, así como el uso adecuado de materiales y suministros, entre otros.</w:t>
      </w:r>
    </w:p>
    <w:p w14:paraId="0BC770CD" w14:textId="77777777" w:rsidR="00687FDF" w:rsidRDefault="00687FDF" w:rsidP="00687FDF">
      <w:pPr>
        <w:spacing w:line="360" w:lineRule="auto"/>
        <w:jc w:val="both"/>
        <w:rPr>
          <w:sz w:val="20"/>
          <w:szCs w:val="20"/>
        </w:rPr>
      </w:pPr>
    </w:p>
    <w:p w14:paraId="7D3F21A4" w14:textId="77777777" w:rsidR="00687FDF" w:rsidRPr="00955A4C" w:rsidRDefault="00687FDF" w:rsidP="00687FDF">
      <w:pPr>
        <w:spacing w:line="360" w:lineRule="auto"/>
        <w:jc w:val="both"/>
        <w:rPr>
          <w:color w:val="FF0000"/>
          <w:sz w:val="20"/>
          <w:szCs w:val="20"/>
        </w:rPr>
      </w:pPr>
      <w:r w:rsidRPr="00955A4C">
        <w:rPr>
          <w:sz w:val="20"/>
          <w:szCs w:val="20"/>
        </w:rPr>
        <w:t xml:space="preserve">La Secretaría de Hacienda y Crédito Público estima que durante </w:t>
      </w:r>
      <w:r>
        <w:rPr>
          <w:sz w:val="20"/>
          <w:szCs w:val="20"/>
        </w:rPr>
        <w:t xml:space="preserve">el ejercicio fiscal </w:t>
      </w:r>
      <w:r w:rsidRPr="00955A4C">
        <w:rPr>
          <w:sz w:val="20"/>
          <w:szCs w:val="20"/>
        </w:rPr>
        <w:t>202</w:t>
      </w:r>
      <w:r>
        <w:rPr>
          <w:sz w:val="20"/>
          <w:szCs w:val="20"/>
        </w:rPr>
        <w:t>1</w:t>
      </w:r>
      <w:r w:rsidRPr="00955A4C">
        <w:rPr>
          <w:sz w:val="20"/>
          <w:szCs w:val="20"/>
        </w:rPr>
        <w:t xml:space="preserve"> el PIB de México registrará un crecimi</w:t>
      </w:r>
      <w:r>
        <w:rPr>
          <w:sz w:val="20"/>
          <w:szCs w:val="20"/>
        </w:rPr>
        <w:t>ento real dentro de un rango del 4.6%</w:t>
      </w:r>
      <w:r w:rsidRPr="00955A4C">
        <w:rPr>
          <w:sz w:val="20"/>
          <w:szCs w:val="20"/>
        </w:rPr>
        <w:t xml:space="preserve">. </w:t>
      </w:r>
    </w:p>
    <w:p w14:paraId="79FA811E" w14:textId="77777777" w:rsidR="00687FDF" w:rsidRPr="00955A4C" w:rsidRDefault="00687FDF" w:rsidP="00687FDF">
      <w:pPr>
        <w:spacing w:line="360" w:lineRule="auto"/>
        <w:jc w:val="both"/>
        <w:rPr>
          <w:color w:val="FF0000"/>
          <w:sz w:val="20"/>
          <w:szCs w:val="20"/>
        </w:rPr>
      </w:pPr>
    </w:p>
    <w:p w14:paraId="1A385582" w14:textId="77777777" w:rsidR="00687FDF" w:rsidRPr="00955A4C" w:rsidRDefault="00687FDF" w:rsidP="00687FDF">
      <w:pPr>
        <w:spacing w:line="360" w:lineRule="auto"/>
        <w:jc w:val="both"/>
        <w:rPr>
          <w:sz w:val="20"/>
          <w:szCs w:val="20"/>
        </w:rPr>
      </w:pPr>
      <w:r>
        <w:rPr>
          <w:sz w:val="20"/>
          <w:szCs w:val="20"/>
        </w:rPr>
        <w:lastRenderedPageBreak/>
        <w:t>En consecuencia,</w:t>
      </w:r>
      <w:r w:rsidRPr="005D56BF">
        <w:rPr>
          <w:sz w:val="20"/>
          <w:szCs w:val="20"/>
        </w:rPr>
        <w:t xml:space="preserve"> se estima que en el per</w:t>
      </w:r>
      <w:r>
        <w:rPr>
          <w:sz w:val="20"/>
          <w:szCs w:val="20"/>
        </w:rPr>
        <w:t>í</w:t>
      </w:r>
      <w:r w:rsidRPr="005D56BF">
        <w:rPr>
          <w:sz w:val="20"/>
          <w:szCs w:val="20"/>
        </w:rPr>
        <w:t>odo 2022-20</w:t>
      </w:r>
      <w:r>
        <w:rPr>
          <w:sz w:val="20"/>
          <w:szCs w:val="20"/>
        </w:rPr>
        <w:t xml:space="preserve">26 el PIB de México registre un </w:t>
      </w:r>
      <w:r w:rsidRPr="005D56BF">
        <w:rPr>
          <w:sz w:val="20"/>
          <w:szCs w:val="20"/>
        </w:rPr>
        <w:t>crecimiento real anual de entre 2.0 y 3.0%. Específicamente, la estimación puntual del crecimiento del PIB para</w:t>
      </w:r>
      <w:r>
        <w:rPr>
          <w:sz w:val="20"/>
          <w:szCs w:val="20"/>
        </w:rPr>
        <w:t xml:space="preserve"> </w:t>
      </w:r>
      <w:r w:rsidRPr="005D56BF">
        <w:rPr>
          <w:sz w:val="20"/>
          <w:szCs w:val="20"/>
        </w:rPr>
        <w:t>2022 se ubica en 2.6%, y de 2023 a 2024 en 2.5%. Cabe señalar que estas estimaciones se ubican ligeramente por</w:t>
      </w:r>
      <w:r>
        <w:rPr>
          <w:sz w:val="20"/>
          <w:szCs w:val="20"/>
        </w:rPr>
        <w:t xml:space="preserve"> </w:t>
      </w:r>
      <w:r w:rsidRPr="005D56BF">
        <w:rPr>
          <w:sz w:val="20"/>
          <w:szCs w:val="20"/>
        </w:rPr>
        <w:t>arriba de la expectativa del FMI para el per</w:t>
      </w:r>
      <w:r>
        <w:rPr>
          <w:sz w:val="20"/>
          <w:szCs w:val="20"/>
        </w:rPr>
        <w:t>í</w:t>
      </w:r>
      <w:r w:rsidRPr="005D56BF">
        <w:rPr>
          <w:sz w:val="20"/>
          <w:szCs w:val="20"/>
        </w:rPr>
        <w:t>odo 2021-2024 con un crecimiento promedio de 2.2% y del pronóstico</w:t>
      </w:r>
      <w:r>
        <w:rPr>
          <w:sz w:val="20"/>
          <w:szCs w:val="20"/>
        </w:rPr>
        <w:t xml:space="preserve"> </w:t>
      </w:r>
      <w:r w:rsidRPr="005D56BF">
        <w:rPr>
          <w:sz w:val="20"/>
          <w:szCs w:val="20"/>
        </w:rPr>
        <w:t>promedio de los próximos diez años reportado por los analistas encuestados por el Banco de México de 1.9%, de</w:t>
      </w:r>
      <w:r>
        <w:rPr>
          <w:sz w:val="20"/>
          <w:szCs w:val="20"/>
        </w:rPr>
        <w:t xml:space="preserve"> </w:t>
      </w:r>
      <w:r w:rsidRPr="005D56BF">
        <w:rPr>
          <w:sz w:val="20"/>
          <w:szCs w:val="20"/>
        </w:rPr>
        <w:t>acuerdo con la encuesta publicada el 1 de septiembre de 2020</w:t>
      </w:r>
      <w:r w:rsidRPr="005D56BF">
        <w:rPr>
          <w:color w:val="FF0000"/>
          <w:sz w:val="20"/>
          <w:szCs w:val="20"/>
        </w:rPr>
        <w:t>.</w:t>
      </w:r>
    </w:p>
    <w:p w14:paraId="7E352E92" w14:textId="77777777" w:rsidR="00687FDF" w:rsidRPr="00955A4C" w:rsidRDefault="00687FDF" w:rsidP="00687FDF">
      <w:pPr>
        <w:spacing w:line="360" w:lineRule="auto"/>
        <w:jc w:val="both"/>
        <w:rPr>
          <w:color w:val="FF0000"/>
          <w:sz w:val="20"/>
          <w:szCs w:val="20"/>
        </w:rPr>
      </w:pPr>
    </w:p>
    <w:p w14:paraId="594888C7" w14:textId="77777777" w:rsidR="00687FDF" w:rsidRDefault="00687FDF" w:rsidP="00687FDF">
      <w:pPr>
        <w:spacing w:line="360" w:lineRule="auto"/>
        <w:jc w:val="both"/>
        <w:rPr>
          <w:sz w:val="20"/>
          <w:szCs w:val="20"/>
        </w:rPr>
      </w:pPr>
      <w:r w:rsidRPr="00955A4C">
        <w:rPr>
          <w:sz w:val="20"/>
          <w:szCs w:val="20"/>
        </w:rPr>
        <w:t>En el siguiente cuadro se presentan las perspectivas de finanzas públicas de mediano plazo para el Estado de Tlaxcala.</w:t>
      </w:r>
    </w:p>
    <w:p w14:paraId="07205306" w14:textId="77777777" w:rsidR="00560012" w:rsidRDefault="00560012" w:rsidP="00036390">
      <w:pPr>
        <w:spacing w:line="360" w:lineRule="auto"/>
        <w:ind w:left="-11"/>
        <w:jc w:val="both"/>
        <w:rPr>
          <w:sz w:val="20"/>
          <w:szCs w:val="20"/>
        </w:rPr>
      </w:pPr>
    </w:p>
    <w:tbl>
      <w:tblPr>
        <w:tblW w:w="6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560012" w:rsidRPr="002E0CC2" w14:paraId="3FD02BEA" w14:textId="77777777" w:rsidTr="00F01A99">
        <w:trPr>
          <w:trHeight w:val="300"/>
          <w:tblHeader/>
          <w:jc w:val="center"/>
        </w:trPr>
        <w:tc>
          <w:tcPr>
            <w:tcW w:w="6762" w:type="dxa"/>
            <w:gridSpan w:val="7"/>
            <w:shd w:val="clear" w:color="000000" w:fill="D9D9D9"/>
            <w:noWrap/>
            <w:vAlign w:val="center"/>
            <w:hideMark/>
          </w:tcPr>
          <w:p w14:paraId="2F2BD67C" w14:textId="77777777" w:rsidR="00560012" w:rsidRPr="002E0CC2" w:rsidRDefault="00560012" w:rsidP="00F01A99">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560012" w:rsidRPr="002E0CC2" w14:paraId="74350186" w14:textId="77777777" w:rsidTr="00F01A99">
        <w:trPr>
          <w:trHeight w:val="300"/>
          <w:tblHeader/>
          <w:jc w:val="center"/>
        </w:trPr>
        <w:tc>
          <w:tcPr>
            <w:tcW w:w="6762" w:type="dxa"/>
            <w:gridSpan w:val="7"/>
            <w:shd w:val="clear" w:color="000000" w:fill="D9D9D9"/>
            <w:noWrap/>
            <w:vAlign w:val="center"/>
            <w:hideMark/>
          </w:tcPr>
          <w:p w14:paraId="303173D2" w14:textId="77777777" w:rsidR="00560012" w:rsidRPr="002E0CC2" w:rsidRDefault="00560012" w:rsidP="00F01A99">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Proyecciones de Egresos - LDF</w:t>
            </w:r>
          </w:p>
        </w:tc>
      </w:tr>
      <w:tr w:rsidR="00560012" w:rsidRPr="002E0CC2" w14:paraId="7B0D594C" w14:textId="77777777" w:rsidTr="00F01A99">
        <w:trPr>
          <w:trHeight w:val="315"/>
          <w:tblHeader/>
          <w:jc w:val="center"/>
        </w:trPr>
        <w:tc>
          <w:tcPr>
            <w:tcW w:w="6762" w:type="dxa"/>
            <w:gridSpan w:val="7"/>
            <w:shd w:val="clear" w:color="000000" w:fill="D9D9D9"/>
            <w:noWrap/>
            <w:vAlign w:val="center"/>
            <w:hideMark/>
          </w:tcPr>
          <w:p w14:paraId="30886166" w14:textId="77777777" w:rsidR="00560012" w:rsidRPr="002E0CC2" w:rsidRDefault="00560012" w:rsidP="00F01A99">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560012" w:rsidRPr="002E0CC2" w14:paraId="2C035037" w14:textId="77777777" w:rsidTr="00F01A99">
        <w:trPr>
          <w:trHeight w:val="315"/>
          <w:tblHeader/>
          <w:jc w:val="center"/>
        </w:trPr>
        <w:tc>
          <w:tcPr>
            <w:tcW w:w="1691" w:type="dxa"/>
            <w:shd w:val="clear" w:color="000000" w:fill="D9D9D9"/>
            <w:noWrap/>
            <w:vAlign w:val="center"/>
            <w:hideMark/>
          </w:tcPr>
          <w:p w14:paraId="4A27B13E" w14:textId="77777777" w:rsidR="00560012" w:rsidRPr="002E0CC2" w:rsidRDefault="00560012" w:rsidP="00F01A99">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shd w:val="clear" w:color="000000" w:fill="D9D9D9"/>
            <w:noWrap/>
            <w:vAlign w:val="center"/>
            <w:hideMark/>
          </w:tcPr>
          <w:p w14:paraId="6FC78272" w14:textId="77777777" w:rsidR="00560012" w:rsidRDefault="00560012" w:rsidP="00F01A99">
            <w:pPr>
              <w:jc w:val="center"/>
              <w:rPr>
                <w:rFonts w:ascii="Arial" w:hAnsi="Arial" w:cs="Arial"/>
                <w:b/>
                <w:bCs/>
                <w:color w:val="000000"/>
                <w:sz w:val="12"/>
                <w:szCs w:val="12"/>
                <w:lang w:val="es-MX" w:eastAsia="es-MX"/>
              </w:rPr>
            </w:pPr>
            <w:r>
              <w:rPr>
                <w:rFonts w:ascii="Arial" w:hAnsi="Arial" w:cs="Arial"/>
                <w:b/>
                <w:bCs/>
                <w:color w:val="000000"/>
                <w:sz w:val="12"/>
                <w:szCs w:val="12"/>
              </w:rPr>
              <w:t>2021</w:t>
            </w:r>
          </w:p>
        </w:tc>
        <w:tc>
          <w:tcPr>
            <w:tcW w:w="836" w:type="dxa"/>
            <w:shd w:val="clear" w:color="000000" w:fill="D9D9D9"/>
            <w:noWrap/>
            <w:vAlign w:val="center"/>
            <w:hideMark/>
          </w:tcPr>
          <w:p w14:paraId="53E430F8" w14:textId="77777777" w:rsidR="00560012" w:rsidRDefault="00560012" w:rsidP="00F01A99">
            <w:pPr>
              <w:jc w:val="center"/>
              <w:rPr>
                <w:rFonts w:ascii="Arial" w:hAnsi="Arial" w:cs="Arial"/>
                <w:b/>
                <w:bCs/>
                <w:color w:val="000000"/>
                <w:sz w:val="12"/>
                <w:szCs w:val="12"/>
              </w:rPr>
            </w:pPr>
            <w:r>
              <w:rPr>
                <w:rFonts w:ascii="Arial" w:hAnsi="Arial" w:cs="Arial"/>
                <w:b/>
                <w:bCs/>
                <w:color w:val="000000"/>
                <w:sz w:val="12"/>
                <w:szCs w:val="12"/>
              </w:rPr>
              <w:t>2022</w:t>
            </w:r>
          </w:p>
        </w:tc>
        <w:tc>
          <w:tcPr>
            <w:tcW w:w="836" w:type="dxa"/>
            <w:shd w:val="clear" w:color="000000" w:fill="D9D9D9"/>
            <w:noWrap/>
            <w:vAlign w:val="center"/>
            <w:hideMark/>
          </w:tcPr>
          <w:p w14:paraId="7437871D" w14:textId="77777777" w:rsidR="00560012" w:rsidRDefault="00560012" w:rsidP="00F01A99">
            <w:pPr>
              <w:jc w:val="center"/>
              <w:rPr>
                <w:rFonts w:ascii="Arial" w:hAnsi="Arial" w:cs="Arial"/>
                <w:b/>
                <w:bCs/>
                <w:color w:val="000000"/>
                <w:sz w:val="12"/>
                <w:szCs w:val="12"/>
              </w:rPr>
            </w:pPr>
            <w:r>
              <w:rPr>
                <w:rFonts w:ascii="Arial" w:hAnsi="Arial" w:cs="Arial"/>
                <w:b/>
                <w:bCs/>
                <w:color w:val="000000"/>
                <w:sz w:val="12"/>
                <w:szCs w:val="12"/>
              </w:rPr>
              <w:t>2023</w:t>
            </w:r>
          </w:p>
        </w:tc>
        <w:tc>
          <w:tcPr>
            <w:tcW w:w="836" w:type="dxa"/>
            <w:shd w:val="clear" w:color="000000" w:fill="D9D9D9"/>
            <w:noWrap/>
            <w:vAlign w:val="center"/>
            <w:hideMark/>
          </w:tcPr>
          <w:p w14:paraId="11474864" w14:textId="77777777" w:rsidR="00560012" w:rsidRDefault="00560012" w:rsidP="00F01A99">
            <w:pPr>
              <w:jc w:val="center"/>
              <w:rPr>
                <w:rFonts w:ascii="Arial" w:hAnsi="Arial" w:cs="Arial"/>
                <w:b/>
                <w:bCs/>
                <w:color w:val="000000"/>
                <w:sz w:val="12"/>
                <w:szCs w:val="12"/>
              </w:rPr>
            </w:pPr>
            <w:r>
              <w:rPr>
                <w:rFonts w:ascii="Arial" w:hAnsi="Arial" w:cs="Arial"/>
                <w:b/>
                <w:bCs/>
                <w:color w:val="000000"/>
                <w:sz w:val="12"/>
                <w:szCs w:val="12"/>
              </w:rPr>
              <w:t>2024</w:t>
            </w:r>
          </w:p>
        </w:tc>
        <w:tc>
          <w:tcPr>
            <w:tcW w:w="836" w:type="dxa"/>
            <w:shd w:val="clear" w:color="000000" w:fill="D9D9D9"/>
            <w:noWrap/>
            <w:vAlign w:val="center"/>
            <w:hideMark/>
          </w:tcPr>
          <w:p w14:paraId="76B0EAAF" w14:textId="77777777" w:rsidR="00560012" w:rsidRDefault="00560012" w:rsidP="00F01A99">
            <w:pPr>
              <w:jc w:val="center"/>
              <w:rPr>
                <w:rFonts w:ascii="Arial" w:hAnsi="Arial" w:cs="Arial"/>
                <w:b/>
                <w:bCs/>
                <w:color w:val="000000"/>
                <w:sz w:val="12"/>
                <w:szCs w:val="12"/>
              </w:rPr>
            </w:pPr>
            <w:r>
              <w:rPr>
                <w:rFonts w:ascii="Arial" w:hAnsi="Arial" w:cs="Arial"/>
                <w:b/>
                <w:bCs/>
                <w:color w:val="000000"/>
                <w:sz w:val="12"/>
                <w:szCs w:val="12"/>
              </w:rPr>
              <w:t>2025</w:t>
            </w:r>
          </w:p>
        </w:tc>
        <w:tc>
          <w:tcPr>
            <w:tcW w:w="836" w:type="dxa"/>
            <w:shd w:val="clear" w:color="000000" w:fill="D9D9D9"/>
            <w:noWrap/>
            <w:vAlign w:val="center"/>
            <w:hideMark/>
          </w:tcPr>
          <w:p w14:paraId="7C282AEA" w14:textId="77777777" w:rsidR="00560012" w:rsidRDefault="00560012" w:rsidP="00F01A99">
            <w:pPr>
              <w:jc w:val="center"/>
              <w:rPr>
                <w:rFonts w:ascii="Arial" w:hAnsi="Arial" w:cs="Arial"/>
                <w:b/>
                <w:bCs/>
                <w:color w:val="000000"/>
                <w:sz w:val="12"/>
                <w:szCs w:val="12"/>
              </w:rPr>
            </w:pPr>
            <w:r>
              <w:rPr>
                <w:rFonts w:ascii="Arial" w:hAnsi="Arial" w:cs="Arial"/>
                <w:b/>
                <w:bCs/>
                <w:color w:val="000000"/>
                <w:sz w:val="12"/>
                <w:szCs w:val="12"/>
              </w:rPr>
              <w:t>2026</w:t>
            </w:r>
          </w:p>
        </w:tc>
      </w:tr>
      <w:tr w:rsidR="00560012" w:rsidRPr="002E0CC2" w14:paraId="4CEFD86F" w14:textId="77777777" w:rsidTr="00F01A99">
        <w:trPr>
          <w:trHeight w:val="675"/>
          <w:jc w:val="center"/>
        </w:trPr>
        <w:tc>
          <w:tcPr>
            <w:tcW w:w="1691" w:type="dxa"/>
            <w:shd w:val="clear" w:color="auto" w:fill="auto"/>
            <w:noWrap/>
            <w:vAlign w:val="center"/>
            <w:hideMark/>
          </w:tcPr>
          <w:p w14:paraId="1629158A" w14:textId="77777777" w:rsidR="00560012" w:rsidRPr="002E0CC2" w:rsidRDefault="00560012" w:rsidP="00F01A99">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1.</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No Etiquetado</w:t>
            </w:r>
            <w:r w:rsidRPr="002E0CC2">
              <w:rPr>
                <w:rFonts w:ascii="Arial" w:hAnsi="Arial" w:cs="Arial"/>
                <w:color w:val="000000"/>
                <w:sz w:val="12"/>
                <w:szCs w:val="12"/>
                <w:lang w:val="es-MX" w:eastAsia="es-MX"/>
              </w:rPr>
              <w:t xml:space="preserve"> </w:t>
            </w:r>
            <w:r w:rsidRPr="002E0CC2">
              <w:rPr>
                <w:rFonts w:ascii="Arial" w:hAnsi="Arial" w:cs="Arial"/>
                <w:b/>
                <w:bCs/>
                <w:color w:val="000000"/>
                <w:sz w:val="12"/>
                <w:szCs w:val="12"/>
                <w:lang w:val="es-MX" w:eastAsia="es-MX"/>
              </w:rPr>
              <w:t>(1=A+B+C+D+E+F+G+H+I)</w:t>
            </w:r>
          </w:p>
        </w:tc>
        <w:tc>
          <w:tcPr>
            <w:tcW w:w="891" w:type="dxa"/>
            <w:shd w:val="clear" w:color="auto" w:fill="auto"/>
            <w:noWrap/>
            <w:vAlign w:val="center"/>
            <w:hideMark/>
          </w:tcPr>
          <w:p w14:paraId="412C1484"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10,123,829,749</w:t>
            </w:r>
          </w:p>
        </w:tc>
        <w:tc>
          <w:tcPr>
            <w:tcW w:w="836" w:type="dxa"/>
            <w:shd w:val="clear" w:color="auto" w:fill="auto"/>
            <w:noWrap/>
            <w:vAlign w:val="center"/>
            <w:hideMark/>
          </w:tcPr>
          <w:p w14:paraId="531BED6F"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10,387,049,322</w:t>
            </w:r>
          </w:p>
        </w:tc>
        <w:tc>
          <w:tcPr>
            <w:tcW w:w="836" w:type="dxa"/>
            <w:shd w:val="clear" w:color="auto" w:fill="auto"/>
            <w:noWrap/>
            <w:vAlign w:val="center"/>
            <w:hideMark/>
          </w:tcPr>
          <w:p w14:paraId="7170A139"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10,646,725,556</w:t>
            </w:r>
          </w:p>
        </w:tc>
        <w:tc>
          <w:tcPr>
            <w:tcW w:w="836" w:type="dxa"/>
            <w:shd w:val="clear" w:color="auto" w:fill="auto"/>
            <w:noWrap/>
            <w:vAlign w:val="center"/>
            <w:hideMark/>
          </w:tcPr>
          <w:p w14:paraId="08E6091D"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10,912,893,694</w:t>
            </w:r>
          </w:p>
        </w:tc>
        <w:tc>
          <w:tcPr>
            <w:tcW w:w="836" w:type="dxa"/>
            <w:shd w:val="clear" w:color="auto" w:fill="auto"/>
            <w:noWrap/>
            <w:vAlign w:val="center"/>
            <w:hideMark/>
          </w:tcPr>
          <w:p w14:paraId="7BF84552"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11,185,716,037</w:t>
            </w:r>
          </w:p>
        </w:tc>
        <w:tc>
          <w:tcPr>
            <w:tcW w:w="836" w:type="dxa"/>
            <w:shd w:val="clear" w:color="auto" w:fill="auto"/>
            <w:noWrap/>
            <w:vAlign w:val="center"/>
            <w:hideMark/>
          </w:tcPr>
          <w:p w14:paraId="7E8845EF"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11,465,358,938</w:t>
            </w:r>
          </w:p>
        </w:tc>
      </w:tr>
      <w:tr w:rsidR="00560012" w:rsidRPr="002E0CC2" w14:paraId="484D50DE" w14:textId="77777777" w:rsidTr="00F01A99">
        <w:trPr>
          <w:trHeight w:val="345"/>
          <w:jc w:val="center"/>
        </w:trPr>
        <w:tc>
          <w:tcPr>
            <w:tcW w:w="1691" w:type="dxa"/>
            <w:shd w:val="clear" w:color="auto" w:fill="auto"/>
            <w:noWrap/>
            <w:vAlign w:val="center"/>
            <w:hideMark/>
          </w:tcPr>
          <w:p w14:paraId="284F08D8"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14:paraId="7B131D3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2,645,586,337</w:t>
            </w:r>
          </w:p>
        </w:tc>
        <w:tc>
          <w:tcPr>
            <w:tcW w:w="836" w:type="dxa"/>
            <w:shd w:val="clear" w:color="auto" w:fill="auto"/>
            <w:noWrap/>
            <w:vAlign w:val="center"/>
            <w:hideMark/>
          </w:tcPr>
          <w:p w14:paraId="27556DA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2,714,371,582</w:t>
            </w:r>
          </w:p>
        </w:tc>
        <w:tc>
          <w:tcPr>
            <w:tcW w:w="836" w:type="dxa"/>
            <w:shd w:val="clear" w:color="auto" w:fill="auto"/>
            <w:noWrap/>
            <w:vAlign w:val="center"/>
            <w:hideMark/>
          </w:tcPr>
          <w:p w14:paraId="135D487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2,782,230,871</w:t>
            </w:r>
          </w:p>
        </w:tc>
        <w:tc>
          <w:tcPr>
            <w:tcW w:w="836" w:type="dxa"/>
            <w:shd w:val="clear" w:color="auto" w:fill="auto"/>
            <w:noWrap/>
            <w:vAlign w:val="center"/>
            <w:hideMark/>
          </w:tcPr>
          <w:p w14:paraId="7CB19CB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2,851,786,643</w:t>
            </w:r>
          </w:p>
        </w:tc>
        <w:tc>
          <w:tcPr>
            <w:tcW w:w="836" w:type="dxa"/>
            <w:shd w:val="clear" w:color="auto" w:fill="auto"/>
            <w:noWrap/>
            <w:vAlign w:val="center"/>
            <w:hideMark/>
          </w:tcPr>
          <w:p w14:paraId="44D563F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2,923,081,309</w:t>
            </w:r>
          </w:p>
        </w:tc>
        <w:tc>
          <w:tcPr>
            <w:tcW w:w="836" w:type="dxa"/>
            <w:shd w:val="clear" w:color="auto" w:fill="auto"/>
            <w:noWrap/>
            <w:vAlign w:val="center"/>
            <w:hideMark/>
          </w:tcPr>
          <w:p w14:paraId="49687B4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2,996,158,342</w:t>
            </w:r>
          </w:p>
        </w:tc>
      </w:tr>
      <w:tr w:rsidR="00560012" w:rsidRPr="002E0CC2" w14:paraId="657359AE" w14:textId="77777777" w:rsidTr="00F01A99">
        <w:trPr>
          <w:trHeight w:val="345"/>
          <w:jc w:val="center"/>
        </w:trPr>
        <w:tc>
          <w:tcPr>
            <w:tcW w:w="1691" w:type="dxa"/>
            <w:shd w:val="clear" w:color="auto" w:fill="auto"/>
            <w:noWrap/>
            <w:vAlign w:val="center"/>
            <w:hideMark/>
          </w:tcPr>
          <w:p w14:paraId="59242FD6"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14:paraId="5C4C00C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220,722,290</w:t>
            </w:r>
          </w:p>
        </w:tc>
        <w:tc>
          <w:tcPr>
            <w:tcW w:w="836" w:type="dxa"/>
            <w:shd w:val="clear" w:color="auto" w:fill="auto"/>
            <w:noWrap/>
            <w:vAlign w:val="center"/>
            <w:hideMark/>
          </w:tcPr>
          <w:p w14:paraId="6AC5C80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226,461,070</w:t>
            </w:r>
          </w:p>
        </w:tc>
        <w:tc>
          <w:tcPr>
            <w:tcW w:w="836" w:type="dxa"/>
            <w:shd w:val="clear" w:color="auto" w:fill="auto"/>
            <w:noWrap/>
            <w:vAlign w:val="center"/>
            <w:hideMark/>
          </w:tcPr>
          <w:p w14:paraId="40986FB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232,122,596</w:t>
            </w:r>
          </w:p>
        </w:tc>
        <w:tc>
          <w:tcPr>
            <w:tcW w:w="836" w:type="dxa"/>
            <w:shd w:val="clear" w:color="auto" w:fill="auto"/>
            <w:noWrap/>
            <w:vAlign w:val="center"/>
            <w:hideMark/>
          </w:tcPr>
          <w:p w14:paraId="3301B28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237,925,661</w:t>
            </w:r>
          </w:p>
        </w:tc>
        <w:tc>
          <w:tcPr>
            <w:tcW w:w="836" w:type="dxa"/>
            <w:shd w:val="clear" w:color="auto" w:fill="auto"/>
            <w:noWrap/>
            <w:vAlign w:val="center"/>
            <w:hideMark/>
          </w:tcPr>
          <w:p w14:paraId="632B3EC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243,873,803</w:t>
            </w:r>
          </w:p>
        </w:tc>
        <w:tc>
          <w:tcPr>
            <w:tcW w:w="836" w:type="dxa"/>
            <w:shd w:val="clear" w:color="auto" w:fill="auto"/>
            <w:noWrap/>
            <w:vAlign w:val="center"/>
            <w:hideMark/>
          </w:tcPr>
          <w:p w14:paraId="0D14790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249,970,648</w:t>
            </w:r>
          </w:p>
        </w:tc>
      </w:tr>
      <w:tr w:rsidR="00560012" w:rsidRPr="002E0CC2" w14:paraId="6DDBC0A9" w14:textId="77777777" w:rsidTr="00F01A99">
        <w:trPr>
          <w:trHeight w:val="345"/>
          <w:jc w:val="center"/>
        </w:trPr>
        <w:tc>
          <w:tcPr>
            <w:tcW w:w="1691" w:type="dxa"/>
            <w:shd w:val="clear" w:color="auto" w:fill="auto"/>
            <w:noWrap/>
            <w:vAlign w:val="center"/>
            <w:hideMark/>
          </w:tcPr>
          <w:p w14:paraId="15445024"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14:paraId="78C3261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270,384,553</w:t>
            </w:r>
          </w:p>
        </w:tc>
        <w:tc>
          <w:tcPr>
            <w:tcW w:w="836" w:type="dxa"/>
            <w:shd w:val="clear" w:color="auto" w:fill="auto"/>
            <w:noWrap/>
            <w:vAlign w:val="center"/>
            <w:hideMark/>
          </w:tcPr>
          <w:p w14:paraId="7198C58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277,414,551</w:t>
            </w:r>
          </w:p>
        </w:tc>
        <w:tc>
          <w:tcPr>
            <w:tcW w:w="836" w:type="dxa"/>
            <w:shd w:val="clear" w:color="auto" w:fill="auto"/>
            <w:noWrap/>
            <w:vAlign w:val="center"/>
            <w:hideMark/>
          </w:tcPr>
          <w:p w14:paraId="0CDE940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284,349,915</w:t>
            </w:r>
          </w:p>
        </w:tc>
        <w:tc>
          <w:tcPr>
            <w:tcW w:w="836" w:type="dxa"/>
            <w:shd w:val="clear" w:color="auto" w:fill="auto"/>
            <w:noWrap/>
            <w:vAlign w:val="center"/>
            <w:hideMark/>
          </w:tcPr>
          <w:p w14:paraId="51E27FA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291,458,663</w:t>
            </w:r>
          </w:p>
        </w:tc>
        <w:tc>
          <w:tcPr>
            <w:tcW w:w="836" w:type="dxa"/>
            <w:shd w:val="clear" w:color="auto" w:fill="auto"/>
            <w:noWrap/>
            <w:vAlign w:val="center"/>
            <w:hideMark/>
          </w:tcPr>
          <w:p w14:paraId="7947133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298,745,130</w:t>
            </w:r>
          </w:p>
        </w:tc>
        <w:tc>
          <w:tcPr>
            <w:tcW w:w="836" w:type="dxa"/>
            <w:shd w:val="clear" w:color="auto" w:fill="auto"/>
            <w:noWrap/>
            <w:vAlign w:val="center"/>
            <w:hideMark/>
          </w:tcPr>
          <w:p w14:paraId="36B8E2A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306,213,758</w:t>
            </w:r>
          </w:p>
        </w:tc>
      </w:tr>
      <w:tr w:rsidR="00560012" w:rsidRPr="002E0CC2" w14:paraId="658A3EA9" w14:textId="77777777" w:rsidTr="00F01A99">
        <w:trPr>
          <w:trHeight w:val="675"/>
          <w:jc w:val="center"/>
        </w:trPr>
        <w:tc>
          <w:tcPr>
            <w:tcW w:w="1691" w:type="dxa"/>
            <w:shd w:val="clear" w:color="auto" w:fill="auto"/>
            <w:noWrap/>
            <w:vAlign w:val="center"/>
            <w:hideMark/>
          </w:tcPr>
          <w:p w14:paraId="227B02BD"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14:paraId="6424E380"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4,831,158,130</w:t>
            </w:r>
          </w:p>
        </w:tc>
        <w:tc>
          <w:tcPr>
            <w:tcW w:w="836" w:type="dxa"/>
            <w:shd w:val="clear" w:color="auto" w:fill="auto"/>
            <w:noWrap/>
            <w:vAlign w:val="center"/>
            <w:hideMark/>
          </w:tcPr>
          <w:p w14:paraId="7638935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4,956,768,241</w:t>
            </w:r>
          </w:p>
        </w:tc>
        <w:tc>
          <w:tcPr>
            <w:tcW w:w="836" w:type="dxa"/>
            <w:shd w:val="clear" w:color="auto" w:fill="auto"/>
            <w:noWrap/>
            <w:vAlign w:val="center"/>
            <w:hideMark/>
          </w:tcPr>
          <w:p w14:paraId="73797BB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5,080,687,447</w:t>
            </w:r>
          </w:p>
        </w:tc>
        <w:tc>
          <w:tcPr>
            <w:tcW w:w="836" w:type="dxa"/>
            <w:shd w:val="clear" w:color="auto" w:fill="auto"/>
            <w:noWrap/>
            <w:vAlign w:val="center"/>
            <w:hideMark/>
          </w:tcPr>
          <w:p w14:paraId="168D341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5,207,704,634</w:t>
            </w:r>
          </w:p>
        </w:tc>
        <w:tc>
          <w:tcPr>
            <w:tcW w:w="836" w:type="dxa"/>
            <w:shd w:val="clear" w:color="auto" w:fill="auto"/>
            <w:noWrap/>
            <w:vAlign w:val="center"/>
            <w:hideMark/>
          </w:tcPr>
          <w:p w14:paraId="4213366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5,337,897,249</w:t>
            </w:r>
          </w:p>
        </w:tc>
        <w:tc>
          <w:tcPr>
            <w:tcW w:w="836" w:type="dxa"/>
            <w:shd w:val="clear" w:color="auto" w:fill="auto"/>
            <w:noWrap/>
            <w:vAlign w:val="center"/>
            <w:hideMark/>
          </w:tcPr>
          <w:p w14:paraId="761A2F0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5,471,344,681</w:t>
            </w:r>
          </w:p>
        </w:tc>
      </w:tr>
      <w:tr w:rsidR="00560012" w:rsidRPr="002E0CC2" w14:paraId="2EF771AF" w14:textId="77777777" w:rsidTr="00F01A99">
        <w:trPr>
          <w:trHeight w:val="510"/>
          <w:jc w:val="center"/>
        </w:trPr>
        <w:tc>
          <w:tcPr>
            <w:tcW w:w="1691" w:type="dxa"/>
            <w:shd w:val="clear" w:color="auto" w:fill="auto"/>
            <w:noWrap/>
            <w:vAlign w:val="center"/>
            <w:hideMark/>
          </w:tcPr>
          <w:p w14:paraId="0392B8A2"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14:paraId="2EC1CD2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10,828,553</w:t>
            </w:r>
          </w:p>
        </w:tc>
        <w:tc>
          <w:tcPr>
            <w:tcW w:w="836" w:type="dxa"/>
            <w:shd w:val="clear" w:color="auto" w:fill="auto"/>
            <w:noWrap/>
            <w:vAlign w:val="center"/>
            <w:hideMark/>
          </w:tcPr>
          <w:p w14:paraId="5BE85B1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11,110,095</w:t>
            </w:r>
          </w:p>
        </w:tc>
        <w:tc>
          <w:tcPr>
            <w:tcW w:w="836" w:type="dxa"/>
            <w:shd w:val="clear" w:color="auto" w:fill="auto"/>
            <w:noWrap/>
            <w:vAlign w:val="center"/>
            <w:hideMark/>
          </w:tcPr>
          <w:p w14:paraId="7BFC2A5E"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11,387,848</w:t>
            </w:r>
          </w:p>
        </w:tc>
        <w:tc>
          <w:tcPr>
            <w:tcW w:w="836" w:type="dxa"/>
            <w:shd w:val="clear" w:color="auto" w:fill="auto"/>
            <w:noWrap/>
            <w:vAlign w:val="center"/>
            <w:hideMark/>
          </w:tcPr>
          <w:p w14:paraId="13F2594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11,672,544</w:t>
            </w:r>
          </w:p>
        </w:tc>
        <w:tc>
          <w:tcPr>
            <w:tcW w:w="836" w:type="dxa"/>
            <w:shd w:val="clear" w:color="auto" w:fill="auto"/>
            <w:noWrap/>
            <w:vAlign w:val="center"/>
            <w:hideMark/>
          </w:tcPr>
          <w:p w14:paraId="5356C4E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11,964,358</w:t>
            </w:r>
          </w:p>
        </w:tc>
        <w:tc>
          <w:tcPr>
            <w:tcW w:w="836" w:type="dxa"/>
            <w:shd w:val="clear" w:color="auto" w:fill="auto"/>
            <w:noWrap/>
            <w:vAlign w:val="center"/>
            <w:hideMark/>
          </w:tcPr>
          <w:p w14:paraId="42CC341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12,263,466</w:t>
            </w:r>
          </w:p>
        </w:tc>
      </w:tr>
      <w:tr w:rsidR="00560012" w:rsidRPr="002E0CC2" w14:paraId="04B4DAAD" w14:textId="77777777" w:rsidTr="00F01A99">
        <w:trPr>
          <w:trHeight w:val="345"/>
          <w:jc w:val="center"/>
        </w:trPr>
        <w:tc>
          <w:tcPr>
            <w:tcW w:w="1691" w:type="dxa"/>
            <w:shd w:val="clear" w:color="auto" w:fill="auto"/>
            <w:noWrap/>
            <w:vAlign w:val="center"/>
            <w:hideMark/>
          </w:tcPr>
          <w:p w14:paraId="65D10ECE"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14:paraId="2031D29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54,279,000</w:t>
            </w:r>
          </w:p>
        </w:tc>
        <w:tc>
          <w:tcPr>
            <w:tcW w:w="836" w:type="dxa"/>
            <w:shd w:val="clear" w:color="auto" w:fill="auto"/>
            <w:noWrap/>
            <w:vAlign w:val="center"/>
            <w:hideMark/>
          </w:tcPr>
          <w:p w14:paraId="32680DC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55,690,254</w:t>
            </w:r>
          </w:p>
        </w:tc>
        <w:tc>
          <w:tcPr>
            <w:tcW w:w="836" w:type="dxa"/>
            <w:shd w:val="clear" w:color="auto" w:fill="auto"/>
            <w:noWrap/>
            <w:vAlign w:val="center"/>
            <w:hideMark/>
          </w:tcPr>
          <w:p w14:paraId="5CE60E0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57,082,510</w:t>
            </w:r>
          </w:p>
        </w:tc>
        <w:tc>
          <w:tcPr>
            <w:tcW w:w="836" w:type="dxa"/>
            <w:shd w:val="clear" w:color="auto" w:fill="auto"/>
            <w:noWrap/>
            <w:vAlign w:val="center"/>
            <w:hideMark/>
          </w:tcPr>
          <w:p w14:paraId="00B4B787"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58,509,573</w:t>
            </w:r>
          </w:p>
        </w:tc>
        <w:tc>
          <w:tcPr>
            <w:tcW w:w="836" w:type="dxa"/>
            <w:shd w:val="clear" w:color="auto" w:fill="auto"/>
            <w:noWrap/>
            <w:vAlign w:val="center"/>
            <w:hideMark/>
          </w:tcPr>
          <w:p w14:paraId="2FF16420"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59,972,312</w:t>
            </w:r>
          </w:p>
        </w:tc>
        <w:tc>
          <w:tcPr>
            <w:tcW w:w="836" w:type="dxa"/>
            <w:shd w:val="clear" w:color="auto" w:fill="auto"/>
            <w:noWrap/>
            <w:vAlign w:val="center"/>
            <w:hideMark/>
          </w:tcPr>
          <w:p w14:paraId="5A9AEE4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61,471,620</w:t>
            </w:r>
          </w:p>
        </w:tc>
      </w:tr>
      <w:tr w:rsidR="00560012" w:rsidRPr="002E0CC2" w14:paraId="6293695F" w14:textId="77777777" w:rsidTr="00F01A99">
        <w:trPr>
          <w:trHeight w:val="510"/>
          <w:jc w:val="center"/>
        </w:trPr>
        <w:tc>
          <w:tcPr>
            <w:tcW w:w="1691" w:type="dxa"/>
            <w:shd w:val="clear" w:color="auto" w:fill="auto"/>
            <w:noWrap/>
            <w:vAlign w:val="center"/>
            <w:hideMark/>
          </w:tcPr>
          <w:p w14:paraId="2935E0C9"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14:paraId="12FD52DE"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2,090,870,886</w:t>
            </w:r>
          </w:p>
        </w:tc>
        <w:tc>
          <w:tcPr>
            <w:tcW w:w="836" w:type="dxa"/>
            <w:shd w:val="clear" w:color="auto" w:fill="auto"/>
            <w:noWrap/>
            <w:vAlign w:val="center"/>
            <w:hideMark/>
          </w:tcPr>
          <w:p w14:paraId="1B60CBF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2,145,233,529</w:t>
            </w:r>
          </w:p>
        </w:tc>
        <w:tc>
          <w:tcPr>
            <w:tcW w:w="836" w:type="dxa"/>
            <w:shd w:val="clear" w:color="auto" w:fill="auto"/>
            <w:noWrap/>
            <w:vAlign w:val="center"/>
            <w:hideMark/>
          </w:tcPr>
          <w:p w14:paraId="6B7CA65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2,198,864,367</w:t>
            </w:r>
          </w:p>
        </w:tc>
        <w:tc>
          <w:tcPr>
            <w:tcW w:w="836" w:type="dxa"/>
            <w:shd w:val="clear" w:color="auto" w:fill="auto"/>
            <w:noWrap/>
            <w:vAlign w:val="center"/>
            <w:hideMark/>
          </w:tcPr>
          <w:p w14:paraId="2806C7A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2,253,835,976</w:t>
            </w:r>
          </w:p>
        </w:tc>
        <w:tc>
          <w:tcPr>
            <w:tcW w:w="836" w:type="dxa"/>
            <w:shd w:val="clear" w:color="auto" w:fill="auto"/>
            <w:noWrap/>
            <w:vAlign w:val="center"/>
            <w:hideMark/>
          </w:tcPr>
          <w:p w14:paraId="272710C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2,310,181,876</w:t>
            </w:r>
          </w:p>
        </w:tc>
        <w:tc>
          <w:tcPr>
            <w:tcW w:w="836" w:type="dxa"/>
            <w:shd w:val="clear" w:color="auto" w:fill="auto"/>
            <w:noWrap/>
            <w:vAlign w:val="center"/>
            <w:hideMark/>
          </w:tcPr>
          <w:p w14:paraId="20BBE02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2,367,936,423</w:t>
            </w:r>
          </w:p>
        </w:tc>
      </w:tr>
      <w:tr w:rsidR="00560012" w:rsidRPr="002E0CC2" w14:paraId="7B8B6FF2" w14:textId="77777777" w:rsidTr="00F01A99">
        <w:trPr>
          <w:trHeight w:val="345"/>
          <w:jc w:val="center"/>
        </w:trPr>
        <w:tc>
          <w:tcPr>
            <w:tcW w:w="1691" w:type="dxa"/>
            <w:shd w:val="clear" w:color="auto" w:fill="auto"/>
            <w:noWrap/>
            <w:vAlign w:val="center"/>
            <w:hideMark/>
          </w:tcPr>
          <w:p w14:paraId="4C3E519B"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shd w:val="clear" w:color="auto" w:fill="auto"/>
            <w:noWrap/>
            <w:vAlign w:val="center"/>
            <w:hideMark/>
          </w:tcPr>
          <w:p w14:paraId="0DCD76F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1E59721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879C09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21DDD5C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65E9E8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6F4E1E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1939D239" w14:textId="77777777" w:rsidTr="00F01A99">
        <w:trPr>
          <w:trHeight w:val="315"/>
          <w:jc w:val="center"/>
        </w:trPr>
        <w:tc>
          <w:tcPr>
            <w:tcW w:w="1691" w:type="dxa"/>
            <w:shd w:val="clear" w:color="auto" w:fill="auto"/>
            <w:noWrap/>
            <w:vAlign w:val="center"/>
            <w:hideMark/>
          </w:tcPr>
          <w:p w14:paraId="2F52A1FB"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14:paraId="101CF8D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282539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1CCD0C97"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168BCB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2A1BC937"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703009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017CE38F" w14:textId="77777777" w:rsidTr="00F01A99">
        <w:trPr>
          <w:trHeight w:val="315"/>
          <w:jc w:val="center"/>
        </w:trPr>
        <w:tc>
          <w:tcPr>
            <w:tcW w:w="1691" w:type="dxa"/>
            <w:shd w:val="clear" w:color="auto" w:fill="auto"/>
            <w:noWrap/>
            <w:vAlign w:val="center"/>
            <w:hideMark/>
          </w:tcPr>
          <w:p w14:paraId="5A428320"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14:paraId="44AD3D7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451C413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67FDE6C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128AD19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7298106E"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4EBB461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r>
      <w:tr w:rsidR="00560012" w:rsidRPr="002E0CC2" w14:paraId="524840B9" w14:textId="77777777" w:rsidTr="00F01A99">
        <w:trPr>
          <w:trHeight w:val="675"/>
          <w:jc w:val="center"/>
        </w:trPr>
        <w:tc>
          <w:tcPr>
            <w:tcW w:w="1691" w:type="dxa"/>
            <w:shd w:val="clear" w:color="auto" w:fill="auto"/>
            <w:noWrap/>
            <w:vAlign w:val="center"/>
            <w:hideMark/>
          </w:tcPr>
          <w:p w14:paraId="2F329A73" w14:textId="77777777" w:rsidR="00560012" w:rsidRPr="002E0CC2" w:rsidRDefault="00560012" w:rsidP="00F01A99">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shd w:val="clear" w:color="auto" w:fill="auto"/>
            <w:noWrap/>
            <w:vAlign w:val="center"/>
            <w:hideMark/>
          </w:tcPr>
          <w:p w14:paraId="435BFBC7"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10,543,839,426</w:t>
            </w:r>
          </w:p>
        </w:tc>
        <w:tc>
          <w:tcPr>
            <w:tcW w:w="836" w:type="dxa"/>
            <w:shd w:val="clear" w:color="auto" w:fill="auto"/>
            <w:noWrap/>
            <w:vAlign w:val="center"/>
            <w:hideMark/>
          </w:tcPr>
          <w:p w14:paraId="3AD6EA02"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10,817,979,251</w:t>
            </w:r>
          </w:p>
        </w:tc>
        <w:tc>
          <w:tcPr>
            <w:tcW w:w="836" w:type="dxa"/>
            <w:shd w:val="clear" w:color="auto" w:fill="auto"/>
            <w:noWrap/>
            <w:vAlign w:val="center"/>
            <w:hideMark/>
          </w:tcPr>
          <w:p w14:paraId="61DC0F50"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11,088,428,732</w:t>
            </w:r>
          </w:p>
        </w:tc>
        <w:tc>
          <w:tcPr>
            <w:tcW w:w="836" w:type="dxa"/>
            <w:shd w:val="clear" w:color="auto" w:fill="auto"/>
            <w:noWrap/>
            <w:vAlign w:val="center"/>
            <w:hideMark/>
          </w:tcPr>
          <w:p w14:paraId="52445FEE"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11,365,639,451</w:t>
            </w:r>
          </w:p>
        </w:tc>
        <w:tc>
          <w:tcPr>
            <w:tcW w:w="836" w:type="dxa"/>
            <w:shd w:val="clear" w:color="auto" w:fill="auto"/>
            <w:noWrap/>
            <w:vAlign w:val="center"/>
            <w:hideMark/>
          </w:tcPr>
          <w:p w14:paraId="24210E92"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11,649,780,437</w:t>
            </w:r>
          </w:p>
        </w:tc>
        <w:tc>
          <w:tcPr>
            <w:tcW w:w="836" w:type="dxa"/>
            <w:shd w:val="clear" w:color="auto" w:fill="auto"/>
            <w:noWrap/>
            <w:vAlign w:val="center"/>
            <w:hideMark/>
          </w:tcPr>
          <w:p w14:paraId="2338BA1A"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11,941,024,948</w:t>
            </w:r>
          </w:p>
        </w:tc>
      </w:tr>
      <w:tr w:rsidR="00560012" w:rsidRPr="002E0CC2" w14:paraId="434A1A04" w14:textId="77777777" w:rsidTr="00F01A99">
        <w:trPr>
          <w:trHeight w:val="345"/>
          <w:jc w:val="center"/>
        </w:trPr>
        <w:tc>
          <w:tcPr>
            <w:tcW w:w="1691" w:type="dxa"/>
            <w:shd w:val="clear" w:color="auto" w:fill="auto"/>
            <w:noWrap/>
            <w:vAlign w:val="center"/>
            <w:hideMark/>
          </w:tcPr>
          <w:p w14:paraId="38E7EBC6"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14:paraId="344CDA5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3619D3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2D91DB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E570F4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1CF1663E"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73EC176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5420F2C9" w14:textId="77777777" w:rsidTr="00F01A99">
        <w:trPr>
          <w:trHeight w:val="345"/>
          <w:jc w:val="center"/>
        </w:trPr>
        <w:tc>
          <w:tcPr>
            <w:tcW w:w="1691" w:type="dxa"/>
            <w:shd w:val="clear" w:color="auto" w:fill="auto"/>
            <w:noWrap/>
            <w:vAlign w:val="center"/>
            <w:hideMark/>
          </w:tcPr>
          <w:p w14:paraId="0CD4D868"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14:paraId="5C7ED62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8EACE9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33036B3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2533FA77"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61C5B8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18F0420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060B2126" w14:textId="77777777" w:rsidTr="00F01A99">
        <w:trPr>
          <w:trHeight w:val="345"/>
          <w:jc w:val="center"/>
        </w:trPr>
        <w:tc>
          <w:tcPr>
            <w:tcW w:w="1691" w:type="dxa"/>
            <w:shd w:val="clear" w:color="auto" w:fill="auto"/>
            <w:noWrap/>
            <w:vAlign w:val="center"/>
            <w:hideMark/>
          </w:tcPr>
          <w:p w14:paraId="0F0EDB5E"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14:paraId="48027087"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20A3BA8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438359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3B6DE76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253680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4CAE04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0AA0AB58" w14:textId="77777777" w:rsidTr="00F01A99">
        <w:trPr>
          <w:trHeight w:val="675"/>
          <w:jc w:val="center"/>
        </w:trPr>
        <w:tc>
          <w:tcPr>
            <w:tcW w:w="1691" w:type="dxa"/>
            <w:shd w:val="clear" w:color="auto" w:fill="auto"/>
            <w:noWrap/>
            <w:vAlign w:val="center"/>
            <w:hideMark/>
          </w:tcPr>
          <w:p w14:paraId="74036400"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lastRenderedPageBreak/>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14:paraId="412052D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8,218,374,219</w:t>
            </w:r>
          </w:p>
        </w:tc>
        <w:tc>
          <w:tcPr>
            <w:tcW w:w="836" w:type="dxa"/>
            <w:shd w:val="clear" w:color="auto" w:fill="auto"/>
            <w:noWrap/>
            <w:vAlign w:val="center"/>
            <w:hideMark/>
          </w:tcPr>
          <w:p w14:paraId="101762F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8,432,051,949</w:t>
            </w:r>
          </w:p>
        </w:tc>
        <w:tc>
          <w:tcPr>
            <w:tcW w:w="836" w:type="dxa"/>
            <w:shd w:val="clear" w:color="auto" w:fill="auto"/>
            <w:noWrap/>
            <w:vAlign w:val="center"/>
            <w:hideMark/>
          </w:tcPr>
          <w:p w14:paraId="6C3C7B8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8,642,853,247</w:t>
            </w:r>
          </w:p>
        </w:tc>
        <w:tc>
          <w:tcPr>
            <w:tcW w:w="836" w:type="dxa"/>
            <w:shd w:val="clear" w:color="auto" w:fill="auto"/>
            <w:noWrap/>
            <w:vAlign w:val="center"/>
            <w:hideMark/>
          </w:tcPr>
          <w:p w14:paraId="675C46D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8,858,924,579</w:t>
            </w:r>
          </w:p>
        </w:tc>
        <w:tc>
          <w:tcPr>
            <w:tcW w:w="836" w:type="dxa"/>
            <w:shd w:val="clear" w:color="auto" w:fill="auto"/>
            <w:noWrap/>
            <w:vAlign w:val="center"/>
            <w:hideMark/>
          </w:tcPr>
          <w:p w14:paraId="5A1724C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9,080,397,693</w:t>
            </w:r>
          </w:p>
        </w:tc>
        <w:tc>
          <w:tcPr>
            <w:tcW w:w="836" w:type="dxa"/>
            <w:shd w:val="clear" w:color="auto" w:fill="auto"/>
            <w:noWrap/>
            <w:vAlign w:val="center"/>
            <w:hideMark/>
          </w:tcPr>
          <w:p w14:paraId="44EB1C1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9,307,407,635</w:t>
            </w:r>
          </w:p>
        </w:tc>
      </w:tr>
      <w:tr w:rsidR="00560012" w:rsidRPr="002E0CC2" w14:paraId="0248407B" w14:textId="77777777" w:rsidTr="00F01A99">
        <w:trPr>
          <w:trHeight w:val="510"/>
          <w:jc w:val="center"/>
        </w:trPr>
        <w:tc>
          <w:tcPr>
            <w:tcW w:w="1691" w:type="dxa"/>
            <w:shd w:val="clear" w:color="auto" w:fill="auto"/>
            <w:noWrap/>
            <w:vAlign w:val="center"/>
            <w:hideMark/>
          </w:tcPr>
          <w:p w14:paraId="50DA096A"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14:paraId="57A7F50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1711A3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B077AA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78FA691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399E3ED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6DDB3D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74B841B4" w14:textId="77777777" w:rsidTr="00F01A99">
        <w:trPr>
          <w:trHeight w:val="345"/>
          <w:jc w:val="center"/>
        </w:trPr>
        <w:tc>
          <w:tcPr>
            <w:tcW w:w="1691" w:type="dxa"/>
            <w:shd w:val="clear" w:color="auto" w:fill="auto"/>
            <w:noWrap/>
            <w:vAlign w:val="center"/>
            <w:hideMark/>
          </w:tcPr>
          <w:p w14:paraId="28DE6336"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14:paraId="7690CEC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632,458,291</w:t>
            </w:r>
          </w:p>
        </w:tc>
        <w:tc>
          <w:tcPr>
            <w:tcW w:w="836" w:type="dxa"/>
            <w:shd w:val="clear" w:color="auto" w:fill="auto"/>
            <w:noWrap/>
            <w:vAlign w:val="center"/>
            <w:hideMark/>
          </w:tcPr>
          <w:p w14:paraId="2C58C58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648,902,207</w:t>
            </w:r>
          </w:p>
        </w:tc>
        <w:tc>
          <w:tcPr>
            <w:tcW w:w="836" w:type="dxa"/>
            <w:shd w:val="clear" w:color="auto" w:fill="auto"/>
            <w:noWrap/>
            <w:vAlign w:val="center"/>
            <w:hideMark/>
          </w:tcPr>
          <w:p w14:paraId="649F09A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665,124,762</w:t>
            </w:r>
          </w:p>
        </w:tc>
        <w:tc>
          <w:tcPr>
            <w:tcW w:w="836" w:type="dxa"/>
            <w:shd w:val="clear" w:color="auto" w:fill="auto"/>
            <w:noWrap/>
            <w:vAlign w:val="center"/>
            <w:hideMark/>
          </w:tcPr>
          <w:p w14:paraId="4443748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681,752,881</w:t>
            </w:r>
          </w:p>
        </w:tc>
        <w:tc>
          <w:tcPr>
            <w:tcW w:w="836" w:type="dxa"/>
            <w:shd w:val="clear" w:color="auto" w:fill="auto"/>
            <w:noWrap/>
            <w:vAlign w:val="center"/>
            <w:hideMark/>
          </w:tcPr>
          <w:p w14:paraId="6AD99BAE"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698,796,703</w:t>
            </w:r>
          </w:p>
        </w:tc>
        <w:tc>
          <w:tcPr>
            <w:tcW w:w="836" w:type="dxa"/>
            <w:shd w:val="clear" w:color="auto" w:fill="auto"/>
            <w:noWrap/>
            <w:vAlign w:val="center"/>
            <w:hideMark/>
          </w:tcPr>
          <w:p w14:paraId="3936571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716,266,620</w:t>
            </w:r>
          </w:p>
        </w:tc>
      </w:tr>
      <w:tr w:rsidR="00560012" w:rsidRPr="002E0CC2" w14:paraId="5BB016D3" w14:textId="77777777" w:rsidTr="00F01A99">
        <w:trPr>
          <w:trHeight w:val="510"/>
          <w:jc w:val="center"/>
        </w:trPr>
        <w:tc>
          <w:tcPr>
            <w:tcW w:w="1691" w:type="dxa"/>
            <w:shd w:val="clear" w:color="auto" w:fill="auto"/>
            <w:noWrap/>
            <w:vAlign w:val="center"/>
            <w:hideMark/>
          </w:tcPr>
          <w:p w14:paraId="5BBD9E9C"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14:paraId="147AA935"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0BA044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3B42460C"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78860DA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9C7A57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B231382"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75BE98F6" w14:textId="77777777" w:rsidTr="00F01A99">
        <w:trPr>
          <w:trHeight w:val="345"/>
          <w:jc w:val="center"/>
        </w:trPr>
        <w:tc>
          <w:tcPr>
            <w:tcW w:w="1691" w:type="dxa"/>
            <w:shd w:val="clear" w:color="auto" w:fill="auto"/>
            <w:noWrap/>
            <w:vAlign w:val="center"/>
            <w:hideMark/>
          </w:tcPr>
          <w:p w14:paraId="0D688A20"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shd w:val="clear" w:color="auto" w:fill="auto"/>
            <w:noWrap/>
            <w:vAlign w:val="center"/>
            <w:hideMark/>
          </w:tcPr>
          <w:p w14:paraId="7E87AF8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1,693,006,916</w:t>
            </w:r>
          </w:p>
        </w:tc>
        <w:tc>
          <w:tcPr>
            <w:tcW w:w="836" w:type="dxa"/>
            <w:shd w:val="clear" w:color="auto" w:fill="auto"/>
            <w:noWrap/>
            <w:vAlign w:val="center"/>
            <w:hideMark/>
          </w:tcPr>
          <w:p w14:paraId="3666FB2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1,737,025,096</w:t>
            </w:r>
          </w:p>
        </w:tc>
        <w:tc>
          <w:tcPr>
            <w:tcW w:w="836" w:type="dxa"/>
            <w:shd w:val="clear" w:color="auto" w:fill="auto"/>
            <w:noWrap/>
            <w:vAlign w:val="center"/>
            <w:hideMark/>
          </w:tcPr>
          <w:p w14:paraId="27BE1143"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1,780,450,723</w:t>
            </w:r>
          </w:p>
        </w:tc>
        <w:tc>
          <w:tcPr>
            <w:tcW w:w="836" w:type="dxa"/>
            <w:shd w:val="clear" w:color="auto" w:fill="auto"/>
            <w:noWrap/>
            <w:vAlign w:val="center"/>
            <w:hideMark/>
          </w:tcPr>
          <w:p w14:paraId="41A9081D"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1,824,961,991</w:t>
            </w:r>
          </w:p>
        </w:tc>
        <w:tc>
          <w:tcPr>
            <w:tcW w:w="836" w:type="dxa"/>
            <w:shd w:val="clear" w:color="auto" w:fill="auto"/>
            <w:noWrap/>
            <w:vAlign w:val="center"/>
            <w:hideMark/>
          </w:tcPr>
          <w:p w14:paraId="0CA91309"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1,870,586,041</w:t>
            </w:r>
          </w:p>
        </w:tc>
        <w:tc>
          <w:tcPr>
            <w:tcW w:w="836" w:type="dxa"/>
            <w:shd w:val="clear" w:color="auto" w:fill="auto"/>
            <w:noWrap/>
            <w:vAlign w:val="center"/>
            <w:hideMark/>
          </w:tcPr>
          <w:p w14:paraId="4D4BF33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1,917,350,692</w:t>
            </w:r>
          </w:p>
        </w:tc>
      </w:tr>
      <w:tr w:rsidR="00560012" w:rsidRPr="002E0CC2" w14:paraId="5CCE389A" w14:textId="77777777" w:rsidTr="00F01A99">
        <w:trPr>
          <w:trHeight w:val="315"/>
          <w:jc w:val="center"/>
        </w:trPr>
        <w:tc>
          <w:tcPr>
            <w:tcW w:w="1691" w:type="dxa"/>
            <w:shd w:val="clear" w:color="auto" w:fill="auto"/>
            <w:noWrap/>
            <w:vAlign w:val="center"/>
            <w:hideMark/>
          </w:tcPr>
          <w:p w14:paraId="2BFF0B9B"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14:paraId="726D050F"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B6802C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403FE06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D9124F6"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7443E521"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BBA1540"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0</w:t>
            </w:r>
          </w:p>
        </w:tc>
      </w:tr>
      <w:tr w:rsidR="00560012" w:rsidRPr="002E0CC2" w14:paraId="737B9DE5" w14:textId="77777777" w:rsidTr="00F01A99">
        <w:trPr>
          <w:trHeight w:val="315"/>
          <w:jc w:val="center"/>
        </w:trPr>
        <w:tc>
          <w:tcPr>
            <w:tcW w:w="1691" w:type="dxa"/>
            <w:shd w:val="clear" w:color="auto" w:fill="auto"/>
            <w:noWrap/>
            <w:vAlign w:val="center"/>
            <w:hideMark/>
          </w:tcPr>
          <w:p w14:paraId="6E5E4BA0" w14:textId="77777777" w:rsidR="00560012" w:rsidRPr="002E0CC2" w:rsidRDefault="00560012" w:rsidP="00F01A99">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14:paraId="3288379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2ECA002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16751058"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2400C594"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4CA88ECA"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797AB4EB" w14:textId="77777777" w:rsidR="00560012" w:rsidRDefault="00560012" w:rsidP="00F01A99">
            <w:pPr>
              <w:jc w:val="right"/>
              <w:rPr>
                <w:rFonts w:ascii="Arial" w:hAnsi="Arial" w:cs="Arial"/>
                <w:color w:val="000000"/>
                <w:sz w:val="10"/>
                <w:szCs w:val="10"/>
              </w:rPr>
            </w:pPr>
            <w:r>
              <w:rPr>
                <w:rFonts w:ascii="Arial" w:hAnsi="Arial" w:cs="Arial"/>
                <w:color w:val="000000"/>
                <w:sz w:val="10"/>
                <w:szCs w:val="10"/>
              </w:rPr>
              <w:t> </w:t>
            </w:r>
          </w:p>
        </w:tc>
      </w:tr>
      <w:tr w:rsidR="00560012" w:rsidRPr="002E0CC2" w14:paraId="419D717A" w14:textId="77777777" w:rsidTr="00F01A99">
        <w:trPr>
          <w:trHeight w:val="675"/>
          <w:jc w:val="center"/>
        </w:trPr>
        <w:tc>
          <w:tcPr>
            <w:tcW w:w="1691" w:type="dxa"/>
            <w:shd w:val="clear" w:color="auto" w:fill="auto"/>
            <w:noWrap/>
            <w:vAlign w:val="center"/>
            <w:hideMark/>
          </w:tcPr>
          <w:p w14:paraId="68654436" w14:textId="77777777" w:rsidR="00560012" w:rsidRPr="002E0CC2" w:rsidRDefault="00560012" w:rsidP="00F01A99">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shd w:val="clear" w:color="auto" w:fill="auto"/>
            <w:noWrap/>
            <w:vAlign w:val="center"/>
            <w:hideMark/>
          </w:tcPr>
          <w:p w14:paraId="0FF6CCB9"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20,667,669,175</w:t>
            </w:r>
          </w:p>
        </w:tc>
        <w:tc>
          <w:tcPr>
            <w:tcW w:w="836" w:type="dxa"/>
            <w:shd w:val="clear" w:color="auto" w:fill="auto"/>
            <w:noWrap/>
            <w:vAlign w:val="center"/>
            <w:hideMark/>
          </w:tcPr>
          <w:p w14:paraId="0A18876A"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21,205,028,574</w:t>
            </w:r>
          </w:p>
        </w:tc>
        <w:tc>
          <w:tcPr>
            <w:tcW w:w="836" w:type="dxa"/>
            <w:shd w:val="clear" w:color="auto" w:fill="auto"/>
            <w:noWrap/>
            <w:vAlign w:val="center"/>
            <w:hideMark/>
          </w:tcPr>
          <w:p w14:paraId="6A0F9571"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21,735,154,288</w:t>
            </w:r>
          </w:p>
        </w:tc>
        <w:tc>
          <w:tcPr>
            <w:tcW w:w="836" w:type="dxa"/>
            <w:shd w:val="clear" w:color="auto" w:fill="auto"/>
            <w:noWrap/>
            <w:vAlign w:val="center"/>
            <w:hideMark/>
          </w:tcPr>
          <w:p w14:paraId="72E50922"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22,278,533,145</w:t>
            </w:r>
          </w:p>
        </w:tc>
        <w:tc>
          <w:tcPr>
            <w:tcW w:w="836" w:type="dxa"/>
            <w:shd w:val="clear" w:color="auto" w:fill="auto"/>
            <w:noWrap/>
            <w:vAlign w:val="center"/>
            <w:hideMark/>
          </w:tcPr>
          <w:p w14:paraId="579C4B92"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22,835,496,474</w:t>
            </w:r>
          </w:p>
        </w:tc>
        <w:tc>
          <w:tcPr>
            <w:tcW w:w="836" w:type="dxa"/>
            <w:shd w:val="clear" w:color="auto" w:fill="auto"/>
            <w:noWrap/>
            <w:vAlign w:val="center"/>
            <w:hideMark/>
          </w:tcPr>
          <w:p w14:paraId="220C0160" w14:textId="77777777" w:rsidR="00560012" w:rsidRDefault="00560012" w:rsidP="00F01A99">
            <w:pPr>
              <w:jc w:val="right"/>
              <w:rPr>
                <w:rFonts w:ascii="Arial" w:hAnsi="Arial" w:cs="Arial"/>
                <w:b/>
                <w:bCs/>
                <w:color w:val="000000"/>
                <w:sz w:val="10"/>
                <w:szCs w:val="10"/>
              </w:rPr>
            </w:pPr>
            <w:r>
              <w:rPr>
                <w:rFonts w:ascii="Arial" w:hAnsi="Arial" w:cs="Arial"/>
                <w:b/>
                <w:bCs/>
                <w:color w:val="000000"/>
                <w:sz w:val="10"/>
                <w:szCs w:val="10"/>
              </w:rPr>
              <w:t>23,406,383,886</w:t>
            </w:r>
          </w:p>
        </w:tc>
      </w:tr>
    </w:tbl>
    <w:p w14:paraId="0BD23ABD" w14:textId="77777777" w:rsidR="00687FDF" w:rsidRDefault="00687FDF" w:rsidP="00560012">
      <w:pPr>
        <w:spacing w:line="360" w:lineRule="auto"/>
        <w:jc w:val="both"/>
        <w:rPr>
          <w:rFonts w:eastAsia="Calibri"/>
          <w:b/>
          <w:bCs/>
          <w:sz w:val="20"/>
          <w:szCs w:val="20"/>
        </w:rPr>
      </w:pPr>
    </w:p>
    <w:p w14:paraId="1B241D89" w14:textId="77777777" w:rsidR="00687FDF" w:rsidRDefault="00687FDF" w:rsidP="00560012">
      <w:pPr>
        <w:spacing w:line="360" w:lineRule="auto"/>
        <w:jc w:val="both"/>
        <w:rPr>
          <w:rFonts w:eastAsia="Calibri"/>
          <w:b/>
          <w:bCs/>
          <w:sz w:val="20"/>
          <w:szCs w:val="20"/>
        </w:rPr>
      </w:pPr>
    </w:p>
    <w:p w14:paraId="3AA83FA7" w14:textId="77777777" w:rsidR="00BE1C47" w:rsidRPr="00955A4C" w:rsidRDefault="00BE1C47" w:rsidP="00BE1C47">
      <w:pPr>
        <w:spacing w:line="360" w:lineRule="auto"/>
        <w:jc w:val="both"/>
        <w:rPr>
          <w:rFonts w:eastAsia="Calibri"/>
          <w:b/>
          <w:bCs/>
          <w:sz w:val="20"/>
          <w:szCs w:val="20"/>
        </w:rPr>
      </w:pPr>
      <w:r w:rsidRPr="00955A4C">
        <w:rPr>
          <w:rFonts w:eastAsia="Calibri"/>
          <w:b/>
          <w:bCs/>
          <w:sz w:val="20"/>
          <w:szCs w:val="20"/>
        </w:rPr>
        <w:t>RIESGOS FISCALES</w:t>
      </w:r>
    </w:p>
    <w:p w14:paraId="639EC082" w14:textId="77777777" w:rsidR="00BE1C47" w:rsidRPr="00955A4C" w:rsidRDefault="00BE1C47" w:rsidP="00BE1C47">
      <w:pPr>
        <w:spacing w:line="360" w:lineRule="auto"/>
        <w:jc w:val="both"/>
        <w:rPr>
          <w:rFonts w:eastAsia="Calibri"/>
          <w:b/>
          <w:bCs/>
          <w:sz w:val="20"/>
          <w:szCs w:val="20"/>
        </w:rPr>
      </w:pPr>
    </w:p>
    <w:p w14:paraId="5C4C2912" w14:textId="77777777" w:rsidR="00BE1C47" w:rsidRDefault="00BE1C47" w:rsidP="00BE1C47">
      <w:pPr>
        <w:spacing w:line="360" w:lineRule="auto"/>
        <w:jc w:val="both"/>
        <w:rPr>
          <w:sz w:val="20"/>
          <w:szCs w:val="20"/>
        </w:rPr>
      </w:pPr>
      <w:r w:rsidRPr="00955A4C">
        <w:rPr>
          <w:sz w:val="20"/>
          <w:szCs w:val="20"/>
        </w:rPr>
        <w:t>Los riesgos fiscales de largo plazo para las finanzas públicas del Estado, se pueden definir como obligaciones no transitorias, cuya dinámica depende, entre otros, del desempeño de las variables macroeconómicas en el corto</w:t>
      </w:r>
      <w:r>
        <w:rPr>
          <w:sz w:val="20"/>
          <w:szCs w:val="20"/>
        </w:rPr>
        <w:t xml:space="preserve"> </w:t>
      </w:r>
      <w:r w:rsidRPr="00955A4C">
        <w:rPr>
          <w:sz w:val="20"/>
          <w:szCs w:val="20"/>
        </w:rPr>
        <w:t>plazo.</w:t>
      </w:r>
    </w:p>
    <w:p w14:paraId="70D07C51" w14:textId="77777777" w:rsidR="00BE1C47" w:rsidRDefault="00BE1C47" w:rsidP="00BE1C47">
      <w:pPr>
        <w:spacing w:line="360" w:lineRule="auto"/>
        <w:jc w:val="both"/>
        <w:rPr>
          <w:sz w:val="20"/>
          <w:szCs w:val="20"/>
        </w:rPr>
      </w:pPr>
    </w:p>
    <w:p w14:paraId="093E1508" w14:textId="77777777" w:rsidR="00BE1C47" w:rsidRPr="00955A4C" w:rsidRDefault="00BE1C47" w:rsidP="00BE1C47">
      <w:pPr>
        <w:spacing w:line="360" w:lineRule="auto"/>
        <w:jc w:val="both"/>
        <w:rPr>
          <w:sz w:val="20"/>
          <w:szCs w:val="20"/>
        </w:rPr>
      </w:pPr>
      <w:r>
        <w:rPr>
          <w:sz w:val="20"/>
          <w:szCs w:val="20"/>
        </w:rPr>
        <w:t>Para poder garantizar la estabilidad macroeconómica y la sostenibilidad de las finanzas públicas, incluso en escenarios extremos con poca probabilidad de concurrencia, el Gobierno Estatal diseña e implementa la política económica y fiscal bajo un esquema de prevención de riesgos de corto plazos.</w:t>
      </w:r>
      <w:r w:rsidRPr="00955A4C">
        <w:rPr>
          <w:sz w:val="20"/>
          <w:szCs w:val="20"/>
        </w:rPr>
        <w:cr/>
      </w:r>
    </w:p>
    <w:p w14:paraId="2DB99312" w14:textId="77777777" w:rsidR="00BE1C47" w:rsidRDefault="00BE1C47" w:rsidP="00BE1C47">
      <w:pPr>
        <w:spacing w:line="360" w:lineRule="auto"/>
        <w:jc w:val="both"/>
        <w:rPr>
          <w:sz w:val="20"/>
          <w:szCs w:val="20"/>
        </w:rPr>
      </w:pPr>
      <w:r>
        <w:rPr>
          <w:sz w:val="20"/>
          <w:szCs w:val="20"/>
        </w:rPr>
        <w:t xml:space="preserve">Es por ello que las estimaciones de finanzas públicas para el ejercicio fiscal 2021 se realizaron con base en un marco macroeconómico prudente y tomando en cuenta la incertidumbre que prevalece tras el impacto de la pandemia del COVID-19. </w:t>
      </w:r>
      <w:r w:rsidRPr="00955A4C">
        <w:rPr>
          <w:sz w:val="20"/>
          <w:szCs w:val="20"/>
        </w:rPr>
        <w:t>De acuerdo con el escenario Macroeconó</w:t>
      </w:r>
      <w:r>
        <w:rPr>
          <w:sz w:val="20"/>
          <w:szCs w:val="20"/>
        </w:rPr>
        <w:t>mico se considera que en el perí</w:t>
      </w:r>
      <w:r w:rsidRPr="00955A4C">
        <w:rPr>
          <w:sz w:val="20"/>
          <w:szCs w:val="20"/>
        </w:rPr>
        <w:t xml:space="preserve">odo 2021-2025 la inflación se ubicará en la meta establecida por el Banco de México de 3.0%. Se supone una ligera depreciación del tipo de cambio nominal en el horizonte previsto congruente con una trayectoria del tipo de cambio real bilateral peso-dólar constante en el periodo </w:t>
      </w:r>
      <w:r w:rsidRPr="00955A4C">
        <w:rPr>
          <w:sz w:val="20"/>
          <w:szCs w:val="20"/>
        </w:rPr>
        <w:lastRenderedPageBreak/>
        <w:t>2021-2025 y tomando en cuenta el comportamiento esperado de mediano plazo para la inflación en los Estados Unidos.</w:t>
      </w:r>
    </w:p>
    <w:p w14:paraId="434BF819" w14:textId="77777777" w:rsidR="00BE1C47" w:rsidRDefault="00BE1C47" w:rsidP="00BE1C47">
      <w:pPr>
        <w:spacing w:line="360" w:lineRule="auto"/>
        <w:jc w:val="both"/>
        <w:rPr>
          <w:sz w:val="20"/>
          <w:szCs w:val="20"/>
        </w:rPr>
      </w:pPr>
    </w:p>
    <w:p w14:paraId="5479B9C3" w14:textId="77777777" w:rsidR="00BE1C47" w:rsidRDefault="00BE1C47" w:rsidP="00BE1C47">
      <w:pPr>
        <w:spacing w:line="360" w:lineRule="auto"/>
        <w:jc w:val="both"/>
        <w:rPr>
          <w:sz w:val="20"/>
          <w:szCs w:val="20"/>
        </w:rPr>
      </w:pPr>
      <w:r>
        <w:rPr>
          <w:sz w:val="20"/>
          <w:szCs w:val="20"/>
        </w:rPr>
        <w:t>Existen factores extraordinarios que pueden afectar las finanzas públicas y que, debido a su naturaleza, son complicados de anticipar y cuantificar, el Gobierno de México cuenta con un conjunto de amortiguadores fiscales, entre los cuales destacan:</w:t>
      </w:r>
    </w:p>
    <w:p w14:paraId="5CD85025" w14:textId="77777777" w:rsidR="00BE1C47" w:rsidRDefault="00BE1C47" w:rsidP="00BE1C47">
      <w:pPr>
        <w:spacing w:line="360" w:lineRule="auto"/>
        <w:jc w:val="both"/>
        <w:rPr>
          <w:sz w:val="20"/>
          <w:szCs w:val="20"/>
        </w:rPr>
      </w:pPr>
    </w:p>
    <w:p w14:paraId="71878144"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Una estrategia de coberturas petroleras contratadas tanto por Pemex como por el Gobierno Federal para cubrir los ingresos petroleros contra reducciones respecto a lo estimado en la LIF en el precio del crudo al 100%;</w:t>
      </w:r>
    </w:p>
    <w:p w14:paraId="76770822"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La Línea de Crédito Flexible aprobada por el FMI para hacer frente a un posible entorno económico adverso por un total de alrededor de 61.0 mmd (esto equivale a 44.5635 miles de millones de Derechos Especiales de Giro);</w:t>
      </w:r>
    </w:p>
    <w:p w14:paraId="4F7FF90F"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Líne</w:t>
      </w:r>
      <w:r>
        <w:rPr>
          <w:sz w:val="20"/>
          <w:szCs w:val="20"/>
        </w:rPr>
        <w:t>a swap con la FED por 60 mmd;</w:t>
      </w:r>
      <w:r w:rsidRPr="005D56BF">
        <w:rPr>
          <w:sz w:val="20"/>
          <w:szCs w:val="20"/>
        </w:rPr>
        <w:t xml:space="preserve"> </w:t>
      </w:r>
    </w:p>
    <w:p w14:paraId="7B82A643"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Línea swap con el Tesoro de los EEUU por 9 mmd;</w:t>
      </w:r>
    </w:p>
    <w:p w14:paraId="5E31552B"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Reservas internacionales por 193.3 mmd al 28 de agosto de 2020;</w:t>
      </w:r>
    </w:p>
    <w:p w14:paraId="259D4424"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La flexibilidad cambiaria que permite absorber choques externos;</w:t>
      </w:r>
    </w:p>
    <w:p w14:paraId="1D4BD3AD"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La composición de la deuda pública que permite hacer frente a riesgos de tipo de cambio, tasas de interés y refinanciamiento. Al cierre de julio, 74.9% de la deuda neta del Gobierno Federal se encontraba denominada en pesos y dentro de la deuda interna en valores gubernamentales el 80.6% se encuentra a tasa fija y largo plazo. Por otra parte, 100% de la deuda externa se encuentra a tasa fija;</w:t>
      </w:r>
    </w:p>
    <w:p w14:paraId="010448FA"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El Seguro Catastrófico que brinda protección financiera al patrimonio del Fideicomiso del Fondo de Desastres Naturales (F</w:t>
      </w:r>
      <w:r>
        <w:rPr>
          <w:sz w:val="20"/>
          <w:szCs w:val="20"/>
        </w:rPr>
        <w:t>ONDEN</w:t>
      </w:r>
      <w:r w:rsidRPr="005D56BF">
        <w:rPr>
          <w:sz w:val="20"/>
          <w:szCs w:val="20"/>
        </w:rPr>
        <w:t xml:space="preserve">), el cual se renovó el pasado mes de julio y ofrecerá una cobertura por </w:t>
      </w:r>
      <w:r>
        <w:rPr>
          <w:sz w:val="20"/>
          <w:szCs w:val="20"/>
        </w:rPr>
        <w:t xml:space="preserve">5.0 </w:t>
      </w:r>
      <w:r w:rsidRPr="005D56BF">
        <w:rPr>
          <w:sz w:val="20"/>
          <w:szCs w:val="20"/>
        </w:rPr>
        <w:t>mmp;</w:t>
      </w:r>
    </w:p>
    <w:p w14:paraId="1C7049FB" w14:textId="77777777" w:rsidR="00BE1C47" w:rsidRPr="005D56BF" w:rsidRDefault="00BE1C47" w:rsidP="00800CF7">
      <w:pPr>
        <w:pStyle w:val="Prrafodelista"/>
        <w:numPr>
          <w:ilvl w:val="0"/>
          <w:numId w:val="26"/>
        </w:numPr>
        <w:spacing w:line="360" w:lineRule="auto"/>
        <w:jc w:val="both"/>
        <w:rPr>
          <w:sz w:val="20"/>
          <w:szCs w:val="20"/>
        </w:rPr>
      </w:pPr>
      <w:r w:rsidRPr="005D56BF">
        <w:rPr>
          <w:sz w:val="20"/>
          <w:szCs w:val="20"/>
        </w:rPr>
        <w:t>Recursos disponibles de 6.8 mmp al cierre de junio de 2020 en el Fideicomiso del Fondo de Desastres Naturales (F</w:t>
      </w:r>
      <w:r>
        <w:rPr>
          <w:sz w:val="20"/>
          <w:szCs w:val="20"/>
        </w:rPr>
        <w:t>ONDEN</w:t>
      </w:r>
      <w:r w:rsidRPr="005D56BF">
        <w:rPr>
          <w:sz w:val="20"/>
          <w:szCs w:val="20"/>
        </w:rPr>
        <w:t>), cuyo uso prevé apoyar a la población afectada por un desastre natural y salvaguardar la infraestructura pública en cinco sectores prioritarios: educación, salud, carretero, hidráulico y de vivienda en pobreza patrimonial;</w:t>
      </w:r>
    </w:p>
    <w:p w14:paraId="1AD2EDA4" w14:textId="77777777" w:rsidR="00BE1C47" w:rsidRDefault="00BE1C47" w:rsidP="00BE1C47">
      <w:pPr>
        <w:spacing w:line="360" w:lineRule="auto"/>
        <w:jc w:val="both"/>
        <w:rPr>
          <w:sz w:val="20"/>
          <w:szCs w:val="20"/>
        </w:rPr>
      </w:pPr>
    </w:p>
    <w:p w14:paraId="28F3682F" w14:textId="77777777" w:rsidR="00BE1C47" w:rsidRDefault="00BE1C47" w:rsidP="00BE1C47">
      <w:pPr>
        <w:spacing w:line="360" w:lineRule="auto"/>
        <w:jc w:val="both"/>
        <w:rPr>
          <w:sz w:val="20"/>
          <w:szCs w:val="20"/>
        </w:rPr>
      </w:pPr>
      <w:r>
        <w:rPr>
          <w:sz w:val="20"/>
          <w:szCs w:val="20"/>
        </w:rPr>
        <w:t>En particular en materia de salud, derivado de los tiempos que se están viviendo actualmente, e</w:t>
      </w:r>
      <w:r w:rsidRPr="00955A4C">
        <w:rPr>
          <w:sz w:val="20"/>
          <w:szCs w:val="20"/>
        </w:rPr>
        <w:t>l escenario macroeconómico de mediano plazo está sujeto a riesgos que podrían modificar las trayectorias anticipadas.</w:t>
      </w:r>
      <w:r>
        <w:rPr>
          <w:sz w:val="20"/>
          <w:szCs w:val="20"/>
        </w:rPr>
        <w:t xml:space="preserve"> Dentro de los riesgos se</w:t>
      </w:r>
      <w:r w:rsidRPr="00955A4C">
        <w:rPr>
          <w:sz w:val="20"/>
          <w:szCs w:val="20"/>
        </w:rPr>
        <w:t xml:space="preserve"> destacan:</w:t>
      </w:r>
    </w:p>
    <w:p w14:paraId="1CF0ACBA" w14:textId="77777777" w:rsidR="00BE1C47" w:rsidRDefault="00BE1C47" w:rsidP="00BE1C47">
      <w:pPr>
        <w:spacing w:line="360" w:lineRule="auto"/>
        <w:jc w:val="both"/>
        <w:rPr>
          <w:sz w:val="20"/>
          <w:szCs w:val="20"/>
        </w:rPr>
      </w:pPr>
    </w:p>
    <w:p w14:paraId="581F2F00" w14:textId="77777777" w:rsidR="00BE1C47" w:rsidRDefault="00BE1C47" w:rsidP="00800CF7">
      <w:pPr>
        <w:pStyle w:val="Prrafodelista"/>
        <w:numPr>
          <w:ilvl w:val="0"/>
          <w:numId w:val="25"/>
        </w:numPr>
        <w:spacing w:line="360" w:lineRule="auto"/>
        <w:jc w:val="both"/>
        <w:rPr>
          <w:sz w:val="20"/>
          <w:szCs w:val="20"/>
        </w:rPr>
      </w:pPr>
      <w:r>
        <w:rPr>
          <w:sz w:val="20"/>
          <w:szCs w:val="20"/>
        </w:rPr>
        <w:lastRenderedPageBreak/>
        <w:t>El incremento de esperanza de vida estimada de los mexicanos.</w:t>
      </w:r>
    </w:p>
    <w:p w14:paraId="3F5B09E0" w14:textId="77777777" w:rsidR="00BE1C47" w:rsidRDefault="00BE1C47" w:rsidP="00800CF7">
      <w:pPr>
        <w:pStyle w:val="Prrafodelista"/>
        <w:numPr>
          <w:ilvl w:val="0"/>
          <w:numId w:val="25"/>
        </w:numPr>
        <w:spacing w:line="360" w:lineRule="auto"/>
        <w:jc w:val="both"/>
        <w:rPr>
          <w:sz w:val="20"/>
          <w:szCs w:val="20"/>
        </w:rPr>
      </w:pPr>
      <w:r>
        <w:rPr>
          <w:sz w:val="20"/>
          <w:szCs w:val="20"/>
        </w:rPr>
        <w:t>La transmisión epidemiológica así como enfermedades crónico-degenerativas no transmisibles, las cuales son más costosas y prolongadas.</w:t>
      </w:r>
    </w:p>
    <w:p w14:paraId="2296A3B4" w14:textId="77777777" w:rsidR="00BE1C47" w:rsidRDefault="00BE1C47" w:rsidP="00800CF7">
      <w:pPr>
        <w:pStyle w:val="Prrafodelista"/>
        <w:numPr>
          <w:ilvl w:val="0"/>
          <w:numId w:val="25"/>
        </w:numPr>
        <w:spacing w:line="360" w:lineRule="auto"/>
        <w:jc w:val="both"/>
        <w:rPr>
          <w:sz w:val="20"/>
          <w:szCs w:val="20"/>
        </w:rPr>
      </w:pPr>
      <w:r>
        <w:rPr>
          <w:sz w:val="20"/>
          <w:szCs w:val="20"/>
        </w:rPr>
        <w:t>La tasa de crecimiento de los costos médicos, independientemente de la enfermedad de que se trate.</w:t>
      </w:r>
    </w:p>
    <w:p w14:paraId="0812F541" w14:textId="77777777" w:rsidR="00BE1C47" w:rsidRPr="00955A4C" w:rsidRDefault="00BE1C47" w:rsidP="00BE1C47">
      <w:pPr>
        <w:spacing w:line="360" w:lineRule="auto"/>
        <w:jc w:val="both"/>
        <w:rPr>
          <w:rFonts w:eastAsia="Calibri"/>
          <w:color w:val="000000" w:themeColor="text1"/>
          <w:sz w:val="20"/>
          <w:szCs w:val="20"/>
        </w:rPr>
      </w:pPr>
    </w:p>
    <w:p w14:paraId="5A576F51" w14:textId="77777777" w:rsidR="00BE1C47" w:rsidRPr="00955A4C" w:rsidRDefault="00BE1C47" w:rsidP="00BE1C47">
      <w:pPr>
        <w:spacing w:line="360" w:lineRule="auto"/>
        <w:jc w:val="both"/>
        <w:rPr>
          <w:rFonts w:eastAsia="Calibri"/>
          <w:color w:val="000000" w:themeColor="text1"/>
          <w:sz w:val="20"/>
          <w:szCs w:val="20"/>
        </w:rPr>
      </w:pPr>
      <w:r w:rsidRPr="00955A4C">
        <w:rPr>
          <w:rFonts w:eastAsia="Calibri"/>
          <w:color w:val="000000" w:themeColor="text1"/>
          <w:sz w:val="20"/>
          <w:szCs w:val="20"/>
        </w:rPr>
        <w:t xml:space="preserve">En consecuencia, el diseño e implementación de la política fiscal debe considerar los riesgos de mediano y largo plazo. A continuación se presentan los principales factores estatales que podrían tener un impacto en las </w:t>
      </w:r>
      <w:r w:rsidRPr="0091569B">
        <w:rPr>
          <w:rFonts w:eastAsia="Calibri"/>
          <w:b/>
          <w:color w:val="000000" w:themeColor="text1"/>
          <w:sz w:val="20"/>
          <w:szCs w:val="20"/>
        </w:rPr>
        <w:t>Finanzas Públicas</w:t>
      </w:r>
      <w:r w:rsidRPr="00955A4C">
        <w:rPr>
          <w:rFonts w:eastAsia="Calibri"/>
          <w:color w:val="000000" w:themeColor="text1"/>
          <w:sz w:val="20"/>
          <w:szCs w:val="20"/>
        </w:rPr>
        <w:t xml:space="preserve"> y las acciones que se han tomado para evitar que se conviertan en un riesgo para las </w:t>
      </w:r>
      <w:r w:rsidRPr="0091569B">
        <w:rPr>
          <w:rFonts w:eastAsia="Calibri"/>
          <w:b/>
          <w:color w:val="000000" w:themeColor="text1"/>
          <w:sz w:val="20"/>
          <w:szCs w:val="20"/>
        </w:rPr>
        <w:t>Finanzas Públicas del Estado</w:t>
      </w:r>
      <w:r w:rsidRPr="00955A4C">
        <w:rPr>
          <w:rFonts w:eastAsia="Calibri"/>
          <w:color w:val="000000" w:themeColor="text1"/>
          <w:sz w:val="20"/>
          <w:szCs w:val="20"/>
        </w:rPr>
        <w:t>.</w:t>
      </w:r>
    </w:p>
    <w:p w14:paraId="675652CF" w14:textId="77777777" w:rsidR="00BE1C47" w:rsidRPr="00955A4C" w:rsidRDefault="00BE1C47" w:rsidP="00BE1C47">
      <w:pPr>
        <w:spacing w:line="360" w:lineRule="auto"/>
        <w:jc w:val="both"/>
        <w:rPr>
          <w:rFonts w:eastAsia="Calibri"/>
          <w:color w:val="000000" w:themeColor="text1"/>
          <w:sz w:val="20"/>
          <w:szCs w:val="20"/>
        </w:rPr>
      </w:pPr>
    </w:p>
    <w:p w14:paraId="75B3CDFA" w14:textId="77777777" w:rsidR="00BE1C47" w:rsidRPr="00955A4C" w:rsidRDefault="00BE1C47" w:rsidP="00BE1C47">
      <w:pPr>
        <w:spacing w:line="360" w:lineRule="auto"/>
        <w:jc w:val="both"/>
        <w:rPr>
          <w:b/>
          <w:sz w:val="20"/>
          <w:szCs w:val="20"/>
        </w:rPr>
      </w:pPr>
      <w:r w:rsidRPr="00955A4C">
        <w:rPr>
          <w:b/>
          <w:sz w:val="20"/>
          <w:szCs w:val="20"/>
        </w:rPr>
        <w:t>P</w:t>
      </w:r>
      <w:r>
        <w:rPr>
          <w:b/>
          <w:sz w:val="20"/>
          <w:szCs w:val="20"/>
        </w:rPr>
        <w:t>ensiones y Jubilaciones</w:t>
      </w:r>
    </w:p>
    <w:p w14:paraId="0DF1D68D" w14:textId="77777777" w:rsidR="00BE1C47" w:rsidRPr="00955A4C" w:rsidRDefault="00BE1C47" w:rsidP="00BE1C47">
      <w:pPr>
        <w:spacing w:line="360" w:lineRule="auto"/>
        <w:jc w:val="both"/>
        <w:rPr>
          <w:b/>
          <w:sz w:val="20"/>
          <w:szCs w:val="20"/>
        </w:rPr>
      </w:pPr>
    </w:p>
    <w:p w14:paraId="11C093E7" w14:textId="77777777" w:rsidR="00BE1C47" w:rsidRPr="00955A4C" w:rsidRDefault="00BE1C47" w:rsidP="00BE1C47">
      <w:pPr>
        <w:spacing w:line="360" w:lineRule="auto"/>
        <w:jc w:val="both"/>
        <w:rPr>
          <w:sz w:val="20"/>
          <w:szCs w:val="20"/>
        </w:rPr>
      </w:pPr>
      <w:r w:rsidRPr="00955A4C">
        <w:rPr>
          <w:sz w:val="20"/>
          <w:szCs w:val="20"/>
        </w:rPr>
        <w:t>Pensiones Civiles del Estado de Tlaxcala es un Organismo Público Descentralizado, con personalidad jurídica y patrimonio propio; su organización y funcionamiento se rigen por su propia Ley, y tiene por objeto, establecer un régimen de protección económica  a los servidores públicos de los tres Poderes del Estado de Tlaxcala, los municipios y las entidades de la administración pública estatal que coticen a la Institución, así como, a los jubilados y pensionados.</w:t>
      </w:r>
    </w:p>
    <w:p w14:paraId="23F6ACA2" w14:textId="77777777" w:rsidR="00BE1C47" w:rsidRPr="00955A4C" w:rsidRDefault="00BE1C47" w:rsidP="00BE1C47">
      <w:pPr>
        <w:spacing w:line="360" w:lineRule="auto"/>
        <w:jc w:val="both"/>
        <w:rPr>
          <w:sz w:val="20"/>
          <w:szCs w:val="20"/>
        </w:rPr>
      </w:pPr>
    </w:p>
    <w:p w14:paraId="494980AB" w14:textId="77777777" w:rsidR="00BE1C47" w:rsidRPr="00955A4C" w:rsidRDefault="00BE1C47" w:rsidP="00BE1C47">
      <w:pPr>
        <w:spacing w:line="360" w:lineRule="auto"/>
        <w:jc w:val="both"/>
        <w:rPr>
          <w:sz w:val="20"/>
          <w:szCs w:val="20"/>
        </w:rPr>
      </w:pPr>
      <w:r w:rsidRPr="00955A4C">
        <w:rPr>
          <w:sz w:val="20"/>
          <w:szCs w:val="20"/>
        </w:rPr>
        <w:t>En el año 1958 surge la Dirección de Pensiones Civiles del Estado de Tlaxcala, y se emitió la Ley de materia, que contienen las prestaciones originales: Pensiones directas para los trabajadores, obtención de préstamos a corto plazo, obtención de préstamos hipotecarios, lograr en propiedad o arrendamiento casas o terrenos propiedad de la Dirección de Pensiones Civiles y devolución de los descuentos hechos a funcionarios o empleados comprometidos en la Ley de Pensiones Civiles cuando los mismos se separen del servicio.</w:t>
      </w:r>
    </w:p>
    <w:p w14:paraId="23D9F458" w14:textId="77777777" w:rsidR="00BE1C47" w:rsidRPr="00955A4C" w:rsidRDefault="00BE1C47" w:rsidP="00BE1C47">
      <w:pPr>
        <w:spacing w:line="360" w:lineRule="auto"/>
        <w:jc w:val="both"/>
        <w:rPr>
          <w:sz w:val="20"/>
          <w:szCs w:val="20"/>
        </w:rPr>
      </w:pPr>
    </w:p>
    <w:p w14:paraId="7B7F8DBC" w14:textId="77777777" w:rsidR="00BE1C47" w:rsidRPr="00955A4C" w:rsidRDefault="00BE1C47" w:rsidP="00BE1C47">
      <w:pPr>
        <w:spacing w:line="360" w:lineRule="auto"/>
        <w:jc w:val="both"/>
        <w:rPr>
          <w:sz w:val="20"/>
          <w:szCs w:val="20"/>
        </w:rPr>
      </w:pPr>
      <w:r w:rsidRPr="00955A4C">
        <w:rPr>
          <w:sz w:val="20"/>
          <w:szCs w:val="20"/>
        </w:rPr>
        <w:t>En el año 1974, se emitió una nueva Ley de Pensiones para el Estado de Tlaxcala, la cual adicionó a su contenido el Seguro de Vida.</w:t>
      </w:r>
    </w:p>
    <w:p w14:paraId="676D6738" w14:textId="77777777" w:rsidR="00BE1C47" w:rsidRPr="00955A4C" w:rsidRDefault="00BE1C47" w:rsidP="00BE1C47">
      <w:pPr>
        <w:spacing w:line="360" w:lineRule="auto"/>
        <w:jc w:val="both"/>
        <w:rPr>
          <w:sz w:val="20"/>
          <w:szCs w:val="20"/>
        </w:rPr>
      </w:pPr>
    </w:p>
    <w:p w14:paraId="6B1DCE58" w14:textId="77777777" w:rsidR="00BE1C47" w:rsidRPr="00955A4C" w:rsidRDefault="00BE1C47" w:rsidP="00BE1C47">
      <w:pPr>
        <w:spacing w:line="360" w:lineRule="auto"/>
        <w:jc w:val="both"/>
        <w:rPr>
          <w:sz w:val="20"/>
          <w:szCs w:val="20"/>
        </w:rPr>
      </w:pPr>
      <w:r w:rsidRPr="00955A4C">
        <w:rPr>
          <w:sz w:val="20"/>
          <w:szCs w:val="20"/>
        </w:rPr>
        <w:t>Posteriormente para el año de 1984, se emitió una Ley, la cual presenta cambios notables en cuanto a prestaciones siendo las siguientes: Jubilación, Seguro de Vida, Pensión de vejez, pensión por muerte, pago de póstumo a los servidores públicos, pensionados y jubilados, préstamo a corto plazo, préstamo hipotecario, crédito para adquisición de casa o terreno para su construcción destinada a la habitación familiar del servi</w:t>
      </w:r>
      <w:r>
        <w:rPr>
          <w:sz w:val="20"/>
          <w:szCs w:val="20"/>
        </w:rPr>
        <w:t>dor</w:t>
      </w:r>
      <w:r w:rsidRPr="00955A4C">
        <w:rPr>
          <w:sz w:val="20"/>
          <w:szCs w:val="20"/>
        </w:rPr>
        <w:t xml:space="preserve"> público.</w:t>
      </w:r>
    </w:p>
    <w:p w14:paraId="71820199" w14:textId="77777777" w:rsidR="00BE1C47" w:rsidRPr="00955A4C" w:rsidRDefault="00BE1C47" w:rsidP="00BE1C47">
      <w:pPr>
        <w:spacing w:line="360" w:lineRule="auto"/>
        <w:jc w:val="both"/>
        <w:rPr>
          <w:sz w:val="20"/>
          <w:szCs w:val="20"/>
        </w:rPr>
      </w:pPr>
    </w:p>
    <w:p w14:paraId="23843FB2" w14:textId="77777777" w:rsidR="00BE1C47" w:rsidRPr="00955A4C" w:rsidRDefault="00BE1C47" w:rsidP="00BE1C47">
      <w:pPr>
        <w:spacing w:line="360" w:lineRule="auto"/>
        <w:jc w:val="both"/>
        <w:rPr>
          <w:sz w:val="20"/>
          <w:szCs w:val="20"/>
        </w:rPr>
      </w:pPr>
      <w:r w:rsidRPr="00955A4C">
        <w:rPr>
          <w:sz w:val="20"/>
          <w:szCs w:val="20"/>
        </w:rPr>
        <w:t xml:space="preserve">Después de algunas vicisitudes en el año 2013, entró en vigor la nueva Ley de Pensiones Civiles del Estado de Tlaxcala, producto de depurar las prestaciones y servicios que proporciona la Institución, establece un proyecto innovador el cual consiste en dos regímenes pensionarios debidamente limitados siendo los siguientes: </w:t>
      </w:r>
    </w:p>
    <w:p w14:paraId="238C65E9" w14:textId="77777777" w:rsidR="00BE1C47" w:rsidRPr="00955A4C" w:rsidRDefault="00BE1C47" w:rsidP="00BE1C47">
      <w:pPr>
        <w:spacing w:line="360" w:lineRule="auto"/>
        <w:jc w:val="both"/>
        <w:rPr>
          <w:sz w:val="20"/>
          <w:szCs w:val="20"/>
        </w:rPr>
      </w:pPr>
    </w:p>
    <w:p w14:paraId="5C2E51BE" w14:textId="77777777" w:rsidR="00BE1C47" w:rsidRPr="00955A4C" w:rsidRDefault="00BE1C47" w:rsidP="00800CF7">
      <w:pPr>
        <w:pStyle w:val="Prrafodelista"/>
        <w:numPr>
          <w:ilvl w:val="0"/>
          <w:numId w:val="24"/>
        </w:numPr>
        <w:spacing w:line="360" w:lineRule="auto"/>
        <w:jc w:val="both"/>
        <w:rPr>
          <w:sz w:val="20"/>
          <w:szCs w:val="20"/>
        </w:rPr>
      </w:pPr>
      <w:r w:rsidRPr="00955A4C">
        <w:rPr>
          <w:sz w:val="20"/>
          <w:szCs w:val="20"/>
        </w:rPr>
        <w:t>Libro A: Régimen Temporal de Reparto</w:t>
      </w:r>
    </w:p>
    <w:p w14:paraId="7802C567" w14:textId="77777777" w:rsidR="00BE1C47" w:rsidRPr="00955A4C" w:rsidRDefault="00BE1C47" w:rsidP="00800CF7">
      <w:pPr>
        <w:pStyle w:val="Prrafodelista"/>
        <w:numPr>
          <w:ilvl w:val="0"/>
          <w:numId w:val="24"/>
        </w:numPr>
        <w:spacing w:line="360" w:lineRule="auto"/>
        <w:jc w:val="both"/>
        <w:rPr>
          <w:sz w:val="20"/>
          <w:szCs w:val="20"/>
        </w:rPr>
      </w:pPr>
      <w:r w:rsidRPr="00955A4C">
        <w:rPr>
          <w:sz w:val="20"/>
          <w:szCs w:val="20"/>
        </w:rPr>
        <w:t>Libro B: Régimen Permanente de Ahorro Personal</w:t>
      </w:r>
    </w:p>
    <w:p w14:paraId="1D5C0964" w14:textId="77777777" w:rsidR="00BE1C47" w:rsidRPr="00955A4C" w:rsidRDefault="00BE1C47" w:rsidP="00BE1C47">
      <w:pPr>
        <w:spacing w:line="360" w:lineRule="auto"/>
        <w:jc w:val="both"/>
        <w:rPr>
          <w:sz w:val="20"/>
          <w:szCs w:val="20"/>
        </w:rPr>
      </w:pPr>
    </w:p>
    <w:p w14:paraId="6EE0F64D" w14:textId="77777777" w:rsidR="00BE1C47" w:rsidRDefault="00BE1C47" w:rsidP="00BE1C47">
      <w:pPr>
        <w:spacing w:line="360" w:lineRule="auto"/>
        <w:jc w:val="both"/>
        <w:rPr>
          <w:sz w:val="20"/>
          <w:szCs w:val="20"/>
        </w:rPr>
      </w:pPr>
      <w:r w:rsidRPr="00955A4C">
        <w:rPr>
          <w:sz w:val="20"/>
          <w:szCs w:val="20"/>
        </w:rPr>
        <w:t>A pesar de las diferentes medidas de los anteriores gobiernos para que no se paralicen las funciones que le dan identidad a la Institución y los derechohabientes continúen siendo atendidos hasta en tanto las condiciones económicas del Estado de Tlaxcala lo hayan permitido; no ha</w:t>
      </w:r>
      <w:r>
        <w:rPr>
          <w:sz w:val="20"/>
          <w:szCs w:val="20"/>
        </w:rPr>
        <w:t>n</w:t>
      </w:r>
      <w:r w:rsidRPr="00955A4C">
        <w:rPr>
          <w:sz w:val="20"/>
          <w:szCs w:val="20"/>
        </w:rPr>
        <w:t xml:space="preserve"> sido suficientes los esfuerzos y medidas tomadas.</w:t>
      </w:r>
    </w:p>
    <w:p w14:paraId="4755D1EC" w14:textId="77777777" w:rsidR="00BE1C47" w:rsidRPr="00955A4C" w:rsidRDefault="00BE1C47" w:rsidP="00BE1C47">
      <w:pPr>
        <w:spacing w:line="360" w:lineRule="auto"/>
        <w:jc w:val="both"/>
        <w:rPr>
          <w:sz w:val="20"/>
          <w:szCs w:val="20"/>
        </w:rPr>
      </w:pPr>
    </w:p>
    <w:p w14:paraId="42631E94" w14:textId="77777777" w:rsidR="00BE1C47" w:rsidRDefault="00BE1C47" w:rsidP="00BE1C47">
      <w:pPr>
        <w:spacing w:line="360" w:lineRule="auto"/>
        <w:jc w:val="both"/>
        <w:rPr>
          <w:sz w:val="20"/>
          <w:szCs w:val="20"/>
        </w:rPr>
      </w:pPr>
      <w:r>
        <w:rPr>
          <w:sz w:val="20"/>
          <w:szCs w:val="20"/>
        </w:rPr>
        <w:t>E</w:t>
      </w:r>
      <w:r w:rsidRPr="003C7084">
        <w:rPr>
          <w:sz w:val="20"/>
          <w:szCs w:val="20"/>
        </w:rPr>
        <w:t>n años recientes, la población en edad de pensionarse crece a una tasa mayor que la población más joven en</w:t>
      </w:r>
      <w:r>
        <w:rPr>
          <w:sz w:val="20"/>
          <w:szCs w:val="20"/>
        </w:rPr>
        <w:t xml:space="preserve"> </w:t>
      </w:r>
      <w:r w:rsidRPr="003C7084">
        <w:rPr>
          <w:sz w:val="20"/>
          <w:szCs w:val="20"/>
        </w:rPr>
        <w:t>nuestro país. Esta transición demográfica representa un reto para la sostenibilidad de las finanzas públicas,</w:t>
      </w:r>
      <w:r>
        <w:rPr>
          <w:sz w:val="20"/>
          <w:szCs w:val="20"/>
        </w:rPr>
        <w:t xml:space="preserve"> </w:t>
      </w:r>
      <w:r w:rsidRPr="003C7084">
        <w:rPr>
          <w:sz w:val="20"/>
          <w:szCs w:val="20"/>
        </w:rPr>
        <w:t>debido al incremento esperado en el gasto en pensiones y en salud asociado al</w:t>
      </w:r>
      <w:r>
        <w:rPr>
          <w:sz w:val="20"/>
          <w:szCs w:val="20"/>
        </w:rPr>
        <w:t xml:space="preserve"> crecimiento de la población de </w:t>
      </w:r>
      <w:r w:rsidRPr="003C7084">
        <w:rPr>
          <w:sz w:val="20"/>
          <w:szCs w:val="20"/>
        </w:rPr>
        <w:t>mayor edad.</w:t>
      </w:r>
    </w:p>
    <w:p w14:paraId="6F98F76B" w14:textId="77777777" w:rsidR="00BE1C47" w:rsidRPr="00955A4C" w:rsidRDefault="00BE1C47" w:rsidP="00BE1C47">
      <w:pPr>
        <w:spacing w:line="360" w:lineRule="auto"/>
        <w:jc w:val="both"/>
        <w:rPr>
          <w:sz w:val="20"/>
          <w:szCs w:val="20"/>
        </w:rPr>
      </w:pPr>
    </w:p>
    <w:p w14:paraId="5A58B40A" w14:textId="77777777" w:rsidR="00BE1C47" w:rsidRDefault="00BE1C47" w:rsidP="00BE1C47">
      <w:pPr>
        <w:spacing w:line="360" w:lineRule="auto"/>
        <w:jc w:val="both"/>
        <w:rPr>
          <w:sz w:val="20"/>
          <w:szCs w:val="20"/>
        </w:rPr>
      </w:pPr>
      <w:r w:rsidRPr="00955A4C">
        <w:rPr>
          <w:sz w:val="20"/>
          <w:szCs w:val="20"/>
        </w:rPr>
        <w:t>Por todo lo anterior, para este Proyecto de Presupuesto 202</w:t>
      </w:r>
      <w:r>
        <w:rPr>
          <w:sz w:val="20"/>
          <w:szCs w:val="20"/>
        </w:rPr>
        <w:t>1</w:t>
      </w:r>
      <w:r w:rsidRPr="00955A4C">
        <w:rPr>
          <w:sz w:val="20"/>
          <w:szCs w:val="20"/>
        </w:rPr>
        <w:t xml:space="preserve">, se considera un </w:t>
      </w:r>
      <w:r>
        <w:rPr>
          <w:sz w:val="20"/>
          <w:szCs w:val="20"/>
        </w:rPr>
        <w:t>monto</w:t>
      </w:r>
      <w:r w:rsidRPr="00955A4C">
        <w:rPr>
          <w:sz w:val="20"/>
          <w:szCs w:val="20"/>
        </w:rPr>
        <w:t xml:space="preserve"> </w:t>
      </w:r>
      <w:r w:rsidRPr="003C7084">
        <w:rPr>
          <w:sz w:val="20"/>
          <w:szCs w:val="20"/>
        </w:rPr>
        <w:t xml:space="preserve">de </w:t>
      </w:r>
      <w:r>
        <w:rPr>
          <w:sz w:val="20"/>
          <w:szCs w:val="20"/>
        </w:rPr>
        <w:t>151.2 m</w:t>
      </w:r>
      <w:r w:rsidRPr="003C7084">
        <w:rPr>
          <w:sz w:val="20"/>
          <w:szCs w:val="20"/>
        </w:rPr>
        <w:t>dp</w:t>
      </w:r>
      <w:r w:rsidRPr="005D56BF">
        <w:rPr>
          <w:color w:val="FF0000"/>
          <w:sz w:val="20"/>
          <w:szCs w:val="20"/>
        </w:rPr>
        <w:t xml:space="preserve"> </w:t>
      </w:r>
      <w:r w:rsidRPr="00955A4C">
        <w:rPr>
          <w:sz w:val="20"/>
          <w:szCs w:val="20"/>
        </w:rPr>
        <w:t xml:space="preserve">para </w:t>
      </w:r>
      <w:r>
        <w:rPr>
          <w:sz w:val="20"/>
          <w:szCs w:val="20"/>
        </w:rPr>
        <w:t>el</w:t>
      </w:r>
      <w:r w:rsidRPr="00955A4C">
        <w:rPr>
          <w:sz w:val="20"/>
          <w:szCs w:val="20"/>
        </w:rPr>
        <w:t xml:space="preserve"> concepto de Aportación a Pensiones y un Fondo para el Fortalecimiento de Pensiones Civiles de </w:t>
      </w:r>
      <w:r>
        <w:rPr>
          <w:sz w:val="20"/>
          <w:szCs w:val="20"/>
        </w:rPr>
        <w:t>89.5</w:t>
      </w:r>
      <w:r w:rsidRPr="00955A4C">
        <w:rPr>
          <w:sz w:val="20"/>
          <w:szCs w:val="20"/>
        </w:rPr>
        <w:t xml:space="preserve"> mdp, dicho fondo estará sujet</w:t>
      </w:r>
      <w:r>
        <w:rPr>
          <w:sz w:val="20"/>
          <w:szCs w:val="20"/>
        </w:rPr>
        <w:t>o</w:t>
      </w:r>
      <w:r w:rsidRPr="00955A4C">
        <w:rPr>
          <w:sz w:val="20"/>
          <w:szCs w:val="20"/>
        </w:rPr>
        <w:t xml:space="preserve"> a que se cumplan los pronósticos de ingresos y recaudación de la Secretaría de Hacienda y Crédito Público y el Estado reciba los recursos de participaciones federales.</w:t>
      </w:r>
    </w:p>
    <w:p w14:paraId="17FFBA54" w14:textId="77777777" w:rsidR="00BE1C47" w:rsidRPr="00955A4C" w:rsidRDefault="00BE1C47" w:rsidP="00BE1C47">
      <w:pPr>
        <w:spacing w:line="360" w:lineRule="auto"/>
        <w:jc w:val="both"/>
        <w:rPr>
          <w:sz w:val="20"/>
          <w:szCs w:val="20"/>
        </w:rPr>
      </w:pPr>
    </w:p>
    <w:p w14:paraId="489BE20F" w14:textId="77777777" w:rsidR="00BE1C47" w:rsidRDefault="00BE1C47" w:rsidP="00BE1C47">
      <w:pPr>
        <w:spacing w:line="360" w:lineRule="auto"/>
        <w:jc w:val="both"/>
        <w:rPr>
          <w:sz w:val="20"/>
          <w:szCs w:val="20"/>
        </w:rPr>
      </w:pPr>
      <w:r w:rsidRPr="00955A4C">
        <w:rPr>
          <w:sz w:val="20"/>
          <w:szCs w:val="20"/>
        </w:rPr>
        <w:t>De acuerdo al último estudio actuarial de las pensiones del Estado de Tlaxcala</w:t>
      </w:r>
      <w:r w:rsidRPr="00955A4C">
        <w:rPr>
          <w:b/>
          <w:sz w:val="20"/>
          <w:szCs w:val="20"/>
          <w:vertAlign w:val="superscript"/>
        </w:rPr>
        <w:footnoteReference w:id="2"/>
      </w:r>
      <w:r w:rsidRPr="00955A4C">
        <w:rPr>
          <w:sz w:val="20"/>
          <w:szCs w:val="20"/>
        </w:rPr>
        <w:t>, correspondiente al ejercicio fiscal 201</w:t>
      </w:r>
      <w:r>
        <w:rPr>
          <w:sz w:val="20"/>
          <w:szCs w:val="20"/>
        </w:rPr>
        <w:t>9</w:t>
      </w:r>
      <w:r w:rsidRPr="00955A4C">
        <w:rPr>
          <w:sz w:val="20"/>
          <w:szCs w:val="20"/>
        </w:rPr>
        <w:t xml:space="preserve"> y con una vigencia al ejercicio 2021 se tiene una reserva actuarial de 3</w:t>
      </w:r>
      <w:r>
        <w:rPr>
          <w:sz w:val="20"/>
          <w:szCs w:val="20"/>
        </w:rPr>
        <w:t>39</w:t>
      </w:r>
      <w:r w:rsidRPr="00955A4C">
        <w:rPr>
          <w:sz w:val="20"/>
          <w:szCs w:val="20"/>
        </w:rPr>
        <w:t>.</w:t>
      </w:r>
      <w:r>
        <w:rPr>
          <w:sz w:val="20"/>
          <w:szCs w:val="20"/>
        </w:rPr>
        <w:t>85</w:t>
      </w:r>
      <w:r w:rsidRPr="00955A4C">
        <w:rPr>
          <w:sz w:val="20"/>
          <w:szCs w:val="20"/>
        </w:rPr>
        <w:t xml:space="preserve"> </w:t>
      </w:r>
      <w:r>
        <w:rPr>
          <w:sz w:val="20"/>
          <w:szCs w:val="20"/>
        </w:rPr>
        <w:t>mdp</w:t>
      </w:r>
      <w:r w:rsidRPr="00955A4C">
        <w:rPr>
          <w:sz w:val="20"/>
          <w:szCs w:val="20"/>
        </w:rPr>
        <w:t>, con una población afiliada activa de 8,</w:t>
      </w:r>
      <w:r>
        <w:rPr>
          <w:sz w:val="20"/>
          <w:szCs w:val="20"/>
        </w:rPr>
        <w:t>115</w:t>
      </w:r>
      <w:r w:rsidRPr="00955A4C">
        <w:rPr>
          <w:sz w:val="20"/>
          <w:szCs w:val="20"/>
        </w:rPr>
        <w:t xml:space="preserve"> trabajadores y 2,0</w:t>
      </w:r>
      <w:r>
        <w:rPr>
          <w:sz w:val="20"/>
          <w:szCs w:val="20"/>
        </w:rPr>
        <w:t>70</w:t>
      </w:r>
      <w:r w:rsidRPr="00955A4C">
        <w:rPr>
          <w:sz w:val="20"/>
          <w:szCs w:val="20"/>
        </w:rPr>
        <w:t xml:space="preserve"> pensionados, como a continuación se presenta:</w:t>
      </w:r>
    </w:p>
    <w:p w14:paraId="747FEE7D" w14:textId="77777777" w:rsidR="005F5492" w:rsidRDefault="005F5492" w:rsidP="00560012">
      <w:pPr>
        <w:spacing w:line="360" w:lineRule="auto"/>
        <w:jc w:val="both"/>
        <w:rPr>
          <w:sz w:val="20"/>
          <w:szCs w:val="20"/>
        </w:rPr>
      </w:pPr>
    </w:p>
    <w:p w14:paraId="0A50B091" w14:textId="77777777" w:rsidR="00BE1C47" w:rsidRDefault="00BE1C47" w:rsidP="00560012">
      <w:pPr>
        <w:spacing w:line="360" w:lineRule="auto"/>
        <w:jc w:val="both"/>
        <w:rPr>
          <w:sz w:val="20"/>
          <w:szCs w:val="20"/>
        </w:rPr>
      </w:pPr>
    </w:p>
    <w:p w14:paraId="54925229" w14:textId="77777777" w:rsidR="00BE1C47" w:rsidRDefault="00BE1C47" w:rsidP="00560012">
      <w:pPr>
        <w:spacing w:line="360" w:lineRule="auto"/>
        <w:jc w:val="both"/>
        <w:rPr>
          <w:sz w:val="20"/>
          <w:szCs w:val="20"/>
        </w:rPr>
      </w:pPr>
    </w:p>
    <w:p w14:paraId="0C66E489" w14:textId="77777777" w:rsidR="00BE1C47" w:rsidRDefault="00BE1C47" w:rsidP="00560012">
      <w:pPr>
        <w:spacing w:line="360" w:lineRule="auto"/>
        <w:jc w:val="both"/>
        <w:rPr>
          <w:sz w:val="20"/>
          <w:szCs w:val="20"/>
        </w:rPr>
      </w:pPr>
    </w:p>
    <w:p w14:paraId="6266AA19" w14:textId="77777777" w:rsidR="005F5492" w:rsidRDefault="005F5492" w:rsidP="005F5492">
      <w:pPr>
        <w:spacing w:line="360" w:lineRule="auto"/>
        <w:jc w:val="center"/>
        <w:rPr>
          <w:noProof/>
          <w:lang w:val="es-MX" w:eastAsia="es-MX"/>
        </w:rPr>
      </w:pPr>
      <w:r w:rsidRPr="00955A4C">
        <w:rPr>
          <w:b/>
          <w:sz w:val="20"/>
          <w:szCs w:val="20"/>
        </w:rPr>
        <w:lastRenderedPageBreak/>
        <w:t>Estudio Actuarial de Pensiones</w:t>
      </w:r>
    </w:p>
    <w:p w14:paraId="7DAC9F42" w14:textId="193FBD0D" w:rsidR="005F5492" w:rsidRDefault="005F5492" w:rsidP="00560012">
      <w:pPr>
        <w:spacing w:line="360" w:lineRule="auto"/>
        <w:jc w:val="both"/>
        <w:rPr>
          <w:sz w:val="20"/>
          <w:szCs w:val="20"/>
        </w:rPr>
      </w:pPr>
      <w:r>
        <w:rPr>
          <w:noProof/>
          <w:lang w:val="es-MX" w:eastAsia="es-MX"/>
        </w:rPr>
        <w:drawing>
          <wp:inline distT="0" distB="0" distL="0" distR="0" wp14:anchorId="3D4462AE" wp14:editId="038A8794">
            <wp:extent cx="4819015" cy="3924300"/>
            <wp:effectExtent l="0" t="0" r="635" b="0"/>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5"/>
                    <a:srcRect l="31370" t="12097" r="31147" b="47990"/>
                    <a:stretch/>
                  </pic:blipFill>
                  <pic:spPr bwMode="auto">
                    <a:xfrm>
                      <a:off x="0" y="0"/>
                      <a:ext cx="4830830" cy="3933921"/>
                    </a:xfrm>
                    <a:prstGeom prst="rect">
                      <a:avLst/>
                    </a:prstGeom>
                    <a:ln>
                      <a:noFill/>
                    </a:ln>
                    <a:extLst>
                      <a:ext uri="{53640926-AAD7-44D8-BBD7-CCE9431645EC}">
                        <a14:shadowObscured xmlns:a14="http://schemas.microsoft.com/office/drawing/2010/main"/>
                      </a:ext>
                    </a:extLst>
                  </pic:spPr>
                </pic:pic>
              </a:graphicData>
            </a:graphic>
          </wp:inline>
        </w:drawing>
      </w:r>
    </w:p>
    <w:p w14:paraId="63AD737C" w14:textId="5A268591" w:rsidR="005F5492" w:rsidRDefault="005F5492" w:rsidP="00560012">
      <w:pPr>
        <w:spacing w:line="360" w:lineRule="auto"/>
        <w:jc w:val="both"/>
        <w:rPr>
          <w:sz w:val="20"/>
          <w:szCs w:val="20"/>
        </w:rPr>
      </w:pPr>
      <w:r>
        <w:rPr>
          <w:noProof/>
          <w:lang w:val="es-MX" w:eastAsia="es-MX"/>
        </w:rPr>
        <w:drawing>
          <wp:inline distT="0" distB="0" distL="0" distR="0" wp14:anchorId="12DEFCBF" wp14:editId="0F92E28A">
            <wp:extent cx="4761865" cy="476250"/>
            <wp:effectExtent l="0" t="0" r="635" b="0"/>
            <wp:docPr id="12" name="Imagen 12"/>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5"/>
                    <a:srcRect l="31370" t="88470" r="31147" b="4625"/>
                    <a:stretch/>
                  </pic:blipFill>
                  <pic:spPr bwMode="auto">
                    <a:xfrm>
                      <a:off x="0" y="0"/>
                      <a:ext cx="4773521" cy="477416"/>
                    </a:xfrm>
                    <a:prstGeom prst="rect">
                      <a:avLst/>
                    </a:prstGeom>
                    <a:ln>
                      <a:noFill/>
                    </a:ln>
                    <a:extLst>
                      <a:ext uri="{53640926-AAD7-44D8-BBD7-CCE9431645EC}">
                        <a14:shadowObscured xmlns:a14="http://schemas.microsoft.com/office/drawing/2010/main"/>
                      </a:ext>
                    </a:extLst>
                  </pic:spPr>
                </pic:pic>
              </a:graphicData>
            </a:graphic>
          </wp:inline>
        </w:drawing>
      </w:r>
    </w:p>
    <w:p w14:paraId="16C76205" w14:textId="487C61C0" w:rsidR="005F5492" w:rsidRDefault="005F5492" w:rsidP="00560012">
      <w:pPr>
        <w:spacing w:line="360" w:lineRule="auto"/>
        <w:jc w:val="both"/>
        <w:rPr>
          <w:sz w:val="20"/>
          <w:szCs w:val="20"/>
        </w:rPr>
      </w:pPr>
      <w:r>
        <w:rPr>
          <w:noProof/>
          <w:lang w:val="es-MX" w:eastAsia="es-MX"/>
        </w:rPr>
        <w:lastRenderedPageBreak/>
        <w:drawing>
          <wp:inline distT="0" distB="0" distL="0" distR="0" wp14:anchorId="66BEEDAC" wp14:editId="45B0C10A">
            <wp:extent cx="4972050" cy="3133725"/>
            <wp:effectExtent l="0" t="0" r="0" b="9525"/>
            <wp:docPr id="32" name="Imagen 32"/>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45"/>
                    <a:srcRect l="31370" t="51870" r="31147" b="12353"/>
                    <a:stretch/>
                  </pic:blipFill>
                  <pic:spPr bwMode="auto">
                    <a:xfrm>
                      <a:off x="0" y="0"/>
                      <a:ext cx="4985560" cy="3142240"/>
                    </a:xfrm>
                    <a:prstGeom prst="rect">
                      <a:avLst/>
                    </a:prstGeom>
                    <a:ln>
                      <a:noFill/>
                    </a:ln>
                    <a:extLst>
                      <a:ext uri="{53640926-AAD7-44D8-BBD7-CCE9431645EC}">
                        <a14:shadowObscured xmlns:a14="http://schemas.microsoft.com/office/drawing/2010/main"/>
                      </a:ext>
                    </a:extLst>
                  </pic:spPr>
                </pic:pic>
              </a:graphicData>
            </a:graphic>
          </wp:inline>
        </w:drawing>
      </w:r>
    </w:p>
    <w:p w14:paraId="549F6635" w14:textId="00B2762D" w:rsidR="005F5492" w:rsidRDefault="005F5492" w:rsidP="00560012">
      <w:pPr>
        <w:spacing w:line="360" w:lineRule="auto"/>
        <w:jc w:val="both"/>
        <w:rPr>
          <w:sz w:val="20"/>
          <w:szCs w:val="20"/>
        </w:rPr>
      </w:pPr>
      <w:r>
        <w:rPr>
          <w:noProof/>
          <w:lang w:val="es-MX" w:eastAsia="es-MX"/>
        </w:rPr>
        <w:drawing>
          <wp:inline distT="0" distB="0" distL="0" distR="0" wp14:anchorId="596C5ECF" wp14:editId="2D7E0976">
            <wp:extent cx="4972050" cy="2914650"/>
            <wp:effectExtent l="0" t="0" r="0" b="0"/>
            <wp:docPr id="36" name="Imagen 36"/>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6"/>
                    <a:srcRect l="32523" t="10457" r="29764" b="57140"/>
                    <a:stretch/>
                  </pic:blipFill>
                  <pic:spPr bwMode="auto">
                    <a:xfrm>
                      <a:off x="0" y="0"/>
                      <a:ext cx="4978181" cy="2918244"/>
                    </a:xfrm>
                    <a:prstGeom prst="rect">
                      <a:avLst/>
                    </a:prstGeom>
                    <a:ln>
                      <a:noFill/>
                    </a:ln>
                    <a:extLst>
                      <a:ext uri="{53640926-AAD7-44D8-BBD7-CCE9431645EC}">
                        <a14:shadowObscured xmlns:a14="http://schemas.microsoft.com/office/drawing/2010/main"/>
                      </a:ext>
                    </a:extLst>
                  </pic:spPr>
                </pic:pic>
              </a:graphicData>
            </a:graphic>
          </wp:inline>
        </w:drawing>
      </w:r>
    </w:p>
    <w:p w14:paraId="23381A47" w14:textId="4A61090B" w:rsidR="005F5492" w:rsidRDefault="005F5492" w:rsidP="00560012">
      <w:pPr>
        <w:spacing w:line="360" w:lineRule="auto"/>
        <w:jc w:val="both"/>
        <w:rPr>
          <w:sz w:val="20"/>
          <w:szCs w:val="20"/>
        </w:rPr>
      </w:pPr>
      <w:r>
        <w:rPr>
          <w:noProof/>
          <w:lang w:val="es-MX" w:eastAsia="es-MX"/>
        </w:rPr>
        <w:lastRenderedPageBreak/>
        <w:drawing>
          <wp:inline distT="0" distB="0" distL="0" distR="0" wp14:anchorId="07A4D4F3" wp14:editId="598A1B9C">
            <wp:extent cx="4944745" cy="4076700"/>
            <wp:effectExtent l="0" t="0" r="8255" b="0"/>
            <wp:docPr id="44" name="Imagen 4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46"/>
                    <a:srcRect l="32523" t="42090" r="29764" b="5834"/>
                    <a:stretch/>
                  </pic:blipFill>
                  <pic:spPr bwMode="auto">
                    <a:xfrm>
                      <a:off x="0" y="0"/>
                      <a:ext cx="4950845" cy="4081729"/>
                    </a:xfrm>
                    <a:prstGeom prst="rect">
                      <a:avLst/>
                    </a:prstGeom>
                    <a:ln>
                      <a:noFill/>
                    </a:ln>
                    <a:extLst>
                      <a:ext uri="{53640926-AAD7-44D8-BBD7-CCE9431645EC}">
                        <a14:shadowObscured xmlns:a14="http://schemas.microsoft.com/office/drawing/2010/main"/>
                      </a:ext>
                    </a:extLst>
                  </pic:spPr>
                </pic:pic>
              </a:graphicData>
            </a:graphic>
          </wp:inline>
        </w:drawing>
      </w:r>
    </w:p>
    <w:p w14:paraId="74738259" w14:textId="77777777" w:rsidR="005F5492" w:rsidRDefault="005F5492" w:rsidP="00560012">
      <w:pPr>
        <w:spacing w:line="360" w:lineRule="auto"/>
        <w:jc w:val="both"/>
        <w:rPr>
          <w:sz w:val="20"/>
          <w:szCs w:val="20"/>
        </w:rPr>
      </w:pPr>
    </w:p>
    <w:p w14:paraId="198552D3" w14:textId="2AC723B3" w:rsidR="005F5492" w:rsidRDefault="005F5492" w:rsidP="00560012">
      <w:pPr>
        <w:spacing w:line="360" w:lineRule="auto"/>
        <w:jc w:val="both"/>
        <w:rPr>
          <w:sz w:val="20"/>
          <w:szCs w:val="20"/>
        </w:rPr>
      </w:pPr>
      <w:r>
        <w:rPr>
          <w:noProof/>
          <w:lang w:val="es-MX" w:eastAsia="es-MX"/>
        </w:rPr>
        <w:drawing>
          <wp:inline distT="0" distB="0" distL="0" distR="0" wp14:anchorId="34B14299" wp14:editId="0F54C6BF">
            <wp:extent cx="5142230" cy="1238250"/>
            <wp:effectExtent l="0" t="0" r="1270" b="0"/>
            <wp:docPr id="46" name="Imagen 4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47"/>
                    <a:srcRect l="33677" t="19683" r="31378" b="66617"/>
                    <a:stretch/>
                  </pic:blipFill>
                  <pic:spPr bwMode="auto">
                    <a:xfrm>
                      <a:off x="0" y="0"/>
                      <a:ext cx="5143505" cy="1238557"/>
                    </a:xfrm>
                    <a:prstGeom prst="rect">
                      <a:avLst/>
                    </a:prstGeom>
                    <a:ln>
                      <a:noFill/>
                    </a:ln>
                    <a:extLst>
                      <a:ext uri="{53640926-AAD7-44D8-BBD7-CCE9431645EC}">
                        <a14:shadowObscured xmlns:a14="http://schemas.microsoft.com/office/drawing/2010/main"/>
                      </a:ext>
                    </a:extLst>
                  </pic:spPr>
                </pic:pic>
              </a:graphicData>
            </a:graphic>
          </wp:inline>
        </w:drawing>
      </w:r>
    </w:p>
    <w:p w14:paraId="3D819487" w14:textId="77777777" w:rsidR="00560012" w:rsidRDefault="00560012" w:rsidP="00036390">
      <w:pPr>
        <w:spacing w:line="360" w:lineRule="auto"/>
        <w:ind w:left="-11"/>
        <w:jc w:val="both"/>
        <w:rPr>
          <w:sz w:val="20"/>
          <w:szCs w:val="20"/>
        </w:rPr>
      </w:pPr>
    </w:p>
    <w:p w14:paraId="1E2FA845" w14:textId="77777777" w:rsidR="005F5492" w:rsidRPr="00F532D5" w:rsidRDefault="005F5492" w:rsidP="00036390">
      <w:pPr>
        <w:spacing w:line="360" w:lineRule="auto"/>
        <w:ind w:left="-11"/>
        <w:jc w:val="both"/>
        <w:rPr>
          <w:sz w:val="20"/>
          <w:szCs w:val="20"/>
        </w:rPr>
      </w:pPr>
    </w:p>
    <w:p w14:paraId="32C64889" w14:textId="091326E2" w:rsidR="007159E7" w:rsidRDefault="005F5492" w:rsidP="007159E7">
      <w:pPr>
        <w:spacing w:line="360" w:lineRule="auto"/>
        <w:jc w:val="both"/>
        <w:rPr>
          <w:sz w:val="20"/>
          <w:szCs w:val="20"/>
        </w:rPr>
      </w:pPr>
      <w:r>
        <w:rPr>
          <w:noProof/>
          <w:lang w:val="es-MX" w:eastAsia="es-MX"/>
        </w:rPr>
        <w:lastRenderedPageBreak/>
        <w:drawing>
          <wp:inline distT="0" distB="0" distL="0" distR="0" wp14:anchorId="50AB07B8" wp14:editId="40F3D577">
            <wp:extent cx="5179695" cy="3036687"/>
            <wp:effectExtent l="0" t="0" r="1905" b="0"/>
            <wp:docPr id="47" name="Imagen 47"/>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rotWithShape="1">
                    <a:blip r:embed="rId47"/>
                    <a:srcRect l="33677" t="32713" r="31378" b="27662"/>
                    <a:stretch/>
                  </pic:blipFill>
                  <pic:spPr bwMode="auto">
                    <a:xfrm>
                      <a:off x="0" y="0"/>
                      <a:ext cx="5179695" cy="3036687"/>
                    </a:xfrm>
                    <a:prstGeom prst="rect">
                      <a:avLst/>
                    </a:prstGeom>
                    <a:ln>
                      <a:noFill/>
                    </a:ln>
                    <a:extLst>
                      <a:ext uri="{53640926-AAD7-44D8-BBD7-CCE9431645EC}">
                        <a14:shadowObscured xmlns:a14="http://schemas.microsoft.com/office/drawing/2010/main"/>
                      </a:ext>
                    </a:extLst>
                  </pic:spPr>
                </pic:pic>
              </a:graphicData>
            </a:graphic>
          </wp:inline>
        </w:drawing>
      </w:r>
    </w:p>
    <w:p w14:paraId="1AADD8A2" w14:textId="77777777" w:rsidR="005F5492" w:rsidRDefault="005F5492" w:rsidP="007159E7">
      <w:pPr>
        <w:spacing w:line="360" w:lineRule="auto"/>
        <w:jc w:val="both"/>
        <w:rPr>
          <w:sz w:val="20"/>
          <w:szCs w:val="20"/>
        </w:rPr>
      </w:pPr>
    </w:p>
    <w:p w14:paraId="3EC75D1B" w14:textId="014BA6B6" w:rsidR="005F5492" w:rsidRPr="00F532D5" w:rsidRDefault="005F5492" w:rsidP="007159E7">
      <w:pPr>
        <w:spacing w:line="360" w:lineRule="auto"/>
        <w:jc w:val="both"/>
        <w:rPr>
          <w:sz w:val="20"/>
          <w:szCs w:val="20"/>
        </w:rPr>
      </w:pPr>
      <w:r w:rsidRPr="00955A4C">
        <w:rPr>
          <w:noProof/>
          <w:sz w:val="20"/>
          <w:szCs w:val="20"/>
          <w:lang w:val="es-MX" w:eastAsia="es-MX"/>
        </w:rPr>
        <w:drawing>
          <wp:inline distT="0" distB="0" distL="0" distR="0" wp14:anchorId="4E4735AF" wp14:editId="1CE362CE">
            <wp:extent cx="5172075" cy="2799298"/>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8563" t="9816" r="26647" b="47026"/>
                    <a:stretch/>
                  </pic:blipFill>
                  <pic:spPr bwMode="auto">
                    <a:xfrm>
                      <a:off x="0" y="0"/>
                      <a:ext cx="5240326" cy="2836238"/>
                    </a:xfrm>
                    <a:prstGeom prst="rect">
                      <a:avLst/>
                    </a:prstGeom>
                    <a:ln>
                      <a:noFill/>
                    </a:ln>
                    <a:extLst>
                      <a:ext uri="{53640926-AAD7-44D8-BBD7-CCE9431645EC}">
                        <a14:shadowObscured xmlns:a14="http://schemas.microsoft.com/office/drawing/2010/main"/>
                      </a:ext>
                    </a:extLst>
                  </pic:spPr>
                </pic:pic>
              </a:graphicData>
            </a:graphic>
          </wp:inline>
        </w:drawing>
      </w:r>
    </w:p>
    <w:p w14:paraId="24F982BE" w14:textId="1AB842C7" w:rsidR="00F71802" w:rsidRDefault="00F71802" w:rsidP="00182E26">
      <w:pPr>
        <w:spacing w:line="360" w:lineRule="auto"/>
        <w:jc w:val="center"/>
        <w:rPr>
          <w:sz w:val="18"/>
          <w:szCs w:val="18"/>
          <w:lang w:val="es-MX"/>
        </w:rPr>
      </w:pPr>
    </w:p>
    <w:p w14:paraId="1A5C80F1" w14:textId="77777777" w:rsidR="005F5492" w:rsidRDefault="005F5492" w:rsidP="00182E26">
      <w:pPr>
        <w:spacing w:line="360" w:lineRule="auto"/>
        <w:jc w:val="center"/>
        <w:rPr>
          <w:sz w:val="18"/>
          <w:szCs w:val="18"/>
          <w:lang w:val="es-MX"/>
        </w:rPr>
      </w:pPr>
    </w:p>
    <w:p w14:paraId="69CB58F7" w14:textId="77777777" w:rsidR="005F5492" w:rsidRDefault="005F5492" w:rsidP="00182E26">
      <w:pPr>
        <w:spacing w:line="360" w:lineRule="auto"/>
        <w:jc w:val="center"/>
        <w:rPr>
          <w:sz w:val="18"/>
          <w:szCs w:val="18"/>
          <w:lang w:val="es-MX"/>
        </w:rPr>
      </w:pPr>
    </w:p>
    <w:p w14:paraId="3920FD82" w14:textId="77777777" w:rsidR="005F5492" w:rsidRDefault="005F5492" w:rsidP="00182E26">
      <w:pPr>
        <w:spacing w:line="360" w:lineRule="auto"/>
        <w:jc w:val="center"/>
        <w:rPr>
          <w:sz w:val="18"/>
          <w:szCs w:val="18"/>
          <w:lang w:val="es-MX"/>
        </w:rPr>
      </w:pPr>
    </w:p>
    <w:p w14:paraId="57E47386" w14:textId="7230D091" w:rsidR="005F5492" w:rsidRDefault="005F5492" w:rsidP="00182E26">
      <w:pPr>
        <w:spacing w:line="360" w:lineRule="auto"/>
        <w:jc w:val="center"/>
        <w:rPr>
          <w:sz w:val="18"/>
          <w:szCs w:val="18"/>
          <w:lang w:val="es-MX"/>
        </w:rPr>
      </w:pPr>
      <w:r w:rsidRPr="00955A4C">
        <w:rPr>
          <w:noProof/>
          <w:sz w:val="20"/>
          <w:szCs w:val="20"/>
          <w:lang w:val="es-MX" w:eastAsia="es-MX"/>
        </w:rPr>
        <w:lastRenderedPageBreak/>
        <w:drawing>
          <wp:inline distT="0" distB="0" distL="0" distR="0" wp14:anchorId="55BE324D" wp14:editId="7C9C95E7">
            <wp:extent cx="5171312" cy="2775005"/>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0650" t="29076" r="26672" b="40490"/>
                    <a:stretch/>
                  </pic:blipFill>
                  <pic:spPr bwMode="auto">
                    <a:xfrm>
                      <a:off x="0" y="0"/>
                      <a:ext cx="5268122" cy="2826955"/>
                    </a:xfrm>
                    <a:prstGeom prst="rect">
                      <a:avLst/>
                    </a:prstGeom>
                    <a:ln>
                      <a:noFill/>
                    </a:ln>
                    <a:extLst>
                      <a:ext uri="{53640926-AAD7-44D8-BBD7-CCE9431645EC}">
                        <a14:shadowObscured xmlns:a14="http://schemas.microsoft.com/office/drawing/2010/main"/>
                      </a:ext>
                    </a:extLst>
                  </pic:spPr>
                </pic:pic>
              </a:graphicData>
            </a:graphic>
          </wp:inline>
        </w:drawing>
      </w:r>
    </w:p>
    <w:p w14:paraId="63D5FA30" w14:textId="0182ACF6" w:rsidR="005F5492" w:rsidRDefault="005F5492" w:rsidP="00182E26">
      <w:pPr>
        <w:spacing w:line="360" w:lineRule="auto"/>
        <w:jc w:val="center"/>
        <w:rPr>
          <w:sz w:val="18"/>
          <w:szCs w:val="18"/>
          <w:lang w:val="es-MX"/>
        </w:rPr>
      </w:pPr>
      <w:r w:rsidRPr="00955A4C">
        <w:rPr>
          <w:noProof/>
          <w:sz w:val="20"/>
          <w:szCs w:val="20"/>
          <w:lang w:val="es-MX" w:eastAsia="es-MX"/>
        </w:rPr>
        <w:drawing>
          <wp:inline distT="0" distB="0" distL="0" distR="0" wp14:anchorId="0D31F9D1" wp14:editId="51496CFD">
            <wp:extent cx="5145286" cy="1900361"/>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761" t="37548" r="37718" b="43959"/>
                    <a:stretch/>
                  </pic:blipFill>
                  <pic:spPr bwMode="auto">
                    <a:xfrm>
                      <a:off x="0" y="0"/>
                      <a:ext cx="5412191" cy="1998940"/>
                    </a:xfrm>
                    <a:prstGeom prst="rect">
                      <a:avLst/>
                    </a:prstGeom>
                    <a:ln>
                      <a:noFill/>
                    </a:ln>
                    <a:extLst>
                      <a:ext uri="{53640926-AAD7-44D8-BBD7-CCE9431645EC}">
                        <a14:shadowObscured xmlns:a14="http://schemas.microsoft.com/office/drawing/2010/main"/>
                      </a:ext>
                    </a:extLst>
                  </pic:spPr>
                </pic:pic>
              </a:graphicData>
            </a:graphic>
          </wp:inline>
        </w:drawing>
      </w:r>
    </w:p>
    <w:p w14:paraId="596B70C8" w14:textId="3545BFE0" w:rsidR="005F5492" w:rsidRPr="00955A4C" w:rsidRDefault="005F5492" w:rsidP="005F5492">
      <w:pPr>
        <w:spacing w:line="360" w:lineRule="auto"/>
        <w:jc w:val="both"/>
        <w:rPr>
          <w:sz w:val="20"/>
          <w:szCs w:val="20"/>
        </w:rPr>
      </w:pPr>
      <w:r w:rsidRPr="00955A4C">
        <w:rPr>
          <w:sz w:val="20"/>
          <w:szCs w:val="20"/>
        </w:rPr>
        <w:t xml:space="preserve">Con la finalidad de coadyuvar en el saneamiento de las Pensiones Civiles del Estado de Tlaxcala, el Ejecutivo del Estado ha otorgado a la fecha aportaciones extraordinarias a Pensiones Civiles del Estado por un importe estimado de </w:t>
      </w:r>
      <w:r>
        <w:rPr>
          <w:sz w:val="20"/>
          <w:szCs w:val="20"/>
        </w:rPr>
        <w:t>646</w:t>
      </w:r>
      <w:r w:rsidRPr="00955A4C">
        <w:rPr>
          <w:sz w:val="20"/>
          <w:szCs w:val="20"/>
        </w:rPr>
        <w:t>.</w:t>
      </w:r>
      <w:r>
        <w:rPr>
          <w:sz w:val="20"/>
          <w:szCs w:val="20"/>
        </w:rPr>
        <w:t>5</w:t>
      </w:r>
      <w:r w:rsidRPr="00955A4C">
        <w:rPr>
          <w:sz w:val="20"/>
          <w:szCs w:val="20"/>
        </w:rPr>
        <w:t xml:space="preserve"> mdp al cierre de 20</w:t>
      </w:r>
      <w:r>
        <w:rPr>
          <w:sz w:val="20"/>
          <w:szCs w:val="20"/>
        </w:rPr>
        <w:t>20</w:t>
      </w:r>
      <w:r w:rsidRPr="00955A4C">
        <w:rPr>
          <w:sz w:val="20"/>
          <w:szCs w:val="20"/>
        </w:rPr>
        <w:t>.</w:t>
      </w: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2080"/>
      </w:tblGrid>
      <w:tr w:rsidR="005F5492" w:rsidRPr="00955A4C" w14:paraId="7C14E80C" w14:textId="77777777" w:rsidTr="005F5492">
        <w:trPr>
          <w:trHeight w:val="839"/>
          <w:tblHeader/>
          <w:jc w:val="center"/>
        </w:trPr>
        <w:tc>
          <w:tcPr>
            <w:tcW w:w="1560" w:type="dxa"/>
            <w:shd w:val="clear" w:color="auto" w:fill="BFBFBF" w:themeFill="background1" w:themeFillShade="BF"/>
            <w:noWrap/>
            <w:vAlign w:val="center"/>
            <w:hideMark/>
          </w:tcPr>
          <w:p w14:paraId="70B6219C" w14:textId="77777777" w:rsidR="005F5492" w:rsidRPr="00955A4C" w:rsidRDefault="005F5492" w:rsidP="00F01A99">
            <w:pPr>
              <w:spacing w:line="360" w:lineRule="auto"/>
              <w:jc w:val="center"/>
              <w:rPr>
                <w:b/>
                <w:bCs/>
                <w:color w:val="000000"/>
                <w:sz w:val="20"/>
                <w:szCs w:val="20"/>
                <w:lang w:eastAsia="es-MX"/>
              </w:rPr>
            </w:pPr>
            <w:r w:rsidRPr="00955A4C">
              <w:rPr>
                <w:b/>
                <w:bCs/>
                <w:color w:val="000000"/>
                <w:sz w:val="20"/>
                <w:szCs w:val="20"/>
                <w:lang w:eastAsia="es-MX"/>
              </w:rPr>
              <w:t>AÑO</w:t>
            </w:r>
          </w:p>
        </w:tc>
        <w:tc>
          <w:tcPr>
            <w:tcW w:w="2080" w:type="dxa"/>
            <w:shd w:val="clear" w:color="auto" w:fill="BFBFBF" w:themeFill="background1" w:themeFillShade="BF"/>
            <w:vAlign w:val="center"/>
            <w:hideMark/>
          </w:tcPr>
          <w:p w14:paraId="163453FD" w14:textId="77777777" w:rsidR="005F5492" w:rsidRDefault="005F5492" w:rsidP="00F01A99">
            <w:pPr>
              <w:spacing w:line="360" w:lineRule="auto"/>
              <w:jc w:val="center"/>
              <w:rPr>
                <w:b/>
                <w:bCs/>
                <w:color w:val="000000"/>
                <w:sz w:val="20"/>
                <w:szCs w:val="20"/>
                <w:lang w:eastAsia="es-MX"/>
              </w:rPr>
            </w:pPr>
            <w:r w:rsidRPr="00955A4C">
              <w:rPr>
                <w:b/>
                <w:bCs/>
                <w:color w:val="000000"/>
                <w:sz w:val="20"/>
                <w:szCs w:val="20"/>
                <w:lang w:eastAsia="es-MX"/>
              </w:rPr>
              <w:t>APOYO ESTATAL EXTRAORDINARIO</w:t>
            </w:r>
          </w:p>
          <w:p w14:paraId="7086BD31" w14:textId="77777777" w:rsidR="005F5492" w:rsidRPr="00955A4C" w:rsidRDefault="005F5492" w:rsidP="00F01A99">
            <w:pPr>
              <w:spacing w:line="360" w:lineRule="auto"/>
              <w:jc w:val="center"/>
              <w:rPr>
                <w:b/>
                <w:bCs/>
                <w:color w:val="000000"/>
                <w:sz w:val="20"/>
                <w:szCs w:val="20"/>
                <w:lang w:eastAsia="es-MX"/>
              </w:rPr>
            </w:pPr>
            <w:r>
              <w:rPr>
                <w:b/>
                <w:bCs/>
                <w:color w:val="000000"/>
                <w:sz w:val="20"/>
                <w:szCs w:val="20"/>
                <w:lang w:eastAsia="es-MX"/>
              </w:rPr>
              <w:t>(MDP)</w:t>
            </w:r>
          </w:p>
        </w:tc>
      </w:tr>
      <w:tr w:rsidR="005F5492" w:rsidRPr="00955A4C" w14:paraId="1D7D68C1" w14:textId="77777777" w:rsidTr="00F01A99">
        <w:trPr>
          <w:trHeight w:val="274"/>
          <w:jc w:val="center"/>
        </w:trPr>
        <w:tc>
          <w:tcPr>
            <w:tcW w:w="1560" w:type="dxa"/>
            <w:shd w:val="clear" w:color="auto" w:fill="auto"/>
            <w:noWrap/>
            <w:vAlign w:val="center"/>
            <w:hideMark/>
          </w:tcPr>
          <w:p w14:paraId="49172040"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2011</w:t>
            </w:r>
          </w:p>
        </w:tc>
        <w:tc>
          <w:tcPr>
            <w:tcW w:w="2080" w:type="dxa"/>
            <w:shd w:val="clear" w:color="auto" w:fill="auto"/>
            <w:noWrap/>
            <w:vAlign w:val="center"/>
            <w:hideMark/>
          </w:tcPr>
          <w:p w14:paraId="173D15E3"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139.7</w:t>
            </w:r>
          </w:p>
        </w:tc>
      </w:tr>
      <w:tr w:rsidR="005F5492" w:rsidRPr="00955A4C" w14:paraId="29A55B18" w14:textId="77777777" w:rsidTr="00F01A99">
        <w:trPr>
          <w:trHeight w:val="153"/>
          <w:jc w:val="center"/>
        </w:trPr>
        <w:tc>
          <w:tcPr>
            <w:tcW w:w="1560" w:type="dxa"/>
            <w:shd w:val="clear" w:color="auto" w:fill="auto"/>
            <w:noWrap/>
            <w:vAlign w:val="center"/>
            <w:hideMark/>
          </w:tcPr>
          <w:p w14:paraId="6F286BEF"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2012</w:t>
            </w:r>
          </w:p>
        </w:tc>
        <w:tc>
          <w:tcPr>
            <w:tcW w:w="2080" w:type="dxa"/>
            <w:shd w:val="clear" w:color="auto" w:fill="auto"/>
            <w:noWrap/>
            <w:vAlign w:val="center"/>
            <w:hideMark/>
          </w:tcPr>
          <w:p w14:paraId="7CC19606"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118.3</w:t>
            </w:r>
          </w:p>
        </w:tc>
      </w:tr>
      <w:tr w:rsidR="005F5492" w:rsidRPr="00955A4C" w14:paraId="06EA5244" w14:textId="77777777" w:rsidTr="00F01A99">
        <w:trPr>
          <w:trHeight w:val="300"/>
          <w:jc w:val="center"/>
        </w:trPr>
        <w:tc>
          <w:tcPr>
            <w:tcW w:w="1560" w:type="dxa"/>
            <w:shd w:val="clear" w:color="auto" w:fill="auto"/>
            <w:noWrap/>
            <w:vAlign w:val="center"/>
            <w:hideMark/>
          </w:tcPr>
          <w:p w14:paraId="47A46562"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2013</w:t>
            </w:r>
          </w:p>
        </w:tc>
        <w:tc>
          <w:tcPr>
            <w:tcW w:w="2080" w:type="dxa"/>
            <w:shd w:val="clear" w:color="auto" w:fill="auto"/>
            <w:noWrap/>
            <w:vAlign w:val="center"/>
            <w:hideMark/>
          </w:tcPr>
          <w:p w14:paraId="08D24D40"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16.5</w:t>
            </w:r>
          </w:p>
        </w:tc>
      </w:tr>
      <w:tr w:rsidR="005F5492" w:rsidRPr="00955A4C" w14:paraId="07CCA593" w14:textId="77777777" w:rsidTr="00F01A99">
        <w:trPr>
          <w:trHeight w:val="320"/>
          <w:jc w:val="center"/>
        </w:trPr>
        <w:tc>
          <w:tcPr>
            <w:tcW w:w="1560" w:type="dxa"/>
            <w:shd w:val="clear" w:color="auto" w:fill="auto"/>
            <w:noWrap/>
            <w:vAlign w:val="center"/>
            <w:hideMark/>
          </w:tcPr>
          <w:p w14:paraId="6662AF27"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2014</w:t>
            </w:r>
          </w:p>
        </w:tc>
        <w:tc>
          <w:tcPr>
            <w:tcW w:w="2080" w:type="dxa"/>
            <w:shd w:val="clear" w:color="auto" w:fill="auto"/>
            <w:noWrap/>
            <w:vAlign w:val="center"/>
            <w:hideMark/>
          </w:tcPr>
          <w:p w14:paraId="72E64AB3"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29.0</w:t>
            </w:r>
          </w:p>
        </w:tc>
      </w:tr>
      <w:tr w:rsidR="005F5492" w:rsidRPr="00955A4C" w14:paraId="39A33728" w14:textId="77777777" w:rsidTr="00F01A99">
        <w:trPr>
          <w:trHeight w:val="326"/>
          <w:jc w:val="center"/>
        </w:trPr>
        <w:tc>
          <w:tcPr>
            <w:tcW w:w="1560" w:type="dxa"/>
            <w:shd w:val="clear" w:color="auto" w:fill="auto"/>
            <w:noWrap/>
            <w:vAlign w:val="center"/>
            <w:hideMark/>
          </w:tcPr>
          <w:p w14:paraId="50F8A549"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2015</w:t>
            </w:r>
          </w:p>
        </w:tc>
        <w:tc>
          <w:tcPr>
            <w:tcW w:w="2080" w:type="dxa"/>
            <w:shd w:val="clear" w:color="auto" w:fill="auto"/>
            <w:noWrap/>
            <w:vAlign w:val="center"/>
            <w:hideMark/>
          </w:tcPr>
          <w:p w14:paraId="6DE9B3CA"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34.6</w:t>
            </w:r>
          </w:p>
        </w:tc>
      </w:tr>
      <w:tr w:rsidR="005F5492" w:rsidRPr="00955A4C" w14:paraId="70D9BA6D" w14:textId="77777777" w:rsidTr="00F01A99">
        <w:trPr>
          <w:trHeight w:val="332"/>
          <w:jc w:val="center"/>
        </w:trPr>
        <w:tc>
          <w:tcPr>
            <w:tcW w:w="1560" w:type="dxa"/>
            <w:shd w:val="clear" w:color="auto" w:fill="auto"/>
            <w:noWrap/>
            <w:vAlign w:val="center"/>
            <w:hideMark/>
          </w:tcPr>
          <w:p w14:paraId="4587CD3A"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lastRenderedPageBreak/>
              <w:t>Ejercicio 2016</w:t>
            </w:r>
          </w:p>
        </w:tc>
        <w:tc>
          <w:tcPr>
            <w:tcW w:w="2080" w:type="dxa"/>
            <w:shd w:val="clear" w:color="auto" w:fill="auto"/>
            <w:noWrap/>
            <w:vAlign w:val="center"/>
            <w:hideMark/>
          </w:tcPr>
          <w:p w14:paraId="05D8FFCB" w14:textId="77777777" w:rsidR="005F5492" w:rsidRPr="00955A4C" w:rsidRDefault="005F5492" w:rsidP="00F01A99">
            <w:pPr>
              <w:spacing w:line="360" w:lineRule="auto"/>
              <w:jc w:val="right"/>
              <w:rPr>
                <w:color w:val="000000"/>
                <w:sz w:val="20"/>
                <w:szCs w:val="20"/>
                <w:lang w:eastAsia="es-MX"/>
              </w:rPr>
            </w:pPr>
            <w:r w:rsidRPr="00955A4C">
              <w:rPr>
                <w:color w:val="000000"/>
                <w:sz w:val="20"/>
                <w:szCs w:val="20"/>
                <w:lang w:eastAsia="es-MX"/>
              </w:rPr>
              <w:t>165.3</w:t>
            </w:r>
          </w:p>
        </w:tc>
      </w:tr>
      <w:tr w:rsidR="005F5492" w:rsidRPr="00955A4C" w14:paraId="142AB972" w14:textId="77777777" w:rsidTr="00F01A99">
        <w:trPr>
          <w:trHeight w:val="209"/>
          <w:jc w:val="center"/>
        </w:trPr>
        <w:tc>
          <w:tcPr>
            <w:tcW w:w="1560" w:type="dxa"/>
            <w:shd w:val="clear" w:color="auto" w:fill="auto"/>
            <w:noWrap/>
            <w:vAlign w:val="center"/>
          </w:tcPr>
          <w:p w14:paraId="6BD1E3D4"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2017</w:t>
            </w:r>
          </w:p>
        </w:tc>
        <w:tc>
          <w:tcPr>
            <w:tcW w:w="2080" w:type="dxa"/>
            <w:shd w:val="clear" w:color="auto" w:fill="auto"/>
            <w:noWrap/>
            <w:vAlign w:val="center"/>
          </w:tcPr>
          <w:p w14:paraId="6E1E1C25" w14:textId="77777777" w:rsidR="005F5492" w:rsidRPr="00955A4C" w:rsidRDefault="005F5492" w:rsidP="00F01A99">
            <w:pPr>
              <w:spacing w:line="360" w:lineRule="auto"/>
              <w:jc w:val="right"/>
              <w:rPr>
                <w:bCs/>
                <w:color w:val="000000"/>
                <w:sz w:val="20"/>
                <w:szCs w:val="20"/>
                <w:highlight w:val="yellow"/>
                <w:lang w:eastAsia="es-MX"/>
              </w:rPr>
            </w:pPr>
            <w:r w:rsidRPr="00955A4C">
              <w:rPr>
                <w:bCs/>
                <w:color w:val="000000"/>
                <w:sz w:val="20"/>
                <w:szCs w:val="20"/>
                <w:lang w:eastAsia="es-MX"/>
              </w:rPr>
              <w:t>26.6</w:t>
            </w:r>
          </w:p>
        </w:tc>
      </w:tr>
      <w:tr w:rsidR="005F5492" w:rsidRPr="00955A4C" w14:paraId="70E8A894" w14:textId="77777777" w:rsidTr="00F01A99">
        <w:trPr>
          <w:trHeight w:val="215"/>
          <w:jc w:val="center"/>
        </w:trPr>
        <w:tc>
          <w:tcPr>
            <w:tcW w:w="1560" w:type="dxa"/>
            <w:shd w:val="clear" w:color="auto" w:fill="auto"/>
            <w:noWrap/>
            <w:vAlign w:val="center"/>
          </w:tcPr>
          <w:p w14:paraId="46190396"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2018</w:t>
            </w:r>
          </w:p>
        </w:tc>
        <w:tc>
          <w:tcPr>
            <w:tcW w:w="2080" w:type="dxa"/>
            <w:shd w:val="clear" w:color="auto" w:fill="auto"/>
            <w:noWrap/>
            <w:vAlign w:val="center"/>
          </w:tcPr>
          <w:p w14:paraId="48AB5BAC" w14:textId="77777777" w:rsidR="005F5492" w:rsidRPr="00955A4C" w:rsidRDefault="005F5492" w:rsidP="00F01A99">
            <w:pPr>
              <w:spacing w:line="360" w:lineRule="auto"/>
              <w:jc w:val="right"/>
              <w:rPr>
                <w:bCs/>
                <w:color w:val="000000"/>
                <w:sz w:val="20"/>
                <w:szCs w:val="20"/>
                <w:lang w:eastAsia="es-MX"/>
              </w:rPr>
            </w:pPr>
            <w:r w:rsidRPr="00955A4C">
              <w:rPr>
                <w:bCs/>
                <w:color w:val="000000"/>
                <w:sz w:val="20"/>
                <w:szCs w:val="20"/>
                <w:lang w:eastAsia="es-MX"/>
              </w:rPr>
              <w:t>31.0</w:t>
            </w:r>
          </w:p>
        </w:tc>
      </w:tr>
      <w:tr w:rsidR="005F5492" w:rsidRPr="00955A4C" w14:paraId="10464DFA" w14:textId="77777777" w:rsidTr="00F01A99">
        <w:trPr>
          <w:trHeight w:val="215"/>
          <w:jc w:val="center"/>
        </w:trPr>
        <w:tc>
          <w:tcPr>
            <w:tcW w:w="1560" w:type="dxa"/>
            <w:shd w:val="clear" w:color="auto" w:fill="auto"/>
            <w:noWrap/>
            <w:vAlign w:val="center"/>
          </w:tcPr>
          <w:p w14:paraId="28982077" w14:textId="77777777" w:rsidR="005F5492" w:rsidRPr="00955A4C" w:rsidRDefault="005F5492" w:rsidP="00F01A99">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w:t>
            </w:r>
            <w:r w:rsidRPr="00955A4C">
              <w:rPr>
                <w:b/>
                <w:bCs/>
                <w:color w:val="000000"/>
                <w:sz w:val="20"/>
                <w:szCs w:val="20"/>
                <w:lang w:eastAsia="es-MX"/>
              </w:rPr>
              <w:t>9</w:t>
            </w:r>
          </w:p>
        </w:tc>
        <w:tc>
          <w:tcPr>
            <w:tcW w:w="2080" w:type="dxa"/>
            <w:shd w:val="clear" w:color="auto" w:fill="auto"/>
            <w:noWrap/>
            <w:vAlign w:val="center"/>
          </w:tcPr>
          <w:p w14:paraId="6F2241E1" w14:textId="77777777" w:rsidR="005F5492" w:rsidRPr="00955A4C" w:rsidRDefault="005F5492" w:rsidP="00F01A99">
            <w:pPr>
              <w:spacing w:line="360" w:lineRule="auto"/>
              <w:jc w:val="right"/>
              <w:rPr>
                <w:bCs/>
                <w:color w:val="000000"/>
                <w:sz w:val="20"/>
                <w:szCs w:val="20"/>
                <w:lang w:eastAsia="es-MX"/>
              </w:rPr>
            </w:pPr>
            <w:r>
              <w:rPr>
                <w:bCs/>
                <w:color w:val="000000"/>
                <w:sz w:val="20"/>
                <w:szCs w:val="20"/>
                <w:lang w:eastAsia="es-MX"/>
              </w:rPr>
              <w:t>55.0</w:t>
            </w:r>
          </w:p>
        </w:tc>
      </w:tr>
      <w:tr w:rsidR="005F5492" w:rsidRPr="00955A4C" w14:paraId="125FDD62" w14:textId="77777777" w:rsidTr="00F01A99">
        <w:trPr>
          <w:trHeight w:val="215"/>
          <w:jc w:val="center"/>
        </w:trPr>
        <w:tc>
          <w:tcPr>
            <w:tcW w:w="1560" w:type="dxa"/>
            <w:shd w:val="clear" w:color="auto" w:fill="auto"/>
            <w:noWrap/>
            <w:vAlign w:val="center"/>
          </w:tcPr>
          <w:p w14:paraId="742A1F66" w14:textId="77777777" w:rsidR="005F5492" w:rsidRPr="00955A4C" w:rsidRDefault="005F5492" w:rsidP="00F01A99">
            <w:pPr>
              <w:spacing w:line="360" w:lineRule="auto"/>
              <w:rPr>
                <w:b/>
                <w:bCs/>
                <w:color w:val="000000"/>
                <w:sz w:val="20"/>
                <w:szCs w:val="20"/>
                <w:lang w:eastAsia="es-MX"/>
              </w:rPr>
            </w:pPr>
            <w:r>
              <w:rPr>
                <w:b/>
                <w:bCs/>
                <w:color w:val="000000"/>
                <w:sz w:val="20"/>
                <w:szCs w:val="20"/>
                <w:lang w:eastAsia="es-MX"/>
              </w:rPr>
              <w:t>*Ejercicio 2020</w:t>
            </w:r>
          </w:p>
        </w:tc>
        <w:tc>
          <w:tcPr>
            <w:tcW w:w="2080" w:type="dxa"/>
            <w:shd w:val="clear" w:color="auto" w:fill="auto"/>
            <w:noWrap/>
            <w:vAlign w:val="center"/>
          </w:tcPr>
          <w:p w14:paraId="0F037302" w14:textId="77777777" w:rsidR="005F5492" w:rsidRDefault="005F5492" w:rsidP="00F01A99">
            <w:pPr>
              <w:spacing w:line="360" w:lineRule="auto"/>
              <w:jc w:val="right"/>
              <w:rPr>
                <w:bCs/>
                <w:color w:val="000000"/>
                <w:sz w:val="20"/>
                <w:szCs w:val="20"/>
                <w:lang w:eastAsia="es-MX"/>
              </w:rPr>
            </w:pPr>
            <w:r>
              <w:rPr>
                <w:bCs/>
                <w:color w:val="000000"/>
                <w:sz w:val="20"/>
                <w:szCs w:val="20"/>
                <w:lang w:eastAsia="es-MX"/>
              </w:rPr>
              <w:t>30.5</w:t>
            </w:r>
          </w:p>
        </w:tc>
      </w:tr>
      <w:tr w:rsidR="005F5492" w:rsidRPr="00955A4C" w14:paraId="75C57BA2" w14:textId="77777777" w:rsidTr="00F01A99">
        <w:trPr>
          <w:trHeight w:val="236"/>
          <w:jc w:val="center"/>
        </w:trPr>
        <w:tc>
          <w:tcPr>
            <w:tcW w:w="1560" w:type="dxa"/>
            <w:shd w:val="clear" w:color="auto" w:fill="auto"/>
            <w:noWrap/>
            <w:vAlign w:val="center"/>
            <w:hideMark/>
          </w:tcPr>
          <w:p w14:paraId="02BCC149" w14:textId="77777777" w:rsidR="005F5492" w:rsidRPr="00955A4C" w:rsidRDefault="005F5492" w:rsidP="00F01A99">
            <w:pPr>
              <w:spacing w:line="360" w:lineRule="auto"/>
              <w:jc w:val="center"/>
              <w:rPr>
                <w:b/>
                <w:bCs/>
                <w:color w:val="000000"/>
                <w:sz w:val="20"/>
                <w:szCs w:val="20"/>
                <w:lang w:eastAsia="es-MX"/>
              </w:rPr>
            </w:pPr>
            <w:r w:rsidRPr="00955A4C">
              <w:rPr>
                <w:b/>
                <w:bCs/>
                <w:color w:val="000000"/>
                <w:sz w:val="20"/>
                <w:szCs w:val="20"/>
                <w:lang w:eastAsia="es-MX"/>
              </w:rPr>
              <w:t>SUMA</w:t>
            </w:r>
          </w:p>
        </w:tc>
        <w:tc>
          <w:tcPr>
            <w:tcW w:w="2080" w:type="dxa"/>
            <w:shd w:val="clear" w:color="auto" w:fill="auto"/>
            <w:noWrap/>
            <w:vAlign w:val="center"/>
            <w:hideMark/>
          </w:tcPr>
          <w:p w14:paraId="1E4FC857" w14:textId="77777777" w:rsidR="005F5492" w:rsidRPr="00955A4C" w:rsidRDefault="005F5492" w:rsidP="00F01A99">
            <w:pPr>
              <w:spacing w:line="360" w:lineRule="auto"/>
              <w:jc w:val="right"/>
              <w:rPr>
                <w:b/>
                <w:bCs/>
                <w:color w:val="000000"/>
                <w:sz w:val="20"/>
                <w:szCs w:val="20"/>
                <w:lang w:eastAsia="es-MX"/>
              </w:rPr>
            </w:pPr>
            <w:r>
              <w:rPr>
                <w:b/>
                <w:bCs/>
                <w:color w:val="000000"/>
                <w:sz w:val="20"/>
                <w:szCs w:val="20"/>
                <w:lang w:eastAsia="es-MX"/>
              </w:rPr>
              <w:t>646.5</w:t>
            </w:r>
          </w:p>
        </w:tc>
      </w:tr>
    </w:tbl>
    <w:p w14:paraId="4FAB3455" w14:textId="77777777" w:rsidR="00F01A99" w:rsidRPr="00955A4C" w:rsidRDefault="00F01A99" w:rsidP="00F01A99">
      <w:pPr>
        <w:spacing w:line="360" w:lineRule="auto"/>
        <w:ind w:left="2268"/>
        <w:rPr>
          <w:b/>
          <w:sz w:val="20"/>
          <w:szCs w:val="20"/>
        </w:rPr>
      </w:pPr>
      <w:r w:rsidRPr="00955A4C">
        <w:rPr>
          <w:b/>
          <w:sz w:val="20"/>
          <w:szCs w:val="20"/>
        </w:rPr>
        <w:t>* Cifra Estimada al Cierre de 20</w:t>
      </w:r>
      <w:r>
        <w:rPr>
          <w:b/>
          <w:sz w:val="20"/>
          <w:szCs w:val="20"/>
        </w:rPr>
        <w:t>20</w:t>
      </w:r>
    </w:p>
    <w:p w14:paraId="18A4418A" w14:textId="77777777" w:rsidR="00AA3D42" w:rsidRPr="00955A4C" w:rsidRDefault="00AA3D42" w:rsidP="00AA3D42">
      <w:pPr>
        <w:spacing w:line="360" w:lineRule="auto"/>
        <w:jc w:val="both"/>
        <w:rPr>
          <w:sz w:val="20"/>
          <w:szCs w:val="20"/>
        </w:rPr>
      </w:pPr>
      <w:r w:rsidRPr="00BE1C47">
        <w:rPr>
          <w:sz w:val="20"/>
          <w:szCs w:val="20"/>
        </w:rPr>
        <w:t>Los ingresos propios</w:t>
      </w:r>
      <w:r w:rsidRPr="00955A4C">
        <w:rPr>
          <w:sz w:val="20"/>
          <w:szCs w:val="20"/>
        </w:rPr>
        <w:t xml:space="preserve"> de Pensiones Civiles del Estado de Tlaxcala, se han visto incrementados, </w:t>
      </w:r>
      <w:r>
        <w:rPr>
          <w:sz w:val="20"/>
          <w:szCs w:val="20"/>
        </w:rPr>
        <w:t xml:space="preserve">a partir, de la reforma, como se observa a </w:t>
      </w:r>
      <w:r w:rsidRPr="00955A4C">
        <w:rPr>
          <w:sz w:val="20"/>
          <w:szCs w:val="20"/>
        </w:rPr>
        <w:t>continuación:</w:t>
      </w:r>
    </w:p>
    <w:tbl>
      <w:tblPr>
        <w:tblW w:w="3440" w:type="dxa"/>
        <w:jc w:val="center"/>
        <w:tblCellMar>
          <w:left w:w="70" w:type="dxa"/>
          <w:right w:w="70" w:type="dxa"/>
        </w:tblCellMar>
        <w:tblLook w:val="04A0" w:firstRow="1" w:lastRow="0" w:firstColumn="1" w:lastColumn="0" w:noHBand="0" w:noVBand="1"/>
      </w:tblPr>
      <w:tblGrid>
        <w:gridCol w:w="1540"/>
        <w:gridCol w:w="1900"/>
      </w:tblGrid>
      <w:tr w:rsidR="00AA3D42" w:rsidRPr="00955A4C" w14:paraId="09BEDBFD" w14:textId="77777777" w:rsidTr="005E2A35">
        <w:trPr>
          <w:trHeight w:val="911"/>
          <w:tblHeader/>
          <w:jc w:val="center"/>
        </w:trPr>
        <w:tc>
          <w:tcPr>
            <w:tcW w:w="15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0730D24" w14:textId="77777777" w:rsidR="00AA3D42" w:rsidRPr="00955A4C" w:rsidRDefault="00AA3D42" w:rsidP="005E2A35">
            <w:pPr>
              <w:spacing w:line="360" w:lineRule="auto"/>
              <w:jc w:val="center"/>
              <w:rPr>
                <w:b/>
                <w:bCs/>
                <w:color w:val="000000"/>
                <w:sz w:val="20"/>
                <w:szCs w:val="20"/>
                <w:lang w:eastAsia="es-MX"/>
              </w:rPr>
            </w:pPr>
            <w:r w:rsidRPr="00955A4C">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CC1F42" w14:textId="77777777" w:rsidR="00AA3D42" w:rsidRDefault="00AA3D42" w:rsidP="005E2A35">
            <w:pPr>
              <w:spacing w:line="360" w:lineRule="auto"/>
              <w:jc w:val="center"/>
              <w:rPr>
                <w:b/>
                <w:bCs/>
                <w:color w:val="000000"/>
                <w:sz w:val="20"/>
                <w:szCs w:val="20"/>
                <w:lang w:eastAsia="es-MX"/>
              </w:rPr>
            </w:pPr>
            <w:r w:rsidRPr="00955A4C">
              <w:rPr>
                <w:b/>
                <w:bCs/>
                <w:color w:val="000000"/>
                <w:sz w:val="20"/>
                <w:szCs w:val="20"/>
                <w:lang w:eastAsia="es-MX"/>
              </w:rPr>
              <w:t>APORTACIONES Y RETENCIONES</w:t>
            </w:r>
          </w:p>
          <w:p w14:paraId="19D7E026" w14:textId="77777777" w:rsidR="00AA3D42" w:rsidRPr="00955A4C" w:rsidRDefault="00AA3D42" w:rsidP="005E2A35">
            <w:pPr>
              <w:spacing w:line="360" w:lineRule="auto"/>
              <w:jc w:val="center"/>
              <w:rPr>
                <w:b/>
                <w:bCs/>
                <w:color w:val="000000"/>
                <w:sz w:val="20"/>
                <w:szCs w:val="20"/>
                <w:lang w:eastAsia="es-MX"/>
              </w:rPr>
            </w:pPr>
            <w:r>
              <w:rPr>
                <w:b/>
                <w:bCs/>
                <w:color w:val="000000"/>
                <w:sz w:val="20"/>
                <w:szCs w:val="20"/>
                <w:lang w:eastAsia="es-MX"/>
              </w:rPr>
              <w:t>(MDP)</w:t>
            </w:r>
          </w:p>
        </w:tc>
      </w:tr>
      <w:tr w:rsidR="00AA3D42" w:rsidRPr="00955A4C" w14:paraId="72B24371" w14:textId="77777777" w:rsidTr="005E2A35">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A0A25A4"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2011</w:t>
            </w:r>
          </w:p>
        </w:tc>
        <w:tc>
          <w:tcPr>
            <w:tcW w:w="1900" w:type="dxa"/>
            <w:tcBorders>
              <w:top w:val="nil"/>
              <w:left w:val="nil"/>
              <w:bottom w:val="single" w:sz="4" w:space="0" w:color="auto"/>
              <w:right w:val="single" w:sz="4" w:space="0" w:color="auto"/>
            </w:tcBorders>
            <w:shd w:val="clear" w:color="auto" w:fill="auto"/>
            <w:noWrap/>
            <w:vAlign w:val="center"/>
            <w:hideMark/>
          </w:tcPr>
          <w:p w14:paraId="7252EF46"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100.9 </w:t>
            </w:r>
          </w:p>
        </w:tc>
      </w:tr>
      <w:tr w:rsidR="00AA3D42" w:rsidRPr="00955A4C" w14:paraId="19FF84D7" w14:textId="77777777" w:rsidTr="005E2A35">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BD23F5C"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2012</w:t>
            </w:r>
          </w:p>
        </w:tc>
        <w:tc>
          <w:tcPr>
            <w:tcW w:w="1900" w:type="dxa"/>
            <w:tcBorders>
              <w:top w:val="nil"/>
              <w:left w:val="nil"/>
              <w:bottom w:val="single" w:sz="4" w:space="0" w:color="auto"/>
              <w:right w:val="single" w:sz="4" w:space="0" w:color="auto"/>
            </w:tcBorders>
            <w:shd w:val="clear" w:color="auto" w:fill="auto"/>
            <w:noWrap/>
            <w:vAlign w:val="center"/>
            <w:hideMark/>
          </w:tcPr>
          <w:p w14:paraId="0BD58943"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103.3 </w:t>
            </w:r>
          </w:p>
        </w:tc>
      </w:tr>
      <w:tr w:rsidR="00AA3D42" w:rsidRPr="00955A4C" w14:paraId="6DAD8728" w14:textId="77777777" w:rsidTr="005E2A35">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A97FA1A"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2013</w:t>
            </w:r>
          </w:p>
        </w:tc>
        <w:tc>
          <w:tcPr>
            <w:tcW w:w="1900" w:type="dxa"/>
            <w:tcBorders>
              <w:top w:val="nil"/>
              <w:left w:val="nil"/>
              <w:bottom w:val="single" w:sz="4" w:space="0" w:color="auto"/>
              <w:right w:val="single" w:sz="4" w:space="0" w:color="auto"/>
            </w:tcBorders>
            <w:shd w:val="clear" w:color="auto" w:fill="auto"/>
            <w:noWrap/>
            <w:vAlign w:val="center"/>
            <w:hideMark/>
          </w:tcPr>
          <w:p w14:paraId="3362BB05"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205.9 </w:t>
            </w:r>
          </w:p>
        </w:tc>
      </w:tr>
      <w:tr w:rsidR="00AA3D42" w:rsidRPr="00955A4C" w14:paraId="4DDBA291" w14:textId="77777777" w:rsidTr="005E2A35">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526E94A"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2014</w:t>
            </w:r>
          </w:p>
        </w:tc>
        <w:tc>
          <w:tcPr>
            <w:tcW w:w="1900" w:type="dxa"/>
            <w:tcBorders>
              <w:top w:val="nil"/>
              <w:left w:val="nil"/>
              <w:bottom w:val="single" w:sz="4" w:space="0" w:color="auto"/>
              <w:right w:val="single" w:sz="4" w:space="0" w:color="auto"/>
            </w:tcBorders>
            <w:shd w:val="clear" w:color="auto" w:fill="auto"/>
            <w:noWrap/>
            <w:vAlign w:val="center"/>
            <w:hideMark/>
          </w:tcPr>
          <w:p w14:paraId="30D09B1E"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221.2 </w:t>
            </w:r>
          </w:p>
        </w:tc>
      </w:tr>
      <w:tr w:rsidR="00AA3D42" w:rsidRPr="00955A4C" w14:paraId="2FB88C4D" w14:textId="77777777" w:rsidTr="005E2A35">
        <w:trPr>
          <w:trHeight w:val="51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DF87841"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2015</w:t>
            </w:r>
          </w:p>
        </w:tc>
        <w:tc>
          <w:tcPr>
            <w:tcW w:w="1900" w:type="dxa"/>
            <w:tcBorders>
              <w:top w:val="nil"/>
              <w:left w:val="nil"/>
              <w:bottom w:val="single" w:sz="4" w:space="0" w:color="auto"/>
              <w:right w:val="single" w:sz="4" w:space="0" w:color="auto"/>
            </w:tcBorders>
            <w:shd w:val="clear" w:color="auto" w:fill="auto"/>
            <w:noWrap/>
            <w:vAlign w:val="center"/>
            <w:hideMark/>
          </w:tcPr>
          <w:p w14:paraId="402A3ED0"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223.9 </w:t>
            </w:r>
          </w:p>
        </w:tc>
      </w:tr>
      <w:tr w:rsidR="00AA3D42" w:rsidRPr="00955A4C" w14:paraId="53292F0B" w14:textId="77777777" w:rsidTr="005E2A35">
        <w:trPr>
          <w:trHeight w:val="387"/>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5EB3E89"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2016</w:t>
            </w:r>
          </w:p>
        </w:tc>
        <w:tc>
          <w:tcPr>
            <w:tcW w:w="1900" w:type="dxa"/>
            <w:tcBorders>
              <w:top w:val="nil"/>
              <w:left w:val="nil"/>
              <w:bottom w:val="single" w:sz="4" w:space="0" w:color="auto"/>
              <w:right w:val="single" w:sz="4" w:space="0" w:color="auto"/>
            </w:tcBorders>
            <w:shd w:val="clear" w:color="auto" w:fill="auto"/>
            <w:noWrap/>
            <w:vAlign w:val="center"/>
            <w:hideMark/>
          </w:tcPr>
          <w:p w14:paraId="3CCB026F" w14:textId="77777777" w:rsidR="00AA3D42" w:rsidRPr="00955A4C" w:rsidRDefault="00AA3D42" w:rsidP="005E2A35">
            <w:pPr>
              <w:spacing w:line="360" w:lineRule="auto"/>
              <w:jc w:val="right"/>
              <w:rPr>
                <w:color w:val="000000"/>
                <w:sz w:val="20"/>
                <w:szCs w:val="20"/>
                <w:lang w:eastAsia="es-MX"/>
              </w:rPr>
            </w:pPr>
            <w:r w:rsidRPr="00955A4C">
              <w:rPr>
                <w:color w:val="000000"/>
                <w:sz w:val="20"/>
                <w:szCs w:val="20"/>
                <w:lang w:eastAsia="es-MX"/>
              </w:rPr>
              <w:t xml:space="preserve">248.9 </w:t>
            </w:r>
          </w:p>
        </w:tc>
      </w:tr>
      <w:tr w:rsidR="00AA3D42" w:rsidRPr="00955A4C" w14:paraId="0B985750" w14:textId="77777777" w:rsidTr="005E2A35">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DFEA737"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5D61CA3C" w14:textId="77777777" w:rsidR="00AA3D42" w:rsidRPr="00955A4C" w:rsidRDefault="00AA3D42" w:rsidP="005E2A35">
            <w:pPr>
              <w:spacing w:line="360" w:lineRule="auto"/>
              <w:jc w:val="right"/>
              <w:rPr>
                <w:bCs/>
                <w:color w:val="000000"/>
                <w:sz w:val="20"/>
                <w:szCs w:val="20"/>
                <w:lang w:eastAsia="es-MX"/>
              </w:rPr>
            </w:pPr>
            <w:r w:rsidRPr="00955A4C">
              <w:rPr>
                <w:bCs/>
                <w:color w:val="000000"/>
                <w:sz w:val="20"/>
                <w:szCs w:val="20"/>
                <w:lang w:eastAsia="es-MX"/>
              </w:rPr>
              <w:t>275.2</w:t>
            </w:r>
          </w:p>
        </w:tc>
      </w:tr>
      <w:tr w:rsidR="00AA3D42" w:rsidRPr="00955A4C" w14:paraId="3C92C428" w14:textId="77777777" w:rsidTr="005E2A35">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E5A40AC"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14:paraId="176FF18F" w14:textId="77777777" w:rsidR="00AA3D42" w:rsidRPr="003C7084" w:rsidRDefault="00AA3D42" w:rsidP="005E2A35">
            <w:pPr>
              <w:spacing w:line="360" w:lineRule="auto"/>
              <w:jc w:val="right"/>
              <w:rPr>
                <w:bCs/>
                <w:color w:val="000000"/>
                <w:sz w:val="20"/>
                <w:szCs w:val="20"/>
                <w:lang w:eastAsia="es-MX"/>
              </w:rPr>
            </w:pPr>
            <w:r w:rsidRPr="003C7084">
              <w:rPr>
                <w:bCs/>
                <w:color w:val="000000"/>
                <w:sz w:val="20"/>
                <w:szCs w:val="20"/>
                <w:lang w:eastAsia="es-MX"/>
              </w:rPr>
              <w:t>267.1</w:t>
            </w:r>
          </w:p>
        </w:tc>
      </w:tr>
      <w:tr w:rsidR="00AA3D42" w:rsidRPr="00955A4C" w14:paraId="3999A688" w14:textId="77777777" w:rsidTr="005E2A35">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657BF7C3"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w:t>
            </w:r>
            <w:r>
              <w:rPr>
                <w:b/>
                <w:bCs/>
                <w:color w:val="000000"/>
                <w:sz w:val="20"/>
                <w:szCs w:val="20"/>
                <w:lang w:eastAsia="es-MX"/>
              </w:rPr>
              <w:t>19</w:t>
            </w:r>
          </w:p>
        </w:tc>
        <w:tc>
          <w:tcPr>
            <w:tcW w:w="1900" w:type="dxa"/>
            <w:tcBorders>
              <w:top w:val="nil"/>
              <w:left w:val="nil"/>
              <w:bottom w:val="single" w:sz="4" w:space="0" w:color="auto"/>
              <w:right w:val="single" w:sz="4" w:space="0" w:color="auto"/>
            </w:tcBorders>
            <w:shd w:val="clear" w:color="auto" w:fill="auto"/>
            <w:noWrap/>
            <w:vAlign w:val="bottom"/>
          </w:tcPr>
          <w:p w14:paraId="5FDCEDBF" w14:textId="77777777" w:rsidR="00AA3D42" w:rsidRPr="003C7084" w:rsidRDefault="00AA3D42" w:rsidP="005E2A35">
            <w:pPr>
              <w:spacing w:line="360" w:lineRule="auto"/>
              <w:jc w:val="right"/>
              <w:rPr>
                <w:bCs/>
                <w:color w:val="000000"/>
                <w:sz w:val="20"/>
                <w:szCs w:val="20"/>
                <w:lang w:eastAsia="es-MX"/>
              </w:rPr>
            </w:pPr>
            <w:r>
              <w:rPr>
                <w:bCs/>
                <w:color w:val="000000"/>
                <w:sz w:val="20"/>
                <w:szCs w:val="20"/>
                <w:lang w:eastAsia="es-MX"/>
              </w:rPr>
              <w:t>281.0</w:t>
            </w:r>
          </w:p>
        </w:tc>
      </w:tr>
      <w:tr w:rsidR="00AA3D42" w:rsidRPr="00955A4C" w14:paraId="2C014DAF" w14:textId="77777777" w:rsidTr="005E2A35">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569689B2" w14:textId="77777777" w:rsidR="00AA3D42" w:rsidRPr="00955A4C" w:rsidRDefault="00AA3D42" w:rsidP="005E2A35">
            <w:pPr>
              <w:spacing w:line="360" w:lineRule="auto"/>
              <w:rPr>
                <w:b/>
                <w:bCs/>
                <w:color w:val="000000"/>
                <w:sz w:val="20"/>
                <w:szCs w:val="20"/>
                <w:lang w:eastAsia="es-MX"/>
              </w:rPr>
            </w:pPr>
            <w:r>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bottom"/>
          </w:tcPr>
          <w:p w14:paraId="682D46C8" w14:textId="77777777" w:rsidR="00AA3D42" w:rsidRPr="003C7084" w:rsidRDefault="00AA3D42" w:rsidP="005E2A35">
            <w:pPr>
              <w:spacing w:line="360" w:lineRule="auto"/>
              <w:jc w:val="right"/>
              <w:rPr>
                <w:bCs/>
                <w:color w:val="000000"/>
                <w:sz w:val="20"/>
                <w:szCs w:val="20"/>
                <w:lang w:eastAsia="es-MX"/>
              </w:rPr>
            </w:pPr>
            <w:r>
              <w:rPr>
                <w:bCs/>
                <w:color w:val="000000"/>
                <w:sz w:val="20"/>
                <w:szCs w:val="20"/>
                <w:lang w:eastAsia="es-MX"/>
              </w:rPr>
              <w:t>226.3</w:t>
            </w:r>
          </w:p>
        </w:tc>
      </w:tr>
      <w:tr w:rsidR="00AA3D42" w:rsidRPr="00955A4C" w14:paraId="0DBAD9C5" w14:textId="77777777" w:rsidTr="005E2A35">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90E030C" w14:textId="77777777" w:rsidR="00AA3D42" w:rsidRPr="00955A4C" w:rsidRDefault="00AA3D42" w:rsidP="005E2A35">
            <w:pPr>
              <w:spacing w:line="360" w:lineRule="auto"/>
              <w:jc w:val="center"/>
              <w:rPr>
                <w:b/>
                <w:bCs/>
                <w:color w:val="000000"/>
                <w:sz w:val="20"/>
                <w:szCs w:val="20"/>
                <w:lang w:eastAsia="es-MX"/>
              </w:rPr>
            </w:pPr>
            <w:r w:rsidRPr="00955A4C">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3997C059" w14:textId="77777777" w:rsidR="00AA3D42" w:rsidRPr="00955A4C" w:rsidRDefault="00AA3D42" w:rsidP="005E2A35">
            <w:pPr>
              <w:spacing w:line="360" w:lineRule="auto"/>
              <w:jc w:val="right"/>
              <w:rPr>
                <w:b/>
                <w:bCs/>
                <w:color w:val="000000"/>
                <w:sz w:val="20"/>
                <w:szCs w:val="20"/>
                <w:lang w:eastAsia="es-MX"/>
              </w:rPr>
            </w:pPr>
            <w:r>
              <w:rPr>
                <w:b/>
                <w:bCs/>
                <w:color w:val="000000"/>
                <w:sz w:val="20"/>
                <w:szCs w:val="20"/>
                <w:lang w:eastAsia="es-MX"/>
              </w:rPr>
              <w:t>2,163.6</w:t>
            </w:r>
            <w:r w:rsidRPr="00955A4C">
              <w:rPr>
                <w:b/>
                <w:bCs/>
                <w:color w:val="000000"/>
                <w:sz w:val="20"/>
                <w:szCs w:val="20"/>
                <w:lang w:eastAsia="es-MX"/>
              </w:rPr>
              <w:t xml:space="preserve"> </w:t>
            </w:r>
          </w:p>
        </w:tc>
      </w:tr>
    </w:tbl>
    <w:p w14:paraId="54412053" w14:textId="77777777" w:rsidR="00AA3D42" w:rsidRPr="00955A4C" w:rsidRDefault="00AA3D42" w:rsidP="00AA3D42">
      <w:pPr>
        <w:spacing w:line="360" w:lineRule="auto"/>
        <w:jc w:val="center"/>
        <w:rPr>
          <w:b/>
          <w:sz w:val="20"/>
          <w:szCs w:val="20"/>
        </w:rPr>
      </w:pPr>
      <w:r w:rsidRPr="00955A4C">
        <w:rPr>
          <w:b/>
          <w:sz w:val="20"/>
          <w:szCs w:val="20"/>
        </w:rPr>
        <w:t>* Cifras al Cie</w:t>
      </w:r>
      <w:r>
        <w:rPr>
          <w:b/>
          <w:sz w:val="20"/>
          <w:szCs w:val="20"/>
        </w:rPr>
        <w:t>rre del mes de septiembre de 2020</w:t>
      </w:r>
      <w:r w:rsidRPr="00955A4C">
        <w:rPr>
          <w:b/>
          <w:sz w:val="20"/>
          <w:szCs w:val="20"/>
        </w:rPr>
        <w:t>.</w:t>
      </w:r>
    </w:p>
    <w:p w14:paraId="6181EE1C" w14:textId="77777777" w:rsidR="00AA3D42" w:rsidRPr="00955A4C" w:rsidRDefault="00AA3D42" w:rsidP="00AA3D42">
      <w:pPr>
        <w:spacing w:line="360" w:lineRule="auto"/>
        <w:jc w:val="both"/>
        <w:rPr>
          <w:sz w:val="20"/>
          <w:szCs w:val="20"/>
        </w:rPr>
      </w:pPr>
    </w:p>
    <w:p w14:paraId="50989FD5" w14:textId="77777777" w:rsidR="00AA3D42" w:rsidRDefault="00AA3D42" w:rsidP="00AA3D42">
      <w:pPr>
        <w:spacing w:line="360" w:lineRule="auto"/>
        <w:jc w:val="both"/>
        <w:rPr>
          <w:sz w:val="20"/>
          <w:szCs w:val="20"/>
        </w:rPr>
      </w:pPr>
      <w:r w:rsidRPr="00955A4C">
        <w:rPr>
          <w:sz w:val="20"/>
          <w:szCs w:val="20"/>
        </w:rPr>
        <w:t>El Gobierno del Estado, tiene como prioridad sanear el Sistema Estatal de Pensiones garantizando la solvencia de la Institución e impulsando el otorgamiento y recuperación de créditos. En los últimos años se han realizado las aportaciones siguientes:</w:t>
      </w:r>
    </w:p>
    <w:p w14:paraId="0A388B4B" w14:textId="77777777" w:rsidR="00AA3D42" w:rsidRPr="00955A4C" w:rsidRDefault="00AA3D42" w:rsidP="00AA3D42">
      <w:pPr>
        <w:spacing w:line="360" w:lineRule="auto"/>
        <w:jc w:val="both"/>
        <w:rPr>
          <w:sz w:val="20"/>
          <w:szCs w:val="20"/>
        </w:rPr>
      </w:pPr>
    </w:p>
    <w:tbl>
      <w:tblPr>
        <w:tblW w:w="4064" w:type="dxa"/>
        <w:jc w:val="center"/>
        <w:tblCellMar>
          <w:left w:w="70" w:type="dxa"/>
          <w:right w:w="70" w:type="dxa"/>
        </w:tblCellMar>
        <w:tblLook w:val="04A0" w:firstRow="1" w:lastRow="0" w:firstColumn="1" w:lastColumn="0" w:noHBand="0" w:noVBand="1"/>
      </w:tblPr>
      <w:tblGrid>
        <w:gridCol w:w="1560"/>
        <w:gridCol w:w="2504"/>
      </w:tblGrid>
      <w:tr w:rsidR="00AA3D42" w:rsidRPr="00955A4C" w14:paraId="21147D02" w14:textId="77777777" w:rsidTr="005E2A35">
        <w:trPr>
          <w:trHeight w:val="839"/>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64478B7" w14:textId="77777777" w:rsidR="00AA3D42" w:rsidRPr="00955A4C" w:rsidRDefault="00AA3D42" w:rsidP="005E2A35">
            <w:pPr>
              <w:spacing w:line="360" w:lineRule="auto"/>
              <w:jc w:val="center"/>
              <w:rPr>
                <w:b/>
                <w:bCs/>
                <w:color w:val="000000"/>
                <w:sz w:val="20"/>
                <w:szCs w:val="20"/>
                <w:lang w:eastAsia="es-MX"/>
              </w:rPr>
            </w:pPr>
            <w:r w:rsidRPr="00955A4C">
              <w:rPr>
                <w:b/>
                <w:bCs/>
                <w:color w:val="000000"/>
                <w:sz w:val="20"/>
                <w:szCs w:val="20"/>
                <w:lang w:eastAsia="es-MX"/>
              </w:rPr>
              <w:t>AÑO</w:t>
            </w:r>
          </w:p>
        </w:tc>
        <w:tc>
          <w:tcPr>
            <w:tcW w:w="250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BD7CE5B" w14:textId="77777777" w:rsidR="00AA3D42" w:rsidRPr="00955A4C" w:rsidRDefault="00AA3D42" w:rsidP="005E2A35">
            <w:pPr>
              <w:spacing w:line="360" w:lineRule="auto"/>
              <w:jc w:val="center"/>
              <w:rPr>
                <w:b/>
                <w:bCs/>
                <w:color w:val="000000"/>
                <w:sz w:val="20"/>
                <w:szCs w:val="20"/>
                <w:lang w:eastAsia="es-MX"/>
              </w:rPr>
            </w:pPr>
            <w:r w:rsidRPr="00955A4C">
              <w:rPr>
                <w:b/>
                <w:bCs/>
                <w:color w:val="000000"/>
                <w:sz w:val="20"/>
                <w:szCs w:val="20"/>
                <w:lang w:eastAsia="es-MX"/>
              </w:rPr>
              <w:t>FONDO DE CRÉDITOS (MDP)</w:t>
            </w:r>
          </w:p>
        </w:tc>
      </w:tr>
      <w:tr w:rsidR="00AA3D42" w:rsidRPr="00955A4C" w14:paraId="23B705F1" w14:textId="77777777" w:rsidTr="005E2A35">
        <w:trPr>
          <w:trHeight w:val="47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A0C8A9F"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2013</w:t>
            </w:r>
          </w:p>
        </w:tc>
        <w:tc>
          <w:tcPr>
            <w:tcW w:w="2504" w:type="dxa"/>
            <w:tcBorders>
              <w:top w:val="nil"/>
              <w:left w:val="nil"/>
              <w:bottom w:val="single" w:sz="4" w:space="0" w:color="auto"/>
              <w:right w:val="single" w:sz="4" w:space="0" w:color="auto"/>
            </w:tcBorders>
            <w:shd w:val="clear" w:color="auto" w:fill="auto"/>
            <w:noWrap/>
            <w:vAlign w:val="center"/>
            <w:hideMark/>
          </w:tcPr>
          <w:p w14:paraId="3E2EC7E2" w14:textId="77777777" w:rsidR="00AA3D42" w:rsidRPr="00955A4C" w:rsidRDefault="00AA3D42" w:rsidP="005E2A35">
            <w:pPr>
              <w:spacing w:line="360" w:lineRule="auto"/>
              <w:jc w:val="right"/>
              <w:rPr>
                <w:b/>
                <w:color w:val="000000"/>
                <w:sz w:val="20"/>
                <w:szCs w:val="20"/>
                <w:lang w:eastAsia="es-MX"/>
              </w:rPr>
            </w:pPr>
            <w:r w:rsidRPr="00955A4C">
              <w:rPr>
                <w:b/>
                <w:color w:val="000000"/>
                <w:sz w:val="20"/>
                <w:szCs w:val="20"/>
                <w:lang w:eastAsia="es-MX"/>
              </w:rPr>
              <w:t>70.0</w:t>
            </w:r>
          </w:p>
        </w:tc>
      </w:tr>
      <w:tr w:rsidR="00AA3D42" w:rsidRPr="00955A4C" w14:paraId="3F9C1A6B" w14:textId="77777777" w:rsidTr="005E2A35">
        <w:trPr>
          <w:trHeight w:val="51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F6BA40D"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2014</w:t>
            </w:r>
          </w:p>
        </w:tc>
        <w:tc>
          <w:tcPr>
            <w:tcW w:w="2504" w:type="dxa"/>
            <w:tcBorders>
              <w:top w:val="nil"/>
              <w:left w:val="nil"/>
              <w:bottom w:val="single" w:sz="4" w:space="0" w:color="auto"/>
              <w:right w:val="single" w:sz="4" w:space="0" w:color="auto"/>
            </w:tcBorders>
            <w:shd w:val="clear" w:color="auto" w:fill="auto"/>
            <w:noWrap/>
            <w:vAlign w:val="center"/>
            <w:hideMark/>
          </w:tcPr>
          <w:p w14:paraId="1F8154BA" w14:textId="77777777" w:rsidR="00AA3D42" w:rsidRPr="00955A4C" w:rsidRDefault="00AA3D42" w:rsidP="005E2A35">
            <w:pPr>
              <w:spacing w:line="360" w:lineRule="auto"/>
              <w:jc w:val="right"/>
              <w:rPr>
                <w:b/>
                <w:color w:val="000000"/>
                <w:sz w:val="20"/>
                <w:szCs w:val="20"/>
                <w:lang w:eastAsia="es-MX"/>
              </w:rPr>
            </w:pPr>
            <w:r w:rsidRPr="00955A4C">
              <w:rPr>
                <w:b/>
                <w:color w:val="000000"/>
                <w:sz w:val="20"/>
                <w:szCs w:val="20"/>
                <w:lang w:eastAsia="es-MX"/>
              </w:rPr>
              <w:t>21.0</w:t>
            </w:r>
          </w:p>
        </w:tc>
      </w:tr>
      <w:tr w:rsidR="00AA3D42" w:rsidRPr="00955A4C" w14:paraId="298927F6"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AE5336"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2016</w:t>
            </w:r>
          </w:p>
        </w:tc>
        <w:tc>
          <w:tcPr>
            <w:tcW w:w="2504" w:type="dxa"/>
            <w:tcBorders>
              <w:top w:val="nil"/>
              <w:left w:val="nil"/>
              <w:bottom w:val="single" w:sz="4" w:space="0" w:color="auto"/>
              <w:right w:val="single" w:sz="4" w:space="0" w:color="auto"/>
            </w:tcBorders>
            <w:shd w:val="clear" w:color="auto" w:fill="auto"/>
            <w:noWrap/>
            <w:vAlign w:val="center"/>
            <w:hideMark/>
          </w:tcPr>
          <w:p w14:paraId="54BB1E60" w14:textId="77777777" w:rsidR="00AA3D42" w:rsidRPr="00955A4C" w:rsidRDefault="00AA3D42" w:rsidP="005E2A35">
            <w:pPr>
              <w:spacing w:line="360" w:lineRule="auto"/>
              <w:jc w:val="right"/>
              <w:rPr>
                <w:b/>
                <w:bCs/>
                <w:color w:val="000000"/>
                <w:sz w:val="20"/>
                <w:szCs w:val="20"/>
                <w:lang w:eastAsia="es-MX"/>
              </w:rPr>
            </w:pPr>
            <w:r w:rsidRPr="00955A4C">
              <w:rPr>
                <w:b/>
                <w:bCs/>
                <w:color w:val="000000"/>
                <w:sz w:val="20"/>
                <w:szCs w:val="20"/>
                <w:lang w:eastAsia="es-MX"/>
              </w:rPr>
              <w:t>59.0</w:t>
            </w:r>
          </w:p>
        </w:tc>
      </w:tr>
      <w:tr w:rsidR="00AA3D42" w:rsidRPr="00955A4C" w14:paraId="60ACCF5E"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0DCECF1A"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2017</w:t>
            </w:r>
          </w:p>
        </w:tc>
        <w:tc>
          <w:tcPr>
            <w:tcW w:w="2504" w:type="dxa"/>
            <w:tcBorders>
              <w:top w:val="nil"/>
              <w:left w:val="nil"/>
              <w:bottom w:val="single" w:sz="4" w:space="0" w:color="auto"/>
              <w:right w:val="single" w:sz="4" w:space="0" w:color="auto"/>
            </w:tcBorders>
            <w:shd w:val="clear" w:color="auto" w:fill="auto"/>
            <w:noWrap/>
            <w:vAlign w:val="center"/>
          </w:tcPr>
          <w:p w14:paraId="51EBDDE7" w14:textId="77777777" w:rsidR="00AA3D42" w:rsidRPr="00955A4C" w:rsidRDefault="00AA3D42" w:rsidP="005E2A35">
            <w:pPr>
              <w:spacing w:line="360" w:lineRule="auto"/>
              <w:jc w:val="right"/>
              <w:rPr>
                <w:b/>
                <w:bCs/>
                <w:color w:val="000000"/>
                <w:sz w:val="20"/>
                <w:szCs w:val="20"/>
                <w:lang w:eastAsia="es-MX"/>
              </w:rPr>
            </w:pPr>
            <w:r w:rsidRPr="00955A4C">
              <w:rPr>
                <w:b/>
                <w:bCs/>
                <w:color w:val="000000"/>
                <w:sz w:val="20"/>
                <w:szCs w:val="20"/>
                <w:lang w:eastAsia="es-MX"/>
              </w:rPr>
              <w:t>0.0</w:t>
            </w:r>
          </w:p>
        </w:tc>
      </w:tr>
      <w:tr w:rsidR="00AA3D42" w:rsidRPr="00955A4C" w14:paraId="2B2BA6EE"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09C2AEE"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2018</w:t>
            </w:r>
          </w:p>
        </w:tc>
        <w:tc>
          <w:tcPr>
            <w:tcW w:w="2504" w:type="dxa"/>
            <w:tcBorders>
              <w:top w:val="nil"/>
              <w:left w:val="nil"/>
              <w:bottom w:val="single" w:sz="4" w:space="0" w:color="auto"/>
              <w:right w:val="single" w:sz="4" w:space="0" w:color="auto"/>
            </w:tcBorders>
            <w:shd w:val="clear" w:color="auto" w:fill="auto"/>
            <w:noWrap/>
            <w:vAlign w:val="center"/>
          </w:tcPr>
          <w:p w14:paraId="6227C7DF" w14:textId="77777777" w:rsidR="00AA3D42" w:rsidRPr="00955A4C" w:rsidRDefault="00AA3D42" w:rsidP="005E2A35">
            <w:pPr>
              <w:spacing w:line="360" w:lineRule="auto"/>
              <w:jc w:val="right"/>
              <w:rPr>
                <w:b/>
                <w:bCs/>
                <w:color w:val="000000"/>
                <w:sz w:val="20"/>
                <w:szCs w:val="20"/>
                <w:lang w:eastAsia="es-MX"/>
              </w:rPr>
            </w:pPr>
            <w:r w:rsidRPr="00955A4C">
              <w:rPr>
                <w:b/>
                <w:bCs/>
                <w:color w:val="000000"/>
                <w:sz w:val="20"/>
                <w:szCs w:val="20"/>
                <w:lang w:eastAsia="es-MX"/>
              </w:rPr>
              <w:t>0.0</w:t>
            </w:r>
          </w:p>
        </w:tc>
      </w:tr>
      <w:tr w:rsidR="00AA3D42" w:rsidRPr="00955A4C" w14:paraId="76E7D94F"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44AFC809" w14:textId="77777777" w:rsidR="00AA3D42" w:rsidRPr="00955A4C" w:rsidRDefault="00AA3D42" w:rsidP="005E2A35">
            <w:pPr>
              <w:spacing w:line="360" w:lineRule="auto"/>
              <w:rPr>
                <w:b/>
                <w:bCs/>
                <w:color w:val="000000"/>
                <w:sz w:val="20"/>
                <w:szCs w:val="20"/>
                <w:lang w:eastAsia="es-MX"/>
              </w:rPr>
            </w:pPr>
            <w:r w:rsidRPr="00955A4C">
              <w:rPr>
                <w:b/>
                <w:bCs/>
                <w:color w:val="000000"/>
                <w:sz w:val="20"/>
                <w:szCs w:val="20"/>
                <w:lang w:eastAsia="es-MX"/>
              </w:rPr>
              <w:t>Ejercicio 2019</w:t>
            </w:r>
          </w:p>
        </w:tc>
        <w:tc>
          <w:tcPr>
            <w:tcW w:w="2504" w:type="dxa"/>
            <w:tcBorders>
              <w:top w:val="nil"/>
              <w:left w:val="nil"/>
              <w:bottom w:val="single" w:sz="4" w:space="0" w:color="auto"/>
              <w:right w:val="single" w:sz="4" w:space="0" w:color="auto"/>
            </w:tcBorders>
            <w:shd w:val="clear" w:color="auto" w:fill="auto"/>
            <w:noWrap/>
            <w:vAlign w:val="center"/>
          </w:tcPr>
          <w:p w14:paraId="2699D75D" w14:textId="77777777" w:rsidR="00AA3D42" w:rsidRPr="00955A4C" w:rsidRDefault="00AA3D42" w:rsidP="005E2A35">
            <w:pPr>
              <w:spacing w:line="360" w:lineRule="auto"/>
              <w:jc w:val="right"/>
              <w:rPr>
                <w:b/>
                <w:bCs/>
                <w:color w:val="000000"/>
                <w:sz w:val="20"/>
                <w:szCs w:val="20"/>
                <w:lang w:eastAsia="es-MX"/>
              </w:rPr>
            </w:pPr>
            <w:r w:rsidRPr="00955A4C">
              <w:rPr>
                <w:b/>
                <w:bCs/>
                <w:color w:val="000000"/>
                <w:sz w:val="20"/>
                <w:szCs w:val="20"/>
                <w:lang w:eastAsia="es-MX"/>
              </w:rPr>
              <w:t>0.0</w:t>
            </w:r>
          </w:p>
        </w:tc>
      </w:tr>
      <w:tr w:rsidR="00AA3D42" w:rsidRPr="00955A4C" w14:paraId="513143FA"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7889353" w14:textId="77777777" w:rsidR="00AA3D42" w:rsidRPr="00955A4C" w:rsidRDefault="00AA3D42" w:rsidP="005E2A35">
            <w:pPr>
              <w:spacing w:line="360" w:lineRule="auto"/>
              <w:rPr>
                <w:b/>
                <w:bCs/>
                <w:color w:val="000000"/>
                <w:sz w:val="20"/>
                <w:szCs w:val="20"/>
                <w:lang w:eastAsia="es-MX"/>
              </w:rPr>
            </w:pPr>
            <w:r>
              <w:rPr>
                <w:b/>
                <w:bCs/>
                <w:color w:val="000000"/>
                <w:sz w:val="20"/>
                <w:szCs w:val="20"/>
                <w:lang w:eastAsia="es-MX"/>
              </w:rPr>
              <w:t>Ejercicio 2020</w:t>
            </w:r>
          </w:p>
        </w:tc>
        <w:tc>
          <w:tcPr>
            <w:tcW w:w="2504" w:type="dxa"/>
            <w:tcBorders>
              <w:top w:val="nil"/>
              <w:left w:val="nil"/>
              <w:bottom w:val="single" w:sz="4" w:space="0" w:color="auto"/>
              <w:right w:val="single" w:sz="4" w:space="0" w:color="auto"/>
            </w:tcBorders>
            <w:shd w:val="clear" w:color="auto" w:fill="auto"/>
            <w:noWrap/>
            <w:vAlign w:val="center"/>
          </w:tcPr>
          <w:p w14:paraId="0D88B916" w14:textId="77777777" w:rsidR="00AA3D42" w:rsidRPr="00955A4C" w:rsidRDefault="00AA3D42" w:rsidP="005E2A35">
            <w:pPr>
              <w:spacing w:line="360" w:lineRule="auto"/>
              <w:jc w:val="right"/>
              <w:rPr>
                <w:b/>
                <w:bCs/>
                <w:color w:val="000000"/>
                <w:sz w:val="20"/>
                <w:szCs w:val="20"/>
                <w:lang w:eastAsia="es-MX"/>
              </w:rPr>
            </w:pPr>
            <w:r>
              <w:rPr>
                <w:b/>
                <w:bCs/>
                <w:color w:val="000000"/>
                <w:sz w:val="20"/>
                <w:szCs w:val="20"/>
                <w:lang w:eastAsia="es-MX"/>
              </w:rPr>
              <w:t>0.0</w:t>
            </w:r>
          </w:p>
        </w:tc>
      </w:tr>
      <w:tr w:rsidR="00AA3D42" w:rsidRPr="00955A4C" w14:paraId="66BDDBEA" w14:textId="77777777" w:rsidTr="005E2A35">
        <w:trPr>
          <w:trHeight w:val="5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09B67E" w14:textId="77777777" w:rsidR="00AA3D42" w:rsidRPr="00955A4C" w:rsidRDefault="00AA3D42" w:rsidP="005E2A35">
            <w:pPr>
              <w:spacing w:line="360" w:lineRule="auto"/>
              <w:jc w:val="center"/>
              <w:rPr>
                <w:b/>
                <w:bCs/>
                <w:color w:val="000000"/>
                <w:sz w:val="20"/>
                <w:szCs w:val="20"/>
                <w:lang w:eastAsia="es-MX"/>
              </w:rPr>
            </w:pPr>
            <w:r w:rsidRPr="00955A4C">
              <w:rPr>
                <w:b/>
                <w:bCs/>
                <w:color w:val="000000"/>
                <w:sz w:val="20"/>
                <w:szCs w:val="20"/>
                <w:lang w:eastAsia="es-MX"/>
              </w:rPr>
              <w:t>SUMA</w:t>
            </w:r>
          </w:p>
        </w:tc>
        <w:tc>
          <w:tcPr>
            <w:tcW w:w="2504" w:type="dxa"/>
            <w:tcBorders>
              <w:top w:val="nil"/>
              <w:left w:val="nil"/>
              <w:bottom w:val="single" w:sz="4" w:space="0" w:color="auto"/>
              <w:right w:val="single" w:sz="4" w:space="0" w:color="auto"/>
            </w:tcBorders>
            <w:shd w:val="clear" w:color="auto" w:fill="auto"/>
            <w:noWrap/>
            <w:vAlign w:val="center"/>
            <w:hideMark/>
          </w:tcPr>
          <w:p w14:paraId="11AAF677" w14:textId="77777777" w:rsidR="00AA3D42" w:rsidRPr="00955A4C" w:rsidRDefault="00AA3D42" w:rsidP="005E2A35">
            <w:pPr>
              <w:spacing w:line="360" w:lineRule="auto"/>
              <w:jc w:val="right"/>
              <w:rPr>
                <w:b/>
                <w:bCs/>
                <w:color w:val="000000"/>
                <w:sz w:val="20"/>
                <w:szCs w:val="20"/>
                <w:lang w:eastAsia="es-MX"/>
              </w:rPr>
            </w:pPr>
            <w:r w:rsidRPr="00955A4C">
              <w:rPr>
                <w:b/>
                <w:bCs/>
                <w:color w:val="000000"/>
                <w:sz w:val="20"/>
                <w:szCs w:val="20"/>
                <w:lang w:eastAsia="es-MX"/>
              </w:rPr>
              <w:t>150.0</w:t>
            </w:r>
          </w:p>
        </w:tc>
      </w:tr>
    </w:tbl>
    <w:p w14:paraId="1CAA920D" w14:textId="77777777" w:rsidR="00AA3D42" w:rsidRPr="00955A4C" w:rsidRDefault="00AA3D42" w:rsidP="00AA3D42">
      <w:pPr>
        <w:spacing w:line="360" w:lineRule="auto"/>
        <w:jc w:val="both"/>
        <w:rPr>
          <w:b/>
          <w:sz w:val="20"/>
          <w:szCs w:val="20"/>
        </w:rPr>
      </w:pPr>
    </w:p>
    <w:p w14:paraId="56B1C1BB" w14:textId="77777777" w:rsidR="00AA3D42" w:rsidRDefault="00AA3D42" w:rsidP="00AA3D42">
      <w:pPr>
        <w:spacing w:line="360" w:lineRule="auto"/>
        <w:jc w:val="both"/>
        <w:rPr>
          <w:b/>
          <w:sz w:val="20"/>
          <w:szCs w:val="20"/>
        </w:rPr>
      </w:pPr>
    </w:p>
    <w:p w14:paraId="7C6207EF" w14:textId="77777777" w:rsidR="00AA3D42" w:rsidRPr="00955A4C" w:rsidRDefault="00AA3D42" w:rsidP="00AA3D42">
      <w:pPr>
        <w:spacing w:line="360" w:lineRule="auto"/>
        <w:jc w:val="both"/>
        <w:rPr>
          <w:b/>
          <w:sz w:val="20"/>
          <w:szCs w:val="20"/>
        </w:rPr>
      </w:pPr>
      <w:r>
        <w:rPr>
          <w:b/>
          <w:sz w:val="20"/>
          <w:szCs w:val="20"/>
        </w:rPr>
        <w:t>Deuda Pública</w:t>
      </w:r>
    </w:p>
    <w:p w14:paraId="57D75655" w14:textId="77777777" w:rsidR="00AA3D42" w:rsidRPr="00955A4C" w:rsidRDefault="00AA3D42" w:rsidP="00AA3D42">
      <w:pPr>
        <w:spacing w:line="360" w:lineRule="auto"/>
        <w:jc w:val="both"/>
        <w:rPr>
          <w:b/>
          <w:sz w:val="20"/>
          <w:szCs w:val="20"/>
        </w:rPr>
      </w:pPr>
    </w:p>
    <w:p w14:paraId="7B17D41D" w14:textId="77777777" w:rsidR="00AA3D42" w:rsidRPr="00955A4C" w:rsidRDefault="00AA3D42" w:rsidP="00AA3D42">
      <w:pPr>
        <w:pStyle w:val="PRIMERAPLANA"/>
        <w:spacing w:line="360" w:lineRule="auto"/>
        <w:rPr>
          <w:rFonts w:ascii="Times New Roman" w:hAnsi="Times New Roman"/>
        </w:rPr>
      </w:pPr>
      <w:r w:rsidRPr="00955A4C">
        <w:rPr>
          <w:rFonts w:ascii="Times New Roman" w:hAnsi="Times New Roman"/>
        </w:rPr>
        <w:t>Una de las políticas de esta Administración ha sido continuar con cero deuda, para el mantenimiento de finanzas públicas sanas,</w:t>
      </w:r>
      <w:r>
        <w:rPr>
          <w:rFonts w:ascii="Times New Roman" w:hAnsi="Times New Roman"/>
        </w:rPr>
        <w:t xml:space="preserve"> lo cual ha sido reconocido a nivel nacional por parte del Gobierno Federal en ser el único estado hasta el momento de no contraer deuda, todo ello a pesar de la situación actual a nivel nacional e internacional,</w:t>
      </w:r>
      <w:r w:rsidRPr="00955A4C">
        <w:rPr>
          <w:rFonts w:ascii="Times New Roman" w:hAnsi="Times New Roman"/>
        </w:rPr>
        <w:t xml:space="preserve"> sin embargo, considerando que el deterioro de los resultados fiscales podría conducir al requerimiento de recursos para proyectos de infraestructura, no se desestima, en el mediano plazo, la posibilidad de contratación de deuda para el financiamiento del gasto público.</w:t>
      </w:r>
    </w:p>
    <w:p w14:paraId="5C31698C" w14:textId="77777777" w:rsidR="00AA3D42" w:rsidRDefault="00AA3D42" w:rsidP="00AA3D42">
      <w:pPr>
        <w:spacing w:line="360" w:lineRule="auto"/>
        <w:jc w:val="both"/>
        <w:rPr>
          <w:sz w:val="20"/>
          <w:szCs w:val="20"/>
          <w:lang w:val="es-ES_tradnl"/>
        </w:rPr>
      </w:pPr>
    </w:p>
    <w:p w14:paraId="6EAB1A5D" w14:textId="77777777" w:rsidR="00AA3D42" w:rsidRPr="00955A4C" w:rsidRDefault="00AA3D42" w:rsidP="00AA3D42">
      <w:pPr>
        <w:spacing w:line="360" w:lineRule="auto"/>
        <w:jc w:val="both"/>
        <w:rPr>
          <w:b/>
          <w:sz w:val="20"/>
          <w:szCs w:val="20"/>
        </w:rPr>
      </w:pPr>
      <w:r>
        <w:rPr>
          <w:b/>
          <w:sz w:val="20"/>
          <w:szCs w:val="20"/>
        </w:rPr>
        <w:t>Menor crecimiento económico</w:t>
      </w:r>
    </w:p>
    <w:p w14:paraId="351F6150" w14:textId="77777777" w:rsidR="00AA3D42" w:rsidRDefault="00AA3D42" w:rsidP="00AA3D42">
      <w:pPr>
        <w:spacing w:line="360" w:lineRule="auto"/>
        <w:jc w:val="both"/>
        <w:rPr>
          <w:b/>
          <w:sz w:val="20"/>
          <w:szCs w:val="20"/>
        </w:rPr>
      </w:pPr>
    </w:p>
    <w:p w14:paraId="0FE519E6" w14:textId="77777777" w:rsidR="00AA3D42" w:rsidRDefault="00AA3D42" w:rsidP="00AA3D42">
      <w:pPr>
        <w:spacing w:line="360" w:lineRule="auto"/>
        <w:jc w:val="both"/>
        <w:rPr>
          <w:sz w:val="20"/>
          <w:szCs w:val="20"/>
        </w:rPr>
      </w:pPr>
      <w:r>
        <w:rPr>
          <w:sz w:val="20"/>
          <w:szCs w:val="20"/>
        </w:rPr>
        <w:t>En el Estado de Tlaxcala en el 2019, había un total de 89 mil 076 establecimientos con 334 mil 495 personas ocupadas en ellos, de los cuales el 50.5% corresponden al sector Comercio, 31.8% a los Servicios, 16.7% a las Manufactureras y 1.0% al Resto de las Economías; 97.7% son tamaño micro, 2.2% son PYMES  y 0.1% Grandes.</w:t>
      </w:r>
    </w:p>
    <w:p w14:paraId="631F4C3E" w14:textId="77777777" w:rsidR="00AA3D42" w:rsidRDefault="00AA3D42" w:rsidP="00AA3D42">
      <w:pPr>
        <w:spacing w:line="360" w:lineRule="auto"/>
        <w:jc w:val="both"/>
        <w:rPr>
          <w:sz w:val="20"/>
          <w:szCs w:val="20"/>
        </w:rPr>
      </w:pPr>
    </w:p>
    <w:p w14:paraId="42BCCF80" w14:textId="77777777" w:rsidR="00AA3D42" w:rsidRDefault="00AA3D42" w:rsidP="00AA3D42">
      <w:pPr>
        <w:spacing w:line="360" w:lineRule="auto"/>
        <w:jc w:val="both"/>
        <w:rPr>
          <w:sz w:val="20"/>
          <w:szCs w:val="20"/>
        </w:rPr>
      </w:pPr>
      <w:r>
        <w:rPr>
          <w:sz w:val="20"/>
          <w:szCs w:val="20"/>
        </w:rPr>
        <w:t>El I</w:t>
      </w:r>
      <w:r w:rsidRPr="00955A4C">
        <w:rPr>
          <w:sz w:val="20"/>
          <w:szCs w:val="20"/>
        </w:rPr>
        <w:t xml:space="preserve">ndicador </w:t>
      </w:r>
      <w:r>
        <w:rPr>
          <w:sz w:val="20"/>
          <w:szCs w:val="20"/>
        </w:rPr>
        <w:t>T</w:t>
      </w:r>
      <w:r w:rsidRPr="00955A4C">
        <w:rPr>
          <w:sz w:val="20"/>
          <w:szCs w:val="20"/>
        </w:rPr>
        <w:t xml:space="preserve">rimestral de la </w:t>
      </w:r>
      <w:r>
        <w:rPr>
          <w:sz w:val="20"/>
          <w:szCs w:val="20"/>
        </w:rPr>
        <w:t>Actividad Económica E</w:t>
      </w:r>
      <w:r w:rsidRPr="00955A4C">
        <w:rPr>
          <w:sz w:val="20"/>
          <w:szCs w:val="20"/>
        </w:rPr>
        <w:t>statal (ITAEE) ofrece un panorama de la situación y evolución económica del estado en el corto plazo</w:t>
      </w:r>
      <w:r>
        <w:rPr>
          <w:sz w:val="20"/>
          <w:szCs w:val="20"/>
        </w:rPr>
        <w:t xml:space="preserve">. Tlaxcala mostró un retroceso en su variación anual </w:t>
      </w:r>
      <w:r>
        <w:rPr>
          <w:sz w:val="20"/>
          <w:szCs w:val="20"/>
        </w:rPr>
        <w:lastRenderedPageBreak/>
        <w:t xml:space="preserve">-22.38% durante el segundo trimestre de 2020, debido al comportamiento de las Actividades Primarias, Secundarias y Terciarias 6.58, -36.64 y -14.40, respectivamente. </w:t>
      </w:r>
    </w:p>
    <w:p w14:paraId="0B457CD2" w14:textId="77777777" w:rsidR="00AA3D42" w:rsidRPr="007562F6" w:rsidRDefault="00AA3D42" w:rsidP="00AA3D42">
      <w:pPr>
        <w:spacing w:line="360" w:lineRule="auto"/>
        <w:jc w:val="center"/>
        <w:rPr>
          <w:b/>
          <w:sz w:val="20"/>
          <w:szCs w:val="20"/>
        </w:rPr>
      </w:pPr>
      <w:r w:rsidRPr="007562F6">
        <w:rPr>
          <w:b/>
          <w:sz w:val="20"/>
          <w:szCs w:val="20"/>
        </w:rPr>
        <w:t>Por Actividad Económica</w:t>
      </w:r>
    </w:p>
    <w:p w14:paraId="03D2487A" w14:textId="77777777" w:rsidR="00AA3D42" w:rsidRDefault="00AA3D42" w:rsidP="00AA3D42">
      <w:r>
        <w:rPr>
          <w:noProof/>
          <w:lang w:val="es-MX" w:eastAsia="es-MX"/>
        </w:rPr>
        <w:drawing>
          <wp:inline distT="0" distB="0" distL="0" distR="0" wp14:anchorId="28A5166E" wp14:editId="605A53E0">
            <wp:extent cx="5486400" cy="32004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5332F09" w14:textId="77777777" w:rsidR="00AA3D42" w:rsidRPr="007562F6" w:rsidRDefault="00AA3D42" w:rsidP="00AA3D42">
      <w:pPr>
        <w:rPr>
          <w:b/>
          <w:sz w:val="16"/>
          <w:szCs w:val="16"/>
        </w:rPr>
      </w:pPr>
      <w:r w:rsidRPr="007562F6">
        <w:rPr>
          <w:b/>
          <w:sz w:val="16"/>
          <w:szCs w:val="16"/>
        </w:rPr>
        <w:t>Fuente</w:t>
      </w:r>
      <w:r>
        <w:rPr>
          <w:b/>
          <w:sz w:val="16"/>
          <w:szCs w:val="16"/>
        </w:rPr>
        <w:t>:</w:t>
      </w:r>
      <w:r w:rsidRPr="007562F6">
        <w:rPr>
          <w:b/>
          <w:sz w:val="16"/>
          <w:szCs w:val="16"/>
        </w:rPr>
        <w:t xml:space="preserve"> INEGI</w:t>
      </w:r>
    </w:p>
    <w:p w14:paraId="07A04763" w14:textId="77777777" w:rsidR="00AA3D42" w:rsidRPr="003C7084" w:rsidRDefault="00AA3D42" w:rsidP="00AA3D42">
      <w:pPr>
        <w:spacing w:line="360" w:lineRule="auto"/>
        <w:jc w:val="center"/>
        <w:rPr>
          <w:sz w:val="20"/>
          <w:szCs w:val="20"/>
        </w:rPr>
      </w:pPr>
    </w:p>
    <w:p w14:paraId="2ADF4FA6" w14:textId="77777777" w:rsidR="00AA3D42" w:rsidRDefault="00AA3D42" w:rsidP="00AA3D42">
      <w:pPr>
        <w:spacing w:line="360" w:lineRule="auto"/>
        <w:jc w:val="both"/>
        <w:rPr>
          <w:sz w:val="20"/>
          <w:szCs w:val="20"/>
        </w:rPr>
      </w:pPr>
    </w:p>
    <w:p w14:paraId="53FF4D00" w14:textId="77777777" w:rsidR="00AA3D42" w:rsidRDefault="00AA3D42" w:rsidP="00AA3D42">
      <w:pPr>
        <w:spacing w:line="360" w:lineRule="auto"/>
        <w:jc w:val="both"/>
        <w:rPr>
          <w:b/>
          <w:sz w:val="20"/>
          <w:szCs w:val="20"/>
        </w:rPr>
      </w:pPr>
      <w:r w:rsidRPr="003C7084">
        <w:rPr>
          <w:b/>
          <w:sz w:val="20"/>
          <w:szCs w:val="20"/>
        </w:rPr>
        <w:t>Actividades Primarias</w:t>
      </w:r>
    </w:p>
    <w:p w14:paraId="0439CD99" w14:textId="77777777" w:rsidR="00AA3D42" w:rsidRPr="003C7084" w:rsidRDefault="00AA3D42" w:rsidP="00AA3D42">
      <w:pPr>
        <w:spacing w:line="360" w:lineRule="auto"/>
        <w:jc w:val="both"/>
        <w:rPr>
          <w:b/>
          <w:sz w:val="20"/>
          <w:szCs w:val="20"/>
        </w:rPr>
      </w:pPr>
    </w:p>
    <w:p w14:paraId="38911CD5" w14:textId="77777777" w:rsidR="00AA3D42" w:rsidRPr="00955A4C" w:rsidRDefault="00AA3D42" w:rsidP="00AA3D42">
      <w:pPr>
        <w:spacing w:line="360" w:lineRule="auto"/>
        <w:jc w:val="both"/>
        <w:rPr>
          <w:sz w:val="20"/>
          <w:szCs w:val="20"/>
        </w:rPr>
      </w:pPr>
      <w:r>
        <w:rPr>
          <w:sz w:val="20"/>
          <w:szCs w:val="20"/>
        </w:rPr>
        <w:t xml:space="preserve">Incluyen </w:t>
      </w:r>
      <w:r w:rsidRPr="003C7084">
        <w:rPr>
          <w:sz w:val="20"/>
          <w:szCs w:val="20"/>
        </w:rPr>
        <w:t>agricultura, cría y explotación de</w:t>
      </w:r>
      <w:r>
        <w:rPr>
          <w:sz w:val="20"/>
          <w:szCs w:val="20"/>
        </w:rPr>
        <w:t xml:space="preserve"> </w:t>
      </w:r>
      <w:r w:rsidRPr="003C7084">
        <w:rPr>
          <w:sz w:val="20"/>
          <w:szCs w:val="20"/>
        </w:rPr>
        <w:t>animales, aprovechamiento forestal, pesca y caza, reportaron una variación anual</w:t>
      </w:r>
      <w:r>
        <w:rPr>
          <w:sz w:val="20"/>
          <w:szCs w:val="20"/>
        </w:rPr>
        <w:t xml:space="preserve"> </w:t>
      </w:r>
      <w:r w:rsidRPr="003C7084">
        <w:rPr>
          <w:sz w:val="20"/>
          <w:szCs w:val="20"/>
        </w:rPr>
        <w:t xml:space="preserve">de </w:t>
      </w:r>
      <w:r>
        <w:rPr>
          <w:sz w:val="20"/>
          <w:szCs w:val="20"/>
        </w:rPr>
        <w:t>6.58</w:t>
      </w:r>
      <w:r w:rsidRPr="003C7084">
        <w:rPr>
          <w:sz w:val="20"/>
          <w:szCs w:val="20"/>
        </w:rPr>
        <w:t xml:space="preserve"> en el </w:t>
      </w:r>
      <w:r>
        <w:rPr>
          <w:sz w:val="20"/>
          <w:szCs w:val="20"/>
        </w:rPr>
        <w:t>segundo</w:t>
      </w:r>
      <w:r w:rsidRPr="003C7084">
        <w:rPr>
          <w:sz w:val="20"/>
          <w:szCs w:val="20"/>
        </w:rPr>
        <w:t xml:space="preserve"> trimestre de 2020, debido, sobre todo, al comportamiento de</w:t>
      </w:r>
      <w:r>
        <w:rPr>
          <w:sz w:val="20"/>
          <w:szCs w:val="20"/>
        </w:rPr>
        <w:t xml:space="preserve"> la agricultura.</w:t>
      </w:r>
    </w:p>
    <w:p w14:paraId="320BDE56" w14:textId="77777777" w:rsidR="00AA3D42" w:rsidRDefault="00AA3D42" w:rsidP="00AA3D42">
      <w:pPr>
        <w:spacing w:line="360" w:lineRule="auto"/>
        <w:jc w:val="center"/>
        <w:rPr>
          <w:b/>
          <w:bCs/>
          <w:sz w:val="20"/>
          <w:szCs w:val="20"/>
        </w:rPr>
      </w:pPr>
    </w:p>
    <w:p w14:paraId="0C5D639C" w14:textId="77777777" w:rsidR="00AA3D42" w:rsidRDefault="00AA3D42" w:rsidP="00AA3D42">
      <w:pPr>
        <w:spacing w:line="360" w:lineRule="auto"/>
        <w:rPr>
          <w:b/>
          <w:bCs/>
          <w:sz w:val="20"/>
          <w:szCs w:val="20"/>
        </w:rPr>
      </w:pPr>
      <w:r>
        <w:rPr>
          <w:b/>
          <w:bCs/>
          <w:sz w:val="20"/>
          <w:szCs w:val="20"/>
        </w:rPr>
        <w:t>Actividades Secundarias</w:t>
      </w:r>
    </w:p>
    <w:p w14:paraId="75C30D64" w14:textId="77777777" w:rsidR="00AA3D42" w:rsidRDefault="00AA3D42" w:rsidP="00AA3D42">
      <w:pPr>
        <w:spacing w:line="360" w:lineRule="auto"/>
        <w:jc w:val="both"/>
        <w:rPr>
          <w:sz w:val="20"/>
          <w:szCs w:val="20"/>
        </w:rPr>
      </w:pPr>
    </w:p>
    <w:p w14:paraId="56E5BE98" w14:textId="77777777" w:rsidR="00AA3D42" w:rsidRDefault="00AA3D42" w:rsidP="00AA3D42">
      <w:pPr>
        <w:spacing w:line="360" w:lineRule="auto"/>
        <w:jc w:val="both"/>
        <w:rPr>
          <w:sz w:val="20"/>
          <w:szCs w:val="20"/>
        </w:rPr>
      </w:pPr>
      <w:r>
        <w:rPr>
          <w:sz w:val="20"/>
          <w:szCs w:val="20"/>
        </w:rPr>
        <w:t>C</w:t>
      </w:r>
      <w:r w:rsidRPr="003C7084">
        <w:rPr>
          <w:sz w:val="20"/>
          <w:szCs w:val="20"/>
        </w:rPr>
        <w:t>orresponden a los sectores dedicados a la industria</w:t>
      </w:r>
      <w:r>
        <w:rPr>
          <w:sz w:val="20"/>
          <w:szCs w:val="20"/>
        </w:rPr>
        <w:t xml:space="preserve"> </w:t>
      </w:r>
      <w:r w:rsidRPr="003C7084">
        <w:rPr>
          <w:sz w:val="20"/>
          <w:szCs w:val="20"/>
        </w:rPr>
        <w:t>de la minería, manufacturas, construcción y electricidad, que en su conjunto</w:t>
      </w:r>
      <w:r>
        <w:rPr>
          <w:sz w:val="20"/>
          <w:szCs w:val="20"/>
        </w:rPr>
        <w:t xml:space="preserve"> </w:t>
      </w:r>
      <w:r w:rsidRPr="003C7084">
        <w:rPr>
          <w:sz w:val="20"/>
          <w:szCs w:val="20"/>
        </w:rPr>
        <w:t xml:space="preserve">reflejaron un decremento a tasa anual de </w:t>
      </w:r>
      <w:r>
        <w:rPr>
          <w:sz w:val="20"/>
          <w:szCs w:val="20"/>
        </w:rPr>
        <w:t>-36.64</w:t>
      </w:r>
      <w:r w:rsidRPr="003C7084">
        <w:rPr>
          <w:sz w:val="20"/>
          <w:szCs w:val="20"/>
        </w:rPr>
        <w:t xml:space="preserve">% en el </w:t>
      </w:r>
      <w:r>
        <w:rPr>
          <w:sz w:val="20"/>
          <w:szCs w:val="20"/>
        </w:rPr>
        <w:t>segundo</w:t>
      </w:r>
      <w:r w:rsidRPr="003C7084">
        <w:rPr>
          <w:sz w:val="20"/>
          <w:szCs w:val="20"/>
        </w:rPr>
        <w:t xml:space="preserve"> trimestre de 2020,</w:t>
      </w:r>
      <w:r>
        <w:rPr>
          <w:sz w:val="20"/>
          <w:szCs w:val="20"/>
        </w:rPr>
        <w:t xml:space="preserve"> </w:t>
      </w:r>
      <w:r w:rsidRPr="003C7084">
        <w:rPr>
          <w:sz w:val="20"/>
          <w:szCs w:val="20"/>
        </w:rPr>
        <w:t>debido, en mayor medida a la construcción y a las industrias manufactureras.</w:t>
      </w:r>
      <w:r w:rsidRPr="003C7084">
        <w:rPr>
          <w:sz w:val="20"/>
          <w:szCs w:val="20"/>
        </w:rPr>
        <w:cr/>
      </w:r>
    </w:p>
    <w:p w14:paraId="46CDC46E" w14:textId="77777777" w:rsidR="00AA3D42" w:rsidRDefault="00AA3D42" w:rsidP="00AA3D42">
      <w:pPr>
        <w:spacing w:line="360" w:lineRule="auto"/>
        <w:jc w:val="both"/>
        <w:rPr>
          <w:b/>
          <w:sz w:val="20"/>
          <w:szCs w:val="20"/>
        </w:rPr>
      </w:pPr>
      <w:r w:rsidRPr="003C7084">
        <w:rPr>
          <w:b/>
          <w:sz w:val="20"/>
          <w:szCs w:val="20"/>
        </w:rPr>
        <w:t>Actividades Terciarias</w:t>
      </w:r>
    </w:p>
    <w:p w14:paraId="5EF5896C" w14:textId="77777777" w:rsidR="00AA3D42" w:rsidRDefault="00AA3D42" w:rsidP="00AA3D42">
      <w:pPr>
        <w:spacing w:line="360" w:lineRule="auto"/>
        <w:jc w:val="both"/>
        <w:rPr>
          <w:b/>
          <w:sz w:val="20"/>
          <w:szCs w:val="20"/>
        </w:rPr>
      </w:pPr>
    </w:p>
    <w:p w14:paraId="0CA5EFCB" w14:textId="77777777" w:rsidR="00AA3D42" w:rsidRDefault="00AA3D42" w:rsidP="00AA3D42">
      <w:pPr>
        <w:spacing w:line="360" w:lineRule="auto"/>
        <w:jc w:val="both"/>
        <w:rPr>
          <w:sz w:val="20"/>
          <w:szCs w:val="20"/>
        </w:rPr>
      </w:pPr>
      <w:r w:rsidRPr="003C7084">
        <w:rPr>
          <w:sz w:val="20"/>
          <w:szCs w:val="20"/>
        </w:rPr>
        <w:lastRenderedPageBreak/>
        <w:t xml:space="preserve">La </w:t>
      </w:r>
      <w:r>
        <w:rPr>
          <w:sz w:val="20"/>
          <w:szCs w:val="20"/>
        </w:rPr>
        <w:t>E</w:t>
      </w:r>
      <w:r w:rsidRPr="003C7084">
        <w:rPr>
          <w:sz w:val="20"/>
          <w:szCs w:val="20"/>
        </w:rPr>
        <w:t>ntidad en estas actividades m</w:t>
      </w:r>
      <w:r>
        <w:rPr>
          <w:sz w:val="20"/>
          <w:szCs w:val="20"/>
        </w:rPr>
        <w:t xml:space="preserve">ostró una contracción anual de </w:t>
      </w:r>
      <w:r w:rsidRPr="003C7084">
        <w:rPr>
          <w:sz w:val="20"/>
          <w:szCs w:val="20"/>
        </w:rPr>
        <w:t>-</w:t>
      </w:r>
      <w:r>
        <w:rPr>
          <w:sz w:val="20"/>
          <w:szCs w:val="20"/>
        </w:rPr>
        <w:t>14.4</w:t>
      </w:r>
      <w:r w:rsidRPr="003C7084">
        <w:rPr>
          <w:sz w:val="20"/>
          <w:szCs w:val="20"/>
        </w:rPr>
        <w:t>%, en</w:t>
      </w:r>
      <w:r>
        <w:rPr>
          <w:sz w:val="20"/>
          <w:szCs w:val="20"/>
        </w:rPr>
        <w:t xml:space="preserve"> </w:t>
      </w:r>
      <w:r w:rsidRPr="003C7084">
        <w:rPr>
          <w:sz w:val="20"/>
          <w:szCs w:val="20"/>
        </w:rPr>
        <w:t xml:space="preserve">el </w:t>
      </w:r>
      <w:r>
        <w:rPr>
          <w:sz w:val="20"/>
          <w:szCs w:val="20"/>
        </w:rPr>
        <w:t>segundo</w:t>
      </w:r>
      <w:r w:rsidRPr="003C7084">
        <w:rPr>
          <w:sz w:val="20"/>
          <w:szCs w:val="20"/>
        </w:rPr>
        <w:t xml:space="preserve"> trimestre de 2020; ocasionado, por los transportes, correos y</w:t>
      </w:r>
      <w:r>
        <w:rPr>
          <w:sz w:val="20"/>
          <w:szCs w:val="20"/>
        </w:rPr>
        <w:t xml:space="preserve"> </w:t>
      </w:r>
      <w:r w:rsidRPr="003C7084">
        <w:rPr>
          <w:sz w:val="20"/>
          <w:szCs w:val="20"/>
        </w:rPr>
        <w:t>almacenamiento; por los servicios financieros y de seguros; por el comercio; por los</w:t>
      </w:r>
      <w:r>
        <w:rPr>
          <w:sz w:val="20"/>
          <w:szCs w:val="20"/>
        </w:rPr>
        <w:t xml:space="preserve"> </w:t>
      </w:r>
      <w:r w:rsidRPr="003C7084">
        <w:rPr>
          <w:sz w:val="20"/>
          <w:szCs w:val="20"/>
        </w:rPr>
        <w:t>servicios de alojamiento temporal y de preparación de alimentos y bebidas; y por</w:t>
      </w:r>
      <w:r>
        <w:rPr>
          <w:sz w:val="20"/>
          <w:szCs w:val="20"/>
        </w:rPr>
        <w:t xml:space="preserve"> </w:t>
      </w:r>
      <w:r w:rsidRPr="003C7084">
        <w:rPr>
          <w:sz w:val="20"/>
          <w:szCs w:val="20"/>
        </w:rPr>
        <w:t xml:space="preserve">los servicios educativos; principalmente. </w:t>
      </w:r>
    </w:p>
    <w:p w14:paraId="54ED0660" w14:textId="77777777" w:rsidR="00AA3D42" w:rsidRDefault="00AA3D42" w:rsidP="00AA3D42">
      <w:pPr>
        <w:spacing w:line="360" w:lineRule="auto"/>
        <w:jc w:val="center"/>
        <w:rPr>
          <w:sz w:val="20"/>
          <w:szCs w:val="20"/>
        </w:rPr>
      </w:pPr>
    </w:p>
    <w:p w14:paraId="241A8398" w14:textId="77777777" w:rsidR="00AA3D42" w:rsidRDefault="00AA3D42" w:rsidP="00AA3D42">
      <w:pPr>
        <w:spacing w:line="360" w:lineRule="auto"/>
        <w:jc w:val="both"/>
        <w:rPr>
          <w:sz w:val="20"/>
          <w:szCs w:val="20"/>
        </w:rPr>
      </w:pPr>
      <w:r w:rsidRPr="003C7084">
        <w:rPr>
          <w:sz w:val="20"/>
          <w:szCs w:val="20"/>
        </w:rPr>
        <w:t xml:space="preserve">Finalmente, cabe mencionar que, en el </w:t>
      </w:r>
      <w:r>
        <w:rPr>
          <w:sz w:val="20"/>
          <w:szCs w:val="20"/>
        </w:rPr>
        <w:t>segundo</w:t>
      </w:r>
      <w:r w:rsidRPr="003C7084">
        <w:rPr>
          <w:sz w:val="20"/>
          <w:szCs w:val="20"/>
        </w:rPr>
        <w:t xml:space="preserve"> trimestre de 2020, Tlaxcala obtuvo la</w:t>
      </w:r>
      <w:r>
        <w:rPr>
          <w:sz w:val="20"/>
          <w:szCs w:val="20"/>
        </w:rPr>
        <w:t xml:space="preserve"> </w:t>
      </w:r>
      <w:r w:rsidRPr="003C7084">
        <w:rPr>
          <w:sz w:val="20"/>
          <w:szCs w:val="20"/>
        </w:rPr>
        <w:t>posición 2</w:t>
      </w:r>
      <w:r>
        <w:rPr>
          <w:sz w:val="20"/>
          <w:szCs w:val="20"/>
        </w:rPr>
        <w:t>5</w:t>
      </w:r>
      <w:r w:rsidRPr="003C7084">
        <w:rPr>
          <w:sz w:val="20"/>
          <w:szCs w:val="20"/>
        </w:rPr>
        <w:t xml:space="preserve"> del total de la economía, con respecto a las demás entidades</w:t>
      </w:r>
      <w:r>
        <w:rPr>
          <w:sz w:val="20"/>
          <w:szCs w:val="20"/>
        </w:rPr>
        <w:t xml:space="preserve"> </w:t>
      </w:r>
      <w:r w:rsidRPr="003C7084">
        <w:rPr>
          <w:sz w:val="20"/>
          <w:szCs w:val="20"/>
        </w:rPr>
        <w:t xml:space="preserve">federativas; asimismo, presentó una aportación de </w:t>
      </w:r>
      <w:r>
        <w:rPr>
          <w:sz w:val="20"/>
          <w:szCs w:val="20"/>
        </w:rPr>
        <w:t>-</w:t>
      </w:r>
      <w:r w:rsidRPr="003C7084">
        <w:rPr>
          <w:sz w:val="20"/>
          <w:szCs w:val="20"/>
        </w:rPr>
        <w:t>0.</w:t>
      </w:r>
      <w:r>
        <w:rPr>
          <w:sz w:val="20"/>
          <w:szCs w:val="20"/>
        </w:rPr>
        <w:t>14</w:t>
      </w:r>
      <w:r w:rsidRPr="003C7084">
        <w:rPr>
          <w:sz w:val="20"/>
          <w:szCs w:val="20"/>
        </w:rPr>
        <w:t xml:space="preserve"> puntos porcentuales a la</w:t>
      </w:r>
      <w:r>
        <w:rPr>
          <w:sz w:val="20"/>
          <w:szCs w:val="20"/>
        </w:rPr>
        <w:t xml:space="preserve"> </w:t>
      </w:r>
      <w:r w:rsidRPr="003C7084">
        <w:rPr>
          <w:sz w:val="20"/>
          <w:szCs w:val="20"/>
        </w:rPr>
        <w:t xml:space="preserve">variación nacional, ubicándose en el lugar </w:t>
      </w:r>
      <w:r>
        <w:rPr>
          <w:sz w:val="20"/>
          <w:szCs w:val="20"/>
        </w:rPr>
        <w:t>3</w:t>
      </w:r>
      <w:r w:rsidRPr="003C7084">
        <w:rPr>
          <w:sz w:val="20"/>
          <w:szCs w:val="20"/>
        </w:rPr>
        <w:t xml:space="preserve"> de contribución.</w:t>
      </w:r>
    </w:p>
    <w:p w14:paraId="28371538" w14:textId="77777777" w:rsidR="00AA3D42" w:rsidRDefault="00AA3D42" w:rsidP="00AA3D42">
      <w:pPr>
        <w:jc w:val="both"/>
        <w:rPr>
          <w:sz w:val="20"/>
          <w:szCs w:val="20"/>
        </w:rPr>
      </w:pPr>
    </w:p>
    <w:p w14:paraId="6435C541" w14:textId="77777777" w:rsidR="00AA3D42" w:rsidRDefault="00AA3D42" w:rsidP="00AA3D42">
      <w:pPr>
        <w:spacing w:line="360" w:lineRule="auto"/>
        <w:jc w:val="center"/>
        <w:rPr>
          <w:sz w:val="20"/>
          <w:szCs w:val="20"/>
        </w:rPr>
      </w:pPr>
      <w:r>
        <w:rPr>
          <w:noProof/>
          <w:sz w:val="20"/>
          <w:szCs w:val="20"/>
          <w:lang w:val="es-MX" w:eastAsia="es-MX"/>
        </w:rPr>
        <mc:AlternateContent>
          <mc:Choice Requires="wps">
            <w:drawing>
              <wp:anchor distT="0" distB="0" distL="114300" distR="114300" simplePos="0" relativeHeight="251680768" behindDoc="0" locked="0" layoutInCell="1" allowOverlap="1" wp14:anchorId="04509105" wp14:editId="21D81BB9">
                <wp:simplePos x="0" y="0"/>
                <wp:positionH relativeFrom="column">
                  <wp:posOffset>1109980</wp:posOffset>
                </wp:positionH>
                <wp:positionV relativeFrom="paragraph">
                  <wp:posOffset>2520315</wp:posOffset>
                </wp:positionV>
                <wp:extent cx="269541" cy="58141"/>
                <wp:effectExtent l="0" t="19050" r="35560" b="37465"/>
                <wp:wrapNone/>
                <wp:docPr id="52" name="Flecha derecha 52"/>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10C8F" id="Flecha derecha 52" o:spid="_x0000_s1026" type="#_x0000_t13" style="position:absolute;margin-left:87.4pt;margin-top:198.45pt;width:21.2pt;height: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" adj="19270" fillcolor="red" strokecolor="red" strokeweight="1pt"/>
            </w:pict>
          </mc:Fallback>
        </mc:AlternateContent>
      </w:r>
      <w:r>
        <w:rPr>
          <w:noProof/>
          <w:lang w:val="es-MX" w:eastAsia="es-MX"/>
        </w:rPr>
        <w:drawing>
          <wp:inline distT="0" distB="0" distL="0" distR="0" wp14:anchorId="7AAC56CE" wp14:editId="408B0B6E">
            <wp:extent cx="4485098" cy="41433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023" t="14967" r="17538" b="5481"/>
                    <a:stretch/>
                  </pic:blipFill>
                  <pic:spPr bwMode="auto">
                    <a:xfrm>
                      <a:off x="0" y="0"/>
                      <a:ext cx="4497606" cy="4154930"/>
                    </a:xfrm>
                    <a:prstGeom prst="rect">
                      <a:avLst/>
                    </a:prstGeom>
                    <a:ln>
                      <a:noFill/>
                    </a:ln>
                    <a:extLst>
                      <a:ext uri="{53640926-AAD7-44D8-BBD7-CCE9431645EC}">
                        <a14:shadowObscured xmlns:a14="http://schemas.microsoft.com/office/drawing/2010/main"/>
                      </a:ext>
                    </a:extLst>
                  </pic:spPr>
                </pic:pic>
              </a:graphicData>
            </a:graphic>
          </wp:inline>
        </w:drawing>
      </w:r>
    </w:p>
    <w:p w14:paraId="7DDD4C7D" w14:textId="77777777" w:rsidR="00AA3D42" w:rsidRDefault="00AA3D42" w:rsidP="00AA3D42">
      <w:pPr>
        <w:spacing w:line="360" w:lineRule="auto"/>
        <w:jc w:val="center"/>
        <w:rPr>
          <w:sz w:val="20"/>
          <w:szCs w:val="20"/>
        </w:rPr>
      </w:pPr>
      <w:r>
        <w:rPr>
          <w:noProof/>
          <w:sz w:val="20"/>
          <w:szCs w:val="20"/>
          <w:lang w:val="es-MX" w:eastAsia="es-MX"/>
        </w:rPr>
        <w:lastRenderedPageBreak/>
        <mc:AlternateContent>
          <mc:Choice Requires="wps">
            <w:drawing>
              <wp:anchor distT="0" distB="0" distL="114300" distR="114300" simplePos="0" relativeHeight="251681792" behindDoc="0" locked="0" layoutInCell="1" allowOverlap="1" wp14:anchorId="314258B3" wp14:editId="5951876B">
                <wp:simplePos x="0" y="0"/>
                <wp:positionH relativeFrom="column">
                  <wp:posOffset>1270635</wp:posOffset>
                </wp:positionH>
                <wp:positionV relativeFrom="paragraph">
                  <wp:posOffset>433705</wp:posOffset>
                </wp:positionV>
                <wp:extent cx="269541" cy="58141"/>
                <wp:effectExtent l="0" t="19050" r="35560" b="37465"/>
                <wp:wrapNone/>
                <wp:docPr id="53" name="Flecha derecha 53"/>
                <wp:cNvGraphicFramePr/>
                <a:graphic xmlns:a="http://schemas.openxmlformats.org/drawingml/2006/main">
                  <a:graphicData uri="http://schemas.microsoft.com/office/word/2010/wordprocessingShape">
                    <wps:wsp>
                      <wps:cNvSpPr/>
                      <wps:spPr>
                        <a:xfrm>
                          <a:off x="0" y="0"/>
                          <a:ext cx="269541" cy="5814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96BE8F" id="Flecha derecha 53" o:spid="_x0000_s1026" type="#_x0000_t13" style="position:absolute;margin-left:100.05pt;margin-top:34.15pt;width:21.2pt;height:4.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" adj="19270" fillcolor="red" strokecolor="red" strokeweight="1pt"/>
            </w:pict>
          </mc:Fallback>
        </mc:AlternateContent>
      </w:r>
      <w:r>
        <w:rPr>
          <w:noProof/>
          <w:lang w:val="es-MX" w:eastAsia="es-MX"/>
        </w:rPr>
        <w:drawing>
          <wp:inline distT="0" distB="0" distL="0" distR="0" wp14:anchorId="27C4FD26" wp14:editId="4B305626">
            <wp:extent cx="3495675" cy="32620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484" t="14147" r="17192" b="5686"/>
                    <a:stretch/>
                  </pic:blipFill>
                  <pic:spPr bwMode="auto">
                    <a:xfrm>
                      <a:off x="0" y="0"/>
                      <a:ext cx="3496277" cy="3262636"/>
                    </a:xfrm>
                    <a:prstGeom prst="rect">
                      <a:avLst/>
                    </a:prstGeom>
                    <a:ln>
                      <a:noFill/>
                    </a:ln>
                    <a:extLst>
                      <a:ext uri="{53640926-AAD7-44D8-BBD7-CCE9431645EC}">
                        <a14:shadowObscured xmlns:a14="http://schemas.microsoft.com/office/drawing/2010/main"/>
                      </a:ext>
                    </a:extLst>
                  </pic:spPr>
                </pic:pic>
              </a:graphicData>
            </a:graphic>
          </wp:inline>
        </w:drawing>
      </w:r>
    </w:p>
    <w:p w14:paraId="2DCC5D9C" w14:textId="77777777" w:rsidR="00AA3D42" w:rsidRDefault="00AA3D42" w:rsidP="00AA3D42">
      <w:pPr>
        <w:spacing w:line="360" w:lineRule="auto"/>
        <w:jc w:val="both"/>
        <w:rPr>
          <w:sz w:val="20"/>
          <w:szCs w:val="20"/>
        </w:rPr>
      </w:pPr>
    </w:p>
    <w:p w14:paraId="142FE970" w14:textId="77777777" w:rsidR="00AA3D42" w:rsidRPr="00955A4C" w:rsidRDefault="00AA3D42" w:rsidP="00AA3D42">
      <w:pPr>
        <w:spacing w:line="360" w:lineRule="auto"/>
        <w:jc w:val="both"/>
        <w:rPr>
          <w:sz w:val="20"/>
          <w:szCs w:val="20"/>
        </w:rPr>
      </w:pPr>
      <w:r w:rsidRPr="00955A4C">
        <w:rPr>
          <w:sz w:val="20"/>
          <w:szCs w:val="20"/>
        </w:rPr>
        <w:t>Para contener este riesgo, el proyecto del Gobierno incluye una mayor promoción de la inversión pública y del turismo, la incorporación de causantes informales, intensificar la fiscalización y el cobro de los impuestos, para fomentar la economía e incrementar la recaudación.</w:t>
      </w:r>
    </w:p>
    <w:p w14:paraId="0D1B3745" w14:textId="77777777" w:rsidR="00AA3D42" w:rsidRDefault="00AA3D42" w:rsidP="00AA3D42">
      <w:pPr>
        <w:spacing w:line="360" w:lineRule="auto"/>
        <w:jc w:val="center"/>
        <w:rPr>
          <w:b/>
          <w:bCs/>
          <w:sz w:val="20"/>
          <w:szCs w:val="20"/>
        </w:rPr>
      </w:pPr>
    </w:p>
    <w:p w14:paraId="4B179E98" w14:textId="77777777" w:rsidR="00AA3D42" w:rsidRDefault="00AA3D42" w:rsidP="00AA3D42">
      <w:pPr>
        <w:spacing w:line="360" w:lineRule="auto"/>
        <w:jc w:val="both"/>
        <w:rPr>
          <w:b/>
          <w:bCs/>
          <w:sz w:val="20"/>
          <w:szCs w:val="20"/>
        </w:rPr>
      </w:pPr>
      <w:r w:rsidRPr="00955A4C">
        <w:rPr>
          <w:b/>
          <w:bCs/>
          <w:sz w:val="20"/>
          <w:szCs w:val="20"/>
        </w:rPr>
        <w:t>EVOLUCIÓN DE LAS FINANZAS PÚBLICAS 201</w:t>
      </w:r>
      <w:r>
        <w:rPr>
          <w:b/>
          <w:bCs/>
          <w:sz w:val="20"/>
          <w:szCs w:val="20"/>
        </w:rPr>
        <w:t>5</w:t>
      </w:r>
      <w:r w:rsidRPr="00955A4C">
        <w:rPr>
          <w:b/>
          <w:bCs/>
          <w:sz w:val="20"/>
          <w:szCs w:val="20"/>
        </w:rPr>
        <w:t>-20</w:t>
      </w:r>
      <w:r>
        <w:rPr>
          <w:b/>
          <w:bCs/>
          <w:sz w:val="20"/>
          <w:szCs w:val="20"/>
        </w:rPr>
        <w:t>21</w:t>
      </w:r>
      <w:r w:rsidRPr="00955A4C">
        <w:rPr>
          <w:b/>
          <w:bCs/>
          <w:sz w:val="20"/>
          <w:szCs w:val="20"/>
        </w:rPr>
        <w:t>.</w:t>
      </w:r>
    </w:p>
    <w:p w14:paraId="642C1D3C" w14:textId="77777777" w:rsidR="00AA3D42" w:rsidRDefault="00AA3D42" w:rsidP="00AA3D42">
      <w:pPr>
        <w:spacing w:line="360" w:lineRule="auto"/>
        <w:jc w:val="both"/>
        <w:rPr>
          <w:b/>
          <w:bCs/>
          <w:sz w:val="20"/>
          <w:szCs w:val="20"/>
        </w:rPr>
      </w:pPr>
    </w:p>
    <w:p w14:paraId="0B6A75D8" w14:textId="77777777" w:rsidR="00AA3D42" w:rsidRDefault="00AA3D42" w:rsidP="00AA3D42">
      <w:pPr>
        <w:pStyle w:val="PRIMERAPLANA"/>
        <w:spacing w:line="360" w:lineRule="auto"/>
        <w:rPr>
          <w:rFonts w:ascii="Times New Roman" w:hAnsi="Times New Roman"/>
          <w:iCs/>
          <w:lang w:val="es-ES"/>
        </w:rPr>
      </w:pPr>
      <w:r w:rsidRPr="00A73805">
        <w:rPr>
          <w:rFonts w:ascii="Times New Roman" w:hAnsi="Times New Roman"/>
          <w:iCs/>
          <w:lang w:val="es-ES"/>
        </w:rPr>
        <w:t>La evolución del Gasto Público del Estado obedece a los flujos de</w:t>
      </w:r>
      <w:r>
        <w:rPr>
          <w:rFonts w:ascii="Times New Roman" w:hAnsi="Times New Roman"/>
          <w:iCs/>
          <w:lang w:val="es-ES"/>
        </w:rPr>
        <w:t xml:space="preserve"> </w:t>
      </w:r>
      <w:r w:rsidRPr="00A73805">
        <w:rPr>
          <w:rFonts w:ascii="Times New Roman" w:hAnsi="Times New Roman"/>
          <w:iCs/>
          <w:lang w:val="es-ES"/>
        </w:rPr>
        <w:t>recaudación de los ingresos de libre disposición, los cuales en gran</w:t>
      </w:r>
      <w:r>
        <w:rPr>
          <w:rFonts w:ascii="Times New Roman" w:hAnsi="Times New Roman"/>
          <w:iCs/>
          <w:lang w:val="es-ES"/>
        </w:rPr>
        <w:t xml:space="preserve"> </w:t>
      </w:r>
      <w:r w:rsidRPr="00A73805">
        <w:rPr>
          <w:rFonts w:ascii="Times New Roman" w:hAnsi="Times New Roman"/>
          <w:iCs/>
          <w:lang w:val="es-ES"/>
        </w:rPr>
        <w:t>medida son determinados por el comportamiento de la Recaudación</w:t>
      </w:r>
      <w:r>
        <w:rPr>
          <w:rFonts w:ascii="Times New Roman" w:hAnsi="Times New Roman"/>
          <w:iCs/>
          <w:lang w:val="es-ES"/>
        </w:rPr>
        <w:t xml:space="preserve"> </w:t>
      </w:r>
      <w:r w:rsidRPr="00A73805">
        <w:rPr>
          <w:rFonts w:ascii="Times New Roman" w:hAnsi="Times New Roman"/>
          <w:iCs/>
          <w:lang w:val="es-ES"/>
        </w:rPr>
        <w:t>Federal Participable (RFP); propiciando que las finanzas públicas</w:t>
      </w:r>
      <w:r>
        <w:rPr>
          <w:rFonts w:ascii="Times New Roman" w:hAnsi="Times New Roman"/>
          <w:iCs/>
          <w:lang w:val="es-ES"/>
        </w:rPr>
        <w:t xml:space="preserve"> </w:t>
      </w:r>
      <w:r w:rsidRPr="00A73805">
        <w:rPr>
          <w:rFonts w:ascii="Times New Roman" w:hAnsi="Times New Roman"/>
          <w:iCs/>
          <w:lang w:val="es-ES"/>
        </w:rPr>
        <w:t>estatales sean sensibles ante el comportamiento de la economía nacional</w:t>
      </w:r>
      <w:r>
        <w:rPr>
          <w:rFonts w:ascii="Times New Roman" w:hAnsi="Times New Roman"/>
          <w:iCs/>
          <w:lang w:val="es-ES"/>
        </w:rPr>
        <w:t xml:space="preserve"> </w:t>
      </w:r>
      <w:r w:rsidRPr="00A73805">
        <w:rPr>
          <w:rFonts w:ascii="Times New Roman" w:hAnsi="Times New Roman"/>
          <w:iCs/>
          <w:lang w:val="es-ES"/>
        </w:rPr>
        <w:t>e internacional.</w:t>
      </w:r>
    </w:p>
    <w:p w14:paraId="0E379A4A" w14:textId="77777777" w:rsidR="00AA3D42" w:rsidRDefault="00AA3D42" w:rsidP="00AA3D42">
      <w:pPr>
        <w:pStyle w:val="PRIMERAPLANA"/>
        <w:spacing w:line="360" w:lineRule="auto"/>
        <w:rPr>
          <w:rFonts w:ascii="Times New Roman" w:hAnsi="Times New Roman"/>
          <w:iCs/>
          <w:lang w:val="es-ES"/>
        </w:rPr>
      </w:pPr>
    </w:p>
    <w:p w14:paraId="0626D2EA" w14:textId="77777777" w:rsidR="00AA3D42" w:rsidRDefault="00AA3D42" w:rsidP="00AA3D42">
      <w:pPr>
        <w:pStyle w:val="PRIMERAPLANA"/>
        <w:spacing w:line="360" w:lineRule="auto"/>
        <w:rPr>
          <w:rFonts w:ascii="Times New Roman" w:hAnsi="Times New Roman"/>
          <w:iCs/>
          <w:lang w:val="es-ES"/>
        </w:rPr>
      </w:pPr>
      <w:r>
        <w:rPr>
          <w:rFonts w:ascii="Times New Roman" w:hAnsi="Times New Roman"/>
          <w:iCs/>
          <w:lang w:val="es-ES"/>
        </w:rPr>
        <w:t>Durante el perí</w:t>
      </w:r>
      <w:r w:rsidRPr="00E1406B">
        <w:rPr>
          <w:rFonts w:ascii="Times New Roman" w:hAnsi="Times New Roman"/>
          <w:iCs/>
          <w:lang w:val="es-ES"/>
        </w:rPr>
        <w:t>odo 201</w:t>
      </w:r>
      <w:r>
        <w:rPr>
          <w:rFonts w:ascii="Times New Roman" w:hAnsi="Times New Roman"/>
          <w:iCs/>
          <w:lang w:val="es-ES"/>
        </w:rPr>
        <w:t>5</w:t>
      </w:r>
      <w:r w:rsidRPr="00E1406B">
        <w:rPr>
          <w:rFonts w:ascii="Times New Roman" w:hAnsi="Times New Roman"/>
          <w:iCs/>
          <w:lang w:val="es-ES"/>
        </w:rPr>
        <w:t>-20</w:t>
      </w:r>
      <w:r>
        <w:rPr>
          <w:rFonts w:ascii="Times New Roman" w:hAnsi="Times New Roman"/>
          <w:iCs/>
          <w:lang w:val="es-ES"/>
        </w:rPr>
        <w:t>21</w:t>
      </w:r>
      <w:r w:rsidRPr="00E1406B">
        <w:rPr>
          <w:rFonts w:ascii="Times New Roman" w:hAnsi="Times New Roman"/>
          <w:iCs/>
          <w:lang w:val="es-ES"/>
        </w:rPr>
        <w:t>, el Gasto Público del Estado ha registrado</w:t>
      </w:r>
      <w:r>
        <w:rPr>
          <w:rFonts w:ascii="Times New Roman" w:hAnsi="Times New Roman"/>
          <w:iCs/>
          <w:lang w:val="es-ES"/>
        </w:rPr>
        <w:t xml:space="preserve"> </w:t>
      </w:r>
      <w:r w:rsidRPr="00E1406B">
        <w:rPr>
          <w:rFonts w:ascii="Times New Roman" w:hAnsi="Times New Roman"/>
          <w:iCs/>
          <w:lang w:val="es-ES"/>
        </w:rPr>
        <w:t>un incremento real moderado, debido principalmente a los resultados</w:t>
      </w:r>
      <w:r>
        <w:rPr>
          <w:rFonts w:ascii="Times New Roman" w:hAnsi="Times New Roman"/>
          <w:iCs/>
          <w:lang w:val="es-ES"/>
        </w:rPr>
        <w:t xml:space="preserve"> </w:t>
      </w:r>
      <w:r w:rsidRPr="00E1406B">
        <w:rPr>
          <w:rFonts w:ascii="Times New Roman" w:hAnsi="Times New Roman"/>
          <w:iCs/>
          <w:lang w:val="es-ES"/>
        </w:rPr>
        <w:t>positivos en la recaudación de ingre</w:t>
      </w:r>
      <w:r>
        <w:rPr>
          <w:rFonts w:ascii="Times New Roman" w:hAnsi="Times New Roman"/>
          <w:iCs/>
          <w:lang w:val="es-ES"/>
        </w:rPr>
        <w:t xml:space="preserve">sos tributarios por parte de la </w:t>
      </w:r>
      <w:r w:rsidRPr="00E1406B">
        <w:rPr>
          <w:rFonts w:ascii="Times New Roman" w:hAnsi="Times New Roman"/>
          <w:iCs/>
          <w:lang w:val="es-ES"/>
        </w:rPr>
        <w:t>Federación y de las medidas adoptadas a través de la Reforma</w:t>
      </w:r>
      <w:r>
        <w:rPr>
          <w:rFonts w:ascii="Times New Roman" w:hAnsi="Times New Roman"/>
          <w:iCs/>
          <w:lang w:val="es-ES"/>
        </w:rPr>
        <w:t xml:space="preserve"> </w:t>
      </w:r>
      <w:r w:rsidRPr="00E1406B">
        <w:rPr>
          <w:rFonts w:ascii="Times New Roman" w:hAnsi="Times New Roman"/>
          <w:iCs/>
          <w:lang w:val="es-ES"/>
        </w:rPr>
        <w:t>Hacendaria, sin embargo</w:t>
      </w:r>
      <w:r>
        <w:rPr>
          <w:rFonts w:ascii="Times New Roman" w:hAnsi="Times New Roman"/>
          <w:iCs/>
          <w:lang w:val="es-ES"/>
        </w:rPr>
        <w:t>,</w:t>
      </w:r>
      <w:r w:rsidRPr="00E1406B">
        <w:rPr>
          <w:rFonts w:ascii="Times New Roman" w:hAnsi="Times New Roman"/>
          <w:iCs/>
          <w:lang w:val="es-ES"/>
        </w:rPr>
        <w:t xml:space="preserve"> la baja en los precios del petróleo en años</w:t>
      </w:r>
      <w:r>
        <w:rPr>
          <w:rFonts w:ascii="Times New Roman" w:hAnsi="Times New Roman"/>
          <w:iCs/>
          <w:lang w:val="es-ES"/>
        </w:rPr>
        <w:t xml:space="preserve"> recientes</w:t>
      </w:r>
      <w:r w:rsidRPr="00E1406B">
        <w:rPr>
          <w:rFonts w:ascii="Times New Roman" w:hAnsi="Times New Roman"/>
          <w:iCs/>
          <w:lang w:val="es-ES"/>
        </w:rPr>
        <w:t xml:space="preserve"> y la</w:t>
      </w:r>
      <w:r>
        <w:rPr>
          <w:rFonts w:ascii="Times New Roman" w:hAnsi="Times New Roman"/>
          <w:iCs/>
          <w:lang w:val="es-ES"/>
        </w:rPr>
        <w:t xml:space="preserve"> </w:t>
      </w:r>
      <w:r w:rsidRPr="00E1406B">
        <w:rPr>
          <w:rFonts w:ascii="Times New Roman" w:hAnsi="Times New Roman"/>
          <w:iCs/>
          <w:lang w:val="es-ES"/>
        </w:rPr>
        <w:t>constante apreciación del dólar frente al peso, son factores que han</w:t>
      </w:r>
      <w:r>
        <w:rPr>
          <w:rFonts w:ascii="Times New Roman" w:hAnsi="Times New Roman"/>
          <w:iCs/>
          <w:lang w:val="es-ES"/>
        </w:rPr>
        <w:t xml:space="preserve"> </w:t>
      </w:r>
      <w:r w:rsidRPr="00E1406B">
        <w:rPr>
          <w:rFonts w:ascii="Times New Roman" w:hAnsi="Times New Roman"/>
          <w:iCs/>
          <w:lang w:val="es-ES"/>
        </w:rPr>
        <w:t>aumentado la volatilidad de capitales en el país, rompiendo la dinámica de</w:t>
      </w:r>
      <w:r>
        <w:rPr>
          <w:rFonts w:ascii="Times New Roman" w:hAnsi="Times New Roman"/>
          <w:iCs/>
          <w:lang w:val="es-ES"/>
        </w:rPr>
        <w:t xml:space="preserve"> </w:t>
      </w:r>
      <w:r w:rsidRPr="00E1406B">
        <w:rPr>
          <w:rFonts w:ascii="Times New Roman" w:hAnsi="Times New Roman"/>
          <w:iCs/>
          <w:lang w:val="es-ES"/>
        </w:rPr>
        <w:t>crecimiento observada en el per</w:t>
      </w:r>
      <w:r>
        <w:rPr>
          <w:rFonts w:ascii="Times New Roman" w:hAnsi="Times New Roman"/>
          <w:iCs/>
          <w:lang w:val="es-ES"/>
        </w:rPr>
        <w:t>í</w:t>
      </w:r>
      <w:r w:rsidRPr="00E1406B">
        <w:rPr>
          <w:rFonts w:ascii="Times New Roman" w:hAnsi="Times New Roman"/>
          <w:iCs/>
          <w:lang w:val="es-ES"/>
        </w:rPr>
        <w:t>odo aludido; por otra parte y en</w:t>
      </w:r>
      <w:r>
        <w:rPr>
          <w:rFonts w:ascii="Times New Roman" w:hAnsi="Times New Roman"/>
          <w:iCs/>
          <w:lang w:val="es-ES"/>
        </w:rPr>
        <w:t xml:space="preserve"> </w:t>
      </w:r>
      <w:r w:rsidRPr="00E1406B">
        <w:rPr>
          <w:rFonts w:ascii="Times New Roman" w:hAnsi="Times New Roman"/>
          <w:iCs/>
          <w:lang w:val="es-ES"/>
        </w:rPr>
        <w:t>concordancia con las políticas aplicadas por el Gobierno Federal, el</w:t>
      </w:r>
      <w:r>
        <w:rPr>
          <w:rFonts w:ascii="Times New Roman" w:hAnsi="Times New Roman"/>
          <w:iCs/>
          <w:lang w:val="es-ES"/>
        </w:rPr>
        <w:t xml:space="preserve"> </w:t>
      </w:r>
      <w:r w:rsidRPr="00E1406B">
        <w:rPr>
          <w:rFonts w:ascii="Times New Roman" w:hAnsi="Times New Roman"/>
          <w:iCs/>
          <w:lang w:val="es-ES"/>
        </w:rPr>
        <w:t>Ejecutivo del Estado puso en marcha una política fiscal para la contención</w:t>
      </w:r>
      <w:r>
        <w:rPr>
          <w:rFonts w:ascii="Times New Roman" w:hAnsi="Times New Roman"/>
          <w:iCs/>
          <w:lang w:val="es-ES"/>
        </w:rPr>
        <w:t xml:space="preserve"> </w:t>
      </w:r>
      <w:r w:rsidRPr="00E1406B">
        <w:rPr>
          <w:rFonts w:ascii="Times New Roman" w:hAnsi="Times New Roman"/>
          <w:iCs/>
          <w:lang w:val="es-ES"/>
        </w:rPr>
        <w:t xml:space="preserve">del </w:t>
      </w:r>
      <w:r w:rsidRPr="00E1406B">
        <w:rPr>
          <w:rFonts w:ascii="Times New Roman" w:hAnsi="Times New Roman"/>
          <w:iCs/>
          <w:lang w:val="es-ES"/>
        </w:rPr>
        <w:lastRenderedPageBreak/>
        <w:t>gasto, implementando entre otras medidas la aplicación de criterios de</w:t>
      </w:r>
      <w:r>
        <w:rPr>
          <w:rFonts w:ascii="Times New Roman" w:hAnsi="Times New Roman"/>
          <w:iCs/>
          <w:lang w:val="es-ES"/>
        </w:rPr>
        <w:t xml:space="preserve"> </w:t>
      </w:r>
      <w:r w:rsidRPr="00E1406B">
        <w:rPr>
          <w:rFonts w:ascii="Times New Roman" w:hAnsi="Times New Roman"/>
          <w:iCs/>
          <w:lang w:val="es-ES"/>
        </w:rPr>
        <w:t>Racionalidad, Austeridad y Disciplina Presupuestal por parte de las</w:t>
      </w:r>
      <w:r>
        <w:rPr>
          <w:rFonts w:ascii="Times New Roman" w:hAnsi="Times New Roman"/>
          <w:iCs/>
          <w:lang w:val="es-ES"/>
        </w:rPr>
        <w:t xml:space="preserve"> </w:t>
      </w:r>
      <w:r w:rsidRPr="00E1406B">
        <w:rPr>
          <w:rFonts w:ascii="Times New Roman" w:hAnsi="Times New Roman"/>
          <w:iCs/>
          <w:lang w:val="es-ES"/>
        </w:rPr>
        <w:t>Dependencias y Entidades del Ejecutivo, a fin de optimizar el uso de</w:t>
      </w:r>
      <w:r>
        <w:rPr>
          <w:rFonts w:ascii="Times New Roman" w:hAnsi="Times New Roman"/>
          <w:iCs/>
          <w:lang w:val="es-ES"/>
        </w:rPr>
        <w:t xml:space="preserve"> </w:t>
      </w:r>
      <w:r w:rsidRPr="00E1406B">
        <w:rPr>
          <w:rFonts w:ascii="Times New Roman" w:hAnsi="Times New Roman"/>
          <w:iCs/>
          <w:lang w:val="es-ES"/>
        </w:rPr>
        <w:t>recursos materiales y financieros, al interior de los entes públicos, se</w:t>
      </w:r>
      <w:r>
        <w:rPr>
          <w:rFonts w:ascii="Times New Roman" w:hAnsi="Times New Roman"/>
          <w:iCs/>
          <w:lang w:val="es-ES"/>
        </w:rPr>
        <w:t xml:space="preserve"> </w:t>
      </w:r>
      <w:r w:rsidRPr="00E1406B">
        <w:rPr>
          <w:rFonts w:ascii="Times New Roman" w:hAnsi="Times New Roman"/>
          <w:iCs/>
          <w:lang w:val="es-ES"/>
        </w:rPr>
        <w:t>disminuyeron las estru</w:t>
      </w:r>
      <w:r>
        <w:rPr>
          <w:rFonts w:ascii="Times New Roman" w:hAnsi="Times New Roman"/>
          <w:iCs/>
          <w:lang w:val="es-ES"/>
        </w:rPr>
        <w:t xml:space="preserve">cturas burocráticas de personal, así como también </w:t>
      </w:r>
      <w:r w:rsidRPr="00BC730E">
        <w:rPr>
          <w:rFonts w:ascii="Times New Roman" w:hAnsi="Times New Roman"/>
          <w:iCs/>
          <w:lang w:val="es-ES"/>
        </w:rPr>
        <w:t xml:space="preserve"> ha implementado políticas de administración y de gobierno prudentes, obteniendo resultados positivos durante los últimos años. La política fiscal mantenida ha limitado el gasto corriente respecto de los ingresos disponibles en cada ejercicio, por lo que, se estima que se registren </w:t>
      </w:r>
      <w:r w:rsidRPr="00BC730E">
        <w:rPr>
          <w:rFonts w:ascii="Times New Roman" w:hAnsi="Times New Roman"/>
          <w:i/>
          <w:iCs/>
          <w:lang w:val="es-ES"/>
        </w:rPr>
        <w:t>superávits</w:t>
      </w:r>
      <w:r w:rsidRPr="00BC730E">
        <w:rPr>
          <w:rFonts w:ascii="Times New Roman" w:hAnsi="Times New Roman"/>
          <w:iCs/>
          <w:lang w:val="es-ES"/>
        </w:rPr>
        <w:t xml:space="preserve"> financieros en los ejercicios 20</w:t>
      </w:r>
      <w:r>
        <w:rPr>
          <w:rFonts w:ascii="Times New Roman" w:hAnsi="Times New Roman"/>
          <w:iCs/>
          <w:lang w:val="es-ES"/>
        </w:rPr>
        <w:t>20</w:t>
      </w:r>
      <w:r w:rsidRPr="00BC730E">
        <w:rPr>
          <w:rFonts w:ascii="Times New Roman" w:hAnsi="Times New Roman"/>
          <w:iCs/>
          <w:lang w:val="es-ES"/>
        </w:rPr>
        <w:t xml:space="preserve"> y 202</w:t>
      </w:r>
      <w:r>
        <w:rPr>
          <w:rFonts w:ascii="Times New Roman" w:hAnsi="Times New Roman"/>
          <w:iCs/>
          <w:lang w:val="es-ES"/>
        </w:rPr>
        <w:t>1</w:t>
      </w:r>
      <w:r w:rsidRPr="00BC730E">
        <w:rPr>
          <w:rFonts w:ascii="Times New Roman" w:hAnsi="Times New Roman"/>
          <w:iCs/>
          <w:lang w:val="es-ES"/>
        </w:rPr>
        <w:t xml:space="preserve"> en niveles alrededor del 1% de sus ingresos totales</w:t>
      </w:r>
      <w:r>
        <w:rPr>
          <w:rFonts w:ascii="Times New Roman" w:hAnsi="Times New Roman"/>
          <w:iCs/>
          <w:lang w:val="es-ES"/>
        </w:rPr>
        <w:t>, lo cual resulta benéfico para continuar con finanzas sanas</w:t>
      </w:r>
      <w:r w:rsidRPr="00BC730E">
        <w:rPr>
          <w:rFonts w:ascii="Times New Roman" w:hAnsi="Times New Roman"/>
          <w:iCs/>
          <w:lang w:val="es-ES"/>
        </w:rPr>
        <w:t>.</w:t>
      </w:r>
    </w:p>
    <w:p w14:paraId="1A76202B" w14:textId="77777777" w:rsidR="00AA3D42" w:rsidRDefault="00AA3D42" w:rsidP="00AA3D42">
      <w:pPr>
        <w:pStyle w:val="PRIMERAPLANA"/>
        <w:spacing w:line="360" w:lineRule="auto"/>
        <w:rPr>
          <w:rFonts w:ascii="Times New Roman" w:hAnsi="Times New Roman"/>
          <w:iCs/>
          <w:lang w:val="es-ES"/>
        </w:rPr>
      </w:pPr>
    </w:p>
    <w:p w14:paraId="40BCDE33" w14:textId="77777777" w:rsidR="00AA3D42" w:rsidRDefault="00AA3D42" w:rsidP="00AA3D42">
      <w:pPr>
        <w:pStyle w:val="PRIMERAPLANA"/>
        <w:spacing w:line="360" w:lineRule="auto"/>
        <w:rPr>
          <w:rFonts w:ascii="Times New Roman" w:hAnsi="Times New Roman"/>
          <w:iCs/>
          <w:lang w:val="es-ES"/>
        </w:rPr>
      </w:pPr>
      <w:r w:rsidRPr="00ED3128">
        <w:rPr>
          <w:rFonts w:ascii="Times New Roman" w:hAnsi="Times New Roman"/>
          <w:iCs/>
          <w:lang w:val="es-ES"/>
        </w:rPr>
        <w:t>A continuación se presenta el comportamiento en la ejecución del gasto</w:t>
      </w:r>
      <w:r>
        <w:rPr>
          <w:rFonts w:ascii="Times New Roman" w:hAnsi="Times New Roman"/>
          <w:iCs/>
          <w:lang w:val="es-ES"/>
        </w:rPr>
        <w:t xml:space="preserve"> </w:t>
      </w:r>
      <w:r w:rsidRPr="00ED3128">
        <w:rPr>
          <w:rFonts w:ascii="Times New Roman" w:hAnsi="Times New Roman"/>
          <w:iCs/>
          <w:lang w:val="es-ES"/>
        </w:rPr>
        <w:t>público etiquetado y no etiquetado en los últimos cinco años y el</w:t>
      </w:r>
      <w:r>
        <w:rPr>
          <w:rFonts w:ascii="Times New Roman" w:hAnsi="Times New Roman"/>
          <w:iCs/>
          <w:lang w:val="es-ES"/>
        </w:rPr>
        <w:t xml:space="preserve"> </w:t>
      </w:r>
      <w:r w:rsidRPr="00ED3128">
        <w:rPr>
          <w:rFonts w:ascii="Times New Roman" w:hAnsi="Times New Roman"/>
          <w:iCs/>
          <w:lang w:val="es-ES"/>
        </w:rPr>
        <w:t>pronóstico de cierre 20</w:t>
      </w:r>
      <w:r>
        <w:rPr>
          <w:rFonts w:ascii="Times New Roman" w:hAnsi="Times New Roman"/>
          <w:iCs/>
          <w:lang w:val="es-ES"/>
        </w:rPr>
        <w:t>20</w:t>
      </w:r>
      <w:r w:rsidRPr="00ED3128">
        <w:rPr>
          <w:rFonts w:ascii="Times New Roman" w:hAnsi="Times New Roman"/>
          <w:iCs/>
          <w:lang w:val="es-ES"/>
        </w:rPr>
        <w:t>.</w:t>
      </w:r>
    </w:p>
    <w:tbl>
      <w:tblPr>
        <w:tblW w:w="6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891"/>
        <w:gridCol w:w="836"/>
        <w:gridCol w:w="836"/>
        <w:gridCol w:w="836"/>
        <w:gridCol w:w="836"/>
        <w:gridCol w:w="836"/>
      </w:tblGrid>
      <w:tr w:rsidR="00AA3D42" w:rsidRPr="002E0CC2" w14:paraId="1B490D51" w14:textId="77777777" w:rsidTr="005E2A35">
        <w:trPr>
          <w:trHeight w:val="300"/>
          <w:tblHeader/>
          <w:jc w:val="center"/>
        </w:trPr>
        <w:tc>
          <w:tcPr>
            <w:tcW w:w="6762" w:type="dxa"/>
            <w:gridSpan w:val="7"/>
            <w:shd w:val="clear" w:color="000000" w:fill="D9D9D9"/>
            <w:noWrap/>
            <w:vAlign w:val="center"/>
            <w:hideMark/>
          </w:tcPr>
          <w:p w14:paraId="012C4B15" w14:textId="77777777" w:rsidR="00AA3D42" w:rsidRPr="002E0CC2" w:rsidRDefault="00AA3D42" w:rsidP="005E2A35">
            <w:pPr>
              <w:jc w:val="center"/>
              <w:rPr>
                <w:rFonts w:ascii="Arial" w:hAnsi="Arial" w:cs="Arial"/>
                <w:b/>
                <w:bCs/>
                <w:color w:val="000000"/>
                <w:sz w:val="12"/>
                <w:szCs w:val="12"/>
                <w:lang w:val="es-MX" w:eastAsia="es-MX"/>
              </w:rPr>
            </w:pPr>
            <w:r>
              <w:rPr>
                <w:rFonts w:ascii="Arial" w:hAnsi="Arial" w:cs="Arial"/>
                <w:b/>
                <w:bCs/>
                <w:color w:val="000000"/>
                <w:sz w:val="12"/>
                <w:szCs w:val="12"/>
                <w:lang w:val="es-MX" w:eastAsia="es-MX"/>
              </w:rPr>
              <w:t>GOBIERNO DEL ESTADO DE TLAXCALA</w:t>
            </w:r>
          </w:p>
        </w:tc>
      </w:tr>
      <w:tr w:rsidR="00AA3D42" w:rsidRPr="002E0CC2" w14:paraId="348DE452" w14:textId="77777777" w:rsidTr="005E2A35">
        <w:trPr>
          <w:trHeight w:val="300"/>
          <w:tblHeader/>
          <w:jc w:val="center"/>
        </w:trPr>
        <w:tc>
          <w:tcPr>
            <w:tcW w:w="6762" w:type="dxa"/>
            <w:gridSpan w:val="7"/>
            <w:shd w:val="clear" w:color="000000" w:fill="D9D9D9"/>
            <w:noWrap/>
            <w:vAlign w:val="center"/>
            <w:hideMark/>
          </w:tcPr>
          <w:p w14:paraId="5C90A81A" w14:textId="77777777" w:rsidR="00AA3D42" w:rsidRPr="002E0CC2" w:rsidRDefault="00AA3D42" w:rsidP="005E2A35">
            <w:pPr>
              <w:jc w:val="center"/>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Resultados de Egresos - LDF</w:t>
            </w:r>
          </w:p>
        </w:tc>
      </w:tr>
      <w:tr w:rsidR="00AA3D42" w:rsidRPr="002E0CC2" w14:paraId="4D54A2C2" w14:textId="77777777" w:rsidTr="005E2A35">
        <w:trPr>
          <w:trHeight w:val="315"/>
          <w:tblHeader/>
          <w:jc w:val="center"/>
        </w:trPr>
        <w:tc>
          <w:tcPr>
            <w:tcW w:w="6762" w:type="dxa"/>
            <w:gridSpan w:val="7"/>
            <w:shd w:val="clear" w:color="000000" w:fill="D9D9D9"/>
            <w:noWrap/>
            <w:vAlign w:val="center"/>
            <w:hideMark/>
          </w:tcPr>
          <w:p w14:paraId="427CEB1E" w14:textId="77777777" w:rsidR="00AA3D42" w:rsidRPr="002E0CC2" w:rsidRDefault="00AA3D42" w:rsidP="005E2A35">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(PESOS)</w:t>
            </w:r>
          </w:p>
        </w:tc>
      </w:tr>
      <w:tr w:rsidR="00AA3D42" w:rsidRPr="002E0CC2" w14:paraId="297372E6" w14:textId="77777777" w:rsidTr="005E2A35">
        <w:trPr>
          <w:trHeight w:val="315"/>
          <w:tblHeader/>
          <w:jc w:val="center"/>
        </w:trPr>
        <w:tc>
          <w:tcPr>
            <w:tcW w:w="1691" w:type="dxa"/>
            <w:shd w:val="clear" w:color="000000" w:fill="D9D9D9"/>
            <w:noWrap/>
            <w:vAlign w:val="center"/>
            <w:hideMark/>
          </w:tcPr>
          <w:p w14:paraId="42F4C38B" w14:textId="77777777" w:rsidR="00AA3D42" w:rsidRPr="002E0CC2" w:rsidRDefault="00AA3D42" w:rsidP="005E2A35">
            <w:pPr>
              <w:jc w:val="center"/>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Concepto (b)</w:t>
            </w:r>
          </w:p>
        </w:tc>
        <w:tc>
          <w:tcPr>
            <w:tcW w:w="891" w:type="dxa"/>
            <w:shd w:val="clear" w:color="000000" w:fill="D9D9D9"/>
            <w:noWrap/>
            <w:vAlign w:val="center"/>
            <w:hideMark/>
          </w:tcPr>
          <w:p w14:paraId="42FE87E2" w14:textId="77777777" w:rsidR="00AA3D42" w:rsidRDefault="00AA3D42" w:rsidP="005E2A35">
            <w:pPr>
              <w:jc w:val="center"/>
              <w:rPr>
                <w:rFonts w:ascii="Arial" w:hAnsi="Arial" w:cs="Arial"/>
                <w:b/>
                <w:bCs/>
                <w:color w:val="000000"/>
                <w:sz w:val="12"/>
                <w:szCs w:val="12"/>
                <w:lang w:val="es-MX" w:eastAsia="es-MX"/>
              </w:rPr>
            </w:pPr>
            <w:r>
              <w:rPr>
                <w:rFonts w:ascii="Arial" w:hAnsi="Arial" w:cs="Arial"/>
                <w:b/>
                <w:bCs/>
                <w:color w:val="000000"/>
                <w:sz w:val="12"/>
                <w:szCs w:val="12"/>
              </w:rPr>
              <w:t>2015</w:t>
            </w:r>
          </w:p>
        </w:tc>
        <w:tc>
          <w:tcPr>
            <w:tcW w:w="836" w:type="dxa"/>
            <w:shd w:val="clear" w:color="000000" w:fill="D9D9D9"/>
            <w:noWrap/>
            <w:vAlign w:val="center"/>
            <w:hideMark/>
          </w:tcPr>
          <w:p w14:paraId="39AFC185" w14:textId="77777777" w:rsidR="00AA3D42" w:rsidRDefault="00AA3D42" w:rsidP="005E2A35">
            <w:pPr>
              <w:jc w:val="center"/>
              <w:rPr>
                <w:rFonts w:ascii="Arial" w:hAnsi="Arial" w:cs="Arial"/>
                <w:b/>
                <w:bCs/>
                <w:color w:val="000000"/>
                <w:sz w:val="12"/>
                <w:szCs w:val="12"/>
              </w:rPr>
            </w:pPr>
            <w:r>
              <w:rPr>
                <w:rFonts w:ascii="Arial" w:hAnsi="Arial" w:cs="Arial"/>
                <w:b/>
                <w:bCs/>
                <w:color w:val="000000"/>
                <w:sz w:val="12"/>
                <w:szCs w:val="12"/>
              </w:rPr>
              <w:t>2016</w:t>
            </w:r>
          </w:p>
        </w:tc>
        <w:tc>
          <w:tcPr>
            <w:tcW w:w="836" w:type="dxa"/>
            <w:shd w:val="clear" w:color="000000" w:fill="D9D9D9"/>
            <w:noWrap/>
            <w:vAlign w:val="center"/>
            <w:hideMark/>
          </w:tcPr>
          <w:p w14:paraId="269FCBAF" w14:textId="77777777" w:rsidR="00AA3D42" w:rsidRDefault="00AA3D42" w:rsidP="005E2A35">
            <w:pPr>
              <w:jc w:val="center"/>
              <w:rPr>
                <w:rFonts w:ascii="Arial" w:hAnsi="Arial" w:cs="Arial"/>
                <w:b/>
                <w:bCs/>
                <w:color w:val="000000"/>
                <w:sz w:val="12"/>
                <w:szCs w:val="12"/>
              </w:rPr>
            </w:pPr>
            <w:r>
              <w:rPr>
                <w:rFonts w:ascii="Arial" w:hAnsi="Arial" w:cs="Arial"/>
                <w:b/>
                <w:bCs/>
                <w:color w:val="000000"/>
                <w:sz w:val="12"/>
                <w:szCs w:val="12"/>
              </w:rPr>
              <w:t>2017</w:t>
            </w:r>
          </w:p>
        </w:tc>
        <w:tc>
          <w:tcPr>
            <w:tcW w:w="836" w:type="dxa"/>
            <w:shd w:val="clear" w:color="000000" w:fill="D9D9D9"/>
            <w:noWrap/>
            <w:vAlign w:val="center"/>
            <w:hideMark/>
          </w:tcPr>
          <w:p w14:paraId="5B55AD2C" w14:textId="77777777" w:rsidR="00AA3D42" w:rsidRDefault="00AA3D42" w:rsidP="005E2A35">
            <w:pPr>
              <w:jc w:val="center"/>
              <w:rPr>
                <w:rFonts w:ascii="Arial" w:hAnsi="Arial" w:cs="Arial"/>
                <w:b/>
                <w:bCs/>
                <w:color w:val="000000"/>
                <w:sz w:val="12"/>
                <w:szCs w:val="12"/>
              </w:rPr>
            </w:pPr>
            <w:r>
              <w:rPr>
                <w:rFonts w:ascii="Arial" w:hAnsi="Arial" w:cs="Arial"/>
                <w:b/>
                <w:bCs/>
                <w:color w:val="000000"/>
                <w:sz w:val="12"/>
                <w:szCs w:val="12"/>
              </w:rPr>
              <w:t>2018</w:t>
            </w:r>
          </w:p>
        </w:tc>
        <w:tc>
          <w:tcPr>
            <w:tcW w:w="836" w:type="dxa"/>
            <w:shd w:val="clear" w:color="000000" w:fill="D9D9D9"/>
            <w:noWrap/>
            <w:vAlign w:val="center"/>
            <w:hideMark/>
          </w:tcPr>
          <w:p w14:paraId="00E15E75" w14:textId="77777777" w:rsidR="00AA3D42" w:rsidRDefault="00AA3D42" w:rsidP="005E2A35">
            <w:pPr>
              <w:jc w:val="center"/>
              <w:rPr>
                <w:rFonts w:ascii="Arial" w:hAnsi="Arial" w:cs="Arial"/>
                <w:b/>
                <w:bCs/>
                <w:color w:val="000000"/>
                <w:sz w:val="12"/>
                <w:szCs w:val="12"/>
              </w:rPr>
            </w:pPr>
            <w:r>
              <w:rPr>
                <w:rFonts w:ascii="Arial" w:hAnsi="Arial" w:cs="Arial"/>
                <w:b/>
                <w:bCs/>
                <w:color w:val="000000"/>
                <w:sz w:val="12"/>
                <w:szCs w:val="12"/>
              </w:rPr>
              <w:t>2019</w:t>
            </w:r>
          </w:p>
        </w:tc>
        <w:tc>
          <w:tcPr>
            <w:tcW w:w="836" w:type="dxa"/>
            <w:shd w:val="clear" w:color="000000" w:fill="D9D9D9"/>
            <w:noWrap/>
            <w:vAlign w:val="center"/>
            <w:hideMark/>
          </w:tcPr>
          <w:p w14:paraId="60F17070" w14:textId="77777777" w:rsidR="00AA3D42" w:rsidRDefault="00AA3D42" w:rsidP="005E2A35">
            <w:pPr>
              <w:jc w:val="center"/>
              <w:rPr>
                <w:rFonts w:ascii="Arial" w:hAnsi="Arial" w:cs="Arial"/>
                <w:b/>
                <w:bCs/>
                <w:color w:val="000000"/>
                <w:sz w:val="12"/>
                <w:szCs w:val="12"/>
              </w:rPr>
            </w:pPr>
            <w:r>
              <w:rPr>
                <w:rFonts w:ascii="Arial" w:hAnsi="Arial" w:cs="Arial"/>
                <w:b/>
                <w:bCs/>
                <w:color w:val="000000"/>
                <w:sz w:val="12"/>
                <w:szCs w:val="12"/>
              </w:rPr>
              <w:t>2020</w:t>
            </w:r>
          </w:p>
        </w:tc>
      </w:tr>
      <w:tr w:rsidR="00AA3D42" w:rsidRPr="002E0CC2" w14:paraId="504A74F7" w14:textId="77777777" w:rsidTr="005E2A35">
        <w:trPr>
          <w:trHeight w:val="675"/>
          <w:jc w:val="center"/>
        </w:trPr>
        <w:tc>
          <w:tcPr>
            <w:tcW w:w="1691" w:type="dxa"/>
            <w:shd w:val="clear" w:color="auto" w:fill="auto"/>
            <w:noWrap/>
            <w:vAlign w:val="center"/>
            <w:hideMark/>
          </w:tcPr>
          <w:p w14:paraId="4D0BAA4F" w14:textId="77777777" w:rsidR="00AA3D42" w:rsidRPr="0029701A" w:rsidRDefault="00AA3D42" w:rsidP="005E2A35">
            <w:pPr>
              <w:jc w:val="both"/>
              <w:rPr>
                <w:rFonts w:ascii="Arial" w:hAnsi="Arial" w:cs="Arial"/>
                <w:b/>
                <w:bCs/>
                <w:color w:val="000000"/>
                <w:sz w:val="12"/>
                <w:szCs w:val="12"/>
                <w:lang w:val="es-MX" w:eastAsia="es-MX"/>
              </w:rPr>
            </w:pPr>
            <w:r w:rsidRPr="0029701A">
              <w:rPr>
                <w:rFonts w:ascii="Arial" w:hAnsi="Arial" w:cs="Arial"/>
                <w:b/>
                <w:bCs/>
                <w:color w:val="000000"/>
                <w:sz w:val="12"/>
                <w:szCs w:val="12"/>
                <w:lang w:val="es-MX" w:eastAsia="es-MX"/>
              </w:rPr>
              <w:t>1.</w:t>
            </w:r>
            <w:r w:rsidRPr="0029701A">
              <w:rPr>
                <w:b/>
                <w:bCs/>
                <w:color w:val="000000"/>
                <w:sz w:val="12"/>
                <w:szCs w:val="12"/>
                <w:lang w:val="es-MX" w:eastAsia="es-MX"/>
              </w:rPr>
              <w:t xml:space="preserve">  </w:t>
            </w:r>
            <w:r w:rsidRPr="0029701A">
              <w:rPr>
                <w:rFonts w:ascii="Arial" w:hAnsi="Arial" w:cs="Arial"/>
                <w:b/>
                <w:bCs/>
                <w:color w:val="000000"/>
                <w:sz w:val="12"/>
                <w:szCs w:val="12"/>
                <w:lang w:val="es-MX" w:eastAsia="es-MX"/>
              </w:rPr>
              <w:t>Gasto No Etiquetado</w:t>
            </w:r>
            <w:r w:rsidRPr="0029701A">
              <w:rPr>
                <w:rFonts w:ascii="Arial" w:hAnsi="Arial" w:cs="Arial"/>
                <w:b/>
                <w:color w:val="000000"/>
                <w:sz w:val="12"/>
                <w:szCs w:val="12"/>
                <w:lang w:val="es-MX" w:eastAsia="es-MX"/>
              </w:rPr>
              <w:t xml:space="preserve"> </w:t>
            </w:r>
            <w:r w:rsidRPr="0029701A">
              <w:rPr>
                <w:rFonts w:ascii="Arial" w:hAnsi="Arial" w:cs="Arial"/>
                <w:b/>
                <w:bCs/>
                <w:color w:val="000000"/>
                <w:sz w:val="12"/>
                <w:szCs w:val="12"/>
                <w:lang w:val="es-MX" w:eastAsia="es-MX"/>
              </w:rPr>
              <w:t>(1=A+B+C+D+E+F+G+H+I)</w:t>
            </w:r>
          </w:p>
        </w:tc>
        <w:tc>
          <w:tcPr>
            <w:tcW w:w="891" w:type="dxa"/>
            <w:shd w:val="clear" w:color="auto" w:fill="auto"/>
            <w:noWrap/>
            <w:vAlign w:val="center"/>
            <w:hideMark/>
          </w:tcPr>
          <w:p w14:paraId="539180D9"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6,578,578,478</w:t>
            </w:r>
          </w:p>
        </w:tc>
        <w:tc>
          <w:tcPr>
            <w:tcW w:w="836" w:type="dxa"/>
            <w:shd w:val="clear" w:color="auto" w:fill="auto"/>
            <w:noWrap/>
            <w:vAlign w:val="center"/>
            <w:hideMark/>
          </w:tcPr>
          <w:p w14:paraId="1008F11B"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7,898,054,090</w:t>
            </w:r>
          </w:p>
        </w:tc>
        <w:tc>
          <w:tcPr>
            <w:tcW w:w="836" w:type="dxa"/>
            <w:shd w:val="clear" w:color="auto" w:fill="auto"/>
            <w:noWrap/>
            <w:vAlign w:val="center"/>
            <w:hideMark/>
          </w:tcPr>
          <w:p w14:paraId="42165E58"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8,734,444,703</w:t>
            </w:r>
          </w:p>
        </w:tc>
        <w:tc>
          <w:tcPr>
            <w:tcW w:w="836" w:type="dxa"/>
            <w:shd w:val="clear" w:color="auto" w:fill="auto"/>
            <w:noWrap/>
            <w:vAlign w:val="center"/>
            <w:hideMark/>
          </w:tcPr>
          <w:p w14:paraId="6F2E1F05"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9,626,799,585</w:t>
            </w:r>
          </w:p>
        </w:tc>
        <w:tc>
          <w:tcPr>
            <w:tcW w:w="836" w:type="dxa"/>
            <w:shd w:val="clear" w:color="auto" w:fill="auto"/>
            <w:noWrap/>
            <w:vAlign w:val="center"/>
            <w:hideMark/>
          </w:tcPr>
          <w:p w14:paraId="576906D7"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10,315,690,976</w:t>
            </w:r>
          </w:p>
        </w:tc>
        <w:tc>
          <w:tcPr>
            <w:tcW w:w="836" w:type="dxa"/>
            <w:shd w:val="clear" w:color="auto" w:fill="auto"/>
            <w:noWrap/>
            <w:vAlign w:val="center"/>
            <w:hideMark/>
          </w:tcPr>
          <w:p w14:paraId="7338420A"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10,433,277,364</w:t>
            </w:r>
          </w:p>
        </w:tc>
      </w:tr>
      <w:tr w:rsidR="00AA3D42" w:rsidRPr="002E0CC2" w14:paraId="763DCC5D" w14:textId="77777777" w:rsidTr="005E2A35">
        <w:trPr>
          <w:trHeight w:val="345"/>
          <w:jc w:val="center"/>
        </w:trPr>
        <w:tc>
          <w:tcPr>
            <w:tcW w:w="1691" w:type="dxa"/>
            <w:shd w:val="clear" w:color="auto" w:fill="auto"/>
            <w:noWrap/>
            <w:vAlign w:val="center"/>
            <w:hideMark/>
          </w:tcPr>
          <w:p w14:paraId="537600F8"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14:paraId="711010B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2,005,123,138</w:t>
            </w:r>
          </w:p>
        </w:tc>
        <w:tc>
          <w:tcPr>
            <w:tcW w:w="836" w:type="dxa"/>
            <w:shd w:val="clear" w:color="auto" w:fill="auto"/>
            <w:noWrap/>
            <w:vAlign w:val="center"/>
            <w:hideMark/>
          </w:tcPr>
          <w:p w14:paraId="105F4362"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2,124,667,850</w:t>
            </w:r>
          </w:p>
        </w:tc>
        <w:tc>
          <w:tcPr>
            <w:tcW w:w="836" w:type="dxa"/>
            <w:shd w:val="clear" w:color="auto" w:fill="auto"/>
            <w:noWrap/>
            <w:vAlign w:val="center"/>
            <w:hideMark/>
          </w:tcPr>
          <w:p w14:paraId="31A8D1E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2,110,453,937</w:t>
            </w:r>
          </w:p>
        </w:tc>
        <w:tc>
          <w:tcPr>
            <w:tcW w:w="836" w:type="dxa"/>
            <w:shd w:val="clear" w:color="auto" w:fill="auto"/>
            <w:noWrap/>
            <w:vAlign w:val="center"/>
            <w:hideMark/>
          </w:tcPr>
          <w:p w14:paraId="348979D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2,137,432,995</w:t>
            </w:r>
          </w:p>
        </w:tc>
        <w:tc>
          <w:tcPr>
            <w:tcW w:w="836" w:type="dxa"/>
            <w:shd w:val="clear" w:color="auto" w:fill="auto"/>
            <w:noWrap/>
            <w:vAlign w:val="center"/>
            <w:hideMark/>
          </w:tcPr>
          <w:p w14:paraId="1912F3C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2,282,774,151</w:t>
            </w:r>
          </w:p>
        </w:tc>
        <w:tc>
          <w:tcPr>
            <w:tcW w:w="836" w:type="dxa"/>
            <w:shd w:val="clear" w:color="auto" w:fill="auto"/>
            <w:noWrap/>
            <w:vAlign w:val="center"/>
            <w:hideMark/>
          </w:tcPr>
          <w:p w14:paraId="07201E79"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2,523,061,541</w:t>
            </w:r>
          </w:p>
        </w:tc>
      </w:tr>
      <w:tr w:rsidR="00AA3D42" w:rsidRPr="002E0CC2" w14:paraId="00E97BC0" w14:textId="77777777" w:rsidTr="005E2A35">
        <w:trPr>
          <w:trHeight w:val="345"/>
          <w:jc w:val="center"/>
        </w:trPr>
        <w:tc>
          <w:tcPr>
            <w:tcW w:w="1691" w:type="dxa"/>
            <w:shd w:val="clear" w:color="auto" w:fill="auto"/>
            <w:noWrap/>
            <w:vAlign w:val="center"/>
            <w:hideMark/>
          </w:tcPr>
          <w:p w14:paraId="3BD605C5"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14:paraId="1CA82552"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147,435,038</w:t>
            </w:r>
          </w:p>
        </w:tc>
        <w:tc>
          <w:tcPr>
            <w:tcW w:w="836" w:type="dxa"/>
            <w:shd w:val="clear" w:color="auto" w:fill="auto"/>
            <w:noWrap/>
            <w:vAlign w:val="center"/>
            <w:hideMark/>
          </w:tcPr>
          <w:p w14:paraId="79AC6A9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171,218,391</w:t>
            </w:r>
          </w:p>
        </w:tc>
        <w:tc>
          <w:tcPr>
            <w:tcW w:w="836" w:type="dxa"/>
            <w:shd w:val="clear" w:color="auto" w:fill="auto"/>
            <w:noWrap/>
            <w:vAlign w:val="center"/>
            <w:hideMark/>
          </w:tcPr>
          <w:p w14:paraId="66821EB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168,396,882</w:t>
            </w:r>
          </w:p>
        </w:tc>
        <w:tc>
          <w:tcPr>
            <w:tcW w:w="836" w:type="dxa"/>
            <w:shd w:val="clear" w:color="auto" w:fill="auto"/>
            <w:noWrap/>
            <w:vAlign w:val="center"/>
            <w:hideMark/>
          </w:tcPr>
          <w:p w14:paraId="28E10FB3"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191,756,205</w:t>
            </w:r>
          </w:p>
        </w:tc>
        <w:tc>
          <w:tcPr>
            <w:tcW w:w="836" w:type="dxa"/>
            <w:shd w:val="clear" w:color="auto" w:fill="auto"/>
            <w:noWrap/>
            <w:vAlign w:val="center"/>
            <w:hideMark/>
          </w:tcPr>
          <w:p w14:paraId="5D2408D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192,685,834</w:t>
            </w:r>
          </w:p>
        </w:tc>
        <w:tc>
          <w:tcPr>
            <w:tcW w:w="836" w:type="dxa"/>
            <w:shd w:val="clear" w:color="auto" w:fill="auto"/>
            <w:noWrap/>
            <w:vAlign w:val="center"/>
            <w:hideMark/>
          </w:tcPr>
          <w:p w14:paraId="4A74E10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233,504,738</w:t>
            </w:r>
          </w:p>
        </w:tc>
      </w:tr>
      <w:tr w:rsidR="00AA3D42" w:rsidRPr="002E0CC2" w14:paraId="45BF8EFB" w14:textId="77777777" w:rsidTr="005E2A35">
        <w:trPr>
          <w:trHeight w:val="345"/>
          <w:jc w:val="center"/>
        </w:trPr>
        <w:tc>
          <w:tcPr>
            <w:tcW w:w="1691" w:type="dxa"/>
            <w:shd w:val="clear" w:color="auto" w:fill="auto"/>
            <w:noWrap/>
            <w:vAlign w:val="center"/>
            <w:hideMark/>
          </w:tcPr>
          <w:p w14:paraId="183D1CB1"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14:paraId="7B825EA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246,840,379</w:t>
            </w:r>
          </w:p>
        </w:tc>
        <w:tc>
          <w:tcPr>
            <w:tcW w:w="836" w:type="dxa"/>
            <w:shd w:val="clear" w:color="auto" w:fill="auto"/>
            <w:noWrap/>
            <w:vAlign w:val="center"/>
            <w:hideMark/>
          </w:tcPr>
          <w:p w14:paraId="53764CC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291,239,947</w:t>
            </w:r>
          </w:p>
        </w:tc>
        <w:tc>
          <w:tcPr>
            <w:tcW w:w="836" w:type="dxa"/>
            <w:shd w:val="clear" w:color="auto" w:fill="auto"/>
            <w:noWrap/>
            <w:vAlign w:val="center"/>
            <w:hideMark/>
          </w:tcPr>
          <w:p w14:paraId="7C6B51C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281,940,578</w:t>
            </w:r>
          </w:p>
        </w:tc>
        <w:tc>
          <w:tcPr>
            <w:tcW w:w="836" w:type="dxa"/>
            <w:shd w:val="clear" w:color="auto" w:fill="auto"/>
            <w:noWrap/>
            <w:vAlign w:val="center"/>
            <w:hideMark/>
          </w:tcPr>
          <w:p w14:paraId="3C2CBB3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264,502,364</w:t>
            </w:r>
          </w:p>
        </w:tc>
        <w:tc>
          <w:tcPr>
            <w:tcW w:w="836" w:type="dxa"/>
            <w:shd w:val="clear" w:color="auto" w:fill="auto"/>
            <w:noWrap/>
            <w:vAlign w:val="center"/>
            <w:hideMark/>
          </w:tcPr>
          <w:p w14:paraId="1B184139"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245,368,401</w:t>
            </w:r>
          </w:p>
        </w:tc>
        <w:tc>
          <w:tcPr>
            <w:tcW w:w="836" w:type="dxa"/>
            <w:shd w:val="clear" w:color="auto" w:fill="auto"/>
            <w:noWrap/>
            <w:vAlign w:val="center"/>
            <w:hideMark/>
          </w:tcPr>
          <w:p w14:paraId="0C8AD95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257,579,444</w:t>
            </w:r>
          </w:p>
        </w:tc>
      </w:tr>
      <w:tr w:rsidR="00AA3D42" w:rsidRPr="002E0CC2" w14:paraId="08299AF2" w14:textId="77777777" w:rsidTr="005E2A35">
        <w:trPr>
          <w:trHeight w:val="675"/>
          <w:jc w:val="center"/>
        </w:trPr>
        <w:tc>
          <w:tcPr>
            <w:tcW w:w="1691" w:type="dxa"/>
            <w:shd w:val="clear" w:color="auto" w:fill="auto"/>
            <w:noWrap/>
            <w:vAlign w:val="center"/>
            <w:hideMark/>
          </w:tcPr>
          <w:p w14:paraId="60DD0082"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14:paraId="1969667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2,390,541,816</w:t>
            </w:r>
          </w:p>
        </w:tc>
        <w:tc>
          <w:tcPr>
            <w:tcW w:w="836" w:type="dxa"/>
            <w:shd w:val="clear" w:color="auto" w:fill="auto"/>
            <w:noWrap/>
            <w:vAlign w:val="center"/>
            <w:hideMark/>
          </w:tcPr>
          <w:p w14:paraId="7B8C20D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3,231,455,994</w:t>
            </w:r>
          </w:p>
        </w:tc>
        <w:tc>
          <w:tcPr>
            <w:tcW w:w="836" w:type="dxa"/>
            <w:shd w:val="clear" w:color="auto" w:fill="auto"/>
            <w:noWrap/>
            <w:vAlign w:val="center"/>
            <w:hideMark/>
          </w:tcPr>
          <w:p w14:paraId="49D4DAD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4,145,388,405</w:t>
            </w:r>
          </w:p>
        </w:tc>
        <w:tc>
          <w:tcPr>
            <w:tcW w:w="836" w:type="dxa"/>
            <w:shd w:val="clear" w:color="auto" w:fill="auto"/>
            <w:noWrap/>
            <w:vAlign w:val="center"/>
            <w:hideMark/>
          </w:tcPr>
          <w:p w14:paraId="05DCDC0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4,654,444,604</w:t>
            </w:r>
          </w:p>
        </w:tc>
        <w:tc>
          <w:tcPr>
            <w:tcW w:w="836" w:type="dxa"/>
            <w:shd w:val="clear" w:color="auto" w:fill="auto"/>
            <w:noWrap/>
            <w:vAlign w:val="center"/>
            <w:hideMark/>
          </w:tcPr>
          <w:p w14:paraId="04F2A60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4,405,210,680</w:t>
            </w:r>
          </w:p>
        </w:tc>
        <w:tc>
          <w:tcPr>
            <w:tcW w:w="836" w:type="dxa"/>
            <w:shd w:val="clear" w:color="auto" w:fill="auto"/>
            <w:noWrap/>
            <w:vAlign w:val="center"/>
            <w:hideMark/>
          </w:tcPr>
          <w:p w14:paraId="6BD93DE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4,486,227,864</w:t>
            </w:r>
          </w:p>
        </w:tc>
      </w:tr>
      <w:tr w:rsidR="00AA3D42" w:rsidRPr="002E0CC2" w14:paraId="1276274E" w14:textId="77777777" w:rsidTr="005E2A35">
        <w:trPr>
          <w:trHeight w:val="510"/>
          <w:jc w:val="center"/>
        </w:trPr>
        <w:tc>
          <w:tcPr>
            <w:tcW w:w="1691" w:type="dxa"/>
            <w:shd w:val="clear" w:color="auto" w:fill="auto"/>
            <w:noWrap/>
            <w:vAlign w:val="center"/>
            <w:hideMark/>
          </w:tcPr>
          <w:p w14:paraId="3F29F47B"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14:paraId="4794DFD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107,204,327</w:t>
            </w:r>
          </w:p>
        </w:tc>
        <w:tc>
          <w:tcPr>
            <w:tcW w:w="836" w:type="dxa"/>
            <w:shd w:val="clear" w:color="auto" w:fill="auto"/>
            <w:noWrap/>
            <w:vAlign w:val="center"/>
            <w:hideMark/>
          </w:tcPr>
          <w:p w14:paraId="355CD83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79,496,428</w:t>
            </w:r>
          </w:p>
        </w:tc>
        <w:tc>
          <w:tcPr>
            <w:tcW w:w="836" w:type="dxa"/>
            <w:shd w:val="clear" w:color="auto" w:fill="auto"/>
            <w:noWrap/>
            <w:vAlign w:val="center"/>
            <w:hideMark/>
          </w:tcPr>
          <w:p w14:paraId="45DF489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18,696,538</w:t>
            </w:r>
          </w:p>
        </w:tc>
        <w:tc>
          <w:tcPr>
            <w:tcW w:w="836" w:type="dxa"/>
            <w:shd w:val="clear" w:color="auto" w:fill="auto"/>
            <w:noWrap/>
            <w:vAlign w:val="center"/>
            <w:hideMark/>
          </w:tcPr>
          <w:p w14:paraId="21EF97F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168,425,533</w:t>
            </w:r>
          </w:p>
        </w:tc>
        <w:tc>
          <w:tcPr>
            <w:tcW w:w="836" w:type="dxa"/>
            <w:shd w:val="clear" w:color="auto" w:fill="auto"/>
            <w:noWrap/>
            <w:vAlign w:val="center"/>
            <w:hideMark/>
          </w:tcPr>
          <w:p w14:paraId="7FA524B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118,674,753</w:t>
            </w:r>
          </w:p>
        </w:tc>
        <w:tc>
          <w:tcPr>
            <w:tcW w:w="836" w:type="dxa"/>
            <w:shd w:val="clear" w:color="auto" w:fill="auto"/>
            <w:noWrap/>
            <w:vAlign w:val="center"/>
            <w:hideMark/>
          </w:tcPr>
          <w:p w14:paraId="7D7F29D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33,413,436</w:t>
            </w:r>
          </w:p>
        </w:tc>
      </w:tr>
      <w:tr w:rsidR="00AA3D42" w:rsidRPr="002E0CC2" w14:paraId="2D777816" w14:textId="77777777" w:rsidTr="005E2A35">
        <w:trPr>
          <w:trHeight w:val="345"/>
          <w:jc w:val="center"/>
        </w:trPr>
        <w:tc>
          <w:tcPr>
            <w:tcW w:w="1691" w:type="dxa"/>
            <w:shd w:val="clear" w:color="auto" w:fill="auto"/>
            <w:noWrap/>
            <w:vAlign w:val="center"/>
            <w:hideMark/>
          </w:tcPr>
          <w:p w14:paraId="59CEA657"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14:paraId="67D02AA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165,993,462</w:t>
            </w:r>
          </w:p>
        </w:tc>
        <w:tc>
          <w:tcPr>
            <w:tcW w:w="836" w:type="dxa"/>
            <w:shd w:val="clear" w:color="auto" w:fill="auto"/>
            <w:noWrap/>
            <w:vAlign w:val="center"/>
            <w:hideMark/>
          </w:tcPr>
          <w:p w14:paraId="38001FD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367,132,593</w:t>
            </w:r>
          </w:p>
        </w:tc>
        <w:tc>
          <w:tcPr>
            <w:tcW w:w="836" w:type="dxa"/>
            <w:shd w:val="clear" w:color="auto" w:fill="auto"/>
            <w:noWrap/>
            <w:vAlign w:val="center"/>
            <w:hideMark/>
          </w:tcPr>
          <w:p w14:paraId="77D2E55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32,149,638</w:t>
            </w:r>
          </w:p>
        </w:tc>
        <w:tc>
          <w:tcPr>
            <w:tcW w:w="836" w:type="dxa"/>
            <w:shd w:val="clear" w:color="auto" w:fill="auto"/>
            <w:noWrap/>
            <w:vAlign w:val="center"/>
            <w:hideMark/>
          </w:tcPr>
          <w:p w14:paraId="70B4C05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27,562,727</w:t>
            </w:r>
          </w:p>
        </w:tc>
        <w:tc>
          <w:tcPr>
            <w:tcW w:w="836" w:type="dxa"/>
            <w:shd w:val="clear" w:color="auto" w:fill="auto"/>
            <w:noWrap/>
            <w:vAlign w:val="center"/>
            <w:hideMark/>
          </w:tcPr>
          <w:p w14:paraId="6144FC43"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310,273,632</w:t>
            </w:r>
          </w:p>
        </w:tc>
        <w:tc>
          <w:tcPr>
            <w:tcW w:w="836" w:type="dxa"/>
            <w:shd w:val="clear" w:color="auto" w:fill="auto"/>
            <w:noWrap/>
            <w:vAlign w:val="center"/>
            <w:hideMark/>
          </w:tcPr>
          <w:p w14:paraId="2E8E8B0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98,806,068</w:t>
            </w:r>
          </w:p>
        </w:tc>
      </w:tr>
      <w:tr w:rsidR="00AA3D42" w:rsidRPr="002E0CC2" w14:paraId="54207454" w14:textId="77777777" w:rsidTr="005E2A35">
        <w:trPr>
          <w:trHeight w:val="510"/>
          <w:jc w:val="center"/>
        </w:trPr>
        <w:tc>
          <w:tcPr>
            <w:tcW w:w="1691" w:type="dxa"/>
            <w:shd w:val="clear" w:color="auto" w:fill="auto"/>
            <w:noWrap/>
            <w:vAlign w:val="center"/>
            <w:hideMark/>
          </w:tcPr>
          <w:p w14:paraId="5B46ABD9"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14:paraId="413B851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236D945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0</w:t>
            </w:r>
          </w:p>
        </w:tc>
        <w:tc>
          <w:tcPr>
            <w:tcW w:w="836" w:type="dxa"/>
            <w:shd w:val="clear" w:color="auto" w:fill="auto"/>
            <w:noWrap/>
            <w:vAlign w:val="center"/>
            <w:hideMark/>
          </w:tcPr>
          <w:p w14:paraId="3DE12819"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10,000,000</w:t>
            </w:r>
          </w:p>
        </w:tc>
        <w:tc>
          <w:tcPr>
            <w:tcW w:w="836" w:type="dxa"/>
            <w:shd w:val="clear" w:color="auto" w:fill="auto"/>
            <w:noWrap/>
            <w:vAlign w:val="center"/>
            <w:hideMark/>
          </w:tcPr>
          <w:p w14:paraId="01CC140A"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52,333,754</w:t>
            </w:r>
          </w:p>
        </w:tc>
        <w:tc>
          <w:tcPr>
            <w:tcW w:w="836" w:type="dxa"/>
            <w:shd w:val="clear" w:color="auto" w:fill="auto"/>
            <w:noWrap/>
            <w:vAlign w:val="center"/>
            <w:hideMark/>
          </w:tcPr>
          <w:p w14:paraId="0D2965A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56,543,661</w:t>
            </w:r>
          </w:p>
        </w:tc>
        <w:tc>
          <w:tcPr>
            <w:tcW w:w="836" w:type="dxa"/>
            <w:shd w:val="clear" w:color="auto" w:fill="auto"/>
            <w:noWrap/>
            <w:vAlign w:val="center"/>
            <w:hideMark/>
          </w:tcPr>
          <w:p w14:paraId="082D7CF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6,972,831</w:t>
            </w:r>
          </w:p>
        </w:tc>
      </w:tr>
      <w:tr w:rsidR="00AA3D42" w:rsidRPr="002E0CC2" w14:paraId="7FA08FF3" w14:textId="77777777" w:rsidTr="005E2A35">
        <w:trPr>
          <w:trHeight w:val="345"/>
          <w:jc w:val="center"/>
        </w:trPr>
        <w:tc>
          <w:tcPr>
            <w:tcW w:w="1691" w:type="dxa"/>
            <w:shd w:val="clear" w:color="auto" w:fill="auto"/>
            <w:noWrap/>
            <w:vAlign w:val="center"/>
            <w:hideMark/>
          </w:tcPr>
          <w:p w14:paraId="7C1B8C36"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 xml:space="preserve">Participaciones y Aportaciones </w:t>
            </w:r>
          </w:p>
        </w:tc>
        <w:tc>
          <w:tcPr>
            <w:tcW w:w="891" w:type="dxa"/>
            <w:shd w:val="clear" w:color="auto" w:fill="auto"/>
            <w:noWrap/>
            <w:vAlign w:val="center"/>
            <w:hideMark/>
          </w:tcPr>
          <w:p w14:paraId="47DEFACA"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1,515,440,318</w:t>
            </w:r>
          </w:p>
        </w:tc>
        <w:tc>
          <w:tcPr>
            <w:tcW w:w="836" w:type="dxa"/>
            <w:shd w:val="clear" w:color="auto" w:fill="auto"/>
            <w:noWrap/>
            <w:vAlign w:val="center"/>
            <w:hideMark/>
          </w:tcPr>
          <w:p w14:paraId="5047E4E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1,632,842,887</w:t>
            </w:r>
          </w:p>
        </w:tc>
        <w:tc>
          <w:tcPr>
            <w:tcW w:w="836" w:type="dxa"/>
            <w:shd w:val="clear" w:color="auto" w:fill="auto"/>
            <w:noWrap/>
            <w:vAlign w:val="center"/>
            <w:hideMark/>
          </w:tcPr>
          <w:p w14:paraId="71267E9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1,967,418,725</w:t>
            </w:r>
          </w:p>
        </w:tc>
        <w:tc>
          <w:tcPr>
            <w:tcW w:w="836" w:type="dxa"/>
            <w:shd w:val="clear" w:color="auto" w:fill="auto"/>
            <w:noWrap/>
            <w:vAlign w:val="center"/>
            <w:hideMark/>
          </w:tcPr>
          <w:p w14:paraId="6CD3318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2,130,341,404</w:t>
            </w:r>
          </w:p>
        </w:tc>
        <w:tc>
          <w:tcPr>
            <w:tcW w:w="836" w:type="dxa"/>
            <w:shd w:val="clear" w:color="auto" w:fill="auto"/>
            <w:noWrap/>
            <w:vAlign w:val="center"/>
            <w:hideMark/>
          </w:tcPr>
          <w:p w14:paraId="7D21188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2,704,159,864</w:t>
            </w:r>
          </w:p>
        </w:tc>
        <w:tc>
          <w:tcPr>
            <w:tcW w:w="836" w:type="dxa"/>
            <w:shd w:val="clear" w:color="auto" w:fill="auto"/>
            <w:noWrap/>
            <w:vAlign w:val="center"/>
            <w:hideMark/>
          </w:tcPr>
          <w:p w14:paraId="79B714A9"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2,793,711,442</w:t>
            </w:r>
          </w:p>
        </w:tc>
      </w:tr>
      <w:tr w:rsidR="00AA3D42" w:rsidRPr="002E0CC2" w14:paraId="7E451158" w14:textId="77777777" w:rsidTr="005E2A35">
        <w:trPr>
          <w:trHeight w:val="315"/>
          <w:jc w:val="center"/>
        </w:trPr>
        <w:tc>
          <w:tcPr>
            <w:tcW w:w="1691" w:type="dxa"/>
            <w:shd w:val="clear" w:color="auto" w:fill="auto"/>
            <w:noWrap/>
            <w:vAlign w:val="center"/>
            <w:hideMark/>
          </w:tcPr>
          <w:p w14:paraId="4DBF6785"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14:paraId="42F3381A"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07BC0EA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548B8C1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088928C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10EDB0B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9A0F0D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r>
      <w:tr w:rsidR="00AA3D42" w:rsidRPr="002E0CC2" w14:paraId="0FA8EE99" w14:textId="77777777" w:rsidTr="005E2A35">
        <w:trPr>
          <w:trHeight w:val="315"/>
          <w:jc w:val="center"/>
        </w:trPr>
        <w:tc>
          <w:tcPr>
            <w:tcW w:w="1691" w:type="dxa"/>
            <w:shd w:val="clear" w:color="auto" w:fill="auto"/>
            <w:noWrap/>
            <w:vAlign w:val="center"/>
            <w:hideMark/>
          </w:tcPr>
          <w:p w14:paraId="3AB74C9D"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14:paraId="2502EF6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7CA68652"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1B7C046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7FC2C78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6E6E530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1973EF1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r>
      <w:tr w:rsidR="00AA3D42" w:rsidRPr="002E0CC2" w14:paraId="73EF4342" w14:textId="77777777" w:rsidTr="005E2A35">
        <w:trPr>
          <w:trHeight w:val="675"/>
          <w:jc w:val="center"/>
        </w:trPr>
        <w:tc>
          <w:tcPr>
            <w:tcW w:w="1691" w:type="dxa"/>
            <w:shd w:val="clear" w:color="auto" w:fill="auto"/>
            <w:noWrap/>
            <w:vAlign w:val="center"/>
            <w:hideMark/>
          </w:tcPr>
          <w:p w14:paraId="5ED62CDC" w14:textId="77777777" w:rsidR="00AA3D42" w:rsidRPr="002E0CC2" w:rsidRDefault="00AA3D42" w:rsidP="005E2A35">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2.</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Gasto Etiquetado (2=A+B+C+D+E+F+G+H+I)</w:t>
            </w:r>
          </w:p>
        </w:tc>
        <w:tc>
          <w:tcPr>
            <w:tcW w:w="891" w:type="dxa"/>
            <w:shd w:val="clear" w:color="auto" w:fill="auto"/>
            <w:noWrap/>
            <w:vAlign w:val="center"/>
            <w:hideMark/>
          </w:tcPr>
          <w:p w14:paraId="5983E67C"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12,964,014,015</w:t>
            </w:r>
          </w:p>
        </w:tc>
        <w:tc>
          <w:tcPr>
            <w:tcW w:w="836" w:type="dxa"/>
            <w:shd w:val="clear" w:color="auto" w:fill="auto"/>
            <w:noWrap/>
            <w:vAlign w:val="center"/>
            <w:hideMark/>
          </w:tcPr>
          <w:p w14:paraId="342E18D6"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12,262,850,650</w:t>
            </w:r>
          </w:p>
        </w:tc>
        <w:tc>
          <w:tcPr>
            <w:tcW w:w="836" w:type="dxa"/>
            <w:shd w:val="clear" w:color="auto" w:fill="auto"/>
            <w:noWrap/>
            <w:vAlign w:val="center"/>
            <w:hideMark/>
          </w:tcPr>
          <w:p w14:paraId="677B91E5"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12,396,046,949</w:t>
            </w:r>
          </w:p>
        </w:tc>
        <w:tc>
          <w:tcPr>
            <w:tcW w:w="836" w:type="dxa"/>
            <w:shd w:val="clear" w:color="auto" w:fill="auto"/>
            <w:noWrap/>
            <w:vAlign w:val="center"/>
            <w:hideMark/>
          </w:tcPr>
          <w:p w14:paraId="0A98FB53"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13,553,742,470</w:t>
            </w:r>
          </w:p>
        </w:tc>
        <w:tc>
          <w:tcPr>
            <w:tcW w:w="836" w:type="dxa"/>
            <w:shd w:val="clear" w:color="auto" w:fill="auto"/>
            <w:noWrap/>
            <w:vAlign w:val="center"/>
            <w:hideMark/>
          </w:tcPr>
          <w:p w14:paraId="29EE5FAB"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12,934,379,313</w:t>
            </w:r>
          </w:p>
        </w:tc>
        <w:tc>
          <w:tcPr>
            <w:tcW w:w="836" w:type="dxa"/>
            <w:shd w:val="clear" w:color="auto" w:fill="auto"/>
            <w:noWrap/>
            <w:vAlign w:val="center"/>
            <w:hideMark/>
          </w:tcPr>
          <w:p w14:paraId="38D8E5A8"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12,536,026,073</w:t>
            </w:r>
          </w:p>
        </w:tc>
      </w:tr>
      <w:tr w:rsidR="00AA3D42" w:rsidRPr="002E0CC2" w14:paraId="1A0DBFEF" w14:textId="77777777" w:rsidTr="005E2A35">
        <w:trPr>
          <w:trHeight w:val="345"/>
          <w:jc w:val="center"/>
        </w:trPr>
        <w:tc>
          <w:tcPr>
            <w:tcW w:w="1691" w:type="dxa"/>
            <w:shd w:val="clear" w:color="auto" w:fill="auto"/>
            <w:noWrap/>
            <w:vAlign w:val="center"/>
            <w:hideMark/>
          </w:tcPr>
          <w:p w14:paraId="3CF42407"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A.</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Personales</w:t>
            </w:r>
          </w:p>
        </w:tc>
        <w:tc>
          <w:tcPr>
            <w:tcW w:w="891" w:type="dxa"/>
            <w:shd w:val="clear" w:color="auto" w:fill="auto"/>
            <w:noWrap/>
            <w:vAlign w:val="center"/>
            <w:hideMark/>
          </w:tcPr>
          <w:p w14:paraId="7D16ED7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4,474,227</w:t>
            </w:r>
          </w:p>
        </w:tc>
        <w:tc>
          <w:tcPr>
            <w:tcW w:w="836" w:type="dxa"/>
            <w:shd w:val="clear" w:color="auto" w:fill="auto"/>
            <w:noWrap/>
            <w:vAlign w:val="center"/>
            <w:hideMark/>
          </w:tcPr>
          <w:p w14:paraId="73A1E98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704,576</w:t>
            </w:r>
          </w:p>
        </w:tc>
        <w:tc>
          <w:tcPr>
            <w:tcW w:w="836" w:type="dxa"/>
            <w:shd w:val="clear" w:color="auto" w:fill="auto"/>
            <w:noWrap/>
            <w:vAlign w:val="center"/>
            <w:hideMark/>
          </w:tcPr>
          <w:p w14:paraId="258858C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180,000</w:t>
            </w:r>
          </w:p>
        </w:tc>
        <w:tc>
          <w:tcPr>
            <w:tcW w:w="836" w:type="dxa"/>
            <w:shd w:val="clear" w:color="auto" w:fill="auto"/>
            <w:noWrap/>
            <w:vAlign w:val="center"/>
            <w:hideMark/>
          </w:tcPr>
          <w:p w14:paraId="7AC28C7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365,800</w:t>
            </w:r>
          </w:p>
        </w:tc>
        <w:tc>
          <w:tcPr>
            <w:tcW w:w="836" w:type="dxa"/>
            <w:shd w:val="clear" w:color="auto" w:fill="auto"/>
            <w:noWrap/>
            <w:vAlign w:val="center"/>
            <w:hideMark/>
          </w:tcPr>
          <w:p w14:paraId="149326E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6C47D04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r>
      <w:tr w:rsidR="00AA3D42" w:rsidRPr="002E0CC2" w14:paraId="5BCDCE91" w14:textId="77777777" w:rsidTr="005E2A35">
        <w:trPr>
          <w:trHeight w:val="345"/>
          <w:jc w:val="center"/>
        </w:trPr>
        <w:tc>
          <w:tcPr>
            <w:tcW w:w="1691" w:type="dxa"/>
            <w:shd w:val="clear" w:color="auto" w:fill="auto"/>
            <w:noWrap/>
            <w:vAlign w:val="center"/>
            <w:hideMark/>
          </w:tcPr>
          <w:p w14:paraId="1C88F7C9"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B.</w:t>
            </w:r>
            <w:r w:rsidRPr="002E0CC2">
              <w:rPr>
                <w:color w:val="000000"/>
                <w:sz w:val="12"/>
                <w:szCs w:val="12"/>
                <w:lang w:val="es-MX" w:eastAsia="es-MX"/>
              </w:rPr>
              <w:t xml:space="preserve">     </w:t>
            </w:r>
            <w:r w:rsidRPr="002E0CC2">
              <w:rPr>
                <w:rFonts w:ascii="Arial" w:hAnsi="Arial" w:cs="Arial"/>
                <w:color w:val="000000"/>
                <w:sz w:val="12"/>
                <w:szCs w:val="12"/>
                <w:lang w:val="es-MX" w:eastAsia="es-MX"/>
              </w:rPr>
              <w:t>Materiales y Suministros</w:t>
            </w:r>
          </w:p>
        </w:tc>
        <w:tc>
          <w:tcPr>
            <w:tcW w:w="891" w:type="dxa"/>
            <w:shd w:val="clear" w:color="auto" w:fill="auto"/>
            <w:noWrap/>
            <w:vAlign w:val="center"/>
            <w:hideMark/>
          </w:tcPr>
          <w:p w14:paraId="4D96AA3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15,116,350</w:t>
            </w:r>
          </w:p>
        </w:tc>
        <w:tc>
          <w:tcPr>
            <w:tcW w:w="836" w:type="dxa"/>
            <w:shd w:val="clear" w:color="auto" w:fill="auto"/>
            <w:noWrap/>
            <w:vAlign w:val="center"/>
            <w:hideMark/>
          </w:tcPr>
          <w:p w14:paraId="280C014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33,558,645</w:t>
            </w:r>
          </w:p>
        </w:tc>
        <w:tc>
          <w:tcPr>
            <w:tcW w:w="836" w:type="dxa"/>
            <w:shd w:val="clear" w:color="auto" w:fill="auto"/>
            <w:noWrap/>
            <w:vAlign w:val="center"/>
            <w:hideMark/>
          </w:tcPr>
          <w:p w14:paraId="6F99D4B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28,311,320</w:t>
            </w:r>
          </w:p>
        </w:tc>
        <w:tc>
          <w:tcPr>
            <w:tcW w:w="836" w:type="dxa"/>
            <w:shd w:val="clear" w:color="auto" w:fill="auto"/>
            <w:noWrap/>
            <w:vAlign w:val="center"/>
            <w:hideMark/>
          </w:tcPr>
          <w:p w14:paraId="7B8234B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28,334,386</w:t>
            </w:r>
          </w:p>
        </w:tc>
        <w:tc>
          <w:tcPr>
            <w:tcW w:w="836" w:type="dxa"/>
            <w:shd w:val="clear" w:color="auto" w:fill="auto"/>
            <w:noWrap/>
            <w:vAlign w:val="center"/>
            <w:hideMark/>
          </w:tcPr>
          <w:p w14:paraId="4D2E22C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35,054,361</w:t>
            </w:r>
          </w:p>
        </w:tc>
        <w:tc>
          <w:tcPr>
            <w:tcW w:w="836" w:type="dxa"/>
            <w:shd w:val="clear" w:color="auto" w:fill="auto"/>
            <w:noWrap/>
            <w:vAlign w:val="center"/>
            <w:hideMark/>
          </w:tcPr>
          <w:p w14:paraId="7DF930B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36,590,520</w:t>
            </w:r>
          </w:p>
        </w:tc>
      </w:tr>
      <w:tr w:rsidR="00AA3D42" w:rsidRPr="002E0CC2" w14:paraId="173E429E" w14:textId="77777777" w:rsidTr="005E2A35">
        <w:trPr>
          <w:trHeight w:val="345"/>
          <w:jc w:val="center"/>
        </w:trPr>
        <w:tc>
          <w:tcPr>
            <w:tcW w:w="1691" w:type="dxa"/>
            <w:shd w:val="clear" w:color="auto" w:fill="auto"/>
            <w:noWrap/>
            <w:vAlign w:val="center"/>
            <w:hideMark/>
          </w:tcPr>
          <w:p w14:paraId="017A699F"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C.</w:t>
            </w:r>
            <w:r w:rsidRPr="002E0CC2">
              <w:rPr>
                <w:color w:val="000000"/>
                <w:sz w:val="12"/>
                <w:szCs w:val="12"/>
                <w:lang w:val="es-MX" w:eastAsia="es-MX"/>
              </w:rPr>
              <w:t xml:space="preserve">    </w:t>
            </w:r>
            <w:r w:rsidRPr="002E0CC2">
              <w:rPr>
                <w:rFonts w:ascii="Arial" w:hAnsi="Arial" w:cs="Arial"/>
                <w:color w:val="000000"/>
                <w:sz w:val="12"/>
                <w:szCs w:val="12"/>
                <w:lang w:val="es-MX" w:eastAsia="es-MX"/>
              </w:rPr>
              <w:t>Servicios Generales</w:t>
            </w:r>
          </w:p>
        </w:tc>
        <w:tc>
          <w:tcPr>
            <w:tcW w:w="891" w:type="dxa"/>
            <w:shd w:val="clear" w:color="auto" w:fill="auto"/>
            <w:noWrap/>
            <w:vAlign w:val="center"/>
            <w:hideMark/>
          </w:tcPr>
          <w:p w14:paraId="50329D2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39,888,302</w:t>
            </w:r>
          </w:p>
        </w:tc>
        <w:tc>
          <w:tcPr>
            <w:tcW w:w="836" w:type="dxa"/>
            <w:shd w:val="clear" w:color="auto" w:fill="auto"/>
            <w:noWrap/>
            <w:vAlign w:val="center"/>
            <w:hideMark/>
          </w:tcPr>
          <w:p w14:paraId="40C4ABD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46,888,894</w:t>
            </w:r>
          </w:p>
        </w:tc>
        <w:tc>
          <w:tcPr>
            <w:tcW w:w="836" w:type="dxa"/>
            <w:shd w:val="clear" w:color="auto" w:fill="auto"/>
            <w:noWrap/>
            <w:vAlign w:val="center"/>
            <w:hideMark/>
          </w:tcPr>
          <w:p w14:paraId="5400B93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41,211,806</w:t>
            </w:r>
          </w:p>
        </w:tc>
        <w:tc>
          <w:tcPr>
            <w:tcW w:w="836" w:type="dxa"/>
            <w:shd w:val="clear" w:color="auto" w:fill="auto"/>
            <w:noWrap/>
            <w:vAlign w:val="center"/>
            <w:hideMark/>
          </w:tcPr>
          <w:p w14:paraId="3ACE144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58,346,635</w:t>
            </w:r>
          </w:p>
        </w:tc>
        <w:tc>
          <w:tcPr>
            <w:tcW w:w="836" w:type="dxa"/>
            <w:shd w:val="clear" w:color="auto" w:fill="auto"/>
            <w:noWrap/>
            <w:vAlign w:val="center"/>
            <w:hideMark/>
          </w:tcPr>
          <w:p w14:paraId="0EEBA79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47,001,639</w:t>
            </w:r>
          </w:p>
        </w:tc>
        <w:tc>
          <w:tcPr>
            <w:tcW w:w="836" w:type="dxa"/>
            <w:shd w:val="clear" w:color="auto" w:fill="auto"/>
            <w:noWrap/>
            <w:vAlign w:val="center"/>
            <w:hideMark/>
          </w:tcPr>
          <w:p w14:paraId="01899C4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56,535,310</w:t>
            </w:r>
          </w:p>
        </w:tc>
      </w:tr>
      <w:tr w:rsidR="00AA3D42" w:rsidRPr="002E0CC2" w14:paraId="0FE72A55" w14:textId="77777777" w:rsidTr="005E2A35">
        <w:trPr>
          <w:trHeight w:val="675"/>
          <w:jc w:val="center"/>
        </w:trPr>
        <w:tc>
          <w:tcPr>
            <w:tcW w:w="1691" w:type="dxa"/>
            <w:shd w:val="clear" w:color="auto" w:fill="auto"/>
            <w:noWrap/>
            <w:vAlign w:val="center"/>
            <w:hideMark/>
          </w:tcPr>
          <w:p w14:paraId="4A8E588D"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lastRenderedPageBreak/>
              <w:t>D.</w:t>
            </w:r>
            <w:r w:rsidRPr="002E0CC2">
              <w:rPr>
                <w:color w:val="000000"/>
                <w:sz w:val="12"/>
                <w:szCs w:val="12"/>
                <w:lang w:val="es-MX" w:eastAsia="es-MX"/>
              </w:rPr>
              <w:t xml:space="preserve">    </w:t>
            </w:r>
            <w:r w:rsidRPr="002E0CC2">
              <w:rPr>
                <w:rFonts w:ascii="Arial" w:hAnsi="Arial" w:cs="Arial"/>
                <w:color w:val="000000"/>
                <w:sz w:val="12"/>
                <w:szCs w:val="12"/>
                <w:lang w:val="es-MX" w:eastAsia="es-MX"/>
              </w:rPr>
              <w:t>Transferencias, Asignaciones, Subsidios y Otras Ayudas</w:t>
            </w:r>
          </w:p>
        </w:tc>
        <w:tc>
          <w:tcPr>
            <w:tcW w:w="891" w:type="dxa"/>
            <w:shd w:val="clear" w:color="auto" w:fill="auto"/>
            <w:noWrap/>
            <w:vAlign w:val="center"/>
            <w:hideMark/>
          </w:tcPr>
          <w:p w14:paraId="51E8048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9,736,349,635</w:t>
            </w:r>
          </w:p>
        </w:tc>
        <w:tc>
          <w:tcPr>
            <w:tcW w:w="836" w:type="dxa"/>
            <w:shd w:val="clear" w:color="auto" w:fill="auto"/>
            <w:noWrap/>
            <w:vAlign w:val="center"/>
            <w:hideMark/>
          </w:tcPr>
          <w:p w14:paraId="4D03B053"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9,597,826,009</w:t>
            </w:r>
          </w:p>
        </w:tc>
        <w:tc>
          <w:tcPr>
            <w:tcW w:w="836" w:type="dxa"/>
            <w:shd w:val="clear" w:color="auto" w:fill="auto"/>
            <w:noWrap/>
            <w:vAlign w:val="center"/>
            <w:hideMark/>
          </w:tcPr>
          <w:p w14:paraId="219039D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9,657,957,277</w:t>
            </w:r>
          </w:p>
        </w:tc>
        <w:tc>
          <w:tcPr>
            <w:tcW w:w="836" w:type="dxa"/>
            <w:shd w:val="clear" w:color="auto" w:fill="auto"/>
            <w:noWrap/>
            <w:vAlign w:val="center"/>
            <w:hideMark/>
          </w:tcPr>
          <w:p w14:paraId="3507D73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10,031,118,215</w:t>
            </w:r>
          </w:p>
        </w:tc>
        <w:tc>
          <w:tcPr>
            <w:tcW w:w="836" w:type="dxa"/>
            <w:shd w:val="clear" w:color="auto" w:fill="auto"/>
            <w:noWrap/>
            <w:vAlign w:val="center"/>
            <w:hideMark/>
          </w:tcPr>
          <w:p w14:paraId="08D7C787"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10,259,267,061</w:t>
            </w:r>
          </w:p>
        </w:tc>
        <w:tc>
          <w:tcPr>
            <w:tcW w:w="836" w:type="dxa"/>
            <w:shd w:val="clear" w:color="auto" w:fill="auto"/>
            <w:noWrap/>
            <w:vAlign w:val="center"/>
            <w:hideMark/>
          </w:tcPr>
          <w:p w14:paraId="590E2D2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9,950,270,248</w:t>
            </w:r>
          </w:p>
        </w:tc>
      </w:tr>
      <w:tr w:rsidR="00AA3D42" w:rsidRPr="002E0CC2" w14:paraId="3906780C" w14:textId="77777777" w:rsidTr="005E2A35">
        <w:trPr>
          <w:trHeight w:val="510"/>
          <w:jc w:val="center"/>
        </w:trPr>
        <w:tc>
          <w:tcPr>
            <w:tcW w:w="1691" w:type="dxa"/>
            <w:shd w:val="clear" w:color="auto" w:fill="auto"/>
            <w:noWrap/>
            <w:vAlign w:val="center"/>
            <w:hideMark/>
          </w:tcPr>
          <w:p w14:paraId="324FA757"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E.</w:t>
            </w:r>
            <w:r w:rsidRPr="002E0CC2">
              <w:rPr>
                <w:color w:val="000000"/>
                <w:sz w:val="12"/>
                <w:szCs w:val="12"/>
                <w:lang w:val="es-MX" w:eastAsia="es-MX"/>
              </w:rPr>
              <w:t xml:space="preserve">     </w:t>
            </w:r>
            <w:r w:rsidRPr="002E0CC2">
              <w:rPr>
                <w:rFonts w:ascii="Arial" w:hAnsi="Arial" w:cs="Arial"/>
                <w:color w:val="000000"/>
                <w:sz w:val="12"/>
                <w:szCs w:val="12"/>
                <w:lang w:val="es-MX" w:eastAsia="es-MX"/>
              </w:rPr>
              <w:t>Bienes Muebles, Inmuebles e Intangibles</w:t>
            </w:r>
          </w:p>
        </w:tc>
        <w:tc>
          <w:tcPr>
            <w:tcW w:w="891" w:type="dxa"/>
            <w:shd w:val="clear" w:color="auto" w:fill="auto"/>
            <w:noWrap/>
            <w:vAlign w:val="center"/>
            <w:hideMark/>
          </w:tcPr>
          <w:p w14:paraId="34D391B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151,053,952</w:t>
            </w:r>
          </w:p>
        </w:tc>
        <w:tc>
          <w:tcPr>
            <w:tcW w:w="836" w:type="dxa"/>
            <w:shd w:val="clear" w:color="auto" w:fill="auto"/>
            <w:noWrap/>
            <w:vAlign w:val="center"/>
            <w:hideMark/>
          </w:tcPr>
          <w:p w14:paraId="338AF76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68,430,652</w:t>
            </w:r>
          </w:p>
        </w:tc>
        <w:tc>
          <w:tcPr>
            <w:tcW w:w="836" w:type="dxa"/>
            <w:shd w:val="clear" w:color="auto" w:fill="auto"/>
            <w:noWrap/>
            <w:vAlign w:val="center"/>
            <w:hideMark/>
          </w:tcPr>
          <w:p w14:paraId="7541C19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49,748,632</w:t>
            </w:r>
          </w:p>
        </w:tc>
        <w:tc>
          <w:tcPr>
            <w:tcW w:w="836" w:type="dxa"/>
            <w:shd w:val="clear" w:color="auto" w:fill="auto"/>
            <w:noWrap/>
            <w:vAlign w:val="center"/>
            <w:hideMark/>
          </w:tcPr>
          <w:p w14:paraId="76ABDCBF"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34,743,845</w:t>
            </w:r>
          </w:p>
        </w:tc>
        <w:tc>
          <w:tcPr>
            <w:tcW w:w="836" w:type="dxa"/>
            <w:shd w:val="clear" w:color="auto" w:fill="auto"/>
            <w:noWrap/>
            <w:vAlign w:val="center"/>
            <w:hideMark/>
          </w:tcPr>
          <w:p w14:paraId="3A407C0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72,033,805</w:t>
            </w:r>
          </w:p>
        </w:tc>
        <w:tc>
          <w:tcPr>
            <w:tcW w:w="836" w:type="dxa"/>
            <w:shd w:val="clear" w:color="auto" w:fill="auto"/>
            <w:noWrap/>
            <w:vAlign w:val="center"/>
            <w:hideMark/>
          </w:tcPr>
          <w:p w14:paraId="56E20C8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58,711,439</w:t>
            </w:r>
          </w:p>
        </w:tc>
      </w:tr>
      <w:tr w:rsidR="00AA3D42" w:rsidRPr="002E0CC2" w14:paraId="10AEC5DD" w14:textId="77777777" w:rsidTr="005E2A35">
        <w:trPr>
          <w:trHeight w:val="345"/>
          <w:jc w:val="center"/>
        </w:trPr>
        <w:tc>
          <w:tcPr>
            <w:tcW w:w="1691" w:type="dxa"/>
            <w:shd w:val="clear" w:color="auto" w:fill="auto"/>
            <w:noWrap/>
            <w:vAlign w:val="center"/>
            <w:hideMark/>
          </w:tcPr>
          <w:p w14:paraId="48382D44"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F.</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Inversión Pública</w:t>
            </w:r>
          </w:p>
        </w:tc>
        <w:tc>
          <w:tcPr>
            <w:tcW w:w="891" w:type="dxa"/>
            <w:shd w:val="clear" w:color="auto" w:fill="auto"/>
            <w:noWrap/>
            <w:vAlign w:val="center"/>
            <w:hideMark/>
          </w:tcPr>
          <w:p w14:paraId="2E2D596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1,206,803,851</w:t>
            </w:r>
          </w:p>
        </w:tc>
        <w:tc>
          <w:tcPr>
            <w:tcW w:w="836" w:type="dxa"/>
            <w:shd w:val="clear" w:color="auto" w:fill="auto"/>
            <w:noWrap/>
            <w:vAlign w:val="center"/>
            <w:hideMark/>
          </w:tcPr>
          <w:p w14:paraId="1CCC8EA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745,861,262</w:t>
            </w:r>
          </w:p>
        </w:tc>
        <w:tc>
          <w:tcPr>
            <w:tcW w:w="836" w:type="dxa"/>
            <w:shd w:val="clear" w:color="auto" w:fill="auto"/>
            <w:noWrap/>
            <w:vAlign w:val="center"/>
            <w:hideMark/>
          </w:tcPr>
          <w:p w14:paraId="6E887CC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784,308,931</w:t>
            </w:r>
          </w:p>
        </w:tc>
        <w:tc>
          <w:tcPr>
            <w:tcW w:w="836" w:type="dxa"/>
            <w:shd w:val="clear" w:color="auto" w:fill="auto"/>
            <w:noWrap/>
            <w:vAlign w:val="center"/>
            <w:hideMark/>
          </w:tcPr>
          <w:p w14:paraId="052779F2"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1,266,570,617</w:t>
            </w:r>
          </w:p>
        </w:tc>
        <w:tc>
          <w:tcPr>
            <w:tcW w:w="836" w:type="dxa"/>
            <w:shd w:val="clear" w:color="auto" w:fill="auto"/>
            <w:noWrap/>
            <w:vAlign w:val="center"/>
            <w:hideMark/>
          </w:tcPr>
          <w:p w14:paraId="567DED7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898,107,271</w:t>
            </w:r>
          </w:p>
        </w:tc>
        <w:tc>
          <w:tcPr>
            <w:tcW w:w="836" w:type="dxa"/>
            <w:shd w:val="clear" w:color="auto" w:fill="auto"/>
            <w:noWrap/>
            <w:vAlign w:val="center"/>
            <w:hideMark/>
          </w:tcPr>
          <w:p w14:paraId="380AC83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685,886,194</w:t>
            </w:r>
          </w:p>
        </w:tc>
      </w:tr>
      <w:tr w:rsidR="00AA3D42" w:rsidRPr="002E0CC2" w14:paraId="5D275A24" w14:textId="77777777" w:rsidTr="005E2A35">
        <w:trPr>
          <w:trHeight w:val="510"/>
          <w:jc w:val="center"/>
        </w:trPr>
        <w:tc>
          <w:tcPr>
            <w:tcW w:w="1691" w:type="dxa"/>
            <w:shd w:val="clear" w:color="auto" w:fill="auto"/>
            <w:noWrap/>
            <w:vAlign w:val="center"/>
            <w:hideMark/>
          </w:tcPr>
          <w:p w14:paraId="1BE95C65"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G.</w:t>
            </w:r>
            <w:r w:rsidRPr="002E0CC2">
              <w:rPr>
                <w:color w:val="000000"/>
                <w:sz w:val="12"/>
                <w:szCs w:val="12"/>
                <w:lang w:val="es-MX" w:eastAsia="es-MX"/>
              </w:rPr>
              <w:t xml:space="preserve">    </w:t>
            </w:r>
            <w:r w:rsidRPr="002E0CC2">
              <w:rPr>
                <w:rFonts w:ascii="Arial" w:hAnsi="Arial" w:cs="Arial"/>
                <w:color w:val="000000"/>
                <w:sz w:val="12"/>
                <w:szCs w:val="12"/>
                <w:lang w:val="es-MX" w:eastAsia="es-MX"/>
              </w:rPr>
              <w:t>Inversiones Financieras y Otras Provisiones</w:t>
            </w:r>
          </w:p>
        </w:tc>
        <w:tc>
          <w:tcPr>
            <w:tcW w:w="891" w:type="dxa"/>
            <w:shd w:val="clear" w:color="auto" w:fill="auto"/>
            <w:noWrap/>
            <w:vAlign w:val="center"/>
            <w:hideMark/>
          </w:tcPr>
          <w:p w14:paraId="628A4F8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135,838,469</w:t>
            </w:r>
          </w:p>
        </w:tc>
        <w:tc>
          <w:tcPr>
            <w:tcW w:w="836" w:type="dxa"/>
            <w:shd w:val="clear" w:color="auto" w:fill="auto"/>
            <w:noWrap/>
            <w:vAlign w:val="center"/>
            <w:hideMark/>
          </w:tcPr>
          <w:p w14:paraId="6F18E645"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95,091,383</w:t>
            </w:r>
          </w:p>
        </w:tc>
        <w:tc>
          <w:tcPr>
            <w:tcW w:w="836" w:type="dxa"/>
            <w:shd w:val="clear" w:color="auto" w:fill="auto"/>
            <w:noWrap/>
            <w:vAlign w:val="center"/>
            <w:hideMark/>
          </w:tcPr>
          <w:p w14:paraId="2946E02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41,896,362</w:t>
            </w:r>
          </w:p>
        </w:tc>
        <w:tc>
          <w:tcPr>
            <w:tcW w:w="836" w:type="dxa"/>
            <w:shd w:val="clear" w:color="auto" w:fill="auto"/>
            <w:noWrap/>
            <w:vAlign w:val="center"/>
            <w:hideMark/>
          </w:tcPr>
          <w:p w14:paraId="1F12E29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130,956,051</w:t>
            </w:r>
          </w:p>
        </w:tc>
        <w:tc>
          <w:tcPr>
            <w:tcW w:w="836" w:type="dxa"/>
            <w:shd w:val="clear" w:color="auto" w:fill="auto"/>
            <w:noWrap/>
            <w:vAlign w:val="center"/>
            <w:hideMark/>
          </w:tcPr>
          <w:p w14:paraId="328C405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14,207,474</w:t>
            </w:r>
          </w:p>
        </w:tc>
        <w:tc>
          <w:tcPr>
            <w:tcW w:w="836" w:type="dxa"/>
            <w:shd w:val="clear" w:color="auto" w:fill="auto"/>
            <w:noWrap/>
            <w:vAlign w:val="center"/>
            <w:hideMark/>
          </w:tcPr>
          <w:p w14:paraId="498DBA0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4,242,268</w:t>
            </w:r>
          </w:p>
        </w:tc>
      </w:tr>
      <w:tr w:rsidR="00AA3D42" w:rsidRPr="002E0CC2" w14:paraId="74DE9E48" w14:textId="77777777" w:rsidTr="005E2A35">
        <w:trPr>
          <w:trHeight w:val="345"/>
          <w:jc w:val="center"/>
        </w:trPr>
        <w:tc>
          <w:tcPr>
            <w:tcW w:w="1691" w:type="dxa"/>
            <w:shd w:val="clear" w:color="auto" w:fill="auto"/>
            <w:noWrap/>
            <w:vAlign w:val="center"/>
            <w:hideMark/>
          </w:tcPr>
          <w:p w14:paraId="49B9F39D"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H.</w:t>
            </w:r>
            <w:r w:rsidRPr="002E0CC2">
              <w:rPr>
                <w:color w:val="000000"/>
                <w:sz w:val="12"/>
                <w:szCs w:val="12"/>
                <w:lang w:val="es-MX" w:eastAsia="es-MX"/>
              </w:rPr>
              <w:t xml:space="preserve">    </w:t>
            </w:r>
            <w:r w:rsidRPr="002E0CC2">
              <w:rPr>
                <w:rFonts w:ascii="Arial" w:hAnsi="Arial" w:cs="Arial"/>
                <w:color w:val="000000"/>
                <w:sz w:val="12"/>
                <w:szCs w:val="12"/>
                <w:lang w:val="es-MX" w:eastAsia="es-MX"/>
              </w:rPr>
              <w:t>Participaciones y Aportaciones</w:t>
            </w:r>
          </w:p>
        </w:tc>
        <w:tc>
          <w:tcPr>
            <w:tcW w:w="891" w:type="dxa"/>
            <w:shd w:val="clear" w:color="auto" w:fill="auto"/>
            <w:noWrap/>
            <w:vAlign w:val="center"/>
            <w:hideMark/>
          </w:tcPr>
          <w:p w14:paraId="7DC3B462"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1,674,489,229</w:t>
            </w:r>
          </w:p>
        </w:tc>
        <w:tc>
          <w:tcPr>
            <w:tcW w:w="836" w:type="dxa"/>
            <w:shd w:val="clear" w:color="auto" w:fill="auto"/>
            <w:noWrap/>
            <w:vAlign w:val="center"/>
            <w:hideMark/>
          </w:tcPr>
          <w:p w14:paraId="57EC1873"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1,674,489,229</w:t>
            </w:r>
          </w:p>
        </w:tc>
        <w:tc>
          <w:tcPr>
            <w:tcW w:w="836" w:type="dxa"/>
            <w:shd w:val="clear" w:color="auto" w:fill="auto"/>
            <w:noWrap/>
            <w:vAlign w:val="center"/>
            <w:hideMark/>
          </w:tcPr>
          <w:p w14:paraId="1772CF9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1,792,432,621</w:t>
            </w:r>
          </w:p>
        </w:tc>
        <w:tc>
          <w:tcPr>
            <w:tcW w:w="836" w:type="dxa"/>
            <w:shd w:val="clear" w:color="auto" w:fill="auto"/>
            <w:noWrap/>
            <w:vAlign w:val="center"/>
            <w:hideMark/>
          </w:tcPr>
          <w:p w14:paraId="2A91B4B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2,003,306,923</w:t>
            </w:r>
          </w:p>
        </w:tc>
        <w:tc>
          <w:tcPr>
            <w:tcW w:w="836" w:type="dxa"/>
            <w:shd w:val="clear" w:color="auto" w:fill="auto"/>
            <w:noWrap/>
            <w:vAlign w:val="center"/>
            <w:hideMark/>
          </w:tcPr>
          <w:p w14:paraId="32CE651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1,608,707,702</w:t>
            </w:r>
          </w:p>
        </w:tc>
        <w:tc>
          <w:tcPr>
            <w:tcW w:w="836" w:type="dxa"/>
            <w:shd w:val="clear" w:color="auto" w:fill="auto"/>
            <w:noWrap/>
            <w:vAlign w:val="center"/>
            <w:hideMark/>
          </w:tcPr>
          <w:p w14:paraId="3308D4F6"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1,743,790,094</w:t>
            </w:r>
          </w:p>
        </w:tc>
      </w:tr>
      <w:tr w:rsidR="00AA3D42" w:rsidRPr="002E0CC2" w14:paraId="30FBB9BD" w14:textId="77777777" w:rsidTr="005E2A35">
        <w:trPr>
          <w:trHeight w:val="315"/>
          <w:jc w:val="center"/>
        </w:trPr>
        <w:tc>
          <w:tcPr>
            <w:tcW w:w="1691" w:type="dxa"/>
            <w:shd w:val="clear" w:color="auto" w:fill="auto"/>
            <w:noWrap/>
            <w:vAlign w:val="center"/>
            <w:hideMark/>
          </w:tcPr>
          <w:p w14:paraId="1B6B23D9"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I.</w:t>
            </w:r>
            <w:r w:rsidRPr="002E0CC2">
              <w:rPr>
                <w:color w:val="000000"/>
                <w:sz w:val="12"/>
                <w:szCs w:val="12"/>
                <w:lang w:val="es-MX" w:eastAsia="es-MX"/>
              </w:rPr>
              <w:t xml:space="preserve">      </w:t>
            </w:r>
            <w:r w:rsidRPr="002E0CC2">
              <w:rPr>
                <w:rFonts w:ascii="Arial" w:hAnsi="Arial" w:cs="Arial"/>
                <w:color w:val="000000"/>
                <w:sz w:val="12"/>
                <w:szCs w:val="12"/>
                <w:lang w:val="es-MX" w:eastAsia="es-MX"/>
              </w:rPr>
              <w:t>Deuda Pública</w:t>
            </w:r>
          </w:p>
        </w:tc>
        <w:tc>
          <w:tcPr>
            <w:tcW w:w="891" w:type="dxa"/>
            <w:shd w:val="clear" w:color="auto" w:fill="auto"/>
            <w:noWrap/>
            <w:vAlign w:val="center"/>
            <w:hideMark/>
          </w:tcPr>
          <w:p w14:paraId="784B00B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70665D5D"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2218BBB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0 </w:t>
            </w:r>
          </w:p>
        </w:tc>
        <w:tc>
          <w:tcPr>
            <w:tcW w:w="836" w:type="dxa"/>
            <w:shd w:val="clear" w:color="auto" w:fill="auto"/>
            <w:noWrap/>
            <w:vAlign w:val="center"/>
            <w:hideMark/>
          </w:tcPr>
          <w:p w14:paraId="29E50F01"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537D5874"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c>
          <w:tcPr>
            <w:tcW w:w="836" w:type="dxa"/>
            <w:shd w:val="clear" w:color="auto" w:fill="auto"/>
            <w:noWrap/>
            <w:vAlign w:val="center"/>
            <w:hideMark/>
          </w:tcPr>
          <w:p w14:paraId="0AB731B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0</w:t>
            </w:r>
          </w:p>
        </w:tc>
      </w:tr>
      <w:tr w:rsidR="00AA3D42" w:rsidRPr="002E0CC2" w14:paraId="17B6C7FA" w14:textId="77777777" w:rsidTr="005E2A35">
        <w:trPr>
          <w:trHeight w:val="315"/>
          <w:jc w:val="center"/>
        </w:trPr>
        <w:tc>
          <w:tcPr>
            <w:tcW w:w="1691" w:type="dxa"/>
            <w:shd w:val="clear" w:color="auto" w:fill="auto"/>
            <w:noWrap/>
            <w:vAlign w:val="center"/>
            <w:hideMark/>
          </w:tcPr>
          <w:p w14:paraId="4411433A" w14:textId="77777777" w:rsidR="00AA3D42" w:rsidRPr="002E0CC2" w:rsidRDefault="00AA3D42" w:rsidP="005E2A35">
            <w:pPr>
              <w:jc w:val="both"/>
              <w:rPr>
                <w:rFonts w:ascii="Arial" w:hAnsi="Arial" w:cs="Arial"/>
                <w:color w:val="000000"/>
                <w:sz w:val="12"/>
                <w:szCs w:val="12"/>
                <w:lang w:val="es-MX" w:eastAsia="es-MX"/>
              </w:rPr>
            </w:pPr>
            <w:r w:rsidRPr="002E0CC2">
              <w:rPr>
                <w:rFonts w:ascii="Arial" w:hAnsi="Arial" w:cs="Arial"/>
                <w:color w:val="000000"/>
                <w:sz w:val="12"/>
                <w:szCs w:val="12"/>
                <w:lang w:val="es-MX" w:eastAsia="es-MX"/>
              </w:rPr>
              <w:t> </w:t>
            </w:r>
          </w:p>
        </w:tc>
        <w:tc>
          <w:tcPr>
            <w:tcW w:w="891" w:type="dxa"/>
            <w:shd w:val="clear" w:color="auto" w:fill="auto"/>
            <w:noWrap/>
            <w:vAlign w:val="center"/>
            <w:hideMark/>
          </w:tcPr>
          <w:p w14:paraId="654CF16B"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53D67E8C"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66C1912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2AEB8720"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28ABA24E"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c>
          <w:tcPr>
            <w:tcW w:w="836" w:type="dxa"/>
            <w:shd w:val="clear" w:color="auto" w:fill="auto"/>
            <w:noWrap/>
            <w:vAlign w:val="center"/>
            <w:hideMark/>
          </w:tcPr>
          <w:p w14:paraId="5B7E4F58" w14:textId="77777777" w:rsidR="00AA3D42" w:rsidRDefault="00AA3D42" w:rsidP="005E2A35">
            <w:pPr>
              <w:jc w:val="right"/>
              <w:rPr>
                <w:rFonts w:ascii="Arial" w:hAnsi="Arial" w:cs="Arial"/>
                <w:color w:val="000000"/>
                <w:sz w:val="10"/>
                <w:szCs w:val="10"/>
              </w:rPr>
            </w:pPr>
            <w:r>
              <w:rPr>
                <w:rFonts w:ascii="Arial" w:hAnsi="Arial" w:cs="Arial"/>
                <w:color w:val="000000"/>
                <w:sz w:val="10"/>
                <w:szCs w:val="10"/>
              </w:rPr>
              <w:t> </w:t>
            </w:r>
          </w:p>
        </w:tc>
      </w:tr>
      <w:tr w:rsidR="00AA3D42" w:rsidRPr="002E0CC2" w14:paraId="70EFC1DA" w14:textId="77777777" w:rsidTr="005E2A35">
        <w:trPr>
          <w:trHeight w:val="675"/>
          <w:jc w:val="center"/>
        </w:trPr>
        <w:tc>
          <w:tcPr>
            <w:tcW w:w="1691" w:type="dxa"/>
            <w:shd w:val="clear" w:color="auto" w:fill="auto"/>
            <w:noWrap/>
            <w:vAlign w:val="center"/>
            <w:hideMark/>
          </w:tcPr>
          <w:p w14:paraId="5A226F9A" w14:textId="77777777" w:rsidR="00AA3D42" w:rsidRPr="002E0CC2" w:rsidRDefault="00AA3D42" w:rsidP="005E2A35">
            <w:pPr>
              <w:jc w:val="both"/>
              <w:rPr>
                <w:rFonts w:ascii="Arial" w:hAnsi="Arial" w:cs="Arial"/>
                <w:b/>
                <w:bCs/>
                <w:color w:val="000000"/>
                <w:sz w:val="12"/>
                <w:szCs w:val="12"/>
                <w:lang w:val="es-MX" w:eastAsia="es-MX"/>
              </w:rPr>
            </w:pPr>
            <w:r w:rsidRPr="002E0CC2">
              <w:rPr>
                <w:rFonts w:ascii="Arial" w:hAnsi="Arial" w:cs="Arial"/>
                <w:b/>
                <w:bCs/>
                <w:color w:val="000000"/>
                <w:sz w:val="12"/>
                <w:szCs w:val="12"/>
                <w:lang w:val="es-MX" w:eastAsia="es-MX"/>
              </w:rPr>
              <w:t>3.</w:t>
            </w:r>
            <w:r w:rsidRPr="002E0CC2">
              <w:rPr>
                <w:b/>
                <w:bCs/>
                <w:color w:val="000000"/>
                <w:sz w:val="12"/>
                <w:szCs w:val="12"/>
                <w:lang w:val="es-MX" w:eastAsia="es-MX"/>
              </w:rPr>
              <w:t xml:space="preserve">  </w:t>
            </w:r>
            <w:r w:rsidRPr="002E0CC2">
              <w:rPr>
                <w:rFonts w:ascii="Arial" w:hAnsi="Arial" w:cs="Arial"/>
                <w:b/>
                <w:bCs/>
                <w:color w:val="000000"/>
                <w:sz w:val="12"/>
                <w:szCs w:val="12"/>
                <w:lang w:val="es-MX" w:eastAsia="es-MX"/>
              </w:rPr>
              <w:t>Total del Resultado de Egresos (3=1+2)</w:t>
            </w:r>
          </w:p>
        </w:tc>
        <w:tc>
          <w:tcPr>
            <w:tcW w:w="891" w:type="dxa"/>
            <w:shd w:val="clear" w:color="auto" w:fill="auto"/>
            <w:noWrap/>
            <w:vAlign w:val="center"/>
            <w:hideMark/>
          </w:tcPr>
          <w:p w14:paraId="7620401B"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19,542,592,493</w:t>
            </w:r>
          </w:p>
        </w:tc>
        <w:tc>
          <w:tcPr>
            <w:tcW w:w="836" w:type="dxa"/>
            <w:shd w:val="clear" w:color="auto" w:fill="auto"/>
            <w:noWrap/>
            <w:vAlign w:val="center"/>
            <w:hideMark/>
          </w:tcPr>
          <w:p w14:paraId="4E4851DB"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20,160,904,740</w:t>
            </w:r>
          </w:p>
        </w:tc>
        <w:tc>
          <w:tcPr>
            <w:tcW w:w="836" w:type="dxa"/>
            <w:shd w:val="clear" w:color="auto" w:fill="auto"/>
            <w:noWrap/>
            <w:vAlign w:val="center"/>
            <w:hideMark/>
          </w:tcPr>
          <w:p w14:paraId="477916C0"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21,130,491,652</w:t>
            </w:r>
          </w:p>
        </w:tc>
        <w:tc>
          <w:tcPr>
            <w:tcW w:w="836" w:type="dxa"/>
            <w:shd w:val="clear" w:color="auto" w:fill="auto"/>
            <w:noWrap/>
            <w:vAlign w:val="center"/>
            <w:hideMark/>
          </w:tcPr>
          <w:p w14:paraId="0B6A9593"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23,180,542,055</w:t>
            </w:r>
          </w:p>
        </w:tc>
        <w:tc>
          <w:tcPr>
            <w:tcW w:w="836" w:type="dxa"/>
            <w:shd w:val="clear" w:color="auto" w:fill="auto"/>
            <w:noWrap/>
            <w:vAlign w:val="center"/>
            <w:hideMark/>
          </w:tcPr>
          <w:p w14:paraId="12F8E95E"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23,250,070,289</w:t>
            </w:r>
          </w:p>
        </w:tc>
        <w:tc>
          <w:tcPr>
            <w:tcW w:w="836" w:type="dxa"/>
            <w:shd w:val="clear" w:color="auto" w:fill="auto"/>
            <w:noWrap/>
            <w:vAlign w:val="center"/>
            <w:hideMark/>
          </w:tcPr>
          <w:p w14:paraId="721D8121" w14:textId="77777777" w:rsidR="00AA3D42" w:rsidRDefault="00AA3D42" w:rsidP="005E2A35">
            <w:pPr>
              <w:jc w:val="right"/>
              <w:rPr>
                <w:rFonts w:ascii="Arial" w:hAnsi="Arial" w:cs="Arial"/>
                <w:b/>
                <w:bCs/>
                <w:color w:val="000000"/>
                <w:sz w:val="10"/>
                <w:szCs w:val="10"/>
              </w:rPr>
            </w:pPr>
            <w:r>
              <w:rPr>
                <w:rFonts w:ascii="Arial" w:hAnsi="Arial" w:cs="Arial"/>
                <w:b/>
                <w:bCs/>
                <w:color w:val="000000"/>
                <w:sz w:val="10"/>
                <w:szCs w:val="10"/>
              </w:rPr>
              <w:t>22,969,303,437</w:t>
            </w:r>
          </w:p>
        </w:tc>
      </w:tr>
    </w:tbl>
    <w:p w14:paraId="7FEF0659" w14:textId="77777777" w:rsidR="00F01A99" w:rsidRDefault="00F01A99" w:rsidP="00AA3D42">
      <w:pPr>
        <w:spacing w:line="360" w:lineRule="auto"/>
        <w:jc w:val="center"/>
        <w:rPr>
          <w:sz w:val="18"/>
          <w:szCs w:val="18"/>
          <w:lang w:val="es-MX"/>
        </w:rPr>
      </w:pPr>
    </w:p>
    <w:p w14:paraId="403A5CEC" w14:textId="77777777" w:rsidR="00BE1C47" w:rsidRDefault="00BE1C47" w:rsidP="00AA3D42">
      <w:pPr>
        <w:spacing w:line="360" w:lineRule="auto"/>
        <w:jc w:val="center"/>
        <w:rPr>
          <w:sz w:val="18"/>
          <w:szCs w:val="18"/>
          <w:lang w:val="es-MX"/>
        </w:rPr>
      </w:pPr>
    </w:p>
    <w:p w14:paraId="5CA13EBE" w14:textId="77777777" w:rsidR="00AA3D42" w:rsidRPr="00955A4C" w:rsidRDefault="00AA3D42" w:rsidP="00AA3D42">
      <w:pPr>
        <w:spacing w:line="360" w:lineRule="auto"/>
        <w:jc w:val="both"/>
        <w:rPr>
          <w:b/>
          <w:sz w:val="20"/>
          <w:szCs w:val="20"/>
        </w:rPr>
      </w:pPr>
      <w:r w:rsidRPr="00955A4C">
        <w:rPr>
          <w:b/>
          <w:sz w:val="20"/>
          <w:szCs w:val="20"/>
        </w:rPr>
        <w:t xml:space="preserve">DISCIPLINA PRESUPUESTAL </w:t>
      </w:r>
    </w:p>
    <w:p w14:paraId="30F0E813" w14:textId="77777777" w:rsidR="00AA3D42" w:rsidRPr="00955A4C" w:rsidRDefault="00AA3D42" w:rsidP="00AA3D42">
      <w:pPr>
        <w:spacing w:line="360" w:lineRule="auto"/>
        <w:jc w:val="both"/>
        <w:rPr>
          <w:sz w:val="20"/>
          <w:szCs w:val="20"/>
        </w:rPr>
      </w:pPr>
    </w:p>
    <w:p w14:paraId="2503EDB5" w14:textId="77777777" w:rsidR="00AA3D42" w:rsidRDefault="00AA3D42" w:rsidP="00AA3D42">
      <w:pPr>
        <w:spacing w:line="360" w:lineRule="auto"/>
        <w:jc w:val="both"/>
        <w:rPr>
          <w:sz w:val="20"/>
          <w:szCs w:val="20"/>
        </w:rPr>
      </w:pPr>
      <w:r w:rsidRPr="00955A4C">
        <w:rPr>
          <w:sz w:val="20"/>
          <w:szCs w:val="20"/>
        </w:rPr>
        <w:t>El desempeño económico de México se da en un ento</w:t>
      </w:r>
      <w:r>
        <w:rPr>
          <w:sz w:val="20"/>
          <w:szCs w:val="20"/>
        </w:rPr>
        <w:t>rno de incertidumbre económica todo ello derivado de la pandemia del COVID-19, que se vive en la actualidad, ya que ha impuesto varios costos a la sociedad mexicana, el más importante es la desafortunada pérdida de vidas humanas, por otra parte ha afectado en gran manera a la economía mexicana y</w:t>
      </w:r>
      <w:r w:rsidRPr="00955A4C">
        <w:rPr>
          <w:sz w:val="20"/>
          <w:szCs w:val="20"/>
        </w:rPr>
        <w:t xml:space="preserve"> </w:t>
      </w:r>
      <w:r>
        <w:rPr>
          <w:sz w:val="20"/>
          <w:szCs w:val="20"/>
        </w:rPr>
        <w:t>se</w:t>
      </w:r>
      <w:r w:rsidRPr="00955A4C">
        <w:rPr>
          <w:sz w:val="20"/>
          <w:szCs w:val="20"/>
        </w:rPr>
        <w:t xml:space="preserve"> ha</w:t>
      </w:r>
      <w:r>
        <w:rPr>
          <w:sz w:val="20"/>
          <w:szCs w:val="20"/>
        </w:rPr>
        <w:t>n</w:t>
      </w:r>
      <w:r w:rsidRPr="00955A4C">
        <w:rPr>
          <w:sz w:val="20"/>
          <w:szCs w:val="20"/>
        </w:rPr>
        <w:t xml:space="preserve"> tenido repercusiones en la actividad económica mundial,</w:t>
      </w:r>
      <w:r>
        <w:rPr>
          <w:sz w:val="20"/>
          <w:szCs w:val="20"/>
        </w:rPr>
        <w:t xml:space="preserve"> el cual es el reto más complejo desde la Gran Depresión Económica en materia de protección del bienestar social e impulso a la actividad económica agregada, ya que después de que una de las medidas haya sido el confinamiento, esto desplegó una situación crítica a la economía de la población.</w:t>
      </w:r>
    </w:p>
    <w:p w14:paraId="22C2F333" w14:textId="77777777" w:rsidR="00AA3D42" w:rsidRDefault="00AA3D42" w:rsidP="00AA3D42">
      <w:pPr>
        <w:spacing w:line="360" w:lineRule="auto"/>
        <w:jc w:val="both"/>
        <w:rPr>
          <w:sz w:val="20"/>
          <w:szCs w:val="20"/>
        </w:rPr>
      </w:pPr>
    </w:p>
    <w:p w14:paraId="2BF8B914" w14:textId="77777777" w:rsidR="00AA3D42" w:rsidRPr="00955A4C" w:rsidRDefault="00AA3D42" w:rsidP="00AA3D42">
      <w:pPr>
        <w:spacing w:line="360" w:lineRule="auto"/>
        <w:jc w:val="both"/>
        <w:rPr>
          <w:sz w:val="20"/>
          <w:szCs w:val="20"/>
        </w:rPr>
      </w:pPr>
      <w:r>
        <w:rPr>
          <w:sz w:val="20"/>
          <w:szCs w:val="20"/>
        </w:rPr>
        <w:t>L</w:t>
      </w:r>
      <w:r w:rsidRPr="00955A4C">
        <w:rPr>
          <w:sz w:val="20"/>
          <w:szCs w:val="20"/>
        </w:rPr>
        <w:t>os recursos financieros de que dispone el Gobierno del Estado son escasos ante las crecientes necesidades sociales y públicas,</w:t>
      </w:r>
      <w:r>
        <w:rPr>
          <w:sz w:val="20"/>
          <w:szCs w:val="20"/>
        </w:rPr>
        <w:t xml:space="preserve"> mencionadas anteriormente,</w:t>
      </w:r>
      <w:r w:rsidRPr="00955A4C">
        <w:rPr>
          <w:sz w:val="20"/>
          <w:szCs w:val="20"/>
        </w:rPr>
        <w:t xml:space="preserve"> toda vez que la principal fuente de recursos la constituyen las transferencias del Gobierno Federal, las cuales provienen de contribuciones federales que, en los momentos actuales, atraviesan por circunstancias inciertas ante los efectos </w:t>
      </w:r>
      <w:r>
        <w:rPr>
          <w:sz w:val="20"/>
          <w:szCs w:val="20"/>
        </w:rPr>
        <w:t>ocasionados por la pandemia COVID-19</w:t>
      </w:r>
      <w:r w:rsidRPr="00955A4C">
        <w:rPr>
          <w:sz w:val="20"/>
          <w:szCs w:val="20"/>
        </w:rPr>
        <w:t xml:space="preserve">. Es por ello, que el Gobierno del Estado, ha implementado diversas medidas encaminadas a racionalizar el gasto público y a la elaboración de presupuestos </w:t>
      </w:r>
      <w:r w:rsidRPr="00955A4C">
        <w:rPr>
          <w:sz w:val="20"/>
          <w:szCs w:val="20"/>
        </w:rPr>
        <w:lastRenderedPageBreak/>
        <w:t xml:space="preserve">realistas en un ámbito de racionalidad, austeridad y disciplina presupuestal, alineadas a las políticas establecidas por el Gobierno Federal. </w:t>
      </w:r>
    </w:p>
    <w:p w14:paraId="7FE10E07" w14:textId="77777777" w:rsidR="00AA3D42" w:rsidRPr="00955A4C" w:rsidRDefault="00AA3D42" w:rsidP="00AA3D42">
      <w:pPr>
        <w:spacing w:line="360" w:lineRule="auto"/>
        <w:jc w:val="both"/>
        <w:rPr>
          <w:sz w:val="20"/>
          <w:szCs w:val="20"/>
        </w:rPr>
      </w:pPr>
    </w:p>
    <w:p w14:paraId="77E4139B" w14:textId="77777777" w:rsidR="00AA3D42" w:rsidRPr="00955A4C" w:rsidRDefault="00AA3D42" w:rsidP="00AA3D42">
      <w:pPr>
        <w:spacing w:line="360" w:lineRule="auto"/>
        <w:jc w:val="both"/>
        <w:rPr>
          <w:sz w:val="20"/>
          <w:szCs w:val="20"/>
        </w:rPr>
      </w:pPr>
      <w:r w:rsidRPr="00955A4C">
        <w:rPr>
          <w:sz w:val="20"/>
          <w:szCs w:val="20"/>
        </w:rPr>
        <w:t>Esta Administración, se ha caracterizado por establecer en el ejercicio del gasto principios de racionalidad, austeridad y de eficiencia, en la aplicación de los recursos públicos, es por esto que el Gobierno del Estado rige su política de gasto con base a los principios de legalidad, transparencia, racionalidad y suficiencia presupuestal, con la finalidad de dar continuidad a los esfuerzos encaminados en atender con oportunidad las demandas y necesidades de sus habitantes.</w:t>
      </w:r>
    </w:p>
    <w:p w14:paraId="03D12543" w14:textId="77777777" w:rsidR="00AA3D42" w:rsidRPr="00955A4C" w:rsidRDefault="00AA3D42" w:rsidP="00AA3D42">
      <w:pPr>
        <w:spacing w:line="360" w:lineRule="auto"/>
        <w:jc w:val="both"/>
        <w:rPr>
          <w:sz w:val="20"/>
          <w:szCs w:val="20"/>
        </w:rPr>
      </w:pPr>
    </w:p>
    <w:p w14:paraId="098F29E0" w14:textId="77777777" w:rsidR="00AA3D42" w:rsidRPr="00955A4C" w:rsidRDefault="00AA3D42" w:rsidP="00AA3D42">
      <w:pPr>
        <w:spacing w:line="360" w:lineRule="auto"/>
        <w:jc w:val="both"/>
        <w:rPr>
          <w:sz w:val="20"/>
          <w:szCs w:val="20"/>
        </w:rPr>
      </w:pPr>
      <w:r w:rsidRPr="00955A4C">
        <w:rPr>
          <w:sz w:val="20"/>
          <w:szCs w:val="20"/>
        </w:rPr>
        <w:t xml:space="preserve">En la elaboración del presente </w:t>
      </w:r>
      <w:r w:rsidRPr="00096094">
        <w:rPr>
          <w:rFonts w:eastAsia="Calibri"/>
          <w:sz w:val="20"/>
          <w:szCs w:val="20"/>
        </w:rPr>
        <w:t>Proyecto de Decreto de Presupuesto de Egresos del Estado de Tlaxcala</w:t>
      </w:r>
      <w:r>
        <w:rPr>
          <w:rFonts w:eastAsia="Calibri"/>
          <w:sz w:val="20"/>
          <w:szCs w:val="20"/>
        </w:rPr>
        <w:t xml:space="preserve"> para el Ejercicio Fiscal 2021</w:t>
      </w:r>
      <w:r w:rsidRPr="00955A4C">
        <w:rPr>
          <w:sz w:val="20"/>
          <w:szCs w:val="20"/>
        </w:rPr>
        <w:t xml:space="preserve">, para evitar un desfasamiento del gasto en relación con los ingresos, que pudiese derivar en resultados deficitarios, los ejecutores de gasto en el ejercicio de sus respectivos presupuestos, consideraron medidas para racionalizar el gasto destinado a las actividades administrativas y de apoyo, con la finalidad de no afectar el cumplimiento de las metas de los programas presupuestarios considerados para su ejecución, procurando el uso de los recursos públicos con la mayor eficiencia, eficacia, transparencia y austeridad, fortaleciendo las acciones tendientes a lograr ahorros y economías, sin disminución de los resultados, y reorientarlos al gasto social. Con estas premisas se busca regular el ejercicio del gasto, permitiendo a las Dependencias y Entidades contar con una operación administrativa eficiente, acorde al marco normativo y a los sistemas de registro y control de dicho gasto. </w:t>
      </w:r>
    </w:p>
    <w:p w14:paraId="54462222" w14:textId="77777777" w:rsidR="00AA3D42" w:rsidRPr="00955A4C" w:rsidRDefault="00AA3D42" w:rsidP="00AA3D42">
      <w:pPr>
        <w:spacing w:line="360" w:lineRule="auto"/>
        <w:jc w:val="both"/>
        <w:rPr>
          <w:sz w:val="20"/>
          <w:szCs w:val="20"/>
        </w:rPr>
      </w:pPr>
    </w:p>
    <w:p w14:paraId="21984F31" w14:textId="77777777" w:rsidR="00AA3D42" w:rsidRPr="00955A4C" w:rsidRDefault="00AA3D42" w:rsidP="00AA3D42">
      <w:pPr>
        <w:spacing w:line="360" w:lineRule="auto"/>
        <w:jc w:val="both"/>
        <w:rPr>
          <w:sz w:val="20"/>
          <w:szCs w:val="20"/>
        </w:rPr>
      </w:pPr>
      <w:r w:rsidRPr="00955A4C">
        <w:rPr>
          <w:sz w:val="20"/>
          <w:szCs w:val="20"/>
        </w:rPr>
        <w:t xml:space="preserve">Entre las acciones de disciplina presupuestaria en el ejercicio del gasto público propuestas, se considera la contención de los recursos </w:t>
      </w:r>
      <w:r w:rsidRPr="00F816BA">
        <w:rPr>
          <w:sz w:val="20"/>
          <w:szCs w:val="20"/>
        </w:rPr>
        <w:t>destinados a servicios personales, esta tendrá como límite, el producto que resulte de aplicar al monto aprobado en el Presupuesto de Egresos del ejercicio inmediato anterior, una tasa de crecimiento equivalente al valor que resulte menor entre: a) El 3 por ciento de crecimiento real, y b) El crecimiento real del Producto Interno Bruto señalado en los Criterios Generales de Política Económica para el ejercicio que se está presupuestando. En caso de que el Producto Interno Bruto presente una variación real negativa para el ejercicio que se está presupuestando, se deberá considerar un crecimiento real igual a cero; además de la reducción del gasto corriente de operación, y la reorientación del presupuesto a los programas sociales de mayor impacto e inclusión social, conforme al diagnóstico de CONEVAL.</w:t>
      </w:r>
    </w:p>
    <w:p w14:paraId="6B22C04C" w14:textId="77777777" w:rsidR="00AA3D42" w:rsidRPr="00955A4C" w:rsidRDefault="00AA3D42" w:rsidP="00AA3D42">
      <w:pPr>
        <w:spacing w:line="360" w:lineRule="auto"/>
        <w:jc w:val="both"/>
        <w:rPr>
          <w:sz w:val="20"/>
          <w:szCs w:val="20"/>
        </w:rPr>
      </w:pPr>
    </w:p>
    <w:p w14:paraId="1A0B9C15" w14:textId="77777777" w:rsidR="00BE1C47" w:rsidRDefault="00BE1C47" w:rsidP="00AA3D42">
      <w:pPr>
        <w:spacing w:line="360" w:lineRule="auto"/>
        <w:jc w:val="both"/>
        <w:rPr>
          <w:b/>
          <w:sz w:val="20"/>
          <w:szCs w:val="20"/>
        </w:rPr>
      </w:pPr>
    </w:p>
    <w:p w14:paraId="4A6F9D02" w14:textId="77777777" w:rsidR="00BE1C47" w:rsidRDefault="00BE1C47" w:rsidP="00AA3D42">
      <w:pPr>
        <w:spacing w:line="360" w:lineRule="auto"/>
        <w:jc w:val="both"/>
        <w:rPr>
          <w:b/>
          <w:sz w:val="20"/>
          <w:szCs w:val="20"/>
        </w:rPr>
      </w:pPr>
    </w:p>
    <w:p w14:paraId="2F3817F9" w14:textId="77777777" w:rsidR="00AA3D42" w:rsidRPr="00955A4C" w:rsidRDefault="00AA3D42" w:rsidP="00AA3D42">
      <w:pPr>
        <w:spacing w:line="360" w:lineRule="auto"/>
        <w:jc w:val="both"/>
        <w:rPr>
          <w:b/>
          <w:sz w:val="20"/>
          <w:szCs w:val="20"/>
        </w:rPr>
      </w:pPr>
      <w:r w:rsidRPr="00955A4C">
        <w:rPr>
          <w:b/>
          <w:sz w:val="20"/>
          <w:szCs w:val="20"/>
        </w:rPr>
        <w:lastRenderedPageBreak/>
        <w:t>TRANSPARENCIA Y RENDICIÓN DE CUENTAS</w:t>
      </w:r>
    </w:p>
    <w:p w14:paraId="15FC88BF" w14:textId="77777777" w:rsidR="00AA3D42" w:rsidRPr="00955A4C" w:rsidRDefault="00AA3D42" w:rsidP="00AA3D42">
      <w:pPr>
        <w:spacing w:line="360" w:lineRule="auto"/>
        <w:jc w:val="both"/>
        <w:rPr>
          <w:b/>
          <w:sz w:val="20"/>
          <w:szCs w:val="20"/>
        </w:rPr>
      </w:pPr>
    </w:p>
    <w:p w14:paraId="1416C056" w14:textId="77777777" w:rsidR="00AA3D42" w:rsidRPr="00955A4C" w:rsidRDefault="00AA3D42" w:rsidP="00AA3D42">
      <w:pPr>
        <w:spacing w:line="360" w:lineRule="auto"/>
        <w:jc w:val="both"/>
        <w:rPr>
          <w:sz w:val="20"/>
          <w:szCs w:val="20"/>
        </w:rPr>
      </w:pPr>
      <w:r w:rsidRPr="00955A4C">
        <w:rPr>
          <w:sz w:val="20"/>
          <w:szCs w:val="20"/>
        </w:rPr>
        <w:t xml:space="preserve">El funcionamiento eficiente y eficaz de las instituciones de Estado y el ejercicio ético en la gestión pública, así como el fortalecimiento de los valores que dan sustento a la democracia para alcanzar el pleno respeto de las diferencias de cualquier índole y del derecho de cada quien a decidir su forma de vida, resultan pilares fundamentales para la consolidación de un sistema democrático. </w:t>
      </w:r>
    </w:p>
    <w:p w14:paraId="47DD5884" w14:textId="77777777" w:rsidR="00AA3D42" w:rsidRPr="00955A4C" w:rsidRDefault="00AA3D42" w:rsidP="00AA3D42">
      <w:pPr>
        <w:spacing w:line="360" w:lineRule="auto"/>
        <w:jc w:val="both"/>
        <w:rPr>
          <w:sz w:val="20"/>
          <w:szCs w:val="20"/>
        </w:rPr>
      </w:pPr>
    </w:p>
    <w:p w14:paraId="11999F6A" w14:textId="77777777" w:rsidR="00AA3D42" w:rsidRPr="00955A4C" w:rsidRDefault="00AA3D42" w:rsidP="00AA3D42">
      <w:pPr>
        <w:spacing w:line="360" w:lineRule="auto"/>
        <w:jc w:val="both"/>
        <w:rPr>
          <w:sz w:val="20"/>
          <w:szCs w:val="20"/>
        </w:rPr>
      </w:pPr>
      <w:r w:rsidRPr="00955A4C">
        <w:rPr>
          <w:sz w:val="20"/>
          <w:szCs w:val="20"/>
        </w:rPr>
        <w:t xml:space="preserve">En este sentido, producto de la demanda ciudadana de información precisa, confiable y comprobable de la administración pública, se ha impulsado una cultura de transparencia y rendición de cuentas en la gestión pública. </w:t>
      </w:r>
    </w:p>
    <w:p w14:paraId="4D8568B8" w14:textId="77777777" w:rsidR="00AA3D42" w:rsidRPr="00955A4C" w:rsidRDefault="00AA3D42" w:rsidP="00AA3D42">
      <w:pPr>
        <w:spacing w:line="360" w:lineRule="auto"/>
        <w:jc w:val="both"/>
        <w:rPr>
          <w:sz w:val="20"/>
          <w:szCs w:val="20"/>
        </w:rPr>
      </w:pPr>
    </w:p>
    <w:p w14:paraId="120F3210" w14:textId="77777777" w:rsidR="00AA3D42" w:rsidRPr="00955A4C" w:rsidRDefault="00AA3D42" w:rsidP="00AA3D42">
      <w:pPr>
        <w:spacing w:line="360" w:lineRule="auto"/>
        <w:jc w:val="both"/>
        <w:rPr>
          <w:sz w:val="20"/>
          <w:szCs w:val="20"/>
        </w:rPr>
      </w:pPr>
      <w:r w:rsidRPr="00955A4C">
        <w:rPr>
          <w:sz w:val="20"/>
          <w:szCs w:val="20"/>
        </w:rPr>
        <w:t>En la actual administración y de acuerdo a las Políticas del Gobierno Federal, se han llevado a cabo acciones que permiten proveer lo necesario para que toda persona pueda tener acceso a la información mediante procedimientos sencillos y expeditos, transparentando la gestión pública mediante la difusión de la información que generan los sujetos obligados y garantizando en todo momento la protección de los datos personales en posesión de las dependencias y entidades del Estado, permitiendo rendir cuentas a los ciudadanos de manera que puedan valorar el desempeño del Gobierno del Estado.</w:t>
      </w:r>
    </w:p>
    <w:p w14:paraId="6C0053C5" w14:textId="77777777" w:rsidR="00AA3D42" w:rsidRPr="00955A4C" w:rsidRDefault="00AA3D42" w:rsidP="00AA3D42">
      <w:pPr>
        <w:spacing w:line="360" w:lineRule="auto"/>
        <w:jc w:val="both"/>
        <w:rPr>
          <w:sz w:val="20"/>
          <w:szCs w:val="20"/>
        </w:rPr>
      </w:pPr>
    </w:p>
    <w:p w14:paraId="0A5A8F94" w14:textId="4F42D5AA" w:rsidR="00BE1C47" w:rsidRPr="00BE1C47" w:rsidRDefault="00AA3D42" w:rsidP="00BE1C47">
      <w:pPr>
        <w:spacing w:line="360" w:lineRule="auto"/>
        <w:jc w:val="both"/>
        <w:rPr>
          <w:b/>
          <w:sz w:val="6"/>
          <w:szCs w:val="6"/>
        </w:rPr>
      </w:pPr>
      <w:r w:rsidRPr="00955A4C">
        <w:rPr>
          <w:sz w:val="20"/>
          <w:szCs w:val="20"/>
        </w:rPr>
        <w:t xml:space="preserve">El Estado de Tlaxcala, a lo largo de esta Administración ha avanzado de manera determinante en materia de transparencia, muestra de ello es la calificación otorgada a través del Índice de Información Presupuestal Estatal, evaluado por el Instituto Mexicano para la Competitividad A. C. (IMCO), mismo que ha situado al Estado </w:t>
      </w:r>
      <w:r>
        <w:rPr>
          <w:sz w:val="20"/>
          <w:szCs w:val="20"/>
        </w:rPr>
        <w:t>en el sexto</w:t>
      </w:r>
      <w:r w:rsidRPr="00955A4C">
        <w:rPr>
          <w:sz w:val="20"/>
          <w:szCs w:val="20"/>
        </w:rPr>
        <w:t xml:space="preserve"> lugar a nivel nacional, con estas acciones reafirmamos el compromiso del Gobierno del Estado con la transparencia presupuestal y la rendición de cuentas </w:t>
      </w:r>
      <w:r w:rsidRPr="00C236FF">
        <w:rPr>
          <w:sz w:val="20"/>
          <w:szCs w:val="20"/>
        </w:rPr>
        <w:t xml:space="preserve">(Ver Gráfica </w:t>
      </w:r>
      <w:r>
        <w:rPr>
          <w:sz w:val="20"/>
          <w:szCs w:val="20"/>
        </w:rPr>
        <w:t>II y III)</w:t>
      </w:r>
      <w:r w:rsidRPr="00C236FF">
        <w:rPr>
          <w:sz w:val="20"/>
          <w:szCs w:val="20"/>
        </w:rPr>
        <w:t>.</w:t>
      </w:r>
    </w:p>
    <w:p w14:paraId="6A590865" w14:textId="77777777" w:rsidR="00AA3D42" w:rsidRPr="00E43D19" w:rsidRDefault="00AA3D42" w:rsidP="00AA3D42">
      <w:pPr>
        <w:spacing w:line="360" w:lineRule="auto"/>
        <w:rPr>
          <w:b/>
          <w:sz w:val="12"/>
          <w:szCs w:val="12"/>
        </w:rPr>
      </w:pPr>
      <w:r w:rsidRPr="00E43D19">
        <w:rPr>
          <w:b/>
          <w:sz w:val="12"/>
          <w:szCs w:val="12"/>
        </w:rPr>
        <w:t>Gráfica II: Índice de Información Presupuestal Estatal 2019 (IMCO)</w:t>
      </w:r>
    </w:p>
    <w:p w14:paraId="74A3ED12" w14:textId="77777777" w:rsidR="00AA3D42" w:rsidRPr="00955A4C" w:rsidRDefault="00AA3D42" w:rsidP="00AA3D42">
      <w:pPr>
        <w:spacing w:line="360" w:lineRule="auto"/>
        <w:jc w:val="both"/>
        <w:rPr>
          <w:sz w:val="20"/>
          <w:szCs w:val="20"/>
        </w:rPr>
      </w:pPr>
      <w:r w:rsidRPr="00955A4C">
        <w:rPr>
          <w:noProof/>
          <w:sz w:val="20"/>
          <w:szCs w:val="20"/>
          <w:lang w:val="es-MX" w:eastAsia="es-MX"/>
        </w:rPr>
        <w:drawing>
          <wp:inline distT="0" distB="0" distL="0" distR="0" wp14:anchorId="31F224FC" wp14:editId="5E76B069">
            <wp:extent cx="4867275" cy="2038350"/>
            <wp:effectExtent l="0" t="0" r="9525" b="0"/>
            <wp:docPr id="58" name="Imagen 58"/>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53"/>
                    <a:srcRect l="3114" t="9021" r="1738" b="6301"/>
                    <a:stretch/>
                  </pic:blipFill>
                  <pic:spPr bwMode="auto">
                    <a:xfrm>
                      <a:off x="0" y="0"/>
                      <a:ext cx="4867275" cy="2038350"/>
                    </a:xfrm>
                    <a:prstGeom prst="rect">
                      <a:avLst/>
                    </a:prstGeom>
                    <a:ln>
                      <a:noFill/>
                    </a:ln>
                    <a:extLst>
                      <a:ext uri="{53640926-AAD7-44D8-BBD7-CCE9431645EC}">
                        <a14:shadowObscured xmlns:a14="http://schemas.microsoft.com/office/drawing/2010/main"/>
                      </a:ext>
                    </a:extLst>
                  </pic:spPr>
                </pic:pic>
              </a:graphicData>
            </a:graphic>
          </wp:inline>
        </w:drawing>
      </w:r>
    </w:p>
    <w:p w14:paraId="4FCAB856" w14:textId="77777777" w:rsidR="00AA3D42" w:rsidRPr="00955A4C" w:rsidRDefault="00AA3D42" w:rsidP="00AA3D42">
      <w:pPr>
        <w:spacing w:line="360" w:lineRule="auto"/>
        <w:jc w:val="center"/>
        <w:rPr>
          <w:b/>
          <w:color w:val="FF0000"/>
          <w:sz w:val="20"/>
          <w:szCs w:val="20"/>
        </w:rPr>
      </w:pPr>
    </w:p>
    <w:p w14:paraId="2F0E8B31" w14:textId="77777777" w:rsidR="00AA3D42" w:rsidRPr="00E43D19" w:rsidRDefault="00AA3D42" w:rsidP="00AA3D42">
      <w:pPr>
        <w:spacing w:line="360" w:lineRule="auto"/>
        <w:rPr>
          <w:b/>
          <w:sz w:val="12"/>
          <w:szCs w:val="12"/>
        </w:rPr>
      </w:pPr>
      <w:r w:rsidRPr="00E43D19">
        <w:rPr>
          <w:b/>
          <w:sz w:val="12"/>
          <w:szCs w:val="12"/>
        </w:rPr>
        <w:t>GráficaIII: Cumplimento en Transparencia Presupuestal 2019 (IMCO)</w:t>
      </w:r>
    </w:p>
    <w:p w14:paraId="5BFEA95F" w14:textId="77777777" w:rsidR="00AA3D42" w:rsidRPr="00955A4C" w:rsidRDefault="00AA3D42" w:rsidP="00AA3D42">
      <w:pPr>
        <w:spacing w:line="360" w:lineRule="auto"/>
        <w:jc w:val="both"/>
        <w:rPr>
          <w:sz w:val="20"/>
          <w:szCs w:val="20"/>
        </w:rPr>
      </w:pPr>
      <w:r w:rsidRPr="00955A4C">
        <w:rPr>
          <w:noProof/>
          <w:sz w:val="20"/>
          <w:szCs w:val="20"/>
          <w:lang w:val="es-MX" w:eastAsia="es-MX"/>
        </w:rPr>
        <mc:AlternateContent>
          <mc:Choice Requires="wps">
            <w:drawing>
              <wp:anchor distT="0" distB="0" distL="114300" distR="114300" simplePos="0" relativeHeight="251683840" behindDoc="0" locked="0" layoutInCell="1" allowOverlap="1" wp14:anchorId="58312C9E" wp14:editId="0BFC3BCC">
                <wp:simplePos x="0" y="0"/>
                <wp:positionH relativeFrom="column">
                  <wp:posOffset>1282065</wp:posOffset>
                </wp:positionH>
                <wp:positionV relativeFrom="paragraph">
                  <wp:posOffset>1616075</wp:posOffset>
                </wp:positionV>
                <wp:extent cx="47501" cy="290739"/>
                <wp:effectExtent l="19050" t="19050" r="29210" b="14605"/>
                <wp:wrapNone/>
                <wp:docPr id="57" name="Flecha arriba 57"/>
                <wp:cNvGraphicFramePr/>
                <a:graphic xmlns:a="http://schemas.openxmlformats.org/drawingml/2006/main">
                  <a:graphicData uri="http://schemas.microsoft.com/office/word/2010/wordprocessingShape">
                    <wps:wsp>
                      <wps:cNvSpPr/>
                      <wps:spPr>
                        <a:xfrm>
                          <a:off x="0" y="0"/>
                          <a:ext cx="47501" cy="290739"/>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54698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57" o:spid="_x0000_s1026" type="#_x0000_t68" style="position:absolute;margin-left:100.95pt;margin-top:127.25pt;width:3.75pt;height:22.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" adj="1765" fillcolor="black [3200]" strokecolor="black [1600]" strokeweight="1pt"/>
            </w:pict>
          </mc:Fallback>
        </mc:AlternateContent>
      </w:r>
      <w:r w:rsidRPr="00955A4C">
        <w:rPr>
          <w:noProof/>
          <w:sz w:val="20"/>
          <w:szCs w:val="20"/>
          <w:lang w:val="es-MX" w:eastAsia="es-MX"/>
        </w:rPr>
        <w:drawing>
          <wp:inline distT="0" distB="0" distL="0" distR="0" wp14:anchorId="455F771B" wp14:editId="5AB2A20F">
            <wp:extent cx="4752975" cy="2247900"/>
            <wp:effectExtent l="0" t="0" r="9525" b="0"/>
            <wp:docPr id="59" name="Imagen 59"/>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54"/>
                    <a:srcRect l="9689" t="31574" r="11311" b="8351"/>
                    <a:stretch/>
                  </pic:blipFill>
                  <pic:spPr bwMode="auto">
                    <a:xfrm>
                      <a:off x="0" y="0"/>
                      <a:ext cx="4752975" cy="2247900"/>
                    </a:xfrm>
                    <a:prstGeom prst="rect">
                      <a:avLst/>
                    </a:prstGeom>
                    <a:ln>
                      <a:noFill/>
                    </a:ln>
                    <a:extLst>
                      <a:ext uri="{53640926-AAD7-44D8-BBD7-CCE9431645EC}">
                        <a14:shadowObscured xmlns:a14="http://schemas.microsoft.com/office/drawing/2010/main"/>
                      </a:ext>
                    </a:extLst>
                  </pic:spPr>
                </pic:pic>
              </a:graphicData>
            </a:graphic>
          </wp:inline>
        </w:drawing>
      </w:r>
    </w:p>
    <w:p w14:paraId="53B481CB" w14:textId="77777777" w:rsidR="00AA3D42" w:rsidRPr="00955A4C" w:rsidRDefault="00AA3D42" w:rsidP="00AA3D42">
      <w:pPr>
        <w:spacing w:line="360" w:lineRule="auto"/>
        <w:jc w:val="both"/>
        <w:rPr>
          <w:sz w:val="20"/>
          <w:szCs w:val="20"/>
        </w:rPr>
      </w:pPr>
    </w:p>
    <w:p w14:paraId="4EE4323F" w14:textId="77777777" w:rsidR="00AA3D42" w:rsidRPr="00955A4C" w:rsidRDefault="00AA3D42" w:rsidP="00AA3D42">
      <w:pPr>
        <w:spacing w:line="360" w:lineRule="auto"/>
        <w:jc w:val="both"/>
        <w:rPr>
          <w:sz w:val="20"/>
          <w:szCs w:val="20"/>
        </w:rPr>
      </w:pPr>
      <w:r w:rsidRPr="00955A4C">
        <w:rPr>
          <w:sz w:val="20"/>
          <w:szCs w:val="20"/>
        </w:rPr>
        <w:t>Lo anterior debido a que se presentó de manera oficial información sobre su Ley de Ingresos con estructura armonizada y su presupuesto de Egresos utiliza las clasificaciones reguladas por el Consejo Nacional de Armonización Contable.</w:t>
      </w:r>
    </w:p>
    <w:p w14:paraId="23686B23" w14:textId="77777777" w:rsidR="00AA3D42" w:rsidRPr="00955A4C" w:rsidRDefault="00AA3D42" w:rsidP="00AA3D42">
      <w:pPr>
        <w:spacing w:line="360" w:lineRule="auto"/>
        <w:jc w:val="both"/>
        <w:rPr>
          <w:sz w:val="20"/>
          <w:szCs w:val="20"/>
        </w:rPr>
      </w:pPr>
    </w:p>
    <w:p w14:paraId="77E2E5CB" w14:textId="77777777" w:rsidR="00AA3D42" w:rsidRPr="00955A4C" w:rsidRDefault="00AA3D42" w:rsidP="00AA3D42">
      <w:pPr>
        <w:spacing w:line="360" w:lineRule="auto"/>
        <w:jc w:val="both"/>
        <w:rPr>
          <w:sz w:val="20"/>
          <w:szCs w:val="20"/>
        </w:rPr>
      </w:pPr>
      <w:r w:rsidRPr="00955A4C">
        <w:rPr>
          <w:sz w:val="20"/>
          <w:szCs w:val="20"/>
        </w:rPr>
        <w:t>La transparencia y la rendición de cuentas en la gestión pública en el Estado se perfilan hacia una nueva cultura política en la cual la participación ciudadana conlleva la existencia de una sociedad más equitativa y justa, de este modo la gobernabilidad democrática dependerá de que los intereses sociales se vean reflejados en acciones de gobierno transparente.</w:t>
      </w:r>
    </w:p>
    <w:p w14:paraId="569692E8" w14:textId="77777777" w:rsidR="00AA3D42" w:rsidRPr="00955A4C" w:rsidRDefault="00AA3D42" w:rsidP="00AA3D42">
      <w:pPr>
        <w:spacing w:line="360" w:lineRule="auto"/>
        <w:jc w:val="both"/>
        <w:rPr>
          <w:sz w:val="20"/>
          <w:szCs w:val="20"/>
        </w:rPr>
      </w:pPr>
    </w:p>
    <w:p w14:paraId="698EB95A" w14:textId="77777777" w:rsidR="00AA3D42" w:rsidRPr="00955A4C" w:rsidRDefault="00AA3D42" w:rsidP="00AA3D42">
      <w:pPr>
        <w:spacing w:line="360" w:lineRule="auto"/>
        <w:jc w:val="both"/>
        <w:rPr>
          <w:b/>
          <w:sz w:val="20"/>
          <w:szCs w:val="20"/>
        </w:rPr>
      </w:pPr>
      <w:r w:rsidRPr="00955A4C">
        <w:rPr>
          <w:b/>
          <w:sz w:val="20"/>
          <w:szCs w:val="20"/>
        </w:rPr>
        <w:t>CRITERIOS GENERALES DE PRESUPUESTO Y GASTO ESTATAL</w:t>
      </w:r>
    </w:p>
    <w:p w14:paraId="2369A131" w14:textId="77777777" w:rsidR="00AA3D42" w:rsidRPr="00955A4C" w:rsidRDefault="00AA3D42" w:rsidP="00AA3D42">
      <w:pPr>
        <w:spacing w:line="360" w:lineRule="auto"/>
        <w:jc w:val="both"/>
        <w:rPr>
          <w:b/>
          <w:sz w:val="20"/>
          <w:szCs w:val="20"/>
        </w:rPr>
      </w:pPr>
    </w:p>
    <w:p w14:paraId="26599311" w14:textId="77777777" w:rsidR="00AA3D42" w:rsidRPr="00955A4C" w:rsidRDefault="00AA3D42" w:rsidP="00AA3D42">
      <w:pPr>
        <w:spacing w:line="360" w:lineRule="auto"/>
        <w:jc w:val="both"/>
        <w:rPr>
          <w:sz w:val="20"/>
          <w:szCs w:val="20"/>
        </w:rPr>
      </w:pPr>
      <w:r w:rsidRPr="00955A4C">
        <w:rPr>
          <w:sz w:val="20"/>
          <w:szCs w:val="20"/>
        </w:rPr>
        <w:t xml:space="preserve">En congruencia con lo anterior, las políticas presupuestarias y de gasto del Estado, para el próximo ejercicio fiscal, son de prudencia, austeridad y estricta racionalidad en el ejercicio del gasto, focalizándose a los programas y proyectos prioritarios de mayor impacto social. </w:t>
      </w:r>
    </w:p>
    <w:p w14:paraId="556BCAD7" w14:textId="77777777" w:rsidR="00AA3D42" w:rsidRPr="00955A4C" w:rsidRDefault="00AA3D42" w:rsidP="00AA3D42">
      <w:pPr>
        <w:spacing w:line="360" w:lineRule="auto"/>
        <w:jc w:val="both"/>
        <w:rPr>
          <w:sz w:val="20"/>
          <w:szCs w:val="20"/>
        </w:rPr>
      </w:pPr>
    </w:p>
    <w:p w14:paraId="235187E1" w14:textId="77777777" w:rsidR="00AA3D42" w:rsidRPr="00955A4C" w:rsidRDefault="00AA3D42" w:rsidP="00AA3D42">
      <w:pPr>
        <w:spacing w:line="360" w:lineRule="auto"/>
        <w:jc w:val="both"/>
        <w:rPr>
          <w:sz w:val="20"/>
          <w:szCs w:val="20"/>
        </w:rPr>
      </w:pPr>
      <w:r w:rsidRPr="00955A4C">
        <w:rPr>
          <w:sz w:val="20"/>
          <w:szCs w:val="20"/>
        </w:rPr>
        <w:t xml:space="preserve">Este </w:t>
      </w:r>
      <w:r w:rsidRPr="00096094">
        <w:rPr>
          <w:rFonts w:eastAsia="Calibri"/>
          <w:sz w:val="20"/>
          <w:szCs w:val="20"/>
        </w:rPr>
        <w:t>Proyecto de Decreto de Presupuesto de Egresos del Estado de Tlaxcala para el Ejercicio Fiscal 202</w:t>
      </w:r>
      <w:r>
        <w:rPr>
          <w:rFonts w:eastAsia="Calibri"/>
          <w:sz w:val="20"/>
          <w:szCs w:val="20"/>
        </w:rPr>
        <w:t>1</w:t>
      </w:r>
      <w:r w:rsidRPr="00955A4C">
        <w:rPr>
          <w:sz w:val="20"/>
          <w:szCs w:val="20"/>
        </w:rPr>
        <w:t>, está fundamentado en los Criterios Generales siguientes:</w:t>
      </w:r>
    </w:p>
    <w:p w14:paraId="09D67A30" w14:textId="77777777" w:rsidR="00AA3D42" w:rsidRPr="00955A4C" w:rsidRDefault="00AA3D42" w:rsidP="00AA3D42">
      <w:pPr>
        <w:spacing w:line="360" w:lineRule="auto"/>
        <w:jc w:val="both"/>
        <w:rPr>
          <w:sz w:val="20"/>
          <w:szCs w:val="20"/>
        </w:rPr>
      </w:pPr>
    </w:p>
    <w:p w14:paraId="041A46CD"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 xml:space="preserve">Considera las expectativas y proyecciones económicas establecidas en los </w:t>
      </w:r>
      <w:r w:rsidRPr="007256C0">
        <w:rPr>
          <w:rFonts w:eastAsia="Calibri"/>
          <w:color w:val="000000" w:themeColor="text1"/>
          <w:sz w:val="20"/>
          <w:szCs w:val="20"/>
        </w:rPr>
        <w:t xml:space="preserve">Criterios Generales </w:t>
      </w:r>
      <w:r>
        <w:rPr>
          <w:rFonts w:eastAsia="Calibri"/>
          <w:color w:val="000000" w:themeColor="text1"/>
          <w:sz w:val="20"/>
          <w:szCs w:val="20"/>
        </w:rPr>
        <w:t>d</w:t>
      </w:r>
      <w:r w:rsidRPr="007256C0">
        <w:rPr>
          <w:rFonts w:eastAsia="Calibri"/>
          <w:color w:val="000000" w:themeColor="text1"/>
          <w:sz w:val="20"/>
          <w:szCs w:val="20"/>
        </w:rPr>
        <w:t xml:space="preserve">e Política Económica </w:t>
      </w:r>
      <w:r>
        <w:rPr>
          <w:rFonts w:eastAsia="Calibri"/>
          <w:color w:val="000000" w:themeColor="text1"/>
          <w:sz w:val="20"/>
          <w:szCs w:val="20"/>
        </w:rPr>
        <w:t>p</w:t>
      </w:r>
      <w:r w:rsidRPr="007256C0">
        <w:rPr>
          <w:rFonts w:eastAsia="Calibri"/>
          <w:color w:val="000000" w:themeColor="text1"/>
          <w:sz w:val="20"/>
          <w:szCs w:val="20"/>
        </w:rPr>
        <w:t xml:space="preserve">ara </w:t>
      </w:r>
      <w:r>
        <w:rPr>
          <w:rFonts w:eastAsia="Calibri"/>
          <w:color w:val="000000" w:themeColor="text1"/>
          <w:sz w:val="20"/>
          <w:szCs w:val="20"/>
        </w:rPr>
        <w:t>l</w:t>
      </w:r>
      <w:r w:rsidRPr="007256C0">
        <w:rPr>
          <w:rFonts w:eastAsia="Calibri"/>
          <w:color w:val="000000" w:themeColor="text1"/>
          <w:sz w:val="20"/>
          <w:szCs w:val="20"/>
        </w:rPr>
        <w:t xml:space="preserve">a Iniciativa </w:t>
      </w:r>
      <w:r>
        <w:rPr>
          <w:rFonts w:eastAsia="Calibri"/>
          <w:color w:val="000000" w:themeColor="text1"/>
          <w:sz w:val="20"/>
          <w:szCs w:val="20"/>
        </w:rPr>
        <w:t>d</w:t>
      </w:r>
      <w:r w:rsidRPr="007256C0">
        <w:rPr>
          <w:rFonts w:eastAsia="Calibri"/>
          <w:color w:val="000000" w:themeColor="text1"/>
          <w:sz w:val="20"/>
          <w:szCs w:val="20"/>
        </w:rPr>
        <w:t xml:space="preserve">e Ley </w:t>
      </w:r>
      <w:r>
        <w:rPr>
          <w:rFonts w:eastAsia="Calibri"/>
          <w:color w:val="000000" w:themeColor="text1"/>
          <w:sz w:val="20"/>
          <w:szCs w:val="20"/>
        </w:rPr>
        <w:t>d</w:t>
      </w:r>
      <w:r w:rsidRPr="007256C0">
        <w:rPr>
          <w:rFonts w:eastAsia="Calibri"/>
          <w:color w:val="000000" w:themeColor="text1"/>
          <w:sz w:val="20"/>
          <w:szCs w:val="20"/>
        </w:rPr>
        <w:t xml:space="preserve">e Ingresos </w:t>
      </w:r>
      <w:r>
        <w:rPr>
          <w:rFonts w:eastAsia="Calibri"/>
          <w:color w:val="000000" w:themeColor="text1"/>
          <w:sz w:val="20"/>
          <w:szCs w:val="20"/>
        </w:rPr>
        <w:t>y</w:t>
      </w:r>
      <w:r w:rsidRPr="007256C0">
        <w:rPr>
          <w:rFonts w:eastAsia="Calibri"/>
          <w:color w:val="000000" w:themeColor="text1"/>
          <w:sz w:val="20"/>
          <w:szCs w:val="20"/>
        </w:rPr>
        <w:t xml:space="preserve"> </w:t>
      </w:r>
      <w:r>
        <w:rPr>
          <w:rFonts w:eastAsia="Calibri"/>
          <w:color w:val="000000" w:themeColor="text1"/>
          <w:sz w:val="20"/>
          <w:szCs w:val="20"/>
        </w:rPr>
        <w:t>e</w:t>
      </w:r>
      <w:r w:rsidRPr="007256C0">
        <w:rPr>
          <w:rFonts w:eastAsia="Calibri"/>
          <w:color w:val="000000" w:themeColor="text1"/>
          <w:sz w:val="20"/>
          <w:szCs w:val="20"/>
        </w:rPr>
        <w:t xml:space="preserve">l Proyecto </w:t>
      </w:r>
      <w:r>
        <w:rPr>
          <w:rFonts w:eastAsia="Calibri"/>
          <w:color w:val="000000" w:themeColor="text1"/>
          <w:sz w:val="20"/>
          <w:szCs w:val="20"/>
        </w:rPr>
        <w:t>d</w:t>
      </w:r>
      <w:r w:rsidRPr="007256C0">
        <w:rPr>
          <w:rFonts w:eastAsia="Calibri"/>
          <w:color w:val="000000" w:themeColor="text1"/>
          <w:sz w:val="20"/>
          <w:szCs w:val="20"/>
        </w:rPr>
        <w:t xml:space="preserve">e Presupuesto </w:t>
      </w:r>
      <w:r>
        <w:rPr>
          <w:rFonts w:eastAsia="Calibri"/>
          <w:color w:val="000000" w:themeColor="text1"/>
          <w:sz w:val="20"/>
          <w:szCs w:val="20"/>
        </w:rPr>
        <w:t>d</w:t>
      </w:r>
      <w:r w:rsidRPr="007256C0">
        <w:rPr>
          <w:rFonts w:eastAsia="Calibri"/>
          <w:color w:val="000000" w:themeColor="text1"/>
          <w:sz w:val="20"/>
          <w:szCs w:val="20"/>
        </w:rPr>
        <w:t xml:space="preserve">e </w:t>
      </w:r>
      <w:r w:rsidRPr="007256C0">
        <w:rPr>
          <w:rFonts w:eastAsia="Calibri"/>
          <w:color w:val="000000" w:themeColor="text1"/>
          <w:sz w:val="20"/>
          <w:szCs w:val="20"/>
        </w:rPr>
        <w:lastRenderedPageBreak/>
        <w:t xml:space="preserve">Egresos </w:t>
      </w:r>
      <w:r>
        <w:rPr>
          <w:rFonts w:eastAsia="Calibri"/>
          <w:color w:val="000000" w:themeColor="text1"/>
          <w:sz w:val="20"/>
          <w:szCs w:val="20"/>
        </w:rPr>
        <w:t>d</w:t>
      </w:r>
      <w:r w:rsidRPr="007256C0">
        <w:rPr>
          <w:rFonts w:eastAsia="Calibri"/>
          <w:color w:val="000000" w:themeColor="text1"/>
          <w:sz w:val="20"/>
          <w:szCs w:val="20"/>
        </w:rPr>
        <w:t xml:space="preserve">e </w:t>
      </w:r>
      <w:r>
        <w:rPr>
          <w:rFonts w:eastAsia="Calibri"/>
          <w:color w:val="000000" w:themeColor="text1"/>
          <w:sz w:val="20"/>
          <w:szCs w:val="20"/>
        </w:rPr>
        <w:t>l</w:t>
      </w:r>
      <w:r w:rsidRPr="007256C0">
        <w:rPr>
          <w:rFonts w:eastAsia="Calibri"/>
          <w:color w:val="000000" w:themeColor="text1"/>
          <w:sz w:val="20"/>
          <w:szCs w:val="20"/>
        </w:rPr>
        <w:t xml:space="preserve">a Federación </w:t>
      </w:r>
      <w:r>
        <w:rPr>
          <w:rFonts w:eastAsia="Calibri"/>
          <w:color w:val="000000" w:themeColor="text1"/>
          <w:sz w:val="20"/>
          <w:szCs w:val="20"/>
        </w:rPr>
        <w:t>c</w:t>
      </w:r>
      <w:r w:rsidRPr="007256C0">
        <w:rPr>
          <w:rFonts w:eastAsia="Calibri"/>
          <w:color w:val="000000" w:themeColor="text1"/>
          <w:sz w:val="20"/>
          <w:szCs w:val="20"/>
        </w:rPr>
        <w:t xml:space="preserve">orrespondientes </w:t>
      </w:r>
      <w:r>
        <w:rPr>
          <w:rFonts w:eastAsia="Calibri"/>
          <w:color w:val="000000" w:themeColor="text1"/>
          <w:sz w:val="20"/>
          <w:szCs w:val="20"/>
        </w:rPr>
        <w:t>a</w:t>
      </w:r>
      <w:r w:rsidRPr="007256C0">
        <w:rPr>
          <w:rFonts w:eastAsia="Calibri"/>
          <w:color w:val="000000" w:themeColor="text1"/>
          <w:sz w:val="20"/>
          <w:szCs w:val="20"/>
        </w:rPr>
        <w:t>l Ejercicio Fiscal 202</w:t>
      </w:r>
      <w:r>
        <w:rPr>
          <w:rFonts w:eastAsia="Calibri"/>
          <w:color w:val="000000" w:themeColor="text1"/>
          <w:sz w:val="20"/>
          <w:szCs w:val="20"/>
        </w:rPr>
        <w:t>1</w:t>
      </w:r>
      <w:r w:rsidRPr="00955A4C">
        <w:rPr>
          <w:rFonts w:eastAsia="Calibri"/>
          <w:color w:val="000000" w:themeColor="text1"/>
          <w:sz w:val="20"/>
          <w:szCs w:val="20"/>
        </w:rPr>
        <w:t xml:space="preserve"> (CGPE)</w:t>
      </w:r>
      <w:r w:rsidRPr="00955A4C">
        <w:rPr>
          <w:sz w:val="20"/>
          <w:szCs w:val="20"/>
        </w:rPr>
        <w:t>, la Política de Gasto del Poder Ejecutivo Federal</w:t>
      </w:r>
      <w:r w:rsidRPr="00955A4C">
        <w:rPr>
          <w:spacing w:val="-21"/>
          <w:sz w:val="20"/>
          <w:szCs w:val="20"/>
        </w:rPr>
        <w:t xml:space="preserve"> </w:t>
      </w:r>
      <w:r w:rsidRPr="00955A4C">
        <w:rPr>
          <w:sz w:val="20"/>
          <w:szCs w:val="20"/>
        </w:rPr>
        <w:t>202</w:t>
      </w:r>
      <w:r>
        <w:rPr>
          <w:sz w:val="20"/>
          <w:szCs w:val="20"/>
        </w:rPr>
        <w:t>1</w:t>
      </w:r>
      <w:r w:rsidRPr="00955A4C">
        <w:rPr>
          <w:sz w:val="20"/>
          <w:szCs w:val="20"/>
        </w:rPr>
        <w:t>.</w:t>
      </w:r>
    </w:p>
    <w:p w14:paraId="7F1AE542"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Congruencia</w:t>
      </w:r>
      <w:r w:rsidRPr="00955A4C">
        <w:rPr>
          <w:spacing w:val="-3"/>
          <w:sz w:val="20"/>
          <w:szCs w:val="20"/>
        </w:rPr>
        <w:t xml:space="preserve"> </w:t>
      </w:r>
      <w:r w:rsidRPr="00955A4C">
        <w:rPr>
          <w:sz w:val="20"/>
          <w:szCs w:val="20"/>
        </w:rPr>
        <w:t>con</w:t>
      </w:r>
      <w:r w:rsidRPr="00955A4C">
        <w:rPr>
          <w:spacing w:val="-3"/>
          <w:sz w:val="20"/>
          <w:szCs w:val="20"/>
        </w:rPr>
        <w:t xml:space="preserve"> </w:t>
      </w:r>
      <w:r w:rsidRPr="00955A4C">
        <w:rPr>
          <w:sz w:val="20"/>
          <w:szCs w:val="20"/>
        </w:rPr>
        <w:t>los</w:t>
      </w:r>
      <w:r w:rsidRPr="00955A4C">
        <w:rPr>
          <w:spacing w:val="-3"/>
          <w:sz w:val="20"/>
          <w:szCs w:val="20"/>
        </w:rPr>
        <w:t xml:space="preserve"> </w:t>
      </w:r>
      <w:r w:rsidRPr="00955A4C">
        <w:rPr>
          <w:sz w:val="20"/>
          <w:szCs w:val="20"/>
        </w:rPr>
        <w:t>criterios</w:t>
      </w:r>
      <w:r w:rsidRPr="00955A4C">
        <w:rPr>
          <w:spacing w:val="-3"/>
          <w:sz w:val="20"/>
          <w:szCs w:val="20"/>
        </w:rPr>
        <w:t xml:space="preserve"> </w:t>
      </w:r>
      <w:r w:rsidRPr="00955A4C">
        <w:rPr>
          <w:sz w:val="20"/>
          <w:szCs w:val="20"/>
        </w:rPr>
        <w:t>económicos</w:t>
      </w:r>
      <w:r w:rsidRPr="00955A4C">
        <w:rPr>
          <w:spacing w:val="-3"/>
          <w:sz w:val="20"/>
          <w:szCs w:val="20"/>
        </w:rPr>
        <w:t xml:space="preserve"> </w:t>
      </w:r>
      <w:r w:rsidRPr="00955A4C">
        <w:rPr>
          <w:sz w:val="20"/>
          <w:szCs w:val="20"/>
        </w:rPr>
        <w:t>planteados</w:t>
      </w:r>
      <w:r w:rsidRPr="00955A4C">
        <w:rPr>
          <w:spacing w:val="-3"/>
          <w:sz w:val="20"/>
          <w:szCs w:val="20"/>
        </w:rPr>
        <w:t xml:space="preserve"> </w:t>
      </w:r>
      <w:r w:rsidRPr="00955A4C">
        <w:rPr>
          <w:sz w:val="20"/>
          <w:szCs w:val="20"/>
        </w:rPr>
        <w:t>en</w:t>
      </w:r>
      <w:r w:rsidRPr="00955A4C">
        <w:rPr>
          <w:spacing w:val="-3"/>
          <w:sz w:val="20"/>
          <w:szCs w:val="20"/>
        </w:rPr>
        <w:t xml:space="preserve"> </w:t>
      </w:r>
      <w:r w:rsidRPr="00955A4C">
        <w:rPr>
          <w:sz w:val="20"/>
          <w:szCs w:val="20"/>
        </w:rPr>
        <w:t>la</w:t>
      </w:r>
      <w:r w:rsidRPr="00955A4C">
        <w:rPr>
          <w:spacing w:val="-3"/>
          <w:sz w:val="20"/>
          <w:szCs w:val="20"/>
        </w:rPr>
        <w:t xml:space="preserve"> </w:t>
      </w:r>
      <w:r w:rsidRPr="00955A4C">
        <w:rPr>
          <w:sz w:val="20"/>
          <w:szCs w:val="20"/>
        </w:rPr>
        <w:t>Iniciativa</w:t>
      </w:r>
      <w:r w:rsidRPr="00955A4C">
        <w:rPr>
          <w:spacing w:val="-3"/>
          <w:sz w:val="20"/>
          <w:szCs w:val="20"/>
        </w:rPr>
        <w:t xml:space="preserve"> </w:t>
      </w:r>
      <w:r w:rsidRPr="00955A4C">
        <w:rPr>
          <w:sz w:val="20"/>
          <w:szCs w:val="20"/>
        </w:rPr>
        <w:t>de</w:t>
      </w:r>
      <w:r w:rsidRPr="00955A4C">
        <w:rPr>
          <w:spacing w:val="-3"/>
          <w:sz w:val="20"/>
          <w:szCs w:val="20"/>
        </w:rPr>
        <w:t xml:space="preserve"> </w:t>
      </w:r>
      <w:r w:rsidRPr="00955A4C">
        <w:rPr>
          <w:sz w:val="20"/>
          <w:szCs w:val="20"/>
        </w:rPr>
        <w:t>Ley</w:t>
      </w:r>
      <w:r w:rsidRPr="00955A4C">
        <w:rPr>
          <w:spacing w:val="-6"/>
          <w:sz w:val="20"/>
          <w:szCs w:val="20"/>
        </w:rPr>
        <w:t xml:space="preserve"> </w:t>
      </w:r>
      <w:r w:rsidRPr="00955A4C">
        <w:rPr>
          <w:sz w:val="20"/>
          <w:szCs w:val="20"/>
        </w:rPr>
        <w:t>de</w:t>
      </w:r>
      <w:r w:rsidRPr="00955A4C">
        <w:rPr>
          <w:spacing w:val="-3"/>
          <w:sz w:val="20"/>
          <w:szCs w:val="20"/>
        </w:rPr>
        <w:t xml:space="preserve"> </w:t>
      </w:r>
      <w:r w:rsidRPr="00955A4C">
        <w:rPr>
          <w:sz w:val="20"/>
          <w:szCs w:val="20"/>
        </w:rPr>
        <w:t>Ingresos</w:t>
      </w:r>
      <w:r w:rsidRPr="00955A4C">
        <w:rPr>
          <w:spacing w:val="-3"/>
          <w:sz w:val="20"/>
          <w:szCs w:val="20"/>
        </w:rPr>
        <w:t xml:space="preserve"> </w:t>
      </w:r>
      <w:r w:rsidRPr="00955A4C">
        <w:rPr>
          <w:sz w:val="20"/>
          <w:szCs w:val="20"/>
        </w:rPr>
        <w:t>del</w:t>
      </w:r>
      <w:r w:rsidRPr="00955A4C">
        <w:rPr>
          <w:spacing w:val="-3"/>
          <w:sz w:val="20"/>
          <w:szCs w:val="20"/>
        </w:rPr>
        <w:t xml:space="preserve"> </w:t>
      </w:r>
      <w:r w:rsidRPr="00955A4C">
        <w:rPr>
          <w:sz w:val="20"/>
          <w:szCs w:val="20"/>
        </w:rPr>
        <w:t>Estado</w:t>
      </w:r>
      <w:r w:rsidRPr="00955A4C">
        <w:rPr>
          <w:spacing w:val="-2"/>
          <w:sz w:val="20"/>
          <w:szCs w:val="20"/>
        </w:rPr>
        <w:t xml:space="preserve"> </w:t>
      </w:r>
      <w:r w:rsidRPr="00955A4C">
        <w:rPr>
          <w:sz w:val="20"/>
          <w:szCs w:val="20"/>
        </w:rPr>
        <w:t>de</w:t>
      </w:r>
      <w:r w:rsidRPr="00955A4C">
        <w:rPr>
          <w:spacing w:val="-6"/>
          <w:sz w:val="20"/>
          <w:szCs w:val="20"/>
        </w:rPr>
        <w:t xml:space="preserve"> </w:t>
      </w:r>
      <w:r w:rsidRPr="00955A4C">
        <w:rPr>
          <w:sz w:val="20"/>
          <w:szCs w:val="20"/>
        </w:rPr>
        <w:t>Tlaxcala, para el Ejercicio Fiscal 202</w:t>
      </w:r>
      <w:r>
        <w:rPr>
          <w:sz w:val="20"/>
          <w:szCs w:val="20"/>
        </w:rPr>
        <w:t>1</w:t>
      </w:r>
      <w:r w:rsidRPr="00955A4C">
        <w:rPr>
          <w:sz w:val="20"/>
          <w:szCs w:val="20"/>
        </w:rPr>
        <w:t>; para garantizar la viabilidad, equilibrio y sustentabilidad financiera del gasto público.</w:t>
      </w:r>
    </w:p>
    <w:p w14:paraId="45DA1D6C"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Se alinea con las Políticas, Objetivos, Estrategias, Líneas y Sublíneas de Acción derivados del Plan Estatal de Desarrollo del Estado de Tlaxcala 2017-2021, por lo que sus asignaciones se articulan con el objeto sustancial de mantener y fortalecer la calidad de vida de los tlaxcaltecas y consolidar el crecimiento y desarrollo de la economía del</w:t>
      </w:r>
      <w:r w:rsidRPr="00955A4C">
        <w:rPr>
          <w:spacing w:val="-27"/>
          <w:sz w:val="20"/>
          <w:szCs w:val="20"/>
        </w:rPr>
        <w:t xml:space="preserve"> </w:t>
      </w:r>
      <w:r w:rsidRPr="00955A4C">
        <w:rPr>
          <w:sz w:val="20"/>
          <w:szCs w:val="20"/>
        </w:rPr>
        <w:t>Estado.</w:t>
      </w:r>
    </w:p>
    <w:p w14:paraId="5BA7893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Prevé la racionalización del gasto público mediante la contención de los servicios personales y la reducción del gasto corriente, así como la simplificación administrativa, con el objeto de reorientar los ahorros a programas prioritarios, de educación, salud y empleo que contribuyan a hacer más eficientes los servicios de proyectos de inversión pública y programas</w:t>
      </w:r>
      <w:r w:rsidRPr="00955A4C">
        <w:rPr>
          <w:spacing w:val="-14"/>
          <w:sz w:val="20"/>
          <w:szCs w:val="20"/>
        </w:rPr>
        <w:t xml:space="preserve"> </w:t>
      </w:r>
      <w:r w:rsidRPr="00955A4C">
        <w:rPr>
          <w:sz w:val="20"/>
          <w:szCs w:val="20"/>
        </w:rPr>
        <w:t>sociales.</w:t>
      </w:r>
    </w:p>
    <w:p w14:paraId="454883D6"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Se</w:t>
      </w:r>
      <w:r w:rsidRPr="00955A4C">
        <w:rPr>
          <w:spacing w:val="-13"/>
          <w:sz w:val="20"/>
          <w:szCs w:val="20"/>
        </w:rPr>
        <w:t xml:space="preserve"> </w:t>
      </w:r>
      <w:r w:rsidRPr="00955A4C">
        <w:rPr>
          <w:sz w:val="20"/>
          <w:szCs w:val="20"/>
        </w:rPr>
        <w:t>priorizan</w:t>
      </w:r>
      <w:r w:rsidRPr="00955A4C">
        <w:rPr>
          <w:spacing w:val="-13"/>
          <w:sz w:val="20"/>
          <w:szCs w:val="20"/>
        </w:rPr>
        <w:t xml:space="preserve"> </w:t>
      </w:r>
      <w:r w:rsidRPr="00955A4C">
        <w:rPr>
          <w:sz w:val="20"/>
          <w:szCs w:val="20"/>
        </w:rPr>
        <w:t>proyectos</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programas</w:t>
      </w:r>
      <w:r w:rsidRPr="00955A4C">
        <w:rPr>
          <w:spacing w:val="-13"/>
          <w:sz w:val="20"/>
          <w:szCs w:val="20"/>
        </w:rPr>
        <w:t xml:space="preserve"> </w:t>
      </w:r>
      <w:r w:rsidRPr="00955A4C">
        <w:rPr>
          <w:sz w:val="20"/>
          <w:szCs w:val="20"/>
        </w:rPr>
        <w:t>de</w:t>
      </w:r>
      <w:r w:rsidRPr="00955A4C">
        <w:rPr>
          <w:spacing w:val="-12"/>
          <w:sz w:val="20"/>
          <w:szCs w:val="20"/>
        </w:rPr>
        <w:t xml:space="preserve"> </w:t>
      </w:r>
      <w:r w:rsidRPr="00955A4C">
        <w:rPr>
          <w:sz w:val="20"/>
          <w:szCs w:val="20"/>
        </w:rPr>
        <w:t>salud,</w:t>
      </w:r>
      <w:r w:rsidRPr="00955A4C">
        <w:rPr>
          <w:spacing w:val="-12"/>
          <w:sz w:val="20"/>
          <w:szCs w:val="20"/>
        </w:rPr>
        <w:t xml:space="preserve"> </w:t>
      </w:r>
      <w:r w:rsidRPr="00955A4C">
        <w:rPr>
          <w:sz w:val="20"/>
          <w:szCs w:val="20"/>
        </w:rPr>
        <w:t>educación</w:t>
      </w:r>
      <w:r w:rsidRPr="00955A4C">
        <w:rPr>
          <w:spacing w:val="-11"/>
          <w:sz w:val="20"/>
          <w:szCs w:val="20"/>
        </w:rPr>
        <w:t xml:space="preserve"> </w:t>
      </w:r>
      <w:r w:rsidRPr="00955A4C">
        <w:rPr>
          <w:sz w:val="20"/>
          <w:szCs w:val="20"/>
        </w:rPr>
        <w:t>y</w:t>
      </w:r>
      <w:r w:rsidRPr="00955A4C">
        <w:rPr>
          <w:spacing w:val="-16"/>
          <w:sz w:val="20"/>
          <w:szCs w:val="20"/>
        </w:rPr>
        <w:t xml:space="preserve"> </w:t>
      </w:r>
      <w:r w:rsidRPr="00955A4C">
        <w:rPr>
          <w:sz w:val="20"/>
          <w:szCs w:val="20"/>
        </w:rPr>
        <w:t>bienestar</w:t>
      </w:r>
      <w:r w:rsidRPr="00955A4C">
        <w:rPr>
          <w:spacing w:val="-12"/>
          <w:sz w:val="20"/>
          <w:szCs w:val="20"/>
        </w:rPr>
        <w:t xml:space="preserve"> </w:t>
      </w:r>
      <w:r w:rsidRPr="00955A4C">
        <w:rPr>
          <w:sz w:val="20"/>
          <w:szCs w:val="20"/>
        </w:rPr>
        <w:t>social,</w:t>
      </w:r>
      <w:r w:rsidRPr="00955A4C">
        <w:rPr>
          <w:spacing w:val="-12"/>
          <w:sz w:val="20"/>
          <w:szCs w:val="20"/>
        </w:rPr>
        <w:t xml:space="preserve"> </w:t>
      </w:r>
      <w:r w:rsidRPr="00955A4C">
        <w:rPr>
          <w:sz w:val="20"/>
          <w:szCs w:val="20"/>
        </w:rPr>
        <w:t>desarrollo</w:t>
      </w:r>
      <w:r w:rsidRPr="00955A4C">
        <w:rPr>
          <w:spacing w:val="-12"/>
          <w:sz w:val="20"/>
          <w:szCs w:val="20"/>
        </w:rPr>
        <w:t xml:space="preserve"> </w:t>
      </w:r>
      <w:r w:rsidRPr="00955A4C">
        <w:rPr>
          <w:sz w:val="20"/>
          <w:szCs w:val="20"/>
        </w:rPr>
        <w:t>económico,</w:t>
      </w:r>
      <w:r w:rsidRPr="00955A4C">
        <w:rPr>
          <w:spacing w:val="-12"/>
          <w:sz w:val="20"/>
          <w:szCs w:val="20"/>
        </w:rPr>
        <w:t xml:space="preserve"> </w:t>
      </w:r>
      <w:r w:rsidRPr="00955A4C">
        <w:rPr>
          <w:sz w:val="20"/>
          <w:szCs w:val="20"/>
        </w:rPr>
        <w:t>apoyo</w:t>
      </w:r>
      <w:r w:rsidRPr="00955A4C">
        <w:rPr>
          <w:spacing w:val="-12"/>
          <w:sz w:val="20"/>
          <w:szCs w:val="20"/>
        </w:rPr>
        <w:t xml:space="preserve"> </w:t>
      </w:r>
      <w:r w:rsidRPr="00955A4C">
        <w:rPr>
          <w:sz w:val="20"/>
          <w:szCs w:val="20"/>
        </w:rPr>
        <w:t>a</w:t>
      </w:r>
      <w:r w:rsidRPr="00955A4C">
        <w:rPr>
          <w:spacing w:val="-12"/>
          <w:sz w:val="20"/>
          <w:szCs w:val="20"/>
        </w:rPr>
        <w:t xml:space="preserve"> </w:t>
      </w:r>
      <w:r w:rsidRPr="00955A4C">
        <w:rPr>
          <w:sz w:val="20"/>
          <w:szCs w:val="20"/>
        </w:rPr>
        <w:t>jóvenes y mujeres, grupos vulnerables, apoyo al campo e impulso de la infraestructura social y productiva, así como de seguridad pública, prevención del delito y justicia penal, para mejorar los niveles de bienestar social y propiciar la generación de</w:t>
      </w:r>
      <w:r w:rsidRPr="00955A4C">
        <w:rPr>
          <w:spacing w:val="-8"/>
          <w:sz w:val="20"/>
          <w:szCs w:val="20"/>
        </w:rPr>
        <w:t xml:space="preserve"> </w:t>
      </w:r>
      <w:r w:rsidRPr="00955A4C">
        <w:rPr>
          <w:sz w:val="20"/>
          <w:szCs w:val="20"/>
        </w:rPr>
        <w:t>empleos.</w:t>
      </w:r>
    </w:p>
    <w:p w14:paraId="09F675B2"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Garantizar</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priorizar</w:t>
      </w:r>
      <w:r w:rsidRPr="00955A4C">
        <w:rPr>
          <w:spacing w:val="-4"/>
          <w:sz w:val="20"/>
          <w:szCs w:val="20"/>
        </w:rPr>
        <w:t xml:space="preserve"> </w:t>
      </w:r>
      <w:r w:rsidRPr="00955A4C">
        <w:rPr>
          <w:sz w:val="20"/>
          <w:szCs w:val="20"/>
        </w:rPr>
        <w:t>la</w:t>
      </w:r>
      <w:r w:rsidRPr="00955A4C">
        <w:rPr>
          <w:spacing w:val="-7"/>
          <w:sz w:val="20"/>
          <w:szCs w:val="20"/>
        </w:rPr>
        <w:t xml:space="preserve"> </w:t>
      </w:r>
      <w:r w:rsidRPr="00955A4C">
        <w:rPr>
          <w:sz w:val="20"/>
          <w:szCs w:val="20"/>
        </w:rPr>
        <w:t>asignación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los</w:t>
      </w:r>
      <w:r w:rsidRPr="00955A4C">
        <w:rPr>
          <w:spacing w:val="-6"/>
          <w:sz w:val="20"/>
          <w:szCs w:val="20"/>
        </w:rPr>
        <w:t xml:space="preserve"> </w:t>
      </w:r>
      <w:r w:rsidRPr="00955A4C">
        <w:rPr>
          <w:sz w:val="20"/>
          <w:szCs w:val="20"/>
        </w:rPr>
        <w:t>recursos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5"/>
          <w:sz w:val="20"/>
          <w:szCs w:val="20"/>
        </w:rPr>
        <w:t xml:space="preserve"> </w:t>
      </w:r>
      <w:r w:rsidRPr="00955A4C">
        <w:rPr>
          <w:sz w:val="20"/>
          <w:szCs w:val="20"/>
        </w:rPr>
        <w:t>obras</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acciones</w:t>
      </w:r>
      <w:r w:rsidRPr="00955A4C">
        <w:rPr>
          <w:spacing w:val="-6"/>
          <w:sz w:val="20"/>
          <w:szCs w:val="20"/>
        </w:rPr>
        <w:t xml:space="preserve"> </w:t>
      </w:r>
      <w:r w:rsidRPr="00955A4C">
        <w:rPr>
          <w:sz w:val="20"/>
          <w:szCs w:val="20"/>
        </w:rPr>
        <w:t>de</w:t>
      </w:r>
      <w:r w:rsidRPr="00955A4C">
        <w:rPr>
          <w:spacing w:val="-5"/>
          <w:sz w:val="20"/>
          <w:szCs w:val="20"/>
        </w:rPr>
        <w:t xml:space="preserve"> </w:t>
      </w:r>
      <w:r w:rsidRPr="00955A4C">
        <w:rPr>
          <w:sz w:val="20"/>
          <w:szCs w:val="20"/>
        </w:rPr>
        <w:t>alto</w:t>
      </w:r>
      <w:r w:rsidRPr="00955A4C">
        <w:rPr>
          <w:spacing w:val="-4"/>
          <w:sz w:val="20"/>
          <w:szCs w:val="20"/>
        </w:rPr>
        <w:t xml:space="preserve"> </w:t>
      </w:r>
      <w:r w:rsidRPr="00955A4C">
        <w:rPr>
          <w:sz w:val="20"/>
          <w:szCs w:val="20"/>
        </w:rPr>
        <w:t>impacto</w:t>
      </w:r>
      <w:r w:rsidRPr="00955A4C">
        <w:rPr>
          <w:spacing w:val="-2"/>
          <w:sz w:val="20"/>
          <w:szCs w:val="20"/>
        </w:rPr>
        <w:t xml:space="preserve"> </w:t>
      </w:r>
      <w:r w:rsidRPr="00955A4C">
        <w:rPr>
          <w:sz w:val="20"/>
          <w:szCs w:val="20"/>
        </w:rPr>
        <w:t>y</w:t>
      </w:r>
      <w:r w:rsidRPr="00955A4C">
        <w:rPr>
          <w:spacing w:val="-8"/>
          <w:sz w:val="20"/>
          <w:szCs w:val="20"/>
        </w:rPr>
        <w:t xml:space="preserve"> </w:t>
      </w:r>
      <w:r w:rsidRPr="00955A4C">
        <w:rPr>
          <w:sz w:val="20"/>
          <w:szCs w:val="20"/>
        </w:rPr>
        <w:t>beneficio social, que incidan en el desarrollo económico y social, para elevar el nivel de vida de la</w:t>
      </w:r>
      <w:r w:rsidRPr="00955A4C">
        <w:rPr>
          <w:spacing w:val="-15"/>
          <w:sz w:val="20"/>
          <w:szCs w:val="20"/>
        </w:rPr>
        <w:t xml:space="preserve"> </w:t>
      </w:r>
      <w:r w:rsidRPr="00955A4C">
        <w:rPr>
          <w:sz w:val="20"/>
          <w:szCs w:val="20"/>
        </w:rPr>
        <w:t>población.</w:t>
      </w:r>
    </w:p>
    <w:p w14:paraId="4F0DF60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Dar acceso a la población a sus derechos sociales y reducir la</w:t>
      </w:r>
      <w:r w:rsidRPr="00955A4C">
        <w:rPr>
          <w:spacing w:val="-18"/>
          <w:sz w:val="20"/>
          <w:szCs w:val="20"/>
        </w:rPr>
        <w:t xml:space="preserve"> </w:t>
      </w:r>
      <w:r w:rsidRPr="00955A4C">
        <w:rPr>
          <w:sz w:val="20"/>
          <w:szCs w:val="20"/>
        </w:rPr>
        <w:t>pobreza.</w:t>
      </w:r>
    </w:p>
    <w:p w14:paraId="65A4EFA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Combatir la carencia alimentaria y mejorar el acceso a la salud, seguridad social, vivienda y apoyo al empleo; conforme el programa de inclusión social de la Secretaría de Bienestar.</w:t>
      </w:r>
    </w:p>
    <w:p w14:paraId="038B4DA3"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Identificar con precisión la población objetivo, privilegiando a los de menos</w:t>
      </w:r>
      <w:r w:rsidRPr="00955A4C">
        <w:rPr>
          <w:spacing w:val="-27"/>
          <w:sz w:val="20"/>
          <w:szCs w:val="20"/>
        </w:rPr>
        <w:t xml:space="preserve"> </w:t>
      </w:r>
      <w:r w:rsidRPr="00955A4C">
        <w:rPr>
          <w:sz w:val="20"/>
          <w:szCs w:val="20"/>
        </w:rPr>
        <w:t>ingresos.</w:t>
      </w:r>
    </w:p>
    <w:p w14:paraId="122E29E1"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Procurar</w:t>
      </w:r>
      <w:r w:rsidRPr="00955A4C">
        <w:rPr>
          <w:spacing w:val="-14"/>
          <w:sz w:val="20"/>
          <w:szCs w:val="20"/>
        </w:rPr>
        <w:t xml:space="preserve"> </w:t>
      </w:r>
      <w:r w:rsidRPr="00955A4C">
        <w:rPr>
          <w:sz w:val="20"/>
          <w:szCs w:val="20"/>
        </w:rPr>
        <w:t>que</w:t>
      </w:r>
      <w:r w:rsidRPr="00955A4C">
        <w:rPr>
          <w:spacing w:val="-13"/>
          <w:sz w:val="20"/>
          <w:szCs w:val="20"/>
        </w:rPr>
        <w:t xml:space="preserve"> </w:t>
      </w:r>
      <w:r w:rsidRPr="00955A4C">
        <w:rPr>
          <w:sz w:val="20"/>
          <w:szCs w:val="20"/>
        </w:rPr>
        <w:t>el</w:t>
      </w:r>
      <w:r w:rsidRPr="00955A4C">
        <w:rPr>
          <w:spacing w:val="-13"/>
          <w:sz w:val="20"/>
          <w:szCs w:val="20"/>
        </w:rPr>
        <w:t xml:space="preserve"> </w:t>
      </w:r>
      <w:r w:rsidRPr="00955A4C">
        <w:rPr>
          <w:sz w:val="20"/>
          <w:szCs w:val="20"/>
        </w:rPr>
        <w:t>mecanismo</w:t>
      </w:r>
      <w:r w:rsidRPr="00955A4C">
        <w:rPr>
          <w:spacing w:val="-13"/>
          <w:sz w:val="20"/>
          <w:szCs w:val="20"/>
        </w:rPr>
        <w:t xml:space="preserve"> </w:t>
      </w:r>
      <w:r w:rsidRPr="00955A4C">
        <w:rPr>
          <w:sz w:val="20"/>
          <w:szCs w:val="20"/>
        </w:rPr>
        <w:t>de</w:t>
      </w:r>
      <w:r w:rsidRPr="00955A4C">
        <w:rPr>
          <w:spacing w:val="-13"/>
          <w:sz w:val="20"/>
          <w:szCs w:val="20"/>
        </w:rPr>
        <w:t xml:space="preserve"> </w:t>
      </w:r>
      <w:r w:rsidRPr="00955A4C">
        <w:rPr>
          <w:sz w:val="20"/>
          <w:szCs w:val="20"/>
        </w:rPr>
        <w:t>distribución,</w:t>
      </w:r>
      <w:r w:rsidRPr="00955A4C">
        <w:rPr>
          <w:spacing w:val="-13"/>
          <w:sz w:val="20"/>
          <w:szCs w:val="20"/>
        </w:rPr>
        <w:t xml:space="preserve"> </w:t>
      </w:r>
      <w:r w:rsidRPr="00955A4C">
        <w:rPr>
          <w:sz w:val="20"/>
          <w:szCs w:val="20"/>
        </w:rPr>
        <w:t>operación</w:t>
      </w:r>
      <w:r w:rsidRPr="00955A4C">
        <w:rPr>
          <w:spacing w:val="-12"/>
          <w:sz w:val="20"/>
          <w:szCs w:val="20"/>
        </w:rPr>
        <w:t xml:space="preserve"> </w:t>
      </w:r>
      <w:r w:rsidRPr="00955A4C">
        <w:rPr>
          <w:sz w:val="20"/>
          <w:szCs w:val="20"/>
        </w:rPr>
        <w:t>y</w:t>
      </w:r>
      <w:r w:rsidRPr="00955A4C">
        <w:rPr>
          <w:spacing w:val="-16"/>
          <w:sz w:val="20"/>
          <w:szCs w:val="20"/>
        </w:rPr>
        <w:t xml:space="preserve"> </w:t>
      </w:r>
      <w:r w:rsidRPr="00955A4C">
        <w:rPr>
          <w:sz w:val="20"/>
          <w:szCs w:val="20"/>
        </w:rPr>
        <w:t>administración</w:t>
      </w:r>
      <w:r w:rsidRPr="00955A4C">
        <w:rPr>
          <w:spacing w:val="-14"/>
          <w:sz w:val="20"/>
          <w:szCs w:val="20"/>
        </w:rPr>
        <w:t xml:space="preserve"> </w:t>
      </w:r>
      <w:r w:rsidRPr="00955A4C">
        <w:rPr>
          <w:sz w:val="20"/>
          <w:szCs w:val="20"/>
        </w:rPr>
        <w:t>del</w:t>
      </w:r>
      <w:r w:rsidRPr="00955A4C">
        <w:rPr>
          <w:spacing w:val="-13"/>
          <w:sz w:val="20"/>
          <w:szCs w:val="20"/>
        </w:rPr>
        <w:t xml:space="preserve"> </w:t>
      </w:r>
      <w:r w:rsidRPr="00955A4C">
        <w:rPr>
          <w:sz w:val="20"/>
          <w:szCs w:val="20"/>
        </w:rPr>
        <w:t>presupuesto</w:t>
      </w:r>
      <w:r w:rsidRPr="00955A4C">
        <w:rPr>
          <w:spacing w:val="-13"/>
          <w:sz w:val="20"/>
          <w:szCs w:val="20"/>
        </w:rPr>
        <w:t xml:space="preserve"> </w:t>
      </w:r>
      <w:r w:rsidRPr="00955A4C">
        <w:rPr>
          <w:sz w:val="20"/>
          <w:szCs w:val="20"/>
        </w:rPr>
        <w:t>otorgue</w:t>
      </w:r>
      <w:r w:rsidRPr="00955A4C">
        <w:rPr>
          <w:spacing w:val="-13"/>
          <w:sz w:val="20"/>
          <w:szCs w:val="20"/>
        </w:rPr>
        <w:t xml:space="preserve"> </w:t>
      </w:r>
      <w:r w:rsidRPr="00955A4C">
        <w:rPr>
          <w:sz w:val="20"/>
          <w:szCs w:val="20"/>
        </w:rPr>
        <w:t>acceso</w:t>
      </w:r>
      <w:r w:rsidRPr="00955A4C">
        <w:rPr>
          <w:spacing w:val="-13"/>
          <w:sz w:val="20"/>
          <w:szCs w:val="20"/>
        </w:rPr>
        <w:t xml:space="preserve"> </w:t>
      </w:r>
      <w:r w:rsidRPr="00955A4C">
        <w:rPr>
          <w:sz w:val="20"/>
          <w:szCs w:val="20"/>
        </w:rPr>
        <w:t>equitativo a todos los grupos sociales, para fomentar la igualdad de</w:t>
      </w:r>
      <w:r w:rsidRPr="00955A4C">
        <w:rPr>
          <w:spacing w:val="-16"/>
          <w:sz w:val="20"/>
          <w:szCs w:val="20"/>
        </w:rPr>
        <w:t xml:space="preserve"> </w:t>
      </w:r>
      <w:r w:rsidRPr="00955A4C">
        <w:rPr>
          <w:sz w:val="20"/>
          <w:szCs w:val="20"/>
        </w:rPr>
        <w:t>género.</w:t>
      </w:r>
    </w:p>
    <w:p w14:paraId="1009510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lastRenderedPageBreak/>
        <w:t>Simplificar</w:t>
      </w:r>
      <w:r w:rsidRPr="00955A4C">
        <w:rPr>
          <w:spacing w:val="-4"/>
          <w:sz w:val="20"/>
          <w:szCs w:val="20"/>
        </w:rPr>
        <w:t xml:space="preserve"> </w:t>
      </w:r>
      <w:r w:rsidRPr="00955A4C">
        <w:rPr>
          <w:sz w:val="20"/>
          <w:szCs w:val="20"/>
        </w:rPr>
        <w:t>los</w:t>
      </w:r>
      <w:r w:rsidRPr="00955A4C">
        <w:rPr>
          <w:spacing w:val="-6"/>
          <w:sz w:val="20"/>
          <w:szCs w:val="20"/>
        </w:rPr>
        <w:t xml:space="preserve"> </w:t>
      </w:r>
      <w:r w:rsidRPr="00955A4C">
        <w:rPr>
          <w:sz w:val="20"/>
          <w:szCs w:val="20"/>
        </w:rPr>
        <w:t>procesos</w:t>
      </w:r>
      <w:r w:rsidRPr="00955A4C">
        <w:rPr>
          <w:spacing w:val="-6"/>
          <w:sz w:val="20"/>
          <w:szCs w:val="20"/>
        </w:rPr>
        <w:t xml:space="preserve"> </w:t>
      </w:r>
      <w:r w:rsidRPr="00955A4C">
        <w:rPr>
          <w:sz w:val="20"/>
          <w:szCs w:val="20"/>
        </w:rPr>
        <w:t>y</w:t>
      </w:r>
      <w:r w:rsidRPr="00955A4C">
        <w:rPr>
          <w:spacing w:val="-9"/>
          <w:sz w:val="20"/>
          <w:szCs w:val="20"/>
        </w:rPr>
        <w:t xml:space="preserve"> </w:t>
      </w:r>
      <w:r w:rsidRPr="00955A4C">
        <w:rPr>
          <w:sz w:val="20"/>
          <w:szCs w:val="20"/>
        </w:rPr>
        <w:t>eficientar</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prestación</w:t>
      </w:r>
      <w:r w:rsidRPr="00955A4C">
        <w:rPr>
          <w:spacing w:val="-7"/>
          <w:sz w:val="20"/>
          <w:szCs w:val="20"/>
        </w:rPr>
        <w:t xml:space="preserve"> </w:t>
      </w:r>
      <w:r w:rsidRPr="00955A4C">
        <w:rPr>
          <w:sz w:val="20"/>
          <w:szCs w:val="20"/>
        </w:rPr>
        <w:t>de</w:t>
      </w:r>
      <w:r w:rsidRPr="00955A4C">
        <w:rPr>
          <w:spacing w:val="-5"/>
          <w:sz w:val="20"/>
          <w:szCs w:val="20"/>
        </w:rPr>
        <w:t xml:space="preserve"> </w:t>
      </w:r>
      <w:r w:rsidRPr="00955A4C">
        <w:rPr>
          <w:sz w:val="20"/>
          <w:szCs w:val="20"/>
        </w:rPr>
        <w:t>servicios</w:t>
      </w:r>
      <w:r w:rsidRPr="00955A4C">
        <w:rPr>
          <w:spacing w:val="-6"/>
          <w:sz w:val="20"/>
          <w:szCs w:val="20"/>
        </w:rPr>
        <w:t xml:space="preserve"> </w:t>
      </w:r>
      <w:r w:rsidRPr="00955A4C">
        <w:rPr>
          <w:sz w:val="20"/>
          <w:szCs w:val="20"/>
        </w:rPr>
        <w:t>a</w:t>
      </w:r>
      <w:r w:rsidRPr="00955A4C">
        <w:rPr>
          <w:spacing w:val="-5"/>
          <w:sz w:val="20"/>
          <w:szCs w:val="20"/>
        </w:rPr>
        <w:t xml:space="preserve"> </w:t>
      </w:r>
      <w:r w:rsidRPr="00955A4C">
        <w:rPr>
          <w:sz w:val="20"/>
          <w:szCs w:val="20"/>
        </w:rPr>
        <w:t>la</w:t>
      </w:r>
      <w:r w:rsidRPr="00955A4C">
        <w:rPr>
          <w:spacing w:val="-5"/>
          <w:sz w:val="20"/>
          <w:szCs w:val="20"/>
        </w:rPr>
        <w:t xml:space="preserve"> </w:t>
      </w:r>
      <w:r w:rsidRPr="00955A4C">
        <w:rPr>
          <w:sz w:val="20"/>
          <w:szCs w:val="20"/>
        </w:rPr>
        <w:t>población,</w:t>
      </w:r>
      <w:r w:rsidRPr="00955A4C">
        <w:rPr>
          <w:spacing w:val="-7"/>
          <w:sz w:val="20"/>
          <w:szCs w:val="20"/>
        </w:rPr>
        <w:t xml:space="preserve"> </w:t>
      </w:r>
      <w:r w:rsidRPr="00955A4C">
        <w:rPr>
          <w:sz w:val="20"/>
          <w:szCs w:val="20"/>
        </w:rPr>
        <w:t>para</w:t>
      </w:r>
      <w:r w:rsidRPr="00955A4C">
        <w:rPr>
          <w:spacing w:val="-5"/>
          <w:sz w:val="20"/>
          <w:szCs w:val="20"/>
        </w:rPr>
        <w:t xml:space="preserve"> </w:t>
      </w:r>
      <w:r w:rsidRPr="00955A4C">
        <w:rPr>
          <w:sz w:val="20"/>
          <w:szCs w:val="20"/>
        </w:rPr>
        <w:t>garantizar</w:t>
      </w:r>
      <w:r w:rsidRPr="00955A4C">
        <w:rPr>
          <w:spacing w:val="-4"/>
          <w:sz w:val="20"/>
          <w:szCs w:val="20"/>
        </w:rPr>
        <w:t xml:space="preserve"> </w:t>
      </w:r>
      <w:r w:rsidRPr="00955A4C">
        <w:rPr>
          <w:sz w:val="20"/>
          <w:szCs w:val="20"/>
        </w:rPr>
        <w:t>un</w:t>
      </w:r>
      <w:r w:rsidRPr="00955A4C">
        <w:rPr>
          <w:spacing w:val="-7"/>
          <w:sz w:val="20"/>
          <w:szCs w:val="20"/>
        </w:rPr>
        <w:t xml:space="preserve"> </w:t>
      </w:r>
      <w:r w:rsidRPr="00955A4C">
        <w:rPr>
          <w:sz w:val="20"/>
          <w:szCs w:val="20"/>
        </w:rPr>
        <w:t>gobierno</w:t>
      </w:r>
      <w:r w:rsidRPr="00955A4C">
        <w:rPr>
          <w:spacing w:val="-4"/>
          <w:sz w:val="20"/>
          <w:szCs w:val="20"/>
        </w:rPr>
        <w:t xml:space="preserve"> </w:t>
      </w:r>
      <w:r w:rsidRPr="00955A4C">
        <w:rPr>
          <w:sz w:val="20"/>
          <w:szCs w:val="20"/>
        </w:rPr>
        <w:t>eficaz.</w:t>
      </w:r>
    </w:p>
    <w:p w14:paraId="5076BE3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Consolidar entre los servidores públicos una cultura de austeridad, racionalidad, disciplina, transparencia, honestidad y</w:t>
      </w:r>
      <w:r w:rsidRPr="00955A4C">
        <w:rPr>
          <w:spacing w:val="-9"/>
          <w:sz w:val="20"/>
          <w:szCs w:val="20"/>
        </w:rPr>
        <w:t xml:space="preserve"> </w:t>
      </w:r>
      <w:r w:rsidRPr="00955A4C">
        <w:rPr>
          <w:sz w:val="20"/>
          <w:szCs w:val="20"/>
        </w:rPr>
        <w:t>eficacia.</w:t>
      </w:r>
    </w:p>
    <w:p w14:paraId="766CAFDA"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Aplicar las medidas derivadas de la planeación estratégica y consolidar la armonización de la estructura presupuestaría, para el fortalecimiento del Presupuesto Basado en Resultados (PbR) y el Sistema de Evaluación del Desempeño</w:t>
      </w:r>
      <w:r w:rsidRPr="00955A4C">
        <w:rPr>
          <w:spacing w:val="-6"/>
          <w:sz w:val="20"/>
          <w:szCs w:val="20"/>
        </w:rPr>
        <w:t xml:space="preserve"> </w:t>
      </w:r>
      <w:r w:rsidRPr="00955A4C">
        <w:rPr>
          <w:sz w:val="20"/>
          <w:szCs w:val="20"/>
        </w:rPr>
        <w:t>(SED).</w:t>
      </w:r>
    </w:p>
    <w:p w14:paraId="42A336E8"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Garantizar la transparencia y rendición de cuentas, mediante la entrega y difusión de información, observando los lineamientos y buenas prácticas en la materia, conforme las políticas del Instituto Mexicano para la Competitividad</w:t>
      </w:r>
      <w:r w:rsidRPr="00955A4C">
        <w:rPr>
          <w:spacing w:val="-9"/>
          <w:sz w:val="20"/>
          <w:szCs w:val="20"/>
        </w:rPr>
        <w:t xml:space="preserve"> </w:t>
      </w:r>
      <w:r w:rsidRPr="00955A4C">
        <w:rPr>
          <w:sz w:val="20"/>
          <w:szCs w:val="20"/>
        </w:rPr>
        <w:t>(IMCO).</w:t>
      </w:r>
    </w:p>
    <w:p w14:paraId="0A7E2DBD"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Atender las recomendaciones de los órganos fiscalizadores y las reglas emitidas por la Secretaría de Hacienda y Crédito Público</w:t>
      </w:r>
      <w:r w:rsidRPr="00955A4C">
        <w:rPr>
          <w:spacing w:val="-7"/>
          <w:sz w:val="20"/>
          <w:szCs w:val="20"/>
        </w:rPr>
        <w:t xml:space="preserve"> </w:t>
      </w:r>
      <w:r w:rsidRPr="00955A4C">
        <w:rPr>
          <w:sz w:val="20"/>
          <w:szCs w:val="20"/>
        </w:rPr>
        <w:t>(SHCP).</w:t>
      </w:r>
    </w:p>
    <w:p w14:paraId="25AD5BC4"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 xml:space="preserve">Efectuar el registro contable del gasto público, la integración y la consolidación de la </w:t>
      </w:r>
      <w:r>
        <w:rPr>
          <w:sz w:val="20"/>
          <w:szCs w:val="20"/>
        </w:rPr>
        <w:t>c</w:t>
      </w:r>
      <w:r w:rsidRPr="00955A4C">
        <w:rPr>
          <w:sz w:val="20"/>
          <w:szCs w:val="20"/>
        </w:rPr>
        <w:t>uenta pública, conforme lo dispuesto en la Ley General de Contabilidad Gubernamental y las reglas del Consejo Nacional de Armonización Contable</w:t>
      </w:r>
      <w:r w:rsidRPr="00955A4C">
        <w:rPr>
          <w:spacing w:val="-11"/>
          <w:sz w:val="20"/>
          <w:szCs w:val="20"/>
        </w:rPr>
        <w:t xml:space="preserve"> </w:t>
      </w:r>
      <w:r w:rsidRPr="00955A4C">
        <w:rPr>
          <w:sz w:val="20"/>
          <w:szCs w:val="20"/>
        </w:rPr>
        <w:t>(CONAC).</w:t>
      </w:r>
    </w:p>
    <w:p w14:paraId="06A63936"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Mantener un nivel de endeudamiento cero, y no creación de nuevos impuestos, así como una estricta disciplina fiscal, para garantizar finanzas públicas sanas y una hacienda</w:t>
      </w:r>
      <w:r w:rsidRPr="00955A4C">
        <w:rPr>
          <w:spacing w:val="-21"/>
          <w:sz w:val="20"/>
          <w:szCs w:val="20"/>
        </w:rPr>
        <w:t xml:space="preserve"> </w:t>
      </w:r>
      <w:r w:rsidRPr="00955A4C">
        <w:rPr>
          <w:sz w:val="20"/>
          <w:szCs w:val="20"/>
        </w:rPr>
        <w:t>equilibrada.</w:t>
      </w:r>
    </w:p>
    <w:p w14:paraId="31ED7947"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Aplicar las medidas de racionalización del gasto público, mediante la contención de servicios personales y reducción del gasto corriente, sin detrimento de los resultados; reorientando los ahorros y economías al gasto social e inversión pública, mediante un programa de</w:t>
      </w:r>
      <w:r w:rsidRPr="00955A4C">
        <w:rPr>
          <w:spacing w:val="-19"/>
          <w:sz w:val="20"/>
          <w:szCs w:val="20"/>
        </w:rPr>
        <w:t xml:space="preserve"> </w:t>
      </w:r>
      <w:r w:rsidRPr="00955A4C">
        <w:rPr>
          <w:sz w:val="20"/>
          <w:szCs w:val="20"/>
        </w:rPr>
        <w:t>austeridad.</w:t>
      </w:r>
    </w:p>
    <w:p w14:paraId="7E525628"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Considerar fondos para compensar posibles caídas de las participaciones federales, aportaciones y convenios federales.</w:t>
      </w:r>
    </w:p>
    <w:p w14:paraId="37C033AB"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Incluir recursos estatales específicos para el Sistema Estatal de Protección Integral de Niñas, Niños y Adolescentes.</w:t>
      </w:r>
    </w:p>
    <w:p w14:paraId="638AF9C4"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Incluir</w:t>
      </w:r>
      <w:r w:rsidRPr="00955A4C">
        <w:rPr>
          <w:spacing w:val="-10"/>
          <w:sz w:val="20"/>
          <w:szCs w:val="20"/>
        </w:rPr>
        <w:t xml:space="preserve"> </w:t>
      </w:r>
      <w:r w:rsidRPr="00955A4C">
        <w:rPr>
          <w:sz w:val="20"/>
          <w:szCs w:val="20"/>
        </w:rPr>
        <w:t>recursos</w:t>
      </w:r>
      <w:r w:rsidRPr="00955A4C">
        <w:rPr>
          <w:spacing w:val="-11"/>
          <w:sz w:val="20"/>
          <w:szCs w:val="20"/>
        </w:rPr>
        <w:t xml:space="preserve"> </w:t>
      </w:r>
      <w:r w:rsidRPr="00955A4C">
        <w:rPr>
          <w:sz w:val="20"/>
          <w:szCs w:val="20"/>
        </w:rPr>
        <w:t>para</w:t>
      </w:r>
      <w:r w:rsidRPr="00955A4C">
        <w:rPr>
          <w:spacing w:val="-10"/>
          <w:sz w:val="20"/>
          <w:szCs w:val="20"/>
        </w:rPr>
        <w:t xml:space="preserve"> </w:t>
      </w:r>
      <w:r w:rsidRPr="00955A4C">
        <w:rPr>
          <w:sz w:val="20"/>
          <w:szCs w:val="20"/>
        </w:rPr>
        <w:t>impulsar</w:t>
      </w:r>
      <w:r w:rsidRPr="00955A4C">
        <w:rPr>
          <w:spacing w:val="-7"/>
          <w:sz w:val="20"/>
          <w:szCs w:val="20"/>
        </w:rPr>
        <w:t xml:space="preserve"> </w:t>
      </w:r>
      <w:r w:rsidRPr="00955A4C">
        <w:rPr>
          <w:sz w:val="20"/>
          <w:szCs w:val="20"/>
        </w:rPr>
        <w:t>la</w:t>
      </w:r>
      <w:r w:rsidRPr="00955A4C">
        <w:rPr>
          <w:spacing w:val="-10"/>
          <w:sz w:val="20"/>
          <w:szCs w:val="20"/>
        </w:rPr>
        <w:t xml:space="preserve"> </w:t>
      </w:r>
      <w:r w:rsidRPr="00955A4C">
        <w:rPr>
          <w:sz w:val="20"/>
          <w:szCs w:val="20"/>
        </w:rPr>
        <w:t>igualdad</w:t>
      </w:r>
      <w:r w:rsidRPr="00955A4C">
        <w:rPr>
          <w:spacing w:val="-9"/>
          <w:sz w:val="20"/>
          <w:szCs w:val="20"/>
        </w:rPr>
        <w:t xml:space="preserve"> </w:t>
      </w:r>
      <w:r w:rsidRPr="00955A4C">
        <w:rPr>
          <w:sz w:val="20"/>
          <w:szCs w:val="20"/>
        </w:rPr>
        <w:t>de</w:t>
      </w:r>
      <w:r w:rsidRPr="00955A4C">
        <w:rPr>
          <w:spacing w:val="-10"/>
          <w:sz w:val="20"/>
          <w:szCs w:val="20"/>
        </w:rPr>
        <w:t xml:space="preserve"> </w:t>
      </w:r>
      <w:r w:rsidRPr="00955A4C">
        <w:rPr>
          <w:sz w:val="20"/>
          <w:szCs w:val="20"/>
        </w:rPr>
        <w:t>oportunidades</w:t>
      </w:r>
      <w:r w:rsidRPr="00955A4C">
        <w:rPr>
          <w:spacing w:val="-11"/>
          <w:sz w:val="20"/>
          <w:szCs w:val="20"/>
        </w:rPr>
        <w:t xml:space="preserve"> </w:t>
      </w:r>
      <w:r w:rsidRPr="00955A4C">
        <w:rPr>
          <w:sz w:val="20"/>
          <w:szCs w:val="20"/>
        </w:rPr>
        <w:t>entre</w:t>
      </w:r>
      <w:r w:rsidRPr="00955A4C">
        <w:rPr>
          <w:spacing w:val="-7"/>
          <w:sz w:val="20"/>
          <w:szCs w:val="20"/>
        </w:rPr>
        <w:t xml:space="preserve"> </w:t>
      </w:r>
      <w:r w:rsidRPr="00955A4C">
        <w:rPr>
          <w:sz w:val="20"/>
          <w:szCs w:val="20"/>
        </w:rPr>
        <w:t>mujeres</w:t>
      </w:r>
      <w:r w:rsidRPr="00955A4C">
        <w:rPr>
          <w:spacing w:val="-8"/>
          <w:sz w:val="20"/>
          <w:szCs w:val="20"/>
        </w:rPr>
        <w:t xml:space="preserve"> </w:t>
      </w:r>
      <w:r w:rsidRPr="00955A4C">
        <w:rPr>
          <w:sz w:val="20"/>
          <w:szCs w:val="20"/>
        </w:rPr>
        <w:t>y</w:t>
      </w:r>
      <w:r w:rsidRPr="00955A4C">
        <w:rPr>
          <w:spacing w:val="-13"/>
          <w:sz w:val="20"/>
          <w:szCs w:val="20"/>
        </w:rPr>
        <w:t xml:space="preserve"> </w:t>
      </w:r>
      <w:r w:rsidRPr="00955A4C">
        <w:rPr>
          <w:sz w:val="20"/>
          <w:szCs w:val="20"/>
        </w:rPr>
        <w:t>hombres,</w:t>
      </w:r>
      <w:r w:rsidRPr="00955A4C">
        <w:rPr>
          <w:spacing w:val="-10"/>
          <w:sz w:val="20"/>
          <w:szCs w:val="20"/>
        </w:rPr>
        <w:t xml:space="preserve"> </w:t>
      </w:r>
      <w:r w:rsidRPr="00955A4C">
        <w:rPr>
          <w:sz w:val="20"/>
          <w:szCs w:val="20"/>
        </w:rPr>
        <w:t>a</w:t>
      </w:r>
      <w:r w:rsidRPr="00955A4C">
        <w:rPr>
          <w:spacing w:val="-10"/>
          <w:sz w:val="20"/>
          <w:szCs w:val="20"/>
        </w:rPr>
        <w:t xml:space="preserve"> </w:t>
      </w:r>
      <w:r w:rsidRPr="00955A4C">
        <w:rPr>
          <w:sz w:val="20"/>
          <w:szCs w:val="20"/>
        </w:rPr>
        <w:t>través</w:t>
      </w:r>
      <w:r w:rsidRPr="00955A4C">
        <w:rPr>
          <w:spacing w:val="-11"/>
          <w:sz w:val="20"/>
          <w:szCs w:val="20"/>
        </w:rPr>
        <w:t xml:space="preserve"> </w:t>
      </w:r>
      <w:r w:rsidRPr="00955A4C">
        <w:rPr>
          <w:sz w:val="20"/>
          <w:szCs w:val="20"/>
        </w:rPr>
        <w:t>de</w:t>
      </w:r>
      <w:r w:rsidRPr="00955A4C">
        <w:rPr>
          <w:spacing w:val="-10"/>
          <w:sz w:val="20"/>
          <w:szCs w:val="20"/>
        </w:rPr>
        <w:t xml:space="preserve"> </w:t>
      </w:r>
      <w:r w:rsidRPr="00955A4C">
        <w:rPr>
          <w:sz w:val="20"/>
          <w:szCs w:val="20"/>
        </w:rPr>
        <w:t>la</w:t>
      </w:r>
      <w:r w:rsidRPr="00955A4C">
        <w:rPr>
          <w:spacing w:val="-10"/>
          <w:sz w:val="20"/>
          <w:szCs w:val="20"/>
        </w:rPr>
        <w:t xml:space="preserve"> </w:t>
      </w:r>
      <w:r w:rsidRPr="00955A4C">
        <w:rPr>
          <w:sz w:val="20"/>
          <w:szCs w:val="20"/>
        </w:rPr>
        <w:t>incorporación de</w:t>
      </w:r>
      <w:r w:rsidRPr="00955A4C">
        <w:rPr>
          <w:spacing w:val="-6"/>
          <w:sz w:val="20"/>
          <w:szCs w:val="20"/>
        </w:rPr>
        <w:t xml:space="preserve"> </w:t>
      </w:r>
      <w:r w:rsidRPr="00955A4C">
        <w:rPr>
          <w:sz w:val="20"/>
          <w:szCs w:val="20"/>
        </w:rPr>
        <w:t>la</w:t>
      </w:r>
      <w:r w:rsidRPr="00955A4C">
        <w:rPr>
          <w:spacing w:val="-7"/>
          <w:sz w:val="20"/>
          <w:szCs w:val="20"/>
        </w:rPr>
        <w:t xml:space="preserve"> </w:t>
      </w:r>
      <w:r w:rsidRPr="00955A4C">
        <w:rPr>
          <w:sz w:val="20"/>
          <w:szCs w:val="20"/>
        </w:rPr>
        <w:t>perspectiva</w:t>
      </w:r>
      <w:r w:rsidRPr="00955A4C">
        <w:rPr>
          <w:spacing w:val="-6"/>
          <w:sz w:val="20"/>
          <w:szCs w:val="20"/>
        </w:rPr>
        <w:t xml:space="preserve"> </w:t>
      </w:r>
      <w:r w:rsidRPr="00955A4C">
        <w:rPr>
          <w:sz w:val="20"/>
          <w:szCs w:val="20"/>
        </w:rPr>
        <w:t>de</w:t>
      </w:r>
      <w:r w:rsidRPr="00955A4C">
        <w:rPr>
          <w:spacing w:val="-4"/>
          <w:sz w:val="20"/>
          <w:szCs w:val="20"/>
        </w:rPr>
        <w:t xml:space="preserve"> </w:t>
      </w:r>
      <w:r w:rsidRPr="00955A4C">
        <w:rPr>
          <w:sz w:val="20"/>
          <w:szCs w:val="20"/>
        </w:rPr>
        <w:t>género</w:t>
      </w:r>
      <w:r w:rsidRPr="00955A4C">
        <w:rPr>
          <w:spacing w:val="-6"/>
          <w:sz w:val="20"/>
          <w:szCs w:val="20"/>
        </w:rPr>
        <w:t xml:space="preserve"> </w:t>
      </w:r>
      <w:r w:rsidRPr="00955A4C">
        <w:rPr>
          <w:sz w:val="20"/>
          <w:szCs w:val="20"/>
        </w:rPr>
        <w:t>en</w:t>
      </w:r>
      <w:r w:rsidRPr="00955A4C">
        <w:rPr>
          <w:spacing w:val="-5"/>
          <w:sz w:val="20"/>
          <w:szCs w:val="20"/>
        </w:rPr>
        <w:t xml:space="preserve"> </w:t>
      </w:r>
      <w:r w:rsidRPr="00955A4C">
        <w:rPr>
          <w:sz w:val="20"/>
          <w:szCs w:val="20"/>
        </w:rPr>
        <w:t>el</w:t>
      </w:r>
      <w:r w:rsidRPr="00955A4C">
        <w:rPr>
          <w:spacing w:val="-7"/>
          <w:sz w:val="20"/>
          <w:szCs w:val="20"/>
        </w:rPr>
        <w:t xml:space="preserve"> </w:t>
      </w:r>
      <w:r w:rsidRPr="00955A4C">
        <w:rPr>
          <w:sz w:val="20"/>
          <w:szCs w:val="20"/>
        </w:rPr>
        <w:t>diseño,</w:t>
      </w:r>
      <w:r w:rsidRPr="00955A4C">
        <w:rPr>
          <w:spacing w:val="-6"/>
          <w:sz w:val="20"/>
          <w:szCs w:val="20"/>
        </w:rPr>
        <w:t xml:space="preserve"> </w:t>
      </w:r>
      <w:r w:rsidRPr="00955A4C">
        <w:rPr>
          <w:sz w:val="20"/>
          <w:szCs w:val="20"/>
        </w:rPr>
        <w:t>elaboración</w:t>
      </w:r>
      <w:r w:rsidRPr="00955A4C">
        <w:rPr>
          <w:spacing w:val="-6"/>
          <w:sz w:val="20"/>
          <w:szCs w:val="20"/>
        </w:rPr>
        <w:t xml:space="preserve"> </w:t>
      </w:r>
      <w:r w:rsidRPr="00955A4C">
        <w:rPr>
          <w:sz w:val="20"/>
          <w:szCs w:val="20"/>
        </w:rPr>
        <w:t>y</w:t>
      </w:r>
      <w:r w:rsidRPr="00955A4C">
        <w:rPr>
          <w:spacing w:val="-8"/>
          <w:sz w:val="20"/>
          <w:szCs w:val="20"/>
        </w:rPr>
        <w:t xml:space="preserve"> </w:t>
      </w:r>
      <w:r w:rsidRPr="00955A4C">
        <w:rPr>
          <w:sz w:val="20"/>
          <w:szCs w:val="20"/>
        </w:rPr>
        <w:t>aplicación</w:t>
      </w:r>
      <w:r w:rsidRPr="00955A4C">
        <w:rPr>
          <w:spacing w:val="-8"/>
          <w:sz w:val="20"/>
          <w:szCs w:val="20"/>
        </w:rPr>
        <w:t xml:space="preserve"> </w:t>
      </w:r>
      <w:r w:rsidRPr="00955A4C">
        <w:rPr>
          <w:sz w:val="20"/>
          <w:szCs w:val="20"/>
        </w:rPr>
        <w:t>de</w:t>
      </w:r>
      <w:r w:rsidRPr="00955A4C">
        <w:rPr>
          <w:spacing w:val="-6"/>
          <w:sz w:val="20"/>
          <w:szCs w:val="20"/>
        </w:rPr>
        <w:t xml:space="preserve"> </w:t>
      </w:r>
      <w:r w:rsidRPr="00955A4C">
        <w:rPr>
          <w:sz w:val="20"/>
          <w:szCs w:val="20"/>
        </w:rPr>
        <w:t>los</w:t>
      </w:r>
      <w:r w:rsidRPr="00955A4C">
        <w:rPr>
          <w:spacing w:val="-7"/>
          <w:sz w:val="20"/>
          <w:szCs w:val="20"/>
        </w:rPr>
        <w:t xml:space="preserve"> </w:t>
      </w:r>
      <w:r w:rsidRPr="00955A4C">
        <w:rPr>
          <w:sz w:val="20"/>
          <w:szCs w:val="20"/>
        </w:rPr>
        <w:t>programas</w:t>
      </w:r>
      <w:r w:rsidRPr="00955A4C">
        <w:rPr>
          <w:spacing w:val="-7"/>
          <w:sz w:val="20"/>
          <w:szCs w:val="20"/>
        </w:rPr>
        <w:t xml:space="preserve"> </w:t>
      </w:r>
      <w:r w:rsidRPr="00955A4C">
        <w:rPr>
          <w:sz w:val="20"/>
          <w:szCs w:val="20"/>
        </w:rPr>
        <w:t>de</w:t>
      </w:r>
      <w:r w:rsidRPr="00955A4C">
        <w:rPr>
          <w:spacing w:val="-4"/>
          <w:sz w:val="20"/>
          <w:szCs w:val="20"/>
        </w:rPr>
        <w:t xml:space="preserve"> </w:t>
      </w:r>
      <w:r w:rsidRPr="00955A4C">
        <w:rPr>
          <w:sz w:val="20"/>
          <w:szCs w:val="20"/>
        </w:rPr>
        <w:t>la</w:t>
      </w:r>
      <w:r w:rsidRPr="00955A4C">
        <w:rPr>
          <w:spacing w:val="-4"/>
          <w:sz w:val="20"/>
          <w:szCs w:val="20"/>
        </w:rPr>
        <w:t xml:space="preserve"> </w:t>
      </w:r>
      <w:r w:rsidRPr="00955A4C">
        <w:rPr>
          <w:sz w:val="20"/>
          <w:szCs w:val="20"/>
        </w:rPr>
        <w:t>Administración</w:t>
      </w:r>
      <w:r w:rsidRPr="00955A4C">
        <w:rPr>
          <w:spacing w:val="-6"/>
          <w:sz w:val="20"/>
          <w:szCs w:val="20"/>
        </w:rPr>
        <w:t xml:space="preserve"> </w:t>
      </w:r>
      <w:r w:rsidRPr="00955A4C">
        <w:rPr>
          <w:sz w:val="20"/>
          <w:szCs w:val="20"/>
        </w:rPr>
        <w:t>Pública Estatal.</w:t>
      </w:r>
    </w:p>
    <w:p w14:paraId="659CBB74"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lastRenderedPageBreak/>
        <w:t>Incluir fondos especiales para programas de infraestructura social y apoyo</w:t>
      </w:r>
      <w:r w:rsidRPr="00955A4C">
        <w:rPr>
          <w:spacing w:val="-31"/>
          <w:sz w:val="20"/>
          <w:szCs w:val="20"/>
        </w:rPr>
        <w:t xml:space="preserve"> </w:t>
      </w:r>
      <w:r w:rsidRPr="00955A4C">
        <w:rPr>
          <w:sz w:val="20"/>
          <w:szCs w:val="20"/>
        </w:rPr>
        <w:t>social.</w:t>
      </w:r>
    </w:p>
    <w:p w14:paraId="48D03685"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Incluir recursos para el Fideicomiso Estatal de Desastres</w:t>
      </w:r>
      <w:r w:rsidRPr="00955A4C">
        <w:rPr>
          <w:spacing w:val="-22"/>
          <w:sz w:val="20"/>
          <w:szCs w:val="20"/>
        </w:rPr>
        <w:t xml:space="preserve"> </w:t>
      </w:r>
      <w:r w:rsidRPr="00955A4C">
        <w:rPr>
          <w:sz w:val="20"/>
          <w:szCs w:val="20"/>
        </w:rPr>
        <w:t>Naturales.</w:t>
      </w:r>
    </w:p>
    <w:p w14:paraId="76C85CF0" w14:textId="77777777" w:rsidR="00AA3D42" w:rsidRPr="00955A4C" w:rsidRDefault="00AA3D42" w:rsidP="00800CF7">
      <w:pPr>
        <w:pStyle w:val="Prrafodelista"/>
        <w:numPr>
          <w:ilvl w:val="0"/>
          <w:numId w:val="27"/>
        </w:numPr>
        <w:spacing w:before="240" w:line="360" w:lineRule="auto"/>
        <w:jc w:val="both"/>
        <w:rPr>
          <w:sz w:val="20"/>
          <w:szCs w:val="20"/>
        </w:rPr>
      </w:pPr>
      <w:r w:rsidRPr="00955A4C">
        <w:rPr>
          <w:sz w:val="20"/>
          <w:szCs w:val="20"/>
        </w:rPr>
        <w:t>Incluir recursos para la implementación, operación, mantenimiento y seguimiento del Sistema de Fiscalización Electrónico, así como para las áreas de Investigación y de Substanciación a cargo del Órgano de Fiscalización Superior,</w:t>
      </w:r>
      <w:r w:rsidRPr="00955A4C">
        <w:rPr>
          <w:spacing w:val="-4"/>
          <w:sz w:val="20"/>
          <w:szCs w:val="20"/>
        </w:rPr>
        <w:t xml:space="preserve"> </w:t>
      </w:r>
      <w:r w:rsidRPr="00955A4C">
        <w:rPr>
          <w:sz w:val="20"/>
          <w:szCs w:val="20"/>
        </w:rPr>
        <w:t>y</w:t>
      </w:r>
    </w:p>
    <w:p w14:paraId="7FA24E1B" w14:textId="77777777" w:rsidR="00AA3D42" w:rsidRPr="00F816BA" w:rsidRDefault="00AA3D42" w:rsidP="00800CF7">
      <w:pPr>
        <w:pStyle w:val="Prrafodelista"/>
        <w:numPr>
          <w:ilvl w:val="0"/>
          <w:numId w:val="27"/>
        </w:numPr>
        <w:spacing w:before="240" w:line="360" w:lineRule="auto"/>
        <w:jc w:val="both"/>
        <w:rPr>
          <w:sz w:val="20"/>
          <w:szCs w:val="20"/>
        </w:rPr>
      </w:pPr>
      <w:r w:rsidRPr="00F816BA">
        <w:rPr>
          <w:sz w:val="20"/>
          <w:szCs w:val="20"/>
        </w:rPr>
        <w:t xml:space="preserve">Se consideran recursos para el Fondo de Compensación Estatal, según </w:t>
      </w:r>
      <w:r w:rsidRPr="00F816BA">
        <w:rPr>
          <w:spacing w:val="2"/>
          <w:sz w:val="20"/>
          <w:szCs w:val="20"/>
        </w:rPr>
        <w:t xml:space="preserve">sea </w:t>
      </w:r>
      <w:r w:rsidRPr="00F816BA">
        <w:rPr>
          <w:sz w:val="20"/>
          <w:szCs w:val="20"/>
        </w:rPr>
        <w:t>el caso, que tiene por objeto compensar la caída de Ingresos de libre disposición de ejercicios</w:t>
      </w:r>
      <w:r w:rsidRPr="00F816BA">
        <w:rPr>
          <w:spacing w:val="-27"/>
          <w:sz w:val="20"/>
          <w:szCs w:val="20"/>
        </w:rPr>
        <w:t xml:space="preserve"> </w:t>
      </w:r>
      <w:r w:rsidRPr="00F816BA">
        <w:rPr>
          <w:sz w:val="20"/>
          <w:szCs w:val="20"/>
        </w:rPr>
        <w:t>subsecuentes.</w:t>
      </w:r>
    </w:p>
    <w:p w14:paraId="109B69CF" w14:textId="77777777" w:rsidR="00AA3D42" w:rsidRPr="00955A4C" w:rsidRDefault="00AA3D42" w:rsidP="00AA3D42">
      <w:pPr>
        <w:spacing w:line="360" w:lineRule="auto"/>
        <w:rPr>
          <w:b/>
          <w:sz w:val="20"/>
          <w:szCs w:val="20"/>
        </w:rPr>
      </w:pPr>
    </w:p>
    <w:p w14:paraId="3F887CA3" w14:textId="77777777" w:rsidR="00AA3D42" w:rsidRPr="00955A4C" w:rsidRDefault="00AA3D42" w:rsidP="00AA3D42">
      <w:pPr>
        <w:spacing w:line="360" w:lineRule="auto"/>
        <w:jc w:val="both"/>
        <w:rPr>
          <w:b/>
          <w:sz w:val="20"/>
          <w:szCs w:val="20"/>
        </w:rPr>
      </w:pPr>
      <w:r w:rsidRPr="00955A4C">
        <w:rPr>
          <w:b/>
          <w:sz w:val="20"/>
          <w:szCs w:val="20"/>
        </w:rPr>
        <w:t>PROYECTO DE PRESUPUESTO DE EGRESOS 202</w:t>
      </w:r>
      <w:r>
        <w:rPr>
          <w:b/>
          <w:sz w:val="20"/>
          <w:szCs w:val="20"/>
        </w:rPr>
        <w:t>1</w:t>
      </w:r>
    </w:p>
    <w:p w14:paraId="722256B9" w14:textId="77777777" w:rsidR="00AA3D42" w:rsidRPr="00955A4C" w:rsidRDefault="00AA3D42" w:rsidP="00AA3D42">
      <w:pPr>
        <w:spacing w:line="360" w:lineRule="auto"/>
        <w:jc w:val="both"/>
        <w:rPr>
          <w:b/>
          <w:sz w:val="20"/>
          <w:szCs w:val="20"/>
        </w:rPr>
      </w:pPr>
    </w:p>
    <w:p w14:paraId="23055D96" w14:textId="77777777" w:rsidR="00AA3D42" w:rsidRPr="00955A4C" w:rsidRDefault="00AA3D42" w:rsidP="00AA3D42">
      <w:pPr>
        <w:spacing w:line="360" w:lineRule="auto"/>
        <w:jc w:val="both"/>
        <w:rPr>
          <w:sz w:val="20"/>
          <w:szCs w:val="20"/>
        </w:rPr>
      </w:pPr>
      <w:r w:rsidRPr="00955A4C">
        <w:rPr>
          <w:sz w:val="20"/>
          <w:szCs w:val="20"/>
        </w:rPr>
        <w:t xml:space="preserve">Se propone a esta Legislatura un </w:t>
      </w:r>
      <w:r w:rsidRPr="00096094">
        <w:rPr>
          <w:rFonts w:eastAsia="Calibri"/>
          <w:sz w:val="20"/>
          <w:szCs w:val="20"/>
        </w:rPr>
        <w:t>Proyecto de Decreto de Presupuesto de Egresos del Estado de Tlaxcala para el Ejercicio Fiscal 202</w:t>
      </w:r>
      <w:r>
        <w:rPr>
          <w:rFonts w:eastAsia="Calibri"/>
          <w:sz w:val="20"/>
          <w:szCs w:val="20"/>
        </w:rPr>
        <w:t>1</w:t>
      </w:r>
      <w:r w:rsidRPr="00955A4C">
        <w:rPr>
          <w:sz w:val="20"/>
          <w:szCs w:val="20"/>
        </w:rPr>
        <w:t xml:space="preserve">, por un monto de </w:t>
      </w:r>
      <w:r>
        <w:rPr>
          <w:sz w:val="20"/>
          <w:szCs w:val="20"/>
        </w:rPr>
        <w:t>$20,667,669,175.00</w:t>
      </w:r>
      <w:r w:rsidRPr="00955A4C">
        <w:rPr>
          <w:sz w:val="20"/>
          <w:szCs w:val="20"/>
        </w:rPr>
        <w:t>, que serán destinados para atender las funciones de los Poderes Legislativo, Judicial y Ejecutivo, así como para los Organismos Públicos Descentralizados, Entes Autónomos y Municipios, con el propósito de que se cumpla con las demandas de la población y garantice la viabilidad, equilibrio y sustentabilidad financiera de la hacienda pública, conforme lo siguiente:</w:t>
      </w:r>
    </w:p>
    <w:p w14:paraId="1FE404AF" w14:textId="77777777" w:rsidR="00AA3D42" w:rsidRPr="00955A4C" w:rsidRDefault="00AA3D42" w:rsidP="00AA3D42">
      <w:pPr>
        <w:spacing w:line="360" w:lineRule="auto"/>
        <w:jc w:val="both"/>
        <w:rPr>
          <w:sz w:val="20"/>
          <w:szCs w:val="20"/>
        </w:rPr>
      </w:pPr>
    </w:p>
    <w:p w14:paraId="0994621A" w14:textId="77777777" w:rsidR="00AA3D42" w:rsidRPr="00955A4C" w:rsidRDefault="00AA3D42" w:rsidP="00800CF7">
      <w:pPr>
        <w:pStyle w:val="Prrafodelista"/>
        <w:numPr>
          <w:ilvl w:val="0"/>
          <w:numId w:val="28"/>
        </w:numPr>
        <w:spacing w:line="360" w:lineRule="auto"/>
        <w:jc w:val="both"/>
        <w:rPr>
          <w:sz w:val="20"/>
          <w:szCs w:val="20"/>
        </w:rPr>
      </w:pPr>
      <w:r w:rsidRPr="00955A4C">
        <w:rPr>
          <w:sz w:val="20"/>
          <w:szCs w:val="20"/>
        </w:rPr>
        <w:t>El presupuesto global estatal, integrado por participaciones federales e ingresos propios, es</w:t>
      </w:r>
      <w:r>
        <w:rPr>
          <w:sz w:val="20"/>
          <w:szCs w:val="20"/>
        </w:rPr>
        <w:t xml:space="preserve">tima un monto </w:t>
      </w:r>
      <w:r w:rsidRPr="00955A4C">
        <w:rPr>
          <w:sz w:val="20"/>
          <w:szCs w:val="20"/>
        </w:rPr>
        <w:t xml:space="preserve">de </w:t>
      </w:r>
      <w:r>
        <w:rPr>
          <w:sz w:val="20"/>
          <w:szCs w:val="20"/>
        </w:rPr>
        <w:t>$10,123,829,749</w:t>
      </w:r>
      <w:r w:rsidRPr="00955A4C">
        <w:rPr>
          <w:sz w:val="20"/>
          <w:szCs w:val="20"/>
        </w:rPr>
        <w:t xml:space="preserve">; </w:t>
      </w:r>
    </w:p>
    <w:p w14:paraId="1C843F96" w14:textId="77777777" w:rsidR="00AA3D42" w:rsidRPr="00955A4C" w:rsidRDefault="00AA3D42" w:rsidP="00AA3D42">
      <w:pPr>
        <w:spacing w:line="360" w:lineRule="auto"/>
        <w:jc w:val="both"/>
        <w:rPr>
          <w:sz w:val="20"/>
          <w:szCs w:val="20"/>
        </w:rPr>
      </w:pPr>
    </w:p>
    <w:p w14:paraId="1888238E" w14:textId="77777777" w:rsidR="00AA3D42" w:rsidRPr="00955A4C" w:rsidRDefault="00AA3D42" w:rsidP="00800CF7">
      <w:pPr>
        <w:pStyle w:val="Prrafodelista"/>
        <w:numPr>
          <w:ilvl w:val="0"/>
          <w:numId w:val="28"/>
        </w:numPr>
        <w:spacing w:line="360" w:lineRule="auto"/>
        <w:jc w:val="both"/>
        <w:rPr>
          <w:sz w:val="20"/>
          <w:szCs w:val="20"/>
        </w:rPr>
      </w:pPr>
      <w:r w:rsidRPr="00955A4C">
        <w:rPr>
          <w:sz w:val="20"/>
          <w:szCs w:val="20"/>
        </w:rPr>
        <w:t xml:space="preserve">Las Aportaciones Federales, del Ramo 33, previstas en el Presupuesto de Egresos de la Federación, </w:t>
      </w:r>
      <w:r>
        <w:rPr>
          <w:sz w:val="20"/>
          <w:szCs w:val="20"/>
        </w:rPr>
        <w:t>prevén</w:t>
      </w:r>
      <w:r w:rsidRPr="00955A4C">
        <w:rPr>
          <w:sz w:val="20"/>
          <w:szCs w:val="20"/>
        </w:rPr>
        <w:t xml:space="preserve"> un monto de</w:t>
      </w:r>
      <w:r>
        <w:rPr>
          <w:sz w:val="20"/>
          <w:szCs w:val="20"/>
        </w:rPr>
        <w:t xml:space="preserve"> $10,543,839,426.00</w:t>
      </w:r>
      <w:r w:rsidRPr="00955A4C">
        <w:rPr>
          <w:sz w:val="20"/>
          <w:szCs w:val="20"/>
        </w:rPr>
        <w:t xml:space="preserve">, ajustándose en los montos estimados en el Presupuesto de Egresos de la Federación para el </w:t>
      </w:r>
      <w:r>
        <w:rPr>
          <w:sz w:val="20"/>
          <w:szCs w:val="20"/>
        </w:rPr>
        <w:t>E</w:t>
      </w:r>
      <w:r w:rsidRPr="00955A4C">
        <w:rPr>
          <w:sz w:val="20"/>
          <w:szCs w:val="20"/>
        </w:rPr>
        <w:t xml:space="preserve">jercicio </w:t>
      </w:r>
      <w:r>
        <w:rPr>
          <w:sz w:val="20"/>
          <w:szCs w:val="20"/>
        </w:rPr>
        <w:t>F</w:t>
      </w:r>
      <w:r w:rsidRPr="00955A4C">
        <w:rPr>
          <w:sz w:val="20"/>
          <w:szCs w:val="20"/>
        </w:rPr>
        <w:t>iscal 202</w:t>
      </w:r>
      <w:r>
        <w:rPr>
          <w:sz w:val="20"/>
          <w:szCs w:val="20"/>
        </w:rPr>
        <w:t>1</w:t>
      </w:r>
      <w:r w:rsidRPr="00955A4C">
        <w:rPr>
          <w:sz w:val="20"/>
          <w:szCs w:val="20"/>
        </w:rPr>
        <w:t>, destinados fundamentalmente a programas de</w:t>
      </w:r>
      <w:r w:rsidRPr="00955A4C">
        <w:rPr>
          <w:color w:val="FF0000"/>
          <w:sz w:val="20"/>
          <w:szCs w:val="20"/>
        </w:rPr>
        <w:t xml:space="preserve"> </w:t>
      </w:r>
      <w:r w:rsidRPr="00955A4C">
        <w:rPr>
          <w:sz w:val="20"/>
          <w:szCs w:val="20"/>
        </w:rPr>
        <w:t xml:space="preserve">educación, salud, seguridad, infraestructura social y </w:t>
      </w:r>
      <w:r>
        <w:rPr>
          <w:sz w:val="20"/>
          <w:szCs w:val="20"/>
        </w:rPr>
        <w:t>f</w:t>
      </w:r>
      <w:r w:rsidRPr="00955A4C">
        <w:rPr>
          <w:sz w:val="20"/>
          <w:szCs w:val="20"/>
        </w:rPr>
        <w:t xml:space="preserve">ondos </w:t>
      </w:r>
      <w:r>
        <w:rPr>
          <w:sz w:val="20"/>
          <w:szCs w:val="20"/>
        </w:rPr>
        <w:t>m</w:t>
      </w:r>
      <w:r w:rsidRPr="00955A4C">
        <w:rPr>
          <w:sz w:val="20"/>
          <w:szCs w:val="20"/>
        </w:rPr>
        <w:t>unicipales.</w:t>
      </w:r>
    </w:p>
    <w:p w14:paraId="39C8ABB2" w14:textId="77777777" w:rsidR="00AA3D42" w:rsidRPr="00955A4C" w:rsidRDefault="00AA3D42" w:rsidP="00AA3D42">
      <w:pPr>
        <w:spacing w:line="360" w:lineRule="auto"/>
        <w:jc w:val="both"/>
        <w:rPr>
          <w:sz w:val="20"/>
          <w:szCs w:val="20"/>
        </w:rPr>
      </w:pPr>
    </w:p>
    <w:p w14:paraId="6C6D02BA" w14:textId="77777777" w:rsidR="00AA3D42" w:rsidRPr="00955A4C" w:rsidRDefault="00AA3D42" w:rsidP="00AA3D42">
      <w:pPr>
        <w:spacing w:line="360" w:lineRule="auto"/>
        <w:jc w:val="center"/>
        <w:rPr>
          <w:b/>
          <w:sz w:val="20"/>
          <w:szCs w:val="20"/>
        </w:rPr>
      </w:pPr>
      <w:r w:rsidRPr="00955A4C">
        <w:rPr>
          <w:b/>
          <w:sz w:val="20"/>
          <w:szCs w:val="20"/>
        </w:rPr>
        <w:t>PRESUPUESTO POR FUENTE DE FINANCIAMIENTO</w:t>
      </w:r>
    </w:p>
    <w:p w14:paraId="2D0E94AE" w14:textId="77777777" w:rsidR="00AA3D42" w:rsidRPr="00955A4C" w:rsidRDefault="00AA3D42" w:rsidP="00AA3D42">
      <w:pPr>
        <w:spacing w:line="360" w:lineRule="auto"/>
        <w:jc w:val="both"/>
        <w:rPr>
          <w:sz w:val="20"/>
          <w:szCs w:val="20"/>
        </w:rPr>
      </w:pPr>
    </w:p>
    <w:p w14:paraId="236A9B79" w14:textId="77777777" w:rsidR="00AA3D42" w:rsidRPr="00D07D8F" w:rsidRDefault="00AA3D42" w:rsidP="00AA3D42">
      <w:pPr>
        <w:spacing w:line="360" w:lineRule="auto"/>
        <w:jc w:val="both"/>
        <w:rPr>
          <w:sz w:val="20"/>
          <w:szCs w:val="20"/>
        </w:rPr>
      </w:pPr>
      <w:r w:rsidRPr="00D07D8F">
        <w:rPr>
          <w:sz w:val="20"/>
          <w:szCs w:val="20"/>
        </w:rPr>
        <w:t xml:space="preserve">La clasificación por fuentes de financiamiento consiste en presentar los gastos públicos según los agregados genéricos de los recursos empleados para su financiamiento. </w:t>
      </w:r>
    </w:p>
    <w:p w14:paraId="4BDB36A4" w14:textId="77777777" w:rsidR="00AA3D42" w:rsidRPr="00D07D8F" w:rsidRDefault="00AA3D42" w:rsidP="00AA3D42">
      <w:pPr>
        <w:spacing w:line="360" w:lineRule="auto"/>
        <w:jc w:val="both"/>
        <w:rPr>
          <w:sz w:val="20"/>
          <w:szCs w:val="20"/>
        </w:rPr>
      </w:pPr>
    </w:p>
    <w:p w14:paraId="33CC0892" w14:textId="77777777" w:rsidR="00AA3D42" w:rsidRDefault="00AA3D42" w:rsidP="00AA3D42">
      <w:pPr>
        <w:spacing w:line="360" w:lineRule="auto"/>
        <w:jc w:val="both"/>
        <w:rPr>
          <w:sz w:val="20"/>
          <w:szCs w:val="20"/>
        </w:rPr>
      </w:pPr>
      <w:r w:rsidRPr="00D07D8F">
        <w:rPr>
          <w:sz w:val="20"/>
          <w:szCs w:val="20"/>
        </w:rPr>
        <w:lastRenderedPageBreak/>
        <w:t>Esta clasificación permite identificar las fuentes u orígenes de los ingresos que financian los egresos y precisar la orientación específica de cada fuente a efecto de controlar su aplicación</w:t>
      </w:r>
      <w:r>
        <w:rPr>
          <w:sz w:val="20"/>
          <w:szCs w:val="20"/>
        </w:rPr>
        <w:t xml:space="preserve">. </w:t>
      </w:r>
    </w:p>
    <w:p w14:paraId="35719E75" w14:textId="77777777" w:rsidR="00AA3D42" w:rsidRDefault="00AA3D42" w:rsidP="00AA3D42">
      <w:pPr>
        <w:spacing w:line="360" w:lineRule="auto"/>
        <w:jc w:val="both"/>
        <w:rPr>
          <w:sz w:val="20"/>
          <w:szCs w:val="20"/>
        </w:rPr>
      </w:pPr>
    </w:p>
    <w:p w14:paraId="62D8CB0A" w14:textId="77777777" w:rsidR="00AA3D42" w:rsidRDefault="00AA3D42" w:rsidP="00AA3D42">
      <w:pPr>
        <w:spacing w:line="360" w:lineRule="auto"/>
        <w:jc w:val="both"/>
        <w:rPr>
          <w:sz w:val="20"/>
          <w:szCs w:val="20"/>
        </w:rPr>
      </w:pPr>
      <w:r>
        <w:rPr>
          <w:sz w:val="20"/>
          <w:szCs w:val="20"/>
        </w:rPr>
        <w:t>A continuación se presenta la información correspondiente a esta Clasificación que prevé el Estado para el Ejercicio Fiscal 2021:</w:t>
      </w:r>
    </w:p>
    <w:p w14:paraId="1839E32D" w14:textId="77777777" w:rsidR="00AA3D42" w:rsidRPr="00955A4C" w:rsidRDefault="00AA3D42" w:rsidP="00AA3D42">
      <w:pPr>
        <w:spacing w:line="360" w:lineRule="auto"/>
        <w:jc w:val="both"/>
        <w:rPr>
          <w:sz w:val="20"/>
          <w:szCs w:val="20"/>
        </w:rPr>
      </w:pPr>
    </w:p>
    <w:tbl>
      <w:tblPr>
        <w:tblW w:w="424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20"/>
        <w:gridCol w:w="1640"/>
      </w:tblGrid>
      <w:tr w:rsidR="00AA3D42" w:rsidRPr="00955A4C" w14:paraId="72B38586" w14:textId="77777777" w:rsidTr="005E2A35">
        <w:trPr>
          <w:trHeight w:val="300"/>
          <w:tblHeader/>
          <w:jc w:val="center"/>
        </w:trPr>
        <w:tc>
          <w:tcPr>
            <w:tcW w:w="3120" w:type="dxa"/>
            <w:shd w:val="clear" w:color="auto" w:fill="D9D9D9" w:themeFill="background1" w:themeFillShade="D9"/>
            <w:noWrap/>
            <w:vAlign w:val="center"/>
            <w:hideMark/>
          </w:tcPr>
          <w:p w14:paraId="7FCD043E" w14:textId="77777777" w:rsidR="00AA3D42" w:rsidRPr="00955A4C" w:rsidRDefault="00AA3D42" w:rsidP="005E2A35">
            <w:pPr>
              <w:spacing w:line="360" w:lineRule="auto"/>
              <w:jc w:val="center"/>
              <w:rPr>
                <w:b/>
                <w:bCs/>
                <w:color w:val="000000"/>
                <w:sz w:val="20"/>
                <w:szCs w:val="20"/>
                <w:lang w:val="es-MX" w:eastAsia="es-MX"/>
              </w:rPr>
            </w:pPr>
            <w:r w:rsidRPr="00955A4C">
              <w:rPr>
                <w:b/>
                <w:bCs/>
                <w:color w:val="000000"/>
                <w:sz w:val="20"/>
                <w:szCs w:val="20"/>
                <w:lang w:val="es-MX" w:eastAsia="es-MX"/>
              </w:rPr>
              <w:t>FUENTE DE FINANCIAMIENTO</w:t>
            </w:r>
          </w:p>
        </w:tc>
        <w:tc>
          <w:tcPr>
            <w:tcW w:w="1128" w:type="dxa"/>
            <w:shd w:val="clear" w:color="auto" w:fill="D9D9D9" w:themeFill="background1" w:themeFillShade="D9"/>
            <w:noWrap/>
            <w:vAlign w:val="center"/>
            <w:hideMark/>
          </w:tcPr>
          <w:p w14:paraId="7728C8FD" w14:textId="77777777" w:rsidR="00AA3D42" w:rsidRPr="00955A4C" w:rsidRDefault="00AA3D42" w:rsidP="005E2A35">
            <w:pPr>
              <w:spacing w:line="360" w:lineRule="auto"/>
              <w:jc w:val="center"/>
              <w:rPr>
                <w:b/>
                <w:bCs/>
                <w:color w:val="000000"/>
                <w:sz w:val="20"/>
                <w:szCs w:val="20"/>
                <w:lang w:val="es-MX" w:eastAsia="es-MX"/>
              </w:rPr>
            </w:pPr>
            <w:r w:rsidRPr="00955A4C">
              <w:rPr>
                <w:b/>
                <w:bCs/>
                <w:color w:val="000000"/>
                <w:sz w:val="20"/>
                <w:szCs w:val="20"/>
                <w:lang w:val="es-MX" w:eastAsia="es-MX"/>
              </w:rPr>
              <w:t>MONTO</w:t>
            </w:r>
          </w:p>
        </w:tc>
      </w:tr>
      <w:tr w:rsidR="00AA3D42" w:rsidRPr="00955A4C" w14:paraId="6BF165F0" w14:textId="77777777" w:rsidTr="005E2A35">
        <w:trPr>
          <w:trHeight w:val="300"/>
          <w:jc w:val="center"/>
        </w:trPr>
        <w:tc>
          <w:tcPr>
            <w:tcW w:w="3120" w:type="dxa"/>
            <w:shd w:val="clear" w:color="auto" w:fill="auto"/>
            <w:noWrap/>
            <w:vAlign w:val="bottom"/>
            <w:hideMark/>
          </w:tcPr>
          <w:p w14:paraId="6C164A02" w14:textId="77777777" w:rsidR="00AA3D42" w:rsidRPr="00955A4C" w:rsidRDefault="00AA3D42" w:rsidP="005E2A35">
            <w:pPr>
              <w:spacing w:line="360" w:lineRule="auto"/>
              <w:rPr>
                <w:color w:val="000000"/>
                <w:sz w:val="20"/>
                <w:szCs w:val="20"/>
                <w:lang w:val="es-MX" w:eastAsia="es-MX"/>
              </w:rPr>
            </w:pPr>
            <w:r w:rsidRPr="00955A4C">
              <w:rPr>
                <w:color w:val="000000"/>
                <w:sz w:val="20"/>
                <w:szCs w:val="20"/>
                <w:lang w:val="es-MX" w:eastAsia="es-MX"/>
              </w:rPr>
              <w:t>1</w:t>
            </w:r>
            <w:r>
              <w:rPr>
                <w:color w:val="000000"/>
                <w:sz w:val="20"/>
                <w:szCs w:val="20"/>
                <w:lang w:val="es-MX" w:eastAsia="es-MX"/>
              </w:rPr>
              <w:t>1</w:t>
            </w:r>
            <w:r w:rsidRPr="00955A4C">
              <w:rPr>
                <w:color w:val="000000"/>
                <w:sz w:val="20"/>
                <w:szCs w:val="20"/>
                <w:lang w:val="es-MX" w:eastAsia="es-MX"/>
              </w:rPr>
              <w:t>. Recursos Fiscales</w:t>
            </w:r>
          </w:p>
        </w:tc>
        <w:tc>
          <w:tcPr>
            <w:tcW w:w="1128" w:type="dxa"/>
            <w:shd w:val="clear" w:color="auto" w:fill="auto"/>
            <w:noWrap/>
            <w:vAlign w:val="center"/>
            <w:hideMark/>
          </w:tcPr>
          <w:p w14:paraId="2E2210F5" w14:textId="77777777" w:rsidR="00AA3D42" w:rsidRPr="004C3031" w:rsidRDefault="00AA3D42" w:rsidP="005E2A35">
            <w:pPr>
              <w:spacing w:line="360" w:lineRule="auto"/>
              <w:jc w:val="right"/>
              <w:rPr>
                <w:color w:val="000000"/>
                <w:sz w:val="20"/>
                <w:szCs w:val="20"/>
                <w:lang w:val="es-MX" w:eastAsia="es-MX"/>
              </w:rPr>
            </w:pPr>
            <w:r>
              <w:rPr>
                <w:sz w:val="20"/>
                <w:szCs w:val="20"/>
              </w:rPr>
              <w:t>959,611,711.00</w:t>
            </w:r>
          </w:p>
        </w:tc>
      </w:tr>
      <w:tr w:rsidR="00AA3D42" w:rsidRPr="00955A4C" w14:paraId="57DFED59" w14:textId="77777777" w:rsidTr="005E2A35">
        <w:trPr>
          <w:trHeight w:val="300"/>
          <w:jc w:val="center"/>
        </w:trPr>
        <w:tc>
          <w:tcPr>
            <w:tcW w:w="3120" w:type="dxa"/>
            <w:shd w:val="clear" w:color="auto" w:fill="auto"/>
            <w:noWrap/>
            <w:vAlign w:val="bottom"/>
            <w:hideMark/>
          </w:tcPr>
          <w:p w14:paraId="26E08759"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1</w:t>
            </w:r>
            <w:r w:rsidRPr="00955A4C">
              <w:rPr>
                <w:color w:val="000000"/>
                <w:sz w:val="20"/>
                <w:szCs w:val="20"/>
                <w:lang w:val="es-MX" w:eastAsia="es-MX"/>
              </w:rPr>
              <w:t>2. Financiamientos Internos</w:t>
            </w:r>
          </w:p>
        </w:tc>
        <w:tc>
          <w:tcPr>
            <w:tcW w:w="1128" w:type="dxa"/>
            <w:shd w:val="clear" w:color="auto" w:fill="auto"/>
            <w:noWrap/>
            <w:vAlign w:val="center"/>
            <w:hideMark/>
          </w:tcPr>
          <w:p w14:paraId="0EB52F30"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AA3D42" w:rsidRPr="00955A4C" w14:paraId="0411B696" w14:textId="77777777" w:rsidTr="005E2A35">
        <w:trPr>
          <w:trHeight w:val="300"/>
          <w:jc w:val="center"/>
        </w:trPr>
        <w:tc>
          <w:tcPr>
            <w:tcW w:w="3120" w:type="dxa"/>
            <w:shd w:val="clear" w:color="auto" w:fill="auto"/>
            <w:noWrap/>
            <w:vAlign w:val="bottom"/>
            <w:hideMark/>
          </w:tcPr>
          <w:p w14:paraId="44A14FEA"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1</w:t>
            </w:r>
            <w:r w:rsidRPr="00955A4C">
              <w:rPr>
                <w:color w:val="000000"/>
                <w:sz w:val="20"/>
                <w:szCs w:val="20"/>
                <w:lang w:val="es-MX" w:eastAsia="es-MX"/>
              </w:rPr>
              <w:t>3. Financiamientos Externos</w:t>
            </w:r>
          </w:p>
        </w:tc>
        <w:tc>
          <w:tcPr>
            <w:tcW w:w="1128" w:type="dxa"/>
            <w:shd w:val="clear" w:color="auto" w:fill="auto"/>
            <w:noWrap/>
            <w:vAlign w:val="center"/>
            <w:hideMark/>
          </w:tcPr>
          <w:p w14:paraId="7B83A303"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AA3D42" w:rsidRPr="00955A4C" w14:paraId="228AF236" w14:textId="77777777" w:rsidTr="005E2A35">
        <w:trPr>
          <w:trHeight w:val="300"/>
          <w:jc w:val="center"/>
        </w:trPr>
        <w:tc>
          <w:tcPr>
            <w:tcW w:w="3120" w:type="dxa"/>
            <w:shd w:val="clear" w:color="auto" w:fill="auto"/>
            <w:noWrap/>
            <w:vAlign w:val="bottom"/>
            <w:hideMark/>
          </w:tcPr>
          <w:p w14:paraId="36963BC9"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1</w:t>
            </w:r>
            <w:r w:rsidRPr="00955A4C">
              <w:rPr>
                <w:color w:val="000000"/>
                <w:sz w:val="20"/>
                <w:szCs w:val="20"/>
                <w:lang w:val="es-MX" w:eastAsia="es-MX"/>
              </w:rPr>
              <w:t>4. Ingresos Propios</w:t>
            </w:r>
          </w:p>
        </w:tc>
        <w:tc>
          <w:tcPr>
            <w:tcW w:w="1128" w:type="dxa"/>
            <w:shd w:val="clear" w:color="auto" w:fill="auto"/>
            <w:noWrap/>
            <w:vAlign w:val="center"/>
            <w:hideMark/>
          </w:tcPr>
          <w:p w14:paraId="3C8056B3"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143,611,948.00</w:t>
            </w:r>
          </w:p>
        </w:tc>
      </w:tr>
      <w:tr w:rsidR="00AA3D42" w:rsidRPr="00955A4C" w14:paraId="4A91F5CF" w14:textId="77777777" w:rsidTr="005E2A35">
        <w:trPr>
          <w:trHeight w:val="300"/>
          <w:jc w:val="center"/>
        </w:trPr>
        <w:tc>
          <w:tcPr>
            <w:tcW w:w="3120" w:type="dxa"/>
            <w:shd w:val="clear" w:color="auto" w:fill="auto"/>
            <w:noWrap/>
            <w:vAlign w:val="bottom"/>
          </w:tcPr>
          <w:p w14:paraId="477ACBA5" w14:textId="77777777" w:rsidR="00AA3D42" w:rsidRDefault="00AA3D42" w:rsidP="005E2A35">
            <w:pPr>
              <w:spacing w:line="360" w:lineRule="auto"/>
              <w:rPr>
                <w:color w:val="000000"/>
                <w:sz w:val="20"/>
                <w:szCs w:val="20"/>
                <w:lang w:val="es-MX" w:eastAsia="es-MX"/>
              </w:rPr>
            </w:pPr>
            <w:r>
              <w:rPr>
                <w:color w:val="000000"/>
                <w:sz w:val="20"/>
                <w:szCs w:val="20"/>
                <w:lang w:val="es-MX" w:eastAsia="es-MX"/>
              </w:rPr>
              <w:t>15. Recursos Federales</w:t>
            </w:r>
          </w:p>
        </w:tc>
        <w:tc>
          <w:tcPr>
            <w:tcW w:w="1128" w:type="dxa"/>
            <w:shd w:val="clear" w:color="auto" w:fill="auto"/>
            <w:noWrap/>
            <w:vAlign w:val="center"/>
          </w:tcPr>
          <w:p w14:paraId="4CE36477" w14:textId="77777777" w:rsidR="00AA3D42" w:rsidRDefault="00AA3D42" w:rsidP="005E2A35">
            <w:pPr>
              <w:spacing w:line="360" w:lineRule="auto"/>
              <w:jc w:val="right"/>
              <w:rPr>
                <w:color w:val="000000"/>
                <w:sz w:val="20"/>
                <w:szCs w:val="20"/>
                <w:lang w:val="es-MX" w:eastAsia="es-MX"/>
              </w:rPr>
            </w:pPr>
            <w:r>
              <w:rPr>
                <w:color w:val="000000"/>
                <w:sz w:val="20"/>
                <w:szCs w:val="20"/>
                <w:lang w:val="es-MX" w:eastAsia="es-MX"/>
              </w:rPr>
              <w:t>9,020,606,090.00</w:t>
            </w:r>
          </w:p>
        </w:tc>
      </w:tr>
      <w:tr w:rsidR="00AA3D42" w:rsidRPr="00955A4C" w14:paraId="757FE70F" w14:textId="77777777" w:rsidTr="005E2A35">
        <w:trPr>
          <w:trHeight w:val="300"/>
          <w:jc w:val="center"/>
        </w:trPr>
        <w:tc>
          <w:tcPr>
            <w:tcW w:w="3120" w:type="dxa"/>
            <w:shd w:val="clear" w:color="auto" w:fill="auto"/>
            <w:noWrap/>
            <w:vAlign w:val="bottom"/>
          </w:tcPr>
          <w:p w14:paraId="5C8FD21A" w14:textId="77777777" w:rsidR="00AA3D42" w:rsidRDefault="00AA3D42" w:rsidP="005E2A35">
            <w:pPr>
              <w:spacing w:line="360" w:lineRule="auto"/>
              <w:rPr>
                <w:color w:val="000000"/>
                <w:sz w:val="20"/>
                <w:szCs w:val="20"/>
                <w:lang w:val="es-MX" w:eastAsia="es-MX"/>
              </w:rPr>
            </w:pPr>
            <w:r>
              <w:rPr>
                <w:color w:val="000000"/>
                <w:sz w:val="20"/>
                <w:szCs w:val="20"/>
                <w:lang w:val="es-MX" w:eastAsia="es-MX"/>
              </w:rPr>
              <w:t>16. Recursos Estatales</w:t>
            </w:r>
          </w:p>
        </w:tc>
        <w:tc>
          <w:tcPr>
            <w:tcW w:w="1128" w:type="dxa"/>
            <w:shd w:val="clear" w:color="auto" w:fill="auto"/>
            <w:noWrap/>
            <w:vAlign w:val="center"/>
          </w:tcPr>
          <w:p w14:paraId="147C095D" w14:textId="77777777" w:rsidR="00AA3D42" w:rsidRDefault="00AA3D42" w:rsidP="005E2A35">
            <w:pPr>
              <w:spacing w:line="360" w:lineRule="auto"/>
              <w:jc w:val="right"/>
              <w:rPr>
                <w:color w:val="000000"/>
                <w:sz w:val="20"/>
                <w:szCs w:val="20"/>
                <w:lang w:val="es-MX" w:eastAsia="es-MX"/>
              </w:rPr>
            </w:pPr>
            <w:r>
              <w:rPr>
                <w:color w:val="000000"/>
                <w:sz w:val="20"/>
                <w:szCs w:val="20"/>
                <w:lang w:val="es-MX" w:eastAsia="es-MX"/>
              </w:rPr>
              <w:t>0.00</w:t>
            </w:r>
          </w:p>
        </w:tc>
      </w:tr>
      <w:tr w:rsidR="00AA3D42" w:rsidRPr="00955A4C" w14:paraId="6D9AD967" w14:textId="77777777" w:rsidTr="005E2A35">
        <w:trPr>
          <w:trHeight w:val="300"/>
          <w:jc w:val="center"/>
        </w:trPr>
        <w:tc>
          <w:tcPr>
            <w:tcW w:w="3120" w:type="dxa"/>
            <w:shd w:val="clear" w:color="auto" w:fill="auto"/>
            <w:noWrap/>
            <w:vAlign w:val="bottom"/>
          </w:tcPr>
          <w:p w14:paraId="46D02615" w14:textId="77777777" w:rsidR="00AA3D42" w:rsidRDefault="00AA3D42" w:rsidP="005E2A35">
            <w:pPr>
              <w:spacing w:line="360" w:lineRule="auto"/>
              <w:rPr>
                <w:color w:val="000000"/>
                <w:sz w:val="20"/>
                <w:szCs w:val="20"/>
                <w:lang w:val="es-MX" w:eastAsia="es-MX"/>
              </w:rPr>
            </w:pPr>
            <w:r>
              <w:rPr>
                <w:color w:val="000000"/>
                <w:sz w:val="20"/>
                <w:szCs w:val="20"/>
                <w:lang w:val="es-MX" w:eastAsia="es-MX"/>
              </w:rPr>
              <w:t>17. Otros Recursos de Libre Disposición</w:t>
            </w:r>
          </w:p>
        </w:tc>
        <w:tc>
          <w:tcPr>
            <w:tcW w:w="1128" w:type="dxa"/>
            <w:shd w:val="clear" w:color="auto" w:fill="auto"/>
            <w:noWrap/>
            <w:vAlign w:val="center"/>
          </w:tcPr>
          <w:p w14:paraId="3A51C261" w14:textId="77777777" w:rsidR="00AA3D42" w:rsidRDefault="00AA3D42" w:rsidP="005E2A35">
            <w:pPr>
              <w:spacing w:line="360" w:lineRule="auto"/>
              <w:jc w:val="right"/>
              <w:rPr>
                <w:color w:val="000000"/>
                <w:sz w:val="20"/>
                <w:szCs w:val="20"/>
                <w:lang w:val="es-MX" w:eastAsia="es-MX"/>
              </w:rPr>
            </w:pPr>
            <w:r>
              <w:rPr>
                <w:color w:val="000000"/>
                <w:sz w:val="20"/>
                <w:szCs w:val="20"/>
                <w:lang w:val="es-MX" w:eastAsia="es-MX"/>
              </w:rPr>
              <w:t>0.00</w:t>
            </w:r>
          </w:p>
        </w:tc>
      </w:tr>
      <w:tr w:rsidR="00AA3D42" w:rsidRPr="00955A4C" w14:paraId="7CCEB2EC" w14:textId="77777777" w:rsidTr="005E2A35">
        <w:trPr>
          <w:trHeight w:val="300"/>
          <w:jc w:val="center"/>
        </w:trPr>
        <w:tc>
          <w:tcPr>
            <w:tcW w:w="3120" w:type="dxa"/>
            <w:shd w:val="clear" w:color="auto" w:fill="auto"/>
            <w:noWrap/>
            <w:vAlign w:val="bottom"/>
            <w:hideMark/>
          </w:tcPr>
          <w:p w14:paraId="68934046"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5. Recursos Federales</w:t>
            </w:r>
          </w:p>
        </w:tc>
        <w:tc>
          <w:tcPr>
            <w:tcW w:w="1128" w:type="dxa"/>
            <w:shd w:val="clear" w:color="auto" w:fill="auto"/>
            <w:noWrap/>
            <w:vAlign w:val="center"/>
          </w:tcPr>
          <w:p w14:paraId="7415A102"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10,543,839,426.00</w:t>
            </w:r>
          </w:p>
        </w:tc>
      </w:tr>
      <w:tr w:rsidR="00AA3D42" w:rsidRPr="00955A4C" w14:paraId="76A1CEDE" w14:textId="77777777" w:rsidTr="005E2A35">
        <w:trPr>
          <w:trHeight w:val="300"/>
          <w:jc w:val="center"/>
        </w:trPr>
        <w:tc>
          <w:tcPr>
            <w:tcW w:w="3120" w:type="dxa"/>
            <w:shd w:val="clear" w:color="auto" w:fill="auto"/>
            <w:noWrap/>
            <w:vAlign w:val="bottom"/>
            <w:hideMark/>
          </w:tcPr>
          <w:p w14:paraId="20B308D7"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6. Recursos Estatales</w:t>
            </w:r>
          </w:p>
        </w:tc>
        <w:tc>
          <w:tcPr>
            <w:tcW w:w="1128" w:type="dxa"/>
            <w:shd w:val="clear" w:color="auto" w:fill="auto"/>
            <w:noWrap/>
            <w:vAlign w:val="center"/>
            <w:hideMark/>
          </w:tcPr>
          <w:p w14:paraId="0F66D263"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AA3D42" w:rsidRPr="00955A4C" w14:paraId="5D7D684F" w14:textId="77777777" w:rsidTr="005E2A35">
        <w:trPr>
          <w:trHeight w:val="300"/>
          <w:jc w:val="center"/>
        </w:trPr>
        <w:tc>
          <w:tcPr>
            <w:tcW w:w="3120" w:type="dxa"/>
            <w:shd w:val="clear" w:color="auto" w:fill="auto"/>
            <w:noWrap/>
            <w:vAlign w:val="bottom"/>
            <w:hideMark/>
          </w:tcPr>
          <w:p w14:paraId="388A0F9D" w14:textId="77777777" w:rsidR="00AA3D42" w:rsidRPr="00955A4C" w:rsidRDefault="00AA3D42" w:rsidP="005E2A35">
            <w:pPr>
              <w:spacing w:line="360" w:lineRule="auto"/>
              <w:rPr>
                <w:color w:val="000000"/>
                <w:sz w:val="20"/>
                <w:szCs w:val="20"/>
                <w:lang w:val="es-MX" w:eastAsia="es-MX"/>
              </w:rPr>
            </w:pPr>
            <w:r>
              <w:rPr>
                <w:color w:val="000000"/>
                <w:sz w:val="20"/>
                <w:szCs w:val="20"/>
                <w:lang w:val="es-MX" w:eastAsia="es-MX"/>
              </w:rPr>
              <w:t>2</w:t>
            </w:r>
            <w:r w:rsidRPr="00955A4C">
              <w:rPr>
                <w:color w:val="000000"/>
                <w:sz w:val="20"/>
                <w:szCs w:val="20"/>
                <w:lang w:val="es-MX" w:eastAsia="es-MX"/>
              </w:rPr>
              <w:t>7. Otros Recursos</w:t>
            </w:r>
            <w:r>
              <w:rPr>
                <w:color w:val="000000"/>
                <w:sz w:val="20"/>
                <w:szCs w:val="20"/>
                <w:lang w:val="es-MX" w:eastAsia="es-MX"/>
              </w:rPr>
              <w:t xml:space="preserve"> de Transferencias Federales Etiquetadas</w:t>
            </w:r>
          </w:p>
        </w:tc>
        <w:tc>
          <w:tcPr>
            <w:tcW w:w="1128" w:type="dxa"/>
            <w:shd w:val="clear" w:color="auto" w:fill="auto"/>
            <w:noWrap/>
            <w:vAlign w:val="center"/>
            <w:hideMark/>
          </w:tcPr>
          <w:p w14:paraId="2385C258" w14:textId="77777777" w:rsidR="00AA3D42" w:rsidRPr="00955A4C" w:rsidRDefault="00AA3D42" w:rsidP="005E2A35">
            <w:pPr>
              <w:spacing w:line="360" w:lineRule="auto"/>
              <w:jc w:val="right"/>
              <w:rPr>
                <w:color w:val="000000"/>
                <w:sz w:val="20"/>
                <w:szCs w:val="20"/>
                <w:lang w:val="es-MX" w:eastAsia="es-MX"/>
              </w:rPr>
            </w:pPr>
            <w:r>
              <w:rPr>
                <w:color w:val="000000"/>
                <w:sz w:val="20"/>
                <w:szCs w:val="20"/>
                <w:lang w:val="es-MX" w:eastAsia="es-MX"/>
              </w:rPr>
              <w:t>0.00</w:t>
            </w:r>
            <w:r w:rsidRPr="00955A4C">
              <w:rPr>
                <w:color w:val="000000"/>
                <w:sz w:val="20"/>
                <w:szCs w:val="20"/>
                <w:lang w:val="es-MX" w:eastAsia="es-MX"/>
              </w:rPr>
              <w:t> </w:t>
            </w:r>
          </w:p>
        </w:tc>
      </w:tr>
      <w:tr w:rsidR="00AA3D42" w:rsidRPr="00955A4C" w14:paraId="55D08C3A" w14:textId="77777777" w:rsidTr="005E2A35">
        <w:trPr>
          <w:trHeight w:val="300"/>
          <w:jc w:val="center"/>
        </w:trPr>
        <w:tc>
          <w:tcPr>
            <w:tcW w:w="3120" w:type="dxa"/>
            <w:shd w:val="clear" w:color="auto" w:fill="D9D9D9" w:themeFill="background1" w:themeFillShade="D9"/>
            <w:noWrap/>
            <w:vAlign w:val="bottom"/>
            <w:hideMark/>
          </w:tcPr>
          <w:p w14:paraId="2F177D56" w14:textId="77777777" w:rsidR="00AA3D42" w:rsidRPr="00955A4C" w:rsidRDefault="00AA3D42" w:rsidP="005E2A35">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128" w:type="dxa"/>
            <w:shd w:val="clear" w:color="auto" w:fill="D9D9D9" w:themeFill="background1" w:themeFillShade="D9"/>
            <w:noWrap/>
            <w:vAlign w:val="bottom"/>
            <w:hideMark/>
          </w:tcPr>
          <w:p w14:paraId="33300F87" w14:textId="77777777" w:rsidR="00AA3D42" w:rsidRPr="00955A4C" w:rsidRDefault="00AA3D42" w:rsidP="005E2A35">
            <w:pPr>
              <w:spacing w:line="360" w:lineRule="auto"/>
              <w:jc w:val="right"/>
              <w:rPr>
                <w:b/>
                <w:color w:val="000000"/>
                <w:sz w:val="20"/>
                <w:szCs w:val="20"/>
                <w:lang w:val="es-MX" w:eastAsia="es-MX"/>
              </w:rPr>
            </w:pPr>
            <w:r>
              <w:rPr>
                <w:b/>
                <w:color w:val="000000"/>
                <w:sz w:val="20"/>
                <w:szCs w:val="20"/>
                <w:lang w:val="es-MX" w:eastAsia="es-MX"/>
              </w:rPr>
              <w:t>20,667,669,175.00</w:t>
            </w:r>
          </w:p>
        </w:tc>
      </w:tr>
    </w:tbl>
    <w:p w14:paraId="3CA07346" w14:textId="77777777" w:rsidR="00AA3D42" w:rsidRPr="00955A4C" w:rsidRDefault="00AA3D42" w:rsidP="00AA3D42">
      <w:pPr>
        <w:spacing w:line="360" w:lineRule="auto"/>
        <w:jc w:val="both"/>
        <w:rPr>
          <w:b/>
          <w:sz w:val="20"/>
          <w:szCs w:val="20"/>
        </w:rPr>
      </w:pPr>
    </w:p>
    <w:p w14:paraId="727314FA" w14:textId="77777777" w:rsidR="00AA3D42" w:rsidRPr="00D07D8F" w:rsidRDefault="00AA3D42" w:rsidP="00AA3D42">
      <w:pPr>
        <w:spacing w:line="360" w:lineRule="auto"/>
        <w:rPr>
          <w:sz w:val="20"/>
          <w:szCs w:val="20"/>
        </w:rPr>
      </w:pPr>
      <w:r w:rsidRPr="00D07D8F">
        <w:rPr>
          <w:sz w:val="20"/>
          <w:szCs w:val="20"/>
        </w:rPr>
        <w:t xml:space="preserve">En seguida se muestra a nivel subfuente de financiamiento: </w:t>
      </w:r>
    </w:p>
    <w:p w14:paraId="43F89EC6" w14:textId="77777777" w:rsidR="00AA3D42" w:rsidRPr="00955A4C" w:rsidRDefault="00AA3D42" w:rsidP="00AA3D42">
      <w:pPr>
        <w:spacing w:line="360" w:lineRule="auto"/>
        <w:jc w:val="center"/>
        <w:rPr>
          <w:b/>
          <w:sz w:val="20"/>
          <w:szCs w:val="20"/>
        </w:rPr>
      </w:pPr>
    </w:p>
    <w:tbl>
      <w:tblPr>
        <w:tblW w:w="590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4265"/>
        <w:gridCol w:w="1640"/>
      </w:tblGrid>
      <w:tr w:rsidR="00AA3D42" w:rsidRPr="00955A4C" w14:paraId="6B424A0E" w14:textId="77777777" w:rsidTr="005E2A35">
        <w:trPr>
          <w:trHeight w:val="300"/>
          <w:tblHeader/>
          <w:jc w:val="center"/>
        </w:trPr>
        <w:tc>
          <w:tcPr>
            <w:tcW w:w="4265" w:type="dxa"/>
            <w:shd w:val="clear" w:color="auto" w:fill="D9D9D9" w:themeFill="background1" w:themeFillShade="D9"/>
            <w:noWrap/>
            <w:vAlign w:val="center"/>
            <w:hideMark/>
          </w:tcPr>
          <w:p w14:paraId="33EFF7C2" w14:textId="77777777" w:rsidR="00AA3D42" w:rsidRPr="00955A4C" w:rsidRDefault="00AA3D42" w:rsidP="00AA3D42">
            <w:pPr>
              <w:spacing w:line="360" w:lineRule="auto"/>
              <w:jc w:val="center"/>
              <w:rPr>
                <w:b/>
                <w:bCs/>
                <w:color w:val="000000"/>
                <w:sz w:val="20"/>
                <w:szCs w:val="20"/>
                <w:lang w:val="es-MX" w:eastAsia="es-MX"/>
              </w:rPr>
            </w:pPr>
            <w:r w:rsidRPr="00955A4C">
              <w:rPr>
                <w:b/>
                <w:bCs/>
                <w:color w:val="000000"/>
                <w:sz w:val="20"/>
                <w:szCs w:val="20"/>
                <w:lang w:val="es-MX" w:eastAsia="es-MX"/>
              </w:rPr>
              <w:t>SUBFUENTE DE FINANCIAMIENTO</w:t>
            </w:r>
          </w:p>
        </w:tc>
        <w:tc>
          <w:tcPr>
            <w:tcW w:w="1640" w:type="dxa"/>
            <w:shd w:val="clear" w:color="auto" w:fill="D9D9D9" w:themeFill="background1" w:themeFillShade="D9"/>
            <w:noWrap/>
            <w:vAlign w:val="center"/>
            <w:hideMark/>
          </w:tcPr>
          <w:p w14:paraId="1800A18D" w14:textId="77777777" w:rsidR="00AA3D42" w:rsidRPr="00955A4C" w:rsidRDefault="00AA3D42" w:rsidP="00AA3D42">
            <w:pPr>
              <w:spacing w:line="360" w:lineRule="auto"/>
              <w:jc w:val="center"/>
              <w:rPr>
                <w:b/>
                <w:bCs/>
                <w:color w:val="000000"/>
                <w:sz w:val="20"/>
                <w:szCs w:val="20"/>
                <w:lang w:val="es-MX" w:eastAsia="es-MX"/>
              </w:rPr>
            </w:pPr>
            <w:r>
              <w:rPr>
                <w:b/>
                <w:bCs/>
                <w:color w:val="000000"/>
                <w:sz w:val="20"/>
                <w:szCs w:val="20"/>
                <w:lang w:val="es-MX" w:eastAsia="es-MX"/>
              </w:rPr>
              <w:t>MONTO</w:t>
            </w:r>
          </w:p>
        </w:tc>
      </w:tr>
      <w:tr w:rsidR="00AA3D42" w:rsidRPr="00955A4C" w14:paraId="286DB76A" w14:textId="77777777" w:rsidTr="005E2A35">
        <w:trPr>
          <w:trHeight w:val="300"/>
          <w:jc w:val="center"/>
        </w:trPr>
        <w:tc>
          <w:tcPr>
            <w:tcW w:w="4265" w:type="dxa"/>
            <w:shd w:val="clear" w:color="auto" w:fill="auto"/>
            <w:noWrap/>
            <w:vAlign w:val="bottom"/>
            <w:hideMark/>
          </w:tcPr>
          <w:p w14:paraId="691FDEE3" w14:textId="77777777" w:rsidR="00AA3D42" w:rsidRPr="00955A4C" w:rsidRDefault="00AA3D42" w:rsidP="00AA3D42">
            <w:pPr>
              <w:spacing w:line="360" w:lineRule="auto"/>
              <w:rPr>
                <w:color w:val="000000"/>
                <w:sz w:val="20"/>
                <w:szCs w:val="20"/>
                <w:lang w:val="es-MX" w:eastAsia="es-MX"/>
              </w:rPr>
            </w:pPr>
            <w:r>
              <w:rPr>
                <w:color w:val="000000"/>
                <w:sz w:val="20"/>
                <w:szCs w:val="20"/>
                <w:lang w:val="es-MX" w:eastAsia="es-MX"/>
              </w:rPr>
              <w:t>Ingresos Derivados de Fuentes Locales</w:t>
            </w:r>
          </w:p>
        </w:tc>
        <w:tc>
          <w:tcPr>
            <w:tcW w:w="1640" w:type="dxa"/>
            <w:shd w:val="clear" w:color="auto" w:fill="auto"/>
            <w:noWrap/>
            <w:vAlign w:val="center"/>
            <w:hideMark/>
          </w:tcPr>
          <w:p w14:paraId="06B6A893" w14:textId="77777777" w:rsidR="00AA3D42" w:rsidRPr="004C3031" w:rsidRDefault="00AA3D42" w:rsidP="00AA3D42">
            <w:pPr>
              <w:spacing w:line="360" w:lineRule="auto"/>
              <w:jc w:val="right"/>
              <w:rPr>
                <w:color w:val="000000"/>
                <w:sz w:val="20"/>
                <w:szCs w:val="20"/>
                <w:lang w:val="es-MX" w:eastAsia="es-MX"/>
              </w:rPr>
            </w:pPr>
            <w:r>
              <w:rPr>
                <w:sz w:val="20"/>
                <w:szCs w:val="20"/>
              </w:rPr>
              <w:t>959,611,711.00</w:t>
            </w:r>
          </w:p>
        </w:tc>
      </w:tr>
      <w:tr w:rsidR="00AA3D42" w:rsidRPr="00955A4C" w14:paraId="1368E2F9" w14:textId="77777777" w:rsidTr="005E2A35">
        <w:trPr>
          <w:trHeight w:val="300"/>
          <w:jc w:val="center"/>
        </w:trPr>
        <w:tc>
          <w:tcPr>
            <w:tcW w:w="4265" w:type="dxa"/>
            <w:shd w:val="clear" w:color="auto" w:fill="auto"/>
            <w:noWrap/>
            <w:vAlign w:val="bottom"/>
            <w:hideMark/>
          </w:tcPr>
          <w:p w14:paraId="14223733" w14:textId="77777777" w:rsidR="00AA3D42" w:rsidRPr="00955A4C" w:rsidRDefault="00AA3D42" w:rsidP="00AA3D42">
            <w:pPr>
              <w:spacing w:line="360" w:lineRule="auto"/>
              <w:rPr>
                <w:color w:val="000000"/>
                <w:sz w:val="20"/>
                <w:szCs w:val="20"/>
                <w:lang w:val="es-MX" w:eastAsia="es-MX"/>
              </w:rPr>
            </w:pPr>
            <w:r>
              <w:rPr>
                <w:color w:val="000000"/>
                <w:sz w:val="20"/>
                <w:szCs w:val="20"/>
                <w:lang w:val="es-MX" w:eastAsia="es-MX"/>
              </w:rPr>
              <w:t>Ingresos por Venta de Bienes de Organismos Descentralizados</w:t>
            </w:r>
          </w:p>
        </w:tc>
        <w:tc>
          <w:tcPr>
            <w:tcW w:w="1640" w:type="dxa"/>
            <w:shd w:val="clear" w:color="auto" w:fill="auto"/>
            <w:noWrap/>
            <w:vAlign w:val="center"/>
            <w:hideMark/>
          </w:tcPr>
          <w:p w14:paraId="7FAC6342" w14:textId="77777777" w:rsidR="00AA3D42" w:rsidRPr="00955A4C" w:rsidRDefault="00AA3D42" w:rsidP="00AA3D42">
            <w:pPr>
              <w:spacing w:line="360" w:lineRule="auto"/>
              <w:jc w:val="right"/>
              <w:rPr>
                <w:color w:val="000000"/>
                <w:sz w:val="20"/>
                <w:szCs w:val="20"/>
                <w:lang w:val="es-MX" w:eastAsia="es-MX"/>
              </w:rPr>
            </w:pPr>
            <w:r>
              <w:rPr>
                <w:color w:val="000000"/>
                <w:sz w:val="20"/>
                <w:szCs w:val="20"/>
                <w:lang w:val="es-MX" w:eastAsia="es-MX"/>
              </w:rPr>
              <w:t>143,611,948.00</w:t>
            </w:r>
          </w:p>
        </w:tc>
      </w:tr>
      <w:tr w:rsidR="00AA3D42" w:rsidRPr="00955A4C" w14:paraId="36A6727A" w14:textId="77777777" w:rsidTr="005E2A35">
        <w:trPr>
          <w:trHeight w:val="300"/>
          <w:jc w:val="center"/>
        </w:trPr>
        <w:tc>
          <w:tcPr>
            <w:tcW w:w="4265" w:type="dxa"/>
            <w:shd w:val="clear" w:color="auto" w:fill="auto"/>
            <w:noWrap/>
            <w:vAlign w:val="bottom"/>
            <w:hideMark/>
          </w:tcPr>
          <w:p w14:paraId="39D83802" w14:textId="77777777" w:rsidR="00AA3D42" w:rsidRPr="00955A4C" w:rsidRDefault="00AA3D42" w:rsidP="00AA3D42">
            <w:pPr>
              <w:spacing w:line="360" w:lineRule="auto"/>
              <w:rPr>
                <w:color w:val="000000"/>
                <w:sz w:val="20"/>
                <w:szCs w:val="20"/>
                <w:lang w:val="es-MX" w:eastAsia="es-MX"/>
              </w:rPr>
            </w:pPr>
            <w:r>
              <w:rPr>
                <w:color w:val="000000"/>
                <w:sz w:val="20"/>
                <w:szCs w:val="20"/>
                <w:lang w:val="es-MX" w:eastAsia="es-MX"/>
              </w:rPr>
              <w:t>Fondo General de Participaciones</w:t>
            </w:r>
          </w:p>
        </w:tc>
        <w:tc>
          <w:tcPr>
            <w:tcW w:w="1640" w:type="dxa"/>
            <w:shd w:val="clear" w:color="auto" w:fill="auto"/>
            <w:noWrap/>
            <w:vAlign w:val="bottom"/>
            <w:hideMark/>
          </w:tcPr>
          <w:p w14:paraId="36E97E7E" w14:textId="77777777" w:rsidR="00AA3D42" w:rsidRPr="00955A4C" w:rsidRDefault="00AA3D42" w:rsidP="00AA3D42">
            <w:pPr>
              <w:spacing w:line="360" w:lineRule="auto"/>
              <w:jc w:val="right"/>
              <w:rPr>
                <w:color w:val="000000"/>
                <w:sz w:val="20"/>
                <w:szCs w:val="20"/>
                <w:lang w:val="es-MX" w:eastAsia="es-MX"/>
              </w:rPr>
            </w:pPr>
            <w:r>
              <w:rPr>
                <w:color w:val="000000"/>
                <w:sz w:val="20"/>
                <w:szCs w:val="20"/>
                <w:lang w:val="es-MX" w:eastAsia="es-MX"/>
              </w:rPr>
              <w:t>6,767,388,797.00</w:t>
            </w:r>
          </w:p>
        </w:tc>
      </w:tr>
      <w:tr w:rsidR="00AA3D42" w:rsidRPr="00955A4C" w14:paraId="12E022B6" w14:textId="77777777" w:rsidTr="005E2A35">
        <w:trPr>
          <w:trHeight w:val="300"/>
          <w:jc w:val="center"/>
        </w:trPr>
        <w:tc>
          <w:tcPr>
            <w:tcW w:w="4265" w:type="dxa"/>
            <w:shd w:val="clear" w:color="auto" w:fill="auto"/>
            <w:noWrap/>
            <w:vAlign w:val="bottom"/>
          </w:tcPr>
          <w:p w14:paraId="2A828FD5"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de Compensación</w:t>
            </w:r>
          </w:p>
        </w:tc>
        <w:tc>
          <w:tcPr>
            <w:tcW w:w="1640" w:type="dxa"/>
            <w:shd w:val="clear" w:color="auto" w:fill="auto"/>
            <w:noWrap/>
            <w:vAlign w:val="bottom"/>
          </w:tcPr>
          <w:p w14:paraId="6DD4AC3A"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385,877,617.00</w:t>
            </w:r>
          </w:p>
        </w:tc>
      </w:tr>
      <w:tr w:rsidR="00AA3D42" w:rsidRPr="00955A4C" w14:paraId="7C237528" w14:textId="77777777" w:rsidTr="005E2A35">
        <w:trPr>
          <w:trHeight w:val="300"/>
          <w:jc w:val="center"/>
        </w:trPr>
        <w:tc>
          <w:tcPr>
            <w:tcW w:w="4265" w:type="dxa"/>
            <w:shd w:val="clear" w:color="auto" w:fill="auto"/>
            <w:noWrap/>
            <w:vAlign w:val="bottom"/>
          </w:tcPr>
          <w:p w14:paraId="3BA05A7D"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Incentivo para la Venta Final de Gasolina y Diesel</w:t>
            </w:r>
          </w:p>
        </w:tc>
        <w:tc>
          <w:tcPr>
            <w:tcW w:w="1640" w:type="dxa"/>
            <w:shd w:val="clear" w:color="auto" w:fill="auto"/>
            <w:noWrap/>
            <w:vAlign w:val="bottom"/>
          </w:tcPr>
          <w:p w14:paraId="11BC33FF"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165,953,188.00</w:t>
            </w:r>
          </w:p>
        </w:tc>
      </w:tr>
      <w:tr w:rsidR="00AA3D42" w:rsidRPr="00955A4C" w14:paraId="3C3D0431" w14:textId="77777777" w:rsidTr="005E2A35">
        <w:trPr>
          <w:trHeight w:val="300"/>
          <w:jc w:val="center"/>
        </w:trPr>
        <w:tc>
          <w:tcPr>
            <w:tcW w:w="4265" w:type="dxa"/>
            <w:shd w:val="clear" w:color="auto" w:fill="auto"/>
            <w:noWrap/>
            <w:vAlign w:val="bottom"/>
          </w:tcPr>
          <w:p w14:paraId="77527038"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de Fomento Municipal</w:t>
            </w:r>
          </w:p>
        </w:tc>
        <w:tc>
          <w:tcPr>
            <w:tcW w:w="1640" w:type="dxa"/>
            <w:shd w:val="clear" w:color="auto" w:fill="auto"/>
            <w:noWrap/>
            <w:vAlign w:val="bottom"/>
          </w:tcPr>
          <w:p w14:paraId="30A81BBE" w14:textId="77777777" w:rsidR="00AA3D42" w:rsidRDefault="00AA3D42" w:rsidP="00AA3D42">
            <w:pPr>
              <w:spacing w:line="360" w:lineRule="auto"/>
              <w:jc w:val="right"/>
              <w:rPr>
                <w:color w:val="000000"/>
                <w:sz w:val="20"/>
                <w:szCs w:val="20"/>
                <w:lang w:val="es-MX" w:eastAsia="es-MX"/>
              </w:rPr>
            </w:pPr>
            <w:r>
              <w:rPr>
                <w:color w:val="000000"/>
                <w:sz w:val="20"/>
                <w:szCs w:val="20"/>
                <w:lang w:val="es-MX" w:eastAsia="es-MX"/>
              </w:rPr>
              <w:t>475,533,076.00</w:t>
            </w:r>
          </w:p>
        </w:tc>
      </w:tr>
      <w:tr w:rsidR="00AA3D42" w:rsidRPr="00955A4C" w14:paraId="70EE7C9E" w14:textId="77777777" w:rsidTr="005E2A35">
        <w:trPr>
          <w:trHeight w:val="300"/>
          <w:jc w:val="center"/>
        </w:trPr>
        <w:tc>
          <w:tcPr>
            <w:tcW w:w="4265" w:type="dxa"/>
            <w:shd w:val="clear" w:color="auto" w:fill="auto"/>
            <w:noWrap/>
            <w:vAlign w:val="bottom"/>
          </w:tcPr>
          <w:p w14:paraId="0BD6A02C"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ISR</w:t>
            </w:r>
          </w:p>
        </w:tc>
        <w:tc>
          <w:tcPr>
            <w:tcW w:w="1640" w:type="dxa"/>
            <w:shd w:val="clear" w:color="auto" w:fill="auto"/>
            <w:noWrap/>
            <w:vAlign w:val="bottom"/>
          </w:tcPr>
          <w:p w14:paraId="43CB7FB1" w14:textId="77777777" w:rsidR="00AA3D42" w:rsidRPr="008B1F22" w:rsidRDefault="00AA3D42" w:rsidP="00AA3D42">
            <w:pPr>
              <w:spacing w:line="360" w:lineRule="auto"/>
              <w:jc w:val="right"/>
              <w:rPr>
                <w:color w:val="000000"/>
                <w:sz w:val="20"/>
                <w:szCs w:val="20"/>
                <w:lang w:val="es-MX" w:eastAsia="es-MX"/>
              </w:rPr>
            </w:pPr>
            <w:r w:rsidRPr="002C6C53">
              <w:rPr>
                <w:color w:val="000000"/>
                <w:sz w:val="20"/>
                <w:szCs w:val="20"/>
                <w:lang w:val="es-MX" w:eastAsia="es-MX"/>
              </w:rPr>
              <w:t>672,618,285.00</w:t>
            </w:r>
          </w:p>
        </w:tc>
      </w:tr>
      <w:tr w:rsidR="00AA3D42" w:rsidRPr="00955A4C" w14:paraId="09098989" w14:textId="77777777" w:rsidTr="005E2A35">
        <w:trPr>
          <w:trHeight w:val="300"/>
          <w:jc w:val="center"/>
        </w:trPr>
        <w:tc>
          <w:tcPr>
            <w:tcW w:w="4265" w:type="dxa"/>
            <w:shd w:val="clear" w:color="auto" w:fill="auto"/>
            <w:noWrap/>
            <w:vAlign w:val="bottom"/>
          </w:tcPr>
          <w:p w14:paraId="082FB901" w14:textId="77777777" w:rsidR="00AA3D42" w:rsidRDefault="00AA3D42" w:rsidP="00AA3D42">
            <w:pPr>
              <w:spacing w:line="360" w:lineRule="auto"/>
              <w:rPr>
                <w:color w:val="000000"/>
                <w:sz w:val="20"/>
                <w:szCs w:val="20"/>
                <w:lang w:val="es-MX" w:eastAsia="es-MX"/>
              </w:rPr>
            </w:pPr>
            <w:r>
              <w:rPr>
                <w:color w:val="000000"/>
                <w:sz w:val="20"/>
                <w:szCs w:val="20"/>
                <w:lang w:val="es-MX" w:eastAsia="es-MX"/>
              </w:rPr>
              <w:lastRenderedPageBreak/>
              <w:t>Impuesto Especial sobre Producción y Servicios</w:t>
            </w:r>
          </w:p>
        </w:tc>
        <w:tc>
          <w:tcPr>
            <w:tcW w:w="1640" w:type="dxa"/>
            <w:shd w:val="clear" w:color="auto" w:fill="auto"/>
            <w:noWrap/>
            <w:vAlign w:val="bottom"/>
          </w:tcPr>
          <w:p w14:paraId="29D91BBA"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47,235,911.00</w:t>
            </w:r>
          </w:p>
        </w:tc>
      </w:tr>
      <w:tr w:rsidR="00AA3D42" w:rsidRPr="00955A4C" w14:paraId="01F2A0B2" w14:textId="77777777" w:rsidTr="005E2A35">
        <w:trPr>
          <w:trHeight w:val="300"/>
          <w:jc w:val="center"/>
        </w:trPr>
        <w:tc>
          <w:tcPr>
            <w:tcW w:w="4265" w:type="dxa"/>
            <w:shd w:val="clear" w:color="auto" w:fill="auto"/>
            <w:noWrap/>
            <w:vAlign w:val="bottom"/>
          </w:tcPr>
          <w:p w14:paraId="4DEE13E0"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de Fiscalización</w:t>
            </w:r>
          </w:p>
        </w:tc>
        <w:tc>
          <w:tcPr>
            <w:tcW w:w="1640" w:type="dxa"/>
            <w:shd w:val="clear" w:color="auto" w:fill="auto"/>
            <w:noWrap/>
            <w:vAlign w:val="bottom"/>
          </w:tcPr>
          <w:p w14:paraId="417D60AD"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404,668,617.00</w:t>
            </w:r>
          </w:p>
        </w:tc>
      </w:tr>
      <w:tr w:rsidR="00AA3D42" w:rsidRPr="00955A4C" w14:paraId="0D5B03D3" w14:textId="77777777" w:rsidTr="005E2A35">
        <w:trPr>
          <w:trHeight w:val="300"/>
          <w:jc w:val="center"/>
        </w:trPr>
        <w:tc>
          <w:tcPr>
            <w:tcW w:w="4265" w:type="dxa"/>
            <w:shd w:val="clear" w:color="auto" w:fill="auto"/>
            <w:noWrap/>
            <w:vAlign w:val="bottom"/>
          </w:tcPr>
          <w:p w14:paraId="540B89F4"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de Compensación ISAN</w:t>
            </w:r>
          </w:p>
        </w:tc>
        <w:tc>
          <w:tcPr>
            <w:tcW w:w="1640" w:type="dxa"/>
            <w:shd w:val="clear" w:color="auto" w:fill="auto"/>
            <w:noWrap/>
            <w:vAlign w:val="bottom"/>
          </w:tcPr>
          <w:p w14:paraId="59B845CF"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10,219,736.00</w:t>
            </w:r>
          </w:p>
        </w:tc>
      </w:tr>
      <w:tr w:rsidR="00AA3D42" w:rsidRPr="00955A4C" w14:paraId="5B6C7166" w14:textId="77777777" w:rsidTr="005E2A35">
        <w:trPr>
          <w:trHeight w:val="300"/>
          <w:jc w:val="center"/>
        </w:trPr>
        <w:tc>
          <w:tcPr>
            <w:tcW w:w="4265" w:type="dxa"/>
            <w:shd w:val="clear" w:color="auto" w:fill="auto"/>
            <w:noWrap/>
            <w:vAlign w:val="bottom"/>
          </w:tcPr>
          <w:p w14:paraId="77AE5F29"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Fondo Repecos e Intermedios</w:t>
            </w:r>
          </w:p>
        </w:tc>
        <w:tc>
          <w:tcPr>
            <w:tcW w:w="1640" w:type="dxa"/>
            <w:shd w:val="clear" w:color="auto" w:fill="auto"/>
            <w:noWrap/>
            <w:vAlign w:val="bottom"/>
          </w:tcPr>
          <w:p w14:paraId="778599DB" w14:textId="77777777" w:rsidR="00AA3D42" w:rsidRPr="008B1F22" w:rsidRDefault="00AA3D42" w:rsidP="00AA3D42">
            <w:pPr>
              <w:spacing w:line="360" w:lineRule="auto"/>
              <w:jc w:val="right"/>
              <w:rPr>
                <w:color w:val="000000"/>
                <w:sz w:val="20"/>
                <w:szCs w:val="20"/>
                <w:lang w:val="es-MX" w:eastAsia="es-MX"/>
              </w:rPr>
            </w:pPr>
            <w:r w:rsidRPr="002C6C53">
              <w:rPr>
                <w:color w:val="000000"/>
                <w:sz w:val="20"/>
                <w:szCs w:val="20"/>
                <w:lang w:val="es-MX" w:eastAsia="es-MX"/>
              </w:rPr>
              <w:t>4,550,425.00</w:t>
            </w:r>
          </w:p>
        </w:tc>
      </w:tr>
      <w:tr w:rsidR="00AA3D42" w:rsidRPr="00955A4C" w14:paraId="68E77C17" w14:textId="77777777" w:rsidTr="005E2A35">
        <w:trPr>
          <w:trHeight w:val="300"/>
          <w:jc w:val="center"/>
        </w:trPr>
        <w:tc>
          <w:tcPr>
            <w:tcW w:w="4265" w:type="dxa"/>
            <w:shd w:val="clear" w:color="auto" w:fill="auto"/>
            <w:noWrap/>
            <w:vAlign w:val="bottom"/>
          </w:tcPr>
          <w:p w14:paraId="6A474638" w14:textId="77777777" w:rsidR="00AA3D42" w:rsidRDefault="00AA3D42" w:rsidP="00AA3D42">
            <w:pPr>
              <w:spacing w:line="360" w:lineRule="auto"/>
              <w:rPr>
                <w:color w:val="000000"/>
                <w:sz w:val="20"/>
                <w:szCs w:val="20"/>
                <w:lang w:val="es-MX" w:eastAsia="es-MX"/>
              </w:rPr>
            </w:pPr>
            <w:r>
              <w:rPr>
                <w:color w:val="000000"/>
                <w:sz w:val="20"/>
                <w:szCs w:val="20"/>
                <w:lang w:val="es-MX" w:eastAsia="es-MX"/>
              </w:rPr>
              <w:t>Incentivos  Derivados de Colaboración Fiscal</w:t>
            </w:r>
          </w:p>
        </w:tc>
        <w:tc>
          <w:tcPr>
            <w:tcW w:w="1640" w:type="dxa"/>
            <w:shd w:val="clear" w:color="auto" w:fill="auto"/>
            <w:noWrap/>
            <w:vAlign w:val="bottom"/>
          </w:tcPr>
          <w:p w14:paraId="4B5DCF53" w14:textId="77777777" w:rsidR="00AA3D42" w:rsidRPr="008B1F22" w:rsidRDefault="00AA3D42" w:rsidP="00AA3D42">
            <w:pPr>
              <w:spacing w:line="360" w:lineRule="auto"/>
              <w:jc w:val="right"/>
              <w:rPr>
                <w:color w:val="000000"/>
                <w:sz w:val="20"/>
                <w:szCs w:val="20"/>
                <w:lang w:val="es-MX" w:eastAsia="es-MX"/>
              </w:rPr>
            </w:pPr>
            <w:r>
              <w:rPr>
                <w:color w:val="000000"/>
                <w:sz w:val="20"/>
                <w:szCs w:val="20"/>
                <w:lang w:val="es-MX" w:eastAsia="es-MX"/>
              </w:rPr>
              <w:t>86,560,438.00</w:t>
            </w:r>
          </w:p>
        </w:tc>
      </w:tr>
      <w:tr w:rsidR="00AA3D42" w:rsidRPr="00955A4C" w14:paraId="021F5A22" w14:textId="77777777" w:rsidTr="005E2A35">
        <w:trPr>
          <w:trHeight w:val="300"/>
          <w:jc w:val="center"/>
        </w:trPr>
        <w:tc>
          <w:tcPr>
            <w:tcW w:w="4265" w:type="dxa"/>
            <w:shd w:val="clear" w:color="auto" w:fill="auto"/>
            <w:noWrap/>
            <w:vAlign w:val="bottom"/>
            <w:hideMark/>
          </w:tcPr>
          <w:p w14:paraId="13906F80" w14:textId="77777777" w:rsidR="00AA3D42" w:rsidRPr="00955A4C" w:rsidRDefault="00AA3D42" w:rsidP="00AA3D42">
            <w:pPr>
              <w:spacing w:line="360" w:lineRule="auto"/>
              <w:jc w:val="center"/>
              <w:rPr>
                <w:b/>
                <w:bCs/>
                <w:color w:val="000000"/>
                <w:sz w:val="20"/>
                <w:szCs w:val="20"/>
                <w:lang w:val="es-MX" w:eastAsia="es-MX"/>
              </w:rPr>
            </w:pPr>
            <w:r w:rsidRPr="00955A4C">
              <w:rPr>
                <w:b/>
                <w:bCs/>
                <w:color w:val="000000"/>
                <w:sz w:val="20"/>
                <w:szCs w:val="20"/>
                <w:lang w:val="es-MX" w:eastAsia="es-MX"/>
              </w:rPr>
              <w:t>SUBTOTAL</w:t>
            </w:r>
          </w:p>
        </w:tc>
        <w:tc>
          <w:tcPr>
            <w:tcW w:w="1640" w:type="dxa"/>
            <w:shd w:val="clear" w:color="auto" w:fill="auto"/>
            <w:noWrap/>
            <w:vAlign w:val="bottom"/>
            <w:hideMark/>
          </w:tcPr>
          <w:p w14:paraId="27123F9E" w14:textId="77777777" w:rsidR="00AA3D42" w:rsidRPr="00955A4C" w:rsidRDefault="00AA3D42" w:rsidP="00AA3D42">
            <w:pPr>
              <w:spacing w:line="360" w:lineRule="auto"/>
              <w:jc w:val="right"/>
              <w:rPr>
                <w:color w:val="000000"/>
                <w:sz w:val="20"/>
                <w:szCs w:val="20"/>
                <w:lang w:val="es-MX" w:eastAsia="es-MX"/>
              </w:rPr>
            </w:pPr>
            <w:r>
              <w:rPr>
                <w:color w:val="000000"/>
                <w:sz w:val="20"/>
                <w:szCs w:val="20"/>
                <w:lang w:val="es-MX" w:eastAsia="es-MX"/>
              </w:rPr>
              <w:t>10,123,829,749.00</w:t>
            </w:r>
          </w:p>
        </w:tc>
      </w:tr>
      <w:tr w:rsidR="00AA3D42" w:rsidRPr="00955A4C" w14:paraId="12F9B232" w14:textId="77777777" w:rsidTr="005E2A35">
        <w:trPr>
          <w:trHeight w:val="300"/>
          <w:jc w:val="center"/>
        </w:trPr>
        <w:tc>
          <w:tcPr>
            <w:tcW w:w="4265" w:type="dxa"/>
            <w:shd w:val="clear" w:color="auto" w:fill="auto"/>
            <w:noWrap/>
            <w:vAlign w:val="bottom"/>
            <w:hideMark/>
          </w:tcPr>
          <w:p w14:paraId="07D173A4" w14:textId="77777777" w:rsidR="00AA3D42" w:rsidRPr="00955A4C" w:rsidRDefault="00AA3D42" w:rsidP="00AA3D42">
            <w:pPr>
              <w:spacing w:line="360" w:lineRule="auto"/>
              <w:rPr>
                <w:color w:val="000000"/>
                <w:sz w:val="20"/>
                <w:szCs w:val="20"/>
                <w:lang w:val="es-MX" w:eastAsia="es-MX"/>
              </w:rPr>
            </w:pPr>
            <w:r w:rsidRPr="00955A4C">
              <w:rPr>
                <w:color w:val="000000"/>
                <w:sz w:val="20"/>
                <w:szCs w:val="20"/>
                <w:lang w:val="es-MX" w:eastAsia="es-MX"/>
              </w:rPr>
              <w:t>Aportaciones Federales</w:t>
            </w:r>
          </w:p>
        </w:tc>
        <w:tc>
          <w:tcPr>
            <w:tcW w:w="1640" w:type="dxa"/>
            <w:shd w:val="clear" w:color="auto" w:fill="auto"/>
            <w:noWrap/>
            <w:vAlign w:val="bottom"/>
            <w:hideMark/>
          </w:tcPr>
          <w:p w14:paraId="094E1148" w14:textId="77777777" w:rsidR="00AA3D42" w:rsidRPr="00955A4C" w:rsidRDefault="00AA3D42" w:rsidP="00AA3D42">
            <w:pPr>
              <w:spacing w:line="360" w:lineRule="auto"/>
              <w:jc w:val="right"/>
              <w:rPr>
                <w:color w:val="000000"/>
                <w:sz w:val="20"/>
                <w:szCs w:val="20"/>
                <w:lang w:val="es-MX" w:eastAsia="es-MX"/>
              </w:rPr>
            </w:pPr>
            <w:r>
              <w:rPr>
                <w:color w:val="000000"/>
                <w:sz w:val="20"/>
                <w:szCs w:val="20"/>
                <w:lang w:val="es-MX" w:eastAsia="es-MX"/>
              </w:rPr>
              <w:t>10,543,839,426.00</w:t>
            </w:r>
          </w:p>
        </w:tc>
      </w:tr>
      <w:tr w:rsidR="00AA3D42" w:rsidRPr="00955A4C" w14:paraId="7A949733" w14:textId="77777777" w:rsidTr="005E2A35">
        <w:trPr>
          <w:trHeight w:val="300"/>
          <w:jc w:val="center"/>
        </w:trPr>
        <w:tc>
          <w:tcPr>
            <w:tcW w:w="4265" w:type="dxa"/>
            <w:shd w:val="clear" w:color="auto" w:fill="D9D9D9" w:themeFill="background1" w:themeFillShade="D9"/>
            <w:noWrap/>
            <w:vAlign w:val="bottom"/>
            <w:hideMark/>
          </w:tcPr>
          <w:p w14:paraId="1035D17B" w14:textId="77777777" w:rsidR="00AA3D42" w:rsidRPr="00955A4C" w:rsidRDefault="00AA3D42" w:rsidP="00AA3D42">
            <w:pPr>
              <w:spacing w:line="360" w:lineRule="auto"/>
              <w:jc w:val="center"/>
              <w:rPr>
                <w:b/>
                <w:bCs/>
                <w:color w:val="000000"/>
                <w:sz w:val="20"/>
                <w:szCs w:val="20"/>
                <w:lang w:val="es-MX" w:eastAsia="es-MX"/>
              </w:rPr>
            </w:pPr>
            <w:r w:rsidRPr="00955A4C">
              <w:rPr>
                <w:b/>
                <w:bCs/>
                <w:color w:val="000000"/>
                <w:sz w:val="20"/>
                <w:szCs w:val="20"/>
                <w:lang w:val="es-MX" w:eastAsia="es-MX"/>
              </w:rPr>
              <w:t>TOTAL</w:t>
            </w:r>
          </w:p>
        </w:tc>
        <w:tc>
          <w:tcPr>
            <w:tcW w:w="1640" w:type="dxa"/>
            <w:shd w:val="clear" w:color="auto" w:fill="D9D9D9" w:themeFill="background1" w:themeFillShade="D9"/>
            <w:noWrap/>
            <w:vAlign w:val="bottom"/>
            <w:hideMark/>
          </w:tcPr>
          <w:p w14:paraId="7BB219CC" w14:textId="77777777" w:rsidR="00AA3D42" w:rsidRPr="00955A4C" w:rsidRDefault="00AA3D42" w:rsidP="00AA3D42">
            <w:pPr>
              <w:spacing w:line="360" w:lineRule="auto"/>
              <w:jc w:val="right"/>
              <w:rPr>
                <w:b/>
                <w:color w:val="000000"/>
                <w:sz w:val="20"/>
                <w:szCs w:val="20"/>
                <w:lang w:val="es-MX" w:eastAsia="es-MX"/>
              </w:rPr>
            </w:pPr>
            <w:r>
              <w:rPr>
                <w:b/>
                <w:color w:val="000000"/>
                <w:sz w:val="20"/>
                <w:szCs w:val="20"/>
                <w:lang w:val="es-MX" w:eastAsia="es-MX"/>
              </w:rPr>
              <w:t>20,667,669,175.00</w:t>
            </w:r>
          </w:p>
        </w:tc>
      </w:tr>
    </w:tbl>
    <w:p w14:paraId="3179758A" w14:textId="77777777" w:rsidR="00AA3D42" w:rsidRPr="00955A4C" w:rsidRDefault="00AA3D42" w:rsidP="00AA3D42">
      <w:pPr>
        <w:spacing w:line="360" w:lineRule="auto"/>
        <w:jc w:val="center"/>
        <w:rPr>
          <w:b/>
          <w:sz w:val="20"/>
          <w:szCs w:val="20"/>
        </w:rPr>
      </w:pPr>
    </w:p>
    <w:p w14:paraId="1B9F0C45" w14:textId="77777777" w:rsidR="00AA3D42" w:rsidRPr="00955A4C" w:rsidRDefault="00AA3D42" w:rsidP="00AA3D42">
      <w:pPr>
        <w:spacing w:line="360" w:lineRule="auto"/>
        <w:jc w:val="center"/>
        <w:rPr>
          <w:b/>
          <w:sz w:val="20"/>
          <w:szCs w:val="20"/>
        </w:rPr>
      </w:pPr>
      <w:r w:rsidRPr="00955A4C">
        <w:rPr>
          <w:b/>
          <w:sz w:val="20"/>
          <w:szCs w:val="20"/>
        </w:rPr>
        <w:t>PRESUPUESTO DEL PODER EJECUTIVO POR POLÍTICAS ESTRATÉGICAS DEL GOBIERNO</w:t>
      </w:r>
    </w:p>
    <w:p w14:paraId="3FA68470" w14:textId="77777777" w:rsidR="00AA3D42" w:rsidRPr="00955A4C" w:rsidRDefault="00AA3D42" w:rsidP="00AA3D42">
      <w:pPr>
        <w:spacing w:line="360" w:lineRule="auto"/>
        <w:jc w:val="center"/>
        <w:rPr>
          <w:b/>
          <w:sz w:val="20"/>
          <w:szCs w:val="20"/>
        </w:rPr>
      </w:pPr>
    </w:p>
    <w:p w14:paraId="7233A090" w14:textId="77777777" w:rsidR="00AA3D42" w:rsidRPr="00955A4C" w:rsidRDefault="00AA3D42" w:rsidP="00AA3D42">
      <w:pPr>
        <w:spacing w:line="360" w:lineRule="auto"/>
        <w:jc w:val="both"/>
        <w:rPr>
          <w:sz w:val="20"/>
          <w:szCs w:val="20"/>
        </w:rPr>
      </w:pPr>
      <w:r>
        <w:rPr>
          <w:sz w:val="20"/>
          <w:szCs w:val="20"/>
        </w:rPr>
        <w:t>El P</w:t>
      </w:r>
      <w:r w:rsidRPr="00955A4C">
        <w:rPr>
          <w:sz w:val="20"/>
          <w:szCs w:val="20"/>
        </w:rPr>
        <w:t>royecto de Presupuesto de Egresos 202</w:t>
      </w:r>
      <w:r>
        <w:rPr>
          <w:sz w:val="20"/>
          <w:szCs w:val="20"/>
        </w:rPr>
        <w:t>1</w:t>
      </w:r>
      <w:r w:rsidRPr="00955A4C">
        <w:rPr>
          <w:sz w:val="20"/>
          <w:szCs w:val="20"/>
        </w:rPr>
        <w:t>, por Políticas Estratégicas del Gobierno, es el siguiente:</w:t>
      </w:r>
    </w:p>
    <w:p w14:paraId="41A3B963" w14:textId="77777777" w:rsidR="00AA3D42" w:rsidRPr="00955A4C" w:rsidRDefault="00AA3D42" w:rsidP="00AA3D42">
      <w:pPr>
        <w:spacing w:line="360" w:lineRule="auto"/>
        <w:jc w:val="both"/>
        <w:rPr>
          <w:sz w:val="20"/>
          <w:szCs w:val="20"/>
        </w:rPr>
      </w:pPr>
    </w:p>
    <w:tbl>
      <w:tblPr>
        <w:tblW w:w="5605" w:type="dxa"/>
        <w:jc w:val="center"/>
        <w:tblCellMar>
          <w:left w:w="70" w:type="dxa"/>
          <w:right w:w="70" w:type="dxa"/>
        </w:tblCellMar>
        <w:tblLook w:val="04A0" w:firstRow="1" w:lastRow="0" w:firstColumn="1" w:lastColumn="0" w:noHBand="0" w:noVBand="1"/>
      </w:tblPr>
      <w:tblGrid>
        <w:gridCol w:w="2920"/>
        <w:gridCol w:w="1640"/>
        <w:gridCol w:w="1045"/>
      </w:tblGrid>
      <w:tr w:rsidR="00AA3D42" w:rsidRPr="00955A4C" w14:paraId="75F27985" w14:textId="77777777" w:rsidTr="005E2A35">
        <w:trPr>
          <w:trHeight w:val="645"/>
          <w:tblHeader/>
          <w:jc w:val="center"/>
        </w:trPr>
        <w:tc>
          <w:tcPr>
            <w:tcW w:w="2920" w:type="dxa"/>
            <w:tcBorders>
              <w:top w:val="single" w:sz="8" w:space="0" w:color="A6A6A6"/>
              <w:left w:val="single" w:sz="8" w:space="0" w:color="A6A6A6"/>
              <w:bottom w:val="single" w:sz="8" w:space="0" w:color="A6A6A6"/>
              <w:right w:val="single" w:sz="8" w:space="0" w:color="A6A6A6"/>
            </w:tcBorders>
            <w:shd w:val="clear" w:color="000000" w:fill="CCCCCC"/>
            <w:vAlign w:val="center"/>
            <w:hideMark/>
          </w:tcPr>
          <w:p w14:paraId="410BD538" w14:textId="77777777" w:rsidR="00AA3D42" w:rsidRPr="00955A4C" w:rsidRDefault="00AA3D42" w:rsidP="00AA3D42">
            <w:pPr>
              <w:spacing w:line="360" w:lineRule="auto"/>
              <w:jc w:val="center"/>
              <w:rPr>
                <w:b/>
                <w:sz w:val="20"/>
                <w:szCs w:val="20"/>
              </w:rPr>
            </w:pPr>
            <w:r w:rsidRPr="00955A4C">
              <w:rPr>
                <w:b/>
                <w:sz w:val="20"/>
                <w:szCs w:val="20"/>
              </w:rPr>
              <w:t>Ejes</w:t>
            </w:r>
          </w:p>
        </w:tc>
        <w:tc>
          <w:tcPr>
            <w:tcW w:w="1640" w:type="dxa"/>
            <w:tcBorders>
              <w:top w:val="single" w:sz="8" w:space="0" w:color="A6A6A6"/>
              <w:left w:val="nil"/>
              <w:bottom w:val="single" w:sz="8" w:space="0" w:color="A6A6A6"/>
              <w:right w:val="single" w:sz="8" w:space="0" w:color="A6A6A6"/>
            </w:tcBorders>
            <w:shd w:val="clear" w:color="000000" w:fill="CCCCCC"/>
            <w:vAlign w:val="center"/>
            <w:hideMark/>
          </w:tcPr>
          <w:p w14:paraId="7DFF9F67" w14:textId="77777777" w:rsidR="00AA3D42" w:rsidRPr="00955A4C" w:rsidRDefault="00AA3D42" w:rsidP="00AA3D42">
            <w:pPr>
              <w:spacing w:line="360" w:lineRule="auto"/>
              <w:jc w:val="center"/>
              <w:rPr>
                <w:b/>
                <w:sz w:val="20"/>
                <w:szCs w:val="20"/>
              </w:rPr>
            </w:pPr>
            <w:r w:rsidRPr="00955A4C">
              <w:rPr>
                <w:b/>
                <w:sz w:val="20"/>
                <w:szCs w:val="20"/>
              </w:rPr>
              <w:t>Monto</w:t>
            </w:r>
          </w:p>
        </w:tc>
        <w:tc>
          <w:tcPr>
            <w:tcW w:w="1045" w:type="dxa"/>
            <w:tcBorders>
              <w:top w:val="single" w:sz="8" w:space="0" w:color="A6A6A6"/>
              <w:left w:val="nil"/>
              <w:bottom w:val="single" w:sz="8" w:space="0" w:color="A6A6A6"/>
              <w:right w:val="single" w:sz="8" w:space="0" w:color="A6A6A6"/>
            </w:tcBorders>
            <w:shd w:val="clear" w:color="000000" w:fill="CCCCCC"/>
            <w:vAlign w:val="center"/>
            <w:hideMark/>
          </w:tcPr>
          <w:p w14:paraId="52933F5B" w14:textId="77777777" w:rsidR="00AA3D42" w:rsidRPr="00955A4C" w:rsidRDefault="00AA3D42" w:rsidP="00AA3D42">
            <w:pPr>
              <w:spacing w:line="360" w:lineRule="auto"/>
              <w:jc w:val="center"/>
              <w:rPr>
                <w:b/>
                <w:sz w:val="20"/>
                <w:szCs w:val="20"/>
              </w:rPr>
            </w:pPr>
            <w:r w:rsidRPr="00955A4C">
              <w:rPr>
                <w:b/>
                <w:sz w:val="20"/>
                <w:szCs w:val="20"/>
              </w:rPr>
              <w:t>%</w:t>
            </w:r>
          </w:p>
        </w:tc>
      </w:tr>
      <w:tr w:rsidR="00AA3D42" w:rsidRPr="00955A4C" w14:paraId="4A6CBB8A" w14:textId="77777777" w:rsidTr="005E2A35">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722CDFFF" w14:textId="77777777" w:rsidR="00AA3D42" w:rsidRPr="00955A4C" w:rsidRDefault="00AA3D42" w:rsidP="00AA3D42">
            <w:pPr>
              <w:spacing w:line="360" w:lineRule="auto"/>
              <w:rPr>
                <w:sz w:val="20"/>
                <w:szCs w:val="20"/>
              </w:rPr>
            </w:pPr>
            <w:r w:rsidRPr="00955A4C">
              <w:rPr>
                <w:sz w:val="20"/>
                <w:szCs w:val="20"/>
              </w:rPr>
              <w:t>Empleo, Desarrollo Económico y Prosperidad para las Familias</w:t>
            </w:r>
          </w:p>
        </w:tc>
        <w:tc>
          <w:tcPr>
            <w:tcW w:w="1640" w:type="dxa"/>
            <w:tcBorders>
              <w:top w:val="nil"/>
              <w:left w:val="nil"/>
              <w:bottom w:val="single" w:sz="8" w:space="0" w:color="A6A6A6"/>
              <w:right w:val="single" w:sz="8" w:space="0" w:color="A6A6A6"/>
            </w:tcBorders>
            <w:shd w:val="clear" w:color="auto" w:fill="auto"/>
            <w:vAlign w:val="center"/>
          </w:tcPr>
          <w:p w14:paraId="3E9A1D11" w14:textId="77777777" w:rsidR="00AA3D42" w:rsidRDefault="00AA3D42" w:rsidP="00AA3D42">
            <w:pPr>
              <w:spacing w:line="360" w:lineRule="auto"/>
              <w:jc w:val="right"/>
              <w:rPr>
                <w:color w:val="000000"/>
                <w:sz w:val="20"/>
                <w:szCs w:val="20"/>
                <w:lang w:val="es-MX" w:eastAsia="es-MX"/>
              </w:rPr>
            </w:pPr>
            <w:r>
              <w:rPr>
                <w:color w:val="000000"/>
                <w:sz w:val="20"/>
                <w:szCs w:val="20"/>
              </w:rPr>
              <w:t>409,922,531.14</w:t>
            </w:r>
          </w:p>
        </w:tc>
        <w:tc>
          <w:tcPr>
            <w:tcW w:w="1045" w:type="dxa"/>
            <w:tcBorders>
              <w:top w:val="nil"/>
              <w:left w:val="nil"/>
              <w:bottom w:val="single" w:sz="8" w:space="0" w:color="A6A6A6"/>
              <w:right w:val="single" w:sz="8" w:space="0" w:color="A6A6A6"/>
            </w:tcBorders>
            <w:shd w:val="clear" w:color="auto" w:fill="auto"/>
            <w:vAlign w:val="center"/>
          </w:tcPr>
          <w:p w14:paraId="3959F084" w14:textId="77777777" w:rsidR="00AA3D42" w:rsidRPr="00955A4C" w:rsidRDefault="00AA3D42" w:rsidP="00AA3D42">
            <w:pPr>
              <w:spacing w:line="360" w:lineRule="auto"/>
              <w:jc w:val="center"/>
              <w:rPr>
                <w:sz w:val="20"/>
                <w:szCs w:val="20"/>
              </w:rPr>
            </w:pPr>
            <w:r>
              <w:rPr>
                <w:sz w:val="20"/>
                <w:szCs w:val="20"/>
              </w:rPr>
              <w:t>2.6</w:t>
            </w:r>
          </w:p>
        </w:tc>
      </w:tr>
      <w:tr w:rsidR="00AA3D42" w:rsidRPr="00955A4C" w14:paraId="21DA65D7" w14:textId="77777777" w:rsidTr="005E2A35">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486370D4" w14:textId="77777777" w:rsidR="00AA3D42" w:rsidRPr="00955A4C" w:rsidRDefault="00AA3D42" w:rsidP="00AA3D42">
            <w:pPr>
              <w:spacing w:line="360" w:lineRule="auto"/>
              <w:rPr>
                <w:sz w:val="20"/>
                <w:szCs w:val="20"/>
              </w:rPr>
            </w:pPr>
            <w:r>
              <w:rPr>
                <w:sz w:val="20"/>
                <w:szCs w:val="20"/>
              </w:rPr>
              <w:t>Educación P</w:t>
            </w:r>
            <w:r w:rsidRPr="00955A4C">
              <w:rPr>
                <w:sz w:val="20"/>
                <w:szCs w:val="20"/>
              </w:rPr>
              <w:t>ertinente, Salud de Calidad y Sociedad Incluyente</w:t>
            </w:r>
          </w:p>
        </w:tc>
        <w:tc>
          <w:tcPr>
            <w:tcW w:w="1640" w:type="dxa"/>
            <w:tcBorders>
              <w:top w:val="nil"/>
              <w:left w:val="nil"/>
              <w:bottom w:val="single" w:sz="8" w:space="0" w:color="A6A6A6"/>
              <w:right w:val="single" w:sz="8" w:space="0" w:color="A6A6A6"/>
            </w:tcBorders>
            <w:shd w:val="clear" w:color="auto" w:fill="auto"/>
            <w:vAlign w:val="center"/>
          </w:tcPr>
          <w:p w14:paraId="29EC4ABC" w14:textId="77777777" w:rsidR="00AA3D42" w:rsidRDefault="00AA3D42" w:rsidP="00AA3D42">
            <w:pPr>
              <w:spacing w:line="360" w:lineRule="auto"/>
              <w:jc w:val="right"/>
              <w:rPr>
                <w:color w:val="000000"/>
                <w:sz w:val="20"/>
                <w:szCs w:val="20"/>
              </w:rPr>
            </w:pPr>
            <w:r>
              <w:rPr>
                <w:color w:val="000000"/>
                <w:sz w:val="20"/>
                <w:szCs w:val="20"/>
              </w:rPr>
              <w:t>11,329,422,367.56</w:t>
            </w:r>
          </w:p>
        </w:tc>
        <w:tc>
          <w:tcPr>
            <w:tcW w:w="1045" w:type="dxa"/>
            <w:tcBorders>
              <w:top w:val="nil"/>
              <w:left w:val="nil"/>
              <w:bottom w:val="single" w:sz="8" w:space="0" w:color="A6A6A6"/>
              <w:right w:val="single" w:sz="8" w:space="0" w:color="A6A6A6"/>
            </w:tcBorders>
            <w:shd w:val="clear" w:color="auto" w:fill="auto"/>
            <w:vAlign w:val="center"/>
          </w:tcPr>
          <w:p w14:paraId="68FBE057" w14:textId="77777777" w:rsidR="00AA3D42" w:rsidRPr="00955A4C" w:rsidRDefault="00AA3D42" w:rsidP="00AA3D42">
            <w:pPr>
              <w:spacing w:line="360" w:lineRule="auto"/>
              <w:jc w:val="center"/>
              <w:rPr>
                <w:sz w:val="20"/>
                <w:szCs w:val="20"/>
              </w:rPr>
            </w:pPr>
            <w:r w:rsidRPr="00955A4C">
              <w:rPr>
                <w:sz w:val="20"/>
                <w:szCs w:val="20"/>
              </w:rPr>
              <w:t>7</w:t>
            </w:r>
            <w:r>
              <w:rPr>
                <w:sz w:val="20"/>
                <w:szCs w:val="20"/>
              </w:rPr>
              <w:t>2</w:t>
            </w:r>
            <w:r w:rsidRPr="00955A4C">
              <w:rPr>
                <w:sz w:val="20"/>
                <w:szCs w:val="20"/>
              </w:rPr>
              <w:t>.</w:t>
            </w:r>
            <w:r>
              <w:rPr>
                <w:sz w:val="20"/>
                <w:szCs w:val="20"/>
              </w:rPr>
              <w:t>0</w:t>
            </w:r>
          </w:p>
        </w:tc>
      </w:tr>
      <w:tr w:rsidR="00AA3D42" w:rsidRPr="00955A4C" w14:paraId="4E4A6323" w14:textId="77777777" w:rsidTr="005E2A35">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5281A2B9" w14:textId="77777777" w:rsidR="00AA3D42" w:rsidRPr="00955A4C" w:rsidRDefault="00AA3D42" w:rsidP="00AA3D42">
            <w:pPr>
              <w:spacing w:line="360" w:lineRule="auto"/>
              <w:rPr>
                <w:sz w:val="20"/>
                <w:szCs w:val="20"/>
              </w:rPr>
            </w:pPr>
            <w:r w:rsidRPr="00955A4C">
              <w:rPr>
                <w:sz w:val="20"/>
                <w:szCs w:val="20"/>
              </w:rPr>
              <w:t>Integración Regional Ordenada y Sustentable</w:t>
            </w:r>
          </w:p>
        </w:tc>
        <w:tc>
          <w:tcPr>
            <w:tcW w:w="1640" w:type="dxa"/>
            <w:tcBorders>
              <w:top w:val="nil"/>
              <w:left w:val="nil"/>
              <w:bottom w:val="single" w:sz="8" w:space="0" w:color="A6A6A6"/>
              <w:right w:val="single" w:sz="8" w:space="0" w:color="A6A6A6"/>
            </w:tcBorders>
            <w:shd w:val="clear" w:color="auto" w:fill="auto"/>
            <w:vAlign w:val="center"/>
          </w:tcPr>
          <w:p w14:paraId="524C8732" w14:textId="77777777" w:rsidR="00AA3D42" w:rsidRDefault="00AA3D42" w:rsidP="00AA3D42">
            <w:pPr>
              <w:spacing w:line="360" w:lineRule="auto"/>
              <w:jc w:val="right"/>
              <w:rPr>
                <w:color w:val="000000"/>
                <w:sz w:val="20"/>
                <w:szCs w:val="20"/>
              </w:rPr>
            </w:pPr>
            <w:r>
              <w:rPr>
                <w:color w:val="000000"/>
                <w:sz w:val="20"/>
                <w:szCs w:val="20"/>
              </w:rPr>
              <w:t>1,035,209,590.35</w:t>
            </w:r>
          </w:p>
        </w:tc>
        <w:tc>
          <w:tcPr>
            <w:tcW w:w="1045" w:type="dxa"/>
            <w:tcBorders>
              <w:top w:val="nil"/>
              <w:left w:val="nil"/>
              <w:bottom w:val="single" w:sz="8" w:space="0" w:color="A6A6A6"/>
              <w:right w:val="single" w:sz="8" w:space="0" w:color="A6A6A6"/>
            </w:tcBorders>
            <w:shd w:val="clear" w:color="auto" w:fill="auto"/>
            <w:vAlign w:val="center"/>
          </w:tcPr>
          <w:p w14:paraId="5CEB69E5" w14:textId="77777777" w:rsidR="00AA3D42" w:rsidRPr="00955A4C" w:rsidRDefault="00AA3D42" w:rsidP="00AA3D42">
            <w:pPr>
              <w:spacing w:line="360" w:lineRule="auto"/>
              <w:jc w:val="center"/>
              <w:rPr>
                <w:sz w:val="20"/>
                <w:szCs w:val="20"/>
              </w:rPr>
            </w:pPr>
            <w:r w:rsidRPr="00955A4C">
              <w:rPr>
                <w:sz w:val="20"/>
                <w:szCs w:val="20"/>
              </w:rPr>
              <w:t>6.</w:t>
            </w:r>
            <w:r>
              <w:rPr>
                <w:sz w:val="20"/>
                <w:szCs w:val="20"/>
              </w:rPr>
              <w:t>6</w:t>
            </w:r>
          </w:p>
        </w:tc>
      </w:tr>
      <w:tr w:rsidR="00AA3D42" w:rsidRPr="00955A4C" w14:paraId="50696453" w14:textId="77777777" w:rsidTr="005E2A35">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16CA139A" w14:textId="77777777" w:rsidR="00AA3D42" w:rsidRPr="00955A4C" w:rsidRDefault="00AA3D42" w:rsidP="00AA3D42">
            <w:pPr>
              <w:spacing w:line="360" w:lineRule="auto"/>
              <w:rPr>
                <w:sz w:val="20"/>
                <w:szCs w:val="20"/>
              </w:rPr>
            </w:pPr>
            <w:r w:rsidRPr="00955A4C">
              <w:rPr>
                <w:sz w:val="20"/>
                <w:szCs w:val="20"/>
              </w:rPr>
              <w:t>Gobernanza, Seguridad y Protección para Vivir en Paz</w:t>
            </w:r>
          </w:p>
        </w:tc>
        <w:tc>
          <w:tcPr>
            <w:tcW w:w="1640" w:type="dxa"/>
            <w:tcBorders>
              <w:top w:val="nil"/>
              <w:left w:val="nil"/>
              <w:bottom w:val="single" w:sz="8" w:space="0" w:color="A6A6A6"/>
              <w:right w:val="single" w:sz="8" w:space="0" w:color="A6A6A6"/>
            </w:tcBorders>
            <w:shd w:val="clear" w:color="auto" w:fill="auto"/>
            <w:vAlign w:val="center"/>
          </w:tcPr>
          <w:p w14:paraId="615EC546" w14:textId="77777777" w:rsidR="00AA3D42" w:rsidRDefault="00AA3D42" w:rsidP="00AA3D42">
            <w:pPr>
              <w:spacing w:line="360" w:lineRule="auto"/>
              <w:jc w:val="right"/>
              <w:rPr>
                <w:color w:val="000000"/>
                <w:sz w:val="20"/>
                <w:szCs w:val="20"/>
              </w:rPr>
            </w:pPr>
            <w:r>
              <w:rPr>
                <w:color w:val="000000"/>
                <w:sz w:val="20"/>
                <w:szCs w:val="20"/>
              </w:rPr>
              <w:t>1,381,315,390.81</w:t>
            </w:r>
          </w:p>
        </w:tc>
        <w:tc>
          <w:tcPr>
            <w:tcW w:w="1045" w:type="dxa"/>
            <w:tcBorders>
              <w:top w:val="nil"/>
              <w:left w:val="nil"/>
              <w:bottom w:val="single" w:sz="8" w:space="0" w:color="A6A6A6"/>
              <w:right w:val="single" w:sz="8" w:space="0" w:color="A6A6A6"/>
            </w:tcBorders>
            <w:shd w:val="clear" w:color="auto" w:fill="auto"/>
            <w:vAlign w:val="center"/>
          </w:tcPr>
          <w:p w14:paraId="0BC2EF77" w14:textId="77777777" w:rsidR="00AA3D42" w:rsidRPr="00955A4C" w:rsidRDefault="00AA3D42" w:rsidP="00AA3D42">
            <w:pPr>
              <w:spacing w:line="360" w:lineRule="auto"/>
              <w:jc w:val="center"/>
              <w:rPr>
                <w:sz w:val="20"/>
                <w:szCs w:val="20"/>
              </w:rPr>
            </w:pPr>
            <w:r>
              <w:rPr>
                <w:sz w:val="20"/>
                <w:szCs w:val="20"/>
              </w:rPr>
              <w:t>8.8</w:t>
            </w:r>
          </w:p>
        </w:tc>
      </w:tr>
      <w:tr w:rsidR="00AA3D42" w:rsidRPr="00955A4C" w14:paraId="6D9EBFE6" w14:textId="77777777" w:rsidTr="005E2A35">
        <w:trPr>
          <w:trHeight w:val="615"/>
          <w:jc w:val="center"/>
        </w:trPr>
        <w:tc>
          <w:tcPr>
            <w:tcW w:w="2920" w:type="dxa"/>
            <w:tcBorders>
              <w:top w:val="nil"/>
              <w:left w:val="single" w:sz="8" w:space="0" w:color="A6A6A6"/>
              <w:bottom w:val="single" w:sz="8" w:space="0" w:color="A6A6A6"/>
              <w:right w:val="single" w:sz="8" w:space="0" w:color="A6A6A6"/>
            </w:tcBorders>
            <w:shd w:val="clear" w:color="auto" w:fill="auto"/>
            <w:vAlign w:val="center"/>
            <w:hideMark/>
          </w:tcPr>
          <w:p w14:paraId="763A918D" w14:textId="77777777" w:rsidR="00AA3D42" w:rsidRPr="00955A4C" w:rsidRDefault="00AA3D42" w:rsidP="00AA3D42">
            <w:pPr>
              <w:spacing w:line="360" w:lineRule="auto"/>
              <w:rPr>
                <w:sz w:val="20"/>
                <w:szCs w:val="20"/>
              </w:rPr>
            </w:pPr>
            <w:r w:rsidRPr="00955A4C">
              <w:rPr>
                <w:sz w:val="20"/>
                <w:szCs w:val="20"/>
              </w:rPr>
              <w:t>Gobierno Honesto, Eficiente y Transparente</w:t>
            </w:r>
          </w:p>
        </w:tc>
        <w:tc>
          <w:tcPr>
            <w:tcW w:w="1640" w:type="dxa"/>
            <w:tcBorders>
              <w:top w:val="nil"/>
              <w:left w:val="nil"/>
              <w:bottom w:val="single" w:sz="8" w:space="0" w:color="A6A6A6"/>
              <w:right w:val="single" w:sz="8" w:space="0" w:color="A6A6A6"/>
            </w:tcBorders>
            <w:shd w:val="clear" w:color="auto" w:fill="auto"/>
            <w:vAlign w:val="center"/>
          </w:tcPr>
          <w:p w14:paraId="3FEEC06A" w14:textId="77777777" w:rsidR="00AA3D42" w:rsidRDefault="00AA3D42" w:rsidP="00AA3D42">
            <w:pPr>
              <w:spacing w:line="360" w:lineRule="auto"/>
              <w:jc w:val="right"/>
              <w:rPr>
                <w:color w:val="000000"/>
                <w:sz w:val="20"/>
                <w:szCs w:val="20"/>
              </w:rPr>
            </w:pPr>
            <w:r>
              <w:rPr>
                <w:color w:val="000000"/>
                <w:sz w:val="20"/>
                <w:szCs w:val="20"/>
              </w:rPr>
              <w:t>1,575,483,495.14</w:t>
            </w:r>
          </w:p>
        </w:tc>
        <w:tc>
          <w:tcPr>
            <w:tcW w:w="1045" w:type="dxa"/>
            <w:tcBorders>
              <w:top w:val="nil"/>
              <w:left w:val="nil"/>
              <w:bottom w:val="single" w:sz="8" w:space="0" w:color="A6A6A6"/>
              <w:right w:val="single" w:sz="8" w:space="0" w:color="A6A6A6"/>
            </w:tcBorders>
            <w:shd w:val="clear" w:color="auto" w:fill="auto"/>
            <w:vAlign w:val="center"/>
          </w:tcPr>
          <w:p w14:paraId="45587574" w14:textId="77777777" w:rsidR="00AA3D42" w:rsidRPr="00955A4C" w:rsidRDefault="00AA3D42" w:rsidP="00AA3D42">
            <w:pPr>
              <w:spacing w:line="360" w:lineRule="auto"/>
              <w:jc w:val="center"/>
              <w:rPr>
                <w:sz w:val="20"/>
                <w:szCs w:val="20"/>
              </w:rPr>
            </w:pPr>
            <w:r>
              <w:rPr>
                <w:sz w:val="20"/>
                <w:szCs w:val="20"/>
              </w:rPr>
              <w:t>10.0</w:t>
            </w:r>
          </w:p>
        </w:tc>
      </w:tr>
      <w:tr w:rsidR="00AA3D42" w:rsidRPr="00955A4C" w14:paraId="129FADC5" w14:textId="77777777" w:rsidTr="005E2A35">
        <w:trPr>
          <w:trHeight w:val="330"/>
          <w:jc w:val="center"/>
        </w:trPr>
        <w:tc>
          <w:tcPr>
            <w:tcW w:w="2920" w:type="dxa"/>
            <w:tcBorders>
              <w:top w:val="nil"/>
              <w:left w:val="single" w:sz="8" w:space="0" w:color="A6A6A6"/>
              <w:bottom w:val="single" w:sz="8" w:space="0" w:color="A6A6A6"/>
              <w:right w:val="single" w:sz="8" w:space="0" w:color="A6A6A6"/>
            </w:tcBorders>
            <w:shd w:val="clear" w:color="000000" w:fill="CCCCCC"/>
            <w:hideMark/>
          </w:tcPr>
          <w:p w14:paraId="7E34D5CF" w14:textId="77777777" w:rsidR="00AA3D42" w:rsidRPr="00955A4C" w:rsidRDefault="00AA3D42" w:rsidP="00AA3D42">
            <w:pPr>
              <w:spacing w:line="360" w:lineRule="auto"/>
              <w:jc w:val="center"/>
              <w:rPr>
                <w:b/>
                <w:sz w:val="20"/>
                <w:szCs w:val="20"/>
              </w:rPr>
            </w:pPr>
            <w:r w:rsidRPr="00955A4C">
              <w:rPr>
                <w:b/>
                <w:sz w:val="20"/>
                <w:szCs w:val="20"/>
              </w:rPr>
              <w:t>TOTAL</w:t>
            </w:r>
          </w:p>
        </w:tc>
        <w:tc>
          <w:tcPr>
            <w:tcW w:w="1640" w:type="dxa"/>
            <w:tcBorders>
              <w:top w:val="nil"/>
              <w:left w:val="nil"/>
              <w:bottom w:val="single" w:sz="8" w:space="0" w:color="A6A6A6"/>
              <w:right w:val="single" w:sz="8" w:space="0" w:color="A6A6A6"/>
            </w:tcBorders>
            <w:shd w:val="clear" w:color="000000" w:fill="CCCCCC"/>
            <w:vAlign w:val="center"/>
          </w:tcPr>
          <w:p w14:paraId="4BFB5EC2" w14:textId="77777777" w:rsidR="00AA3D42" w:rsidRDefault="00AA3D42" w:rsidP="00AA3D42">
            <w:pPr>
              <w:spacing w:line="360" w:lineRule="auto"/>
              <w:jc w:val="right"/>
              <w:rPr>
                <w:b/>
                <w:bCs/>
                <w:color w:val="000000"/>
                <w:sz w:val="20"/>
                <w:szCs w:val="20"/>
              </w:rPr>
            </w:pPr>
            <w:r>
              <w:rPr>
                <w:b/>
                <w:bCs/>
                <w:color w:val="000000"/>
                <w:sz w:val="20"/>
                <w:szCs w:val="20"/>
              </w:rPr>
              <w:t>15,731,353,375.00</w:t>
            </w:r>
          </w:p>
        </w:tc>
        <w:tc>
          <w:tcPr>
            <w:tcW w:w="1045" w:type="dxa"/>
            <w:tcBorders>
              <w:top w:val="nil"/>
              <w:left w:val="nil"/>
              <w:bottom w:val="single" w:sz="8" w:space="0" w:color="A6A6A6"/>
              <w:right w:val="single" w:sz="8" w:space="0" w:color="A6A6A6"/>
            </w:tcBorders>
            <w:shd w:val="clear" w:color="000000" w:fill="CCCCCC"/>
            <w:vAlign w:val="center"/>
            <w:hideMark/>
          </w:tcPr>
          <w:p w14:paraId="056F1C5C" w14:textId="77777777" w:rsidR="00AA3D42" w:rsidRPr="00955A4C" w:rsidRDefault="00AA3D42" w:rsidP="00AA3D42">
            <w:pPr>
              <w:spacing w:line="360" w:lineRule="auto"/>
              <w:jc w:val="center"/>
              <w:rPr>
                <w:b/>
                <w:sz w:val="20"/>
                <w:szCs w:val="20"/>
              </w:rPr>
            </w:pPr>
            <w:r w:rsidRPr="00955A4C">
              <w:rPr>
                <w:b/>
                <w:sz w:val="20"/>
                <w:szCs w:val="20"/>
              </w:rPr>
              <w:t>100</w:t>
            </w:r>
          </w:p>
        </w:tc>
      </w:tr>
    </w:tbl>
    <w:p w14:paraId="12DA28D3" w14:textId="77777777" w:rsidR="00AA3D42" w:rsidRPr="00955A4C" w:rsidRDefault="00AA3D42" w:rsidP="00AA3D42">
      <w:pPr>
        <w:spacing w:line="360" w:lineRule="auto"/>
        <w:jc w:val="both"/>
        <w:rPr>
          <w:b/>
          <w:sz w:val="20"/>
          <w:szCs w:val="20"/>
        </w:rPr>
      </w:pPr>
    </w:p>
    <w:p w14:paraId="565CDA5A" w14:textId="77777777" w:rsidR="00AA3D42" w:rsidRPr="00955A4C" w:rsidRDefault="00AA3D42" w:rsidP="00AA3D42">
      <w:pPr>
        <w:spacing w:after="200" w:line="360" w:lineRule="auto"/>
        <w:jc w:val="center"/>
        <w:rPr>
          <w:rFonts w:eastAsia="Calibri"/>
          <w:b/>
          <w:sz w:val="20"/>
          <w:szCs w:val="20"/>
        </w:rPr>
      </w:pPr>
      <w:r w:rsidRPr="00955A4C">
        <w:rPr>
          <w:rFonts w:eastAsia="Calibri"/>
          <w:b/>
          <w:sz w:val="20"/>
          <w:szCs w:val="20"/>
        </w:rPr>
        <w:t>PRESUPUESTO POR RAMO</w:t>
      </w:r>
    </w:p>
    <w:p w14:paraId="43319546" w14:textId="77777777" w:rsidR="00AA3D42" w:rsidRPr="00955A4C" w:rsidRDefault="00AA3D42" w:rsidP="00AA3D42">
      <w:pPr>
        <w:spacing w:after="200" w:line="360" w:lineRule="auto"/>
        <w:jc w:val="both"/>
        <w:rPr>
          <w:rFonts w:eastAsia="Calibri"/>
          <w:sz w:val="20"/>
          <w:szCs w:val="20"/>
        </w:rPr>
      </w:pPr>
      <w:r w:rsidRPr="00955A4C">
        <w:rPr>
          <w:rFonts w:eastAsia="Calibri"/>
          <w:sz w:val="20"/>
          <w:szCs w:val="20"/>
        </w:rPr>
        <w:t xml:space="preserve">El </w:t>
      </w:r>
      <w:r>
        <w:rPr>
          <w:rFonts w:eastAsia="Calibri"/>
          <w:sz w:val="20"/>
          <w:szCs w:val="20"/>
        </w:rPr>
        <w:t>P</w:t>
      </w:r>
      <w:r w:rsidRPr="00955A4C">
        <w:rPr>
          <w:rFonts w:eastAsia="Calibri"/>
          <w:sz w:val="20"/>
          <w:szCs w:val="20"/>
        </w:rPr>
        <w:t>royecto de Presupuesto de Egresos 202</w:t>
      </w:r>
      <w:r>
        <w:rPr>
          <w:rFonts w:eastAsia="Calibri"/>
          <w:sz w:val="20"/>
          <w:szCs w:val="20"/>
        </w:rPr>
        <w:t>1</w:t>
      </w:r>
      <w:r w:rsidRPr="00955A4C">
        <w:rPr>
          <w:rFonts w:eastAsia="Calibri"/>
          <w:sz w:val="20"/>
          <w:szCs w:val="20"/>
        </w:rPr>
        <w:t>, distribuido por Ramo, se integra como sigue:</w:t>
      </w:r>
    </w:p>
    <w:tbl>
      <w:tblPr>
        <w:tblW w:w="5083" w:type="pct"/>
        <w:tblCellMar>
          <w:left w:w="70" w:type="dxa"/>
          <w:right w:w="70" w:type="dxa"/>
        </w:tblCellMar>
        <w:tblLook w:val="04A0" w:firstRow="1" w:lastRow="0" w:firstColumn="1" w:lastColumn="0" w:noHBand="0" w:noVBand="1"/>
      </w:tblPr>
      <w:tblGrid>
        <w:gridCol w:w="1956"/>
        <w:gridCol w:w="416"/>
        <w:gridCol w:w="1653"/>
        <w:gridCol w:w="358"/>
        <w:gridCol w:w="1766"/>
        <w:gridCol w:w="480"/>
        <w:gridCol w:w="1653"/>
      </w:tblGrid>
      <w:tr w:rsidR="00AA3D42" w:rsidRPr="00955A4C" w14:paraId="368B3D0C" w14:textId="77777777" w:rsidTr="005E2A35">
        <w:trPr>
          <w:trHeight w:val="475"/>
          <w:tblHeader/>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14:paraId="60386B74"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lastRenderedPageBreak/>
              <w:t>RAMO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6F7F36DA"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14:paraId="7E6830BE" w14:textId="77777777" w:rsidR="00AA3D42" w:rsidRDefault="00AA3D42" w:rsidP="00AA3D42">
            <w:pPr>
              <w:spacing w:line="360" w:lineRule="auto"/>
              <w:jc w:val="center"/>
              <w:rPr>
                <w:b/>
                <w:bCs/>
                <w:color w:val="000000"/>
                <w:sz w:val="20"/>
                <w:szCs w:val="20"/>
                <w:lang w:val="es-MX" w:eastAsia="es-MX"/>
              </w:rPr>
            </w:pPr>
            <w:r>
              <w:rPr>
                <w:b/>
                <w:bCs/>
                <w:color w:val="000000"/>
                <w:sz w:val="20"/>
                <w:szCs w:val="20"/>
              </w:rPr>
              <w:t>ESTATAL</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7E22EA6C"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14:paraId="1C8825C0" w14:textId="77777777" w:rsidR="00AA3D42" w:rsidRDefault="00AA3D42" w:rsidP="00AA3D42">
            <w:pPr>
              <w:spacing w:line="360" w:lineRule="auto"/>
              <w:jc w:val="center"/>
              <w:rPr>
                <w:b/>
                <w:bCs/>
                <w:color w:val="000000"/>
                <w:sz w:val="20"/>
                <w:szCs w:val="20"/>
                <w:lang w:val="es-MX" w:eastAsia="es-MX"/>
              </w:rPr>
            </w:pPr>
            <w:r>
              <w:rPr>
                <w:b/>
                <w:bCs/>
                <w:color w:val="000000"/>
                <w:sz w:val="20"/>
                <w:szCs w:val="20"/>
              </w:rPr>
              <w:t>APORTACIONES FEDERALES</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2E1CFB9C"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14:paraId="28ED66BE" w14:textId="77777777" w:rsidR="00AA3D42" w:rsidRDefault="00AA3D42" w:rsidP="00AA3D42">
            <w:pPr>
              <w:spacing w:line="360" w:lineRule="auto"/>
              <w:jc w:val="center"/>
              <w:rPr>
                <w:b/>
                <w:bCs/>
                <w:color w:val="000000"/>
                <w:sz w:val="20"/>
                <w:szCs w:val="20"/>
                <w:lang w:val="es-MX" w:eastAsia="es-MX"/>
              </w:rPr>
            </w:pPr>
            <w:r>
              <w:rPr>
                <w:b/>
                <w:bCs/>
                <w:color w:val="000000"/>
                <w:sz w:val="20"/>
                <w:szCs w:val="20"/>
              </w:rPr>
              <w:t>TOTAL</w:t>
            </w:r>
          </w:p>
        </w:tc>
      </w:tr>
      <w:tr w:rsidR="00AA3D42" w:rsidRPr="00955A4C" w14:paraId="47CFF3EC" w14:textId="77777777" w:rsidTr="005E2A35">
        <w:trPr>
          <w:trHeight w:val="494"/>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6B1CDC7" w14:textId="77777777" w:rsidR="00AA3D42" w:rsidRPr="00955A4C" w:rsidRDefault="00AA3D42" w:rsidP="00AA3D42">
            <w:pPr>
              <w:spacing w:line="360" w:lineRule="auto"/>
              <w:jc w:val="both"/>
              <w:rPr>
                <w:sz w:val="20"/>
                <w:szCs w:val="20"/>
                <w:lang w:eastAsia="es-MX"/>
              </w:rPr>
            </w:pPr>
            <w:r w:rsidRPr="00955A4C">
              <w:rPr>
                <w:sz w:val="20"/>
                <w:szCs w:val="20"/>
                <w:lang w:eastAsia="es-MX"/>
              </w:rPr>
              <w:t>Poder Legislativo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3E300BA8"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43C06FE" w14:textId="77777777" w:rsidR="00AA3D42" w:rsidRDefault="00AA3D42" w:rsidP="00AA3D42">
            <w:pPr>
              <w:spacing w:line="360" w:lineRule="auto"/>
              <w:jc w:val="right"/>
              <w:rPr>
                <w:color w:val="000000"/>
                <w:sz w:val="20"/>
                <w:szCs w:val="20"/>
              </w:rPr>
            </w:pPr>
            <w:r>
              <w:rPr>
                <w:color w:val="000000"/>
                <w:sz w:val="20"/>
                <w:szCs w:val="20"/>
              </w:rPr>
              <w:t>350,180,621.00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1DE52BBF"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BCC0052" w14:textId="77777777" w:rsidR="00AA3D42" w:rsidRDefault="00AA3D42" w:rsidP="00AA3D42">
            <w:pPr>
              <w:spacing w:line="360" w:lineRule="auto"/>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C3543FF"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27E715F" w14:textId="77777777" w:rsidR="00AA3D42" w:rsidRDefault="00AA3D42" w:rsidP="00AA3D42">
            <w:pPr>
              <w:spacing w:line="360" w:lineRule="auto"/>
              <w:jc w:val="right"/>
              <w:rPr>
                <w:color w:val="000000"/>
                <w:sz w:val="20"/>
                <w:szCs w:val="20"/>
              </w:rPr>
            </w:pPr>
            <w:r>
              <w:rPr>
                <w:color w:val="000000"/>
                <w:sz w:val="20"/>
                <w:szCs w:val="20"/>
              </w:rPr>
              <w:t>350,180,621.00</w:t>
            </w:r>
          </w:p>
        </w:tc>
      </w:tr>
      <w:tr w:rsidR="00AA3D42" w:rsidRPr="00955A4C" w14:paraId="423D2992" w14:textId="77777777" w:rsidTr="005E2A35">
        <w:trPr>
          <w:trHeight w:val="560"/>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FCD773C" w14:textId="77777777" w:rsidR="00AA3D42" w:rsidRPr="00955A4C" w:rsidRDefault="00AA3D42" w:rsidP="00AA3D42">
            <w:pPr>
              <w:spacing w:line="360" w:lineRule="auto"/>
              <w:jc w:val="both"/>
              <w:rPr>
                <w:sz w:val="20"/>
                <w:szCs w:val="20"/>
                <w:lang w:eastAsia="es-MX"/>
              </w:rPr>
            </w:pPr>
            <w:r w:rsidRPr="00955A4C">
              <w:rPr>
                <w:sz w:val="20"/>
                <w:szCs w:val="20"/>
                <w:lang w:eastAsia="es-MX"/>
              </w:rPr>
              <w:t>Poder Judicial</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86402C0"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CA644F" w14:textId="77777777" w:rsidR="00AA3D42" w:rsidRDefault="00AA3D42" w:rsidP="00AA3D42">
            <w:pPr>
              <w:spacing w:line="360" w:lineRule="auto"/>
              <w:jc w:val="right"/>
              <w:rPr>
                <w:color w:val="000000"/>
                <w:sz w:val="20"/>
                <w:szCs w:val="20"/>
              </w:rPr>
            </w:pPr>
            <w:r>
              <w:rPr>
                <w:color w:val="000000"/>
                <w:sz w:val="20"/>
                <w:szCs w:val="20"/>
              </w:rPr>
              <w:t>402,911,181.00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6276D508"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3D785CD" w14:textId="77777777" w:rsidR="00AA3D42" w:rsidRDefault="00AA3D42" w:rsidP="00AA3D42">
            <w:pPr>
              <w:spacing w:line="360" w:lineRule="auto"/>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7E34C08B"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8CB81BE" w14:textId="77777777" w:rsidR="00AA3D42" w:rsidRDefault="00AA3D42" w:rsidP="00AA3D42">
            <w:pPr>
              <w:spacing w:line="360" w:lineRule="auto"/>
              <w:jc w:val="right"/>
              <w:rPr>
                <w:color w:val="000000"/>
                <w:sz w:val="20"/>
                <w:szCs w:val="20"/>
              </w:rPr>
            </w:pPr>
            <w:r>
              <w:rPr>
                <w:color w:val="000000"/>
                <w:sz w:val="20"/>
                <w:szCs w:val="20"/>
              </w:rPr>
              <w:t>402,911,181.00</w:t>
            </w:r>
          </w:p>
        </w:tc>
      </w:tr>
      <w:tr w:rsidR="00AA3D42" w:rsidRPr="00955A4C" w14:paraId="1F42067A" w14:textId="77777777" w:rsidTr="005E2A35">
        <w:trPr>
          <w:trHeight w:val="525"/>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F708DD2" w14:textId="77777777" w:rsidR="00AA3D42" w:rsidRPr="00955A4C" w:rsidRDefault="00AA3D42" w:rsidP="00AA3D42">
            <w:pPr>
              <w:spacing w:line="360" w:lineRule="auto"/>
              <w:jc w:val="both"/>
              <w:rPr>
                <w:sz w:val="20"/>
                <w:szCs w:val="20"/>
                <w:lang w:eastAsia="es-MX"/>
              </w:rPr>
            </w:pPr>
            <w:r w:rsidRPr="00955A4C">
              <w:rPr>
                <w:sz w:val="20"/>
                <w:szCs w:val="20"/>
                <w:lang w:eastAsia="es-MX"/>
              </w:rPr>
              <w:t>Órganos Autónomos</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BFD8B94"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8E081E3" w14:textId="77777777" w:rsidR="00AA3D42" w:rsidRDefault="00AA3D42" w:rsidP="00AA3D42">
            <w:pPr>
              <w:spacing w:line="360" w:lineRule="auto"/>
              <w:jc w:val="right"/>
              <w:rPr>
                <w:color w:val="000000"/>
                <w:sz w:val="20"/>
                <w:szCs w:val="20"/>
              </w:rPr>
            </w:pPr>
            <w:r>
              <w:rPr>
                <w:bCs/>
                <w:color w:val="000000"/>
                <w:sz w:val="20"/>
                <w:szCs w:val="20"/>
              </w:rPr>
              <w:t>402,346,196.00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47E3A221"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2CF9C77" w14:textId="77777777" w:rsidR="00AA3D42" w:rsidRDefault="00AA3D42" w:rsidP="00AA3D42">
            <w:pPr>
              <w:spacing w:line="360" w:lineRule="auto"/>
              <w:jc w:val="right"/>
              <w:rPr>
                <w:color w:val="000000"/>
                <w:sz w:val="20"/>
                <w:szCs w:val="20"/>
              </w:rPr>
            </w:pPr>
            <w:r>
              <w:rPr>
                <w:color w:val="000000"/>
                <w:sz w:val="20"/>
                <w:szCs w:val="20"/>
              </w:rPr>
              <w:t>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71B237DA"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158FFF" w14:textId="77777777" w:rsidR="00AA3D42" w:rsidRDefault="00AA3D42" w:rsidP="00AA3D42">
            <w:pPr>
              <w:spacing w:line="360" w:lineRule="auto"/>
              <w:jc w:val="right"/>
              <w:rPr>
                <w:color w:val="000000"/>
                <w:sz w:val="20"/>
                <w:szCs w:val="20"/>
              </w:rPr>
            </w:pPr>
            <w:r>
              <w:rPr>
                <w:color w:val="000000"/>
                <w:sz w:val="20"/>
                <w:szCs w:val="20"/>
              </w:rPr>
              <w:t>402,346,196.00</w:t>
            </w:r>
          </w:p>
        </w:tc>
      </w:tr>
      <w:tr w:rsidR="00AA3D42" w:rsidRPr="00955A4C" w14:paraId="136EABF0" w14:textId="77777777" w:rsidTr="005E2A35">
        <w:trPr>
          <w:trHeight w:val="478"/>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2FF2BD2" w14:textId="77777777" w:rsidR="00AA3D42" w:rsidRPr="00955A4C" w:rsidRDefault="00AA3D42" w:rsidP="00AA3D42">
            <w:pPr>
              <w:spacing w:line="360" w:lineRule="auto"/>
              <w:jc w:val="both"/>
              <w:rPr>
                <w:sz w:val="20"/>
                <w:szCs w:val="20"/>
                <w:lang w:eastAsia="es-MX"/>
              </w:rPr>
            </w:pPr>
            <w:r w:rsidRPr="00955A4C">
              <w:rPr>
                <w:sz w:val="20"/>
                <w:szCs w:val="20"/>
                <w:lang w:eastAsia="es-MX"/>
              </w:rPr>
              <w:t>Poder Ejecutivo</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240E54A"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A92519" w14:textId="77777777" w:rsidR="00AA3D42" w:rsidRDefault="00AA3D42" w:rsidP="00AA3D42">
            <w:pPr>
              <w:spacing w:line="360" w:lineRule="auto"/>
              <w:jc w:val="right"/>
              <w:rPr>
                <w:color w:val="000000"/>
                <w:sz w:val="20"/>
                <w:szCs w:val="20"/>
              </w:rPr>
            </w:pPr>
            <w:r>
              <w:rPr>
                <w:color w:val="000000"/>
                <w:sz w:val="20"/>
                <w:szCs w:val="20"/>
              </w:rPr>
              <w:t>6,877,520,865.00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A00E20F"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EED3934" w14:textId="77777777" w:rsidR="00AA3D42" w:rsidRDefault="00AA3D42" w:rsidP="00AA3D42">
            <w:pPr>
              <w:spacing w:line="360" w:lineRule="auto"/>
              <w:jc w:val="right"/>
              <w:rPr>
                <w:color w:val="000000"/>
                <w:sz w:val="20"/>
                <w:szCs w:val="20"/>
              </w:rPr>
            </w:pPr>
            <w:r>
              <w:rPr>
                <w:color w:val="000000"/>
                <w:sz w:val="20"/>
                <w:szCs w:val="20"/>
              </w:rPr>
              <w:t>8,850,832,510.00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1DB88557"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AE0216A" w14:textId="77777777" w:rsidR="00AA3D42" w:rsidRDefault="00AA3D42" w:rsidP="00AA3D42">
            <w:pPr>
              <w:spacing w:line="360" w:lineRule="auto"/>
              <w:jc w:val="right"/>
              <w:rPr>
                <w:color w:val="000000"/>
                <w:sz w:val="20"/>
                <w:szCs w:val="20"/>
              </w:rPr>
            </w:pPr>
            <w:r>
              <w:rPr>
                <w:color w:val="000000"/>
                <w:sz w:val="20"/>
                <w:szCs w:val="20"/>
              </w:rPr>
              <w:t>15,728,353,375.00</w:t>
            </w:r>
          </w:p>
        </w:tc>
      </w:tr>
      <w:tr w:rsidR="00AA3D42" w:rsidRPr="00955A4C" w14:paraId="410CBF96" w14:textId="77777777" w:rsidTr="005E2A35">
        <w:trPr>
          <w:trHeight w:val="414"/>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17C6D428" w14:textId="77777777" w:rsidR="00AA3D42" w:rsidRPr="00955A4C" w:rsidRDefault="00AA3D42" w:rsidP="00AA3D42">
            <w:pPr>
              <w:spacing w:line="360" w:lineRule="auto"/>
              <w:jc w:val="both"/>
              <w:rPr>
                <w:sz w:val="20"/>
                <w:szCs w:val="20"/>
                <w:lang w:eastAsia="es-MX"/>
              </w:rPr>
            </w:pPr>
            <w:r w:rsidRPr="00955A4C">
              <w:rPr>
                <w:sz w:val="20"/>
                <w:szCs w:val="20"/>
                <w:lang w:eastAsia="es-MX"/>
              </w:rPr>
              <w:t>Municipios</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41C5BE53"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A234E0B" w14:textId="77777777" w:rsidR="00AA3D42" w:rsidRDefault="00AA3D42" w:rsidP="00AA3D42">
            <w:pPr>
              <w:spacing w:line="360" w:lineRule="auto"/>
              <w:jc w:val="right"/>
              <w:rPr>
                <w:color w:val="000000"/>
                <w:sz w:val="20"/>
                <w:szCs w:val="20"/>
              </w:rPr>
            </w:pPr>
            <w:r>
              <w:rPr>
                <w:color w:val="000000"/>
                <w:sz w:val="20"/>
                <w:szCs w:val="20"/>
              </w:rPr>
              <w:t>2,090,870,886.00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1775D850"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F82026" w14:textId="77777777" w:rsidR="00AA3D42" w:rsidRDefault="00AA3D42" w:rsidP="00AA3D42">
            <w:pPr>
              <w:spacing w:line="360" w:lineRule="auto"/>
              <w:jc w:val="right"/>
              <w:rPr>
                <w:color w:val="000000"/>
                <w:sz w:val="20"/>
                <w:szCs w:val="20"/>
              </w:rPr>
            </w:pPr>
            <w:r>
              <w:rPr>
                <w:color w:val="000000"/>
                <w:sz w:val="20"/>
                <w:szCs w:val="20"/>
              </w:rPr>
              <w:t>1,693,006,916.00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2FF6164A"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EC1EF79" w14:textId="77777777" w:rsidR="00AA3D42" w:rsidRDefault="00AA3D42" w:rsidP="00AA3D42">
            <w:pPr>
              <w:spacing w:line="360" w:lineRule="auto"/>
              <w:jc w:val="right"/>
              <w:rPr>
                <w:color w:val="000000"/>
                <w:sz w:val="20"/>
                <w:szCs w:val="20"/>
              </w:rPr>
            </w:pPr>
            <w:r>
              <w:rPr>
                <w:color w:val="000000"/>
                <w:sz w:val="20"/>
                <w:szCs w:val="20"/>
              </w:rPr>
              <w:t>3,783,877,802.00</w:t>
            </w:r>
          </w:p>
        </w:tc>
      </w:tr>
      <w:tr w:rsidR="00AA3D42" w:rsidRPr="00955A4C" w14:paraId="08A10F7E" w14:textId="77777777" w:rsidTr="005E2A35">
        <w:trPr>
          <w:trHeight w:val="330"/>
        </w:trPr>
        <w:tc>
          <w:tcPr>
            <w:tcW w:w="118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hideMark/>
          </w:tcPr>
          <w:p w14:paraId="211EB409"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TOTAL</w:t>
            </w:r>
          </w:p>
        </w:tc>
        <w:tc>
          <w:tcPr>
            <w:tcW w:w="251"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31ED8F3E"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14:paraId="019D0C6D" w14:textId="77777777" w:rsidR="00AA3D42" w:rsidRDefault="00AA3D42" w:rsidP="00AA3D42">
            <w:pPr>
              <w:spacing w:line="360" w:lineRule="auto"/>
              <w:jc w:val="right"/>
              <w:rPr>
                <w:b/>
                <w:bCs/>
                <w:color w:val="000000"/>
                <w:sz w:val="20"/>
                <w:szCs w:val="20"/>
              </w:rPr>
            </w:pPr>
            <w:r>
              <w:rPr>
                <w:b/>
                <w:bCs/>
                <w:color w:val="000000"/>
                <w:sz w:val="20"/>
                <w:szCs w:val="20"/>
              </w:rPr>
              <w:t>10,123,829,749.00</w:t>
            </w:r>
          </w:p>
        </w:tc>
        <w:tc>
          <w:tcPr>
            <w:tcW w:w="216"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00F26F58" w14:textId="77777777" w:rsidR="00AA3D42" w:rsidRPr="00955A4C" w:rsidRDefault="00AA3D42" w:rsidP="00AA3D42">
            <w:pPr>
              <w:spacing w:line="360" w:lineRule="auto"/>
              <w:rPr>
                <w:sz w:val="20"/>
                <w:szCs w:val="20"/>
                <w:lang w:eastAsia="es-MX"/>
              </w:rPr>
            </w:pPr>
          </w:p>
        </w:tc>
        <w:tc>
          <w:tcPr>
            <w:tcW w:w="10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14:paraId="6FA629DB" w14:textId="77777777" w:rsidR="00AA3D42" w:rsidRDefault="00AA3D42" w:rsidP="00AA3D42">
            <w:pPr>
              <w:spacing w:line="360" w:lineRule="auto"/>
              <w:jc w:val="right"/>
              <w:rPr>
                <w:b/>
                <w:bCs/>
                <w:color w:val="000000"/>
                <w:sz w:val="20"/>
                <w:szCs w:val="20"/>
              </w:rPr>
            </w:pPr>
            <w:r>
              <w:rPr>
                <w:b/>
                <w:bCs/>
                <w:color w:val="000000"/>
                <w:sz w:val="20"/>
                <w:szCs w:val="20"/>
              </w:rPr>
              <w:t>10,543,839,426.00</w:t>
            </w:r>
          </w:p>
        </w:tc>
        <w:tc>
          <w:tcPr>
            <w:tcW w:w="290" w:type="pct"/>
            <w:tcBorders>
              <w:top w:val="nil"/>
              <w:left w:val="single" w:sz="4" w:space="0" w:color="A6A6A6" w:themeColor="background1" w:themeShade="A6"/>
              <w:bottom w:val="nil"/>
              <w:right w:val="single" w:sz="4" w:space="0" w:color="A6A6A6" w:themeColor="background1" w:themeShade="A6"/>
            </w:tcBorders>
            <w:shd w:val="clear" w:color="auto" w:fill="auto"/>
            <w:noWrap/>
            <w:vAlign w:val="bottom"/>
            <w:hideMark/>
          </w:tcPr>
          <w:p w14:paraId="54A0A650" w14:textId="77777777" w:rsidR="00AA3D42" w:rsidRPr="00955A4C" w:rsidRDefault="00AA3D42" w:rsidP="00AA3D42">
            <w:pPr>
              <w:spacing w:line="360" w:lineRule="auto"/>
              <w:rPr>
                <w:sz w:val="20"/>
                <w:szCs w:val="20"/>
                <w:lang w:eastAsia="es-MX"/>
              </w:rPr>
            </w:pPr>
          </w:p>
        </w:tc>
        <w:tc>
          <w:tcPr>
            <w:tcW w:w="9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CCCCCC"/>
            <w:vAlign w:val="center"/>
          </w:tcPr>
          <w:p w14:paraId="32191E02" w14:textId="77777777" w:rsidR="00AA3D42" w:rsidRDefault="00AA3D42" w:rsidP="00AA3D42">
            <w:pPr>
              <w:spacing w:line="360" w:lineRule="auto"/>
              <w:jc w:val="right"/>
              <w:rPr>
                <w:b/>
                <w:bCs/>
                <w:color w:val="000000"/>
                <w:sz w:val="20"/>
                <w:szCs w:val="20"/>
              </w:rPr>
            </w:pPr>
            <w:r>
              <w:rPr>
                <w:b/>
                <w:bCs/>
                <w:color w:val="000000"/>
                <w:sz w:val="20"/>
                <w:szCs w:val="20"/>
              </w:rPr>
              <w:t>20,667,669,175.00</w:t>
            </w:r>
          </w:p>
        </w:tc>
      </w:tr>
    </w:tbl>
    <w:p w14:paraId="25DC034E" w14:textId="77777777" w:rsidR="00AA3D42" w:rsidRPr="00955A4C" w:rsidRDefault="00AA3D42" w:rsidP="00AA3D42">
      <w:pPr>
        <w:spacing w:line="360" w:lineRule="auto"/>
        <w:jc w:val="both"/>
        <w:rPr>
          <w:b/>
          <w:sz w:val="20"/>
          <w:szCs w:val="20"/>
        </w:rPr>
      </w:pPr>
    </w:p>
    <w:p w14:paraId="04779976" w14:textId="77777777" w:rsidR="00AA3D42" w:rsidRPr="00955A4C" w:rsidRDefault="00AA3D42" w:rsidP="00AA3D42">
      <w:pPr>
        <w:spacing w:after="200" w:line="360" w:lineRule="auto"/>
        <w:jc w:val="both"/>
        <w:rPr>
          <w:rFonts w:eastAsia="Calibri"/>
          <w:sz w:val="20"/>
          <w:szCs w:val="20"/>
        </w:rPr>
      </w:pPr>
      <w:r>
        <w:rPr>
          <w:rFonts w:eastAsia="Calibri"/>
          <w:sz w:val="20"/>
          <w:szCs w:val="20"/>
        </w:rPr>
        <w:t>Para el Poder Legislativo se estima u</w:t>
      </w:r>
      <w:r w:rsidRPr="00955A4C">
        <w:rPr>
          <w:rFonts w:eastAsia="Calibri"/>
          <w:sz w:val="20"/>
          <w:szCs w:val="20"/>
        </w:rPr>
        <w:t xml:space="preserve">n presupuesto </w:t>
      </w:r>
      <w:r w:rsidRPr="008A1DCA">
        <w:rPr>
          <w:rFonts w:eastAsia="Calibri"/>
          <w:color w:val="000000" w:themeColor="text1"/>
          <w:sz w:val="20"/>
          <w:szCs w:val="20"/>
        </w:rPr>
        <w:t>total de $350,180,621.</w:t>
      </w:r>
      <w:r w:rsidRPr="008A1DCA">
        <w:rPr>
          <w:color w:val="000000" w:themeColor="text1"/>
          <w:sz w:val="20"/>
          <w:szCs w:val="20"/>
          <w:lang w:eastAsia="es-MX"/>
        </w:rPr>
        <w:t>00</w:t>
      </w:r>
      <w:r w:rsidRPr="008A1DCA">
        <w:rPr>
          <w:rFonts w:eastAsia="Calibri"/>
          <w:color w:val="000000" w:themeColor="text1"/>
          <w:sz w:val="20"/>
          <w:szCs w:val="20"/>
        </w:rPr>
        <w:t xml:space="preserve">, </w:t>
      </w:r>
      <w:r w:rsidRPr="00955A4C">
        <w:rPr>
          <w:rFonts w:eastAsia="Calibri"/>
          <w:sz w:val="20"/>
          <w:szCs w:val="20"/>
        </w:rPr>
        <w:t xml:space="preserve">que </w:t>
      </w:r>
      <w:r>
        <w:rPr>
          <w:rFonts w:eastAsia="Calibri"/>
          <w:sz w:val="20"/>
          <w:szCs w:val="20"/>
        </w:rPr>
        <w:t xml:space="preserve">representaría </w:t>
      </w:r>
      <w:r w:rsidRPr="00955A4C">
        <w:rPr>
          <w:rFonts w:eastAsia="Calibri"/>
          <w:sz w:val="20"/>
          <w:szCs w:val="20"/>
        </w:rPr>
        <w:t>un incremento del 6</w:t>
      </w:r>
      <w:r>
        <w:rPr>
          <w:rFonts w:eastAsia="Calibri"/>
          <w:sz w:val="20"/>
          <w:szCs w:val="20"/>
        </w:rPr>
        <w:t>.5</w:t>
      </w:r>
      <w:r w:rsidRPr="00955A4C">
        <w:rPr>
          <w:rFonts w:eastAsia="Calibri"/>
          <w:sz w:val="20"/>
          <w:szCs w:val="20"/>
        </w:rPr>
        <w:t>%</w:t>
      </w:r>
      <w:r w:rsidRPr="00955A4C">
        <w:rPr>
          <w:rFonts w:eastAsia="Calibri"/>
          <w:color w:val="FF0000"/>
          <w:sz w:val="20"/>
          <w:szCs w:val="20"/>
        </w:rPr>
        <w:t xml:space="preserve"> </w:t>
      </w:r>
      <w:r w:rsidRPr="00955A4C">
        <w:rPr>
          <w:rFonts w:eastAsia="Calibri"/>
          <w:sz w:val="20"/>
          <w:szCs w:val="20"/>
        </w:rPr>
        <w:t>respecto de 20</w:t>
      </w:r>
      <w:r>
        <w:rPr>
          <w:rFonts w:eastAsia="Calibri"/>
          <w:sz w:val="20"/>
          <w:szCs w:val="20"/>
        </w:rPr>
        <w:t>20</w:t>
      </w:r>
      <w:r w:rsidRPr="00955A4C">
        <w:rPr>
          <w:rFonts w:eastAsia="Calibri"/>
          <w:sz w:val="20"/>
          <w:szCs w:val="20"/>
        </w:rPr>
        <w:t>, integrado como sigue:</w:t>
      </w:r>
    </w:p>
    <w:tbl>
      <w:tblPr>
        <w:tblW w:w="5117" w:type="dxa"/>
        <w:jc w:val="center"/>
        <w:tblCellMar>
          <w:left w:w="70" w:type="dxa"/>
          <w:right w:w="70" w:type="dxa"/>
        </w:tblCellMar>
        <w:tblLook w:val="04A0" w:firstRow="1" w:lastRow="0" w:firstColumn="1" w:lastColumn="0" w:noHBand="0" w:noVBand="1"/>
      </w:tblPr>
      <w:tblGrid>
        <w:gridCol w:w="3685"/>
        <w:gridCol w:w="1432"/>
      </w:tblGrid>
      <w:tr w:rsidR="00AA3D42" w:rsidRPr="00955A4C" w14:paraId="02D144BF" w14:textId="77777777" w:rsidTr="005E2A35">
        <w:trPr>
          <w:trHeight w:val="547"/>
          <w:tblHeader/>
          <w:jc w:val="center"/>
        </w:trPr>
        <w:tc>
          <w:tcPr>
            <w:tcW w:w="3685" w:type="dxa"/>
            <w:tcBorders>
              <w:top w:val="single" w:sz="8" w:space="0" w:color="A6A6A6"/>
              <w:left w:val="single" w:sz="8" w:space="0" w:color="A6A6A6"/>
              <w:bottom w:val="nil"/>
              <w:right w:val="single" w:sz="8" w:space="0" w:color="A6A6A6"/>
            </w:tcBorders>
            <w:shd w:val="clear" w:color="000000" w:fill="CCCCCC"/>
            <w:vAlign w:val="center"/>
            <w:hideMark/>
          </w:tcPr>
          <w:p w14:paraId="7B46FA56"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PODER LEGISLATIVO</w:t>
            </w:r>
          </w:p>
        </w:tc>
        <w:tc>
          <w:tcPr>
            <w:tcW w:w="1432" w:type="dxa"/>
            <w:tcBorders>
              <w:top w:val="single" w:sz="8" w:space="0" w:color="A6A6A6"/>
              <w:left w:val="nil"/>
              <w:bottom w:val="nil"/>
              <w:right w:val="single" w:sz="8" w:space="0" w:color="A6A6A6"/>
            </w:tcBorders>
            <w:shd w:val="clear" w:color="000000" w:fill="CCCCCC"/>
            <w:vAlign w:val="center"/>
            <w:hideMark/>
          </w:tcPr>
          <w:p w14:paraId="6CFEB777" w14:textId="77777777" w:rsidR="00AA3D42" w:rsidRPr="00955A4C" w:rsidRDefault="00AA3D42" w:rsidP="00AA3D42">
            <w:pPr>
              <w:spacing w:line="360" w:lineRule="auto"/>
              <w:jc w:val="center"/>
              <w:rPr>
                <w:b/>
                <w:bCs/>
                <w:sz w:val="20"/>
                <w:szCs w:val="20"/>
                <w:lang w:eastAsia="es-MX"/>
              </w:rPr>
            </w:pPr>
            <w:r>
              <w:rPr>
                <w:b/>
                <w:bCs/>
                <w:sz w:val="20"/>
                <w:szCs w:val="20"/>
                <w:lang w:eastAsia="es-MX"/>
              </w:rPr>
              <w:t>MONTO</w:t>
            </w:r>
          </w:p>
        </w:tc>
      </w:tr>
      <w:tr w:rsidR="00AA3D42" w:rsidRPr="00955A4C" w14:paraId="565D2707" w14:textId="77777777" w:rsidTr="005E2A35">
        <w:trPr>
          <w:trHeight w:val="615"/>
          <w:jc w:val="center"/>
        </w:trPr>
        <w:tc>
          <w:tcPr>
            <w:tcW w:w="368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3147183F" w14:textId="77777777" w:rsidR="00AA3D42" w:rsidRPr="00955A4C" w:rsidRDefault="00AA3D42" w:rsidP="00AA3D42">
            <w:pPr>
              <w:spacing w:line="360" w:lineRule="auto"/>
              <w:jc w:val="both"/>
              <w:rPr>
                <w:sz w:val="20"/>
                <w:szCs w:val="20"/>
                <w:lang w:eastAsia="es-MX"/>
              </w:rPr>
            </w:pPr>
            <w:r>
              <w:rPr>
                <w:sz w:val="20"/>
                <w:szCs w:val="20"/>
                <w:lang w:eastAsia="es-MX"/>
              </w:rPr>
              <w:t>Congreso del Estado</w:t>
            </w:r>
          </w:p>
        </w:tc>
        <w:tc>
          <w:tcPr>
            <w:tcW w:w="1432" w:type="dxa"/>
            <w:tcBorders>
              <w:top w:val="single" w:sz="8" w:space="0" w:color="A6A6A6"/>
              <w:left w:val="nil"/>
              <w:bottom w:val="single" w:sz="8" w:space="0" w:color="A6A6A6"/>
              <w:right w:val="single" w:sz="8" w:space="0" w:color="A6A6A6"/>
            </w:tcBorders>
            <w:shd w:val="clear" w:color="auto" w:fill="auto"/>
            <w:vAlign w:val="center"/>
          </w:tcPr>
          <w:p w14:paraId="0F79FFF6" w14:textId="77777777" w:rsidR="00AA3D42" w:rsidRPr="00955A4C" w:rsidRDefault="00AA3D42" w:rsidP="00AA3D42">
            <w:pPr>
              <w:spacing w:line="360" w:lineRule="auto"/>
              <w:jc w:val="right"/>
              <w:rPr>
                <w:sz w:val="20"/>
                <w:szCs w:val="20"/>
                <w:lang w:eastAsia="es-MX"/>
              </w:rPr>
            </w:pPr>
            <w:r>
              <w:rPr>
                <w:sz w:val="20"/>
                <w:szCs w:val="20"/>
                <w:lang w:eastAsia="es-MX"/>
              </w:rPr>
              <w:t>271,163,501.00</w:t>
            </w:r>
          </w:p>
        </w:tc>
      </w:tr>
      <w:tr w:rsidR="00AA3D42" w:rsidRPr="00955A4C" w14:paraId="7D8E6C24" w14:textId="77777777" w:rsidTr="005E2A35">
        <w:trPr>
          <w:trHeight w:val="581"/>
          <w:jc w:val="center"/>
        </w:trPr>
        <w:tc>
          <w:tcPr>
            <w:tcW w:w="3685" w:type="dxa"/>
            <w:tcBorders>
              <w:top w:val="nil"/>
              <w:left w:val="single" w:sz="8" w:space="0" w:color="A6A6A6"/>
              <w:bottom w:val="single" w:sz="8" w:space="0" w:color="A6A6A6"/>
              <w:right w:val="single" w:sz="8" w:space="0" w:color="A6A6A6"/>
            </w:tcBorders>
            <w:shd w:val="clear" w:color="auto" w:fill="auto"/>
            <w:vAlign w:val="center"/>
            <w:hideMark/>
          </w:tcPr>
          <w:p w14:paraId="4EAF2D41" w14:textId="77777777" w:rsidR="00AA3D42" w:rsidRPr="00955A4C" w:rsidRDefault="00AA3D42" w:rsidP="00AA3D42">
            <w:pPr>
              <w:spacing w:line="360" w:lineRule="auto"/>
              <w:jc w:val="both"/>
              <w:rPr>
                <w:sz w:val="20"/>
                <w:szCs w:val="20"/>
                <w:lang w:eastAsia="es-MX"/>
              </w:rPr>
            </w:pPr>
            <w:r w:rsidRPr="00955A4C">
              <w:rPr>
                <w:sz w:val="20"/>
                <w:szCs w:val="20"/>
                <w:lang w:eastAsia="es-MX"/>
              </w:rPr>
              <w:t xml:space="preserve">Órgano de Fiscalización Superior </w:t>
            </w:r>
          </w:p>
        </w:tc>
        <w:tc>
          <w:tcPr>
            <w:tcW w:w="1432" w:type="dxa"/>
            <w:tcBorders>
              <w:top w:val="nil"/>
              <w:left w:val="nil"/>
              <w:bottom w:val="single" w:sz="8" w:space="0" w:color="A6A6A6"/>
              <w:right w:val="single" w:sz="8" w:space="0" w:color="A6A6A6"/>
            </w:tcBorders>
            <w:shd w:val="clear" w:color="auto" w:fill="auto"/>
            <w:vAlign w:val="center"/>
          </w:tcPr>
          <w:p w14:paraId="3167FE2A" w14:textId="77777777" w:rsidR="00AA3D42" w:rsidRPr="00955A4C" w:rsidRDefault="00AA3D42" w:rsidP="00AA3D42">
            <w:pPr>
              <w:spacing w:line="360" w:lineRule="auto"/>
              <w:jc w:val="right"/>
              <w:rPr>
                <w:sz w:val="20"/>
                <w:szCs w:val="20"/>
                <w:lang w:eastAsia="es-MX"/>
              </w:rPr>
            </w:pPr>
            <w:r>
              <w:rPr>
                <w:sz w:val="20"/>
                <w:szCs w:val="20"/>
                <w:lang w:eastAsia="es-MX"/>
              </w:rPr>
              <w:t>79,017,120.00</w:t>
            </w:r>
          </w:p>
        </w:tc>
      </w:tr>
      <w:tr w:rsidR="00AA3D42" w:rsidRPr="00955A4C" w14:paraId="2D683DEE" w14:textId="77777777" w:rsidTr="005E2A35">
        <w:trPr>
          <w:trHeight w:val="330"/>
          <w:jc w:val="center"/>
        </w:trPr>
        <w:tc>
          <w:tcPr>
            <w:tcW w:w="3685" w:type="dxa"/>
            <w:tcBorders>
              <w:top w:val="nil"/>
              <w:left w:val="single" w:sz="8" w:space="0" w:color="A6A6A6"/>
              <w:bottom w:val="single" w:sz="8" w:space="0" w:color="A6A6A6"/>
              <w:right w:val="single" w:sz="8" w:space="0" w:color="A6A6A6"/>
            </w:tcBorders>
            <w:shd w:val="clear" w:color="000000" w:fill="CCCCCC"/>
            <w:vAlign w:val="center"/>
            <w:hideMark/>
          </w:tcPr>
          <w:p w14:paraId="5BD7ADF1"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TOTAL</w:t>
            </w:r>
          </w:p>
        </w:tc>
        <w:tc>
          <w:tcPr>
            <w:tcW w:w="1432" w:type="dxa"/>
            <w:tcBorders>
              <w:top w:val="nil"/>
              <w:left w:val="nil"/>
              <w:bottom w:val="single" w:sz="8" w:space="0" w:color="A6A6A6"/>
              <w:right w:val="single" w:sz="8" w:space="0" w:color="A6A6A6"/>
            </w:tcBorders>
            <w:shd w:val="clear" w:color="000000" w:fill="CCCCCC"/>
            <w:vAlign w:val="center"/>
          </w:tcPr>
          <w:p w14:paraId="7C38E2F8" w14:textId="77777777" w:rsidR="00AA3D42" w:rsidRPr="00955A4C" w:rsidRDefault="00AA3D42" w:rsidP="00AA3D42">
            <w:pPr>
              <w:spacing w:line="360" w:lineRule="auto"/>
              <w:jc w:val="right"/>
              <w:rPr>
                <w:b/>
                <w:bCs/>
                <w:sz w:val="20"/>
                <w:szCs w:val="20"/>
                <w:lang w:eastAsia="es-MX"/>
              </w:rPr>
            </w:pPr>
            <w:r>
              <w:rPr>
                <w:b/>
                <w:bCs/>
                <w:sz w:val="20"/>
                <w:szCs w:val="20"/>
                <w:lang w:eastAsia="es-MX"/>
              </w:rPr>
              <w:t>350,180,621.00</w:t>
            </w:r>
          </w:p>
        </w:tc>
      </w:tr>
    </w:tbl>
    <w:p w14:paraId="131C946D" w14:textId="77777777" w:rsidR="00AA3D42" w:rsidRDefault="00AA3D42" w:rsidP="00AA3D42">
      <w:pPr>
        <w:spacing w:after="200" w:line="360" w:lineRule="auto"/>
        <w:jc w:val="center"/>
        <w:rPr>
          <w:rFonts w:eastAsia="Calibri"/>
          <w:b/>
          <w:sz w:val="20"/>
          <w:szCs w:val="20"/>
        </w:rPr>
      </w:pPr>
    </w:p>
    <w:p w14:paraId="4A76DF95" w14:textId="77777777" w:rsidR="00AA3D42" w:rsidRPr="00955A4C" w:rsidRDefault="00AA3D42" w:rsidP="00AA3D42">
      <w:pPr>
        <w:spacing w:after="200" w:line="360" w:lineRule="auto"/>
        <w:jc w:val="center"/>
        <w:rPr>
          <w:rFonts w:eastAsia="Calibri"/>
          <w:b/>
          <w:sz w:val="20"/>
          <w:szCs w:val="20"/>
        </w:rPr>
      </w:pPr>
      <w:r w:rsidRPr="00955A4C">
        <w:rPr>
          <w:rFonts w:eastAsia="Calibri"/>
          <w:b/>
          <w:sz w:val="20"/>
          <w:szCs w:val="20"/>
        </w:rPr>
        <w:t>ÓRGANOS AUTÓNOMOS</w:t>
      </w:r>
      <w:r w:rsidRPr="00955A4C">
        <w:rPr>
          <w:rFonts w:eastAsia="Calibri"/>
          <w:sz w:val="20"/>
          <w:szCs w:val="20"/>
        </w:rPr>
        <w:t xml:space="preserve">.  </w:t>
      </w:r>
    </w:p>
    <w:p w14:paraId="4D6C23A1" w14:textId="77777777" w:rsidR="00AA3D42" w:rsidRPr="00955A4C" w:rsidRDefault="00AA3D42" w:rsidP="00AA3D42">
      <w:pPr>
        <w:spacing w:after="200" w:line="360" w:lineRule="auto"/>
        <w:jc w:val="both"/>
        <w:rPr>
          <w:rFonts w:eastAsia="Calibri"/>
          <w:sz w:val="20"/>
          <w:szCs w:val="20"/>
        </w:rPr>
      </w:pPr>
      <w:r>
        <w:rPr>
          <w:rFonts w:eastAsia="Calibri"/>
          <w:sz w:val="20"/>
          <w:szCs w:val="20"/>
        </w:rPr>
        <w:t>Para los Órganos A</w:t>
      </w:r>
      <w:r w:rsidRPr="00955A4C">
        <w:rPr>
          <w:rFonts w:eastAsia="Calibri"/>
          <w:sz w:val="20"/>
          <w:szCs w:val="20"/>
        </w:rPr>
        <w:t xml:space="preserve">utónomos </w:t>
      </w:r>
      <w:r>
        <w:rPr>
          <w:rFonts w:eastAsia="Calibri"/>
          <w:sz w:val="20"/>
          <w:szCs w:val="20"/>
        </w:rPr>
        <w:t>se estima</w:t>
      </w:r>
      <w:r w:rsidRPr="00955A4C">
        <w:rPr>
          <w:rFonts w:eastAsia="Calibri"/>
          <w:sz w:val="20"/>
          <w:szCs w:val="20"/>
        </w:rPr>
        <w:t xml:space="preserve"> </w:t>
      </w:r>
      <w:r>
        <w:rPr>
          <w:rFonts w:eastAsia="Calibri"/>
          <w:sz w:val="20"/>
          <w:szCs w:val="20"/>
        </w:rPr>
        <w:t>un</w:t>
      </w:r>
      <w:r w:rsidRPr="00955A4C">
        <w:rPr>
          <w:rFonts w:eastAsia="Calibri"/>
          <w:sz w:val="20"/>
          <w:szCs w:val="20"/>
        </w:rPr>
        <w:t xml:space="preserve"> presupuesto global </w:t>
      </w:r>
      <w:r>
        <w:rPr>
          <w:rFonts w:eastAsia="Calibri"/>
          <w:sz w:val="20"/>
          <w:szCs w:val="20"/>
        </w:rPr>
        <w:t xml:space="preserve">de </w:t>
      </w:r>
      <w:r w:rsidRPr="000B5CB6">
        <w:rPr>
          <w:rFonts w:eastAsia="Calibri"/>
          <w:sz w:val="20"/>
          <w:szCs w:val="20"/>
        </w:rPr>
        <w:t>$</w:t>
      </w:r>
      <w:r>
        <w:rPr>
          <w:rFonts w:eastAsia="Calibri"/>
          <w:sz w:val="20"/>
          <w:szCs w:val="20"/>
        </w:rPr>
        <w:t>402,346,196.00</w:t>
      </w:r>
      <w:r w:rsidRPr="00955A4C">
        <w:rPr>
          <w:rFonts w:eastAsia="Calibri"/>
          <w:sz w:val="20"/>
          <w:szCs w:val="20"/>
        </w:rPr>
        <w:t>,</w:t>
      </w:r>
      <w:r>
        <w:rPr>
          <w:rFonts w:eastAsia="Calibri"/>
          <w:sz w:val="20"/>
          <w:szCs w:val="20"/>
        </w:rPr>
        <w:t xml:space="preserve"> </w:t>
      </w:r>
      <w:r w:rsidRPr="00955A4C">
        <w:rPr>
          <w:rFonts w:eastAsia="Calibri"/>
          <w:sz w:val="20"/>
          <w:szCs w:val="20"/>
        </w:rPr>
        <w:t>como a continuación se detalla:</w:t>
      </w:r>
    </w:p>
    <w:tbl>
      <w:tblPr>
        <w:tblW w:w="6015" w:type="dxa"/>
        <w:jc w:val="center"/>
        <w:tblCellMar>
          <w:left w:w="70" w:type="dxa"/>
          <w:right w:w="70" w:type="dxa"/>
        </w:tblCellMar>
        <w:tblLook w:val="04A0" w:firstRow="1" w:lastRow="0" w:firstColumn="1" w:lastColumn="0" w:noHBand="0" w:noVBand="1"/>
      </w:tblPr>
      <w:tblGrid>
        <w:gridCol w:w="4625"/>
        <w:gridCol w:w="1390"/>
      </w:tblGrid>
      <w:tr w:rsidR="00AA3D42" w:rsidRPr="00955A4C" w14:paraId="10E42C5B" w14:textId="77777777" w:rsidTr="005E2A35">
        <w:trPr>
          <w:trHeight w:val="396"/>
          <w:tblHeader/>
          <w:jc w:val="center"/>
        </w:trPr>
        <w:tc>
          <w:tcPr>
            <w:tcW w:w="4625" w:type="dxa"/>
            <w:tcBorders>
              <w:top w:val="single" w:sz="8" w:space="0" w:color="A6A6A6"/>
              <w:left w:val="single" w:sz="8" w:space="0" w:color="A6A6A6"/>
              <w:bottom w:val="nil"/>
              <w:right w:val="single" w:sz="8" w:space="0" w:color="A6A6A6"/>
            </w:tcBorders>
            <w:shd w:val="clear" w:color="000000" w:fill="CCCCCC"/>
            <w:vAlign w:val="center"/>
            <w:hideMark/>
          </w:tcPr>
          <w:p w14:paraId="489FC2C9"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AUTÓNOMOS</w:t>
            </w:r>
          </w:p>
        </w:tc>
        <w:tc>
          <w:tcPr>
            <w:tcW w:w="1390" w:type="dxa"/>
            <w:tcBorders>
              <w:top w:val="single" w:sz="8" w:space="0" w:color="A6A6A6"/>
              <w:left w:val="nil"/>
              <w:bottom w:val="nil"/>
              <w:right w:val="single" w:sz="8" w:space="0" w:color="A6A6A6"/>
            </w:tcBorders>
            <w:shd w:val="clear" w:color="000000" w:fill="CCCCCC"/>
            <w:vAlign w:val="center"/>
            <w:hideMark/>
          </w:tcPr>
          <w:p w14:paraId="3400770E"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 xml:space="preserve">MONTO </w:t>
            </w:r>
          </w:p>
        </w:tc>
      </w:tr>
      <w:tr w:rsidR="00AA3D42" w:rsidRPr="00955A4C" w14:paraId="1F97B4F9" w14:textId="77777777" w:rsidTr="005E2A35">
        <w:trPr>
          <w:trHeight w:val="315"/>
          <w:jc w:val="center"/>
        </w:trPr>
        <w:tc>
          <w:tcPr>
            <w:tcW w:w="462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C86517D" w14:textId="77777777" w:rsidR="00AA3D42" w:rsidRPr="00955A4C" w:rsidRDefault="00AA3D42" w:rsidP="00AA3D42">
            <w:pPr>
              <w:spacing w:line="360" w:lineRule="auto"/>
              <w:jc w:val="both"/>
              <w:rPr>
                <w:sz w:val="20"/>
                <w:szCs w:val="20"/>
                <w:lang w:eastAsia="es-MX"/>
              </w:rPr>
            </w:pPr>
            <w:r w:rsidRPr="00955A4C">
              <w:rPr>
                <w:sz w:val="20"/>
                <w:szCs w:val="20"/>
                <w:lang w:eastAsia="es-MX"/>
              </w:rPr>
              <w:t>Universidad Autónoma de Tlaxcala</w:t>
            </w:r>
          </w:p>
        </w:tc>
        <w:tc>
          <w:tcPr>
            <w:tcW w:w="1390" w:type="dxa"/>
            <w:tcBorders>
              <w:top w:val="single" w:sz="8" w:space="0" w:color="A6A6A6"/>
              <w:left w:val="nil"/>
              <w:bottom w:val="single" w:sz="8" w:space="0" w:color="A6A6A6"/>
              <w:right w:val="single" w:sz="8" w:space="0" w:color="A6A6A6"/>
            </w:tcBorders>
            <w:shd w:val="clear" w:color="auto" w:fill="auto"/>
            <w:vAlign w:val="center"/>
          </w:tcPr>
          <w:p w14:paraId="67F0E540" w14:textId="77777777" w:rsidR="00AA3D42" w:rsidRDefault="00AA3D42" w:rsidP="00AA3D42">
            <w:pPr>
              <w:spacing w:line="360" w:lineRule="auto"/>
              <w:jc w:val="right"/>
              <w:rPr>
                <w:color w:val="000000"/>
                <w:sz w:val="20"/>
                <w:szCs w:val="20"/>
                <w:lang w:val="es-MX" w:eastAsia="es-MX"/>
              </w:rPr>
            </w:pPr>
            <w:r>
              <w:rPr>
                <w:color w:val="000000"/>
                <w:sz w:val="20"/>
                <w:szCs w:val="20"/>
              </w:rPr>
              <w:t>115,386,100.00</w:t>
            </w:r>
          </w:p>
        </w:tc>
      </w:tr>
      <w:tr w:rsidR="00AA3D42" w:rsidRPr="00955A4C" w14:paraId="56D95125" w14:textId="77777777" w:rsidTr="005E2A35">
        <w:trPr>
          <w:trHeight w:val="6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14:paraId="1A067D71" w14:textId="77777777" w:rsidR="00AA3D42" w:rsidRPr="00955A4C" w:rsidRDefault="00AA3D42" w:rsidP="00AA3D42">
            <w:pPr>
              <w:spacing w:line="360" w:lineRule="auto"/>
              <w:jc w:val="both"/>
              <w:rPr>
                <w:sz w:val="20"/>
                <w:szCs w:val="20"/>
                <w:lang w:eastAsia="es-MX"/>
              </w:rPr>
            </w:pPr>
            <w:r w:rsidRPr="00955A4C">
              <w:rPr>
                <w:sz w:val="20"/>
                <w:szCs w:val="20"/>
                <w:lang w:eastAsia="es-MX"/>
              </w:rPr>
              <w:t>Comisión Estatal de Derechos Humanos</w:t>
            </w:r>
          </w:p>
        </w:tc>
        <w:tc>
          <w:tcPr>
            <w:tcW w:w="1390" w:type="dxa"/>
            <w:tcBorders>
              <w:top w:val="nil"/>
              <w:left w:val="nil"/>
              <w:bottom w:val="single" w:sz="8" w:space="0" w:color="A6A6A6"/>
              <w:right w:val="single" w:sz="8" w:space="0" w:color="A6A6A6"/>
            </w:tcBorders>
            <w:shd w:val="clear" w:color="auto" w:fill="auto"/>
            <w:vAlign w:val="center"/>
          </w:tcPr>
          <w:p w14:paraId="06070862" w14:textId="77777777" w:rsidR="00AA3D42" w:rsidRDefault="00AA3D42" w:rsidP="00AA3D42">
            <w:pPr>
              <w:spacing w:line="360" w:lineRule="auto"/>
              <w:jc w:val="right"/>
              <w:rPr>
                <w:color w:val="000000"/>
                <w:sz w:val="20"/>
                <w:szCs w:val="20"/>
              </w:rPr>
            </w:pPr>
            <w:r>
              <w:rPr>
                <w:color w:val="000000"/>
                <w:sz w:val="20"/>
                <w:szCs w:val="20"/>
              </w:rPr>
              <w:t>23,869,013.00</w:t>
            </w:r>
          </w:p>
        </w:tc>
      </w:tr>
      <w:tr w:rsidR="00AA3D42" w:rsidRPr="00955A4C" w14:paraId="27B4B36B" w14:textId="77777777" w:rsidTr="005E2A35">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14:paraId="6A0AE576" w14:textId="77777777" w:rsidR="00AA3D42" w:rsidRPr="00955A4C" w:rsidRDefault="00AA3D42" w:rsidP="00AA3D42">
            <w:pPr>
              <w:spacing w:line="360" w:lineRule="auto"/>
              <w:jc w:val="both"/>
              <w:rPr>
                <w:sz w:val="20"/>
                <w:szCs w:val="20"/>
                <w:lang w:eastAsia="es-MX"/>
              </w:rPr>
            </w:pPr>
            <w:r w:rsidRPr="00955A4C">
              <w:rPr>
                <w:sz w:val="20"/>
                <w:szCs w:val="20"/>
                <w:lang w:eastAsia="es-MX"/>
              </w:rPr>
              <w:t>Instituto Tlaxcalteca de Elecciones</w:t>
            </w:r>
          </w:p>
        </w:tc>
        <w:tc>
          <w:tcPr>
            <w:tcW w:w="1390" w:type="dxa"/>
            <w:tcBorders>
              <w:top w:val="nil"/>
              <w:left w:val="nil"/>
              <w:bottom w:val="single" w:sz="8" w:space="0" w:color="A6A6A6"/>
              <w:right w:val="single" w:sz="8" w:space="0" w:color="A6A6A6"/>
            </w:tcBorders>
            <w:shd w:val="clear" w:color="auto" w:fill="auto"/>
            <w:vAlign w:val="center"/>
          </w:tcPr>
          <w:p w14:paraId="3F11C4B9" w14:textId="77777777" w:rsidR="00AA3D42" w:rsidRDefault="00AA3D42" w:rsidP="00AA3D42">
            <w:pPr>
              <w:spacing w:line="360" w:lineRule="auto"/>
              <w:jc w:val="right"/>
              <w:rPr>
                <w:color w:val="000000"/>
                <w:sz w:val="20"/>
                <w:szCs w:val="20"/>
              </w:rPr>
            </w:pPr>
            <w:r>
              <w:rPr>
                <w:color w:val="000000"/>
                <w:sz w:val="20"/>
                <w:szCs w:val="20"/>
              </w:rPr>
              <w:t>185,782,415.00</w:t>
            </w:r>
          </w:p>
        </w:tc>
      </w:tr>
      <w:tr w:rsidR="00AA3D42" w:rsidRPr="00955A4C" w14:paraId="170069B6" w14:textId="77777777" w:rsidTr="005E2A35">
        <w:trPr>
          <w:trHeight w:val="521"/>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14:paraId="5A53CAEA" w14:textId="77777777" w:rsidR="00AA3D42" w:rsidRPr="00955A4C" w:rsidRDefault="00AA3D42" w:rsidP="00AA3D42">
            <w:pPr>
              <w:spacing w:line="360" w:lineRule="auto"/>
              <w:jc w:val="both"/>
              <w:rPr>
                <w:sz w:val="20"/>
                <w:szCs w:val="20"/>
                <w:lang w:eastAsia="es-MX"/>
              </w:rPr>
            </w:pPr>
            <w:r w:rsidRPr="00955A4C">
              <w:rPr>
                <w:sz w:val="20"/>
                <w:szCs w:val="20"/>
                <w:lang w:eastAsia="es-MX"/>
              </w:rPr>
              <w:lastRenderedPageBreak/>
              <w:t>Instituto de Acceso a la Información Pública y Protección de Datos Personales para el Estado de Tlaxcala</w:t>
            </w:r>
          </w:p>
        </w:tc>
        <w:tc>
          <w:tcPr>
            <w:tcW w:w="1390" w:type="dxa"/>
            <w:tcBorders>
              <w:top w:val="nil"/>
              <w:left w:val="nil"/>
              <w:bottom w:val="single" w:sz="8" w:space="0" w:color="A6A6A6"/>
              <w:right w:val="single" w:sz="8" w:space="0" w:color="A6A6A6"/>
            </w:tcBorders>
            <w:shd w:val="clear" w:color="auto" w:fill="auto"/>
            <w:vAlign w:val="center"/>
          </w:tcPr>
          <w:p w14:paraId="5B9C51F1" w14:textId="77777777" w:rsidR="00AA3D42" w:rsidRDefault="00AA3D42" w:rsidP="00AA3D42">
            <w:pPr>
              <w:spacing w:line="360" w:lineRule="auto"/>
              <w:jc w:val="right"/>
              <w:rPr>
                <w:color w:val="000000"/>
                <w:sz w:val="20"/>
                <w:szCs w:val="20"/>
              </w:rPr>
            </w:pPr>
            <w:r>
              <w:rPr>
                <w:color w:val="000000"/>
                <w:sz w:val="20"/>
                <w:szCs w:val="20"/>
              </w:rPr>
              <w:t>16,663,284.00</w:t>
            </w:r>
          </w:p>
        </w:tc>
      </w:tr>
      <w:tr w:rsidR="00AA3D42" w:rsidRPr="00955A4C" w14:paraId="70338FF2" w14:textId="77777777" w:rsidTr="005E2A35">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14:paraId="05E438D2" w14:textId="77777777" w:rsidR="00AA3D42" w:rsidRPr="00955A4C" w:rsidRDefault="00AA3D42" w:rsidP="00AA3D42">
            <w:pPr>
              <w:spacing w:line="360" w:lineRule="auto"/>
              <w:jc w:val="both"/>
              <w:rPr>
                <w:sz w:val="20"/>
                <w:szCs w:val="20"/>
                <w:lang w:eastAsia="es-MX"/>
              </w:rPr>
            </w:pPr>
            <w:r w:rsidRPr="00955A4C">
              <w:rPr>
                <w:sz w:val="20"/>
                <w:szCs w:val="20"/>
                <w:lang w:eastAsia="es-MX"/>
              </w:rPr>
              <w:t>Tribunal de Conciliación y Arbitraje</w:t>
            </w:r>
            <w:r>
              <w:rPr>
                <w:sz w:val="20"/>
                <w:szCs w:val="20"/>
                <w:lang w:eastAsia="es-MX"/>
              </w:rPr>
              <w:t xml:space="preserve"> del Estado</w:t>
            </w:r>
          </w:p>
        </w:tc>
        <w:tc>
          <w:tcPr>
            <w:tcW w:w="1390" w:type="dxa"/>
            <w:tcBorders>
              <w:top w:val="nil"/>
              <w:left w:val="nil"/>
              <w:bottom w:val="single" w:sz="8" w:space="0" w:color="A6A6A6"/>
              <w:right w:val="single" w:sz="8" w:space="0" w:color="A6A6A6"/>
            </w:tcBorders>
            <w:shd w:val="clear" w:color="auto" w:fill="auto"/>
            <w:vAlign w:val="center"/>
          </w:tcPr>
          <w:p w14:paraId="1F6491A1" w14:textId="77777777" w:rsidR="00AA3D42" w:rsidRDefault="00AA3D42" w:rsidP="00AA3D42">
            <w:pPr>
              <w:spacing w:line="360" w:lineRule="auto"/>
              <w:jc w:val="right"/>
              <w:rPr>
                <w:color w:val="000000"/>
                <w:sz w:val="20"/>
                <w:szCs w:val="20"/>
              </w:rPr>
            </w:pPr>
            <w:r>
              <w:rPr>
                <w:color w:val="000000"/>
                <w:sz w:val="20"/>
                <w:szCs w:val="20"/>
              </w:rPr>
              <w:t>16,297,339.00</w:t>
            </w:r>
          </w:p>
        </w:tc>
      </w:tr>
      <w:tr w:rsidR="00AA3D42" w:rsidRPr="00955A4C" w14:paraId="372920B8" w14:textId="77777777" w:rsidTr="005E2A35">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hideMark/>
          </w:tcPr>
          <w:p w14:paraId="05263B8B" w14:textId="77777777" w:rsidR="00AA3D42" w:rsidRPr="00955A4C" w:rsidRDefault="00AA3D42" w:rsidP="00AA3D42">
            <w:pPr>
              <w:spacing w:line="360" w:lineRule="auto"/>
              <w:jc w:val="both"/>
              <w:rPr>
                <w:sz w:val="20"/>
                <w:szCs w:val="20"/>
                <w:lang w:eastAsia="es-MX"/>
              </w:rPr>
            </w:pPr>
            <w:r w:rsidRPr="00955A4C">
              <w:rPr>
                <w:sz w:val="20"/>
                <w:szCs w:val="20"/>
                <w:lang w:eastAsia="es-MX"/>
              </w:rPr>
              <w:t>Tribunal Electoral de Tlaxcala</w:t>
            </w:r>
          </w:p>
        </w:tc>
        <w:tc>
          <w:tcPr>
            <w:tcW w:w="1390" w:type="dxa"/>
            <w:tcBorders>
              <w:top w:val="nil"/>
              <w:left w:val="nil"/>
              <w:bottom w:val="single" w:sz="8" w:space="0" w:color="A6A6A6"/>
              <w:right w:val="single" w:sz="8" w:space="0" w:color="A6A6A6"/>
            </w:tcBorders>
            <w:shd w:val="clear" w:color="auto" w:fill="auto"/>
            <w:vAlign w:val="center"/>
          </w:tcPr>
          <w:p w14:paraId="26C6E417" w14:textId="77777777" w:rsidR="00AA3D42" w:rsidRDefault="00AA3D42" w:rsidP="00AA3D42">
            <w:pPr>
              <w:spacing w:line="360" w:lineRule="auto"/>
              <w:jc w:val="right"/>
              <w:rPr>
                <w:color w:val="000000"/>
                <w:sz w:val="20"/>
                <w:szCs w:val="20"/>
              </w:rPr>
            </w:pPr>
            <w:r>
              <w:rPr>
                <w:color w:val="000000"/>
                <w:sz w:val="20"/>
                <w:szCs w:val="20"/>
              </w:rPr>
              <w:t>32,623,053.00</w:t>
            </w:r>
          </w:p>
        </w:tc>
      </w:tr>
      <w:tr w:rsidR="00AA3D42" w:rsidRPr="00955A4C" w14:paraId="036E1E00" w14:textId="77777777" w:rsidTr="005E2A35">
        <w:trPr>
          <w:trHeight w:val="315"/>
          <w:jc w:val="center"/>
        </w:trPr>
        <w:tc>
          <w:tcPr>
            <w:tcW w:w="4625" w:type="dxa"/>
            <w:tcBorders>
              <w:top w:val="nil"/>
              <w:left w:val="single" w:sz="8" w:space="0" w:color="A6A6A6"/>
              <w:bottom w:val="single" w:sz="8" w:space="0" w:color="A6A6A6"/>
              <w:right w:val="single" w:sz="8" w:space="0" w:color="A6A6A6"/>
            </w:tcBorders>
            <w:shd w:val="clear" w:color="auto" w:fill="auto"/>
            <w:vAlign w:val="center"/>
          </w:tcPr>
          <w:p w14:paraId="3FD90EEE" w14:textId="77777777" w:rsidR="00AA3D42" w:rsidRPr="00955A4C" w:rsidRDefault="00AA3D42" w:rsidP="00AA3D42">
            <w:pPr>
              <w:spacing w:line="360" w:lineRule="auto"/>
              <w:jc w:val="both"/>
              <w:rPr>
                <w:sz w:val="20"/>
                <w:szCs w:val="20"/>
                <w:lang w:eastAsia="es-MX"/>
              </w:rPr>
            </w:pPr>
            <w:r w:rsidRPr="00F02440">
              <w:rPr>
                <w:sz w:val="20"/>
                <w:szCs w:val="20"/>
                <w:lang w:eastAsia="es-MX"/>
              </w:rPr>
              <w:t>Secretaria Ejecutiva del Sistema Anticorrupción del Estado de Tlaxcala</w:t>
            </w:r>
          </w:p>
        </w:tc>
        <w:tc>
          <w:tcPr>
            <w:tcW w:w="1390" w:type="dxa"/>
            <w:tcBorders>
              <w:top w:val="nil"/>
              <w:left w:val="nil"/>
              <w:bottom w:val="single" w:sz="8" w:space="0" w:color="A6A6A6"/>
              <w:right w:val="single" w:sz="8" w:space="0" w:color="A6A6A6"/>
            </w:tcBorders>
            <w:shd w:val="clear" w:color="auto" w:fill="auto"/>
            <w:vAlign w:val="center"/>
          </w:tcPr>
          <w:p w14:paraId="051EA35F" w14:textId="77777777" w:rsidR="00AA3D42" w:rsidRDefault="00AA3D42" w:rsidP="00AA3D42">
            <w:pPr>
              <w:spacing w:line="360" w:lineRule="auto"/>
              <w:jc w:val="right"/>
              <w:rPr>
                <w:color w:val="000000"/>
                <w:sz w:val="20"/>
                <w:szCs w:val="20"/>
              </w:rPr>
            </w:pPr>
            <w:r>
              <w:rPr>
                <w:color w:val="000000"/>
                <w:sz w:val="20"/>
                <w:szCs w:val="20"/>
              </w:rPr>
              <w:t>11,724,992.00</w:t>
            </w:r>
          </w:p>
        </w:tc>
      </w:tr>
      <w:tr w:rsidR="00AA3D42" w:rsidRPr="00955A4C" w14:paraId="688B0E35" w14:textId="77777777" w:rsidTr="005E2A35">
        <w:trPr>
          <w:trHeight w:val="330"/>
          <w:jc w:val="center"/>
        </w:trPr>
        <w:tc>
          <w:tcPr>
            <w:tcW w:w="4625" w:type="dxa"/>
            <w:tcBorders>
              <w:top w:val="nil"/>
              <w:left w:val="single" w:sz="8" w:space="0" w:color="A6A6A6"/>
              <w:bottom w:val="single" w:sz="8" w:space="0" w:color="A6A6A6"/>
              <w:right w:val="single" w:sz="8" w:space="0" w:color="A6A6A6"/>
            </w:tcBorders>
            <w:shd w:val="clear" w:color="000000" w:fill="CCCCCC"/>
            <w:vAlign w:val="center"/>
            <w:hideMark/>
          </w:tcPr>
          <w:p w14:paraId="3281991A"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TOTAL</w:t>
            </w:r>
          </w:p>
        </w:tc>
        <w:tc>
          <w:tcPr>
            <w:tcW w:w="1390" w:type="dxa"/>
            <w:tcBorders>
              <w:top w:val="nil"/>
              <w:left w:val="nil"/>
              <w:bottom w:val="single" w:sz="8" w:space="0" w:color="A6A6A6"/>
              <w:right w:val="single" w:sz="8" w:space="0" w:color="A6A6A6"/>
            </w:tcBorders>
            <w:shd w:val="clear" w:color="000000" w:fill="CCCCCC"/>
            <w:vAlign w:val="center"/>
          </w:tcPr>
          <w:p w14:paraId="30DB4FA4" w14:textId="77777777" w:rsidR="00AA3D42" w:rsidRPr="005C7E22" w:rsidRDefault="00AA3D42" w:rsidP="00AA3D42">
            <w:pPr>
              <w:spacing w:line="360" w:lineRule="auto"/>
              <w:jc w:val="right"/>
              <w:rPr>
                <w:b/>
                <w:bCs/>
                <w:color w:val="000000"/>
                <w:sz w:val="20"/>
                <w:szCs w:val="20"/>
                <w:lang w:val="es-MX" w:eastAsia="es-MX"/>
              </w:rPr>
            </w:pPr>
            <w:r>
              <w:rPr>
                <w:b/>
                <w:bCs/>
                <w:color w:val="000000"/>
                <w:sz w:val="20"/>
                <w:szCs w:val="20"/>
              </w:rPr>
              <w:t>402,346,196.00</w:t>
            </w:r>
          </w:p>
        </w:tc>
      </w:tr>
    </w:tbl>
    <w:p w14:paraId="39ACF9F8" w14:textId="77777777" w:rsidR="00AA3D42" w:rsidRDefault="00AA3D42" w:rsidP="00AA3D42">
      <w:pPr>
        <w:spacing w:after="200" w:line="360" w:lineRule="auto"/>
        <w:jc w:val="center"/>
        <w:rPr>
          <w:b/>
          <w:sz w:val="20"/>
          <w:szCs w:val="20"/>
        </w:rPr>
      </w:pPr>
    </w:p>
    <w:p w14:paraId="3BFE7C74" w14:textId="77777777" w:rsidR="00AA3D42" w:rsidRPr="0088316C" w:rsidRDefault="00AA3D42" w:rsidP="00AA3D42">
      <w:pPr>
        <w:spacing w:after="200" w:line="360" w:lineRule="auto"/>
        <w:jc w:val="center"/>
        <w:rPr>
          <w:b/>
          <w:sz w:val="20"/>
          <w:szCs w:val="20"/>
        </w:rPr>
      </w:pPr>
      <w:r>
        <w:rPr>
          <w:b/>
          <w:sz w:val="20"/>
          <w:szCs w:val="20"/>
        </w:rPr>
        <w:t>MUNICIPIOS</w:t>
      </w:r>
    </w:p>
    <w:p w14:paraId="2CF9546B" w14:textId="77777777" w:rsidR="00AA3D42" w:rsidRDefault="00AA3D42" w:rsidP="00AA3D42">
      <w:pPr>
        <w:spacing w:line="360" w:lineRule="auto"/>
        <w:jc w:val="both"/>
        <w:rPr>
          <w:sz w:val="20"/>
          <w:szCs w:val="20"/>
        </w:rPr>
      </w:pPr>
      <w:r>
        <w:rPr>
          <w:sz w:val="20"/>
          <w:szCs w:val="20"/>
        </w:rPr>
        <w:t>Para</w:t>
      </w:r>
      <w:r w:rsidRPr="0088316C">
        <w:rPr>
          <w:sz w:val="20"/>
          <w:szCs w:val="20"/>
        </w:rPr>
        <w:t xml:space="preserve"> Municipios </w:t>
      </w:r>
      <w:r>
        <w:rPr>
          <w:sz w:val="20"/>
          <w:szCs w:val="20"/>
        </w:rPr>
        <w:t>se prevé</w:t>
      </w:r>
      <w:r w:rsidRPr="0088316C">
        <w:rPr>
          <w:sz w:val="20"/>
          <w:szCs w:val="20"/>
        </w:rPr>
        <w:t xml:space="preserve"> un presupuesto global de </w:t>
      </w:r>
      <w:r>
        <w:rPr>
          <w:sz w:val="20"/>
          <w:szCs w:val="20"/>
        </w:rPr>
        <w:t>$</w:t>
      </w:r>
      <w:r w:rsidRPr="009F5AFF">
        <w:rPr>
          <w:bCs/>
          <w:sz w:val="20"/>
          <w:szCs w:val="20"/>
          <w:lang w:eastAsia="es-MX"/>
        </w:rPr>
        <w:t>3,7</w:t>
      </w:r>
      <w:r>
        <w:rPr>
          <w:bCs/>
          <w:sz w:val="20"/>
          <w:szCs w:val="20"/>
          <w:lang w:eastAsia="es-MX"/>
        </w:rPr>
        <w:t>83,877,802.00</w:t>
      </w:r>
      <w:r w:rsidRPr="0088316C">
        <w:rPr>
          <w:sz w:val="20"/>
          <w:szCs w:val="20"/>
        </w:rPr>
        <w:t xml:space="preserve">, integrados por </w:t>
      </w:r>
      <w:r>
        <w:rPr>
          <w:sz w:val="20"/>
          <w:szCs w:val="20"/>
        </w:rPr>
        <w:t>$</w:t>
      </w:r>
      <w:r>
        <w:rPr>
          <w:sz w:val="20"/>
          <w:szCs w:val="20"/>
          <w:lang w:eastAsia="es-MX"/>
        </w:rPr>
        <w:t xml:space="preserve">2,036,389,605.00 </w:t>
      </w:r>
      <w:r>
        <w:rPr>
          <w:sz w:val="20"/>
          <w:szCs w:val="20"/>
        </w:rPr>
        <w:t>de participaciones, $54,481,281.00</w:t>
      </w:r>
      <w:r>
        <w:rPr>
          <w:sz w:val="20"/>
          <w:szCs w:val="20"/>
          <w:lang w:eastAsia="es-MX"/>
        </w:rPr>
        <w:t xml:space="preserve"> </w:t>
      </w:r>
      <w:r w:rsidRPr="0088316C">
        <w:rPr>
          <w:sz w:val="20"/>
          <w:szCs w:val="20"/>
        </w:rPr>
        <w:t xml:space="preserve">de </w:t>
      </w:r>
      <w:r>
        <w:rPr>
          <w:sz w:val="20"/>
          <w:szCs w:val="20"/>
        </w:rPr>
        <w:t>Recursos Fiscales,  y</w:t>
      </w:r>
      <w:r w:rsidRPr="0088316C">
        <w:rPr>
          <w:sz w:val="20"/>
          <w:szCs w:val="20"/>
        </w:rPr>
        <w:t xml:space="preserve"> </w:t>
      </w:r>
      <w:r>
        <w:rPr>
          <w:sz w:val="20"/>
          <w:szCs w:val="20"/>
        </w:rPr>
        <w:t>$</w:t>
      </w:r>
      <w:r>
        <w:rPr>
          <w:sz w:val="20"/>
          <w:szCs w:val="20"/>
          <w:lang w:eastAsia="es-MX"/>
        </w:rPr>
        <w:t>1,693,006,916.00</w:t>
      </w:r>
      <w:r w:rsidRPr="0088316C">
        <w:rPr>
          <w:sz w:val="20"/>
          <w:szCs w:val="20"/>
        </w:rPr>
        <w:t xml:space="preserve"> de </w:t>
      </w:r>
      <w:r>
        <w:rPr>
          <w:sz w:val="20"/>
          <w:szCs w:val="20"/>
        </w:rPr>
        <w:t>A</w:t>
      </w:r>
      <w:r w:rsidRPr="0088316C">
        <w:rPr>
          <w:sz w:val="20"/>
          <w:szCs w:val="20"/>
        </w:rPr>
        <w:t xml:space="preserve">portaciones </w:t>
      </w:r>
      <w:r>
        <w:rPr>
          <w:sz w:val="20"/>
          <w:szCs w:val="20"/>
        </w:rPr>
        <w:t>F</w:t>
      </w:r>
      <w:r w:rsidRPr="0088316C">
        <w:rPr>
          <w:sz w:val="20"/>
          <w:szCs w:val="20"/>
        </w:rPr>
        <w:t>ederales.</w:t>
      </w:r>
    </w:p>
    <w:p w14:paraId="74286462" w14:textId="77777777" w:rsidR="00AA3D42" w:rsidRDefault="00AA3D42" w:rsidP="00AA3D42">
      <w:pPr>
        <w:spacing w:line="360" w:lineRule="auto"/>
        <w:jc w:val="both"/>
        <w:rPr>
          <w:sz w:val="20"/>
          <w:szCs w:val="20"/>
        </w:rPr>
      </w:pPr>
    </w:p>
    <w:p w14:paraId="4CA009CC" w14:textId="77777777" w:rsidR="00AA3D42" w:rsidRDefault="00AA3D42" w:rsidP="00AA3D42">
      <w:pPr>
        <w:spacing w:after="200" w:line="360" w:lineRule="auto"/>
        <w:jc w:val="both"/>
        <w:rPr>
          <w:rFonts w:eastAsia="Calibri"/>
          <w:b/>
          <w:sz w:val="20"/>
          <w:szCs w:val="20"/>
        </w:rPr>
      </w:pPr>
      <w:r w:rsidRPr="0088316C">
        <w:rPr>
          <w:sz w:val="20"/>
          <w:szCs w:val="20"/>
        </w:rPr>
        <w:t>El incremento de participaciones estará sujeto al cumplimiento del pronóstico de recaudación de la Secretaría de Hacienda y Crédito Público.</w:t>
      </w:r>
    </w:p>
    <w:p w14:paraId="32A4BD3D" w14:textId="77777777" w:rsidR="00AA3D42" w:rsidRDefault="00AA3D42" w:rsidP="00AA3D42">
      <w:pPr>
        <w:spacing w:after="200" w:line="360" w:lineRule="auto"/>
        <w:jc w:val="both"/>
        <w:rPr>
          <w:rFonts w:eastAsia="Calibri"/>
          <w:b/>
          <w:sz w:val="20"/>
          <w:szCs w:val="20"/>
        </w:rPr>
      </w:pPr>
    </w:p>
    <w:p w14:paraId="74FC96BD" w14:textId="77777777" w:rsidR="00AA3D42" w:rsidRDefault="00AA3D42" w:rsidP="00AA3D42">
      <w:pPr>
        <w:spacing w:after="200" w:line="360" w:lineRule="auto"/>
        <w:contextualSpacing/>
        <w:jc w:val="center"/>
        <w:rPr>
          <w:rFonts w:eastAsia="Calibri"/>
          <w:b/>
          <w:sz w:val="20"/>
          <w:szCs w:val="20"/>
        </w:rPr>
      </w:pPr>
      <w:r w:rsidRPr="00955A4C">
        <w:rPr>
          <w:rFonts w:eastAsia="Calibri"/>
          <w:b/>
          <w:sz w:val="20"/>
          <w:szCs w:val="20"/>
        </w:rPr>
        <w:t>RECURSOS FEDERALES A MUNICIPIOS</w:t>
      </w:r>
    </w:p>
    <w:p w14:paraId="192FB8BD" w14:textId="77777777" w:rsidR="00AA3D42" w:rsidRPr="00955A4C" w:rsidRDefault="00AA3D42" w:rsidP="00AA3D42">
      <w:pPr>
        <w:spacing w:after="200" w:line="360" w:lineRule="auto"/>
        <w:contextualSpacing/>
        <w:jc w:val="center"/>
        <w:rPr>
          <w:rFonts w:eastAsia="Calibri"/>
          <w:b/>
          <w:sz w:val="20"/>
          <w:szCs w:val="20"/>
        </w:rPr>
      </w:pPr>
    </w:p>
    <w:tbl>
      <w:tblPr>
        <w:tblW w:w="6369" w:type="dxa"/>
        <w:jc w:val="center"/>
        <w:tblLayout w:type="fixed"/>
        <w:tblCellMar>
          <w:left w:w="70" w:type="dxa"/>
          <w:right w:w="70" w:type="dxa"/>
        </w:tblCellMar>
        <w:tblLook w:val="04A0" w:firstRow="1" w:lastRow="0" w:firstColumn="1" w:lastColumn="0" w:noHBand="0" w:noVBand="1"/>
      </w:tblPr>
      <w:tblGrid>
        <w:gridCol w:w="1691"/>
        <w:gridCol w:w="1560"/>
        <w:gridCol w:w="1559"/>
        <w:gridCol w:w="1559"/>
      </w:tblGrid>
      <w:tr w:rsidR="00AA3D42" w:rsidRPr="00955A4C" w14:paraId="55394D3F" w14:textId="77777777" w:rsidTr="005E2A35">
        <w:trPr>
          <w:trHeight w:val="330"/>
          <w:jc w:val="center"/>
        </w:trPr>
        <w:tc>
          <w:tcPr>
            <w:tcW w:w="1691" w:type="dxa"/>
            <w:tcBorders>
              <w:top w:val="single" w:sz="8" w:space="0" w:color="A6A6A6"/>
              <w:left w:val="single" w:sz="8" w:space="0" w:color="A6A6A6"/>
              <w:bottom w:val="nil"/>
              <w:right w:val="single" w:sz="8" w:space="0" w:color="A6A6A6"/>
            </w:tcBorders>
            <w:shd w:val="clear" w:color="000000" w:fill="CCCCCC"/>
            <w:vAlign w:val="center"/>
            <w:hideMark/>
          </w:tcPr>
          <w:p w14:paraId="56CEE9AC"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MUNICIPIOS</w:t>
            </w:r>
          </w:p>
        </w:tc>
        <w:tc>
          <w:tcPr>
            <w:tcW w:w="1560" w:type="dxa"/>
            <w:tcBorders>
              <w:top w:val="single" w:sz="8" w:space="0" w:color="A6A6A6"/>
              <w:left w:val="nil"/>
              <w:bottom w:val="nil"/>
              <w:right w:val="single" w:sz="8" w:space="0" w:color="A6A6A6"/>
            </w:tcBorders>
            <w:shd w:val="clear" w:color="000000" w:fill="CCCCCC"/>
            <w:vAlign w:val="center"/>
            <w:hideMark/>
          </w:tcPr>
          <w:p w14:paraId="5AE76278"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201</w:t>
            </w:r>
            <w:r>
              <w:rPr>
                <w:b/>
                <w:bCs/>
                <w:sz w:val="20"/>
                <w:szCs w:val="20"/>
                <w:lang w:eastAsia="es-MX"/>
              </w:rPr>
              <w:t>9</w:t>
            </w:r>
          </w:p>
        </w:tc>
        <w:tc>
          <w:tcPr>
            <w:tcW w:w="1559" w:type="dxa"/>
            <w:tcBorders>
              <w:top w:val="single" w:sz="8" w:space="0" w:color="A6A6A6"/>
              <w:left w:val="nil"/>
              <w:bottom w:val="nil"/>
              <w:right w:val="single" w:sz="8" w:space="0" w:color="A6A6A6"/>
            </w:tcBorders>
            <w:shd w:val="clear" w:color="000000" w:fill="CCCCCC"/>
            <w:vAlign w:val="center"/>
            <w:hideMark/>
          </w:tcPr>
          <w:p w14:paraId="79B98083"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20</w:t>
            </w:r>
            <w:r>
              <w:rPr>
                <w:b/>
                <w:bCs/>
                <w:sz w:val="20"/>
                <w:szCs w:val="20"/>
                <w:lang w:eastAsia="es-MX"/>
              </w:rPr>
              <w:t>20</w:t>
            </w:r>
          </w:p>
        </w:tc>
        <w:tc>
          <w:tcPr>
            <w:tcW w:w="1559" w:type="dxa"/>
            <w:tcBorders>
              <w:top w:val="single" w:sz="8" w:space="0" w:color="A6A6A6"/>
              <w:left w:val="nil"/>
              <w:bottom w:val="nil"/>
              <w:right w:val="single" w:sz="8" w:space="0" w:color="A6A6A6"/>
            </w:tcBorders>
            <w:shd w:val="clear" w:color="000000" w:fill="CCCCCC"/>
            <w:vAlign w:val="center"/>
            <w:hideMark/>
          </w:tcPr>
          <w:p w14:paraId="5C842982"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20</w:t>
            </w:r>
            <w:r>
              <w:rPr>
                <w:b/>
                <w:bCs/>
                <w:sz w:val="20"/>
                <w:szCs w:val="20"/>
                <w:lang w:eastAsia="es-MX"/>
              </w:rPr>
              <w:t>21</w:t>
            </w:r>
          </w:p>
        </w:tc>
      </w:tr>
      <w:tr w:rsidR="00AA3D42" w:rsidRPr="00955A4C" w14:paraId="78CC1ACA" w14:textId="77777777" w:rsidTr="005E2A35">
        <w:trPr>
          <w:trHeight w:val="315"/>
          <w:jc w:val="center"/>
        </w:trPr>
        <w:tc>
          <w:tcPr>
            <w:tcW w:w="1691"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2554EBE" w14:textId="77777777" w:rsidR="00AA3D42" w:rsidRPr="00955A4C" w:rsidRDefault="00AA3D42" w:rsidP="00AA3D42">
            <w:pPr>
              <w:spacing w:line="360" w:lineRule="auto"/>
              <w:jc w:val="both"/>
              <w:rPr>
                <w:sz w:val="20"/>
                <w:szCs w:val="20"/>
                <w:lang w:eastAsia="es-MX"/>
              </w:rPr>
            </w:pPr>
            <w:r w:rsidRPr="00955A4C">
              <w:rPr>
                <w:sz w:val="20"/>
                <w:szCs w:val="20"/>
                <w:lang w:eastAsia="es-MX"/>
              </w:rPr>
              <w:t>Ingresos</w:t>
            </w:r>
            <w:r>
              <w:rPr>
                <w:sz w:val="20"/>
                <w:szCs w:val="20"/>
                <w:lang w:eastAsia="es-MX"/>
              </w:rPr>
              <w:t xml:space="preserve"> Derivados de Fuentes Locales</w:t>
            </w:r>
          </w:p>
        </w:tc>
        <w:tc>
          <w:tcPr>
            <w:tcW w:w="1560" w:type="dxa"/>
            <w:tcBorders>
              <w:top w:val="single" w:sz="8" w:space="0" w:color="A6A6A6"/>
              <w:left w:val="nil"/>
              <w:bottom w:val="single" w:sz="8" w:space="0" w:color="A6A6A6"/>
              <w:right w:val="single" w:sz="8" w:space="0" w:color="A6A6A6"/>
            </w:tcBorders>
            <w:shd w:val="clear" w:color="auto" w:fill="auto"/>
            <w:vAlign w:val="center"/>
          </w:tcPr>
          <w:p w14:paraId="6DBA953B" w14:textId="77777777" w:rsidR="00AA3D42" w:rsidRPr="00955A4C" w:rsidRDefault="00AA3D42" w:rsidP="00AA3D42">
            <w:pPr>
              <w:spacing w:line="360" w:lineRule="auto"/>
              <w:jc w:val="right"/>
              <w:rPr>
                <w:sz w:val="20"/>
                <w:szCs w:val="20"/>
                <w:lang w:eastAsia="es-MX"/>
              </w:rPr>
            </w:pPr>
            <w:r>
              <w:rPr>
                <w:sz w:val="20"/>
                <w:szCs w:val="20"/>
                <w:lang w:eastAsia="es-MX"/>
              </w:rPr>
              <w:t>37,437,735.00</w:t>
            </w:r>
          </w:p>
        </w:tc>
        <w:tc>
          <w:tcPr>
            <w:tcW w:w="1559" w:type="dxa"/>
            <w:tcBorders>
              <w:top w:val="single" w:sz="8" w:space="0" w:color="A6A6A6"/>
              <w:left w:val="nil"/>
              <w:bottom w:val="single" w:sz="8" w:space="0" w:color="A6A6A6"/>
              <w:right w:val="single" w:sz="8" w:space="0" w:color="A6A6A6"/>
            </w:tcBorders>
            <w:shd w:val="clear" w:color="auto" w:fill="auto"/>
            <w:vAlign w:val="center"/>
          </w:tcPr>
          <w:p w14:paraId="29FBD9D8" w14:textId="77777777" w:rsidR="00AA3D42" w:rsidRPr="00955A4C" w:rsidRDefault="00AA3D42" w:rsidP="00AA3D42">
            <w:pPr>
              <w:spacing w:line="360" w:lineRule="auto"/>
              <w:jc w:val="right"/>
              <w:rPr>
                <w:sz w:val="20"/>
                <w:szCs w:val="20"/>
                <w:lang w:eastAsia="es-MX"/>
              </w:rPr>
            </w:pPr>
            <w:r>
              <w:rPr>
                <w:sz w:val="20"/>
                <w:szCs w:val="20"/>
                <w:lang w:eastAsia="es-MX"/>
              </w:rPr>
              <w:t>55,335,822.50</w:t>
            </w:r>
          </w:p>
        </w:tc>
        <w:tc>
          <w:tcPr>
            <w:tcW w:w="1559" w:type="dxa"/>
            <w:tcBorders>
              <w:top w:val="single" w:sz="8" w:space="0" w:color="A6A6A6"/>
              <w:left w:val="nil"/>
              <w:bottom w:val="single" w:sz="8" w:space="0" w:color="A6A6A6"/>
              <w:right w:val="single" w:sz="8" w:space="0" w:color="A6A6A6"/>
            </w:tcBorders>
            <w:shd w:val="clear" w:color="auto" w:fill="auto"/>
            <w:vAlign w:val="center"/>
          </w:tcPr>
          <w:p w14:paraId="3DE0EC0A" w14:textId="77777777" w:rsidR="00AA3D42" w:rsidRPr="00955A4C" w:rsidRDefault="00AA3D42" w:rsidP="00AA3D42">
            <w:pPr>
              <w:spacing w:line="360" w:lineRule="auto"/>
              <w:jc w:val="right"/>
              <w:rPr>
                <w:sz w:val="20"/>
                <w:szCs w:val="20"/>
                <w:lang w:eastAsia="es-MX"/>
              </w:rPr>
            </w:pPr>
            <w:r>
              <w:rPr>
                <w:sz w:val="20"/>
                <w:szCs w:val="20"/>
                <w:lang w:eastAsia="es-MX"/>
              </w:rPr>
              <w:t>54,481,281.00</w:t>
            </w:r>
          </w:p>
        </w:tc>
      </w:tr>
      <w:tr w:rsidR="00AA3D42" w:rsidRPr="00955A4C" w14:paraId="7AF790A8" w14:textId="77777777" w:rsidTr="005E2A35">
        <w:trPr>
          <w:trHeight w:val="3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14:paraId="492CAB72" w14:textId="77777777" w:rsidR="00AA3D42" w:rsidRPr="00955A4C" w:rsidRDefault="00AA3D42" w:rsidP="00AA3D42">
            <w:pPr>
              <w:spacing w:line="360" w:lineRule="auto"/>
              <w:jc w:val="both"/>
              <w:rPr>
                <w:sz w:val="20"/>
                <w:szCs w:val="20"/>
                <w:lang w:eastAsia="es-MX"/>
              </w:rPr>
            </w:pPr>
            <w:r w:rsidRPr="00955A4C">
              <w:rPr>
                <w:sz w:val="20"/>
                <w:szCs w:val="20"/>
                <w:lang w:eastAsia="es-MX"/>
              </w:rPr>
              <w:t xml:space="preserve">Participaciones e Incentivos </w:t>
            </w:r>
          </w:p>
        </w:tc>
        <w:tc>
          <w:tcPr>
            <w:tcW w:w="1560" w:type="dxa"/>
            <w:tcBorders>
              <w:top w:val="nil"/>
              <w:left w:val="nil"/>
              <w:bottom w:val="single" w:sz="8" w:space="0" w:color="A6A6A6"/>
              <w:right w:val="single" w:sz="8" w:space="0" w:color="A6A6A6"/>
            </w:tcBorders>
            <w:shd w:val="clear" w:color="auto" w:fill="auto"/>
            <w:vAlign w:val="center"/>
          </w:tcPr>
          <w:p w14:paraId="51BA1C30" w14:textId="77777777" w:rsidR="00AA3D42" w:rsidRPr="00955A4C" w:rsidRDefault="00AA3D42" w:rsidP="00AA3D42">
            <w:pPr>
              <w:spacing w:line="360" w:lineRule="auto"/>
              <w:jc w:val="right"/>
              <w:rPr>
                <w:sz w:val="20"/>
                <w:szCs w:val="20"/>
                <w:lang w:eastAsia="es-MX"/>
              </w:rPr>
            </w:pPr>
            <w:r>
              <w:rPr>
                <w:sz w:val="20"/>
                <w:szCs w:val="20"/>
                <w:lang w:eastAsia="es-MX"/>
              </w:rPr>
              <w:t>1,721,294,011.00</w:t>
            </w:r>
          </w:p>
        </w:tc>
        <w:tc>
          <w:tcPr>
            <w:tcW w:w="1559" w:type="dxa"/>
            <w:tcBorders>
              <w:top w:val="nil"/>
              <w:left w:val="nil"/>
              <w:bottom w:val="single" w:sz="8" w:space="0" w:color="A6A6A6"/>
              <w:right w:val="single" w:sz="8" w:space="0" w:color="A6A6A6"/>
            </w:tcBorders>
            <w:shd w:val="clear" w:color="auto" w:fill="auto"/>
            <w:vAlign w:val="center"/>
          </w:tcPr>
          <w:p w14:paraId="6BD84D3A" w14:textId="77777777" w:rsidR="00AA3D42" w:rsidRPr="00955A4C" w:rsidRDefault="00AA3D42" w:rsidP="00AA3D42">
            <w:pPr>
              <w:spacing w:line="360" w:lineRule="auto"/>
              <w:jc w:val="right"/>
              <w:rPr>
                <w:sz w:val="20"/>
                <w:szCs w:val="20"/>
                <w:lang w:eastAsia="es-MX"/>
              </w:rPr>
            </w:pPr>
            <w:r>
              <w:rPr>
                <w:sz w:val="20"/>
                <w:szCs w:val="20"/>
                <w:lang w:eastAsia="es-MX"/>
              </w:rPr>
              <w:t>2,059,654,544.40</w:t>
            </w:r>
          </w:p>
        </w:tc>
        <w:tc>
          <w:tcPr>
            <w:tcW w:w="1559" w:type="dxa"/>
            <w:tcBorders>
              <w:top w:val="nil"/>
              <w:left w:val="nil"/>
              <w:bottom w:val="single" w:sz="8" w:space="0" w:color="A6A6A6"/>
              <w:right w:val="single" w:sz="8" w:space="0" w:color="A6A6A6"/>
            </w:tcBorders>
            <w:shd w:val="clear" w:color="auto" w:fill="auto"/>
            <w:vAlign w:val="center"/>
          </w:tcPr>
          <w:p w14:paraId="6417AA92" w14:textId="77777777" w:rsidR="00AA3D42" w:rsidRPr="00955A4C" w:rsidRDefault="00AA3D42" w:rsidP="00AA3D42">
            <w:pPr>
              <w:spacing w:line="360" w:lineRule="auto"/>
              <w:jc w:val="right"/>
              <w:rPr>
                <w:sz w:val="20"/>
                <w:szCs w:val="20"/>
                <w:lang w:eastAsia="es-MX"/>
              </w:rPr>
            </w:pPr>
            <w:r>
              <w:rPr>
                <w:sz w:val="20"/>
                <w:szCs w:val="20"/>
                <w:lang w:eastAsia="es-MX"/>
              </w:rPr>
              <w:t>2,036,389,605.00</w:t>
            </w:r>
          </w:p>
        </w:tc>
      </w:tr>
      <w:tr w:rsidR="00AA3D42" w:rsidRPr="00955A4C" w14:paraId="262B6D17" w14:textId="77777777" w:rsidTr="005E2A35">
        <w:trPr>
          <w:trHeight w:val="615"/>
          <w:jc w:val="center"/>
        </w:trPr>
        <w:tc>
          <w:tcPr>
            <w:tcW w:w="1691" w:type="dxa"/>
            <w:tcBorders>
              <w:top w:val="nil"/>
              <w:left w:val="single" w:sz="8" w:space="0" w:color="A6A6A6"/>
              <w:bottom w:val="single" w:sz="8" w:space="0" w:color="A6A6A6"/>
              <w:right w:val="single" w:sz="8" w:space="0" w:color="A6A6A6"/>
            </w:tcBorders>
            <w:shd w:val="clear" w:color="auto" w:fill="auto"/>
            <w:vAlign w:val="center"/>
            <w:hideMark/>
          </w:tcPr>
          <w:p w14:paraId="06757346" w14:textId="77777777" w:rsidR="00AA3D42" w:rsidRPr="00955A4C" w:rsidRDefault="00AA3D42" w:rsidP="00AA3D42">
            <w:pPr>
              <w:spacing w:line="360" w:lineRule="auto"/>
              <w:jc w:val="both"/>
              <w:rPr>
                <w:sz w:val="20"/>
                <w:szCs w:val="20"/>
                <w:lang w:eastAsia="es-MX"/>
              </w:rPr>
            </w:pPr>
            <w:r w:rsidRPr="00955A4C">
              <w:rPr>
                <w:sz w:val="20"/>
                <w:szCs w:val="20"/>
                <w:lang w:eastAsia="es-MX"/>
              </w:rPr>
              <w:t>Aportaciones Federales (Ramo 33)</w:t>
            </w:r>
          </w:p>
        </w:tc>
        <w:tc>
          <w:tcPr>
            <w:tcW w:w="1560" w:type="dxa"/>
            <w:tcBorders>
              <w:top w:val="nil"/>
              <w:left w:val="nil"/>
              <w:bottom w:val="single" w:sz="8" w:space="0" w:color="A6A6A6"/>
              <w:right w:val="single" w:sz="8" w:space="0" w:color="A6A6A6"/>
            </w:tcBorders>
            <w:shd w:val="clear" w:color="auto" w:fill="auto"/>
            <w:vAlign w:val="center"/>
          </w:tcPr>
          <w:p w14:paraId="62D3E9D1" w14:textId="77777777" w:rsidR="00AA3D42" w:rsidRPr="00955A4C" w:rsidRDefault="00AA3D42" w:rsidP="00AA3D42">
            <w:pPr>
              <w:spacing w:line="360" w:lineRule="auto"/>
              <w:jc w:val="right"/>
              <w:rPr>
                <w:sz w:val="20"/>
                <w:szCs w:val="20"/>
                <w:lang w:eastAsia="es-MX"/>
              </w:rPr>
            </w:pPr>
            <w:r>
              <w:rPr>
                <w:sz w:val="20"/>
                <w:szCs w:val="20"/>
                <w:lang w:eastAsia="es-MX"/>
              </w:rPr>
              <w:t>1,580,264,016.00</w:t>
            </w:r>
          </w:p>
        </w:tc>
        <w:tc>
          <w:tcPr>
            <w:tcW w:w="1559" w:type="dxa"/>
            <w:tcBorders>
              <w:top w:val="nil"/>
              <w:left w:val="nil"/>
              <w:bottom w:val="single" w:sz="8" w:space="0" w:color="A6A6A6"/>
              <w:right w:val="single" w:sz="8" w:space="0" w:color="A6A6A6"/>
            </w:tcBorders>
            <w:shd w:val="clear" w:color="auto" w:fill="auto"/>
            <w:vAlign w:val="center"/>
          </w:tcPr>
          <w:p w14:paraId="76BDE943" w14:textId="77777777" w:rsidR="00AA3D42" w:rsidRPr="00955A4C" w:rsidRDefault="00AA3D42" w:rsidP="00AA3D42">
            <w:pPr>
              <w:spacing w:line="360" w:lineRule="auto"/>
              <w:jc w:val="right"/>
              <w:rPr>
                <w:sz w:val="20"/>
                <w:szCs w:val="20"/>
                <w:lang w:eastAsia="es-MX"/>
              </w:rPr>
            </w:pPr>
            <w:r>
              <w:rPr>
                <w:sz w:val="20"/>
                <w:szCs w:val="20"/>
                <w:lang w:eastAsia="es-MX"/>
              </w:rPr>
              <w:t>1,632,661,554.00</w:t>
            </w:r>
          </w:p>
        </w:tc>
        <w:tc>
          <w:tcPr>
            <w:tcW w:w="1559" w:type="dxa"/>
            <w:tcBorders>
              <w:top w:val="nil"/>
              <w:left w:val="nil"/>
              <w:bottom w:val="single" w:sz="8" w:space="0" w:color="A6A6A6"/>
              <w:right w:val="single" w:sz="8" w:space="0" w:color="A6A6A6"/>
            </w:tcBorders>
            <w:shd w:val="clear" w:color="auto" w:fill="auto"/>
            <w:vAlign w:val="center"/>
          </w:tcPr>
          <w:p w14:paraId="6EAAB695" w14:textId="77777777" w:rsidR="00AA3D42" w:rsidRPr="00955A4C" w:rsidRDefault="00AA3D42" w:rsidP="00AA3D42">
            <w:pPr>
              <w:spacing w:line="360" w:lineRule="auto"/>
              <w:jc w:val="right"/>
              <w:rPr>
                <w:sz w:val="20"/>
                <w:szCs w:val="20"/>
                <w:lang w:eastAsia="es-MX"/>
              </w:rPr>
            </w:pPr>
            <w:r>
              <w:rPr>
                <w:sz w:val="20"/>
                <w:szCs w:val="20"/>
                <w:lang w:eastAsia="es-MX"/>
              </w:rPr>
              <w:t>1,693,006,916.00</w:t>
            </w:r>
          </w:p>
        </w:tc>
      </w:tr>
      <w:tr w:rsidR="00AA3D42" w:rsidRPr="00955A4C" w14:paraId="20FBC59E" w14:textId="77777777" w:rsidTr="005E2A35">
        <w:trPr>
          <w:trHeight w:val="330"/>
          <w:jc w:val="center"/>
        </w:trPr>
        <w:tc>
          <w:tcPr>
            <w:tcW w:w="1691" w:type="dxa"/>
            <w:tcBorders>
              <w:top w:val="nil"/>
              <w:left w:val="single" w:sz="8" w:space="0" w:color="A6A6A6"/>
              <w:bottom w:val="single" w:sz="8" w:space="0" w:color="A6A6A6"/>
              <w:right w:val="single" w:sz="8" w:space="0" w:color="A6A6A6"/>
            </w:tcBorders>
            <w:shd w:val="clear" w:color="000000" w:fill="CCCCCC"/>
            <w:vAlign w:val="center"/>
            <w:hideMark/>
          </w:tcPr>
          <w:p w14:paraId="6B04C1AD"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TOTAL</w:t>
            </w:r>
          </w:p>
        </w:tc>
        <w:tc>
          <w:tcPr>
            <w:tcW w:w="1560" w:type="dxa"/>
            <w:tcBorders>
              <w:top w:val="nil"/>
              <w:left w:val="nil"/>
              <w:bottom w:val="single" w:sz="8" w:space="0" w:color="A6A6A6"/>
              <w:right w:val="single" w:sz="8" w:space="0" w:color="A6A6A6"/>
            </w:tcBorders>
            <w:shd w:val="clear" w:color="000000" w:fill="CCCCCC"/>
            <w:vAlign w:val="center"/>
          </w:tcPr>
          <w:p w14:paraId="3086FE23" w14:textId="77777777" w:rsidR="00AA3D42" w:rsidRPr="00955A4C" w:rsidRDefault="00AA3D42" w:rsidP="00AA3D42">
            <w:pPr>
              <w:spacing w:line="360" w:lineRule="auto"/>
              <w:jc w:val="right"/>
              <w:rPr>
                <w:b/>
                <w:bCs/>
                <w:sz w:val="20"/>
                <w:szCs w:val="20"/>
                <w:lang w:eastAsia="es-MX"/>
              </w:rPr>
            </w:pPr>
            <w:r>
              <w:rPr>
                <w:b/>
                <w:bCs/>
                <w:sz w:val="20"/>
                <w:szCs w:val="20"/>
                <w:lang w:eastAsia="es-MX"/>
              </w:rPr>
              <w:t>3,338,995,762.00</w:t>
            </w:r>
          </w:p>
        </w:tc>
        <w:tc>
          <w:tcPr>
            <w:tcW w:w="1559" w:type="dxa"/>
            <w:tcBorders>
              <w:top w:val="nil"/>
              <w:left w:val="nil"/>
              <w:bottom w:val="single" w:sz="8" w:space="0" w:color="A6A6A6"/>
              <w:right w:val="single" w:sz="8" w:space="0" w:color="A6A6A6"/>
            </w:tcBorders>
            <w:shd w:val="clear" w:color="000000" w:fill="CCCCCC"/>
            <w:vAlign w:val="center"/>
          </w:tcPr>
          <w:p w14:paraId="45D05AF5" w14:textId="77777777" w:rsidR="00AA3D42" w:rsidRPr="00955A4C" w:rsidRDefault="00AA3D42" w:rsidP="00AA3D42">
            <w:pPr>
              <w:spacing w:line="360" w:lineRule="auto"/>
              <w:jc w:val="right"/>
              <w:rPr>
                <w:b/>
                <w:bCs/>
                <w:sz w:val="20"/>
                <w:szCs w:val="20"/>
                <w:lang w:eastAsia="es-MX"/>
              </w:rPr>
            </w:pPr>
            <w:r>
              <w:rPr>
                <w:b/>
                <w:bCs/>
                <w:sz w:val="20"/>
                <w:szCs w:val="20"/>
                <w:lang w:eastAsia="es-MX"/>
              </w:rPr>
              <w:t>3,747,651,920.90</w:t>
            </w:r>
          </w:p>
        </w:tc>
        <w:tc>
          <w:tcPr>
            <w:tcW w:w="1559" w:type="dxa"/>
            <w:tcBorders>
              <w:top w:val="nil"/>
              <w:left w:val="nil"/>
              <w:bottom w:val="single" w:sz="8" w:space="0" w:color="A6A6A6"/>
              <w:right w:val="single" w:sz="8" w:space="0" w:color="A6A6A6"/>
            </w:tcBorders>
            <w:shd w:val="clear" w:color="000000" w:fill="CCCCCC"/>
            <w:vAlign w:val="center"/>
          </w:tcPr>
          <w:p w14:paraId="653E4577" w14:textId="77777777" w:rsidR="00AA3D42" w:rsidRPr="00955A4C" w:rsidRDefault="00AA3D42" w:rsidP="00AA3D42">
            <w:pPr>
              <w:spacing w:line="360" w:lineRule="auto"/>
              <w:jc w:val="right"/>
              <w:rPr>
                <w:b/>
                <w:bCs/>
                <w:sz w:val="20"/>
                <w:szCs w:val="20"/>
                <w:lang w:eastAsia="es-MX"/>
              </w:rPr>
            </w:pPr>
            <w:r>
              <w:rPr>
                <w:b/>
                <w:bCs/>
                <w:sz w:val="20"/>
                <w:szCs w:val="20"/>
                <w:lang w:eastAsia="es-MX"/>
              </w:rPr>
              <w:t>3,783,877,802.00</w:t>
            </w:r>
          </w:p>
        </w:tc>
      </w:tr>
    </w:tbl>
    <w:p w14:paraId="75D8FAA3" w14:textId="77777777" w:rsidR="00AA3D42" w:rsidRPr="00955A4C" w:rsidRDefault="00AA3D42" w:rsidP="00AA3D42">
      <w:pPr>
        <w:spacing w:after="200" w:line="360" w:lineRule="auto"/>
        <w:jc w:val="both"/>
        <w:rPr>
          <w:rFonts w:eastAsia="Calibri"/>
          <w:sz w:val="20"/>
          <w:szCs w:val="20"/>
        </w:rPr>
      </w:pPr>
    </w:p>
    <w:p w14:paraId="201440EB" w14:textId="77777777" w:rsidR="00AA3D42" w:rsidRDefault="00AA3D42" w:rsidP="00AA3D42">
      <w:pPr>
        <w:spacing w:after="200" w:line="360" w:lineRule="auto"/>
        <w:jc w:val="both"/>
        <w:rPr>
          <w:rFonts w:eastAsia="Calibri"/>
          <w:b/>
          <w:sz w:val="20"/>
          <w:szCs w:val="20"/>
        </w:rPr>
      </w:pPr>
      <w:r w:rsidRPr="00955A4C">
        <w:rPr>
          <w:rFonts w:eastAsia="Calibri"/>
          <w:sz w:val="20"/>
          <w:szCs w:val="20"/>
        </w:rPr>
        <w:lastRenderedPageBreak/>
        <w:t xml:space="preserve">Por lo que se refiere a recursos derivados de </w:t>
      </w:r>
      <w:r w:rsidRPr="00955A4C">
        <w:rPr>
          <w:rFonts w:eastAsia="Calibri"/>
          <w:b/>
          <w:sz w:val="20"/>
          <w:szCs w:val="20"/>
        </w:rPr>
        <w:t>Aportaciones Federales</w:t>
      </w:r>
      <w:r w:rsidRPr="00955A4C">
        <w:rPr>
          <w:rFonts w:eastAsia="Calibri"/>
          <w:sz w:val="20"/>
          <w:szCs w:val="20"/>
        </w:rPr>
        <w:t xml:space="preserve"> previstas en el Ramo 33 del Presupuesto de Egresos de la Federación, los Municipios </w:t>
      </w:r>
      <w:r>
        <w:rPr>
          <w:rFonts w:eastAsia="Calibri"/>
          <w:sz w:val="20"/>
          <w:szCs w:val="20"/>
        </w:rPr>
        <w:t>estiman</w:t>
      </w:r>
      <w:r w:rsidRPr="00955A4C">
        <w:rPr>
          <w:rFonts w:eastAsia="Calibri"/>
          <w:sz w:val="20"/>
          <w:szCs w:val="20"/>
        </w:rPr>
        <w:t xml:space="preserve"> un incremento equivalente al 3.</w:t>
      </w:r>
      <w:r>
        <w:rPr>
          <w:rFonts w:eastAsia="Calibri"/>
          <w:sz w:val="20"/>
          <w:szCs w:val="20"/>
        </w:rPr>
        <w:t>7</w:t>
      </w:r>
      <w:r w:rsidRPr="00955A4C">
        <w:rPr>
          <w:rFonts w:eastAsia="Calibri"/>
          <w:sz w:val="20"/>
          <w:szCs w:val="20"/>
        </w:rPr>
        <w:t xml:space="preserve">%, </w:t>
      </w:r>
      <w:r w:rsidRPr="00834250">
        <w:rPr>
          <w:rFonts w:eastAsia="Calibri"/>
          <w:sz w:val="20"/>
          <w:szCs w:val="20"/>
        </w:rPr>
        <w:t>correspondiente  a  los recursos de los Fondos de Aportaciones para el Fortalecimiento de los Municipios y de las Demarcaciones Territoriales del Distrito Federal (FORTAMUN) y del Fondo para Infraestructura Social Municipal y de las Demarcaciones Territoriales del Distrito Federal (FISM</w:t>
      </w:r>
      <w:r>
        <w:rPr>
          <w:rFonts w:eastAsia="Calibri"/>
          <w:sz w:val="20"/>
          <w:szCs w:val="20"/>
        </w:rPr>
        <w:t>-DF</w:t>
      </w:r>
      <w:r w:rsidRPr="00834250">
        <w:rPr>
          <w:rFonts w:eastAsia="Calibri"/>
          <w:sz w:val="20"/>
          <w:szCs w:val="20"/>
        </w:rPr>
        <w:t>).</w:t>
      </w:r>
    </w:p>
    <w:p w14:paraId="440B3B08" w14:textId="77777777" w:rsidR="00AA3D42" w:rsidRDefault="00AA3D42" w:rsidP="00AA3D42">
      <w:pPr>
        <w:spacing w:after="200" w:line="360" w:lineRule="auto"/>
        <w:jc w:val="center"/>
        <w:rPr>
          <w:rFonts w:eastAsia="Calibri"/>
          <w:b/>
          <w:sz w:val="20"/>
          <w:szCs w:val="20"/>
        </w:rPr>
      </w:pPr>
    </w:p>
    <w:p w14:paraId="7DE47C91" w14:textId="77777777" w:rsidR="00AA3D42" w:rsidRPr="00955A4C" w:rsidRDefault="00AA3D42" w:rsidP="00AA3D42">
      <w:pPr>
        <w:spacing w:after="200" w:line="360" w:lineRule="auto"/>
        <w:jc w:val="center"/>
        <w:rPr>
          <w:rFonts w:eastAsia="Calibri"/>
          <w:b/>
          <w:sz w:val="20"/>
          <w:szCs w:val="20"/>
        </w:rPr>
      </w:pPr>
      <w:r w:rsidRPr="00955A4C">
        <w:rPr>
          <w:rFonts w:eastAsia="Calibri"/>
          <w:b/>
          <w:sz w:val="20"/>
          <w:szCs w:val="20"/>
        </w:rPr>
        <w:t>PODER EJECUTIVO</w:t>
      </w:r>
    </w:p>
    <w:p w14:paraId="418BBEA3" w14:textId="77777777" w:rsidR="00AA3D42" w:rsidRPr="00955A4C" w:rsidRDefault="00AA3D42" w:rsidP="00AA3D42">
      <w:pPr>
        <w:spacing w:after="200" w:line="360" w:lineRule="auto"/>
        <w:jc w:val="center"/>
        <w:rPr>
          <w:rFonts w:eastAsia="Calibri"/>
          <w:b/>
          <w:sz w:val="20"/>
          <w:szCs w:val="20"/>
        </w:rPr>
      </w:pPr>
      <w:r w:rsidRPr="00955A4C">
        <w:rPr>
          <w:rFonts w:eastAsia="Calibri"/>
          <w:b/>
          <w:sz w:val="20"/>
          <w:szCs w:val="20"/>
        </w:rPr>
        <w:t>CLASIFICACIÓN ADMINISTRATIVA</w:t>
      </w:r>
    </w:p>
    <w:p w14:paraId="291D45B6" w14:textId="77777777" w:rsidR="00AA3D42" w:rsidRPr="00955A4C" w:rsidRDefault="00AA3D42" w:rsidP="00AA3D42">
      <w:pPr>
        <w:spacing w:after="200" w:line="360" w:lineRule="auto"/>
        <w:jc w:val="both"/>
        <w:rPr>
          <w:rFonts w:eastAsia="Calibri"/>
          <w:sz w:val="20"/>
          <w:szCs w:val="20"/>
        </w:rPr>
      </w:pPr>
      <w:r w:rsidRPr="00955A4C">
        <w:rPr>
          <w:rFonts w:eastAsia="Calibri"/>
          <w:sz w:val="20"/>
          <w:szCs w:val="20"/>
        </w:rPr>
        <w:t>En la clasificación administrativa del presupuesto, presenta una proporción bajo el siguiente detalle; con el 29.2% del presupuesto para la Administración Pública Centralizada, el 1.6%</w:t>
      </w:r>
      <w:r w:rsidRPr="00955A4C">
        <w:rPr>
          <w:rFonts w:eastAsia="Calibri"/>
          <w:color w:val="FF0000"/>
          <w:sz w:val="20"/>
          <w:szCs w:val="20"/>
        </w:rPr>
        <w:t xml:space="preserve"> </w:t>
      </w:r>
      <w:r w:rsidRPr="00955A4C">
        <w:rPr>
          <w:rFonts w:eastAsia="Calibri"/>
          <w:sz w:val="20"/>
          <w:szCs w:val="20"/>
        </w:rPr>
        <w:t>para la Administración Desconcentrada, el 46%</w:t>
      </w:r>
      <w:r w:rsidRPr="00955A4C">
        <w:rPr>
          <w:rFonts w:eastAsia="Calibri"/>
          <w:color w:val="FF0000"/>
          <w:sz w:val="20"/>
          <w:szCs w:val="20"/>
        </w:rPr>
        <w:t xml:space="preserve"> </w:t>
      </w:r>
      <w:r w:rsidRPr="00955A4C">
        <w:rPr>
          <w:rFonts w:eastAsia="Calibri"/>
          <w:sz w:val="20"/>
          <w:szCs w:val="20"/>
        </w:rPr>
        <w:t>para la Administración Pública Descentralizada, el 18%</w:t>
      </w:r>
      <w:r w:rsidRPr="00955A4C">
        <w:rPr>
          <w:rFonts w:eastAsia="Calibri"/>
          <w:color w:val="FF0000"/>
          <w:sz w:val="20"/>
          <w:szCs w:val="20"/>
        </w:rPr>
        <w:t xml:space="preserve"> </w:t>
      </w:r>
      <w:r w:rsidRPr="00955A4C">
        <w:rPr>
          <w:rFonts w:eastAsia="Calibri"/>
          <w:sz w:val="20"/>
          <w:szCs w:val="20"/>
        </w:rPr>
        <w:t>para Municipios, y</w:t>
      </w:r>
      <w:r w:rsidRPr="00955A4C">
        <w:rPr>
          <w:rFonts w:eastAsia="Calibri"/>
          <w:color w:val="FF0000"/>
          <w:sz w:val="20"/>
          <w:szCs w:val="20"/>
        </w:rPr>
        <w:t xml:space="preserve"> </w:t>
      </w:r>
      <w:r w:rsidRPr="00955A4C">
        <w:rPr>
          <w:rFonts w:eastAsia="Calibri"/>
          <w:sz w:val="20"/>
          <w:szCs w:val="20"/>
        </w:rPr>
        <w:t xml:space="preserve">5.2% para Poderes y Órganos Autónomos, como sigue: </w:t>
      </w:r>
    </w:p>
    <w:p w14:paraId="6308306E" w14:textId="77777777" w:rsidR="00AA3D42" w:rsidRPr="005C7E22" w:rsidRDefault="00AA3D42" w:rsidP="00AA3D42">
      <w:pPr>
        <w:spacing w:after="200" w:line="360" w:lineRule="auto"/>
        <w:contextualSpacing/>
        <w:jc w:val="center"/>
        <w:rPr>
          <w:rFonts w:eastAsia="Calibri"/>
          <w:b/>
          <w:sz w:val="20"/>
          <w:szCs w:val="20"/>
        </w:rPr>
      </w:pPr>
      <w:r w:rsidRPr="005C7E22">
        <w:rPr>
          <w:rFonts w:eastAsia="Calibri"/>
          <w:b/>
          <w:sz w:val="20"/>
          <w:szCs w:val="20"/>
        </w:rPr>
        <w:t>Clasificación Administrativa</w:t>
      </w:r>
    </w:p>
    <w:tbl>
      <w:tblPr>
        <w:tblW w:w="5158" w:type="dxa"/>
        <w:jc w:val="center"/>
        <w:tblCellMar>
          <w:left w:w="70" w:type="dxa"/>
          <w:right w:w="70" w:type="dxa"/>
        </w:tblCellMar>
        <w:tblLook w:val="04A0" w:firstRow="1" w:lastRow="0" w:firstColumn="1" w:lastColumn="0" w:noHBand="0" w:noVBand="1"/>
      </w:tblPr>
      <w:tblGrid>
        <w:gridCol w:w="2365"/>
        <w:gridCol w:w="1640"/>
        <w:gridCol w:w="1153"/>
      </w:tblGrid>
      <w:tr w:rsidR="00AA3D42" w:rsidRPr="005C7E22" w14:paraId="2870F636" w14:textId="77777777" w:rsidTr="005E2A35">
        <w:trPr>
          <w:trHeight w:val="960"/>
          <w:tblHeader/>
          <w:jc w:val="center"/>
        </w:trPr>
        <w:tc>
          <w:tcPr>
            <w:tcW w:w="2365" w:type="dxa"/>
            <w:tcBorders>
              <w:top w:val="single" w:sz="8" w:space="0" w:color="A6A6A6"/>
              <w:left w:val="single" w:sz="8" w:space="0" w:color="A6A6A6"/>
              <w:bottom w:val="nil"/>
              <w:right w:val="single" w:sz="8" w:space="0" w:color="A6A6A6"/>
            </w:tcBorders>
            <w:shd w:val="clear" w:color="000000" w:fill="CCCCCC"/>
            <w:vAlign w:val="center"/>
            <w:hideMark/>
          </w:tcPr>
          <w:p w14:paraId="4C36D995" w14:textId="77777777" w:rsidR="00AA3D42" w:rsidRPr="005C7E22" w:rsidRDefault="00AA3D42" w:rsidP="00AA3D42">
            <w:pPr>
              <w:spacing w:line="360" w:lineRule="auto"/>
              <w:jc w:val="center"/>
              <w:rPr>
                <w:b/>
                <w:bCs/>
                <w:sz w:val="20"/>
                <w:szCs w:val="20"/>
                <w:lang w:eastAsia="es-MX"/>
              </w:rPr>
            </w:pPr>
            <w:r w:rsidRPr="005C7E22">
              <w:rPr>
                <w:b/>
                <w:bCs/>
                <w:sz w:val="20"/>
                <w:szCs w:val="20"/>
                <w:lang w:eastAsia="es-MX"/>
              </w:rPr>
              <w:t>RAMOS PRESUPUESTARIOS</w:t>
            </w:r>
          </w:p>
        </w:tc>
        <w:tc>
          <w:tcPr>
            <w:tcW w:w="1640" w:type="dxa"/>
            <w:tcBorders>
              <w:top w:val="single" w:sz="8" w:space="0" w:color="A6A6A6"/>
              <w:left w:val="nil"/>
              <w:bottom w:val="nil"/>
              <w:right w:val="single" w:sz="8" w:space="0" w:color="A6A6A6"/>
            </w:tcBorders>
            <w:shd w:val="clear" w:color="000000" w:fill="CCCCCC"/>
            <w:vAlign w:val="center"/>
            <w:hideMark/>
          </w:tcPr>
          <w:p w14:paraId="6F45F900" w14:textId="77777777" w:rsidR="00AA3D42" w:rsidRPr="005C7E22" w:rsidRDefault="00AA3D42" w:rsidP="00AA3D42">
            <w:pPr>
              <w:spacing w:line="360" w:lineRule="auto"/>
              <w:jc w:val="center"/>
              <w:rPr>
                <w:b/>
                <w:bCs/>
                <w:sz w:val="20"/>
                <w:szCs w:val="20"/>
                <w:lang w:eastAsia="es-MX"/>
              </w:rPr>
            </w:pPr>
            <w:r w:rsidRPr="005C7E22">
              <w:rPr>
                <w:b/>
                <w:bCs/>
                <w:sz w:val="20"/>
                <w:szCs w:val="20"/>
                <w:lang w:eastAsia="es-MX"/>
              </w:rPr>
              <w:t xml:space="preserve">MONTO </w:t>
            </w:r>
          </w:p>
        </w:tc>
        <w:tc>
          <w:tcPr>
            <w:tcW w:w="1153" w:type="dxa"/>
            <w:tcBorders>
              <w:top w:val="single" w:sz="8" w:space="0" w:color="A6A6A6"/>
              <w:left w:val="nil"/>
              <w:bottom w:val="nil"/>
              <w:right w:val="single" w:sz="8" w:space="0" w:color="A6A6A6"/>
            </w:tcBorders>
            <w:shd w:val="clear" w:color="000000" w:fill="CCCCCC"/>
            <w:vAlign w:val="center"/>
            <w:hideMark/>
          </w:tcPr>
          <w:p w14:paraId="6A6E66F7" w14:textId="77777777" w:rsidR="00AA3D42" w:rsidRPr="005C7E22" w:rsidRDefault="00AA3D42" w:rsidP="00AA3D42">
            <w:pPr>
              <w:spacing w:line="360" w:lineRule="auto"/>
              <w:jc w:val="center"/>
              <w:rPr>
                <w:b/>
                <w:bCs/>
                <w:sz w:val="20"/>
                <w:szCs w:val="20"/>
                <w:lang w:eastAsia="es-MX"/>
              </w:rPr>
            </w:pPr>
            <w:r w:rsidRPr="005C7E22">
              <w:rPr>
                <w:b/>
                <w:bCs/>
                <w:sz w:val="20"/>
                <w:szCs w:val="20"/>
                <w:lang w:eastAsia="es-MX"/>
              </w:rPr>
              <w:t>%</w:t>
            </w:r>
          </w:p>
        </w:tc>
      </w:tr>
      <w:tr w:rsidR="00AA3D42" w:rsidRPr="005C7E22" w14:paraId="2BC3D54B" w14:textId="77777777" w:rsidTr="005E2A35">
        <w:trPr>
          <w:trHeight w:val="315"/>
          <w:jc w:val="center"/>
        </w:trPr>
        <w:tc>
          <w:tcPr>
            <w:tcW w:w="2365"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10A23F5A" w14:textId="77777777" w:rsidR="00AA3D42" w:rsidRPr="005C7E22" w:rsidRDefault="00AA3D42" w:rsidP="00AA3D42">
            <w:pPr>
              <w:spacing w:line="360" w:lineRule="auto"/>
              <w:jc w:val="both"/>
              <w:rPr>
                <w:sz w:val="20"/>
                <w:szCs w:val="20"/>
                <w:lang w:eastAsia="es-MX"/>
              </w:rPr>
            </w:pPr>
            <w:r w:rsidRPr="005C7E22">
              <w:rPr>
                <w:sz w:val="20"/>
                <w:szCs w:val="20"/>
                <w:lang w:eastAsia="es-MX"/>
              </w:rPr>
              <w:t xml:space="preserve">Centralizadas </w:t>
            </w:r>
          </w:p>
        </w:tc>
        <w:tc>
          <w:tcPr>
            <w:tcW w:w="1640" w:type="dxa"/>
            <w:tcBorders>
              <w:top w:val="single" w:sz="8" w:space="0" w:color="A6A6A6"/>
              <w:left w:val="nil"/>
              <w:bottom w:val="single" w:sz="8" w:space="0" w:color="A6A6A6"/>
              <w:right w:val="single" w:sz="8" w:space="0" w:color="A6A6A6"/>
            </w:tcBorders>
            <w:shd w:val="clear" w:color="auto" w:fill="auto"/>
            <w:vAlign w:val="center"/>
          </w:tcPr>
          <w:p w14:paraId="3B6508FB" w14:textId="77777777" w:rsidR="00AA3D42" w:rsidRPr="005C7E22" w:rsidRDefault="00AA3D42" w:rsidP="00AA3D42">
            <w:pPr>
              <w:spacing w:line="360" w:lineRule="auto"/>
              <w:jc w:val="right"/>
              <w:rPr>
                <w:sz w:val="20"/>
                <w:szCs w:val="20"/>
                <w:lang w:eastAsia="es-MX"/>
              </w:rPr>
            </w:pPr>
            <w:r w:rsidRPr="005C7E22">
              <w:rPr>
                <w:sz w:val="20"/>
                <w:szCs w:val="20"/>
                <w:lang w:eastAsia="es-MX"/>
              </w:rPr>
              <w:t>5,63</w:t>
            </w:r>
            <w:r>
              <w:rPr>
                <w:sz w:val="20"/>
                <w:szCs w:val="20"/>
                <w:lang w:eastAsia="es-MX"/>
              </w:rPr>
              <w:t>1</w:t>
            </w:r>
            <w:r w:rsidRPr="005C7E22">
              <w:rPr>
                <w:sz w:val="20"/>
                <w:szCs w:val="20"/>
                <w:lang w:eastAsia="es-MX"/>
              </w:rPr>
              <w:t>,380,965.00</w:t>
            </w:r>
          </w:p>
        </w:tc>
        <w:tc>
          <w:tcPr>
            <w:tcW w:w="1153" w:type="dxa"/>
            <w:tcBorders>
              <w:top w:val="single" w:sz="8" w:space="0" w:color="A6A6A6"/>
              <w:left w:val="nil"/>
              <w:bottom w:val="single" w:sz="8" w:space="0" w:color="A6A6A6"/>
              <w:right w:val="single" w:sz="8" w:space="0" w:color="A6A6A6"/>
            </w:tcBorders>
            <w:shd w:val="clear" w:color="auto" w:fill="auto"/>
            <w:vAlign w:val="center"/>
          </w:tcPr>
          <w:p w14:paraId="2E16623F" w14:textId="77777777" w:rsidR="00AA3D42" w:rsidRDefault="00AA3D42" w:rsidP="00AA3D42">
            <w:pPr>
              <w:spacing w:line="360" w:lineRule="auto"/>
              <w:jc w:val="center"/>
              <w:rPr>
                <w:color w:val="000000"/>
                <w:sz w:val="20"/>
                <w:szCs w:val="20"/>
                <w:lang w:val="es-MX" w:eastAsia="es-MX"/>
              </w:rPr>
            </w:pPr>
            <w:r>
              <w:rPr>
                <w:color w:val="000000"/>
                <w:sz w:val="20"/>
                <w:szCs w:val="20"/>
              </w:rPr>
              <w:t>27.3</w:t>
            </w:r>
          </w:p>
        </w:tc>
      </w:tr>
      <w:tr w:rsidR="00AA3D42" w:rsidRPr="00955A4C" w14:paraId="3B1B9289" w14:textId="77777777" w:rsidTr="005E2A35">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14:paraId="12DA5FE3" w14:textId="77777777" w:rsidR="00AA3D42" w:rsidRPr="00955A4C" w:rsidRDefault="00AA3D42" w:rsidP="00AA3D42">
            <w:pPr>
              <w:spacing w:line="360" w:lineRule="auto"/>
              <w:jc w:val="both"/>
              <w:rPr>
                <w:sz w:val="20"/>
                <w:szCs w:val="20"/>
                <w:lang w:eastAsia="es-MX"/>
              </w:rPr>
            </w:pPr>
            <w:r w:rsidRPr="00955A4C">
              <w:rPr>
                <w:sz w:val="20"/>
                <w:szCs w:val="20"/>
                <w:lang w:eastAsia="es-MX"/>
              </w:rPr>
              <w:t xml:space="preserve">Desconcentradas </w:t>
            </w:r>
          </w:p>
        </w:tc>
        <w:tc>
          <w:tcPr>
            <w:tcW w:w="1640" w:type="dxa"/>
            <w:tcBorders>
              <w:top w:val="nil"/>
              <w:left w:val="nil"/>
              <w:bottom w:val="single" w:sz="8" w:space="0" w:color="A6A6A6"/>
              <w:right w:val="single" w:sz="8" w:space="0" w:color="A6A6A6"/>
            </w:tcBorders>
            <w:shd w:val="clear" w:color="auto" w:fill="auto"/>
            <w:vAlign w:val="center"/>
          </w:tcPr>
          <w:p w14:paraId="5E9D3F6F" w14:textId="77777777" w:rsidR="00AA3D42" w:rsidRPr="00955A4C" w:rsidRDefault="00AA3D42" w:rsidP="00AA3D42">
            <w:pPr>
              <w:spacing w:line="360" w:lineRule="auto"/>
              <w:jc w:val="right"/>
              <w:rPr>
                <w:sz w:val="20"/>
                <w:szCs w:val="20"/>
                <w:lang w:eastAsia="es-MX"/>
              </w:rPr>
            </w:pPr>
            <w:r>
              <w:rPr>
                <w:sz w:val="20"/>
                <w:szCs w:val="20"/>
                <w:lang w:eastAsia="es-MX"/>
              </w:rPr>
              <w:t>330,159,809.00</w:t>
            </w:r>
          </w:p>
        </w:tc>
        <w:tc>
          <w:tcPr>
            <w:tcW w:w="1153" w:type="dxa"/>
            <w:tcBorders>
              <w:top w:val="nil"/>
              <w:left w:val="nil"/>
              <w:bottom w:val="single" w:sz="8" w:space="0" w:color="A6A6A6"/>
              <w:right w:val="single" w:sz="8" w:space="0" w:color="A6A6A6"/>
            </w:tcBorders>
            <w:shd w:val="clear" w:color="auto" w:fill="auto"/>
            <w:vAlign w:val="center"/>
          </w:tcPr>
          <w:p w14:paraId="51977976" w14:textId="77777777" w:rsidR="00AA3D42" w:rsidRDefault="00AA3D42" w:rsidP="00AA3D42">
            <w:pPr>
              <w:spacing w:line="360" w:lineRule="auto"/>
              <w:jc w:val="center"/>
              <w:rPr>
                <w:color w:val="000000"/>
                <w:sz w:val="20"/>
                <w:szCs w:val="20"/>
              </w:rPr>
            </w:pPr>
            <w:r>
              <w:rPr>
                <w:color w:val="000000"/>
                <w:sz w:val="20"/>
                <w:szCs w:val="20"/>
              </w:rPr>
              <w:t>1.6</w:t>
            </w:r>
          </w:p>
        </w:tc>
      </w:tr>
      <w:tr w:rsidR="00AA3D42" w:rsidRPr="00955A4C" w14:paraId="2D23A30D" w14:textId="77777777" w:rsidTr="005E2A35">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14:paraId="2BD1767A" w14:textId="77777777" w:rsidR="00AA3D42" w:rsidRPr="00955A4C" w:rsidRDefault="00AA3D42" w:rsidP="00AA3D42">
            <w:pPr>
              <w:spacing w:line="360" w:lineRule="auto"/>
              <w:jc w:val="both"/>
              <w:rPr>
                <w:sz w:val="20"/>
                <w:szCs w:val="20"/>
                <w:lang w:eastAsia="es-MX"/>
              </w:rPr>
            </w:pPr>
            <w:r w:rsidRPr="00955A4C">
              <w:rPr>
                <w:sz w:val="20"/>
                <w:szCs w:val="20"/>
                <w:lang w:eastAsia="es-MX"/>
              </w:rPr>
              <w:t xml:space="preserve">Descentralizadas </w:t>
            </w:r>
          </w:p>
        </w:tc>
        <w:tc>
          <w:tcPr>
            <w:tcW w:w="1640" w:type="dxa"/>
            <w:tcBorders>
              <w:top w:val="nil"/>
              <w:left w:val="nil"/>
              <w:bottom w:val="single" w:sz="8" w:space="0" w:color="A6A6A6"/>
              <w:right w:val="single" w:sz="8" w:space="0" w:color="A6A6A6"/>
            </w:tcBorders>
            <w:shd w:val="clear" w:color="auto" w:fill="auto"/>
            <w:vAlign w:val="center"/>
          </w:tcPr>
          <w:p w14:paraId="1DBADE98" w14:textId="77777777" w:rsidR="00AA3D42" w:rsidRPr="00955A4C" w:rsidRDefault="00AA3D42" w:rsidP="00AA3D42">
            <w:pPr>
              <w:spacing w:line="360" w:lineRule="auto"/>
              <w:jc w:val="right"/>
              <w:rPr>
                <w:sz w:val="20"/>
                <w:szCs w:val="20"/>
                <w:lang w:eastAsia="es-MX"/>
              </w:rPr>
            </w:pPr>
            <w:r>
              <w:rPr>
                <w:sz w:val="20"/>
                <w:szCs w:val="20"/>
                <w:lang w:eastAsia="es-MX"/>
              </w:rPr>
              <w:t>9,766,812,601.00</w:t>
            </w:r>
          </w:p>
        </w:tc>
        <w:tc>
          <w:tcPr>
            <w:tcW w:w="1153" w:type="dxa"/>
            <w:tcBorders>
              <w:top w:val="nil"/>
              <w:left w:val="nil"/>
              <w:bottom w:val="single" w:sz="8" w:space="0" w:color="A6A6A6"/>
              <w:right w:val="single" w:sz="8" w:space="0" w:color="A6A6A6"/>
            </w:tcBorders>
            <w:shd w:val="clear" w:color="auto" w:fill="auto"/>
            <w:vAlign w:val="center"/>
          </w:tcPr>
          <w:p w14:paraId="24FA3082" w14:textId="77777777" w:rsidR="00AA3D42" w:rsidRDefault="00AA3D42" w:rsidP="00AA3D42">
            <w:pPr>
              <w:spacing w:line="360" w:lineRule="auto"/>
              <w:jc w:val="center"/>
              <w:rPr>
                <w:color w:val="000000"/>
                <w:sz w:val="20"/>
                <w:szCs w:val="20"/>
              </w:rPr>
            </w:pPr>
            <w:r>
              <w:rPr>
                <w:color w:val="000000"/>
                <w:sz w:val="20"/>
                <w:szCs w:val="20"/>
              </w:rPr>
              <w:t>47.3</w:t>
            </w:r>
          </w:p>
        </w:tc>
      </w:tr>
      <w:tr w:rsidR="00AA3D42" w:rsidRPr="00955A4C" w14:paraId="60341733" w14:textId="77777777" w:rsidTr="005E2A35">
        <w:trPr>
          <w:trHeight w:val="6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14:paraId="4B32E990" w14:textId="77777777" w:rsidR="00AA3D42" w:rsidRPr="00955A4C" w:rsidRDefault="00AA3D42" w:rsidP="00AA3D42">
            <w:pPr>
              <w:spacing w:line="360" w:lineRule="auto"/>
              <w:jc w:val="both"/>
              <w:rPr>
                <w:sz w:val="20"/>
                <w:szCs w:val="20"/>
                <w:lang w:eastAsia="es-MX"/>
              </w:rPr>
            </w:pPr>
            <w:r w:rsidRPr="00955A4C">
              <w:rPr>
                <w:sz w:val="20"/>
                <w:szCs w:val="20"/>
                <w:lang w:eastAsia="es-MX"/>
              </w:rPr>
              <w:t>Poder Legislativo y Judicial</w:t>
            </w:r>
          </w:p>
        </w:tc>
        <w:tc>
          <w:tcPr>
            <w:tcW w:w="1640" w:type="dxa"/>
            <w:tcBorders>
              <w:top w:val="nil"/>
              <w:left w:val="nil"/>
              <w:bottom w:val="single" w:sz="8" w:space="0" w:color="A6A6A6"/>
              <w:right w:val="single" w:sz="8" w:space="0" w:color="A6A6A6"/>
            </w:tcBorders>
            <w:shd w:val="clear" w:color="auto" w:fill="auto"/>
            <w:vAlign w:val="center"/>
          </w:tcPr>
          <w:p w14:paraId="7B3709DB" w14:textId="77777777" w:rsidR="00AA3D42" w:rsidRPr="00955A4C" w:rsidRDefault="00AA3D42" w:rsidP="00AA3D42">
            <w:pPr>
              <w:spacing w:line="360" w:lineRule="auto"/>
              <w:jc w:val="right"/>
              <w:rPr>
                <w:sz w:val="20"/>
                <w:szCs w:val="20"/>
                <w:lang w:eastAsia="es-MX"/>
              </w:rPr>
            </w:pPr>
            <w:r>
              <w:rPr>
                <w:sz w:val="20"/>
                <w:szCs w:val="20"/>
                <w:lang w:eastAsia="es-MX"/>
              </w:rPr>
              <w:t>753,091,802.00</w:t>
            </w:r>
          </w:p>
        </w:tc>
        <w:tc>
          <w:tcPr>
            <w:tcW w:w="1153" w:type="dxa"/>
            <w:tcBorders>
              <w:top w:val="nil"/>
              <w:left w:val="nil"/>
              <w:bottom w:val="single" w:sz="8" w:space="0" w:color="A6A6A6"/>
              <w:right w:val="single" w:sz="8" w:space="0" w:color="A6A6A6"/>
            </w:tcBorders>
            <w:shd w:val="clear" w:color="auto" w:fill="auto"/>
            <w:vAlign w:val="center"/>
          </w:tcPr>
          <w:p w14:paraId="098220E1" w14:textId="77777777" w:rsidR="00AA3D42" w:rsidRDefault="00AA3D42" w:rsidP="00AA3D42">
            <w:pPr>
              <w:spacing w:line="360" w:lineRule="auto"/>
              <w:jc w:val="center"/>
              <w:rPr>
                <w:color w:val="000000"/>
                <w:sz w:val="20"/>
                <w:szCs w:val="20"/>
              </w:rPr>
            </w:pPr>
            <w:r>
              <w:rPr>
                <w:color w:val="000000"/>
                <w:sz w:val="20"/>
                <w:szCs w:val="20"/>
              </w:rPr>
              <w:t>3.6</w:t>
            </w:r>
          </w:p>
        </w:tc>
      </w:tr>
      <w:tr w:rsidR="00AA3D42" w:rsidRPr="00955A4C" w14:paraId="6A3B32A3" w14:textId="77777777" w:rsidTr="005E2A35">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14:paraId="496AF9F6" w14:textId="77777777" w:rsidR="00AA3D42" w:rsidRPr="00955A4C" w:rsidRDefault="00AA3D42" w:rsidP="00AA3D42">
            <w:pPr>
              <w:spacing w:line="360" w:lineRule="auto"/>
              <w:jc w:val="both"/>
              <w:rPr>
                <w:sz w:val="20"/>
                <w:szCs w:val="20"/>
                <w:lang w:eastAsia="es-MX"/>
              </w:rPr>
            </w:pPr>
            <w:r w:rsidRPr="00955A4C">
              <w:rPr>
                <w:sz w:val="20"/>
                <w:szCs w:val="20"/>
                <w:lang w:eastAsia="es-MX"/>
              </w:rPr>
              <w:t>Órganos Autónomos</w:t>
            </w:r>
          </w:p>
        </w:tc>
        <w:tc>
          <w:tcPr>
            <w:tcW w:w="1640" w:type="dxa"/>
            <w:tcBorders>
              <w:top w:val="nil"/>
              <w:left w:val="nil"/>
              <w:bottom w:val="single" w:sz="8" w:space="0" w:color="A6A6A6"/>
              <w:right w:val="single" w:sz="8" w:space="0" w:color="A6A6A6"/>
            </w:tcBorders>
            <w:shd w:val="clear" w:color="auto" w:fill="auto"/>
            <w:vAlign w:val="center"/>
          </w:tcPr>
          <w:p w14:paraId="28042491" w14:textId="77777777" w:rsidR="00AA3D42" w:rsidRPr="009F5AFF" w:rsidRDefault="00AA3D42" w:rsidP="00AA3D42">
            <w:pPr>
              <w:spacing w:line="360" w:lineRule="auto"/>
              <w:jc w:val="right"/>
              <w:rPr>
                <w:sz w:val="20"/>
                <w:szCs w:val="20"/>
                <w:lang w:eastAsia="es-MX"/>
              </w:rPr>
            </w:pPr>
            <w:r w:rsidRPr="005C7E22">
              <w:rPr>
                <w:sz w:val="20"/>
                <w:szCs w:val="20"/>
                <w:lang w:eastAsia="es-MX"/>
              </w:rPr>
              <w:t>402,346,196.00</w:t>
            </w:r>
          </w:p>
        </w:tc>
        <w:tc>
          <w:tcPr>
            <w:tcW w:w="1153" w:type="dxa"/>
            <w:tcBorders>
              <w:top w:val="nil"/>
              <w:left w:val="nil"/>
              <w:bottom w:val="single" w:sz="8" w:space="0" w:color="A6A6A6"/>
              <w:right w:val="single" w:sz="8" w:space="0" w:color="A6A6A6"/>
            </w:tcBorders>
            <w:shd w:val="clear" w:color="auto" w:fill="auto"/>
            <w:vAlign w:val="center"/>
          </w:tcPr>
          <w:p w14:paraId="41FB8C1E" w14:textId="77777777" w:rsidR="00AA3D42" w:rsidRDefault="00AA3D42" w:rsidP="00AA3D42">
            <w:pPr>
              <w:spacing w:line="360" w:lineRule="auto"/>
              <w:jc w:val="center"/>
              <w:rPr>
                <w:color w:val="000000"/>
                <w:sz w:val="20"/>
                <w:szCs w:val="20"/>
              </w:rPr>
            </w:pPr>
            <w:r>
              <w:rPr>
                <w:color w:val="000000"/>
                <w:sz w:val="20"/>
                <w:szCs w:val="20"/>
              </w:rPr>
              <w:t>1.9</w:t>
            </w:r>
          </w:p>
        </w:tc>
      </w:tr>
      <w:tr w:rsidR="00AA3D42" w:rsidRPr="00955A4C" w14:paraId="216DB99D" w14:textId="77777777" w:rsidTr="005E2A35">
        <w:trPr>
          <w:trHeight w:val="315"/>
          <w:jc w:val="center"/>
        </w:trPr>
        <w:tc>
          <w:tcPr>
            <w:tcW w:w="2365" w:type="dxa"/>
            <w:tcBorders>
              <w:top w:val="nil"/>
              <w:left w:val="single" w:sz="8" w:space="0" w:color="A6A6A6"/>
              <w:bottom w:val="single" w:sz="8" w:space="0" w:color="A6A6A6"/>
              <w:right w:val="single" w:sz="8" w:space="0" w:color="A6A6A6"/>
            </w:tcBorders>
            <w:shd w:val="clear" w:color="auto" w:fill="auto"/>
            <w:vAlign w:val="center"/>
            <w:hideMark/>
          </w:tcPr>
          <w:p w14:paraId="7C128BF3" w14:textId="77777777" w:rsidR="00AA3D42" w:rsidRPr="00955A4C" w:rsidRDefault="00AA3D42" w:rsidP="00AA3D42">
            <w:pPr>
              <w:spacing w:line="360" w:lineRule="auto"/>
              <w:jc w:val="both"/>
              <w:rPr>
                <w:sz w:val="20"/>
                <w:szCs w:val="20"/>
                <w:lang w:eastAsia="es-MX"/>
              </w:rPr>
            </w:pPr>
            <w:r w:rsidRPr="00955A4C">
              <w:rPr>
                <w:sz w:val="20"/>
                <w:szCs w:val="20"/>
                <w:lang w:eastAsia="es-MX"/>
              </w:rPr>
              <w:t xml:space="preserve">Municipios </w:t>
            </w:r>
          </w:p>
        </w:tc>
        <w:tc>
          <w:tcPr>
            <w:tcW w:w="1640" w:type="dxa"/>
            <w:tcBorders>
              <w:top w:val="nil"/>
              <w:left w:val="nil"/>
              <w:bottom w:val="single" w:sz="8" w:space="0" w:color="A6A6A6"/>
              <w:right w:val="single" w:sz="8" w:space="0" w:color="A6A6A6"/>
            </w:tcBorders>
            <w:shd w:val="clear" w:color="auto" w:fill="auto"/>
            <w:vAlign w:val="center"/>
          </w:tcPr>
          <w:p w14:paraId="6E8FE954" w14:textId="77777777" w:rsidR="00AA3D42" w:rsidRPr="009F5AFF" w:rsidRDefault="00AA3D42" w:rsidP="00AA3D42">
            <w:pPr>
              <w:spacing w:line="360" w:lineRule="auto"/>
              <w:jc w:val="right"/>
              <w:rPr>
                <w:sz w:val="20"/>
                <w:szCs w:val="20"/>
                <w:lang w:eastAsia="es-MX"/>
              </w:rPr>
            </w:pPr>
            <w:r>
              <w:rPr>
                <w:sz w:val="20"/>
                <w:szCs w:val="20"/>
                <w:lang w:eastAsia="es-MX"/>
              </w:rPr>
              <w:t>3,783,877,802.00</w:t>
            </w:r>
          </w:p>
        </w:tc>
        <w:tc>
          <w:tcPr>
            <w:tcW w:w="1153" w:type="dxa"/>
            <w:tcBorders>
              <w:top w:val="nil"/>
              <w:left w:val="nil"/>
              <w:bottom w:val="single" w:sz="8" w:space="0" w:color="A6A6A6"/>
              <w:right w:val="single" w:sz="8" w:space="0" w:color="A6A6A6"/>
            </w:tcBorders>
            <w:shd w:val="clear" w:color="auto" w:fill="auto"/>
            <w:vAlign w:val="center"/>
          </w:tcPr>
          <w:p w14:paraId="21F725B1" w14:textId="77777777" w:rsidR="00AA3D42" w:rsidRDefault="00AA3D42" w:rsidP="00AA3D42">
            <w:pPr>
              <w:spacing w:line="360" w:lineRule="auto"/>
              <w:jc w:val="center"/>
              <w:rPr>
                <w:color w:val="000000"/>
                <w:sz w:val="20"/>
                <w:szCs w:val="20"/>
              </w:rPr>
            </w:pPr>
            <w:r>
              <w:rPr>
                <w:color w:val="000000"/>
                <w:sz w:val="20"/>
                <w:szCs w:val="20"/>
              </w:rPr>
              <w:t>18.3</w:t>
            </w:r>
          </w:p>
        </w:tc>
      </w:tr>
      <w:tr w:rsidR="00AA3D42" w:rsidRPr="00955A4C" w14:paraId="0F595F3A" w14:textId="77777777" w:rsidTr="005E2A35">
        <w:trPr>
          <w:trHeight w:val="330"/>
          <w:jc w:val="center"/>
        </w:trPr>
        <w:tc>
          <w:tcPr>
            <w:tcW w:w="2365" w:type="dxa"/>
            <w:tcBorders>
              <w:top w:val="nil"/>
              <w:left w:val="single" w:sz="8" w:space="0" w:color="A6A6A6"/>
              <w:bottom w:val="single" w:sz="8" w:space="0" w:color="A6A6A6"/>
              <w:right w:val="single" w:sz="8" w:space="0" w:color="A6A6A6"/>
            </w:tcBorders>
            <w:shd w:val="clear" w:color="000000" w:fill="CCCCCC"/>
            <w:vAlign w:val="center"/>
            <w:hideMark/>
          </w:tcPr>
          <w:p w14:paraId="09768C5D" w14:textId="77777777" w:rsidR="00AA3D42" w:rsidRPr="00955A4C" w:rsidRDefault="00AA3D42" w:rsidP="00AA3D42">
            <w:pPr>
              <w:spacing w:line="360" w:lineRule="auto"/>
              <w:jc w:val="center"/>
              <w:rPr>
                <w:b/>
                <w:bCs/>
                <w:sz w:val="20"/>
                <w:szCs w:val="20"/>
                <w:lang w:eastAsia="es-MX"/>
              </w:rPr>
            </w:pPr>
            <w:r w:rsidRPr="00955A4C">
              <w:rPr>
                <w:b/>
                <w:bCs/>
                <w:sz w:val="20"/>
                <w:szCs w:val="20"/>
                <w:lang w:eastAsia="es-MX"/>
              </w:rPr>
              <w:t>TTAL</w:t>
            </w:r>
          </w:p>
        </w:tc>
        <w:tc>
          <w:tcPr>
            <w:tcW w:w="1640" w:type="dxa"/>
            <w:tcBorders>
              <w:top w:val="nil"/>
              <w:left w:val="nil"/>
              <w:bottom w:val="single" w:sz="8" w:space="0" w:color="A6A6A6"/>
              <w:right w:val="single" w:sz="8" w:space="0" w:color="A6A6A6"/>
            </w:tcBorders>
            <w:shd w:val="clear" w:color="000000" w:fill="CCCCCC"/>
            <w:vAlign w:val="center"/>
          </w:tcPr>
          <w:p w14:paraId="23F37479" w14:textId="77777777" w:rsidR="00AA3D42" w:rsidRPr="005C7E22" w:rsidRDefault="00AA3D42" w:rsidP="00AA3D42">
            <w:pPr>
              <w:spacing w:line="360" w:lineRule="auto"/>
              <w:jc w:val="right"/>
              <w:rPr>
                <w:b/>
                <w:bCs/>
                <w:color w:val="000000"/>
                <w:sz w:val="20"/>
                <w:szCs w:val="20"/>
                <w:lang w:val="es-MX" w:eastAsia="es-MX"/>
              </w:rPr>
            </w:pPr>
            <w:r>
              <w:rPr>
                <w:b/>
                <w:bCs/>
                <w:color w:val="000000"/>
                <w:sz w:val="20"/>
                <w:szCs w:val="20"/>
              </w:rPr>
              <w:t>20,667,669,175.00</w:t>
            </w:r>
          </w:p>
        </w:tc>
        <w:tc>
          <w:tcPr>
            <w:tcW w:w="1153" w:type="dxa"/>
            <w:tcBorders>
              <w:top w:val="nil"/>
              <w:left w:val="nil"/>
              <w:bottom w:val="single" w:sz="8" w:space="0" w:color="A6A6A6"/>
              <w:right w:val="single" w:sz="8" w:space="0" w:color="A6A6A6"/>
            </w:tcBorders>
            <w:shd w:val="clear" w:color="000000" w:fill="CCCCCC"/>
            <w:vAlign w:val="center"/>
          </w:tcPr>
          <w:p w14:paraId="4DC811A2" w14:textId="77777777" w:rsidR="00AA3D42" w:rsidRDefault="00AA3D42" w:rsidP="00AA3D42">
            <w:pPr>
              <w:spacing w:line="360" w:lineRule="auto"/>
              <w:jc w:val="center"/>
              <w:rPr>
                <w:b/>
                <w:bCs/>
                <w:color w:val="000000"/>
                <w:sz w:val="20"/>
                <w:szCs w:val="20"/>
              </w:rPr>
            </w:pPr>
            <w:r>
              <w:rPr>
                <w:b/>
                <w:bCs/>
                <w:color w:val="000000"/>
                <w:sz w:val="20"/>
                <w:szCs w:val="20"/>
              </w:rPr>
              <w:t>100</w:t>
            </w:r>
          </w:p>
        </w:tc>
      </w:tr>
    </w:tbl>
    <w:p w14:paraId="72A6F2B5" w14:textId="77777777" w:rsidR="00AA3D42" w:rsidRPr="00955A4C" w:rsidRDefault="00AA3D42" w:rsidP="00AA3D42">
      <w:pPr>
        <w:spacing w:after="200" w:line="360" w:lineRule="auto"/>
        <w:jc w:val="both"/>
        <w:rPr>
          <w:rFonts w:eastAsia="Calibri"/>
          <w:sz w:val="20"/>
          <w:szCs w:val="20"/>
        </w:rPr>
      </w:pPr>
    </w:p>
    <w:p w14:paraId="09BA0444" w14:textId="77777777" w:rsidR="00AA3D42" w:rsidRPr="00955A4C" w:rsidRDefault="00AA3D42" w:rsidP="00AA3D42">
      <w:pPr>
        <w:spacing w:after="200" w:line="360" w:lineRule="auto"/>
        <w:jc w:val="both"/>
        <w:rPr>
          <w:rFonts w:eastAsia="Calibri"/>
          <w:sz w:val="20"/>
          <w:szCs w:val="20"/>
        </w:rPr>
      </w:pPr>
      <w:r w:rsidRPr="00955A4C">
        <w:rPr>
          <w:rFonts w:eastAsia="Calibri"/>
          <w:sz w:val="20"/>
          <w:szCs w:val="20"/>
        </w:rPr>
        <w:t xml:space="preserve">El presupuesto de recursos estatales del Poder Ejecutivo asciende a un monto total de </w:t>
      </w:r>
      <w:r>
        <w:rPr>
          <w:rFonts w:eastAsia="Calibri"/>
          <w:sz w:val="20"/>
          <w:szCs w:val="20"/>
        </w:rPr>
        <w:t>$</w:t>
      </w:r>
      <w:r w:rsidRPr="00810BEE">
        <w:rPr>
          <w:sz w:val="20"/>
          <w:szCs w:val="20"/>
          <w:lang w:eastAsia="es-MX"/>
        </w:rPr>
        <w:t>6,877,520,865.00</w:t>
      </w:r>
      <w:r w:rsidRPr="00F02440">
        <w:rPr>
          <w:rFonts w:eastAsia="Calibri"/>
          <w:sz w:val="20"/>
          <w:szCs w:val="20"/>
        </w:rPr>
        <w:t xml:space="preserve">, el cual representa un </w:t>
      </w:r>
      <w:r>
        <w:rPr>
          <w:rFonts w:eastAsia="Calibri"/>
          <w:sz w:val="20"/>
          <w:szCs w:val="20"/>
        </w:rPr>
        <w:t>dec</w:t>
      </w:r>
      <w:r w:rsidRPr="00F02440">
        <w:rPr>
          <w:rFonts w:eastAsia="Calibri"/>
          <w:sz w:val="20"/>
          <w:szCs w:val="20"/>
        </w:rPr>
        <w:t xml:space="preserve">remento porcentual de </w:t>
      </w:r>
      <w:r>
        <w:rPr>
          <w:rFonts w:eastAsia="Calibri"/>
          <w:sz w:val="20"/>
          <w:szCs w:val="20"/>
        </w:rPr>
        <w:t>6.62</w:t>
      </w:r>
      <w:r w:rsidRPr="00F02440">
        <w:rPr>
          <w:rFonts w:eastAsia="Calibri"/>
          <w:sz w:val="20"/>
          <w:szCs w:val="20"/>
        </w:rPr>
        <w:t>%</w:t>
      </w:r>
      <w:r>
        <w:rPr>
          <w:rFonts w:eastAsia="Calibri"/>
          <w:sz w:val="20"/>
          <w:szCs w:val="20"/>
        </w:rPr>
        <w:t xml:space="preserve"> respecto al ejercicio fiscal 2020</w:t>
      </w:r>
      <w:r w:rsidRPr="00F02440">
        <w:rPr>
          <w:rFonts w:eastAsia="Calibri"/>
          <w:sz w:val="20"/>
          <w:szCs w:val="20"/>
        </w:rPr>
        <w:t>.</w:t>
      </w:r>
    </w:p>
    <w:p w14:paraId="40425794" w14:textId="77777777" w:rsidR="00AA3D42" w:rsidRPr="00955A4C" w:rsidRDefault="00AA3D42" w:rsidP="00AA3D42">
      <w:pPr>
        <w:spacing w:after="200" w:line="360" w:lineRule="auto"/>
        <w:jc w:val="both"/>
        <w:rPr>
          <w:rFonts w:eastAsia="Calibri"/>
          <w:sz w:val="20"/>
          <w:szCs w:val="20"/>
        </w:rPr>
      </w:pPr>
      <w:r>
        <w:rPr>
          <w:rFonts w:eastAsia="Calibri"/>
          <w:sz w:val="20"/>
          <w:szCs w:val="20"/>
        </w:rPr>
        <w:t>De igual manera con referencia al actual ejercicio l</w:t>
      </w:r>
      <w:r w:rsidRPr="00955A4C">
        <w:rPr>
          <w:rFonts w:eastAsia="Calibri"/>
          <w:sz w:val="20"/>
          <w:szCs w:val="20"/>
        </w:rPr>
        <w:t xml:space="preserve">as Aportaciones Federales, del Ramo 33, etiquetadas en el Presupuesto de Egresos de la Federación, </w:t>
      </w:r>
      <w:r>
        <w:rPr>
          <w:rFonts w:eastAsia="Calibri"/>
          <w:sz w:val="20"/>
          <w:szCs w:val="20"/>
        </w:rPr>
        <w:t>se estima que se tenga un incremento del 1.88</w:t>
      </w:r>
      <w:r w:rsidRPr="00955A4C">
        <w:rPr>
          <w:rFonts w:eastAsia="Calibri"/>
          <w:sz w:val="20"/>
          <w:szCs w:val="20"/>
        </w:rPr>
        <w:t>%</w:t>
      </w:r>
      <w:r w:rsidRPr="00955A4C">
        <w:rPr>
          <w:rFonts w:eastAsia="Calibri"/>
          <w:color w:val="FF0000"/>
          <w:sz w:val="20"/>
          <w:szCs w:val="20"/>
        </w:rPr>
        <w:t>.</w:t>
      </w:r>
    </w:p>
    <w:p w14:paraId="4C26AF6B" w14:textId="77777777" w:rsidR="00AA3D42" w:rsidRPr="00955A4C" w:rsidRDefault="00AA3D42" w:rsidP="00AA3D42">
      <w:pPr>
        <w:spacing w:after="200" w:line="360" w:lineRule="auto"/>
        <w:jc w:val="center"/>
        <w:rPr>
          <w:rFonts w:eastAsia="Calibri"/>
          <w:b/>
          <w:sz w:val="20"/>
          <w:szCs w:val="20"/>
        </w:rPr>
      </w:pPr>
      <w:r>
        <w:rPr>
          <w:rFonts w:eastAsia="Calibri"/>
          <w:b/>
          <w:sz w:val="20"/>
          <w:szCs w:val="20"/>
        </w:rPr>
        <w:lastRenderedPageBreak/>
        <w:t>Clasificación</w:t>
      </w:r>
      <w:r w:rsidRPr="00955A4C">
        <w:rPr>
          <w:rFonts w:eastAsia="Calibri"/>
          <w:b/>
          <w:sz w:val="20"/>
          <w:szCs w:val="20"/>
        </w:rPr>
        <w:t xml:space="preserve"> por Subfuente de Financiamiento </w:t>
      </w:r>
    </w:p>
    <w:tbl>
      <w:tblPr>
        <w:tblW w:w="5122" w:type="dxa"/>
        <w:jc w:val="center"/>
        <w:tblCellMar>
          <w:left w:w="70" w:type="dxa"/>
          <w:right w:w="70" w:type="dxa"/>
        </w:tblCellMar>
        <w:tblLook w:val="04A0" w:firstRow="1" w:lastRow="0" w:firstColumn="1" w:lastColumn="0" w:noHBand="0" w:noVBand="1"/>
      </w:tblPr>
      <w:tblGrid>
        <w:gridCol w:w="3482"/>
        <w:gridCol w:w="1640"/>
      </w:tblGrid>
      <w:tr w:rsidR="00AA3D42" w:rsidRPr="00EE1ABD" w14:paraId="7FB2134D" w14:textId="77777777" w:rsidTr="005E2A35">
        <w:trPr>
          <w:trHeight w:val="567"/>
          <w:tblHeader/>
          <w:jc w:val="center"/>
        </w:trPr>
        <w:tc>
          <w:tcPr>
            <w:tcW w:w="3482" w:type="dxa"/>
            <w:tcBorders>
              <w:top w:val="single" w:sz="8" w:space="0" w:color="A6A6A6"/>
              <w:left w:val="single" w:sz="8" w:space="0" w:color="A6A6A6"/>
              <w:bottom w:val="nil"/>
              <w:right w:val="single" w:sz="8" w:space="0" w:color="A6A6A6"/>
            </w:tcBorders>
            <w:shd w:val="clear" w:color="000000" w:fill="CCCCCC"/>
            <w:vAlign w:val="center"/>
            <w:hideMark/>
          </w:tcPr>
          <w:p w14:paraId="03246FDF" w14:textId="77777777" w:rsidR="00AA3D42" w:rsidRPr="00EE1ABD" w:rsidRDefault="00AA3D42" w:rsidP="00AA3D42">
            <w:pPr>
              <w:spacing w:line="360" w:lineRule="auto"/>
              <w:jc w:val="center"/>
              <w:rPr>
                <w:b/>
                <w:bCs/>
                <w:sz w:val="20"/>
                <w:szCs w:val="20"/>
                <w:lang w:eastAsia="es-MX"/>
              </w:rPr>
            </w:pPr>
            <w:r w:rsidRPr="00EE1ABD">
              <w:rPr>
                <w:b/>
                <w:bCs/>
                <w:sz w:val="20"/>
                <w:szCs w:val="20"/>
                <w:lang w:eastAsia="es-MX"/>
              </w:rPr>
              <w:t>FUENTE DE FINANCIAMIENTO</w:t>
            </w:r>
          </w:p>
        </w:tc>
        <w:tc>
          <w:tcPr>
            <w:tcW w:w="1640" w:type="dxa"/>
            <w:tcBorders>
              <w:top w:val="single" w:sz="8" w:space="0" w:color="A6A6A6"/>
              <w:left w:val="nil"/>
              <w:bottom w:val="nil"/>
              <w:right w:val="single" w:sz="8" w:space="0" w:color="A6A6A6"/>
            </w:tcBorders>
            <w:shd w:val="clear" w:color="000000" w:fill="CCCCCC"/>
            <w:vAlign w:val="center"/>
            <w:hideMark/>
          </w:tcPr>
          <w:p w14:paraId="27E462E1" w14:textId="77777777" w:rsidR="00AA3D42" w:rsidRPr="00EE1ABD" w:rsidRDefault="00AA3D42" w:rsidP="00AA3D42">
            <w:pPr>
              <w:spacing w:line="360" w:lineRule="auto"/>
              <w:jc w:val="center"/>
              <w:rPr>
                <w:b/>
                <w:bCs/>
                <w:sz w:val="20"/>
                <w:szCs w:val="20"/>
                <w:lang w:eastAsia="es-MX"/>
              </w:rPr>
            </w:pPr>
            <w:r w:rsidRPr="00EE1ABD">
              <w:rPr>
                <w:b/>
                <w:bCs/>
                <w:sz w:val="20"/>
                <w:szCs w:val="20"/>
                <w:lang w:eastAsia="es-MX"/>
              </w:rPr>
              <w:t>MONTO</w:t>
            </w:r>
          </w:p>
        </w:tc>
      </w:tr>
      <w:tr w:rsidR="00AA3D42" w:rsidRPr="00EE1ABD" w14:paraId="738E102C" w14:textId="77777777" w:rsidTr="005E2A35">
        <w:trPr>
          <w:trHeight w:val="315"/>
          <w:jc w:val="center"/>
        </w:trPr>
        <w:tc>
          <w:tcPr>
            <w:tcW w:w="3482"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6D9B5F57" w14:textId="77777777" w:rsidR="00AA3D42" w:rsidRPr="00EE1ABD" w:rsidRDefault="00AA3D42" w:rsidP="00AA3D42">
            <w:pPr>
              <w:spacing w:line="360" w:lineRule="auto"/>
              <w:jc w:val="both"/>
              <w:rPr>
                <w:sz w:val="20"/>
                <w:szCs w:val="20"/>
                <w:lang w:eastAsia="es-MX"/>
              </w:rPr>
            </w:pPr>
            <w:r w:rsidRPr="00EE1ABD">
              <w:rPr>
                <w:sz w:val="20"/>
                <w:szCs w:val="20"/>
                <w:lang w:eastAsia="es-MX"/>
              </w:rPr>
              <w:t>Fuentes locales</w:t>
            </w:r>
          </w:p>
        </w:tc>
        <w:tc>
          <w:tcPr>
            <w:tcW w:w="1640" w:type="dxa"/>
            <w:tcBorders>
              <w:top w:val="single" w:sz="8" w:space="0" w:color="A6A6A6"/>
              <w:left w:val="nil"/>
              <w:bottom w:val="single" w:sz="8" w:space="0" w:color="A6A6A6"/>
              <w:right w:val="single" w:sz="8" w:space="0" w:color="A6A6A6"/>
            </w:tcBorders>
            <w:shd w:val="clear" w:color="auto" w:fill="auto"/>
            <w:vAlign w:val="center"/>
          </w:tcPr>
          <w:p w14:paraId="7CA57BDF" w14:textId="77777777" w:rsidR="00AA3D42" w:rsidRPr="00EE1ABD" w:rsidRDefault="00AA3D42" w:rsidP="00AA3D42">
            <w:pPr>
              <w:spacing w:line="360" w:lineRule="auto"/>
              <w:jc w:val="right"/>
              <w:rPr>
                <w:sz w:val="20"/>
                <w:szCs w:val="20"/>
              </w:rPr>
            </w:pPr>
            <w:r>
              <w:rPr>
                <w:sz w:val="20"/>
                <w:szCs w:val="20"/>
              </w:rPr>
              <w:t>905,130,430.00</w:t>
            </w:r>
          </w:p>
        </w:tc>
      </w:tr>
      <w:tr w:rsidR="00AA3D42" w:rsidRPr="00EE1ABD" w14:paraId="001B0545" w14:textId="77777777" w:rsidTr="005E2A35">
        <w:trPr>
          <w:trHeight w:val="41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14:paraId="2C0F530F" w14:textId="77777777" w:rsidR="00AA3D42" w:rsidRPr="00EE1ABD" w:rsidRDefault="00AA3D42" w:rsidP="00AA3D42">
            <w:pPr>
              <w:spacing w:line="360" w:lineRule="auto"/>
              <w:jc w:val="both"/>
              <w:rPr>
                <w:sz w:val="20"/>
                <w:szCs w:val="20"/>
                <w:lang w:eastAsia="es-MX"/>
              </w:rPr>
            </w:pPr>
            <w:r w:rsidRPr="00EE1ABD">
              <w:rPr>
                <w:sz w:val="20"/>
                <w:szCs w:val="20"/>
                <w:lang w:eastAsia="es-MX"/>
              </w:rPr>
              <w:t>Participaciones e Incentivos</w:t>
            </w:r>
          </w:p>
        </w:tc>
        <w:tc>
          <w:tcPr>
            <w:tcW w:w="1640" w:type="dxa"/>
            <w:tcBorders>
              <w:top w:val="nil"/>
              <w:left w:val="nil"/>
              <w:bottom w:val="single" w:sz="8" w:space="0" w:color="A6A6A6"/>
              <w:right w:val="single" w:sz="8" w:space="0" w:color="A6A6A6"/>
            </w:tcBorders>
            <w:shd w:val="clear" w:color="auto" w:fill="auto"/>
            <w:vAlign w:val="center"/>
          </w:tcPr>
          <w:p w14:paraId="62F22FA7" w14:textId="77777777" w:rsidR="00AA3D42" w:rsidRPr="00EE1ABD" w:rsidRDefault="00AA3D42" w:rsidP="00AA3D42">
            <w:pPr>
              <w:spacing w:line="360" w:lineRule="auto"/>
              <w:jc w:val="right"/>
              <w:rPr>
                <w:sz w:val="20"/>
                <w:szCs w:val="20"/>
              </w:rPr>
            </w:pPr>
            <w:r>
              <w:rPr>
                <w:sz w:val="20"/>
                <w:szCs w:val="20"/>
              </w:rPr>
              <w:t>5,972,390,435.00</w:t>
            </w:r>
          </w:p>
        </w:tc>
      </w:tr>
      <w:tr w:rsidR="00AA3D42" w:rsidRPr="00EE1ABD" w14:paraId="3EBDDB95" w14:textId="77777777" w:rsidTr="005E2A35">
        <w:trPr>
          <w:trHeight w:val="330"/>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14:paraId="27A5D540" w14:textId="77777777" w:rsidR="00AA3D42" w:rsidRPr="00EE1ABD" w:rsidRDefault="00AA3D42" w:rsidP="00AA3D42">
            <w:pPr>
              <w:spacing w:line="360" w:lineRule="auto"/>
              <w:jc w:val="both"/>
              <w:rPr>
                <w:b/>
                <w:bCs/>
                <w:sz w:val="20"/>
                <w:szCs w:val="20"/>
                <w:lang w:eastAsia="es-MX"/>
              </w:rPr>
            </w:pPr>
            <w:r w:rsidRPr="00EE1ABD">
              <w:rPr>
                <w:b/>
                <w:bCs/>
                <w:sz w:val="20"/>
                <w:szCs w:val="20"/>
                <w:lang w:eastAsia="es-MX"/>
              </w:rPr>
              <w:t>SUBTOTAL ESTATALES</w:t>
            </w:r>
          </w:p>
        </w:tc>
        <w:tc>
          <w:tcPr>
            <w:tcW w:w="1640" w:type="dxa"/>
            <w:tcBorders>
              <w:top w:val="nil"/>
              <w:left w:val="nil"/>
              <w:bottom w:val="single" w:sz="8" w:space="0" w:color="A6A6A6"/>
              <w:right w:val="single" w:sz="8" w:space="0" w:color="A6A6A6"/>
            </w:tcBorders>
            <w:shd w:val="clear" w:color="auto" w:fill="auto"/>
            <w:vAlign w:val="center"/>
          </w:tcPr>
          <w:p w14:paraId="1FF2C009" w14:textId="77777777" w:rsidR="00AA3D42" w:rsidRPr="00371295" w:rsidRDefault="00AA3D42" w:rsidP="00AA3D42">
            <w:pPr>
              <w:spacing w:line="360" w:lineRule="auto"/>
              <w:jc w:val="right"/>
              <w:rPr>
                <w:b/>
                <w:sz w:val="20"/>
                <w:szCs w:val="20"/>
              </w:rPr>
            </w:pPr>
            <w:r>
              <w:rPr>
                <w:b/>
                <w:sz w:val="20"/>
                <w:szCs w:val="20"/>
                <w:lang w:eastAsia="es-MX"/>
              </w:rPr>
              <w:t>6,877,520,865.00</w:t>
            </w:r>
          </w:p>
        </w:tc>
      </w:tr>
      <w:tr w:rsidR="00AA3D42" w:rsidRPr="00EE1ABD" w14:paraId="1A4A7B7B" w14:textId="77777777" w:rsidTr="005E2A35">
        <w:trPr>
          <w:trHeight w:val="357"/>
          <w:jc w:val="center"/>
        </w:trPr>
        <w:tc>
          <w:tcPr>
            <w:tcW w:w="3482" w:type="dxa"/>
            <w:tcBorders>
              <w:top w:val="nil"/>
              <w:left w:val="single" w:sz="8" w:space="0" w:color="A6A6A6"/>
              <w:bottom w:val="single" w:sz="8" w:space="0" w:color="A6A6A6"/>
              <w:right w:val="single" w:sz="8" w:space="0" w:color="A6A6A6"/>
            </w:tcBorders>
            <w:shd w:val="clear" w:color="auto" w:fill="auto"/>
            <w:vAlign w:val="center"/>
            <w:hideMark/>
          </w:tcPr>
          <w:p w14:paraId="149DB374" w14:textId="77777777" w:rsidR="00AA3D42" w:rsidRPr="00EE1ABD" w:rsidRDefault="00AA3D42" w:rsidP="00AA3D42">
            <w:pPr>
              <w:spacing w:line="360" w:lineRule="auto"/>
              <w:jc w:val="both"/>
              <w:rPr>
                <w:sz w:val="20"/>
                <w:szCs w:val="20"/>
                <w:lang w:eastAsia="es-MX"/>
              </w:rPr>
            </w:pPr>
            <w:r w:rsidRPr="00EE1ABD">
              <w:rPr>
                <w:sz w:val="20"/>
                <w:szCs w:val="20"/>
                <w:lang w:eastAsia="es-MX"/>
              </w:rPr>
              <w:t>Aportaciones Federales</w:t>
            </w:r>
          </w:p>
        </w:tc>
        <w:tc>
          <w:tcPr>
            <w:tcW w:w="1640" w:type="dxa"/>
            <w:tcBorders>
              <w:top w:val="nil"/>
              <w:left w:val="nil"/>
              <w:bottom w:val="single" w:sz="8" w:space="0" w:color="A6A6A6"/>
              <w:right w:val="single" w:sz="8" w:space="0" w:color="A6A6A6"/>
            </w:tcBorders>
            <w:shd w:val="clear" w:color="auto" w:fill="auto"/>
            <w:vAlign w:val="center"/>
          </w:tcPr>
          <w:p w14:paraId="00FA3832" w14:textId="77777777" w:rsidR="00AA3D42" w:rsidRPr="00EE1ABD" w:rsidRDefault="00AA3D42" w:rsidP="00AA3D42">
            <w:pPr>
              <w:spacing w:line="360" w:lineRule="auto"/>
              <w:jc w:val="right"/>
              <w:rPr>
                <w:sz w:val="20"/>
                <w:szCs w:val="20"/>
              </w:rPr>
            </w:pPr>
            <w:r w:rsidRPr="00834250">
              <w:rPr>
                <w:sz w:val="20"/>
                <w:szCs w:val="20"/>
              </w:rPr>
              <w:t>8,850,832,510.00</w:t>
            </w:r>
          </w:p>
        </w:tc>
      </w:tr>
      <w:tr w:rsidR="00AA3D42" w:rsidRPr="00EE1ABD" w14:paraId="49B81197" w14:textId="77777777" w:rsidTr="005E2A35">
        <w:trPr>
          <w:trHeight w:val="330"/>
          <w:jc w:val="center"/>
        </w:trPr>
        <w:tc>
          <w:tcPr>
            <w:tcW w:w="3482" w:type="dxa"/>
            <w:tcBorders>
              <w:top w:val="nil"/>
              <w:left w:val="single" w:sz="8" w:space="0" w:color="A6A6A6"/>
              <w:bottom w:val="single" w:sz="8" w:space="0" w:color="A6A6A6"/>
              <w:right w:val="single" w:sz="8" w:space="0" w:color="A6A6A6"/>
            </w:tcBorders>
            <w:shd w:val="clear" w:color="000000" w:fill="CCCCCC"/>
            <w:vAlign w:val="center"/>
            <w:hideMark/>
          </w:tcPr>
          <w:p w14:paraId="366FE2B2" w14:textId="77777777" w:rsidR="00AA3D42" w:rsidRPr="00EE1ABD" w:rsidRDefault="00AA3D42" w:rsidP="00AA3D42">
            <w:pPr>
              <w:spacing w:line="360" w:lineRule="auto"/>
              <w:jc w:val="center"/>
              <w:rPr>
                <w:b/>
                <w:bCs/>
                <w:sz w:val="20"/>
                <w:szCs w:val="20"/>
                <w:lang w:eastAsia="es-MX"/>
              </w:rPr>
            </w:pPr>
            <w:r w:rsidRPr="00EE1ABD">
              <w:rPr>
                <w:b/>
                <w:bCs/>
                <w:sz w:val="20"/>
                <w:szCs w:val="20"/>
                <w:lang w:eastAsia="es-MX"/>
              </w:rPr>
              <w:t>TOTAL</w:t>
            </w:r>
          </w:p>
        </w:tc>
        <w:tc>
          <w:tcPr>
            <w:tcW w:w="1640" w:type="dxa"/>
            <w:tcBorders>
              <w:top w:val="nil"/>
              <w:left w:val="nil"/>
              <w:bottom w:val="single" w:sz="8" w:space="0" w:color="A6A6A6"/>
              <w:right w:val="single" w:sz="8" w:space="0" w:color="A6A6A6"/>
            </w:tcBorders>
            <w:shd w:val="clear" w:color="000000" w:fill="CCCCCC"/>
            <w:vAlign w:val="center"/>
          </w:tcPr>
          <w:p w14:paraId="7D5890CD" w14:textId="77777777" w:rsidR="00AA3D42" w:rsidRPr="00EE1ABD" w:rsidRDefault="00AA3D42" w:rsidP="00AA3D42">
            <w:pPr>
              <w:spacing w:line="360" w:lineRule="auto"/>
              <w:jc w:val="right"/>
              <w:rPr>
                <w:b/>
                <w:sz w:val="20"/>
                <w:szCs w:val="20"/>
                <w:lang w:eastAsia="es-MX"/>
              </w:rPr>
            </w:pPr>
            <w:r>
              <w:rPr>
                <w:b/>
                <w:sz w:val="20"/>
                <w:szCs w:val="20"/>
                <w:lang w:eastAsia="es-MX"/>
              </w:rPr>
              <w:t>15,728,353,375.00</w:t>
            </w:r>
          </w:p>
        </w:tc>
      </w:tr>
    </w:tbl>
    <w:p w14:paraId="3587B748" w14:textId="77777777" w:rsidR="00AA3D42" w:rsidRDefault="00AA3D42" w:rsidP="00AA3D42">
      <w:pPr>
        <w:spacing w:after="200" w:line="360" w:lineRule="auto"/>
        <w:jc w:val="both"/>
        <w:rPr>
          <w:rFonts w:eastAsia="Calibri"/>
          <w:b/>
          <w:sz w:val="20"/>
          <w:szCs w:val="20"/>
        </w:rPr>
      </w:pPr>
    </w:p>
    <w:p w14:paraId="328F0E70" w14:textId="77777777" w:rsidR="00AA3D42" w:rsidRDefault="00AA3D42" w:rsidP="00AA3D42">
      <w:pPr>
        <w:spacing w:after="200" w:line="360" w:lineRule="auto"/>
        <w:jc w:val="center"/>
        <w:rPr>
          <w:rFonts w:eastAsia="Calibri"/>
          <w:b/>
          <w:sz w:val="20"/>
          <w:szCs w:val="20"/>
        </w:rPr>
      </w:pPr>
      <w:r>
        <w:rPr>
          <w:rFonts w:eastAsia="Calibri"/>
          <w:b/>
          <w:sz w:val="20"/>
          <w:szCs w:val="20"/>
        </w:rPr>
        <w:t>Clasificación por Finalidad</w:t>
      </w:r>
    </w:p>
    <w:tbl>
      <w:tblPr>
        <w:tblW w:w="484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60"/>
        <w:gridCol w:w="1640"/>
        <w:gridCol w:w="645"/>
      </w:tblGrid>
      <w:tr w:rsidR="00AA3D42" w:rsidRPr="00C408B5" w14:paraId="0B2B4956" w14:textId="77777777" w:rsidTr="005E2A35">
        <w:trPr>
          <w:trHeight w:val="300"/>
          <w:tblHeader/>
          <w:jc w:val="center"/>
        </w:trPr>
        <w:tc>
          <w:tcPr>
            <w:tcW w:w="2560" w:type="dxa"/>
            <w:shd w:val="clear" w:color="000000" w:fill="D9D9D9"/>
            <w:noWrap/>
            <w:vAlign w:val="bottom"/>
            <w:hideMark/>
          </w:tcPr>
          <w:p w14:paraId="3529AAE4" w14:textId="77777777" w:rsidR="00AA3D42" w:rsidRPr="00C408B5" w:rsidRDefault="00AA3D42" w:rsidP="00AA3D42">
            <w:pPr>
              <w:spacing w:line="360" w:lineRule="auto"/>
              <w:jc w:val="center"/>
              <w:rPr>
                <w:b/>
                <w:bCs/>
                <w:color w:val="000000"/>
                <w:sz w:val="20"/>
                <w:szCs w:val="20"/>
                <w:lang w:val="es-MX" w:eastAsia="es-MX"/>
              </w:rPr>
            </w:pPr>
            <w:r w:rsidRPr="00C408B5">
              <w:rPr>
                <w:b/>
                <w:bCs/>
                <w:color w:val="000000"/>
                <w:sz w:val="20"/>
                <w:szCs w:val="20"/>
                <w:lang w:val="es-MX" w:eastAsia="es-MX"/>
              </w:rPr>
              <w:t>FINALIDAD</w:t>
            </w:r>
          </w:p>
        </w:tc>
        <w:tc>
          <w:tcPr>
            <w:tcW w:w="1640" w:type="dxa"/>
            <w:shd w:val="clear" w:color="000000" w:fill="D9D9D9"/>
            <w:noWrap/>
            <w:vAlign w:val="bottom"/>
            <w:hideMark/>
          </w:tcPr>
          <w:p w14:paraId="1A8DBC41" w14:textId="77777777" w:rsidR="00AA3D42" w:rsidRPr="00C408B5" w:rsidRDefault="00AA3D42" w:rsidP="00AA3D42">
            <w:pPr>
              <w:spacing w:line="360" w:lineRule="auto"/>
              <w:jc w:val="center"/>
              <w:rPr>
                <w:b/>
                <w:bCs/>
                <w:color w:val="000000"/>
                <w:sz w:val="20"/>
                <w:szCs w:val="20"/>
                <w:lang w:val="es-MX" w:eastAsia="es-MX"/>
              </w:rPr>
            </w:pPr>
            <w:r w:rsidRPr="00C408B5">
              <w:rPr>
                <w:b/>
                <w:bCs/>
                <w:color w:val="000000"/>
                <w:sz w:val="20"/>
                <w:szCs w:val="20"/>
                <w:lang w:val="es-MX" w:eastAsia="es-MX"/>
              </w:rPr>
              <w:t>2020</w:t>
            </w:r>
          </w:p>
        </w:tc>
        <w:tc>
          <w:tcPr>
            <w:tcW w:w="645" w:type="dxa"/>
            <w:shd w:val="clear" w:color="000000" w:fill="D9D9D9"/>
            <w:noWrap/>
            <w:vAlign w:val="bottom"/>
            <w:hideMark/>
          </w:tcPr>
          <w:p w14:paraId="4A7BD1C5" w14:textId="77777777" w:rsidR="00AA3D42" w:rsidRPr="00C408B5" w:rsidRDefault="00AA3D42" w:rsidP="00AA3D42">
            <w:pPr>
              <w:spacing w:line="360" w:lineRule="auto"/>
              <w:jc w:val="center"/>
              <w:rPr>
                <w:b/>
                <w:bCs/>
                <w:color w:val="000000"/>
                <w:sz w:val="20"/>
                <w:szCs w:val="20"/>
                <w:lang w:val="es-MX" w:eastAsia="es-MX"/>
              </w:rPr>
            </w:pPr>
            <w:r w:rsidRPr="00C408B5">
              <w:rPr>
                <w:b/>
                <w:bCs/>
                <w:color w:val="000000"/>
                <w:sz w:val="20"/>
                <w:szCs w:val="20"/>
                <w:lang w:val="es-MX" w:eastAsia="es-MX"/>
              </w:rPr>
              <w:t>%</w:t>
            </w:r>
          </w:p>
        </w:tc>
      </w:tr>
      <w:tr w:rsidR="00AA3D42" w:rsidRPr="00C408B5" w14:paraId="1BA9098D" w14:textId="77777777" w:rsidTr="005E2A35">
        <w:trPr>
          <w:trHeight w:val="300"/>
          <w:jc w:val="center"/>
        </w:trPr>
        <w:tc>
          <w:tcPr>
            <w:tcW w:w="2560" w:type="dxa"/>
            <w:shd w:val="clear" w:color="auto" w:fill="auto"/>
            <w:noWrap/>
            <w:vAlign w:val="bottom"/>
            <w:hideMark/>
          </w:tcPr>
          <w:p w14:paraId="16A928C2" w14:textId="77777777" w:rsidR="00AA3D42" w:rsidRPr="00C408B5" w:rsidRDefault="00AA3D42" w:rsidP="00AA3D42">
            <w:pPr>
              <w:spacing w:line="360" w:lineRule="auto"/>
              <w:rPr>
                <w:color w:val="000000"/>
                <w:sz w:val="20"/>
                <w:szCs w:val="20"/>
                <w:lang w:val="es-MX" w:eastAsia="es-MX"/>
              </w:rPr>
            </w:pPr>
            <w:r w:rsidRPr="00C408B5">
              <w:rPr>
                <w:color w:val="000000"/>
                <w:sz w:val="20"/>
                <w:szCs w:val="20"/>
                <w:lang w:val="es-MX" w:eastAsia="es-MX"/>
              </w:rPr>
              <w:t>Gobierno</w:t>
            </w:r>
          </w:p>
        </w:tc>
        <w:tc>
          <w:tcPr>
            <w:tcW w:w="1640" w:type="dxa"/>
            <w:shd w:val="clear" w:color="auto" w:fill="auto"/>
            <w:noWrap/>
            <w:vAlign w:val="bottom"/>
            <w:hideMark/>
          </w:tcPr>
          <w:p w14:paraId="728D5D03"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3,022,219,437.00</w:t>
            </w:r>
          </w:p>
        </w:tc>
        <w:tc>
          <w:tcPr>
            <w:tcW w:w="645" w:type="dxa"/>
            <w:shd w:val="clear" w:color="auto" w:fill="auto"/>
            <w:noWrap/>
            <w:vAlign w:val="bottom"/>
            <w:hideMark/>
          </w:tcPr>
          <w:p w14:paraId="34362152"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19.2</w:t>
            </w:r>
          </w:p>
        </w:tc>
      </w:tr>
      <w:tr w:rsidR="00AA3D42" w:rsidRPr="00C408B5" w14:paraId="44A59B7D" w14:textId="77777777" w:rsidTr="005E2A35">
        <w:trPr>
          <w:trHeight w:val="300"/>
          <w:jc w:val="center"/>
        </w:trPr>
        <w:tc>
          <w:tcPr>
            <w:tcW w:w="2560" w:type="dxa"/>
            <w:shd w:val="clear" w:color="auto" w:fill="auto"/>
            <w:noWrap/>
            <w:vAlign w:val="bottom"/>
            <w:hideMark/>
          </w:tcPr>
          <w:p w14:paraId="3EE039FE" w14:textId="77777777" w:rsidR="00AA3D42" w:rsidRPr="00C408B5" w:rsidRDefault="00AA3D42" w:rsidP="00AA3D42">
            <w:pPr>
              <w:spacing w:line="360" w:lineRule="auto"/>
              <w:rPr>
                <w:color w:val="000000"/>
                <w:sz w:val="20"/>
                <w:szCs w:val="20"/>
                <w:lang w:val="es-MX" w:eastAsia="es-MX"/>
              </w:rPr>
            </w:pPr>
            <w:r w:rsidRPr="00C408B5">
              <w:rPr>
                <w:color w:val="000000"/>
                <w:sz w:val="20"/>
                <w:szCs w:val="20"/>
                <w:lang w:val="es-MX" w:eastAsia="es-MX"/>
              </w:rPr>
              <w:t xml:space="preserve">Desarrollo Social </w:t>
            </w:r>
          </w:p>
        </w:tc>
        <w:tc>
          <w:tcPr>
            <w:tcW w:w="1640" w:type="dxa"/>
            <w:shd w:val="clear" w:color="auto" w:fill="auto"/>
            <w:noWrap/>
            <w:vAlign w:val="bottom"/>
            <w:hideMark/>
          </w:tcPr>
          <w:p w14:paraId="3B1DA1F6"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12,245,545,048.00</w:t>
            </w:r>
          </w:p>
        </w:tc>
        <w:tc>
          <w:tcPr>
            <w:tcW w:w="645" w:type="dxa"/>
            <w:shd w:val="clear" w:color="auto" w:fill="auto"/>
            <w:noWrap/>
            <w:vAlign w:val="bottom"/>
            <w:hideMark/>
          </w:tcPr>
          <w:p w14:paraId="7ADB284A"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77.9</w:t>
            </w:r>
          </w:p>
        </w:tc>
      </w:tr>
      <w:tr w:rsidR="00AA3D42" w:rsidRPr="00C408B5" w14:paraId="1170F83A" w14:textId="77777777" w:rsidTr="005E2A35">
        <w:trPr>
          <w:trHeight w:val="300"/>
          <w:jc w:val="center"/>
        </w:trPr>
        <w:tc>
          <w:tcPr>
            <w:tcW w:w="2560" w:type="dxa"/>
            <w:shd w:val="clear" w:color="auto" w:fill="auto"/>
            <w:noWrap/>
            <w:vAlign w:val="bottom"/>
            <w:hideMark/>
          </w:tcPr>
          <w:p w14:paraId="204AE6F3" w14:textId="77777777" w:rsidR="00AA3D42" w:rsidRPr="00C408B5" w:rsidRDefault="00AA3D42" w:rsidP="00AA3D42">
            <w:pPr>
              <w:spacing w:line="360" w:lineRule="auto"/>
              <w:rPr>
                <w:color w:val="000000"/>
                <w:sz w:val="20"/>
                <w:szCs w:val="20"/>
                <w:lang w:val="es-MX" w:eastAsia="es-MX"/>
              </w:rPr>
            </w:pPr>
            <w:r w:rsidRPr="00C408B5">
              <w:rPr>
                <w:color w:val="000000"/>
                <w:sz w:val="20"/>
                <w:szCs w:val="20"/>
                <w:lang w:val="es-MX" w:eastAsia="es-MX"/>
              </w:rPr>
              <w:t>Desarrollo Económico</w:t>
            </w:r>
          </w:p>
        </w:tc>
        <w:tc>
          <w:tcPr>
            <w:tcW w:w="1640" w:type="dxa"/>
            <w:shd w:val="clear" w:color="auto" w:fill="auto"/>
            <w:noWrap/>
            <w:vAlign w:val="bottom"/>
            <w:hideMark/>
          </w:tcPr>
          <w:p w14:paraId="748AB843"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460,588,890.00</w:t>
            </w:r>
          </w:p>
        </w:tc>
        <w:tc>
          <w:tcPr>
            <w:tcW w:w="645" w:type="dxa"/>
            <w:shd w:val="clear" w:color="auto" w:fill="auto"/>
            <w:noWrap/>
            <w:vAlign w:val="bottom"/>
            <w:hideMark/>
          </w:tcPr>
          <w:p w14:paraId="08CBE731" w14:textId="77777777" w:rsidR="00AA3D42" w:rsidRPr="00C408B5" w:rsidRDefault="00AA3D42" w:rsidP="00AA3D42">
            <w:pPr>
              <w:spacing w:line="360" w:lineRule="auto"/>
              <w:jc w:val="right"/>
              <w:rPr>
                <w:color w:val="000000"/>
                <w:sz w:val="20"/>
                <w:szCs w:val="20"/>
                <w:lang w:val="es-MX" w:eastAsia="es-MX"/>
              </w:rPr>
            </w:pPr>
            <w:r>
              <w:rPr>
                <w:color w:val="000000"/>
                <w:sz w:val="20"/>
                <w:szCs w:val="20"/>
                <w:lang w:val="es-MX" w:eastAsia="es-MX"/>
              </w:rPr>
              <w:t>2.9</w:t>
            </w:r>
          </w:p>
        </w:tc>
      </w:tr>
      <w:tr w:rsidR="00AA3D42" w:rsidRPr="00C408B5" w14:paraId="1159CF42" w14:textId="77777777" w:rsidTr="005E2A35">
        <w:trPr>
          <w:trHeight w:val="300"/>
          <w:jc w:val="center"/>
        </w:trPr>
        <w:tc>
          <w:tcPr>
            <w:tcW w:w="2560" w:type="dxa"/>
            <w:shd w:val="clear" w:color="auto" w:fill="D9D9D9" w:themeFill="background1" w:themeFillShade="D9"/>
            <w:noWrap/>
            <w:vAlign w:val="bottom"/>
            <w:hideMark/>
          </w:tcPr>
          <w:p w14:paraId="35EF901A" w14:textId="77777777" w:rsidR="00AA3D42" w:rsidRPr="00C408B5" w:rsidRDefault="00AA3D42" w:rsidP="00AA3D42">
            <w:pPr>
              <w:spacing w:line="360" w:lineRule="auto"/>
              <w:jc w:val="center"/>
              <w:rPr>
                <w:b/>
                <w:bCs/>
                <w:color w:val="000000"/>
                <w:sz w:val="20"/>
                <w:szCs w:val="20"/>
                <w:lang w:val="es-MX" w:eastAsia="es-MX"/>
              </w:rPr>
            </w:pPr>
            <w:r w:rsidRPr="00C408B5">
              <w:rPr>
                <w:b/>
                <w:bCs/>
                <w:color w:val="000000"/>
                <w:sz w:val="20"/>
                <w:szCs w:val="20"/>
                <w:lang w:val="es-MX" w:eastAsia="es-MX"/>
              </w:rPr>
              <w:t>TOTAL</w:t>
            </w:r>
          </w:p>
        </w:tc>
        <w:tc>
          <w:tcPr>
            <w:tcW w:w="1640" w:type="dxa"/>
            <w:shd w:val="clear" w:color="auto" w:fill="D9D9D9" w:themeFill="background1" w:themeFillShade="D9"/>
            <w:noWrap/>
            <w:vAlign w:val="bottom"/>
            <w:hideMark/>
          </w:tcPr>
          <w:p w14:paraId="427816C7" w14:textId="77777777" w:rsidR="00AA3D42" w:rsidRPr="00C408B5" w:rsidRDefault="00AA3D42" w:rsidP="00AA3D42">
            <w:pPr>
              <w:spacing w:line="360" w:lineRule="auto"/>
              <w:jc w:val="right"/>
              <w:rPr>
                <w:b/>
                <w:bCs/>
                <w:color w:val="000000"/>
                <w:sz w:val="20"/>
                <w:szCs w:val="20"/>
                <w:lang w:val="es-MX" w:eastAsia="es-MX"/>
              </w:rPr>
            </w:pPr>
            <w:r w:rsidRPr="00A378B5">
              <w:rPr>
                <w:b/>
                <w:bCs/>
                <w:color w:val="000000"/>
                <w:sz w:val="20"/>
                <w:szCs w:val="20"/>
                <w:lang w:val="es-MX" w:eastAsia="es-MX"/>
              </w:rPr>
              <w:t>1</w:t>
            </w:r>
            <w:r>
              <w:rPr>
                <w:b/>
                <w:bCs/>
                <w:color w:val="000000"/>
                <w:sz w:val="20"/>
                <w:szCs w:val="20"/>
                <w:lang w:val="es-MX" w:eastAsia="es-MX"/>
              </w:rPr>
              <w:t>5,728,353,375.00</w:t>
            </w:r>
          </w:p>
        </w:tc>
        <w:tc>
          <w:tcPr>
            <w:tcW w:w="645" w:type="dxa"/>
            <w:shd w:val="clear" w:color="auto" w:fill="D9D9D9" w:themeFill="background1" w:themeFillShade="D9"/>
            <w:noWrap/>
            <w:vAlign w:val="bottom"/>
            <w:hideMark/>
          </w:tcPr>
          <w:p w14:paraId="140EA843" w14:textId="77777777" w:rsidR="00AA3D42" w:rsidRPr="00C408B5" w:rsidRDefault="00AA3D42" w:rsidP="00AA3D42">
            <w:pPr>
              <w:spacing w:line="360" w:lineRule="auto"/>
              <w:jc w:val="right"/>
              <w:rPr>
                <w:b/>
                <w:bCs/>
                <w:color w:val="000000"/>
                <w:sz w:val="20"/>
                <w:szCs w:val="20"/>
                <w:lang w:val="es-MX" w:eastAsia="es-MX"/>
              </w:rPr>
            </w:pPr>
            <w:r w:rsidRPr="00C408B5">
              <w:rPr>
                <w:b/>
                <w:bCs/>
                <w:color w:val="000000"/>
                <w:sz w:val="20"/>
                <w:szCs w:val="20"/>
                <w:lang w:val="es-MX" w:eastAsia="es-MX"/>
              </w:rPr>
              <w:t>100.0</w:t>
            </w:r>
          </w:p>
        </w:tc>
      </w:tr>
    </w:tbl>
    <w:p w14:paraId="3D70E44E" w14:textId="77777777" w:rsidR="00AA3D42" w:rsidRDefault="00AA3D42" w:rsidP="00AA3D42">
      <w:pPr>
        <w:spacing w:after="200" w:line="360" w:lineRule="auto"/>
        <w:jc w:val="both"/>
        <w:rPr>
          <w:rFonts w:eastAsia="Calibri"/>
          <w:b/>
          <w:sz w:val="20"/>
          <w:szCs w:val="20"/>
        </w:rPr>
      </w:pPr>
    </w:p>
    <w:p w14:paraId="2EF34932" w14:textId="77777777" w:rsidR="00AA3D42" w:rsidRDefault="00AA3D42" w:rsidP="00AA3D42">
      <w:pPr>
        <w:spacing w:after="200" w:line="360" w:lineRule="auto"/>
        <w:jc w:val="both"/>
        <w:rPr>
          <w:sz w:val="20"/>
          <w:szCs w:val="20"/>
        </w:rPr>
      </w:pPr>
      <w:r>
        <w:rPr>
          <w:sz w:val="20"/>
          <w:szCs w:val="20"/>
        </w:rPr>
        <w:t>De acuerdo a la anterior clasificación, l</w:t>
      </w:r>
      <w:r w:rsidRPr="00E3371A">
        <w:rPr>
          <w:sz w:val="20"/>
          <w:szCs w:val="20"/>
        </w:rPr>
        <w:t xml:space="preserve">a política de desarrollo social en el Estado de Tlaxcala, vinculada y coordinada con la política de planeación nacional, promueve, respeta, protege y garantiza los derechos sociales de la población, en cumplimiento a lo establecido en la Constitución Política de los Estados Unidos Mexicanos, Constitución Política del Estado Libre y Soberano de Tlaxcala, Ley General de Desarrollo Social, Ley de Desarrollo Social del Estado de Tlaxcala y Ley de los Derechos de Niñas, Niños y Adolescentes del Estado de Tlaxcala. </w:t>
      </w:r>
    </w:p>
    <w:p w14:paraId="464BDA3B" w14:textId="77777777" w:rsidR="00AA3D42" w:rsidRPr="00955A4C" w:rsidRDefault="00AA3D42" w:rsidP="00AA3D42">
      <w:pPr>
        <w:spacing w:after="200" w:line="360" w:lineRule="auto"/>
        <w:jc w:val="center"/>
        <w:rPr>
          <w:rFonts w:eastAsia="Calibri"/>
          <w:b/>
          <w:sz w:val="20"/>
          <w:szCs w:val="20"/>
        </w:rPr>
      </w:pPr>
      <w:r w:rsidRPr="00955A4C">
        <w:rPr>
          <w:rFonts w:eastAsia="Calibri"/>
          <w:b/>
          <w:sz w:val="20"/>
          <w:szCs w:val="20"/>
        </w:rPr>
        <w:t>PODERES Y ÓRGANOS AUTÓNOMOS</w:t>
      </w:r>
    </w:p>
    <w:tbl>
      <w:tblPr>
        <w:tblW w:w="7170" w:type="dxa"/>
        <w:jc w:val="center"/>
        <w:tblCellMar>
          <w:left w:w="70" w:type="dxa"/>
          <w:right w:w="70" w:type="dxa"/>
        </w:tblCellMar>
        <w:tblLook w:val="04A0" w:firstRow="1" w:lastRow="0" w:firstColumn="1" w:lastColumn="0" w:noHBand="0" w:noVBand="1"/>
      </w:tblPr>
      <w:tblGrid>
        <w:gridCol w:w="2282"/>
        <w:gridCol w:w="1518"/>
        <w:gridCol w:w="1830"/>
        <w:gridCol w:w="1540"/>
      </w:tblGrid>
      <w:tr w:rsidR="00AA3D42" w:rsidRPr="00955A4C" w14:paraId="28CAB666" w14:textId="77777777" w:rsidTr="005E2A35">
        <w:trPr>
          <w:trHeight w:val="960"/>
          <w:tblHeader/>
          <w:jc w:val="center"/>
        </w:trPr>
        <w:tc>
          <w:tcPr>
            <w:tcW w:w="2338" w:type="dxa"/>
            <w:tcBorders>
              <w:top w:val="single" w:sz="8" w:space="0" w:color="A6A6A6"/>
              <w:left w:val="single" w:sz="8" w:space="0" w:color="A6A6A6"/>
              <w:bottom w:val="nil"/>
              <w:right w:val="single" w:sz="8" w:space="0" w:color="A6A6A6"/>
            </w:tcBorders>
            <w:shd w:val="clear" w:color="000000" w:fill="CCCCCC"/>
            <w:vAlign w:val="center"/>
            <w:hideMark/>
          </w:tcPr>
          <w:p w14:paraId="66FFE5D1" w14:textId="77777777" w:rsidR="00AA3D42" w:rsidRDefault="00AA3D42" w:rsidP="00AA3D42">
            <w:pPr>
              <w:spacing w:line="360" w:lineRule="auto"/>
              <w:jc w:val="center"/>
              <w:rPr>
                <w:b/>
                <w:bCs/>
                <w:color w:val="000000"/>
                <w:sz w:val="20"/>
                <w:szCs w:val="20"/>
                <w:lang w:val="es-MX" w:eastAsia="es-MX"/>
              </w:rPr>
            </w:pPr>
            <w:r>
              <w:rPr>
                <w:b/>
                <w:bCs/>
                <w:color w:val="000000"/>
                <w:sz w:val="20"/>
                <w:szCs w:val="20"/>
              </w:rPr>
              <w:t>PODERES Y ÓRGANOS AUTÓNOMOS</w:t>
            </w:r>
          </w:p>
        </w:tc>
        <w:tc>
          <w:tcPr>
            <w:tcW w:w="1518" w:type="dxa"/>
            <w:tcBorders>
              <w:top w:val="single" w:sz="8" w:space="0" w:color="A6A6A6"/>
              <w:left w:val="nil"/>
              <w:bottom w:val="nil"/>
              <w:right w:val="single" w:sz="8" w:space="0" w:color="A6A6A6"/>
            </w:tcBorders>
            <w:shd w:val="clear" w:color="000000" w:fill="CCCCCC"/>
            <w:vAlign w:val="center"/>
            <w:hideMark/>
          </w:tcPr>
          <w:p w14:paraId="022081B5" w14:textId="77777777" w:rsidR="00AA3D42" w:rsidRDefault="00AA3D42" w:rsidP="00AA3D42">
            <w:pPr>
              <w:spacing w:line="360" w:lineRule="auto"/>
              <w:jc w:val="center"/>
              <w:rPr>
                <w:b/>
                <w:bCs/>
                <w:color w:val="000000"/>
                <w:sz w:val="20"/>
                <w:szCs w:val="20"/>
              </w:rPr>
            </w:pPr>
            <w:r>
              <w:rPr>
                <w:b/>
                <w:bCs/>
                <w:color w:val="000000"/>
                <w:sz w:val="20"/>
                <w:szCs w:val="20"/>
              </w:rPr>
              <w:t>AUTORIZADO  2020</w:t>
            </w:r>
          </w:p>
        </w:tc>
        <w:tc>
          <w:tcPr>
            <w:tcW w:w="1830" w:type="dxa"/>
            <w:tcBorders>
              <w:top w:val="single" w:sz="8" w:space="0" w:color="A6A6A6"/>
              <w:left w:val="nil"/>
              <w:bottom w:val="nil"/>
              <w:right w:val="single" w:sz="8" w:space="0" w:color="A6A6A6"/>
            </w:tcBorders>
            <w:shd w:val="clear" w:color="000000" w:fill="CCCCCC"/>
            <w:vAlign w:val="center"/>
            <w:hideMark/>
          </w:tcPr>
          <w:p w14:paraId="341CBD1E" w14:textId="77777777" w:rsidR="00AA3D42" w:rsidRDefault="00AA3D42" w:rsidP="00AA3D42">
            <w:pPr>
              <w:spacing w:line="360" w:lineRule="auto"/>
              <w:jc w:val="center"/>
              <w:rPr>
                <w:b/>
                <w:bCs/>
                <w:color w:val="000000"/>
                <w:sz w:val="20"/>
                <w:szCs w:val="20"/>
              </w:rPr>
            </w:pPr>
            <w:r>
              <w:rPr>
                <w:b/>
                <w:bCs/>
                <w:color w:val="000000"/>
                <w:sz w:val="20"/>
                <w:szCs w:val="20"/>
              </w:rPr>
              <w:t>ANTEPROYECTO 2021</w:t>
            </w:r>
          </w:p>
        </w:tc>
        <w:tc>
          <w:tcPr>
            <w:tcW w:w="1484" w:type="dxa"/>
            <w:tcBorders>
              <w:top w:val="single" w:sz="8" w:space="0" w:color="A6A6A6"/>
              <w:left w:val="nil"/>
              <w:bottom w:val="nil"/>
              <w:right w:val="single" w:sz="8" w:space="0" w:color="A6A6A6"/>
            </w:tcBorders>
            <w:shd w:val="clear" w:color="000000" w:fill="CCCCCC"/>
            <w:vAlign w:val="center"/>
            <w:hideMark/>
          </w:tcPr>
          <w:p w14:paraId="4D9002DD" w14:textId="77777777" w:rsidR="00AA3D42" w:rsidRDefault="00AA3D42" w:rsidP="00AA3D42">
            <w:pPr>
              <w:spacing w:line="360" w:lineRule="auto"/>
              <w:jc w:val="center"/>
              <w:rPr>
                <w:b/>
                <w:bCs/>
                <w:color w:val="000000"/>
                <w:sz w:val="20"/>
                <w:szCs w:val="20"/>
              </w:rPr>
            </w:pPr>
            <w:r>
              <w:rPr>
                <w:b/>
                <w:bCs/>
                <w:color w:val="000000"/>
                <w:sz w:val="20"/>
                <w:szCs w:val="20"/>
              </w:rPr>
              <w:t>INICIATIVA FINAL PROPUESTA 2021</w:t>
            </w:r>
          </w:p>
        </w:tc>
      </w:tr>
      <w:tr w:rsidR="00AA3D42" w:rsidRPr="00955A4C" w14:paraId="4C57424C" w14:textId="77777777" w:rsidTr="005E2A35">
        <w:trPr>
          <w:trHeight w:val="315"/>
          <w:jc w:val="center"/>
        </w:trPr>
        <w:tc>
          <w:tcPr>
            <w:tcW w:w="2338" w:type="dxa"/>
            <w:tcBorders>
              <w:top w:val="single" w:sz="8" w:space="0" w:color="A6A6A6"/>
              <w:left w:val="single" w:sz="8" w:space="0" w:color="A6A6A6"/>
              <w:bottom w:val="single" w:sz="8" w:space="0" w:color="A6A6A6"/>
              <w:right w:val="single" w:sz="8" w:space="0" w:color="A6A6A6"/>
            </w:tcBorders>
            <w:shd w:val="clear" w:color="auto" w:fill="auto"/>
            <w:vAlign w:val="center"/>
            <w:hideMark/>
          </w:tcPr>
          <w:p w14:paraId="03C41FEE" w14:textId="77777777" w:rsidR="00AA3D42" w:rsidRDefault="00AA3D42" w:rsidP="00AA3D42">
            <w:pPr>
              <w:spacing w:line="360" w:lineRule="auto"/>
              <w:jc w:val="both"/>
              <w:rPr>
                <w:color w:val="000000"/>
                <w:sz w:val="20"/>
                <w:szCs w:val="20"/>
              </w:rPr>
            </w:pPr>
            <w:r>
              <w:rPr>
                <w:color w:val="000000"/>
                <w:sz w:val="20"/>
                <w:szCs w:val="20"/>
              </w:rPr>
              <w:t>Poder Legislativo</w:t>
            </w:r>
          </w:p>
        </w:tc>
        <w:tc>
          <w:tcPr>
            <w:tcW w:w="1518" w:type="dxa"/>
            <w:tcBorders>
              <w:top w:val="single" w:sz="8" w:space="0" w:color="A6A6A6"/>
              <w:left w:val="nil"/>
              <w:bottom w:val="single" w:sz="8" w:space="0" w:color="A6A6A6"/>
              <w:right w:val="single" w:sz="8" w:space="0" w:color="A6A6A6"/>
            </w:tcBorders>
            <w:shd w:val="clear" w:color="auto" w:fill="auto"/>
            <w:vAlign w:val="center"/>
          </w:tcPr>
          <w:p w14:paraId="16099BC5" w14:textId="77777777" w:rsidR="00AA3D42" w:rsidRDefault="00AA3D42" w:rsidP="00AA3D42">
            <w:pPr>
              <w:spacing w:line="360" w:lineRule="auto"/>
              <w:jc w:val="right"/>
              <w:rPr>
                <w:color w:val="000000"/>
                <w:sz w:val="20"/>
                <w:szCs w:val="20"/>
              </w:rPr>
            </w:pPr>
            <w:r>
              <w:rPr>
                <w:color w:val="000000"/>
                <w:sz w:val="20"/>
                <w:szCs w:val="20"/>
              </w:rPr>
              <w:t>328,694,985.00</w:t>
            </w:r>
          </w:p>
        </w:tc>
        <w:tc>
          <w:tcPr>
            <w:tcW w:w="1830" w:type="dxa"/>
            <w:tcBorders>
              <w:top w:val="single" w:sz="8" w:space="0" w:color="A6A6A6"/>
              <w:left w:val="nil"/>
              <w:bottom w:val="single" w:sz="8" w:space="0" w:color="A6A6A6"/>
              <w:right w:val="single" w:sz="8" w:space="0" w:color="A6A6A6"/>
            </w:tcBorders>
            <w:shd w:val="clear" w:color="auto" w:fill="auto"/>
            <w:vAlign w:val="center"/>
          </w:tcPr>
          <w:p w14:paraId="09A991C9" w14:textId="77777777" w:rsidR="00AA3D42" w:rsidRDefault="00AA3D42" w:rsidP="00AA3D42">
            <w:pPr>
              <w:spacing w:line="360" w:lineRule="auto"/>
              <w:jc w:val="right"/>
              <w:rPr>
                <w:color w:val="000000"/>
                <w:sz w:val="20"/>
                <w:szCs w:val="20"/>
              </w:rPr>
            </w:pPr>
            <w:r>
              <w:rPr>
                <w:color w:val="000000"/>
                <w:sz w:val="20"/>
                <w:szCs w:val="20"/>
              </w:rPr>
              <w:t>350,180,621.00</w:t>
            </w:r>
          </w:p>
        </w:tc>
        <w:tc>
          <w:tcPr>
            <w:tcW w:w="1484" w:type="dxa"/>
            <w:tcBorders>
              <w:top w:val="single" w:sz="8" w:space="0" w:color="A6A6A6"/>
              <w:left w:val="nil"/>
              <w:bottom w:val="single" w:sz="8" w:space="0" w:color="A6A6A6"/>
              <w:right w:val="single" w:sz="8" w:space="0" w:color="A6A6A6"/>
            </w:tcBorders>
            <w:shd w:val="clear" w:color="auto" w:fill="auto"/>
            <w:vAlign w:val="center"/>
          </w:tcPr>
          <w:p w14:paraId="494A8EDB" w14:textId="77777777" w:rsidR="00AA3D42" w:rsidRDefault="00AA3D42" w:rsidP="00AA3D42">
            <w:pPr>
              <w:spacing w:line="360" w:lineRule="auto"/>
              <w:jc w:val="right"/>
              <w:rPr>
                <w:color w:val="000000"/>
                <w:sz w:val="20"/>
                <w:szCs w:val="20"/>
              </w:rPr>
            </w:pPr>
            <w:r>
              <w:rPr>
                <w:color w:val="000000"/>
                <w:sz w:val="20"/>
                <w:szCs w:val="20"/>
              </w:rPr>
              <w:t>350,180,621.00</w:t>
            </w:r>
          </w:p>
        </w:tc>
      </w:tr>
      <w:tr w:rsidR="00AA3D42" w:rsidRPr="00955A4C" w14:paraId="5C498B4F" w14:textId="77777777" w:rsidTr="005E2A35">
        <w:trPr>
          <w:trHeight w:val="3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4A97362D" w14:textId="77777777" w:rsidR="00AA3D42" w:rsidRDefault="00AA3D42" w:rsidP="00AA3D42">
            <w:pPr>
              <w:spacing w:line="360" w:lineRule="auto"/>
              <w:jc w:val="both"/>
              <w:rPr>
                <w:color w:val="000000"/>
                <w:sz w:val="20"/>
                <w:szCs w:val="20"/>
              </w:rPr>
            </w:pPr>
            <w:r>
              <w:rPr>
                <w:color w:val="000000"/>
                <w:sz w:val="20"/>
                <w:szCs w:val="20"/>
              </w:rPr>
              <w:t>Poder Judicial</w:t>
            </w:r>
          </w:p>
        </w:tc>
        <w:tc>
          <w:tcPr>
            <w:tcW w:w="1518" w:type="dxa"/>
            <w:tcBorders>
              <w:top w:val="nil"/>
              <w:left w:val="nil"/>
              <w:bottom w:val="single" w:sz="8" w:space="0" w:color="A6A6A6"/>
              <w:right w:val="single" w:sz="8" w:space="0" w:color="A6A6A6"/>
            </w:tcBorders>
            <w:shd w:val="clear" w:color="auto" w:fill="auto"/>
            <w:vAlign w:val="center"/>
          </w:tcPr>
          <w:p w14:paraId="26062AA6" w14:textId="77777777" w:rsidR="00AA3D42" w:rsidRDefault="00AA3D42" w:rsidP="00AA3D42">
            <w:pPr>
              <w:spacing w:line="360" w:lineRule="auto"/>
              <w:jc w:val="right"/>
              <w:rPr>
                <w:color w:val="000000"/>
                <w:sz w:val="20"/>
                <w:szCs w:val="20"/>
              </w:rPr>
            </w:pPr>
            <w:r>
              <w:rPr>
                <w:color w:val="000000"/>
                <w:sz w:val="20"/>
                <w:szCs w:val="20"/>
              </w:rPr>
              <w:t>325,000,000.00</w:t>
            </w:r>
          </w:p>
        </w:tc>
        <w:tc>
          <w:tcPr>
            <w:tcW w:w="1830" w:type="dxa"/>
            <w:tcBorders>
              <w:top w:val="nil"/>
              <w:left w:val="nil"/>
              <w:bottom w:val="single" w:sz="8" w:space="0" w:color="A6A6A6"/>
              <w:right w:val="single" w:sz="8" w:space="0" w:color="A6A6A6"/>
            </w:tcBorders>
            <w:shd w:val="clear" w:color="auto" w:fill="auto"/>
            <w:vAlign w:val="center"/>
          </w:tcPr>
          <w:p w14:paraId="559EF506" w14:textId="77777777" w:rsidR="00AA3D42" w:rsidRDefault="00AA3D42" w:rsidP="00AA3D42">
            <w:pPr>
              <w:spacing w:line="360" w:lineRule="auto"/>
              <w:jc w:val="right"/>
              <w:rPr>
                <w:color w:val="000000"/>
                <w:sz w:val="20"/>
                <w:szCs w:val="20"/>
              </w:rPr>
            </w:pPr>
            <w:r>
              <w:rPr>
                <w:color w:val="000000"/>
                <w:sz w:val="20"/>
                <w:szCs w:val="20"/>
              </w:rPr>
              <w:t>474,903,726.92</w:t>
            </w:r>
          </w:p>
        </w:tc>
        <w:tc>
          <w:tcPr>
            <w:tcW w:w="1484" w:type="dxa"/>
            <w:tcBorders>
              <w:top w:val="nil"/>
              <w:left w:val="nil"/>
              <w:bottom w:val="single" w:sz="8" w:space="0" w:color="A6A6A6"/>
              <w:right w:val="single" w:sz="8" w:space="0" w:color="A6A6A6"/>
            </w:tcBorders>
            <w:shd w:val="clear" w:color="auto" w:fill="auto"/>
            <w:vAlign w:val="center"/>
          </w:tcPr>
          <w:p w14:paraId="4E2AD566" w14:textId="77777777" w:rsidR="00AA3D42" w:rsidRDefault="00AA3D42" w:rsidP="00AA3D42">
            <w:pPr>
              <w:spacing w:line="360" w:lineRule="auto"/>
              <w:jc w:val="right"/>
              <w:rPr>
                <w:color w:val="000000"/>
                <w:sz w:val="20"/>
                <w:szCs w:val="20"/>
              </w:rPr>
            </w:pPr>
            <w:r>
              <w:rPr>
                <w:color w:val="000000"/>
                <w:sz w:val="20"/>
                <w:szCs w:val="20"/>
              </w:rPr>
              <w:t>356,952,900.00</w:t>
            </w:r>
          </w:p>
        </w:tc>
      </w:tr>
      <w:tr w:rsidR="00AA3D42" w:rsidRPr="00955A4C" w14:paraId="14791BC0" w14:textId="77777777" w:rsidTr="005E2A35">
        <w:trPr>
          <w:trHeight w:val="553"/>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0C724D10" w14:textId="77777777" w:rsidR="00AA3D42" w:rsidRDefault="00AA3D42" w:rsidP="00AA3D42">
            <w:pPr>
              <w:spacing w:line="360" w:lineRule="auto"/>
              <w:jc w:val="both"/>
              <w:rPr>
                <w:color w:val="000000"/>
                <w:sz w:val="20"/>
                <w:szCs w:val="20"/>
              </w:rPr>
            </w:pPr>
            <w:r>
              <w:rPr>
                <w:color w:val="000000"/>
                <w:sz w:val="20"/>
                <w:szCs w:val="20"/>
              </w:rPr>
              <w:lastRenderedPageBreak/>
              <w:t>Universidad Autónoma de Tlaxcala</w:t>
            </w:r>
          </w:p>
        </w:tc>
        <w:tc>
          <w:tcPr>
            <w:tcW w:w="1518" w:type="dxa"/>
            <w:tcBorders>
              <w:top w:val="nil"/>
              <w:left w:val="nil"/>
              <w:bottom w:val="single" w:sz="8" w:space="0" w:color="A6A6A6"/>
              <w:right w:val="single" w:sz="8" w:space="0" w:color="A6A6A6"/>
            </w:tcBorders>
            <w:shd w:val="clear" w:color="auto" w:fill="auto"/>
            <w:vAlign w:val="center"/>
          </w:tcPr>
          <w:p w14:paraId="18031FDA" w14:textId="77777777" w:rsidR="00AA3D42" w:rsidRDefault="00AA3D42" w:rsidP="00AA3D42">
            <w:pPr>
              <w:spacing w:line="360" w:lineRule="auto"/>
              <w:jc w:val="right"/>
              <w:rPr>
                <w:color w:val="000000"/>
                <w:sz w:val="20"/>
                <w:szCs w:val="20"/>
              </w:rPr>
            </w:pPr>
            <w:r>
              <w:rPr>
                <w:color w:val="000000"/>
                <w:sz w:val="20"/>
                <w:szCs w:val="20"/>
              </w:rPr>
              <w:t>107,453,569.86</w:t>
            </w:r>
          </w:p>
        </w:tc>
        <w:tc>
          <w:tcPr>
            <w:tcW w:w="1830" w:type="dxa"/>
            <w:tcBorders>
              <w:top w:val="nil"/>
              <w:left w:val="nil"/>
              <w:bottom w:val="single" w:sz="8" w:space="0" w:color="A6A6A6"/>
              <w:right w:val="single" w:sz="8" w:space="0" w:color="A6A6A6"/>
            </w:tcBorders>
            <w:shd w:val="clear" w:color="auto" w:fill="auto"/>
            <w:vAlign w:val="center"/>
          </w:tcPr>
          <w:p w14:paraId="4AE9BB25" w14:textId="77777777" w:rsidR="00AA3D42" w:rsidRDefault="00AA3D42" w:rsidP="00AA3D42">
            <w:pPr>
              <w:spacing w:line="360" w:lineRule="auto"/>
              <w:jc w:val="right"/>
              <w:rPr>
                <w:color w:val="000000"/>
                <w:sz w:val="20"/>
                <w:szCs w:val="20"/>
              </w:rPr>
            </w:pPr>
            <w:r>
              <w:rPr>
                <w:color w:val="000000"/>
                <w:sz w:val="20"/>
                <w:szCs w:val="20"/>
              </w:rPr>
              <w:t>115,386,100.00</w:t>
            </w:r>
          </w:p>
        </w:tc>
        <w:tc>
          <w:tcPr>
            <w:tcW w:w="1484" w:type="dxa"/>
            <w:tcBorders>
              <w:top w:val="nil"/>
              <w:left w:val="nil"/>
              <w:bottom w:val="single" w:sz="8" w:space="0" w:color="A6A6A6"/>
              <w:right w:val="single" w:sz="8" w:space="0" w:color="A6A6A6"/>
            </w:tcBorders>
            <w:shd w:val="clear" w:color="auto" w:fill="auto"/>
            <w:vAlign w:val="center"/>
          </w:tcPr>
          <w:p w14:paraId="03BD6930" w14:textId="77777777" w:rsidR="00AA3D42" w:rsidRDefault="00AA3D42" w:rsidP="00AA3D42">
            <w:pPr>
              <w:spacing w:line="360" w:lineRule="auto"/>
              <w:jc w:val="right"/>
              <w:rPr>
                <w:color w:val="000000"/>
                <w:sz w:val="20"/>
                <w:szCs w:val="20"/>
              </w:rPr>
            </w:pPr>
            <w:r>
              <w:rPr>
                <w:color w:val="000000"/>
                <w:sz w:val="20"/>
                <w:szCs w:val="20"/>
              </w:rPr>
              <w:t>115,386,100.00</w:t>
            </w:r>
          </w:p>
        </w:tc>
      </w:tr>
      <w:tr w:rsidR="00AA3D42" w:rsidRPr="00955A4C" w14:paraId="2AD02E60" w14:textId="77777777" w:rsidTr="005E2A35">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052A48E7" w14:textId="77777777" w:rsidR="00AA3D42" w:rsidRDefault="00AA3D42" w:rsidP="00AA3D42">
            <w:pPr>
              <w:spacing w:line="360" w:lineRule="auto"/>
              <w:jc w:val="both"/>
              <w:rPr>
                <w:color w:val="000000"/>
                <w:sz w:val="20"/>
                <w:szCs w:val="20"/>
              </w:rPr>
            </w:pPr>
            <w:r>
              <w:rPr>
                <w:color w:val="000000"/>
                <w:sz w:val="20"/>
                <w:szCs w:val="20"/>
              </w:rPr>
              <w:t>Comisión Estatal de Derechos Humanos</w:t>
            </w:r>
          </w:p>
        </w:tc>
        <w:tc>
          <w:tcPr>
            <w:tcW w:w="1518" w:type="dxa"/>
            <w:tcBorders>
              <w:top w:val="nil"/>
              <w:left w:val="nil"/>
              <w:bottom w:val="single" w:sz="8" w:space="0" w:color="A6A6A6"/>
              <w:right w:val="single" w:sz="8" w:space="0" w:color="A6A6A6"/>
            </w:tcBorders>
            <w:shd w:val="clear" w:color="auto" w:fill="auto"/>
            <w:vAlign w:val="center"/>
          </w:tcPr>
          <w:p w14:paraId="423B8994" w14:textId="77777777" w:rsidR="00AA3D42" w:rsidRDefault="00AA3D42" w:rsidP="00AA3D42">
            <w:pPr>
              <w:spacing w:line="360" w:lineRule="auto"/>
              <w:jc w:val="right"/>
              <w:rPr>
                <w:color w:val="000000"/>
                <w:sz w:val="20"/>
                <w:szCs w:val="20"/>
              </w:rPr>
            </w:pPr>
            <w:r>
              <w:rPr>
                <w:color w:val="000000"/>
                <w:sz w:val="20"/>
                <w:szCs w:val="20"/>
              </w:rPr>
              <w:t>22,487,162.71</w:t>
            </w:r>
          </w:p>
        </w:tc>
        <w:tc>
          <w:tcPr>
            <w:tcW w:w="1830" w:type="dxa"/>
            <w:tcBorders>
              <w:top w:val="nil"/>
              <w:left w:val="nil"/>
              <w:bottom w:val="single" w:sz="8" w:space="0" w:color="A6A6A6"/>
              <w:right w:val="single" w:sz="8" w:space="0" w:color="A6A6A6"/>
            </w:tcBorders>
            <w:shd w:val="clear" w:color="auto" w:fill="auto"/>
            <w:vAlign w:val="center"/>
          </w:tcPr>
          <w:p w14:paraId="0119CD6F" w14:textId="77777777" w:rsidR="00AA3D42" w:rsidRDefault="00AA3D42" w:rsidP="00AA3D42">
            <w:pPr>
              <w:spacing w:line="360" w:lineRule="auto"/>
              <w:jc w:val="right"/>
              <w:rPr>
                <w:color w:val="000000"/>
                <w:sz w:val="20"/>
                <w:szCs w:val="20"/>
              </w:rPr>
            </w:pPr>
            <w:r>
              <w:rPr>
                <w:color w:val="000000"/>
                <w:sz w:val="20"/>
                <w:szCs w:val="20"/>
              </w:rPr>
              <w:t>24,369,013.00</w:t>
            </w:r>
          </w:p>
        </w:tc>
        <w:tc>
          <w:tcPr>
            <w:tcW w:w="1484" w:type="dxa"/>
            <w:tcBorders>
              <w:top w:val="nil"/>
              <w:left w:val="nil"/>
              <w:bottom w:val="single" w:sz="8" w:space="0" w:color="A6A6A6"/>
              <w:right w:val="single" w:sz="8" w:space="0" w:color="A6A6A6"/>
            </w:tcBorders>
            <w:shd w:val="clear" w:color="auto" w:fill="auto"/>
            <w:vAlign w:val="center"/>
          </w:tcPr>
          <w:p w14:paraId="55EAC68F" w14:textId="77777777" w:rsidR="00AA3D42" w:rsidRDefault="00AA3D42" w:rsidP="00AA3D42">
            <w:pPr>
              <w:spacing w:line="360" w:lineRule="auto"/>
              <w:jc w:val="right"/>
              <w:rPr>
                <w:color w:val="000000"/>
                <w:sz w:val="20"/>
                <w:szCs w:val="20"/>
              </w:rPr>
            </w:pPr>
            <w:r>
              <w:rPr>
                <w:color w:val="000000"/>
                <w:sz w:val="20"/>
                <w:szCs w:val="20"/>
              </w:rPr>
              <w:t>23,869,013.00</w:t>
            </w:r>
          </w:p>
        </w:tc>
      </w:tr>
      <w:tr w:rsidR="00AA3D42" w:rsidRPr="00955A4C" w14:paraId="377EF0BB" w14:textId="77777777" w:rsidTr="005E2A35">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0F8FD053" w14:textId="77777777" w:rsidR="00AA3D42" w:rsidRDefault="00AA3D42" w:rsidP="00AA3D42">
            <w:pPr>
              <w:spacing w:line="360" w:lineRule="auto"/>
              <w:jc w:val="both"/>
              <w:rPr>
                <w:color w:val="000000"/>
                <w:sz w:val="20"/>
                <w:szCs w:val="20"/>
              </w:rPr>
            </w:pPr>
            <w:r>
              <w:rPr>
                <w:color w:val="000000"/>
                <w:sz w:val="20"/>
                <w:szCs w:val="20"/>
              </w:rPr>
              <w:t>Instituto Tlaxcalteca de Elecciones</w:t>
            </w:r>
          </w:p>
        </w:tc>
        <w:tc>
          <w:tcPr>
            <w:tcW w:w="1518" w:type="dxa"/>
            <w:tcBorders>
              <w:top w:val="nil"/>
              <w:left w:val="nil"/>
              <w:bottom w:val="single" w:sz="8" w:space="0" w:color="A6A6A6"/>
              <w:right w:val="single" w:sz="8" w:space="0" w:color="A6A6A6"/>
            </w:tcBorders>
            <w:shd w:val="clear" w:color="auto" w:fill="auto"/>
            <w:vAlign w:val="center"/>
          </w:tcPr>
          <w:p w14:paraId="1B37C384" w14:textId="77777777" w:rsidR="00AA3D42" w:rsidRDefault="00AA3D42" w:rsidP="00AA3D42">
            <w:pPr>
              <w:spacing w:line="360" w:lineRule="auto"/>
              <w:jc w:val="right"/>
              <w:rPr>
                <w:color w:val="000000"/>
                <w:sz w:val="20"/>
                <w:szCs w:val="20"/>
              </w:rPr>
            </w:pPr>
            <w:r>
              <w:rPr>
                <w:color w:val="000000"/>
                <w:sz w:val="20"/>
                <w:szCs w:val="20"/>
              </w:rPr>
              <w:t>83,042,151.03</w:t>
            </w:r>
          </w:p>
        </w:tc>
        <w:tc>
          <w:tcPr>
            <w:tcW w:w="1830" w:type="dxa"/>
            <w:tcBorders>
              <w:top w:val="nil"/>
              <w:left w:val="nil"/>
              <w:bottom w:val="single" w:sz="8" w:space="0" w:color="A6A6A6"/>
              <w:right w:val="single" w:sz="8" w:space="0" w:color="A6A6A6"/>
            </w:tcBorders>
            <w:shd w:val="clear" w:color="auto" w:fill="auto"/>
            <w:vAlign w:val="center"/>
          </w:tcPr>
          <w:p w14:paraId="45545DBE" w14:textId="77777777" w:rsidR="00AA3D42" w:rsidRDefault="00AA3D42" w:rsidP="00AA3D42">
            <w:pPr>
              <w:spacing w:line="360" w:lineRule="auto"/>
              <w:jc w:val="right"/>
              <w:rPr>
                <w:color w:val="000000"/>
                <w:sz w:val="20"/>
                <w:szCs w:val="20"/>
              </w:rPr>
            </w:pPr>
            <w:r>
              <w:rPr>
                <w:color w:val="000000"/>
                <w:sz w:val="20"/>
                <w:szCs w:val="20"/>
              </w:rPr>
              <w:t>249,941,785.00</w:t>
            </w:r>
          </w:p>
        </w:tc>
        <w:tc>
          <w:tcPr>
            <w:tcW w:w="1484" w:type="dxa"/>
            <w:tcBorders>
              <w:top w:val="nil"/>
              <w:left w:val="nil"/>
              <w:bottom w:val="single" w:sz="8" w:space="0" w:color="A6A6A6"/>
              <w:right w:val="single" w:sz="8" w:space="0" w:color="A6A6A6"/>
            </w:tcBorders>
            <w:shd w:val="clear" w:color="auto" w:fill="auto"/>
            <w:vAlign w:val="center"/>
          </w:tcPr>
          <w:p w14:paraId="509D241B" w14:textId="77777777" w:rsidR="00AA3D42" w:rsidRDefault="00AA3D42" w:rsidP="00AA3D42">
            <w:pPr>
              <w:spacing w:line="360" w:lineRule="auto"/>
              <w:jc w:val="right"/>
              <w:rPr>
                <w:color w:val="000000"/>
                <w:sz w:val="20"/>
                <w:szCs w:val="20"/>
              </w:rPr>
            </w:pPr>
            <w:r>
              <w:rPr>
                <w:color w:val="000000"/>
                <w:sz w:val="20"/>
                <w:szCs w:val="20"/>
              </w:rPr>
              <w:t>185,782,415.00</w:t>
            </w:r>
          </w:p>
        </w:tc>
      </w:tr>
      <w:tr w:rsidR="00AA3D42" w:rsidRPr="00955A4C" w14:paraId="2A89E1D2" w14:textId="77777777" w:rsidTr="005E2A35">
        <w:trPr>
          <w:trHeight w:val="754"/>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1BE6165E" w14:textId="77777777" w:rsidR="00AA3D42" w:rsidRDefault="00AA3D42" w:rsidP="00AA3D42">
            <w:pPr>
              <w:spacing w:line="360" w:lineRule="auto"/>
              <w:jc w:val="both"/>
              <w:rPr>
                <w:color w:val="000000"/>
                <w:sz w:val="20"/>
                <w:szCs w:val="20"/>
              </w:rPr>
            </w:pPr>
            <w:r>
              <w:rPr>
                <w:color w:val="000000"/>
                <w:sz w:val="20"/>
                <w:szCs w:val="20"/>
              </w:rPr>
              <w:t>Instituto de Acceso a la Información Pública y Protección de Datos Personales</w:t>
            </w:r>
          </w:p>
        </w:tc>
        <w:tc>
          <w:tcPr>
            <w:tcW w:w="1518" w:type="dxa"/>
            <w:tcBorders>
              <w:top w:val="nil"/>
              <w:left w:val="nil"/>
              <w:bottom w:val="single" w:sz="8" w:space="0" w:color="A6A6A6"/>
              <w:right w:val="single" w:sz="8" w:space="0" w:color="A6A6A6"/>
            </w:tcBorders>
            <w:shd w:val="clear" w:color="auto" w:fill="auto"/>
            <w:vAlign w:val="center"/>
          </w:tcPr>
          <w:p w14:paraId="64F4E538" w14:textId="77777777" w:rsidR="00AA3D42" w:rsidRDefault="00AA3D42" w:rsidP="00AA3D42">
            <w:pPr>
              <w:spacing w:line="360" w:lineRule="auto"/>
              <w:jc w:val="right"/>
              <w:rPr>
                <w:color w:val="000000"/>
                <w:sz w:val="20"/>
                <w:szCs w:val="20"/>
              </w:rPr>
            </w:pPr>
            <w:r>
              <w:rPr>
                <w:color w:val="000000"/>
                <w:sz w:val="20"/>
                <w:szCs w:val="20"/>
              </w:rPr>
              <w:t>15,352,090.00</w:t>
            </w:r>
          </w:p>
        </w:tc>
        <w:tc>
          <w:tcPr>
            <w:tcW w:w="1830" w:type="dxa"/>
            <w:tcBorders>
              <w:top w:val="nil"/>
              <w:left w:val="nil"/>
              <w:bottom w:val="single" w:sz="8" w:space="0" w:color="A6A6A6"/>
              <w:right w:val="single" w:sz="8" w:space="0" w:color="A6A6A6"/>
            </w:tcBorders>
            <w:shd w:val="clear" w:color="auto" w:fill="auto"/>
            <w:vAlign w:val="center"/>
          </w:tcPr>
          <w:p w14:paraId="220A83B7" w14:textId="77777777" w:rsidR="00AA3D42" w:rsidRDefault="00AA3D42" w:rsidP="00AA3D42">
            <w:pPr>
              <w:spacing w:line="360" w:lineRule="auto"/>
              <w:jc w:val="right"/>
              <w:rPr>
                <w:color w:val="000000"/>
                <w:sz w:val="20"/>
                <w:szCs w:val="20"/>
              </w:rPr>
            </w:pPr>
            <w:r>
              <w:rPr>
                <w:color w:val="000000"/>
                <w:sz w:val="20"/>
                <w:szCs w:val="20"/>
              </w:rPr>
              <w:t>19,703,284.08</w:t>
            </w:r>
          </w:p>
        </w:tc>
        <w:tc>
          <w:tcPr>
            <w:tcW w:w="1484" w:type="dxa"/>
            <w:tcBorders>
              <w:top w:val="nil"/>
              <w:left w:val="nil"/>
              <w:bottom w:val="single" w:sz="8" w:space="0" w:color="A6A6A6"/>
              <w:right w:val="single" w:sz="8" w:space="0" w:color="A6A6A6"/>
            </w:tcBorders>
            <w:shd w:val="clear" w:color="auto" w:fill="auto"/>
            <w:vAlign w:val="center"/>
          </w:tcPr>
          <w:p w14:paraId="086BCC51" w14:textId="77777777" w:rsidR="00AA3D42" w:rsidRDefault="00AA3D42" w:rsidP="00AA3D42">
            <w:pPr>
              <w:spacing w:line="360" w:lineRule="auto"/>
              <w:jc w:val="right"/>
              <w:rPr>
                <w:color w:val="000000"/>
                <w:sz w:val="20"/>
                <w:szCs w:val="20"/>
              </w:rPr>
            </w:pPr>
            <w:r>
              <w:rPr>
                <w:color w:val="000000"/>
                <w:sz w:val="20"/>
                <w:szCs w:val="20"/>
              </w:rPr>
              <w:t>16,663,284.00</w:t>
            </w:r>
          </w:p>
        </w:tc>
      </w:tr>
      <w:tr w:rsidR="00AA3D42" w:rsidRPr="00955A4C" w14:paraId="5261E231" w14:textId="77777777" w:rsidTr="005E2A35">
        <w:trPr>
          <w:trHeight w:val="611"/>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06A8F714" w14:textId="77777777" w:rsidR="00AA3D42" w:rsidRDefault="00AA3D42" w:rsidP="00AA3D42">
            <w:pPr>
              <w:spacing w:line="360" w:lineRule="auto"/>
              <w:jc w:val="both"/>
              <w:rPr>
                <w:color w:val="000000"/>
                <w:sz w:val="20"/>
                <w:szCs w:val="20"/>
              </w:rPr>
            </w:pPr>
            <w:r>
              <w:rPr>
                <w:color w:val="000000"/>
                <w:sz w:val="20"/>
                <w:szCs w:val="20"/>
              </w:rPr>
              <w:t>Tribunal de Conciliación y Arbitraje</w:t>
            </w:r>
          </w:p>
        </w:tc>
        <w:tc>
          <w:tcPr>
            <w:tcW w:w="1518" w:type="dxa"/>
            <w:tcBorders>
              <w:top w:val="nil"/>
              <w:left w:val="nil"/>
              <w:bottom w:val="single" w:sz="8" w:space="0" w:color="A6A6A6"/>
              <w:right w:val="single" w:sz="8" w:space="0" w:color="A6A6A6"/>
            </w:tcBorders>
            <w:shd w:val="clear" w:color="auto" w:fill="auto"/>
            <w:vAlign w:val="center"/>
          </w:tcPr>
          <w:p w14:paraId="1B1B802D" w14:textId="77777777" w:rsidR="00AA3D42" w:rsidRDefault="00AA3D42" w:rsidP="00AA3D42">
            <w:pPr>
              <w:spacing w:line="360" w:lineRule="auto"/>
              <w:jc w:val="right"/>
              <w:rPr>
                <w:color w:val="000000"/>
                <w:sz w:val="20"/>
                <w:szCs w:val="20"/>
              </w:rPr>
            </w:pPr>
            <w:r>
              <w:rPr>
                <w:color w:val="000000"/>
                <w:sz w:val="20"/>
                <w:szCs w:val="20"/>
              </w:rPr>
              <w:t>15,061,589.44</w:t>
            </w:r>
          </w:p>
        </w:tc>
        <w:tc>
          <w:tcPr>
            <w:tcW w:w="1830" w:type="dxa"/>
            <w:tcBorders>
              <w:top w:val="nil"/>
              <w:left w:val="nil"/>
              <w:bottom w:val="single" w:sz="8" w:space="0" w:color="A6A6A6"/>
              <w:right w:val="single" w:sz="8" w:space="0" w:color="A6A6A6"/>
            </w:tcBorders>
            <w:shd w:val="clear" w:color="auto" w:fill="auto"/>
            <w:vAlign w:val="center"/>
          </w:tcPr>
          <w:p w14:paraId="091103E3" w14:textId="77777777" w:rsidR="00AA3D42" w:rsidRDefault="00AA3D42" w:rsidP="00AA3D42">
            <w:pPr>
              <w:spacing w:line="360" w:lineRule="auto"/>
              <w:jc w:val="right"/>
              <w:rPr>
                <w:color w:val="000000"/>
                <w:sz w:val="20"/>
                <w:szCs w:val="20"/>
              </w:rPr>
            </w:pPr>
            <w:r>
              <w:rPr>
                <w:color w:val="000000"/>
                <w:sz w:val="20"/>
                <w:szCs w:val="20"/>
              </w:rPr>
              <w:t>17,218,000.00</w:t>
            </w:r>
          </w:p>
        </w:tc>
        <w:tc>
          <w:tcPr>
            <w:tcW w:w="1484" w:type="dxa"/>
            <w:tcBorders>
              <w:top w:val="nil"/>
              <w:left w:val="nil"/>
              <w:bottom w:val="single" w:sz="8" w:space="0" w:color="A6A6A6"/>
              <w:right w:val="single" w:sz="8" w:space="0" w:color="A6A6A6"/>
            </w:tcBorders>
            <w:shd w:val="clear" w:color="auto" w:fill="auto"/>
            <w:vAlign w:val="center"/>
          </w:tcPr>
          <w:p w14:paraId="6CCEBE27" w14:textId="77777777" w:rsidR="00AA3D42" w:rsidRDefault="00AA3D42" w:rsidP="00AA3D42">
            <w:pPr>
              <w:spacing w:line="360" w:lineRule="auto"/>
              <w:jc w:val="right"/>
              <w:rPr>
                <w:color w:val="000000"/>
                <w:sz w:val="20"/>
                <w:szCs w:val="20"/>
              </w:rPr>
            </w:pPr>
            <w:r>
              <w:rPr>
                <w:color w:val="000000"/>
                <w:sz w:val="20"/>
                <w:szCs w:val="20"/>
              </w:rPr>
              <w:t>16,297,339.00</w:t>
            </w:r>
          </w:p>
        </w:tc>
      </w:tr>
      <w:tr w:rsidR="00AA3D42" w:rsidRPr="00955A4C" w14:paraId="3E77B0EC" w14:textId="77777777" w:rsidTr="005E2A35">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hideMark/>
          </w:tcPr>
          <w:p w14:paraId="102F4DBE" w14:textId="77777777" w:rsidR="00AA3D42" w:rsidRDefault="00AA3D42" w:rsidP="00AA3D42">
            <w:pPr>
              <w:spacing w:line="360" w:lineRule="auto"/>
              <w:jc w:val="both"/>
              <w:rPr>
                <w:color w:val="000000"/>
                <w:sz w:val="20"/>
                <w:szCs w:val="20"/>
              </w:rPr>
            </w:pPr>
            <w:r>
              <w:rPr>
                <w:color w:val="000000"/>
                <w:sz w:val="20"/>
                <w:szCs w:val="20"/>
              </w:rPr>
              <w:t>Tribunal Electoral de Tlaxcala</w:t>
            </w:r>
          </w:p>
        </w:tc>
        <w:tc>
          <w:tcPr>
            <w:tcW w:w="1518" w:type="dxa"/>
            <w:tcBorders>
              <w:top w:val="nil"/>
              <w:left w:val="nil"/>
              <w:bottom w:val="single" w:sz="8" w:space="0" w:color="A6A6A6"/>
              <w:right w:val="single" w:sz="8" w:space="0" w:color="A6A6A6"/>
            </w:tcBorders>
            <w:shd w:val="clear" w:color="auto" w:fill="auto"/>
            <w:vAlign w:val="center"/>
          </w:tcPr>
          <w:p w14:paraId="01C620A2" w14:textId="77777777" w:rsidR="00AA3D42" w:rsidRDefault="00AA3D42" w:rsidP="00AA3D42">
            <w:pPr>
              <w:spacing w:line="360" w:lineRule="auto"/>
              <w:jc w:val="right"/>
              <w:rPr>
                <w:color w:val="000000"/>
                <w:sz w:val="20"/>
                <w:szCs w:val="20"/>
              </w:rPr>
            </w:pPr>
            <w:r>
              <w:rPr>
                <w:color w:val="000000"/>
                <w:sz w:val="20"/>
                <w:szCs w:val="20"/>
              </w:rPr>
              <w:t>27,578,989.00</w:t>
            </w:r>
          </w:p>
        </w:tc>
        <w:tc>
          <w:tcPr>
            <w:tcW w:w="1830" w:type="dxa"/>
            <w:tcBorders>
              <w:top w:val="nil"/>
              <w:left w:val="nil"/>
              <w:bottom w:val="single" w:sz="8" w:space="0" w:color="A6A6A6"/>
              <w:right w:val="single" w:sz="8" w:space="0" w:color="A6A6A6"/>
            </w:tcBorders>
            <w:shd w:val="clear" w:color="auto" w:fill="auto"/>
            <w:vAlign w:val="center"/>
          </w:tcPr>
          <w:p w14:paraId="28DE9994" w14:textId="77777777" w:rsidR="00AA3D42" w:rsidRDefault="00AA3D42" w:rsidP="00AA3D42">
            <w:pPr>
              <w:spacing w:line="360" w:lineRule="auto"/>
              <w:jc w:val="right"/>
              <w:rPr>
                <w:color w:val="000000"/>
                <w:sz w:val="20"/>
                <w:szCs w:val="20"/>
              </w:rPr>
            </w:pPr>
            <w:r>
              <w:rPr>
                <w:color w:val="000000"/>
                <w:sz w:val="20"/>
                <w:szCs w:val="20"/>
              </w:rPr>
              <w:t>35,968,110.00</w:t>
            </w:r>
          </w:p>
        </w:tc>
        <w:tc>
          <w:tcPr>
            <w:tcW w:w="1484" w:type="dxa"/>
            <w:tcBorders>
              <w:top w:val="nil"/>
              <w:left w:val="nil"/>
              <w:bottom w:val="single" w:sz="8" w:space="0" w:color="A6A6A6"/>
              <w:right w:val="single" w:sz="8" w:space="0" w:color="A6A6A6"/>
            </w:tcBorders>
            <w:shd w:val="clear" w:color="auto" w:fill="auto"/>
            <w:vAlign w:val="center"/>
          </w:tcPr>
          <w:p w14:paraId="7EB69B7B" w14:textId="77777777" w:rsidR="00AA3D42" w:rsidRDefault="00AA3D42" w:rsidP="00AA3D42">
            <w:pPr>
              <w:spacing w:line="360" w:lineRule="auto"/>
              <w:jc w:val="right"/>
              <w:rPr>
                <w:color w:val="000000"/>
                <w:sz w:val="20"/>
                <w:szCs w:val="20"/>
              </w:rPr>
            </w:pPr>
            <w:r>
              <w:rPr>
                <w:color w:val="000000"/>
                <w:sz w:val="20"/>
                <w:szCs w:val="20"/>
              </w:rPr>
              <w:t>32,623,053.00</w:t>
            </w:r>
          </w:p>
        </w:tc>
      </w:tr>
      <w:tr w:rsidR="00AA3D42" w:rsidRPr="00955A4C" w14:paraId="7519EC14" w14:textId="77777777" w:rsidTr="005E2A35">
        <w:trPr>
          <w:trHeight w:val="615"/>
          <w:jc w:val="center"/>
        </w:trPr>
        <w:tc>
          <w:tcPr>
            <w:tcW w:w="2338" w:type="dxa"/>
            <w:tcBorders>
              <w:top w:val="nil"/>
              <w:left w:val="single" w:sz="8" w:space="0" w:color="A6A6A6"/>
              <w:bottom w:val="single" w:sz="8" w:space="0" w:color="A6A6A6"/>
              <w:right w:val="single" w:sz="8" w:space="0" w:color="A6A6A6"/>
            </w:tcBorders>
            <w:shd w:val="clear" w:color="auto" w:fill="auto"/>
            <w:vAlign w:val="center"/>
          </w:tcPr>
          <w:p w14:paraId="10CB35AA" w14:textId="77777777" w:rsidR="00AA3D42" w:rsidRDefault="00AA3D42" w:rsidP="00AA3D42">
            <w:pPr>
              <w:spacing w:line="360" w:lineRule="auto"/>
              <w:jc w:val="both"/>
              <w:rPr>
                <w:color w:val="000000"/>
                <w:sz w:val="20"/>
                <w:szCs w:val="20"/>
              </w:rPr>
            </w:pPr>
            <w:r>
              <w:rPr>
                <w:color w:val="000000"/>
                <w:sz w:val="20"/>
                <w:szCs w:val="20"/>
              </w:rPr>
              <w:t>Secretaría Ejecutiva del Sistema Anticorrupción del Estado de Tlaxcala</w:t>
            </w:r>
          </w:p>
        </w:tc>
        <w:tc>
          <w:tcPr>
            <w:tcW w:w="1518" w:type="dxa"/>
            <w:tcBorders>
              <w:top w:val="nil"/>
              <w:left w:val="nil"/>
              <w:bottom w:val="single" w:sz="8" w:space="0" w:color="A6A6A6"/>
              <w:right w:val="single" w:sz="8" w:space="0" w:color="A6A6A6"/>
            </w:tcBorders>
            <w:shd w:val="clear" w:color="auto" w:fill="auto"/>
            <w:vAlign w:val="center"/>
          </w:tcPr>
          <w:p w14:paraId="5ED66BC2" w14:textId="77777777" w:rsidR="00AA3D42" w:rsidRDefault="00AA3D42" w:rsidP="00AA3D42">
            <w:pPr>
              <w:spacing w:line="360" w:lineRule="auto"/>
              <w:jc w:val="right"/>
              <w:rPr>
                <w:color w:val="000000"/>
                <w:sz w:val="20"/>
                <w:szCs w:val="20"/>
              </w:rPr>
            </w:pPr>
            <w:r>
              <w:rPr>
                <w:color w:val="000000"/>
                <w:sz w:val="20"/>
                <w:szCs w:val="20"/>
              </w:rPr>
              <w:t>10,931,810.72</w:t>
            </w:r>
          </w:p>
        </w:tc>
        <w:tc>
          <w:tcPr>
            <w:tcW w:w="1830" w:type="dxa"/>
            <w:tcBorders>
              <w:top w:val="nil"/>
              <w:left w:val="nil"/>
              <w:bottom w:val="single" w:sz="8" w:space="0" w:color="A6A6A6"/>
              <w:right w:val="single" w:sz="8" w:space="0" w:color="A6A6A6"/>
            </w:tcBorders>
            <w:shd w:val="clear" w:color="auto" w:fill="auto"/>
            <w:vAlign w:val="center"/>
          </w:tcPr>
          <w:p w14:paraId="62F0E9BC" w14:textId="77777777" w:rsidR="00AA3D42" w:rsidRDefault="00AA3D42" w:rsidP="00AA3D42">
            <w:pPr>
              <w:spacing w:line="360" w:lineRule="auto"/>
              <w:jc w:val="right"/>
              <w:rPr>
                <w:color w:val="000000"/>
                <w:sz w:val="20"/>
                <w:szCs w:val="20"/>
              </w:rPr>
            </w:pPr>
            <w:r>
              <w:rPr>
                <w:color w:val="000000"/>
                <w:sz w:val="20"/>
                <w:szCs w:val="20"/>
              </w:rPr>
              <w:t>12,024,992.00</w:t>
            </w:r>
          </w:p>
        </w:tc>
        <w:tc>
          <w:tcPr>
            <w:tcW w:w="1484" w:type="dxa"/>
            <w:tcBorders>
              <w:top w:val="nil"/>
              <w:left w:val="nil"/>
              <w:bottom w:val="single" w:sz="8" w:space="0" w:color="A6A6A6"/>
              <w:right w:val="single" w:sz="8" w:space="0" w:color="A6A6A6"/>
            </w:tcBorders>
            <w:shd w:val="clear" w:color="auto" w:fill="auto"/>
            <w:vAlign w:val="center"/>
          </w:tcPr>
          <w:p w14:paraId="4F43BF97" w14:textId="77777777" w:rsidR="00AA3D42" w:rsidRDefault="00AA3D42" w:rsidP="00AA3D42">
            <w:pPr>
              <w:spacing w:line="360" w:lineRule="auto"/>
              <w:jc w:val="right"/>
              <w:rPr>
                <w:color w:val="000000"/>
                <w:sz w:val="20"/>
                <w:szCs w:val="20"/>
              </w:rPr>
            </w:pPr>
            <w:r>
              <w:rPr>
                <w:color w:val="000000"/>
                <w:sz w:val="20"/>
                <w:szCs w:val="20"/>
              </w:rPr>
              <w:t>11,724,992.00</w:t>
            </w:r>
          </w:p>
        </w:tc>
      </w:tr>
      <w:tr w:rsidR="00AA3D42" w:rsidRPr="00955A4C" w14:paraId="67AD02FF" w14:textId="77777777" w:rsidTr="005E2A35">
        <w:trPr>
          <w:trHeight w:val="330"/>
          <w:jc w:val="center"/>
        </w:trPr>
        <w:tc>
          <w:tcPr>
            <w:tcW w:w="2338" w:type="dxa"/>
            <w:tcBorders>
              <w:top w:val="nil"/>
              <w:left w:val="single" w:sz="8" w:space="0" w:color="A6A6A6"/>
              <w:bottom w:val="single" w:sz="8" w:space="0" w:color="A6A6A6"/>
              <w:right w:val="single" w:sz="8" w:space="0" w:color="A6A6A6"/>
            </w:tcBorders>
            <w:shd w:val="clear" w:color="000000" w:fill="CCCCCC"/>
            <w:vAlign w:val="center"/>
            <w:hideMark/>
          </w:tcPr>
          <w:p w14:paraId="7E82AE80" w14:textId="77777777" w:rsidR="00AA3D42" w:rsidRDefault="00AA3D42" w:rsidP="00AA3D42">
            <w:pPr>
              <w:spacing w:line="360" w:lineRule="auto"/>
              <w:jc w:val="center"/>
              <w:rPr>
                <w:b/>
                <w:bCs/>
                <w:color w:val="000000"/>
                <w:sz w:val="20"/>
                <w:szCs w:val="20"/>
              </w:rPr>
            </w:pPr>
            <w:r>
              <w:rPr>
                <w:b/>
                <w:bCs/>
                <w:color w:val="000000"/>
                <w:sz w:val="20"/>
                <w:szCs w:val="20"/>
              </w:rPr>
              <w:t>TOTAL</w:t>
            </w:r>
          </w:p>
        </w:tc>
        <w:tc>
          <w:tcPr>
            <w:tcW w:w="1518" w:type="dxa"/>
            <w:tcBorders>
              <w:top w:val="nil"/>
              <w:left w:val="nil"/>
              <w:bottom w:val="single" w:sz="8" w:space="0" w:color="A6A6A6"/>
              <w:right w:val="single" w:sz="8" w:space="0" w:color="A6A6A6"/>
            </w:tcBorders>
            <w:shd w:val="clear" w:color="000000" w:fill="CCCCCC"/>
            <w:vAlign w:val="center"/>
          </w:tcPr>
          <w:p w14:paraId="766D72C9" w14:textId="77777777" w:rsidR="00AA3D42" w:rsidRDefault="00AA3D42" w:rsidP="00AA3D42">
            <w:pPr>
              <w:spacing w:line="360" w:lineRule="auto"/>
              <w:jc w:val="right"/>
              <w:rPr>
                <w:b/>
                <w:bCs/>
                <w:color w:val="000000"/>
                <w:sz w:val="20"/>
                <w:szCs w:val="20"/>
              </w:rPr>
            </w:pPr>
            <w:r>
              <w:rPr>
                <w:b/>
                <w:bCs/>
                <w:color w:val="000000"/>
                <w:sz w:val="20"/>
                <w:szCs w:val="20"/>
              </w:rPr>
              <w:t>935,602,347.76</w:t>
            </w:r>
          </w:p>
        </w:tc>
        <w:tc>
          <w:tcPr>
            <w:tcW w:w="1830" w:type="dxa"/>
            <w:tcBorders>
              <w:top w:val="nil"/>
              <w:left w:val="nil"/>
              <w:bottom w:val="single" w:sz="8" w:space="0" w:color="A6A6A6"/>
              <w:right w:val="single" w:sz="8" w:space="0" w:color="A6A6A6"/>
            </w:tcBorders>
            <w:shd w:val="clear" w:color="000000" w:fill="CCCCCC"/>
            <w:vAlign w:val="center"/>
          </w:tcPr>
          <w:p w14:paraId="5FD986D3" w14:textId="77777777" w:rsidR="00AA3D42" w:rsidRDefault="00AA3D42" w:rsidP="00AA3D42">
            <w:pPr>
              <w:spacing w:line="360" w:lineRule="auto"/>
              <w:jc w:val="right"/>
              <w:rPr>
                <w:b/>
                <w:bCs/>
                <w:color w:val="000000"/>
                <w:sz w:val="20"/>
                <w:szCs w:val="20"/>
              </w:rPr>
            </w:pPr>
            <w:r>
              <w:rPr>
                <w:b/>
                <w:bCs/>
                <w:color w:val="000000"/>
                <w:sz w:val="20"/>
                <w:szCs w:val="20"/>
              </w:rPr>
              <w:t>1,299,695,632.00</w:t>
            </w:r>
          </w:p>
        </w:tc>
        <w:tc>
          <w:tcPr>
            <w:tcW w:w="1484" w:type="dxa"/>
            <w:tcBorders>
              <w:top w:val="nil"/>
              <w:left w:val="nil"/>
              <w:bottom w:val="single" w:sz="8" w:space="0" w:color="A6A6A6"/>
              <w:right w:val="single" w:sz="8" w:space="0" w:color="A6A6A6"/>
            </w:tcBorders>
            <w:shd w:val="clear" w:color="000000" w:fill="CCCCCC"/>
            <w:vAlign w:val="center"/>
          </w:tcPr>
          <w:p w14:paraId="37162598" w14:textId="77777777" w:rsidR="00AA3D42" w:rsidRDefault="00AA3D42" w:rsidP="00AA3D42">
            <w:pPr>
              <w:spacing w:line="360" w:lineRule="auto"/>
              <w:jc w:val="right"/>
              <w:rPr>
                <w:b/>
                <w:bCs/>
                <w:color w:val="000000"/>
                <w:sz w:val="20"/>
                <w:szCs w:val="20"/>
              </w:rPr>
            </w:pPr>
            <w:r>
              <w:rPr>
                <w:b/>
                <w:bCs/>
                <w:color w:val="000000"/>
                <w:sz w:val="20"/>
                <w:szCs w:val="20"/>
              </w:rPr>
              <w:t>1,109,479,717.00</w:t>
            </w:r>
          </w:p>
        </w:tc>
      </w:tr>
    </w:tbl>
    <w:p w14:paraId="7358D51D" w14:textId="77777777" w:rsidR="00AA3D42" w:rsidRDefault="00AA3D42" w:rsidP="00AA3D42">
      <w:pPr>
        <w:spacing w:after="200" w:line="360" w:lineRule="auto"/>
        <w:jc w:val="both"/>
        <w:rPr>
          <w:rFonts w:eastAsia="Calibri"/>
          <w:b/>
          <w:sz w:val="20"/>
          <w:szCs w:val="20"/>
        </w:rPr>
      </w:pPr>
    </w:p>
    <w:p w14:paraId="31F4A9A1" w14:textId="77777777" w:rsidR="00AA3D42" w:rsidRDefault="00AA3D42" w:rsidP="00AA3D42">
      <w:pPr>
        <w:spacing w:after="200" w:line="360" w:lineRule="auto"/>
        <w:jc w:val="both"/>
        <w:rPr>
          <w:rFonts w:eastAsia="Calibri"/>
          <w:b/>
          <w:sz w:val="20"/>
          <w:szCs w:val="20"/>
        </w:rPr>
      </w:pPr>
      <w:r>
        <w:rPr>
          <w:rFonts w:eastAsia="Calibri"/>
          <w:b/>
          <w:sz w:val="20"/>
          <w:szCs w:val="20"/>
        </w:rPr>
        <w:t>CONCLUSIÓN</w:t>
      </w:r>
    </w:p>
    <w:p w14:paraId="121C5524" w14:textId="390CC597" w:rsidR="00AA3D42" w:rsidRDefault="00AA3D42" w:rsidP="00AA3D42">
      <w:pPr>
        <w:spacing w:after="200" w:line="360" w:lineRule="auto"/>
        <w:jc w:val="both"/>
        <w:rPr>
          <w:rFonts w:eastAsia="Calibri"/>
          <w:sz w:val="20"/>
          <w:szCs w:val="20"/>
        </w:rPr>
      </w:pPr>
      <w:r>
        <w:rPr>
          <w:rFonts w:eastAsia="Calibri"/>
          <w:sz w:val="20"/>
          <w:szCs w:val="20"/>
        </w:rPr>
        <w:t>La crisis que se vive hoy en día en el mundo derivada de la pandemia del COVID-19, no tiene comparación y hay gran incertidumbre en cuanto a su impacto en la vida y los medios de vida de las personas, mucho depende de la epidemiología del virus, de la eficacia de las medidas de contención y del desarrollo de tratamientos y vacunas , el Gobernador del Estado en apoyo a esta crisis considera en este Proyecto de Decreto de Presupuesto de Egresos del Estado de Tlaxcala para el Ejercicio Fiscal 2021, un Fondo para el Combate a la Pandemia COVID-19 de $443,250,000.00 en materia de salud</w:t>
      </w:r>
      <w:r w:rsidR="000514B9">
        <w:rPr>
          <w:rFonts w:eastAsia="Calibri"/>
          <w:sz w:val="20"/>
          <w:szCs w:val="20"/>
        </w:rPr>
        <w:t>, así com</w:t>
      </w:r>
      <w:r w:rsidR="005E2A35">
        <w:rPr>
          <w:rFonts w:eastAsia="Calibri"/>
          <w:sz w:val="20"/>
          <w:szCs w:val="20"/>
        </w:rPr>
        <w:t xml:space="preserve">o con el objetivo de romper la cadena de contagio </w:t>
      </w:r>
      <w:r w:rsidR="000514B9">
        <w:rPr>
          <w:rFonts w:eastAsia="Calibri"/>
          <w:sz w:val="20"/>
          <w:szCs w:val="20"/>
        </w:rPr>
        <w:t xml:space="preserve">y continuar con el apoyo para </w:t>
      </w:r>
      <w:r w:rsidR="005E2A35">
        <w:rPr>
          <w:rFonts w:eastAsia="Calibri"/>
          <w:sz w:val="20"/>
          <w:szCs w:val="20"/>
        </w:rPr>
        <w:t xml:space="preserve"> informar a la sociedad sobre los síntomas y el tratamiento que se implementó a t</w:t>
      </w:r>
      <w:r w:rsidR="000514B9">
        <w:rPr>
          <w:rFonts w:eastAsia="Calibri"/>
          <w:sz w:val="20"/>
          <w:szCs w:val="20"/>
        </w:rPr>
        <w:t xml:space="preserve">ravés de la Secretaría de Salud, el </w:t>
      </w:r>
      <w:r w:rsidR="000514B9">
        <w:rPr>
          <w:rFonts w:eastAsia="Calibri"/>
          <w:sz w:val="20"/>
          <w:szCs w:val="20"/>
        </w:rPr>
        <w:lastRenderedPageBreak/>
        <w:t xml:space="preserve">cuál aún con personas con factores de riesgo puede prevenir la enfermedad o tratar de manera temprana, se considera un Fondo para el Programa “Brigadas </w:t>
      </w:r>
      <w:r w:rsidR="00030E5A">
        <w:rPr>
          <w:rFonts w:eastAsia="Calibri"/>
          <w:sz w:val="20"/>
          <w:szCs w:val="20"/>
        </w:rPr>
        <w:t>Cuídate</w:t>
      </w:r>
      <w:r w:rsidR="000514B9">
        <w:rPr>
          <w:rFonts w:eastAsia="Calibri"/>
          <w:sz w:val="20"/>
          <w:szCs w:val="20"/>
        </w:rPr>
        <w:t>” por $100,000,000.00</w:t>
      </w:r>
      <w:r>
        <w:rPr>
          <w:rFonts w:eastAsia="Calibri"/>
          <w:sz w:val="20"/>
          <w:szCs w:val="20"/>
        </w:rPr>
        <w:t>; y en apoyo a la economía de las familias se considera un Fondo para el Programa “Supérate Mujeres” por un monto de $160,692,000.00.</w:t>
      </w:r>
      <w:bookmarkStart w:id="0" w:name="_GoBack"/>
      <w:bookmarkEnd w:id="0"/>
    </w:p>
    <w:p w14:paraId="63FAFCC6" w14:textId="77777777" w:rsidR="00AA3D42" w:rsidRDefault="00AA3D42" w:rsidP="00AA3D42">
      <w:pPr>
        <w:spacing w:after="200" w:line="360" w:lineRule="auto"/>
        <w:jc w:val="both"/>
        <w:rPr>
          <w:rFonts w:eastAsia="Calibri"/>
          <w:sz w:val="20"/>
          <w:szCs w:val="20"/>
        </w:rPr>
      </w:pPr>
      <w:r>
        <w:rPr>
          <w:rFonts w:eastAsia="Calibri"/>
          <w:sz w:val="20"/>
          <w:szCs w:val="20"/>
        </w:rPr>
        <w:t>Por otro lado, en años recientes, la población en edad de pensionarse crece a una tasa mayor que la población más joven. Esta transición demográfica representa un reto para la sostenibilidad de las finanzas públicas debido al incremento esperado en el gasto de pensiones y en salud asociado al crecimiento de la población de mayor edad, por lo anterior y con la finalidad de hacer frente a esta presión creciente para las finanzas públicas, se considera un Fondo para el Fortalecimiento a Pensiones Civiles de $89,567,395.00.</w:t>
      </w:r>
    </w:p>
    <w:p w14:paraId="2EC028B3" w14:textId="77777777" w:rsidR="00AA3D42" w:rsidRDefault="00AA3D42" w:rsidP="00AA3D42">
      <w:pPr>
        <w:spacing w:after="200" w:line="360" w:lineRule="auto"/>
        <w:jc w:val="both"/>
        <w:rPr>
          <w:rFonts w:eastAsia="Calibri"/>
          <w:sz w:val="20"/>
          <w:szCs w:val="20"/>
        </w:rPr>
      </w:pPr>
      <w:r>
        <w:rPr>
          <w:sz w:val="20"/>
          <w:szCs w:val="20"/>
        </w:rPr>
        <w:t xml:space="preserve">Hoy, el Estado de </w:t>
      </w:r>
      <w:r w:rsidRPr="00101529">
        <w:rPr>
          <w:sz w:val="20"/>
          <w:szCs w:val="20"/>
        </w:rPr>
        <w:t xml:space="preserve">Tlaxcala es </w:t>
      </w:r>
      <w:r>
        <w:rPr>
          <w:sz w:val="20"/>
          <w:szCs w:val="20"/>
        </w:rPr>
        <w:t>el segundo más seguro del país, e</w:t>
      </w:r>
      <w:r w:rsidRPr="00101529">
        <w:rPr>
          <w:sz w:val="20"/>
          <w:szCs w:val="20"/>
        </w:rPr>
        <w:t>stas condiciones favorables en seguridad pública, son un activo</w:t>
      </w:r>
      <w:r>
        <w:rPr>
          <w:sz w:val="20"/>
          <w:szCs w:val="20"/>
        </w:rPr>
        <w:t xml:space="preserve"> </w:t>
      </w:r>
      <w:r w:rsidRPr="00101529">
        <w:rPr>
          <w:sz w:val="20"/>
          <w:szCs w:val="20"/>
        </w:rPr>
        <w:t>que nuestra entidad debe conservar y fortalecer, no sólo como</w:t>
      </w:r>
      <w:r>
        <w:rPr>
          <w:sz w:val="20"/>
          <w:szCs w:val="20"/>
        </w:rPr>
        <w:t xml:space="preserve"> </w:t>
      </w:r>
      <w:r w:rsidRPr="00101529">
        <w:rPr>
          <w:sz w:val="20"/>
          <w:szCs w:val="20"/>
        </w:rPr>
        <w:t>un factor relevante para nuestra población, sino también como</w:t>
      </w:r>
      <w:r>
        <w:rPr>
          <w:sz w:val="20"/>
          <w:szCs w:val="20"/>
        </w:rPr>
        <w:t xml:space="preserve"> </w:t>
      </w:r>
      <w:r w:rsidRPr="00101529">
        <w:rPr>
          <w:sz w:val="20"/>
          <w:szCs w:val="20"/>
        </w:rPr>
        <w:t xml:space="preserve">una ventaja frente a otros estados del país, para atraer inversión </w:t>
      </w:r>
      <w:r>
        <w:rPr>
          <w:sz w:val="20"/>
          <w:szCs w:val="20"/>
        </w:rPr>
        <w:t>productiva a nuestro territorio, con el fin de dar continuidad y fortalecer estas condiciones, es necesario tener un Fondo para la Seguridad Pública por un monto de $100,000,000.00.</w:t>
      </w:r>
    </w:p>
    <w:p w14:paraId="1CE61CAB" w14:textId="792AD655" w:rsidR="00AA3D42" w:rsidRDefault="00AA3D42" w:rsidP="00AA3D42">
      <w:pPr>
        <w:spacing w:after="200" w:line="360" w:lineRule="auto"/>
        <w:jc w:val="both"/>
        <w:rPr>
          <w:sz w:val="20"/>
          <w:szCs w:val="20"/>
        </w:rPr>
      </w:pPr>
      <w:r w:rsidRPr="00816684">
        <w:rPr>
          <w:sz w:val="20"/>
          <w:szCs w:val="20"/>
        </w:rPr>
        <w:t>Una de las principales obligaciones de los gobiernos es proteger el acceso a los servicios de salud para la población.</w:t>
      </w:r>
      <w:r>
        <w:rPr>
          <w:sz w:val="20"/>
          <w:szCs w:val="20"/>
        </w:rPr>
        <w:t xml:space="preserve"> </w:t>
      </w:r>
      <w:r w:rsidRPr="00816684">
        <w:rPr>
          <w:sz w:val="20"/>
          <w:szCs w:val="20"/>
        </w:rPr>
        <w:t>La salud física y mental de una sociedad es, a la vez, reflejo y</w:t>
      </w:r>
      <w:r>
        <w:rPr>
          <w:sz w:val="20"/>
          <w:szCs w:val="20"/>
        </w:rPr>
        <w:t xml:space="preserve"> </w:t>
      </w:r>
      <w:r w:rsidRPr="00816684">
        <w:rPr>
          <w:sz w:val="20"/>
          <w:szCs w:val="20"/>
        </w:rPr>
        <w:t>factor determinante de su grado de desarrollo</w:t>
      </w:r>
      <w:r>
        <w:rPr>
          <w:sz w:val="20"/>
          <w:szCs w:val="20"/>
        </w:rPr>
        <w:t xml:space="preserve">. </w:t>
      </w:r>
      <w:r w:rsidRPr="00B8508B">
        <w:rPr>
          <w:sz w:val="20"/>
          <w:szCs w:val="20"/>
        </w:rPr>
        <w:t>Actualmente, las mujeres representan el 40% de l</w:t>
      </w:r>
      <w:r>
        <w:rPr>
          <w:sz w:val="20"/>
          <w:szCs w:val="20"/>
        </w:rPr>
        <w:t>a fuerza laboral a nivel global,</w:t>
      </w:r>
      <w:r w:rsidRPr="00B8508B">
        <w:rPr>
          <w:sz w:val="20"/>
          <w:szCs w:val="20"/>
        </w:rPr>
        <w:t xml:space="preserve"> </w:t>
      </w:r>
      <w:r>
        <w:rPr>
          <w:sz w:val="20"/>
          <w:szCs w:val="20"/>
        </w:rPr>
        <w:t>i</w:t>
      </w:r>
      <w:r w:rsidRPr="00B8508B">
        <w:rPr>
          <w:sz w:val="20"/>
          <w:szCs w:val="20"/>
        </w:rPr>
        <w:t>ndependientemente del lugar donde vivamos, la igualdad de género es un derecho humano fundamental. Promover la igualdad de género es esencial en todos los ámbitos de sociedad sana: desde la reducción de la pobreza hasta la promoción de la salud, la educación, la protecc</w:t>
      </w:r>
      <w:r>
        <w:rPr>
          <w:sz w:val="20"/>
          <w:szCs w:val="20"/>
        </w:rPr>
        <w:t>ión y el bienestar de las niñas; por eso es importante invertir en la Equidad de Género al considerar las desigualdades históricas entre hombres y mujeres, la perspectiva de género se constituye como un factor determinante de salud e ingrediente ineludible para la formulación de políticas públicas, en razón de lo anterior se considera un fondo de $</w:t>
      </w:r>
      <w:r w:rsidR="005E2A35">
        <w:rPr>
          <w:sz w:val="20"/>
          <w:szCs w:val="20"/>
        </w:rPr>
        <w:t>5</w:t>
      </w:r>
      <w:r>
        <w:rPr>
          <w:sz w:val="20"/>
          <w:szCs w:val="20"/>
        </w:rPr>
        <w:t>0,000,000.00 para el Programa para la Salud de la Mujer.</w:t>
      </w:r>
    </w:p>
    <w:p w14:paraId="20665A7F" w14:textId="77777777" w:rsidR="00AA3D42" w:rsidRPr="00C77F95" w:rsidRDefault="00AA3D42" w:rsidP="00AA3D42">
      <w:pPr>
        <w:spacing w:after="200" w:line="360" w:lineRule="auto"/>
        <w:jc w:val="both"/>
        <w:rPr>
          <w:rFonts w:eastAsia="Calibri"/>
          <w:b/>
          <w:sz w:val="20"/>
          <w:szCs w:val="20"/>
        </w:rPr>
      </w:pPr>
    </w:p>
    <w:p w14:paraId="11AA8272" w14:textId="77777777" w:rsidR="00AA3D42" w:rsidRPr="00C77F95" w:rsidRDefault="00AA3D42" w:rsidP="00AA3D42">
      <w:pPr>
        <w:spacing w:after="200" w:line="360" w:lineRule="auto"/>
        <w:jc w:val="both"/>
        <w:rPr>
          <w:rFonts w:eastAsia="Calibri"/>
          <w:b/>
          <w:sz w:val="20"/>
          <w:szCs w:val="20"/>
        </w:rPr>
      </w:pPr>
      <w:r w:rsidRPr="00C77F95">
        <w:rPr>
          <w:rFonts w:eastAsia="Calibri"/>
          <w:b/>
          <w:sz w:val="20"/>
          <w:szCs w:val="20"/>
        </w:rPr>
        <w:t>Por lo antes expuesto, se somete a la consideración de este Congreso del Estado de Tlaxcala la siguiente:</w:t>
      </w:r>
    </w:p>
    <w:p w14:paraId="4D449F54" w14:textId="77777777" w:rsidR="00AA3D42" w:rsidRPr="00F532D5" w:rsidRDefault="00AA3D42" w:rsidP="00AA3D42">
      <w:pPr>
        <w:spacing w:line="360" w:lineRule="auto"/>
        <w:jc w:val="center"/>
        <w:rPr>
          <w:sz w:val="18"/>
          <w:szCs w:val="18"/>
          <w:lang w:val="es-MX"/>
        </w:rPr>
      </w:pPr>
    </w:p>
    <w:sectPr w:rsidR="00AA3D42" w:rsidRPr="00F532D5" w:rsidSect="003F128F">
      <w:footerReference w:type="even" r:id="rId55"/>
      <w:footerReference w:type="default" r:id="rId56"/>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9AB50" w14:textId="77777777" w:rsidR="003B0582" w:rsidRDefault="003B0582">
      <w:r>
        <w:separator/>
      </w:r>
    </w:p>
  </w:endnote>
  <w:endnote w:type="continuationSeparator" w:id="0">
    <w:p w14:paraId="2E54F445" w14:textId="77777777" w:rsidR="003B0582" w:rsidRDefault="003B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868D9" w14:textId="77777777" w:rsidR="005E2A35" w:rsidRDefault="005E2A3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25B0CE5" w14:textId="77777777" w:rsidR="005E2A35" w:rsidRDefault="005E2A3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89B88" w14:textId="4EE4B6DC" w:rsidR="005E2A35" w:rsidRDefault="005E2A35">
    <w:pPr>
      <w:pStyle w:val="Piedepgina"/>
      <w:framePr w:wrap="around" w:vAnchor="text" w:hAnchor="margin" w:xAlign="right" w:y="1"/>
      <w:rPr>
        <w:rStyle w:val="Nmerodepgina"/>
        <w:rFonts w:ascii="Arial" w:hAnsi="Arial" w:cs="Arial"/>
      </w:rPr>
    </w:pPr>
    <w:r>
      <w:rPr>
        <w:rStyle w:val="Nmerodepgina"/>
        <w:rFonts w:ascii="Arial" w:hAnsi="Arial" w:cs="Arial"/>
      </w:rPr>
      <w:fldChar w:fldCharType="begin"/>
    </w:r>
    <w:r>
      <w:rPr>
        <w:rStyle w:val="Nmerodepgina"/>
        <w:rFonts w:ascii="Arial" w:hAnsi="Arial" w:cs="Arial"/>
      </w:rPr>
      <w:instrText xml:space="preserve">PAGE  </w:instrText>
    </w:r>
    <w:r>
      <w:rPr>
        <w:rStyle w:val="Nmerodepgina"/>
        <w:rFonts w:ascii="Arial" w:hAnsi="Arial" w:cs="Arial"/>
      </w:rPr>
      <w:fldChar w:fldCharType="separate"/>
    </w:r>
    <w:r w:rsidR="00030E5A">
      <w:rPr>
        <w:rStyle w:val="Nmerodepgina"/>
        <w:rFonts w:ascii="Arial" w:hAnsi="Arial" w:cs="Arial"/>
        <w:noProof/>
      </w:rPr>
      <w:t>110</w:t>
    </w:r>
    <w:r>
      <w:rPr>
        <w:rStyle w:val="Nmerodepgina"/>
        <w:rFonts w:ascii="Arial" w:hAnsi="Arial" w:cs="Arial"/>
      </w:rPr>
      <w:fldChar w:fldCharType="end"/>
    </w:r>
  </w:p>
  <w:p w14:paraId="29639736" w14:textId="77777777" w:rsidR="005E2A35" w:rsidRDefault="005E2A3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E142E" w14:textId="77777777" w:rsidR="003B0582" w:rsidRDefault="003B0582">
      <w:r>
        <w:separator/>
      </w:r>
    </w:p>
  </w:footnote>
  <w:footnote w:type="continuationSeparator" w:id="0">
    <w:p w14:paraId="400B4DAC" w14:textId="77777777" w:rsidR="003B0582" w:rsidRDefault="003B0582">
      <w:r>
        <w:continuationSeparator/>
      </w:r>
    </w:p>
  </w:footnote>
  <w:footnote w:id="1">
    <w:p w14:paraId="099F5A10" w14:textId="77777777" w:rsidR="005E2A35" w:rsidRPr="00F532D5" w:rsidRDefault="005E2A35" w:rsidP="004A5FFD">
      <w:pPr>
        <w:pStyle w:val="Textonotapie"/>
        <w:rPr>
          <w:rFonts w:ascii="Times New Roman" w:hAnsi="Times New Roman"/>
          <w:sz w:val="16"/>
        </w:rPr>
      </w:pPr>
      <w:r w:rsidRPr="00F532D5">
        <w:rPr>
          <w:rStyle w:val="Refdenotaalpie"/>
          <w:rFonts w:ascii="Times New Roman" w:hAnsi="Times New Roman"/>
          <w:b/>
          <w:sz w:val="16"/>
        </w:rPr>
        <w:footnoteRef/>
      </w:r>
      <w:r w:rsidRPr="00F532D5">
        <w:rPr>
          <w:rFonts w:ascii="Times New Roman" w:hAnsi="Times New Roman"/>
          <w:sz w:val="16"/>
        </w:rPr>
        <w:t xml:space="preserve"> Valuaciones Actuariales del Norte, S.C. Consultoría Actuarial.</w:t>
      </w:r>
    </w:p>
  </w:footnote>
  <w:footnote w:id="2">
    <w:p w14:paraId="1F3C4679" w14:textId="77777777" w:rsidR="005E2A35" w:rsidRDefault="005E2A35" w:rsidP="00BE1C47">
      <w:pPr>
        <w:pStyle w:val="Textonotapie"/>
        <w:rPr>
          <w:sz w:val="16"/>
        </w:rPr>
      </w:pPr>
      <w:r>
        <w:rPr>
          <w:rStyle w:val="Refdenotaalpie"/>
          <w:b/>
          <w:sz w:val="16"/>
        </w:rPr>
        <w:footnoteRef/>
      </w:r>
      <w:r>
        <w:rPr>
          <w:sz w:val="16"/>
        </w:rPr>
        <w:t xml:space="preserve"> </w:t>
      </w:r>
      <w:r w:rsidRPr="00845EA8">
        <w:rPr>
          <w:rFonts w:ascii="Times New Roman" w:hAnsi="Times New Roman"/>
          <w:sz w:val="16"/>
        </w:rPr>
        <w:t>Valuaciones Actuariales del Norte, S.C. Consultoría Actuarial.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nsid w:val="01ED221F"/>
    <w:multiLevelType w:val="hybridMultilevel"/>
    <w:tmpl w:val="540A89C4"/>
    <w:lvl w:ilvl="0" w:tplc="080A000F">
      <w:start w:val="1"/>
      <w:numFmt w:val="decimal"/>
      <w:lvlText w:val="%1."/>
      <w:lvlJc w:val="left"/>
      <w:pPr>
        <w:ind w:left="720" w:hanging="360"/>
      </w:pPr>
    </w:lvl>
    <w:lvl w:ilvl="1" w:tplc="080A000F">
      <w:start w:val="1"/>
      <w:numFmt w:val="decimal"/>
      <w:lvlText w:val="%2."/>
      <w:lvlJc w:val="left"/>
      <w:pPr>
        <w:ind w:left="1440" w:hanging="360"/>
      </w:pPr>
    </w:lvl>
    <w:lvl w:ilvl="2" w:tplc="B1B6402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7643D5"/>
    <w:multiLevelType w:val="hybridMultilevel"/>
    <w:tmpl w:val="E402AF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0A3BA7"/>
    <w:multiLevelType w:val="hybridMultilevel"/>
    <w:tmpl w:val="24D8E102"/>
    <w:lvl w:ilvl="0" w:tplc="D0DE75BC">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EEC2907"/>
    <w:multiLevelType w:val="hybridMultilevel"/>
    <w:tmpl w:val="6380B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697622"/>
    <w:multiLevelType w:val="hybridMultilevel"/>
    <w:tmpl w:val="7D686EF2"/>
    <w:lvl w:ilvl="0" w:tplc="442223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344A7D"/>
    <w:multiLevelType w:val="hybridMultilevel"/>
    <w:tmpl w:val="C4ACA41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9287EEC">
      <w:numFmt w:val="bullet"/>
      <w:lvlText w:val="•"/>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955D1D"/>
    <w:multiLevelType w:val="hybridMultilevel"/>
    <w:tmpl w:val="F09C4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836CAF"/>
    <w:multiLevelType w:val="hybridMultilevel"/>
    <w:tmpl w:val="E70C3F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EF3874"/>
    <w:multiLevelType w:val="hybridMultilevel"/>
    <w:tmpl w:val="D2EC4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B057D85"/>
    <w:multiLevelType w:val="hybridMultilevel"/>
    <w:tmpl w:val="5FC6B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F3C1A03"/>
    <w:multiLevelType w:val="hybridMultilevel"/>
    <w:tmpl w:val="13786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DD4DA8"/>
    <w:multiLevelType w:val="hybridMultilevel"/>
    <w:tmpl w:val="E7843B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8832AC"/>
    <w:multiLevelType w:val="hybridMultilevel"/>
    <w:tmpl w:val="37425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100364"/>
    <w:multiLevelType w:val="hybridMultilevel"/>
    <w:tmpl w:val="C4AC79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6751C0A"/>
    <w:multiLevelType w:val="hybridMultilevel"/>
    <w:tmpl w:val="BDEA5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923304"/>
    <w:multiLevelType w:val="hybridMultilevel"/>
    <w:tmpl w:val="52363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D12472A"/>
    <w:multiLevelType w:val="hybridMultilevel"/>
    <w:tmpl w:val="49DE3956"/>
    <w:lvl w:ilvl="0" w:tplc="080A0011">
      <w:start w:val="1"/>
      <w:numFmt w:val="decimal"/>
      <w:lvlText w:val="%1)"/>
      <w:lvlJc w:val="left"/>
      <w:pPr>
        <w:ind w:left="720" w:hanging="360"/>
      </w:pPr>
      <w:rPr>
        <w:rFonts w:hint="default"/>
      </w:rPr>
    </w:lvl>
    <w:lvl w:ilvl="1" w:tplc="1248C58E">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3C82FE9"/>
    <w:multiLevelType w:val="hybridMultilevel"/>
    <w:tmpl w:val="7F7C55D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64A67499"/>
    <w:multiLevelType w:val="hybridMultilevel"/>
    <w:tmpl w:val="E1808DAC"/>
    <w:lvl w:ilvl="0" w:tplc="080A000F">
      <w:start w:val="1"/>
      <w:numFmt w:val="decimal"/>
      <w:lvlText w:val="%1."/>
      <w:lvlJc w:val="left"/>
      <w:pPr>
        <w:ind w:left="709" w:hanging="360"/>
      </w:p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22">
    <w:nsid w:val="662B3C96"/>
    <w:multiLevelType w:val="hybridMultilevel"/>
    <w:tmpl w:val="F2DA30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6301092"/>
    <w:multiLevelType w:val="hybridMultilevel"/>
    <w:tmpl w:val="C6180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BA735C"/>
    <w:multiLevelType w:val="hybridMultilevel"/>
    <w:tmpl w:val="C0C4D6B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16E69E9"/>
    <w:multiLevelType w:val="hybridMultilevel"/>
    <w:tmpl w:val="5CDA7654"/>
    <w:lvl w:ilvl="0" w:tplc="1F08F61E">
      <w:start w:val="1"/>
      <w:numFmt w:val="decimal"/>
      <w:lvlText w:val="%1."/>
      <w:lvlJc w:val="left"/>
      <w:pPr>
        <w:ind w:left="349" w:hanging="360"/>
      </w:pPr>
      <w:rPr>
        <w:rFonts w:hint="default"/>
      </w:rPr>
    </w:lvl>
    <w:lvl w:ilvl="1" w:tplc="080A0019" w:tentative="1">
      <w:start w:val="1"/>
      <w:numFmt w:val="lowerLetter"/>
      <w:lvlText w:val="%2."/>
      <w:lvlJc w:val="left"/>
      <w:pPr>
        <w:ind w:left="1069" w:hanging="360"/>
      </w:pPr>
    </w:lvl>
    <w:lvl w:ilvl="2" w:tplc="080A001B" w:tentative="1">
      <w:start w:val="1"/>
      <w:numFmt w:val="lowerRoman"/>
      <w:lvlText w:val="%3."/>
      <w:lvlJc w:val="right"/>
      <w:pPr>
        <w:ind w:left="1789" w:hanging="180"/>
      </w:pPr>
    </w:lvl>
    <w:lvl w:ilvl="3" w:tplc="080A000F" w:tentative="1">
      <w:start w:val="1"/>
      <w:numFmt w:val="decimal"/>
      <w:lvlText w:val="%4."/>
      <w:lvlJc w:val="left"/>
      <w:pPr>
        <w:ind w:left="2509" w:hanging="360"/>
      </w:pPr>
    </w:lvl>
    <w:lvl w:ilvl="4" w:tplc="080A0019" w:tentative="1">
      <w:start w:val="1"/>
      <w:numFmt w:val="lowerLetter"/>
      <w:lvlText w:val="%5."/>
      <w:lvlJc w:val="left"/>
      <w:pPr>
        <w:ind w:left="3229" w:hanging="360"/>
      </w:pPr>
    </w:lvl>
    <w:lvl w:ilvl="5" w:tplc="080A001B" w:tentative="1">
      <w:start w:val="1"/>
      <w:numFmt w:val="lowerRoman"/>
      <w:lvlText w:val="%6."/>
      <w:lvlJc w:val="right"/>
      <w:pPr>
        <w:ind w:left="3949" w:hanging="180"/>
      </w:pPr>
    </w:lvl>
    <w:lvl w:ilvl="6" w:tplc="080A000F" w:tentative="1">
      <w:start w:val="1"/>
      <w:numFmt w:val="decimal"/>
      <w:lvlText w:val="%7."/>
      <w:lvlJc w:val="left"/>
      <w:pPr>
        <w:ind w:left="4669" w:hanging="360"/>
      </w:pPr>
    </w:lvl>
    <w:lvl w:ilvl="7" w:tplc="080A0019" w:tentative="1">
      <w:start w:val="1"/>
      <w:numFmt w:val="lowerLetter"/>
      <w:lvlText w:val="%8."/>
      <w:lvlJc w:val="left"/>
      <w:pPr>
        <w:ind w:left="5389" w:hanging="360"/>
      </w:pPr>
    </w:lvl>
    <w:lvl w:ilvl="8" w:tplc="080A001B" w:tentative="1">
      <w:start w:val="1"/>
      <w:numFmt w:val="lowerRoman"/>
      <w:lvlText w:val="%9."/>
      <w:lvlJc w:val="right"/>
      <w:pPr>
        <w:ind w:left="6109" w:hanging="180"/>
      </w:pPr>
    </w:lvl>
  </w:abstractNum>
  <w:abstractNum w:abstractNumId="26">
    <w:nsid w:val="793247E0"/>
    <w:multiLevelType w:val="hybridMultilevel"/>
    <w:tmpl w:val="21669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4"/>
  </w:num>
  <w:num w:numId="4">
    <w:abstractNumId w:val="9"/>
  </w:num>
  <w:num w:numId="5">
    <w:abstractNumId w:val="25"/>
  </w:num>
  <w:num w:numId="6">
    <w:abstractNumId w:val="6"/>
  </w:num>
  <w:num w:numId="7">
    <w:abstractNumId w:val="16"/>
  </w:num>
  <w:num w:numId="8">
    <w:abstractNumId w:val="18"/>
  </w:num>
  <w:num w:numId="9">
    <w:abstractNumId w:val="19"/>
  </w:num>
  <w:num w:numId="10">
    <w:abstractNumId w:val="24"/>
  </w:num>
  <w:num w:numId="11">
    <w:abstractNumId w:val="23"/>
  </w:num>
  <w:num w:numId="12">
    <w:abstractNumId w:val="8"/>
  </w:num>
  <w:num w:numId="13">
    <w:abstractNumId w:val="5"/>
  </w:num>
  <w:num w:numId="14">
    <w:abstractNumId w:val="15"/>
  </w:num>
  <w:num w:numId="15">
    <w:abstractNumId w:val="12"/>
  </w:num>
  <w:num w:numId="16">
    <w:abstractNumId w:val="2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
  </w:num>
  <w:num w:numId="23">
    <w:abstractNumId w:val="13"/>
  </w:num>
  <w:num w:numId="24">
    <w:abstractNumId w:val="10"/>
  </w:num>
  <w:num w:numId="25">
    <w:abstractNumId w:val="26"/>
  </w:num>
  <w:num w:numId="26">
    <w:abstractNumId w:val="14"/>
  </w:num>
  <w:num w:numId="27">
    <w:abstractNumId w:val="2"/>
  </w:num>
  <w:num w:numId="28">
    <w:abstractNumId w:val="20"/>
  </w:num>
  <w:num w:numId="29">
    <w:abstractNumId w:val="22"/>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EF"/>
    <w:rsid w:val="0000030A"/>
    <w:rsid w:val="00000FA7"/>
    <w:rsid w:val="000016D4"/>
    <w:rsid w:val="00001E51"/>
    <w:rsid w:val="00003668"/>
    <w:rsid w:val="00003E69"/>
    <w:rsid w:val="00004492"/>
    <w:rsid w:val="00005E9A"/>
    <w:rsid w:val="00005EEF"/>
    <w:rsid w:val="000063F6"/>
    <w:rsid w:val="0000685C"/>
    <w:rsid w:val="00006F88"/>
    <w:rsid w:val="000072AB"/>
    <w:rsid w:val="000074C4"/>
    <w:rsid w:val="000077C3"/>
    <w:rsid w:val="000101E2"/>
    <w:rsid w:val="0001044C"/>
    <w:rsid w:val="000107BD"/>
    <w:rsid w:val="00010C6E"/>
    <w:rsid w:val="00010E5A"/>
    <w:rsid w:val="000112AE"/>
    <w:rsid w:val="00011FEF"/>
    <w:rsid w:val="0001293C"/>
    <w:rsid w:val="00014202"/>
    <w:rsid w:val="000144A5"/>
    <w:rsid w:val="000146F1"/>
    <w:rsid w:val="00014E2C"/>
    <w:rsid w:val="00015522"/>
    <w:rsid w:val="000164F7"/>
    <w:rsid w:val="00016B9D"/>
    <w:rsid w:val="00016F5C"/>
    <w:rsid w:val="000206DD"/>
    <w:rsid w:val="00021E5F"/>
    <w:rsid w:val="0002266C"/>
    <w:rsid w:val="00022F56"/>
    <w:rsid w:val="000230E7"/>
    <w:rsid w:val="00023C9E"/>
    <w:rsid w:val="00024051"/>
    <w:rsid w:val="0002434B"/>
    <w:rsid w:val="000243FF"/>
    <w:rsid w:val="000249C5"/>
    <w:rsid w:val="00025397"/>
    <w:rsid w:val="00025734"/>
    <w:rsid w:val="00025F64"/>
    <w:rsid w:val="000269AE"/>
    <w:rsid w:val="00026B01"/>
    <w:rsid w:val="00027340"/>
    <w:rsid w:val="00027687"/>
    <w:rsid w:val="000278F8"/>
    <w:rsid w:val="000278FB"/>
    <w:rsid w:val="00030E5A"/>
    <w:rsid w:val="00030F41"/>
    <w:rsid w:val="00030F48"/>
    <w:rsid w:val="00031372"/>
    <w:rsid w:val="00031482"/>
    <w:rsid w:val="0003195E"/>
    <w:rsid w:val="00031EAA"/>
    <w:rsid w:val="0003269E"/>
    <w:rsid w:val="00032945"/>
    <w:rsid w:val="00032997"/>
    <w:rsid w:val="000329CA"/>
    <w:rsid w:val="00032AD8"/>
    <w:rsid w:val="000332C8"/>
    <w:rsid w:val="00033F47"/>
    <w:rsid w:val="00034AAC"/>
    <w:rsid w:val="00035B46"/>
    <w:rsid w:val="00036390"/>
    <w:rsid w:val="00036443"/>
    <w:rsid w:val="00036CF5"/>
    <w:rsid w:val="00036EB0"/>
    <w:rsid w:val="0003793F"/>
    <w:rsid w:val="00040FEE"/>
    <w:rsid w:val="00041251"/>
    <w:rsid w:val="000419CB"/>
    <w:rsid w:val="00041C0F"/>
    <w:rsid w:val="00042618"/>
    <w:rsid w:val="00043A8D"/>
    <w:rsid w:val="000453AB"/>
    <w:rsid w:val="0004561E"/>
    <w:rsid w:val="0004563A"/>
    <w:rsid w:val="000457B8"/>
    <w:rsid w:val="00046154"/>
    <w:rsid w:val="00046517"/>
    <w:rsid w:val="000465F6"/>
    <w:rsid w:val="0004781A"/>
    <w:rsid w:val="00050553"/>
    <w:rsid w:val="000514B9"/>
    <w:rsid w:val="00052956"/>
    <w:rsid w:val="0005391A"/>
    <w:rsid w:val="00054E52"/>
    <w:rsid w:val="00055622"/>
    <w:rsid w:val="00055F2E"/>
    <w:rsid w:val="00056063"/>
    <w:rsid w:val="000605CD"/>
    <w:rsid w:val="000608E1"/>
    <w:rsid w:val="000617EA"/>
    <w:rsid w:val="000636B0"/>
    <w:rsid w:val="00064B2F"/>
    <w:rsid w:val="00065C33"/>
    <w:rsid w:val="00066384"/>
    <w:rsid w:val="00066A03"/>
    <w:rsid w:val="00066F0B"/>
    <w:rsid w:val="0006789E"/>
    <w:rsid w:val="00067DA5"/>
    <w:rsid w:val="00067F11"/>
    <w:rsid w:val="00070181"/>
    <w:rsid w:val="00070774"/>
    <w:rsid w:val="000712BA"/>
    <w:rsid w:val="00071DE8"/>
    <w:rsid w:val="00072717"/>
    <w:rsid w:val="000732EF"/>
    <w:rsid w:val="00073F8A"/>
    <w:rsid w:val="000742E4"/>
    <w:rsid w:val="00075E18"/>
    <w:rsid w:val="000760AB"/>
    <w:rsid w:val="00076254"/>
    <w:rsid w:val="00076CFA"/>
    <w:rsid w:val="00077375"/>
    <w:rsid w:val="000777E1"/>
    <w:rsid w:val="00077991"/>
    <w:rsid w:val="00080C8A"/>
    <w:rsid w:val="00081031"/>
    <w:rsid w:val="000821A9"/>
    <w:rsid w:val="000836E3"/>
    <w:rsid w:val="00085747"/>
    <w:rsid w:val="00086492"/>
    <w:rsid w:val="00087FC6"/>
    <w:rsid w:val="000902B8"/>
    <w:rsid w:val="00091905"/>
    <w:rsid w:val="00091A03"/>
    <w:rsid w:val="00091AA8"/>
    <w:rsid w:val="00092209"/>
    <w:rsid w:val="000926BC"/>
    <w:rsid w:val="000949F0"/>
    <w:rsid w:val="00095070"/>
    <w:rsid w:val="000954E8"/>
    <w:rsid w:val="00095A1B"/>
    <w:rsid w:val="00096368"/>
    <w:rsid w:val="000964D7"/>
    <w:rsid w:val="00096732"/>
    <w:rsid w:val="00097A4E"/>
    <w:rsid w:val="000A177B"/>
    <w:rsid w:val="000A2328"/>
    <w:rsid w:val="000A27C1"/>
    <w:rsid w:val="000A2BD7"/>
    <w:rsid w:val="000A2F07"/>
    <w:rsid w:val="000A2FD9"/>
    <w:rsid w:val="000A3613"/>
    <w:rsid w:val="000A58D0"/>
    <w:rsid w:val="000A59C5"/>
    <w:rsid w:val="000A60F1"/>
    <w:rsid w:val="000A72EA"/>
    <w:rsid w:val="000A7D09"/>
    <w:rsid w:val="000B0026"/>
    <w:rsid w:val="000B0656"/>
    <w:rsid w:val="000B0FF2"/>
    <w:rsid w:val="000B1855"/>
    <w:rsid w:val="000B1865"/>
    <w:rsid w:val="000B200E"/>
    <w:rsid w:val="000B2A16"/>
    <w:rsid w:val="000B2C15"/>
    <w:rsid w:val="000B4BED"/>
    <w:rsid w:val="000B64B4"/>
    <w:rsid w:val="000B6BAE"/>
    <w:rsid w:val="000B6E2A"/>
    <w:rsid w:val="000B7018"/>
    <w:rsid w:val="000B70CA"/>
    <w:rsid w:val="000B7DD7"/>
    <w:rsid w:val="000C082B"/>
    <w:rsid w:val="000C0878"/>
    <w:rsid w:val="000C142B"/>
    <w:rsid w:val="000C1466"/>
    <w:rsid w:val="000C230C"/>
    <w:rsid w:val="000C2C43"/>
    <w:rsid w:val="000C422C"/>
    <w:rsid w:val="000C4845"/>
    <w:rsid w:val="000C4DEF"/>
    <w:rsid w:val="000C6D37"/>
    <w:rsid w:val="000C786F"/>
    <w:rsid w:val="000C7F14"/>
    <w:rsid w:val="000D029F"/>
    <w:rsid w:val="000D03EA"/>
    <w:rsid w:val="000D227D"/>
    <w:rsid w:val="000D292C"/>
    <w:rsid w:val="000D2F46"/>
    <w:rsid w:val="000D4505"/>
    <w:rsid w:val="000D48BE"/>
    <w:rsid w:val="000D4CB0"/>
    <w:rsid w:val="000D5B2A"/>
    <w:rsid w:val="000D5B2D"/>
    <w:rsid w:val="000D5CF0"/>
    <w:rsid w:val="000D686F"/>
    <w:rsid w:val="000D75EF"/>
    <w:rsid w:val="000E0407"/>
    <w:rsid w:val="000E0916"/>
    <w:rsid w:val="000E191D"/>
    <w:rsid w:val="000E1A2E"/>
    <w:rsid w:val="000E2407"/>
    <w:rsid w:val="000E2642"/>
    <w:rsid w:val="000E2BF7"/>
    <w:rsid w:val="000E3EDA"/>
    <w:rsid w:val="000E4167"/>
    <w:rsid w:val="000E4844"/>
    <w:rsid w:val="000E506D"/>
    <w:rsid w:val="000E5260"/>
    <w:rsid w:val="000E6155"/>
    <w:rsid w:val="000E63DC"/>
    <w:rsid w:val="000E679D"/>
    <w:rsid w:val="000E6A24"/>
    <w:rsid w:val="000E6B68"/>
    <w:rsid w:val="000E6C28"/>
    <w:rsid w:val="000E6C2E"/>
    <w:rsid w:val="000E7443"/>
    <w:rsid w:val="000E7A2C"/>
    <w:rsid w:val="000E7BDF"/>
    <w:rsid w:val="000E7FCE"/>
    <w:rsid w:val="000F1429"/>
    <w:rsid w:val="000F2F5E"/>
    <w:rsid w:val="000F2F9A"/>
    <w:rsid w:val="000F3D74"/>
    <w:rsid w:val="000F4267"/>
    <w:rsid w:val="000F4813"/>
    <w:rsid w:val="000F4B37"/>
    <w:rsid w:val="000F50CE"/>
    <w:rsid w:val="000F59F2"/>
    <w:rsid w:val="000F693B"/>
    <w:rsid w:val="000F732D"/>
    <w:rsid w:val="000F7522"/>
    <w:rsid w:val="000F7599"/>
    <w:rsid w:val="000F7712"/>
    <w:rsid w:val="000F7840"/>
    <w:rsid w:val="000F7DBF"/>
    <w:rsid w:val="00100153"/>
    <w:rsid w:val="001006D7"/>
    <w:rsid w:val="00100924"/>
    <w:rsid w:val="00100D44"/>
    <w:rsid w:val="00101136"/>
    <w:rsid w:val="00101425"/>
    <w:rsid w:val="00101784"/>
    <w:rsid w:val="00101A28"/>
    <w:rsid w:val="00102539"/>
    <w:rsid w:val="00102796"/>
    <w:rsid w:val="0010294B"/>
    <w:rsid w:val="001037C8"/>
    <w:rsid w:val="00103A1C"/>
    <w:rsid w:val="00103E0C"/>
    <w:rsid w:val="001042E0"/>
    <w:rsid w:val="001054E2"/>
    <w:rsid w:val="001064D7"/>
    <w:rsid w:val="00106B6E"/>
    <w:rsid w:val="00110428"/>
    <w:rsid w:val="001104EF"/>
    <w:rsid w:val="00110D17"/>
    <w:rsid w:val="00110DD7"/>
    <w:rsid w:val="00111E89"/>
    <w:rsid w:val="0011288E"/>
    <w:rsid w:val="00113204"/>
    <w:rsid w:val="00114166"/>
    <w:rsid w:val="0011434A"/>
    <w:rsid w:val="00114CC2"/>
    <w:rsid w:val="001155E9"/>
    <w:rsid w:val="001160D0"/>
    <w:rsid w:val="001160D6"/>
    <w:rsid w:val="00116B40"/>
    <w:rsid w:val="00117803"/>
    <w:rsid w:val="00120520"/>
    <w:rsid w:val="00121294"/>
    <w:rsid w:val="001215BA"/>
    <w:rsid w:val="001234C5"/>
    <w:rsid w:val="00123938"/>
    <w:rsid w:val="0012436C"/>
    <w:rsid w:val="0012456F"/>
    <w:rsid w:val="0012477B"/>
    <w:rsid w:val="00125023"/>
    <w:rsid w:val="0012505D"/>
    <w:rsid w:val="0012522F"/>
    <w:rsid w:val="00125402"/>
    <w:rsid w:val="00125A26"/>
    <w:rsid w:val="00125BC6"/>
    <w:rsid w:val="0012632B"/>
    <w:rsid w:val="00126B43"/>
    <w:rsid w:val="0012753B"/>
    <w:rsid w:val="0012754E"/>
    <w:rsid w:val="00127ABD"/>
    <w:rsid w:val="00127B7C"/>
    <w:rsid w:val="001316A7"/>
    <w:rsid w:val="00132DB7"/>
    <w:rsid w:val="00133215"/>
    <w:rsid w:val="00133AD1"/>
    <w:rsid w:val="001346C5"/>
    <w:rsid w:val="0013471A"/>
    <w:rsid w:val="00134C6F"/>
    <w:rsid w:val="001368D7"/>
    <w:rsid w:val="00137EB1"/>
    <w:rsid w:val="00140548"/>
    <w:rsid w:val="001409B9"/>
    <w:rsid w:val="00140CF4"/>
    <w:rsid w:val="00141589"/>
    <w:rsid w:val="00141D80"/>
    <w:rsid w:val="00141EB9"/>
    <w:rsid w:val="001423E3"/>
    <w:rsid w:val="001425C5"/>
    <w:rsid w:val="001431C4"/>
    <w:rsid w:val="00143271"/>
    <w:rsid w:val="001436B1"/>
    <w:rsid w:val="001438AF"/>
    <w:rsid w:val="001442E8"/>
    <w:rsid w:val="001446DA"/>
    <w:rsid w:val="0014472E"/>
    <w:rsid w:val="001449DD"/>
    <w:rsid w:val="001450FF"/>
    <w:rsid w:val="001451D3"/>
    <w:rsid w:val="00145B3A"/>
    <w:rsid w:val="0014604C"/>
    <w:rsid w:val="001470ED"/>
    <w:rsid w:val="001472B0"/>
    <w:rsid w:val="001474C9"/>
    <w:rsid w:val="0014757E"/>
    <w:rsid w:val="00147DF0"/>
    <w:rsid w:val="001505B5"/>
    <w:rsid w:val="00150716"/>
    <w:rsid w:val="00150A96"/>
    <w:rsid w:val="00150AEA"/>
    <w:rsid w:val="00151524"/>
    <w:rsid w:val="00153766"/>
    <w:rsid w:val="00153B83"/>
    <w:rsid w:val="0015418A"/>
    <w:rsid w:val="0015443B"/>
    <w:rsid w:val="00155340"/>
    <w:rsid w:val="001553CE"/>
    <w:rsid w:val="00156496"/>
    <w:rsid w:val="0015650C"/>
    <w:rsid w:val="001565AC"/>
    <w:rsid w:val="00157B6F"/>
    <w:rsid w:val="00157B86"/>
    <w:rsid w:val="00157C3C"/>
    <w:rsid w:val="00160102"/>
    <w:rsid w:val="00160920"/>
    <w:rsid w:val="00160B30"/>
    <w:rsid w:val="00160BAB"/>
    <w:rsid w:val="0016106E"/>
    <w:rsid w:val="00161E0F"/>
    <w:rsid w:val="00162070"/>
    <w:rsid w:val="00162501"/>
    <w:rsid w:val="00164DE3"/>
    <w:rsid w:val="001656DC"/>
    <w:rsid w:val="00165784"/>
    <w:rsid w:val="00165AC4"/>
    <w:rsid w:val="00166652"/>
    <w:rsid w:val="001669CB"/>
    <w:rsid w:val="00167639"/>
    <w:rsid w:val="0016764B"/>
    <w:rsid w:val="00171807"/>
    <w:rsid w:val="00171F90"/>
    <w:rsid w:val="001721BC"/>
    <w:rsid w:val="00172593"/>
    <w:rsid w:val="00173664"/>
    <w:rsid w:val="00173694"/>
    <w:rsid w:val="001736D9"/>
    <w:rsid w:val="00174789"/>
    <w:rsid w:val="00176E02"/>
    <w:rsid w:val="0017721D"/>
    <w:rsid w:val="001774D1"/>
    <w:rsid w:val="00177532"/>
    <w:rsid w:val="00181573"/>
    <w:rsid w:val="001821CC"/>
    <w:rsid w:val="00182E26"/>
    <w:rsid w:val="00183BD1"/>
    <w:rsid w:val="00184281"/>
    <w:rsid w:val="001843BA"/>
    <w:rsid w:val="001848FE"/>
    <w:rsid w:val="00184C2D"/>
    <w:rsid w:val="00185482"/>
    <w:rsid w:val="00185604"/>
    <w:rsid w:val="001856CF"/>
    <w:rsid w:val="00185AE2"/>
    <w:rsid w:val="00186F3F"/>
    <w:rsid w:val="00187141"/>
    <w:rsid w:val="0018794B"/>
    <w:rsid w:val="001910EA"/>
    <w:rsid w:val="0019123F"/>
    <w:rsid w:val="00191340"/>
    <w:rsid w:val="00191766"/>
    <w:rsid w:val="0019184C"/>
    <w:rsid w:val="001924EF"/>
    <w:rsid w:val="0019272D"/>
    <w:rsid w:val="00192790"/>
    <w:rsid w:val="00192D12"/>
    <w:rsid w:val="00193BEB"/>
    <w:rsid w:val="00194146"/>
    <w:rsid w:val="001943B4"/>
    <w:rsid w:val="00194425"/>
    <w:rsid w:val="0019443B"/>
    <w:rsid w:val="001945FF"/>
    <w:rsid w:val="00195777"/>
    <w:rsid w:val="001966DD"/>
    <w:rsid w:val="0019680B"/>
    <w:rsid w:val="00196EDB"/>
    <w:rsid w:val="00197376"/>
    <w:rsid w:val="00197540"/>
    <w:rsid w:val="001A04E3"/>
    <w:rsid w:val="001A1203"/>
    <w:rsid w:val="001A1DCA"/>
    <w:rsid w:val="001A232A"/>
    <w:rsid w:val="001A27DB"/>
    <w:rsid w:val="001A435B"/>
    <w:rsid w:val="001A4FCA"/>
    <w:rsid w:val="001A5C69"/>
    <w:rsid w:val="001A5DB6"/>
    <w:rsid w:val="001A62B6"/>
    <w:rsid w:val="001A641E"/>
    <w:rsid w:val="001A6658"/>
    <w:rsid w:val="001A67F3"/>
    <w:rsid w:val="001A7D91"/>
    <w:rsid w:val="001A7E2B"/>
    <w:rsid w:val="001B00F7"/>
    <w:rsid w:val="001B122A"/>
    <w:rsid w:val="001B1429"/>
    <w:rsid w:val="001B1CA5"/>
    <w:rsid w:val="001B29D1"/>
    <w:rsid w:val="001B2AA1"/>
    <w:rsid w:val="001B2AA8"/>
    <w:rsid w:val="001B2F9E"/>
    <w:rsid w:val="001B3D7F"/>
    <w:rsid w:val="001B4384"/>
    <w:rsid w:val="001B49F9"/>
    <w:rsid w:val="001B4B22"/>
    <w:rsid w:val="001B4E57"/>
    <w:rsid w:val="001B50CC"/>
    <w:rsid w:val="001B5658"/>
    <w:rsid w:val="001B5C8A"/>
    <w:rsid w:val="001B673F"/>
    <w:rsid w:val="001B6F5D"/>
    <w:rsid w:val="001B7DED"/>
    <w:rsid w:val="001B7F4A"/>
    <w:rsid w:val="001C05DD"/>
    <w:rsid w:val="001C1847"/>
    <w:rsid w:val="001C1D47"/>
    <w:rsid w:val="001C1F0C"/>
    <w:rsid w:val="001C2C17"/>
    <w:rsid w:val="001C32E0"/>
    <w:rsid w:val="001C354D"/>
    <w:rsid w:val="001C3914"/>
    <w:rsid w:val="001C3DBE"/>
    <w:rsid w:val="001C4307"/>
    <w:rsid w:val="001C438A"/>
    <w:rsid w:val="001C4566"/>
    <w:rsid w:val="001C56E5"/>
    <w:rsid w:val="001C5727"/>
    <w:rsid w:val="001C5924"/>
    <w:rsid w:val="001C5C18"/>
    <w:rsid w:val="001C5FBA"/>
    <w:rsid w:val="001C66F8"/>
    <w:rsid w:val="001C6DD1"/>
    <w:rsid w:val="001C72CC"/>
    <w:rsid w:val="001D080D"/>
    <w:rsid w:val="001D0B07"/>
    <w:rsid w:val="001D0CA5"/>
    <w:rsid w:val="001D0D1B"/>
    <w:rsid w:val="001D0DC5"/>
    <w:rsid w:val="001D0DEF"/>
    <w:rsid w:val="001D143A"/>
    <w:rsid w:val="001D1953"/>
    <w:rsid w:val="001D2CE4"/>
    <w:rsid w:val="001D4C99"/>
    <w:rsid w:val="001D685A"/>
    <w:rsid w:val="001D7068"/>
    <w:rsid w:val="001E16F7"/>
    <w:rsid w:val="001E17CD"/>
    <w:rsid w:val="001E1C15"/>
    <w:rsid w:val="001E2413"/>
    <w:rsid w:val="001E29FA"/>
    <w:rsid w:val="001E2A7F"/>
    <w:rsid w:val="001E32AD"/>
    <w:rsid w:val="001E34A0"/>
    <w:rsid w:val="001E3F66"/>
    <w:rsid w:val="001E4424"/>
    <w:rsid w:val="001E44B0"/>
    <w:rsid w:val="001E44E5"/>
    <w:rsid w:val="001E4992"/>
    <w:rsid w:val="001E4CD6"/>
    <w:rsid w:val="001E503A"/>
    <w:rsid w:val="001E6F9F"/>
    <w:rsid w:val="001F0EEF"/>
    <w:rsid w:val="001F1111"/>
    <w:rsid w:val="001F1E48"/>
    <w:rsid w:val="001F1E88"/>
    <w:rsid w:val="001F2509"/>
    <w:rsid w:val="001F33B7"/>
    <w:rsid w:val="001F43B9"/>
    <w:rsid w:val="001F4BD1"/>
    <w:rsid w:val="001F5976"/>
    <w:rsid w:val="001F5A5A"/>
    <w:rsid w:val="001F61B1"/>
    <w:rsid w:val="001F6FE0"/>
    <w:rsid w:val="002014D7"/>
    <w:rsid w:val="00201903"/>
    <w:rsid w:val="00201EC9"/>
    <w:rsid w:val="00202597"/>
    <w:rsid w:val="0020280E"/>
    <w:rsid w:val="00202AAD"/>
    <w:rsid w:val="00202AAF"/>
    <w:rsid w:val="00202B2E"/>
    <w:rsid w:val="00203113"/>
    <w:rsid w:val="002038AC"/>
    <w:rsid w:val="00203CA3"/>
    <w:rsid w:val="00204070"/>
    <w:rsid w:val="00204CCC"/>
    <w:rsid w:val="00205676"/>
    <w:rsid w:val="00205787"/>
    <w:rsid w:val="002060D2"/>
    <w:rsid w:val="002067FF"/>
    <w:rsid w:val="00206B1F"/>
    <w:rsid w:val="0020741B"/>
    <w:rsid w:val="00210BF6"/>
    <w:rsid w:val="00211106"/>
    <w:rsid w:val="002115AE"/>
    <w:rsid w:val="00211D4A"/>
    <w:rsid w:val="0021295A"/>
    <w:rsid w:val="00214A10"/>
    <w:rsid w:val="00214CE4"/>
    <w:rsid w:val="002166D5"/>
    <w:rsid w:val="00216E69"/>
    <w:rsid w:val="002202EA"/>
    <w:rsid w:val="00220435"/>
    <w:rsid w:val="00220716"/>
    <w:rsid w:val="00220E77"/>
    <w:rsid w:val="002221B6"/>
    <w:rsid w:val="00222EA1"/>
    <w:rsid w:val="002234E7"/>
    <w:rsid w:val="0022376C"/>
    <w:rsid w:val="00223AC9"/>
    <w:rsid w:val="00223EE7"/>
    <w:rsid w:val="002240A6"/>
    <w:rsid w:val="00224146"/>
    <w:rsid w:val="00225A52"/>
    <w:rsid w:val="00225BC7"/>
    <w:rsid w:val="00225BDB"/>
    <w:rsid w:val="002261B0"/>
    <w:rsid w:val="00227080"/>
    <w:rsid w:val="0022760E"/>
    <w:rsid w:val="0023091F"/>
    <w:rsid w:val="00230B99"/>
    <w:rsid w:val="00230CDA"/>
    <w:rsid w:val="002314A7"/>
    <w:rsid w:val="00231973"/>
    <w:rsid w:val="00231A4F"/>
    <w:rsid w:val="00231DE8"/>
    <w:rsid w:val="00231E95"/>
    <w:rsid w:val="002321E1"/>
    <w:rsid w:val="00232341"/>
    <w:rsid w:val="0023266B"/>
    <w:rsid w:val="00233057"/>
    <w:rsid w:val="0023699E"/>
    <w:rsid w:val="002401B1"/>
    <w:rsid w:val="002402C8"/>
    <w:rsid w:val="00240B19"/>
    <w:rsid w:val="0024145B"/>
    <w:rsid w:val="00245236"/>
    <w:rsid w:val="002452A1"/>
    <w:rsid w:val="00246255"/>
    <w:rsid w:val="00246656"/>
    <w:rsid w:val="00246BE7"/>
    <w:rsid w:val="002472EF"/>
    <w:rsid w:val="00247389"/>
    <w:rsid w:val="00247996"/>
    <w:rsid w:val="0025024A"/>
    <w:rsid w:val="0025070E"/>
    <w:rsid w:val="00251314"/>
    <w:rsid w:val="00251C73"/>
    <w:rsid w:val="00251DDB"/>
    <w:rsid w:val="00251E15"/>
    <w:rsid w:val="00252236"/>
    <w:rsid w:val="00252C4F"/>
    <w:rsid w:val="002531FD"/>
    <w:rsid w:val="00253B00"/>
    <w:rsid w:val="00253DF4"/>
    <w:rsid w:val="002542AF"/>
    <w:rsid w:val="00254688"/>
    <w:rsid w:val="0025771B"/>
    <w:rsid w:val="002579A3"/>
    <w:rsid w:val="00257CE0"/>
    <w:rsid w:val="00260010"/>
    <w:rsid w:val="00260FDC"/>
    <w:rsid w:val="0026128E"/>
    <w:rsid w:val="002614AF"/>
    <w:rsid w:val="002619D8"/>
    <w:rsid w:val="00262475"/>
    <w:rsid w:val="00262898"/>
    <w:rsid w:val="002635C1"/>
    <w:rsid w:val="0026375E"/>
    <w:rsid w:val="00263D39"/>
    <w:rsid w:val="00264F91"/>
    <w:rsid w:val="00265041"/>
    <w:rsid w:val="0026626B"/>
    <w:rsid w:val="00266647"/>
    <w:rsid w:val="0026666D"/>
    <w:rsid w:val="002667E7"/>
    <w:rsid w:val="00266834"/>
    <w:rsid w:val="0026749A"/>
    <w:rsid w:val="00267CD5"/>
    <w:rsid w:val="0027096B"/>
    <w:rsid w:val="00270DD8"/>
    <w:rsid w:val="00270F24"/>
    <w:rsid w:val="0027197C"/>
    <w:rsid w:val="00271A03"/>
    <w:rsid w:val="002724FD"/>
    <w:rsid w:val="00273F1F"/>
    <w:rsid w:val="0027469B"/>
    <w:rsid w:val="00274D7C"/>
    <w:rsid w:val="00275D6A"/>
    <w:rsid w:val="00276774"/>
    <w:rsid w:val="00277C18"/>
    <w:rsid w:val="002807C0"/>
    <w:rsid w:val="002809BA"/>
    <w:rsid w:val="0028184E"/>
    <w:rsid w:val="0028284D"/>
    <w:rsid w:val="00282DD4"/>
    <w:rsid w:val="0028331E"/>
    <w:rsid w:val="002839BB"/>
    <w:rsid w:val="00283EB6"/>
    <w:rsid w:val="00284BA6"/>
    <w:rsid w:val="00284F9C"/>
    <w:rsid w:val="00285156"/>
    <w:rsid w:val="00285340"/>
    <w:rsid w:val="002856F8"/>
    <w:rsid w:val="0028641D"/>
    <w:rsid w:val="00286C4E"/>
    <w:rsid w:val="002875CA"/>
    <w:rsid w:val="00287900"/>
    <w:rsid w:val="00287A04"/>
    <w:rsid w:val="002907C3"/>
    <w:rsid w:val="00290E41"/>
    <w:rsid w:val="00291C85"/>
    <w:rsid w:val="00291F3E"/>
    <w:rsid w:val="00292A37"/>
    <w:rsid w:val="00292CD6"/>
    <w:rsid w:val="00292D1B"/>
    <w:rsid w:val="0029391C"/>
    <w:rsid w:val="00293FBF"/>
    <w:rsid w:val="002940F9"/>
    <w:rsid w:val="00294C20"/>
    <w:rsid w:val="00295A11"/>
    <w:rsid w:val="00295A1A"/>
    <w:rsid w:val="0029654D"/>
    <w:rsid w:val="0029696F"/>
    <w:rsid w:val="00296A49"/>
    <w:rsid w:val="00296A5C"/>
    <w:rsid w:val="0029771B"/>
    <w:rsid w:val="002A08C5"/>
    <w:rsid w:val="002A08CE"/>
    <w:rsid w:val="002A0B0A"/>
    <w:rsid w:val="002A0F7C"/>
    <w:rsid w:val="002A13FC"/>
    <w:rsid w:val="002A2A11"/>
    <w:rsid w:val="002A2DF5"/>
    <w:rsid w:val="002A329F"/>
    <w:rsid w:val="002A35C3"/>
    <w:rsid w:val="002A3AE8"/>
    <w:rsid w:val="002A400C"/>
    <w:rsid w:val="002A4E7E"/>
    <w:rsid w:val="002A5386"/>
    <w:rsid w:val="002A54F8"/>
    <w:rsid w:val="002A56DE"/>
    <w:rsid w:val="002A5F26"/>
    <w:rsid w:val="002A5FEB"/>
    <w:rsid w:val="002A6380"/>
    <w:rsid w:val="002A6692"/>
    <w:rsid w:val="002A66BB"/>
    <w:rsid w:val="002A6DF0"/>
    <w:rsid w:val="002A7475"/>
    <w:rsid w:val="002B029F"/>
    <w:rsid w:val="002B0B67"/>
    <w:rsid w:val="002B1655"/>
    <w:rsid w:val="002B168F"/>
    <w:rsid w:val="002B18DD"/>
    <w:rsid w:val="002B1C55"/>
    <w:rsid w:val="002B33B3"/>
    <w:rsid w:val="002B393A"/>
    <w:rsid w:val="002B3A24"/>
    <w:rsid w:val="002B3D6A"/>
    <w:rsid w:val="002B405D"/>
    <w:rsid w:val="002B4150"/>
    <w:rsid w:val="002B4D4D"/>
    <w:rsid w:val="002B52B4"/>
    <w:rsid w:val="002B5906"/>
    <w:rsid w:val="002B65E4"/>
    <w:rsid w:val="002B6741"/>
    <w:rsid w:val="002B78D1"/>
    <w:rsid w:val="002B7CC2"/>
    <w:rsid w:val="002C0122"/>
    <w:rsid w:val="002C0F95"/>
    <w:rsid w:val="002C126F"/>
    <w:rsid w:val="002C1CBA"/>
    <w:rsid w:val="002C1F9C"/>
    <w:rsid w:val="002C2247"/>
    <w:rsid w:val="002C3DD0"/>
    <w:rsid w:val="002C4404"/>
    <w:rsid w:val="002C44A4"/>
    <w:rsid w:val="002C5418"/>
    <w:rsid w:val="002C7ABC"/>
    <w:rsid w:val="002C7B5A"/>
    <w:rsid w:val="002D0598"/>
    <w:rsid w:val="002D0CA8"/>
    <w:rsid w:val="002D1AAC"/>
    <w:rsid w:val="002D22CA"/>
    <w:rsid w:val="002D2B4A"/>
    <w:rsid w:val="002D2CB6"/>
    <w:rsid w:val="002D311B"/>
    <w:rsid w:val="002D3125"/>
    <w:rsid w:val="002D3571"/>
    <w:rsid w:val="002D4203"/>
    <w:rsid w:val="002D46A1"/>
    <w:rsid w:val="002D56FF"/>
    <w:rsid w:val="002D6397"/>
    <w:rsid w:val="002D748E"/>
    <w:rsid w:val="002D784C"/>
    <w:rsid w:val="002E02DC"/>
    <w:rsid w:val="002E0BB4"/>
    <w:rsid w:val="002E0EA1"/>
    <w:rsid w:val="002E134C"/>
    <w:rsid w:val="002E1566"/>
    <w:rsid w:val="002E17A7"/>
    <w:rsid w:val="002E2358"/>
    <w:rsid w:val="002E368F"/>
    <w:rsid w:val="002E385E"/>
    <w:rsid w:val="002E398E"/>
    <w:rsid w:val="002E441F"/>
    <w:rsid w:val="002E4434"/>
    <w:rsid w:val="002E50CB"/>
    <w:rsid w:val="002E51BB"/>
    <w:rsid w:val="002E5CD0"/>
    <w:rsid w:val="002E5D7E"/>
    <w:rsid w:val="002E5DBB"/>
    <w:rsid w:val="002E6023"/>
    <w:rsid w:val="002E77A4"/>
    <w:rsid w:val="002E7E67"/>
    <w:rsid w:val="002F0231"/>
    <w:rsid w:val="002F0A6F"/>
    <w:rsid w:val="002F0F09"/>
    <w:rsid w:val="002F0FA0"/>
    <w:rsid w:val="002F107F"/>
    <w:rsid w:val="002F1DD8"/>
    <w:rsid w:val="002F2A18"/>
    <w:rsid w:val="002F2D11"/>
    <w:rsid w:val="002F3456"/>
    <w:rsid w:val="002F3769"/>
    <w:rsid w:val="002F3A5D"/>
    <w:rsid w:val="002F4347"/>
    <w:rsid w:val="002F4EF8"/>
    <w:rsid w:val="002F4FDF"/>
    <w:rsid w:val="002F53FE"/>
    <w:rsid w:val="002F655F"/>
    <w:rsid w:val="00300F32"/>
    <w:rsid w:val="003015E1"/>
    <w:rsid w:val="00301AE4"/>
    <w:rsid w:val="00301B67"/>
    <w:rsid w:val="003028D7"/>
    <w:rsid w:val="00303915"/>
    <w:rsid w:val="00304E9F"/>
    <w:rsid w:val="00305694"/>
    <w:rsid w:val="00305A4E"/>
    <w:rsid w:val="00305EED"/>
    <w:rsid w:val="003063BB"/>
    <w:rsid w:val="00306528"/>
    <w:rsid w:val="003066E9"/>
    <w:rsid w:val="00306A4A"/>
    <w:rsid w:val="00306F17"/>
    <w:rsid w:val="0030742F"/>
    <w:rsid w:val="00307536"/>
    <w:rsid w:val="00307EF1"/>
    <w:rsid w:val="00310184"/>
    <w:rsid w:val="0031173E"/>
    <w:rsid w:val="003117DB"/>
    <w:rsid w:val="003120D1"/>
    <w:rsid w:val="00312B6D"/>
    <w:rsid w:val="003136DA"/>
    <w:rsid w:val="0031372F"/>
    <w:rsid w:val="00313794"/>
    <w:rsid w:val="00313D08"/>
    <w:rsid w:val="00313F11"/>
    <w:rsid w:val="0031460C"/>
    <w:rsid w:val="00314E6B"/>
    <w:rsid w:val="0031620A"/>
    <w:rsid w:val="00316459"/>
    <w:rsid w:val="003176B7"/>
    <w:rsid w:val="00317F52"/>
    <w:rsid w:val="00320697"/>
    <w:rsid w:val="003210A3"/>
    <w:rsid w:val="003210E3"/>
    <w:rsid w:val="003211AE"/>
    <w:rsid w:val="003229EB"/>
    <w:rsid w:val="00323A54"/>
    <w:rsid w:val="00324A65"/>
    <w:rsid w:val="00324FA6"/>
    <w:rsid w:val="003253A4"/>
    <w:rsid w:val="0032565E"/>
    <w:rsid w:val="003259D1"/>
    <w:rsid w:val="00326DB5"/>
    <w:rsid w:val="00327119"/>
    <w:rsid w:val="0032731A"/>
    <w:rsid w:val="00327D78"/>
    <w:rsid w:val="00327FE0"/>
    <w:rsid w:val="00330AEA"/>
    <w:rsid w:val="003318BA"/>
    <w:rsid w:val="00331A9A"/>
    <w:rsid w:val="00331CBF"/>
    <w:rsid w:val="0033201D"/>
    <w:rsid w:val="003327F9"/>
    <w:rsid w:val="0033422B"/>
    <w:rsid w:val="0033436D"/>
    <w:rsid w:val="00334525"/>
    <w:rsid w:val="00335A01"/>
    <w:rsid w:val="00335A81"/>
    <w:rsid w:val="00336200"/>
    <w:rsid w:val="00337351"/>
    <w:rsid w:val="00337382"/>
    <w:rsid w:val="0033758B"/>
    <w:rsid w:val="00337F86"/>
    <w:rsid w:val="0034068B"/>
    <w:rsid w:val="00340A58"/>
    <w:rsid w:val="003411C7"/>
    <w:rsid w:val="00341655"/>
    <w:rsid w:val="00341B98"/>
    <w:rsid w:val="00341C9E"/>
    <w:rsid w:val="00341D97"/>
    <w:rsid w:val="00342ECD"/>
    <w:rsid w:val="00344227"/>
    <w:rsid w:val="00344447"/>
    <w:rsid w:val="003456A6"/>
    <w:rsid w:val="00345C0D"/>
    <w:rsid w:val="00345FFA"/>
    <w:rsid w:val="0034611F"/>
    <w:rsid w:val="00347980"/>
    <w:rsid w:val="003500EF"/>
    <w:rsid w:val="003504AC"/>
    <w:rsid w:val="00350FEA"/>
    <w:rsid w:val="00351288"/>
    <w:rsid w:val="0035151F"/>
    <w:rsid w:val="00352A64"/>
    <w:rsid w:val="0035386F"/>
    <w:rsid w:val="00353AE2"/>
    <w:rsid w:val="00353E2E"/>
    <w:rsid w:val="00353E4E"/>
    <w:rsid w:val="00354098"/>
    <w:rsid w:val="00354D9C"/>
    <w:rsid w:val="0035564B"/>
    <w:rsid w:val="0035656F"/>
    <w:rsid w:val="00356FDE"/>
    <w:rsid w:val="00357D7D"/>
    <w:rsid w:val="003619FC"/>
    <w:rsid w:val="00361D0D"/>
    <w:rsid w:val="003623EF"/>
    <w:rsid w:val="0036347D"/>
    <w:rsid w:val="00364757"/>
    <w:rsid w:val="00364966"/>
    <w:rsid w:val="00365183"/>
    <w:rsid w:val="00365343"/>
    <w:rsid w:val="00366612"/>
    <w:rsid w:val="0036707D"/>
    <w:rsid w:val="003678E7"/>
    <w:rsid w:val="00367D5E"/>
    <w:rsid w:val="00367D7D"/>
    <w:rsid w:val="00367E6A"/>
    <w:rsid w:val="003704B3"/>
    <w:rsid w:val="00370686"/>
    <w:rsid w:val="00370707"/>
    <w:rsid w:val="0037168B"/>
    <w:rsid w:val="00373075"/>
    <w:rsid w:val="003738B1"/>
    <w:rsid w:val="0037475C"/>
    <w:rsid w:val="00374DAA"/>
    <w:rsid w:val="00374F42"/>
    <w:rsid w:val="003769AB"/>
    <w:rsid w:val="00376A0B"/>
    <w:rsid w:val="00376B10"/>
    <w:rsid w:val="00377313"/>
    <w:rsid w:val="003800F7"/>
    <w:rsid w:val="00380285"/>
    <w:rsid w:val="003808E8"/>
    <w:rsid w:val="0038120E"/>
    <w:rsid w:val="00381AA6"/>
    <w:rsid w:val="00382A2C"/>
    <w:rsid w:val="0038328F"/>
    <w:rsid w:val="00383401"/>
    <w:rsid w:val="0038398F"/>
    <w:rsid w:val="00383EA4"/>
    <w:rsid w:val="00384061"/>
    <w:rsid w:val="00384457"/>
    <w:rsid w:val="00384A4C"/>
    <w:rsid w:val="00384CB7"/>
    <w:rsid w:val="00385149"/>
    <w:rsid w:val="00385CA0"/>
    <w:rsid w:val="003860C6"/>
    <w:rsid w:val="00386F57"/>
    <w:rsid w:val="00387294"/>
    <w:rsid w:val="00387723"/>
    <w:rsid w:val="003906D6"/>
    <w:rsid w:val="003914F6"/>
    <w:rsid w:val="00391B4E"/>
    <w:rsid w:val="003921DA"/>
    <w:rsid w:val="00392CB5"/>
    <w:rsid w:val="00393314"/>
    <w:rsid w:val="003935EC"/>
    <w:rsid w:val="00393B3F"/>
    <w:rsid w:val="003940AD"/>
    <w:rsid w:val="00394BDC"/>
    <w:rsid w:val="00394ED5"/>
    <w:rsid w:val="00396424"/>
    <w:rsid w:val="00396EBF"/>
    <w:rsid w:val="003974B7"/>
    <w:rsid w:val="003979B9"/>
    <w:rsid w:val="00397E0B"/>
    <w:rsid w:val="003A0738"/>
    <w:rsid w:val="003A19C3"/>
    <w:rsid w:val="003A1ABF"/>
    <w:rsid w:val="003A1DF2"/>
    <w:rsid w:val="003A297A"/>
    <w:rsid w:val="003A2E92"/>
    <w:rsid w:val="003A3702"/>
    <w:rsid w:val="003A38E5"/>
    <w:rsid w:val="003A40F9"/>
    <w:rsid w:val="003A46BE"/>
    <w:rsid w:val="003A4B0A"/>
    <w:rsid w:val="003A4F1C"/>
    <w:rsid w:val="003A4FFA"/>
    <w:rsid w:val="003A5147"/>
    <w:rsid w:val="003A7437"/>
    <w:rsid w:val="003A7F08"/>
    <w:rsid w:val="003B0175"/>
    <w:rsid w:val="003B03E9"/>
    <w:rsid w:val="003B0582"/>
    <w:rsid w:val="003B0BC0"/>
    <w:rsid w:val="003B0D2D"/>
    <w:rsid w:val="003B125A"/>
    <w:rsid w:val="003B21C0"/>
    <w:rsid w:val="003B2B20"/>
    <w:rsid w:val="003B2F1B"/>
    <w:rsid w:val="003B4BDB"/>
    <w:rsid w:val="003C0A8E"/>
    <w:rsid w:val="003C1170"/>
    <w:rsid w:val="003C12EE"/>
    <w:rsid w:val="003C17D4"/>
    <w:rsid w:val="003C18FA"/>
    <w:rsid w:val="003C1D02"/>
    <w:rsid w:val="003C2498"/>
    <w:rsid w:val="003C3149"/>
    <w:rsid w:val="003C3992"/>
    <w:rsid w:val="003C3C15"/>
    <w:rsid w:val="003C3E9E"/>
    <w:rsid w:val="003C4D09"/>
    <w:rsid w:val="003C50A1"/>
    <w:rsid w:val="003C56D1"/>
    <w:rsid w:val="003C6026"/>
    <w:rsid w:val="003C6ADC"/>
    <w:rsid w:val="003C7064"/>
    <w:rsid w:val="003C749E"/>
    <w:rsid w:val="003C782E"/>
    <w:rsid w:val="003C7A65"/>
    <w:rsid w:val="003C7E4F"/>
    <w:rsid w:val="003C7FE5"/>
    <w:rsid w:val="003D0094"/>
    <w:rsid w:val="003D0B04"/>
    <w:rsid w:val="003D13EE"/>
    <w:rsid w:val="003D191E"/>
    <w:rsid w:val="003D1993"/>
    <w:rsid w:val="003D2560"/>
    <w:rsid w:val="003D3372"/>
    <w:rsid w:val="003D3454"/>
    <w:rsid w:val="003D44E1"/>
    <w:rsid w:val="003D49C3"/>
    <w:rsid w:val="003D4D1C"/>
    <w:rsid w:val="003D56FD"/>
    <w:rsid w:val="003D6624"/>
    <w:rsid w:val="003D6802"/>
    <w:rsid w:val="003D73E0"/>
    <w:rsid w:val="003D7B22"/>
    <w:rsid w:val="003E004B"/>
    <w:rsid w:val="003E0599"/>
    <w:rsid w:val="003E0C6C"/>
    <w:rsid w:val="003E1368"/>
    <w:rsid w:val="003E18E5"/>
    <w:rsid w:val="003E1DAD"/>
    <w:rsid w:val="003E2231"/>
    <w:rsid w:val="003E2240"/>
    <w:rsid w:val="003E2856"/>
    <w:rsid w:val="003E34A4"/>
    <w:rsid w:val="003E395F"/>
    <w:rsid w:val="003E3C67"/>
    <w:rsid w:val="003E5873"/>
    <w:rsid w:val="003E5B4F"/>
    <w:rsid w:val="003E5CF2"/>
    <w:rsid w:val="003E629C"/>
    <w:rsid w:val="003E6984"/>
    <w:rsid w:val="003E78DA"/>
    <w:rsid w:val="003E7C60"/>
    <w:rsid w:val="003F08D3"/>
    <w:rsid w:val="003F128F"/>
    <w:rsid w:val="003F310A"/>
    <w:rsid w:val="003F3175"/>
    <w:rsid w:val="003F3E6F"/>
    <w:rsid w:val="003F45E7"/>
    <w:rsid w:val="003F46F7"/>
    <w:rsid w:val="003F56FA"/>
    <w:rsid w:val="003F5DE2"/>
    <w:rsid w:val="003F6470"/>
    <w:rsid w:val="003F6A20"/>
    <w:rsid w:val="003F7A4B"/>
    <w:rsid w:val="003F7DE8"/>
    <w:rsid w:val="003F7F32"/>
    <w:rsid w:val="004000C2"/>
    <w:rsid w:val="0040019B"/>
    <w:rsid w:val="004007E8"/>
    <w:rsid w:val="004012E9"/>
    <w:rsid w:val="004015CC"/>
    <w:rsid w:val="004021D9"/>
    <w:rsid w:val="00402784"/>
    <w:rsid w:val="00402CCE"/>
    <w:rsid w:val="00402EE9"/>
    <w:rsid w:val="004033AE"/>
    <w:rsid w:val="004036B0"/>
    <w:rsid w:val="00403C87"/>
    <w:rsid w:val="004040D4"/>
    <w:rsid w:val="0040500D"/>
    <w:rsid w:val="0040583E"/>
    <w:rsid w:val="00405922"/>
    <w:rsid w:val="00405D86"/>
    <w:rsid w:val="0040743F"/>
    <w:rsid w:val="00410420"/>
    <w:rsid w:val="00410A10"/>
    <w:rsid w:val="00410BD1"/>
    <w:rsid w:val="00410D6C"/>
    <w:rsid w:val="0041161A"/>
    <w:rsid w:val="004121EE"/>
    <w:rsid w:val="0041292A"/>
    <w:rsid w:val="004146F7"/>
    <w:rsid w:val="00414A1E"/>
    <w:rsid w:val="00416BAA"/>
    <w:rsid w:val="00416C4C"/>
    <w:rsid w:val="00416F42"/>
    <w:rsid w:val="00421C4D"/>
    <w:rsid w:val="00424C16"/>
    <w:rsid w:val="0042579D"/>
    <w:rsid w:val="004257BD"/>
    <w:rsid w:val="00425A8C"/>
    <w:rsid w:val="00426967"/>
    <w:rsid w:val="00426F1E"/>
    <w:rsid w:val="0042708D"/>
    <w:rsid w:val="004272A7"/>
    <w:rsid w:val="00427D8C"/>
    <w:rsid w:val="00431A4E"/>
    <w:rsid w:val="00431E3E"/>
    <w:rsid w:val="0043238C"/>
    <w:rsid w:val="004326DE"/>
    <w:rsid w:val="0043300C"/>
    <w:rsid w:val="0043409F"/>
    <w:rsid w:val="00435760"/>
    <w:rsid w:val="00435999"/>
    <w:rsid w:val="00436674"/>
    <w:rsid w:val="00436BB1"/>
    <w:rsid w:val="0043743C"/>
    <w:rsid w:val="004401FB"/>
    <w:rsid w:val="004406B8"/>
    <w:rsid w:val="004407EE"/>
    <w:rsid w:val="004410F9"/>
    <w:rsid w:val="00441FE8"/>
    <w:rsid w:val="00442215"/>
    <w:rsid w:val="00442B51"/>
    <w:rsid w:val="00443F0E"/>
    <w:rsid w:val="0044479C"/>
    <w:rsid w:val="0044529E"/>
    <w:rsid w:val="0044574C"/>
    <w:rsid w:val="004459D1"/>
    <w:rsid w:val="004502C2"/>
    <w:rsid w:val="00450453"/>
    <w:rsid w:val="00452088"/>
    <w:rsid w:val="0045324F"/>
    <w:rsid w:val="0045436D"/>
    <w:rsid w:val="004544EA"/>
    <w:rsid w:val="00454D99"/>
    <w:rsid w:val="00456272"/>
    <w:rsid w:val="004569C4"/>
    <w:rsid w:val="004569C6"/>
    <w:rsid w:val="00456C86"/>
    <w:rsid w:val="00460723"/>
    <w:rsid w:val="0046103A"/>
    <w:rsid w:val="00462330"/>
    <w:rsid w:val="00462CDF"/>
    <w:rsid w:val="00462ED2"/>
    <w:rsid w:val="00463A93"/>
    <w:rsid w:val="00464650"/>
    <w:rsid w:val="00464DA0"/>
    <w:rsid w:val="0046526B"/>
    <w:rsid w:val="00465A71"/>
    <w:rsid w:val="00465C6A"/>
    <w:rsid w:val="0046782A"/>
    <w:rsid w:val="00467E70"/>
    <w:rsid w:val="00471008"/>
    <w:rsid w:val="0047117F"/>
    <w:rsid w:val="0047189B"/>
    <w:rsid w:val="0047190E"/>
    <w:rsid w:val="00471F6A"/>
    <w:rsid w:val="00472136"/>
    <w:rsid w:val="00472D1B"/>
    <w:rsid w:val="00473761"/>
    <w:rsid w:val="00474299"/>
    <w:rsid w:val="00474AA0"/>
    <w:rsid w:val="00475574"/>
    <w:rsid w:val="00475C08"/>
    <w:rsid w:val="00475C15"/>
    <w:rsid w:val="00476BBC"/>
    <w:rsid w:val="004809F3"/>
    <w:rsid w:val="00481451"/>
    <w:rsid w:val="00481EB2"/>
    <w:rsid w:val="00482155"/>
    <w:rsid w:val="004822FE"/>
    <w:rsid w:val="00482306"/>
    <w:rsid w:val="00482E0A"/>
    <w:rsid w:val="00483FCA"/>
    <w:rsid w:val="00485E60"/>
    <w:rsid w:val="0048748B"/>
    <w:rsid w:val="00487EBF"/>
    <w:rsid w:val="0049042F"/>
    <w:rsid w:val="00491618"/>
    <w:rsid w:val="004917EE"/>
    <w:rsid w:val="0049188D"/>
    <w:rsid w:val="004919A2"/>
    <w:rsid w:val="00491CE4"/>
    <w:rsid w:val="0049235E"/>
    <w:rsid w:val="004927EF"/>
    <w:rsid w:val="00492E1A"/>
    <w:rsid w:val="00492E3E"/>
    <w:rsid w:val="00492F00"/>
    <w:rsid w:val="00493075"/>
    <w:rsid w:val="004930F6"/>
    <w:rsid w:val="00493162"/>
    <w:rsid w:val="004945F9"/>
    <w:rsid w:val="00494F93"/>
    <w:rsid w:val="00495181"/>
    <w:rsid w:val="00495262"/>
    <w:rsid w:val="0049540A"/>
    <w:rsid w:val="004958E5"/>
    <w:rsid w:val="00496204"/>
    <w:rsid w:val="004973C2"/>
    <w:rsid w:val="00497FC3"/>
    <w:rsid w:val="004A0345"/>
    <w:rsid w:val="004A07D8"/>
    <w:rsid w:val="004A16D9"/>
    <w:rsid w:val="004A19C4"/>
    <w:rsid w:val="004A1ED1"/>
    <w:rsid w:val="004A3B16"/>
    <w:rsid w:val="004A40E2"/>
    <w:rsid w:val="004A4D84"/>
    <w:rsid w:val="004A57AD"/>
    <w:rsid w:val="004A59BD"/>
    <w:rsid w:val="004A5FFD"/>
    <w:rsid w:val="004A6EF1"/>
    <w:rsid w:val="004A70CF"/>
    <w:rsid w:val="004A754C"/>
    <w:rsid w:val="004B0A90"/>
    <w:rsid w:val="004B0E8A"/>
    <w:rsid w:val="004B2255"/>
    <w:rsid w:val="004B29C2"/>
    <w:rsid w:val="004B2AAC"/>
    <w:rsid w:val="004B2BAE"/>
    <w:rsid w:val="004B3955"/>
    <w:rsid w:val="004B3F3E"/>
    <w:rsid w:val="004B7728"/>
    <w:rsid w:val="004B7C0A"/>
    <w:rsid w:val="004C0AB8"/>
    <w:rsid w:val="004C11B7"/>
    <w:rsid w:val="004C1CF5"/>
    <w:rsid w:val="004C21F4"/>
    <w:rsid w:val="004C2525"/>
    <w:rsid w:val="004C2A8A"/>
    <w:rsid w:val="004C2BD0"/>
    <w:rsid w:val="004C3EAC"/>
    <w:rsid w:val="004C414B"/>
    <w:rsid w:val="004C552D"/>
    <w:rsid w:val="004C5BAA"/>
    <w:rsid w:val="004C67C0"/>
    <w:rsid w:val="004C689F"/>
    <w:rsid w:val="004C7AAB"/>
    <w:rsid w:val="004D0F22"/>
    <w:rsid w:val="004D14FE"/>
    <w:rsid w:val="004D1EBB"/>
    <w:rsid w:val="004D22E2"/>
    <w:rsid w:val="004D2B43"/>
    <w:rsid w:val="004D2F4A"/>
    <w:rsid w:val="004D3278"/>
    <w:rsid w:val="004D3D65"/>
    <w:rsid w:val="004D467E"/>
    <w:rsid w:val="004D4C75"/>
    <w:rsid w:val="004D5BEF"/>
    <w:rsid w:val="004D5CEE"/>
    <w:rsid w:val="004D6683"/>
    <w:rsid w:val="004D67E0"/>
    <w:rsid w:val="004D68B6"/>
    <w:rsid w:val="004D7778"/>
    <w:rsid w:val="004E00DF"/>
    <w:rsid w:val="004E14A8"/>
    <w:rsid w:val="004E1C93"/>
    <w:rsid w:val="004E21F3"/>
    <w:rsid w:val="004E229C"/>
    <w:rsid w:val="004E3336"/>
    <w:rsid w:val="004E3A62"/>
    <w:rsid w:val="004E44AC"/>
    <w:rsid w:val="004E47C9"/>
    <w:rsid w:val="004E5409"/>
    <w:rsid w:val="004E54CC"/>
    <w:rsid w:val="004E5905"/>
    <w:rsid w:val="004E7B04"/>
    <w:rsid w:val="004E7EFE"/>
    <w:rsid w:val="004F0018"/>
    <w:rsid w:val="004F006B"/>
    <w:rsid w:val="004F0FC4"/>
    <w:rsid w:val="004F1503"/>
    <w:rsid w:val="004F193D"/>
    <w:rsid w:val="004F199B"/>
    <w:rsid w:val="004F246E"/>
    <w:rsid w:val="004F2967"/>
    <w:rsid w:val="004F2AB1"/>
    <w:rsid w:val="004F30FA"/>
    <w:rsid w:val="004F39E0"/>
    <w:rsid w:val="004F3EEA"/>
    <w:rsid w:val="004F3FAA"/>
    <w:rsid w:val="004F3FEC"/>
    <w:rsid w:val="004F40AB"/>
    <w:rsid w:val="004F5E82"/>
    <w:rsid w:val="004F5FD2"/>
    <w:rsid w:val="004F658F"/>
    <w:rsid w:val="004F7BF4"/>
    <w:rsid w:val="004F7C22"/>
    <w:rsid w:val="005006ED"/>
    <w:rsid w:val="00501637"/>
    <w:rsid w:val="0050219A"/>
    <w:rsid w:val="0050277A"/>
    <w:rsid w:val="005035CD"/>
    <w:rsid w:val="00503AF6"/>
    <w:rsid w:val="00504A8B"/>
    <w:rsid w:val="005056D9"/>
    <w:rsid w:val="005061C8"/>
    <w:rsid w:val="005079AE"/>
    <w:rsid w:val="00507E6F"/>
    <w:rsid w:val="00507F4F"/>
    <w:rsid w:val="005107BC"/>
    <w:rsid w:val="00511CC3"/>
    <w:rsid w:val="00512126"/>
    <w:rsid w:val="005123D6"/>
    <w:rsid w:val="005123F7"/>
    <w:rsid w:val="005124F0"/>
    <w:rsid w:val="00512D44"/>
    <w:rsid w:val="005136CD"/>
    <w:rsid w:val="00513B9E"/>
    <w:rsid w:val="00513EFD"/>
    <w:rsid w:val="0051401C"/>
    <w:rsid w:val="00514DA4"/>
    <w:rsid w:val="00515047"/>
    <w:rsid w:val="00515A70"/>
    <w:rsid w:val="00515A89"/>
    <w:rsid w:val="00516311"/>
    <w:rsid w:val="005176D5"/>
    <w:rsid w:val="00517C9E"/>
    <w:rsid w:val="00517CEC"/>
    <w:rsid w:val="00521186"/>
    <w:rsid w:val="005212BE"/>
    <w:rsid w:val="00521413"/>
    <w:rsid w:val="005215F4"/>
    <w:rsid w:val="00521802"/>
    <w:rsid w:val="005220B7"/>
    <w:rsid w:val="00522264"/>
    <w:rsid w:val="005226AC"/>
    <w:rsid w:val="005228FF"/>
    <w:rsid w:val="005232F4"/>
    <w:rsid w:val="00523CFE"/>
    <w:rsid w:val="00523FC3"/>
    <w:rsid w:val="005262E5"/>
    <w:rsid w:val="00526E6F"/>
    <w:rsid w:val="00527BBA"/>
    <w:rsid w:val="005300D8"/>
    <w:rsid w:val="005309CD"/>
    <w:rsid w:val="0053103A"/>
    <w:rsid w:val="00532058"/>
    <w:rsid w:val="005322C3"/>
    <w:rsid w:val="00532540"/>
    <w:rsid w:val="00533A3D"/>
    <w:rsid w:val="00534103"/>
    <w:rsid w:val="0053448E"/>
    <w:rsid w:val="00534853"/>
    <w:rsid w:val="005355BB"/>
    <w:rsid w:val="00536032"/>
    <w:rsid w:val="00536E69"/>
    <w:rsid w:val="005379F8"/>
    <w:rsid w:val="00537AAE"/>
    <w:rsid w:val="0054069D"/>
    <w:rsid w:val="00540F56"/>
    <w:rsid w:val="00540F85"/>
    <w:rsid w:val="005414F1"/>
    <w:rsid w:val="00541525"/>
    <w:rsid w:val="00542F6D"/>
    <w:rsid w:val="0054339D"/>
    <w:rsid w:val="005436E1"/>
    <w:rsid w:val="00543B39"/>
    <w:rsid w:val="005446B4"/>
    <w:rsid w:val="00544877"/>
    <w:rsid w:val="00544AEC"/>
    <w:rsid w:val="00545006"/>
    <w:rsid w:val="00545173"/>
    <w:rsid w:val="00545603"/>
    <w:rsid w:val="0054614E"/>
    <w:rsid w:val="00547EC0"/>
    <w:rsid w:val="00550A7F"/>
    <w:rsid w:val="00553170"/>
    <w:rsid w:val="00553D4C"/>
    <w:rsid w:val="00554783"/>
    <w:rsid w:val="0055478A"/>
    <w:rsid w:val="00555490"/>
    <w:rsid w:val="00555985"/>
    <w:rsid w:val="00555F10"/>
    <w:rsid w:val="00556318"/>
    <w:rsid w:val="005569C2"/>
    <w:rsid w:val="00556C08"/>
    <w:rsid w:val="00557DF7"/>
    <w:rsid w:val="00560012"/>
    <w:rsid w:val="005607E5"/>
    <w:rsid w:val="00561799"/>
    <w:rsid w:val="00561911"/>
    <w:rsid w:val="00561E65"/>
    <w:rsid w:val="00561E66"/>
    <w:rsid w:val="005623DD"/>
    <w:rsid w:val="00562EA0"/>
    <w:rsid w:val="005632FE"/>
    <w:rsid w:val="00563CD2"/>
    <w:rsid w:val="005640F6"/>
    <w:rsid w:val="00564562"/>
    <w:rsid w:val="00564B7A"/>
    <w:rsid w:val="00565B50"/>
    <w:rsid w:val="0056652A"/>
    <w:rsid w:val="00566AAC"/>
    <w:rsid w:val="00566B79"/>
    <w:rsid w:val="0056782C"/>
    <w:rsid w:val="00570CCB"/>
    <w:rsid w:val="00571023"/>
    <w:rsid w:val="00572208"/>
    <w:rsid w:val="00572221"/>
    <w:rsid w:val="00572345"/>
    <w:rsid w:val="00572379"/>
    <w:rsid w:val="0057341A"/>
    <w:rsid w:val="0057355B"/>
    <w:rsid w:val="00573E60"/>
    <w:rsid w:val="005741A4"/>
    <w:rsid w:val="005741AE"/>
    <w:rsid w:val="005742BA"/>
    <w:rsid w:val="0057483A"/>
    <w:rsid w:val="00574A41"/>
    <w:rsid w:val="0057594A"/>
    <w:rsid w:val="00575BC5"/>
    <w:rsid w:val="0057665E"/>
    <w:rsid w:val="0057778B"/>
    <w:rsid w:val="005779AE"/>
    <w:rsid w:val="00577A04"/>
    <w:rsid w:val="00577F1B"/>
    <w:rsid w:val="0058040C"/>
    <w:rsid w:val="00580C2C"/>
    <w:rsid w:val="0058103D"/>
    <w:rsid w:val="005815B1"/>
    <w:rsid w:val="00581733"/>
    <w:rsid w:val="00581960"/>
    <w:rsid w:val="00581D15"/>
    <w:rsid w:val="00581F45"/>
    <w:rsid w:val="0058337B"/>
    <w:rsid w:val="00583C1A"/>
    <w:rsid w:val="00583E2E"/>
    <w:rsid w:val="00584D0E"/>
    <w:rsid w:val="00584E19"/>
    <w:rsid w:val="00585374"/>
    <w:rsid w:val="00585928"/>
    <w:rsid w:val="00585D71"/>
    <w:rsid w:val="00586146"/>
    <w:rsid w:val="0058659D"/>
    <w:rsid w:val="005870D9"/>
    <w:rsid w:val="0058738E"/>
    <w:rsid w:val="00587997"/>
    <w:rsid w:val="00587CF5"/>
    <w:rsid w:val="00587D30"/>
    <w:rsid w:val="0059040A"/>
    <w:rsid w:val="00591FF7"/>
    <w:rsid w:val="0059433C"/>
    <w:rsid w:val="005946AB"/>
    <w:rsid w:val="0059490F"/>
    <w:rsid w:val="0059498B"/>
    <w:rsid w:val="00595D09"/>
    <w:rsid w:val="0059601F"/>
    <w:rsid w:val="0059624A"/>
    <w:rsid w:val="00596B42"/>
    <w:rsid w:val="00596F83"/>
    <w:rsid w:val="005972AC"/>
    <w:rsid w:val="005979D0"/>
    <w:rsid w:val="00597E1E"/>
    <w:rsid w:val="005A0111"/>
    <w:rsid w:val="005A0436"/>
    <w:rsid w:val="005A15DF"/>
    <w:rsid w:val="005A2455"/>
    <w:rsid w:val="005A2C29"/>
    <w:rsid w:val="005A50FA"/>
    <w:rsid w:val="005A5BB0"/>
    <w:rsid w:val="005A777B"/>
    <w:rsid w:val="005B014D"/>
    <w:rsid w:val="005B06F5"/>
    <w:rsid w:val="005B080A"/>
    <w:rsid w:val="005B1DF4"/>
    <w:rsid w:val="005B1FB3"/>
    <w:rsid w:val="005B2BDA"/>
    <w:rsid w:val="005B2F13"/>
    <w:rsid w:val="005B3D44"/>
    <w:rsid w:val="005B43DC"/>
    <w:rsid w:val="005B46BB"/>
    <w:rsid w:val="005B5FD3"/>
    <w:rsid w:val="005B6137"/>
    <w:rsid w:val="005B67E6"/>
    <w:rsid w:val="005B7A7E"/>
    <w:rsid w:val="005C1791"/>
    <w:rsid w:val="005C1944"/>
    <w:rsid w:val="005C1B2F"/>
    <w:rsid w:val="005C1C69"/>
    <w:rsid w:val="005C21D6"/>
    <w:rsid w:val="005C21D8"/>
    <w:rsid w:val="005C3154"/>
    <w:rsid w:val="005C41C0"/>
    <w:rsid w:val="005C4511"/>
    <w:rsid w:val="005C4886"/>
    <w:rsid w:val="005C54B5"/>
    <w:rsid w:val="005C5EF7"/>
    <w:rsid w:val="005C7CA2"/>
    <w:rsid w:val="005D034D"/>
    <w:rsid w:val="005D0742"/>
    <w:rsid w:val="005D0E29"/>
    <w:rsid w:val="005D1598"/>
    <w:rsid w:val="005D159C"/>
    <w:rsid w:val="005D28B6"/>
    <w:rsid w:val="005D2F69"/>
    <w:rsid w:val="005D308D"/>
    <w:rsid w:val="005D415D"/>
    <w:rsid w:val="005D49CE"/>
    <w:rsid w:val="005D5152"/>
    <w:rsid w:val="005D52D2"/>
    <w:rsid w:val="005D5A41"/>
    <w:rsid w:val="005D5ABC"/>
    <w:rsid w:val="005D647C"/>
    <w:rsid w:val="005D6609"/>
    <w:rsid w:val="005D6621"/>
    <w:rsid w:val="005D7067"/>
    <w:rsid w:val="005D7209"/>
    <w:rsid w:val="005D72AC"/>
    <w:rsid w:val="005D7A00"/>
    <w:rsid w:val="005D7BE3"/>
    <w:rsid w:val="005D7CF6"/>
    <w:rsid w:val="005D7D58"/>
    <w:rsid w:val="005E0556"/>
    <w:rsid w:val="005E063E"/>
    <w:rsid w:val="005E076D"/>
    <w:rsid w:val="005E13A6"/>
    <w:rsid w:val="005E2A35"/>
    <w:rsid w:val="005E2E60"/>
    <w:rsid w:val="005E33E1"/>
    <w:rsid w:val="005E3791"/>
    <w:rsid w:val="005E3D6D"/>
    <w:rsid w:val="005E411A"/>
    <w:rsid w:val="005E70F6"/>
    <w:rsid w:val="005E73F9"/>
    <w:rsid w:val="005E75A9"/>
    <w:rsid w:val="005E7BDD"/>
    <w:rsid w:val="005F0514"/>
    <w:rsid w:val="005F0A66"/>
    <w:rsid w:val="005F0B87"/>
    <w:rsid w:val="005F0E12"/>
    <w:rsid w:val="005F1077"/>
    <w:rsid w:val="005F1233"/>
    <w:rsid w:val="005F2376"/>
    <w:rsid w:val="005F37E7"/>
    <w:rsid w:val="005F4280"/>
    <w:rsid w:val="005F4D4D"/>
    <w:rsid w:val="005F5204"/>
    <w:rsid w:val="005F5492"/>
    <w:rsid w:val="005F59AC"/>
    <w:rsid w:val="005F5A14"/>
    <w:rsid w:val="005F7415"/>
    <w:rsid w:val="005F7CF6"/>
    <w:rsid w:val="006003DF"/>
    <w:rsid w:val="0060085A"/>
    <w:rsid w:val="0060108F"/>
    <w:rsid w:val="00601F95"/>
    <w:rsid w:val="00602696"/>
    <w:rsid w:val="0060276B"/>
    <w:rsid w:val="00602B66"/>
    <w:rsid w:val="00603039"/>
    <w:rsid w:val="00604073"/>
    <w:rsid w:val="00604341"/>
    <w:rsid w:val="006048E8"/>
    <w:rsid w:val="00606AFE"/>
    <w:rsid w:val="00607934"/>
    <w:rsid w:val="00610000"/>
    <w:rsid w:val="0061035E"/>
    <w:rsid w:val="00610611"/>
    <w:rsid w:val="00611326"/>
    <w:rsid w:val="006113C5"/>
    <w:rsid w:val="0061140E"/>
    <w:rsid w:val="006128BB"/>
    <w:rsid w:val="0061324B"/>
    <w:rsid w:val="006139B8"/>
    <w:rsid w:val="00614704"/>
    <w:rsid w:val="00617E5E"/>
    <w:rsid w:val="00620893"/>
    <w:rsid w:val="00621719"/>
    <w:rsid w:val="00621C8D"/>
    <w:rsid w:val="00621D16"/>
    <w:rsid w:val="00621D8B"/>
    <w:rsid w:val="00621E63"/>
    <w:rsid w:val="00623064"/>
    <w:rsid w:val="00623499"/>
    <w:rsid w:val="006234E9"/>
    <w:rsid w:val="006234EF"/>
    <w:rsid w:val="0062402F"/>
    <w:rsid w:val="0062422D"/>
    <w:rsid w:val="00624348"/>
    <w:rsid w:val="00624882"/>
    <w:rsid w:val="00624BCE"/>
    <w:rsid w:val="0062557A"/>
    <w:rsid w:val="006256A7"/>
    <w:rsid w:val="00625C1B"/>
    <w:rsid w:val="006272C1"/>
    <w:rsid w:val="00627949"/>
    <w:rsid w:val="0063042A"/>
    <w:rsid w:val="0063049A"/>
    <w:rsid w:val="0063119A"/>
    <w:rsid w:val="00631643"/>
    <w:rsid w:val="00631F97"/>
    <w:rsid w:val="00633A82"/>
    <w:rsid w:val="00633C08"/>
    <w:rsid w:val="0063443A"/>
    <w:rsid w:val="00634B2C"/>
    <w:rsid w:val="00634FE6"/>
    <w:rsid w:val="006353FB"/>
    <w:rsid w:val="00635A87"/>
    <w:rsid w:val="006367EC"/>
    <w:rsid w:val="00636BDB"/>
    <w:rsid w:val="00637145"/>
    <w:rsid w:val="00637A27"/>
    <w:rsid w:val="00640953"/>
    <w:rsid w:val="00640CE3"/>
    <w:rsid w:val="00640F09"/>
    <w:rsid w:val="006428D2"/>
    <w:rsid w:val="006434E5"/>
    <w:rsid w:val="00643BBF"/>
    <w:rsid w:val="0064441F"/>
    <w:rsid w:val="00644425"/>
    <w:rsid w:val="0064462B"/>
    <w:rsid w:val="00645139"/>
    <w:rsid w:val="006472FA"/>
    <w:rsid w:val="00647849"/>
    <w:rsid w:val="006504A0"/>
    <w:rsid w:val="00650F68"/>
    <w:rsid w:val="006518D0"/>
    <w:rsid w:val="00651C79"/>
    <w:rsid w:val="00651D5F"/>
    <w:rsid w:val="00652DD5"/>
    <w:rsid w:val="006532B3"/>
    <w:rsid w:val="0065337E"/>
    <w:rsid w:val="00653480"/>
    <w:rsid w:val="0065373A"/>
    <w:rsid w:val="00654076"/>
    <w:rsid w:val="0065457E"/>
    <w:rsid w:val="006545C4"/>
    <w:rsid w:val="0065470A"/>
    <w:rsid w:val="00654AF5"/>
    <w:rsid w:val="0065505B"/>
    <w:rsid w:val="00655EEE"/>
    <w:rsid w:val="00656183"/>
    <w:rsid w:val="006561CE"/>
    <w:rsid w:val="006563E8"/>
    <w:rsid w:val="00657A12"/>
    <w:rsid w:val="00657B00"/>
    <w:rsid w:val="006604D5"/>
    <w:rsid w:val="00662503"/>
    <w:rsid w:val="006627E8"/>
    <w:rsid w:val="006632F7"/>
    <w:rsid w:val="006644BD"/>
    <w:rsid w:val="006644E7"/>
    <w:rsid w:val="00664A43"/>
    <w:rsid w:val="00665157"/>
    <w:rsid w:val="00665577"/>
    <w:rsid w:val="006655F8"/>
    <w:rsid w:val="00665E23"/>
    <w:rsid w:val="006670CE"/>
    <w:rsid w:val="0066736B"/>
    <w:rsid w:val="006676F1"/>
    <w:rsid w:val="00667825"/>
    <w:rsid w:val="006701B9"/>
    <w:rsid w:val="0067064A"/>
    <w:rsid w:val="00670E44"/>
    <w:rsid w:val="00672077"/>
    <w:rsid w:val="00672A76"/>
    <w:rsid w:val="00672BF3"/>
    <w:rsid w:val="00672C2E"/>
    <w:rsid w:val="00672D98"/>
    <w:rsid w:val="00672F48"/>
    <w:rsid w:val="00673FE0"/>
    <w:rsid w:val="00674216"/>
    <w:rsid w:val="00674262"/>
    <w:rsid w:val="0067663D"/>
    <w:rsid w:val="00680AAF"/>
    <w:rsid w:val="00680F39"/>
    <w:rsid w:val="0068124D"/>
    <w:rsid w:val="006812DE"/>
    <w:rsid w:val="00681D76"/>
    <w:rsid w:val="00682AD1"/>
    <w:rsid w:val="00683140"/>
    <w:rsid w:val="00683848"/>
    <w:rsid w:val="006849EE"/>
    <w:rsid w:val="00684BBE"/>
    <w:rsid w:val="00684C66"/>
    <w:rsid w:val="00685653"/>
    <w:rsid w:val="0068631D"/>
    <w:rsid w:val="00686AC1"/>
    <w:rsid w:val="00686E6E"/>
    <w:rsid w:val="00687FDF"/>
    <w:rsid w:val="006906AD"/>
    <w:rsid w:val="006913B9"/>
    <w:rsid w:val="00691515"/>
    <w:rsid w:val="0069186C"/>
    <w:rsid w:val="00691DAD"/>
    <w:rsid w:val="006928AC"/>
    <w:rsid w:val="006933D6"/>
    <w:rsid w:val="00693866"/>
    <w:rsid w:val="00695141"/>
    <w:rsid w:val="006951E5"/>
    <w:rsid w:val="00695221"/>
    <w:rsid w:val="006964E6"/>
    <w:rsid w:val="00696C92"/>
    <w:rsid w:val="006976BE"/>
    <w:rsid w:val="006976EB"/>
    <w:rsid w:val="0069799C"/>
    <w:rsid w:val="006979BD"/>
    <w:rsid w:val="00697A8E"/>
    <w:rsid w:val="006A0440"/>
    <w:rsid w:val="006A0D5D"/>
    <w:rsid w:val="006A1AC4"/>
    <w:rsid w:val="006A2631"/>
    <w:rsid w:val="006A329B"/>
    <w:rsid w:val="006A372F"/>
    <w:rsid w:val="006A40DD"/>
    <w:rsid w:val="006A464A"/>
    <w:rsid w:val="006A4DDC"/>
    <w:rsid w:val="006A624B"/>
    <w:rsid w:val="006A762F"/>
    <w:rsid w:val="006A765B"/>
    <w:rsid w:val="006B0C16"/>
    <w:rsid w:val="006B1001"/>
    <w:rsid w:val="006B168A"/>
    <w:rsid w:val="006B1711"/>
    <w:rsid w:val="006B1B5F"/>
    <w:rsid w:val="006B1DAD"/>
    <w:rsid w:val="006B218B"/>
    <w:rsid w:val="006B37E9"/>
    <w:rsid w:val="006B5D01"/>
    <w:rsid w:val="006B6CCB"/>
    <w:rsid w:val="006B6E45"/>
    <w:rsid w:val="006B771F"/>
    <w:rsid w:val="006B783E"/>
    <w:rsid w:val="006C052B"/>
    <w:rsid w:val="006C2306"/>
    <w:rsid w:val="006C350F"/>
    <w:rsid w:val="006C3AB1"/>
    <w:rsid w:val="006C3E72"/>
    <w:rsid w:val="006C41AC"/>
    <w:rsid w:val="006C5348"/>
    <w:rsid w:val="006C54CF"/>
    <w:rsid w:val="006C74D2"/>
    <w:rsid w:val="006C7BE6"/>
    <w:rsid w:val="006D1016"/>
    <w:rsid w:val="006D2B91"/>
    <w:rsid w:val="006D5150"/>
    <w:rsid w:val="006D5251"/>
    <w:rsid w:val="006D5B6F"/>
    <w:rsid w:val="006D6046"/>
    <w:rsid w:val="006D62EE"/>
    <w:rsid w:val="006D6981"/>
    <w:rsid w:val="006D7211"/>
    <w:rsid w:val="006D7593"/>
    <w:rsid w:val="006D7B57"/>
    <w:rsid w:val="006E0312"/>
    <w:rsid w:val="006E0DD3"/>
    <w:rsid w:val="006E1E26"/>
    <w:rsid w:val="006E2E63"/>
    <w:rsid w:val="006E31EA"/>
    <w:rsid w:val="006E32D8"/>
    <w:rsid w:val="006E3DEB"/>
    <w:rsid w:val="006E3EF4"/>
    <w:rsid w:val="006E458E"/>
    <w:rsid w:val="006E496A"/>
    <w:rsid w:val="006E4E70"/>
    <w:rsid w:val="006E5057"/>
    <w:rsid w:val="006E5643"/>
    <w:rsid w:val="006E56E6"/>
    <w:rsid w:val="006E6238"/>
    <w:rsid w:val="006E6A21"/>
    <w:rsid w:val="006E7218"/>
    <w:rsid w:val="006E74BD"/>
    <w:rsid w:val="006E760C"/>
    <w:rsid w:val="006E7E6E"/>
    <w:rsid w:val="006F0297"/>
    <w:rsid w:val="006F0679"/>
    <w:rsid w:val="006F0771"/>
    <w:rsid w:val="006F0A58"/>
    <w:rsid w:val="006F224D"/>
    <w:rsid w:val="006F2F9E"/>
    <w:rsid w:val="006F31C8"/>
    <w:rsid w:val="006F41E5"/>
    <w:rsid w:val="006F4B7F"/>
    <w:rsid w:val="006F521D"/>
    <w:rsid w:val="006F6820"/>
    <w:rsid w:val="006F6B14"/>
    <w:rsid w:val="006F72E5"/>
    <w:rsid w:val="007001DF"/>
    <w:rsid w:val="007002DF"/>
    <w:rsid w:val="007008B0"/>
    <w:rsid w:val="007009E2"/>
    <w:rsid w:val="00700E81"/>
    <w:rsid w:val="00701063"/>
    <w:rsid w:val="007011A4"/>
    <w:rsid w:val="007021B4"/>
    <w:rsid w:val="00702317"/>
    <w:rsid w:val="0070268D"/>
    <w:rsid w:val="00702C38"/>
    <w:rsid w:val="0070336A"/>
    <w:rsid w:val="00703760"/>
    <w:rsid w:val="007044B8"/>
    <w:rsid w:val="00704586"/>
    <w:rsid w:val="0070548B"/>
    <w:rsid w:val="00705A7E"/>
    <w:rsid w:val="00705AA2"/>
    <w:rsid w:val="007073BE"/>
    <w:rsid w:val="00707453"/>
    <w:rsid w:val="007100C7"/>
    <w:rsid w:val="0071254F"/>
    <w:rsid w:val="007133E9"/>
    <w:rsid w:val="00713837"/>
    <w:rsid w:val="00713AA9"/>
    <w:rsid w:val="00713D96"/>
    <w:rsid w:val="007142A8"/>
    <w:rsid w:val="007159E7"/>
    <w:rsid w:val="007170D0"/>
    <w:rsid w:val="007176E3"/>
    <w:rsid w:val="007176EB"/>
    <w:rsid w:val="00720321"/>
    <w:rsid w:val="00720928"/>
    <w:rsid w:val="00721A7D"/>
    <w:rsid w:val="00722845"/>
    <w:rsid w:val="007239B0"/>
    <w:rsid w:val="00723A3F"/>
    <w:rsid w:val="00723EE3"/>
    <w:rsid w:val="007240C3"/>
    <w:rsid w:val="007247B4"/>
    <w:rsid w:val="007252A3"/>
    <w:rsid w:val="0072590E"/>
    <w:rsid w:val="00727028"/>
    <w:rsid w:val="00727B9D"/>
    <w:rsid w:val="00727F56"/>
    <w:rsid w:val="00730312"/>
    <w:rsid w:val="00730912"/>
    <w:rsid w:val="007315B8"/>
    <w:rsid w:val="00731FAA"/>
    <w:rsid w:val="007321DA"/>
    <w:rsid w:val="007331F4"/>
    <w:rsid w:val="007332DC"/>
    <w:rsid w:val="007333DC"/>
    <w:rsid w:val="007335C8"/>
    <w:rsid w:val="00733F13"/>
    <w:rsid w:val="00733F99"/>
    <w:rsid w:val="00735B67"/>
    <w:rsid w:val="00735D45"/>
    <w:rsid w:val="00736994"/>
    <w:rsid w:val="00736B48"/>
    <w:rsid w:val="00736E34"/>
    <w:rsid w:val="00737A69"/>
    <w:rsid w:val="00737AAA"/>
    <w:rsid w:val="00737C27"/>
    <w:rsid w:val="00740D4B"/>
    <w:rsid w:val="0074104B"/>
    <w:rsid w:val="007413FC"/>
    <w:rsid w:val="00742A69"/>
    <w:rsid w:val="00742A9D"/>
    <w:rsid w:val="0074310D"/>
    <w:rsid w:val="00743267"/>
    <w:rsid w:val="00744E44"/>
    <w:rsid w:val="00745FD2"/>
    <w:rsid w:val="00746BCF"/>
    <w:rsid w:val="007470B0"/>
    <w:rsid w:val="00747A29"/>
    <w:rsid w:val="007513C4"/>
    <w:rsid w:val="007515F3"/>
    <w:rsid w:val="00751669"/>
    <w:rsid w:val="00751C44"/>
    <w:rsid w:val="007529B5"/>
    <w:rsid w:val="0075346A"/>
    <w:rsid w:val="00753A6D"/>
    <w:rsid w:val="00753BB6"/>
    <w:rsid w:val="007542C2"/>
    <w:rsid w:val="00754BFF"/>
    <w:rsid w:val="00754CD5"/>
    <w:rsid w:val="007551C2"/>
    <w:rsid w:val="00755816"/>
    <w:rsid w:val="00755AD3"/>
    <w:rsid w:val="00755FFC"/>
    <w:rsid w:val="00760FF3"/>
    <w:rsid w:val="007610FB"/>
    <w:rsid w:val="0076180D"/>
    <w:rsid w:val="007630A3"/>
    <w:rsid w:val="0076316E"/>
    <w:rsid w:val="007631D5"/>
    <w:rsid w:val="007632DE"/>
    <w:rsid w:val="00763719"/>
    <w:rsid w:val="00763FF9"/>
    <w:rsid w:val="00766661"/>
    <w:rsid w:val="00766BA5"/>
    <w:rsid w:val="00766DE0"/>
    <w:rsid w:val="007675BA"/>
    <w:rsid w:val="007702B5"/>
    <w:rsid w:val="0077087B"/>
    <w:rsid w:val="00770954"/>
    <w:rsid w:val="007709BF"/>
    <w:rsid w:val="007712E2"/>
    <w:rsid w:val="007713BE"/>
    <w:rsid w:val="00771448"/>
    <w:rsid w:val="00771B4D"/>
    <w:rsid w:val="0077253C"/>
    <w:rsid w:val="0077340E"/>
    <w:rsid w:val="007734E8"/>
    <w:rsid w:val="00773D7C"/>
    <w:rsid w:val="00774057"/>
    <w:rsid w:val="00775FEF"/>
    <w:rsid w:val="00776062"/>
    <w:rsid w:val="0077667B"/>
    <w:rsid w:val="007768BB"/>
    <w:rsid w:val="00776A4B"/>
    <w:rsid w:val="00777390"/>
    <w:rsid w:val="007773E7"/>
    <w:rsid w:val="00777492"/>
    <w:rsid w:val="00777EA7"/>
    <w:rsid w:val="00780EBC"/>
    <w:rsid w:val="00780EF5"/>
    <w:rsid w:val="00780FD3"/>
    <w:rsid w:val="00781171"/>
    <w:rsid w:val="00781186"/>
    <w:rsid w:val="00781A26"/>
    <w:rsid w:val="007822A5"/>
    <w:rsid w:val="00783E05"/>
    <w:rsid w:val="0078596F"/>
    <w:rsid w:val="00785E11"/>
    <w:rsid w:val="00786D69"/>
    <w:rsid w:val="00787460"/>
    <w:rsid w:val="00790D75"/>
    <w:rsid w:val="00792C47"/>
    <w:rsid w:val="00793354"/>
    <w:rsid w:val="00793380"/>
    <w:rsid w:val="00793791"/>
    <w:rsid w:val="00793B35"/>
    <w:rsid w:val="00793CB8"/>
    <w:rsid w:val="00793F99"/>
    <w:rsid w:val="0079416F"/>
    <w:rsid w:val="007955F6"/>
    <w:rsid w:val="007959DC"/>
    <w:rsid w:val="00795AA6"/>
    <w:rsid w:val="007961EA"/>
    <w:rsid w:val="00796E12"/>
    <w:rsid w:val="0079753F"/>
    <w:rsid w:val="00797AB5"/>
    <w:rsid w:val="007A0ADF"/>
    <w:rsid w:val="007A18DC"/>
    <w:rsid w:val="007A2650"/>
    <w:rsid w:val="007A2F34"/>
    <w:rsid w:val="007A3306"/>
    <w:rsid w:val="007A34C8"/>
    <w:rsid w:val="007A3F16"/>
    <w:rsid w:val="007A5229"/>
    <w:rsid w:val="007A5779"/>
    <w:rsid w:val="007A5A8F"/>
    <w:rsid w:val="007A5BE5"/>
    <w:rsid w:val="007A5EED"/>
    <w:rsid w:val="007A6897"/>
    <w:rsid w:val="007A766E"/>
    <w:rsid w:val="007A7DB4"/>
    <w:rsid w:val="007B0297"/>
    <w:rsid w:val="007B0ACE"/>
    <w:rsid w:val="007B2B9D"/>
    <w:rsid w:val="007B2CAC"/>
    <w:rsid w:val="007B308B"/>
    <w:rsid w:val="007B31B0"/>
    <w:rsid w:val="007B41EB"/>
    <w:rsid w:val="007B42A1"/>
    <w:rsid w:val="007B4F92"/>
    <w:rsid w:val="007B5010"/>
    <w:rsid w:val="007B5720"/>
    <w:rsid w:val="007B5BB5"/>
    <w:rsid w:val="007B6219"/>
    <w:rsid w:val="007B62E3"/>
    <w:rsid w:val="007B6BD7"/>
    <w:rsid w:val="007B6F82"/>
    <w:rsid w:val="007B707A"/>
    <w:rsid w:val="007B708B"/>
    <w:rsid w:val="007B7264"/>
    <w:rsid w:val="007B78E9"/>
    <w:rsid w:val="007B7CF6"/>
    <w:rsid w:val="007C1561"/>
    <w:rsid w:val="007C17AC"/>
    <w:rsid w:val="007C1E27"/>
    <w:rsid w:val="007C4593"/>
    <w:rsid w:val="007C4683"/>
    <w:rsid w:val="007C4CA5"/>
    <w:rsid w:val="007C4CB2"/>
    <w:rsid w:val="007C60DB"/>
    <w:rsid w:val="007C7445"/>
    <w:rsid w:val="007D10D9"/>
    <w:rsid w:val="007D1948"/>
    <w:rsid w:val="007D195F"/>
    <w:rsid w:val="007D1C07"/>
    <w:rsid w:val="007D2A5E"/>
    <w:rsid w:val="007D2FE3"/>
    <w:rsid w:val="007D319D"/>
    <w:rsid w:val="007D34BD"/>
    <w:rsid w:val="007D4A3A"/>
    <w:rsid w:val="007D5FCC"/>
    <w:rsid w:val="007D6470"/>
    <w:rsid w:val="007D793A"/>
    <w:rsid w:val="007E01A6"/>
    <w:rsid w:val="007E035F"/>
    <w:rsid w:val="007E05E2"/>
    <w:rsid w:val="007E0976"/>
    <w:rsid w:val="007E0C48"/>
    <w:rsid w:val="007E0D50"/>
    <w:rsid w:val="007E0D62"/>
    <w:rsid w:val="007E0F49"/>
    <w:rsid w:val="007E158B"/>
    <w:rsid w:val="007E20B8"/>
    <w:rsid w:val="007E20C9"/>
    <w:rsid w:val="007E2EB9"/>
    <w:rsid w:val="007E32B0"/>
    <w:rsid w:val="007E374B"/>
    <w:rsid w:val="007E4BEE"/>
    <w:rsid w:val="007E50D2"/>
    <w:rsid w:val="007F009E"/>
    <w:rsid w:val="007F0331"/>
    <w:rsid w:val="007F087F"/>
    <w:rsid w:val="007F0897"/>
    <w:rsid w:val="007F0945"/>
    <w:rsid w:val="007F0B71"/>
    <w:rsid w:val="007F0C9E"/>
    <w:rsid w:val="007F15A6"/>
    <w:rsid w:val="007F1688"/>
    <w:rsid w:val="007F19E7"/>
    <w:rsid w:val="007F2448"/>
    <w:rsid w:val="007F26E9"/>
    <w:rsid w:val="007F3251"/>
    <w:rsid w:val="007F3992"/>
    <w:rsid w:val="007F4C45"/>
    <w:rsid w:val="007F4E2A"/>
    <w:rsid w:val="007F6ADE"/>
    <w:rsid w:val="007F73B8"/>
    <w:rsid w:val="007F7519"/>
    <w:rsid w:val="007F76D0"/>
    <w:rsid w:val="007F76FC"/>
    <w:rsid w:val="007F78C1"/>
    <w:rsid w:val="0080004A"/>
    <w:rsid w:val="00800CF7"/>
    <w:rsid w:val="00801045"/>
    <w:rsid w:val="00801668"/>
    <w:rsid w:val="008017BC"/>
    <w:rsid w:val="00802ACD"/>
    <w:rsid w:val="00803E46"/>
    <w:rsid w:val="00803ECB"/>
    <w:rsid w:val="00804A96"/>
    <w:rsid w:val="00804FA9"/>
    <w:rsid w:val="008055D1"/>
    <w:rsid w:val="0080576C"/>
    <w:rsid w:val="00805C43"/>
    <w:rsid w:val="00805C87"/>
    <w:rsid w:val="00805F8D"/>
    <w:rsid w:val="00806D9D"/>
    <w:rsid w:val="00811030"/>
    <w:rsid w:val="008111BF"/>
    <w:rsid w:val="00812B1F"/>
    <w:rsid w:val="00812EAA"/>
    <w:rsid w:val="008138DB"/>
    <w:rsid w:val="00814D05"/>
    <w:rsid w:val="0081506F"/>
    <w:rsid w:val="0081595A"/>
    <w:rsid w:val="00815A9B"/>
    <w:rsid w:val="00816BBF"/>
    <w:rsid w:val="0081727B"/>
    <w:rsid w:val="008176B6"/>
    <w:rsid w:val="00817CF9"/>
    <w:rsid w:val="00820391"/>
    <w:rsid w:val="00820E3D"/>
    <w:rsid w:val="00821F0B"/>
    <w:rsid w:val="00821FDA"/>
    <w:rsid w:val="0082317A"/>
    <w:rsid w:val="00823222"/>
    <w:rsid w:val="008236F9"/>
    <w:rsid w:val="008244CC"/>
    <w:rsid w:val="00824AFB"/>
    <w:rsid w:val="00824DE9"/>
    <w:rsid w:val="0082523F"/>
    <w:rsid w:val="00826578"/>
    <w:rsid w:val="00826D20"/>
    <w:rsid w:val="00827206"/>
    <w:rsid w:val="00827E5E"/>
    <w:rsid w:val="00827EA2"/>
    <w:rsid w:val="008317D0"/>
    <w:rsid w:val="00831C5B"/>
    <w:rsid w:val="00832423"/>
    <w:rsid w:val="00832872"/>
    <w:rsid w:val="008329D1"/>
    <w:rsid w:val="00832EB9"/>
    <w:rsid w:val="00833007"/>
    <w:rsid w:val="00833278"/>
    <w:rsid w:val="00833473"/>
    <w:rsid w:val="0083449F"/>
    <w:rsid w:val="008349A7"/>
    <w:rsid w:val="00837136"/>
    <w:rsid w:val="0083776F"/>
    <w:rsid w:val="00837CBB"/>
    <w:rsid w:val="00837DC7"/>
    <w:rsid w:val="00837DEE"/>
    <w:rsid w:val="00837F5D"/>
    <w:rsid w:val="00840066"/>
    <w:rsid w:val="0084052A"/>
    <w:rsid w:val="00840812"/>
    <w:rsid w:val="00840880"/>
    <w:rsid w:val="00840BD9"/>
    <w:rsid w:val="00840C9D"/>
    <w:rsid w:val="00841454"/>
    <w:rsid w:val="0084155E"/>
    <w:rsid w:val="00841E55"/>
    <w:rsid w:val="00842938"/>
    <w:rsid w:val="00842C8A"/>
    <w:rsid w:val="00843958"/>
    <w:rsid w:val="00843B6A"/>
    <w:rsid w:val="00843FA7"/>
    <w:rsid w:val="00845187"/>
    <w:rsid w:val="008451E2"/>
    <w:rsid w:val="0084554D"/>
    <w:rsid w:val="0084563A"/>
    <w:rsid w:val="00845983"/>
    <w:rsid w:val="00845B83"/>
    <w:rsid w:val="00846076"/>
    <w:rsid w:val="008461D0"/>
    <w:rsid w:val="00846931"/>
    <w:rsid w:val="00847907"/>
    <w:rsid w:val="00850741"/>
    <w:rsid w:val="0085182B"/>
    <w:rsid w:val="00852E1E"/>
    <w:rsid w:val="008531C7"/>
    <w:rsid w:val="00853343"/>
    <w:rsid w:val="008539C4"/>
    <w:rsid w:val="00854B45"/>
    <w:rsid w:val="008554A6"/>
    <w:rsid w:val="008578A2"/>
    <w:rsid w:val="00857CE9"/>
    <w:rsid w:val="00860EF3"/>
    <w:rsid w:val="008629E2"/>
    <w:rsid w:val="00863D59"/>
    <w:rsid w:val="00863FA4"/>
    <w:rsid w:val="008641B7"/>
    <w:rsid w:val="00864B5E"/>
    <w:rsid w:val="008656A4"/>
    <w:rsid w:val="00867E42"/>
    <w:rsid w:val="00870279"/>
    <w:rsid w:val="0087428A"/>
    <w:rsid w:val="008744EE"/>
    <w:rsid w:val="00874856"/>
    <w:rsid w:val="00874D04"/>
    <w:rsid w:val="008750B2"/>
    <w:rsid w:val="00875FCB"/>
    <w:rsid w:val="008761D2"/>
    <w:rsid w:val="00876A62"/>
    <w:rsid w:val="00876AC2"/>
    <w:rsid w:val="008804E1"/>
    <w:rsid w:val="00881BFC"/>
    <w:rsid w:val="00882850"/>
    <w:rsid w:val="00882EB9"/>
    <w:rsid w:val="008839CC"/>
    <w:rsid w:val="00884581"/>
    <w:rsid w:val="0088477C"/>
    <w:rsid w:val="008847B2"/>
    <w:rsid w:val="0088494B"/>
    <w:rsid w:val="00884FFA"/>
    <w:rsid w:val="00885E28"/>
    <w:rsid w:val="008869F4"/>
    <w:rsid w:val="00887029"/>
    <w:rsid w:val="00887F6A"/>
    <w:rsid w:val="0089015E"/>
    <w:rsid w:val="00890AD4"/>
    <w:rsid w:val="00890DBE"/>
    <w:rsid w:val="00891269"/>
    <w:rsid w:val="008923E9"/>
    <w:rsid w:val="008926C0"/>
    <w:rsid w:val="00892AFC"/>
    <w:rsid w:val="00892ECD"/>
    <w:rsid w:val="008932CB"/>
    <w:rsid w:val="00893FB0"/>
    <w:rsid w:val="008944F3"/>
    <w:rsid w:val="00894E91"/>
    <w:rsid w:val="00894FA8"/>
    <w:rsid w:val="00895AC2"/>
    <w:rsid w:val="00896F3E"/>
    <w:rsid w:val="008A0164"/>
    <w:rsid w:val="008A095D"/>
    <w:rsid w:val="008A0D6B"/>
    <w:rsid w:val="008A0ED0"/>
    <w:rsid w:val="008A141A"/>
    <w:rsid w:val="008A18B7"/>
    <w:rsid w:val="008A1FEE"/>
    <w:rsid w:val="008A24DF"/>
    <w:rsid w:val="008A2CBD"/>
    <w:rsid w:val="008A315D"/>
    <w:rsid w:val="008A3560"/>
    <w:rsid w:val="008A4586"/>
    <w:rsid w:val="008A4D73"/>
    <w:rsid w:val="008A500A"/>
    <w:rsid w:val="008A54B2"/>
    <w:rsid w:val="008A5894"/>
    <w:rsid w:val="008A5DDB"/>
    <w:rsid w:val="008A5FB1"/>
    <w:rsid w:val="008A7303"/>
    <w:rsid w:val="008B0420"/>
    <w:rsid w:val="008B0559"/>
    <w:rsid w:val="008B131F"/>
    <w:rsid w:val="008B1493"/>
    <w:rsid w:val="008B23A2"/>
    <w:rsid w:val="008B2B0F"/>
    <w:rsid w:val="008B38A7"/>
    <w:rsid w:val="008B3AEB"/>
    <w:rsid w:val="008B5098"/>
    <w:rsid w:val="008B5282"/>
    <w:rsid w:val="008B5306"/>
    <w:rsid w:val="008B55CF"/>
    <w:rsid w:val="008B5DDC"/>
    <w:rsid w:val="008B6266"/>
    <w:rsid w:val="008B746E"/>
    <w:rsid w:val="008B79EE"/>
    <w:rsid w:val="008B7AE9"/>
    <w:rsid w:val="008C026A"/>
    <w:rsid w:val="008C0504"/>
    <w:rsid w:val="008C0E1A"/>
    <w:rsid w:val="008C0E47"/>
    <w:rsid w:val="008C157D"/>
    <w:rsid w:val="008C1A67"/>
    <w:rsid w:val="008C1FEB"/>
    <w:rsid w:val="008C2466"/>
    <w:rsid w:val="008C37F3"/>
    <w:rsid w:val="008C3E57"/>
    <w:rsid w:val="008C4D9B"/>
    <w:rsid w:val="008C55A3"/>
    <w:rsid w:val="008C5C76"/>
    <w:rsid w:val="008C6083"/>
    <w:rsid w:val="008C6E3D"/>
    <w:rsid w:val="008D03F6"/>
    <w:rsid w:val="008D0636"/>
    <w:rsid w:val="008D0D3C"/>
    <w:rsid w:val="008D25CB"/>
    <w:rsid w:val="008D3728"/>
    <w:rsid w:val="008D385A"/>
    <w:rsid w:val="008D3ABB"/>
    <w:rsid w:val="008D3D16"/>
    <w:rsid w:val="008D3F97"/>
    <w:rsid w:val="008D4145"/>
    <w:rsid w:val="008D51A4"/>
    <w:rsid w:val="008D5540"/>
    <w:rsid w:val="008D5876"/>
    <w:rsid w:val="008D5DF5"/>
    <w:rsid w:val="008D63B5"/>
    <w:rsid w:val="008D6DC0"/>
    <w:rsid w:val="008D7984"/>
    <w:rsid w:val="008D7AC7"/>
    <w:rsid w:val="008D7D0A"/>
    <w:rsid w:val="008E0EB4"/>
    <w:rsid w:val="008E1533"/>
    <w:rsid w:val="008E16C8"/>
    <w:rsid w:val="008E1947"/>
    <w:rsid w:val="008E28FB"/>
    <w:rsid w:val="008E3BA4"/>
    <w:rsid w:val="008E60EB"/>
    <w:rsid w:val="008E62E2"/>
    <w:rsid w:val="008E6492"/>
    <w:rsid w:val="008E6583"/>
    <w:rsid w:val="008E6B67"/>
    <w:rsid w:val="008E6BA4"/>
    <w:rsid w:val="008E6F1C"/>
    <w:rsid w:val="008E76D9"/>
    <w:rsid w:val="008F0387"/>
    <w:rsid w:val="008F0BB7"/>
    <w:rsid w:val="008F3157"/>
    <w:rsid w:val="008F3598"/>
    <w:rsid w:val="008F5612"/>
    <w:rsid w:val="008F5AE7"/>
    <w:rsid w:val="008F6D4A"/>
    <w:rsid w:val="008F70CB"/>
    <w:rsid w:val="009001A5"/>
    <w:rsid w:val="0090196F"/>
    <w:rsid w:val="00902A3C"/>
    <w:rsid w:val="0090364E"/>
    <w:rsid w:val="00903730"/>
    <w:rsid w:val="00903E74"/>
    <w:rsid w:val="00903F6C"/>
    <w:rsid w:val="00904320"/>
    <w:rsid w:val="009046C1"/>
    <w:rsid w:val="009049D3"/>
    <w:rsid w:val="00905ECA"/>
    <w:rsid w:val="0090734C"/>
    <w:rsid w:val="00907A5A"/>
    <w:rsid w:val="00907B05"/>
    <w:rsid w:val="00907F2D"/>
    <w:rsid w:val="00910DD0"/>
    <w:rsid w:val="00910F13"/>
    <w:rsid w:val="00911B0D"/>
    <w:rsid w:val="00912CA4"/>
    <w:rsid w:val="00913852"/>
    <w:rsid w:val="00913AFE"/>
    <w:rsid w:val="00914314"/>
    <w:rsid w:val="00914DBD"/>
    <w:rsid w:val="009151B6"/>
    <w:rsid w:val="009152C9"/>
    <w:rsid w:val="009153AE"/>
    <w:rsid w:val="009159EF"/>
    <w:rsid w:val="00915A66"/>
    <w:rsid w:val="00916E3F"/>
    <w:rsid w:val="009179D3"/>
    <w:rsid w:val="00917D58"/>
    <w:rsid w:val="0092022D"/>
    <w:rsid w:val="00920D67"/>
    <w:rsid w:val="0092177F"/>
    <w:rsid w:val="00921F6C"/>
    <w:rsid w:val="00922001"/>
    <w:rsid w:val="0092245E"/>
    <w:rsid w:val="00922D66"/>
    <w:rsid w:val="00922FC2"/>
    <w:rsid w:val="00923266"/>
    <w:rsid w:val="00923316"/>
    <w:rsid w:val="00924464"/>
    <w:rsid w:val="00926ABD"/>
    <w:rsid w:val="00926F7C"/>
    <w:rsid w:val="0093005C"/>
    <w:rsid w:val="00930AE2"/>
    <w:rsid w:val="00930CBB"/>
    <w:rsid w:val="0093129F"/>
    <w:rsid w:val="00932769"/>
    <w:rsid w:val="00932E86"/>
    <w:rsid w:val="009332CA"/>
    <w:rsid w:val="00933674"/>
    <w:rsid w:val="00933842"/>
    <w:rsid w:val="00933F3B"/>
    <w:rsid w:val="0093439D"/>
    <w:rsid w:val="009347A3"/>
    <w:rsid w:val="009358F9"/>
    <w:rsid w:val="00935916"/>
    <w:rsid w:val="00935B72"/>
    <w:rsid w:val="009360C0"/>
    <w:rsid w:val="00937847"/>
    <w:rsid w:val="00937A59"/>
    <w:rsid w:val="00937C04"/>
    <w:rsid w:val="009405D2"/>
    <w:rsid w:val="009407AB"/>
    <w:rsid w:val="009408D4"/>
    <w:rsid w:val="00941730"/>
    <w:rsid w:val="00942348"/>
    <w:rsid w:val="00942899"/>
    <w:rsid w:val="00942ADB"/>
    <w:rsid w:val="009434CF"/>
    <w:rsid w:val="009434D9"/>
    <w:rsid w:val="00943740"/>
    <w:rsid w:val="00944433"/>
    <w:rsid w:val="00944DB6"/>
    <w:rsid w:val="00945812"/>
    <w:rsid w:val="009458C3"/>
    <w:rsid w:val="009468BF"/>
    <w:rsid w:val="00946EA4"/>
    <w:rsid w:val="00947FA6"/>
    <w:rsid w:val="00950B1A"/>
    <w:rsid w:val="00951603"/>
    <w:rsid w:val="00951A2D"/>
    <w:rsid w:val="00951C18"/>
    <w:rsid w:val="00951EAE"/>
    <w:rsid w:val="009523F0"/>
    <w:rsid w:val="0095245D"/>
    <w:rsid w:val="00952CFC"/>
    <w:rsid w:val="009534B7"/>
    <w:rsid w:val="00953911"/>
    <w:rsid w:val="00954B48"/>
    <w:rsid w:val="0095500B"/>
    <w:rsid w:val="009550D9"/>
    <w:rsid w:val="00955437"/>
    <w:rsid w:val="00955A43"/>
    <w:rsid w:val="00955C9D"/>
    <w:rsid w:val="00956584"/>
    <w:rsid w:val="009603A3"/>
    <w:rsid w:val="0096059B"/>
    <w:rsid w:val="00960827"/>
    <w:rsid w:val="009612A8"/>
    <w:rsid w:val="00961AA3"/>
    <w:rsid w:val="00961CFE"/>
    <w:rsid w:val="009621BC"/>
    <w:rsid w:val="009632FE"/>
    <w:rsid w:val="00963CDF"/>
    <w:rsid w:val="009649D7"/>
    <w:rsid w:val="00964C75"/>
    <w:rsid w:val="009652A7"/>
    <w:rsid w:val="00965DF9"/>
    <w:rsid w:val="009663A6"/>
    <w:rsid w:val="0096759B"/>
    <w:rsid w:val="00967B66"/>
    <w:rsid w:val="00967D7A"/>
    <w:rsid w:val="00967F37"/>
    <w:rsid w:val="00967F4F"/>
    <w:rsid w:val="00970C8C"/>
    <w:rsid w:val="0097262A"/>
    <w:rsid w:val="009726C6"/>
    <w:rsid w:val="009728A7"/>
    <w:rsid w:val="00973DFC"/>
    <w:rsid w:val="00974BB9"/>
    <w:rsid w:val="009752AC"/>
    <w:rsid w:val="00975507"/>
    <w:rsid w:val="00975CF7"/>
    <w:rsid w:val="00976D36"/>
    <w:rsid w:val="0097758A"/>
    <w:rsid w:val="0097774E"/>
    <w:rsid w:val="0098088F"/>
    <w:rsid w:val="00980BD3"/>
    <w:rsid w:val="009810F9"/>
    <w:rsid w:val="009813F1"/>
    <w:rsid w:val="00981621"/>
    <w:rsid w:val="0098174D"/>
    <w:rsid w:val="00984072"/>
    <w:rsid w:val="00984296"/>
    <w:rsid w:val="009844B0"/>
    <w:rsid w:val="009844EA"/>
    <w:rsid w:val="00984707"/>
    <w:rsid w:val="00984F7C"/>
    <w:rsid w:val="00984FD5"/>
    <w:rsid w:val="00986EB8"/>
    <w:rsid w:val="00987C87"/>
    <w:rsid w:val="00991E32"/>
    <w:rsid w:val="00991FE0"/>
    <w:rsid w:val="00992F99"/>
    <w:rsid w:val="009930A9"/>
    <w:rsid w:val="0099361E"/>
    <w:rsid w:val="0099395B"/>
    <w:rsid w:val="009942E2"/>
    <w:rsid w:val="00995077"/>
    <w:rsid w:val="0099604F"/>
    <w:rsid w:val="009965A1"/>
    <w:rsid w:val="00997F54"/>
    <w:rsid w:val="009A01E7"/>
    <w:rsid w:val="009A04E1"/>
    <w:rsid w:val="009A05B7"/>
    <w:rsid w:val="009A0D96"/>
    <w:rsid w:val="009A1EDD"/>
    <w:rsid w:val="009A224E"/>
    <w:rsid w:val="009A2AD5"/>
    <w:rsid w:val="009A301C"/>
    <w:rsid w:val="009A3E94"/>
    <w:rsid w:val="009A3F8B"/>
    <w:rsid w:val="009A4B53"/>
    <w:rsid w:val="009A5366"/>
    <w:rsid w:val="009A545C"/>
    <w:rsid w:val="009A573C"/>
    <w:rsid w:val="009A7E2E"/>
    <w:rsid w:val="009B25AC"/>
    <w:rsid w:val="009B25F3"/>
    <w:rsid w:val="009B2F5E"/>
    <w:rsid w:val="009B2FB9"/>
    <w:rsid w:val="009B38F3"/>
    <w:rsid w:val="009B3CB3"/>
    <w:rsid w:val="009B4284"/>
    <w:rsid w:val="009B4343"/>
    <w:rsid w:val="009B4A60"/>
    <w:rsid w:val="009B4EEE"/>
    <w:rsid w:val="009B52A6"/>
    <w:rsid w:val="009B5A6C"/>
    <w:rsid w:val="009B6042"/>
    <w:rsid w:val="009B60CF"/>
    <w:rsid w:val="009B6277"/>
    <w:rsid w:val="009B6FE0"/>
    <w:rsid w:val="009B75FF"/>
    <w:rsid w:val="009C0276"/>
    <w:rsid w:val="009C1149"/>
    <w:rsid w:val="009C1C1D"/>
    <w:rsid w:val="009C2BA8"/>
    <w:rsid w:val="009C4311"/>
    <w:rsid w:val="009C432D"/>
    <w:rsid w:val="009C46AB"/>
    <w:rsid w:val="009C4AF9"/>
    <w:rsid w:val="009C5299"/>
    <w:rsid w:val="009C5499"/>
    <w:rsid w:val="009C5546"/>
    <w:rsid w:val="009C6184"/>
    <w:rsid w:val="009C644E"/>
    <w:rsid w:val="009C6A60"/>
    <w:rsid w:val="009C751F"/>
    <w:rsid w:val="009C7C39"/>
    <w:rsid w:val="009D00A0"/>
    <w:rsid w:val="009D015E"/>
    <w:rsid w:val="009D0242"/>
    <w:rsid w:val="009D03C2"/>
    <w:rsid w:val="009D1104"/>
    <w:rsid w:val="009D1C67"/>
    <w:rsid w:val="009D2ADC"/>
    <w:rsid w:val="009D2AE3"/>
    <w:rsid w:val="009D3749"/>
    <w:rsid w:val="009D4175"/>
    <w:rsid w:val="009D4425"/>
    <w:rsid w:val="009D4548"/>
    <w:rsid w:val="009D51DC"/>
    <w:rsid w:val="009D6848"/>
    <w:rsid w:val="009D6DEF"/>
    <w:rsid w:val="009E012E"/>
    <w:rsid w:val="009E01EA"/>
    <w:rsid w:val="009E10ED"/>
    <w:rsid w:val="009E15D0"/>
    <w:rsid w:val="009E2B85"/>
    <w:rsid w:val="009E354B"/>
    <w:rsid w:val="009E3715"/>
    <w:rsid w:val="009E4292"/>
    <w:rsid w:val="009E4688"/>
    <w:rsid w:val="009E5E00"/>
    <w:rsid w:val="009E64D5"/>
    <w:rsid w:val="009E6519"/>
    <w:rsid w:val="009E6E53"/>
    <w:rsid w:val="009E7C10"/>
    <w:rsid w:val="009F02F1"/>
    <w:rsid w:val="009F040E"/>
    <w:rsid w:val="009F0CD1"/>
    <w:rsid w:val="009F1ABA"/>
    <w:rsid w:val="009F1E71"/>
    <w:rsid w:val="009F318F"/>
    <w:rsid w:val="009F397B"/>
    <w:rsid w:val="009F40B5"/>
    <w:rsid w:val="009F4A3B"/>
    <w:rsid w:val="009F4F68"/>
    <w:rsid w:val="009F52B9"/>
    <w:rsid w:val="009F52C1"/>
    <w:rsid w:val="009F5C06"/>
    <w:rsid w:val="009F5CCF"/>
    <w:rsid w:val="009F6770"/>
    <w:rsid w:val="009F7B63"/>
    <w:rsid w:val="00A004C0"/>
    <w:rsid w:val="00A0096A"/>
    <w:rsid w:val="00A00A6F"/>
    <w:rsid w:val="00A01A9D"/>
    <w:rsid w:val="00A01E36"/>
    <w:rsid w:val="00A024D9"/>
    <w:rsid w:val="00A03B45"/>
    <w:rsid w:val="00A03F3D"/>
    <w:rsid w:val="00A04306"/>
    <w:rsid w:val="00A04762"/>
    <w:rsid w:val="00A058A1"/>
    <w:rsid w:val="00A05923"/>
    <w:rsid w:val="00A11083"/>
    <w:rsid w:val="00A11486"/>
    <w:rsid w:val="00A12046"/>
    <w:rsid w:val="00A12575"/>
    <w:rsid w:val="00A138C8"/>
    <w:rsid w:val="00A14915"/>
    <w:rsid w:val="00A14DBD"/>
    <w:rsid w:val="00A14E51"/>
    <w:rsid w:val="00A1623B"/>
    <w:rsid w:val="00A163DD"/>
    <w:rsid w:val="00A164FD"/>
    <w:rsid w:val="00A16BE8"/>
    <w:rsid w:val="00A2054F"/>
    <w:rsid w:val="00A20830"/>
    <w:rsid w:val="00A2221A"/>
    <w:rsid w:val="00A22EE9"/>
    <w:rsid w:val="00A23A95"/>
    <w:rsid w:val="00A24AAC"/>
    <w:rsid w:val="00A24FF6"/>
    <w:rsid w:val="00A2544C"/>
    <w:rsid w:val="00A25679"/>
    <w:rsid w:val="00A25939"/>
    <w:rsid w:val="00A2606F"/>
    <w:rsid w:val="00A264E9"/>
    <w:rsid w:val="00A27963"/>
    <w:rsid w:val="00A32018"/>
    <w:rsid w:val="00A3215B"/>
    <w:rsid w:val="00A32493"/>
    <w:rsid w:val="00A324C2"/>
    <w:rsid w:val="00A32AFB"/>
    <w:rsid w:val="00A3377A"/>
    <w:rsid w:val="00A33F1B"/>
    <w:rsid w:val="00A34028"/>
    <w:rsid w:val="00A34928"/>
    <w:rsid w:val="00A34D92"/>
    <w:rsid w:val="00A3511C"/>
    <w:rsid w:val="00A35C42"/>
    <w:rsid w:val="00A35D7E"/>
    <w:rsid w:val="00A35DC3"/>
    <w:rsid w:val="00A3670F"/>
    <w:rsid w:val="00A36C84"/>
    <w:rsid w:val="00A4102D"/>
    <w:rsid w:val="00A41FFA"/>
    <w:rsid w:val="00A4261E"/>
    <w:rsid w:val="00A42AF0"/>
    <w:rsid w:val="00A42DE9"/>
    <w:rsid w:val="00A43040"/>
    <w:rsid w:val="00A4308B"/>
    <w:rsid w:val="00A43491"/>
    <w:rsid w:val="00A43E13"/>
    <w:rsid w:val="00A4442A"/>
    <w:rsid w:val="00A45461"/>
    <w:rsid w:val="00A45F8F"/>
    <w:rsid w:val="00A46AD7"/>
    <w:rsid w:val="00A471D8"/>
    <w:rsid w:val="00A50450"/>
    <w:rsid w:val="00A5084D"/>
    <w:rsid w:val="00A50D0D"/>
    <w:rsid w:val="00A51974"/>
    <w:rsid w:val="00A5212B"/>
    <w:rsid w:val="00A5225D"/>
    <w:rsid w:val="00A52A91"/>
    <w:rsid w:val="00A53AD7"/>
    <w:rsid w:val="00A53B0E"/>
    <w:rsid w:val="00A54513"/>
    <w:rsid w:val="00A54B16"/>
    <w:rsid w:val="00A55145"/>
    <w:rsid w:val="00A5565C"/>
    <w:rsid w:val="00A55B1D"/>
    <w:rsid w:val="00A55EFB"/>
    <w:rsid w:val="00A5604A"/>
    <w:rsid w:val="00A5729F"/>
    <w:rsid w:val="00A5768E"/>
    <w:rsid w:val="00A57C44"/>
    <w:rsid w:val="00A60071"/>
    <w:rsid w:val="00A605A7"/>
    <w:rsid w:val="00A60670"/>
    <w:rsid w:val="00A60E2D"/>
    <w:rsid w:val="00A6101C"/>
    <w:rsid w:val="00A61514"/>
    <w:rsid w:val="00A6221A"/>
    <w:rsid w:val="00A6297A"/>
    <w:rsid w:val="00A6319E"/>
    <w:rsid w:val="00A63A00"/>
    <w:rsid w:val="00A6403A"/>
    <w:rsid w:val="00A64F79"/>
    <w:rsid w:val="00A6517E"/>
    <w:rsid w:val="00A65A4E"/>
    <w:rsid w:val="00A65C1F"/>
    <w:rsid w:val="00A666B7"/>
    <w:rsid w:val="00A674A7"/>
    <w:rsid w:val="00A676E8"/>
    <w:rsid w:val="00A7047B"/>
    <w:rsid w:val="00A70ECC"/>
    <w:rsid w:val="00A717BA"/>
    <w:rsid w:val="00A71829"/>
    <w:rsid w:val="00A71A46"/>
    <w:rsid w:val="00A72991"/>
    <w:rsid w:val="00A72CAD"/>
    <w:rsid w:val="00A73D7C"/>
    <w:rsid w:val="00A754BA"/>
    <w:rsid w:val="00A7603E"/>
    <w:rsid w:val="00A7667D"/>
    <w:rsid w:val="00A77866"/>
    <w:rsid w:val="00A779F7"/>
    <w:rsid w:val="00A77ADB"/>
    <w:rsid w:val="00A809CD"/>
    <w:rsid w:val="00A80BDD"/>
    <w:rsid w:val="00A82581"/>
    <w:rsid w:val="00A83EEB"/>
    <w:rsid w:val="00A83F52"/>
    <w:rsid w:val="00A8429A"/>
    <w:rsid w:val="00A84B08"/>
    <w:rsid w:val="00A84D8A"/>
    <w:rsid w:val="00A85F1A"/>
    <w:rsid w:val="00A862A4"/>
    <w:rsid w:val="00A8644F"/>
    <w:rsid w:val="00A90714"/>
    <w:rsid w:val="00A90B5C"/>
    <w:rsid w:val="00A911B3"/>
    <w:rsid w:val="00A91A9B"/>
    <w:rsid w:val="00A91D12"/>
    <w:rsid w:val="00A91F0E"/>
    <w:rsid w:val="00A91F47"/>
    <w:rsid w:val="00A9228C"/>
    <w:rsid w:val="00A92563"/>
    <w:rsid w:val="00A93D33"/>
    <w:rsid w:val="00A94073"/>
    <w:rsid w:val="00A94222"/>
    <w:rsid w:val="00A94330"/>
    <w:rsid w:val="00A95910"/>
    <w:rsid w:val="00A962B2"/>
    <w:rsid w:val="00A966F7"/>
    <w:rsid w:val="00A96D92"/>
    <w:rsid w:val="00A970CA"/>
    <w:rsid w:val="00A9745B"/>
    <w:rsid w:val="00A97978"/>
    <w:rsid w:val="00A97D74"/>
    <w:rsid w:val="00AA16B0"/>
    <w:rsid w:val="00AA196C"/>
    <w:rsid w:val="00AA1D96"/>
    <w:rsid w:val="00AA20EA"/>
    <w:rsid w:val="00AA27C6"/>
    <w:rsid w:val="00AA2D5B"/>
    <w:rsid w:val="00AA2E86"/>
    <w:rsid w:val="00AA2EA4"/>
    <w:rsid w:val="00AA2EF3"/>
    <w:rsid w:val="00AA36CB"/>
    <w:rsid w:val="00AA3AC3"/>
    <w:rsid w:val="00AA3CBB"/>
    <w:rsid w:val="00AA3D42"/>
    <w:rsid w:val="00AA4315"/>
    <w:rsid w:val="00AA4EDF"/>
    <w:rsid w:val="00AA5347"/>
    <w:rsid w:val="00AA58AF"/>
    <w:rsid w:val="00AA5C38"/>
    <w:rsid w:val="00AA6398"/>
    <w:rsid w:val="00AA6A0C"/>
    <w:rsid w:val="00AA7EA4"/>
    <w:rsid w:val="00AA7F4E"/>
    <w:rsid w:val="00AB1462"/>
    <w:rsid w:val="00AB17C8"/>
    <w:rsid w:val="00AB1E9A"/>
    <w:rsid w:val="00AB33CF"/>
    <w:rsid w:val="00AB3FCF"/>
    <w:rsid w:val="00AB44F6"/>
    <w:rsid w:val="00AB47F8"/>
    <w:rsid w:val="00AB4897"/>
    <w:rsid w:val="00AB633B"/>
    <w:rsid w:val="00AB661A"/>
    <w:rsid w:val="00AB6AB1"/>
    <w:rsid w:val="00AB7171"/>
    <w:rsid w:val="00AC0853"/>
    <w:rsid w:val="00AC1262"/>
    <w:rsid w:val="00AC1C1D"/>
    <w:rsid w:val="00AC2097"/>
    <w:rsid w:val="00AC2CFB"/>
    <w:rsid w:val="00AC34ED"/>
    <w:rsid w:val="00AC3625"/>
    <w:rsid w:val="00AC368C"/>
    <w:rsid w:val="00AC3F03"/>
    <w:rsid w:val="00AC4FB3"/>
    <w:rsid w:val="00AC583A"/>
    <w:rsid w:val="00AC5BBF"/>
    <w:rsid w:val="00AC7723"/>
    <w:rsid w:val="00AC7862"/>
    <w:rsid w:val="00AD1347"/>
    <w:rsid w:val="00AD1BEE"/>
    <w:rsid w:val="00AD1D44"/>
    <w:rsid w:val="00AD3CD2"/>
    <w:rsid w:val="00AD40F1"/>
    <w:rsid w:val="00AD4E10"/>
    <w:rsid w:val="00AD5785"/>
    <w:rsid w:val="00AD7DB0"/>
    <w:rsid w:val="00AE0C66"/>
    <w:rsid w:val="00AE0FBD"/>
    <w:rsid w:val="00AE1677"/>
    <w:rsid w:val="00AE1827"/>
    <w:rsid w:val="00AE1D1D"/>
    <w:rsid w:val="00AE1F33"/>
    <w:rsid w:val="00AE215F"/>
    <w:rsid w:val="00AE2577"/>
    <w:rsid w:val="00AE2EED"/>
    <w:rsid w:val="00AE384E"/>
    <w:rsid w:val="00AE4686"/>
    <w:rsid w:val="00AE47C5"/>
    <w:rsid w:val="00AE5484"/>
    <w:rsid w:val="00AE5925"/>
    <w:rsid w:val="00AE5D9F"/>
    <w:rsid w:val="00AE6061"/>
    <w:rsid w:val="00AE6269"/>
    <w:rsid w:val="00AF0223"/>
    <w:rsid w:val="00AF0284"/>
    <w:rsid w:val="00AF26BC"/>
    <w:rsid w:val="00AF3234"/>
    <w:rsid w:val="00AF45B3"/>
    <w:rsid w:val="00AF4829"/>
    <w:rsid w:val="00AF5B66"/>
    <w:rsid w:val="00AF6CD3"/>
    <w:rsid w:val="00AF74C2"/>
    <w:rsid w:val="00AF761D"/>
    <w:rsid w:val="00AF7A2E"/>
    <w:rsid w:val="00AF7B97"/>
    <w:rsid w:val="00B003FD"/>
    <w:rsid w:val="00B00BDC"/>
    <w:rsid w:val="00B01067"/>
    <w:rsid w:val="00B018A2"/>
    <w:rsid w:val="00B01A9F"/>
    <w:rsid w:val="00B01B14"/>
    <w:rsid w:val="00B01BD8"/>
    <w:rsid w:val="00B01CA9"/>
    <w:rsid w:val="00B023B7"/>
    <w:rsid w:val="00B045BA"/>
    <w:rsid w:val="00B04876"/>
    <w:rsid w:val="00B0532B"/>
    <w:rsid w:val="00B05857"/>
    <w:rsid w:val="00B05E82"/>
    <w:rsid w:val="00B05F12"/>
    <w:rsid w:val="00B076F9"/>
    <w:rsid w:val="00B07832"/>
    <w:rsid w:val="00B07D1C"/>
    <w:rsid w:val="00B07FE0"/>
    <w:rsid w:val="00B103D3"/>
    <w:rsid w:val="00B1070F"/>
    <w:rsid w:val="00B10B0E"/>
    <w:rsid w:val="00B114F4"/>
    <w:rsid w:val="00B11A39"/>
    <w:rsid w:val="00B11B5D"/>
    <w:rsid w:val="00B11C31"/>
    <w:rsid w:val="00B140C9"/>
    <w:rsid w:val="00B1427F"/>
    <w:rsid w:val="00B14486"/>
    <w:rsid w:val="00B14518"/>
    <w:rsid w:val="00B14581"/>
    <w:rsid w:val="00B15834"/>
    <w:rsid w:val="00B15C5A"/>
    <w:rsid w:val="00B1600E"/>
    <w:rsid w:val="00B164BC"/>
    <w:rsid w:val="00B16528"/>
    <w:rsid w:val="00B16572"/>
    <w:rsid w:val="00B1663F"/>
    <w:rsid w:val="00B16B8E"/>
    <w:rsid w:val="00B17195"/>
    <w:rsid w:val="00B17A69"/>
    <w:rsid w:val="00B17B2F"/>
    <w:rsid w:val="00B20218"/>
    <w:rsid w:val="00B2086F"/>
    <w:rsid w:val="00B20BD5"/>
    <w:rsid w:val="00B216E0"/>
    <w:rsid w:val="00B21A66"/>
    <w:rsid w:val="00B21FB3"/>
    <w:rsid w:val="00B22430"/>
    <w:rsid w:val="00B22481"/>
    <w:rsid w:val="00B23FB1"/>
    <w:rsid w:val="00B244EE"/>
    <w:rsid w:val="00B2467D"/>
    <w:rsid w:val="00B24914"/>
    <w:rsid w:val="00B26136"/>
    <w:rsid w:val="00B26518"/>
    <w:rsid w:val="00B26901"/>
    <w:rsid w:val="00B27A2D"/>
    <w:rsid w:val="00B30B94"/>
    <w:rsid w:val="00B31E21"/>
    <w:rsid w:val="00B32784"/>
    <w:rsid w:val="00B33640"/>
    <w:rsid w:val="00B34432"/>
    <w:rsid w:val="00B34767"/>
    <w:rsid w:val="00B34FF4"/>
    <w:rsid w:val="00B363D8"/>
    <w:rsid w:val="00B402B2"/>
    <w:rsid w:val="00B406DB"/>
    <w:rsid w:val="00B4131F"/>
    <w:rsid w:val="00B4136C"/>
    <w:rsid w:val="00B41D06"/>
    <w:rsid w:val="00B43CB9"/>
    <w:rsid w:val="00B44693"/>
    <w:rsid w:val="00B449FF"/>
    <w:rsid w:val="00B44C0A"/>
    <w:rsid w:val="00B4578C"/>
    <w:rsid w:val="00B460DC"/>
    <w:rsid w:val="00B463B8"/>
    <w:rsid w:val="00B466C6"/>
    <w:rsid w:val="00B46DD4"/>
    <w:rsid w:val="00B47A4F"/>
    <w:rsid w:val="00B47B85"/>
    <w:rsid w:val="00B50446"/>
    <w:rsid w:val="00B51035"/>
    <w:rsid w:val="00B5124B"/>
    <w:rsid w:val="00B517B4"/>
    <w:rsid w:val="00B51856"/>
    <w:rsid w:val="00B52838"/>
    <w:rsid w:val="00B52D81"/>
    <w:rsid w:val="00B536FC"/>
    <w:rsid w:val="00B53E6D"/>
    <w:rsid w:val="00B54834"/>
    <w:rsid w:val="00B55646"/>
    <w:rsid w:val="00B5613B"/>
    <w:rsid w:val="00B56D44"/>
    <w:rsid w:val="00B57428"/>
    <w:rsid w:val="00B5771A"/>
    <w:rsid w:val="00B57DD0"/>
    <w:rsid w:val="00B61A02"/>
    <w:rsid w:val="00B6291E"/>
    <w:rsid w:val="00B62BC5"/>
    <w:rsid w:val="00B62E28"/>
    <w:rsid w:val="00B63433"/>
    <w:rsid w:val="00B634B4"/>
    <w:rsid w:val="00B63E7E"/>
    <w:rsid w:val="00B64CA4"/>
    <w:rsid w:val="00B652B1"/>
    <w:rsid w:val="00B663B4"/>
    <w:rsid w:val="00B66506"/>
    <w:rsid w:val="00B666E5"/>
    <w:rsid w:val="00B669E0"/>
    <w:rsid w:val="00B672EC"/>
    <w:rsid w:val="00B67CFD"/>
    <w:rsid w:val="00B704C1"/>
    <w:rsid w:val="00B70540"/>
    <w:rsid w:val="00B711B8"/>
    <w:rsid w:val="00B711DF"/>
    <w:rsid w:val="00B7178C"/>
    <w:rsid w:val="00B71F27"/>
    <w:rsid w:val="00B72154"/>
    <w:rsid w:val="00B7241E"/>
    <w:rsid w:val="00B72DC8"/>
    <w:rsid w:val="00B7331C"/>
    <w:rsid w:val="00B737DA"/>
    <w:rsid w:val="00B73A5E"/>
    <w:rsid w:val="00B7607A"/>
    <w:rsid w:val="00B7610E"/>
    <w:rsid w:val="00B762D6"/>
    <w:rsid w:val="00B767A4"/>
    <w:rsid w:val="00B77C07"/>
    <w:rsid w:val="00B77D72"/>
    <w:rsid w:val="00B77F5D"/>
    <w:rsid w:val="00B80FE2"/>
    <w:rsid w:val="00B8114F"/>
    <w:rsid w:val="00B81187"/>
    <w:rsid w:val="00B82FAF"/>
    <w:rsid w:val="00B83768"/>
    <w:rsid w:val="00B840DA"/>
    <w:rsid w:val="00B8424C"/>
    <w:rsid w:val="00B8488F"/>
    <w:rsid w:val="00B84CB0"/>
    <w:rsid w:val="00B84F26"/>
    <w:rsid w:val="00B854E7"/>
    <w:rsid w:val="00B85A8F"/>
    <w:rsid w:val="00B8618D"/>
    <w:rsid w:val="00B86AFB"/>
    <w:rsid w:val="00B86B5D"/>
    <w:rsid w:val="00B86B9F"/>
    <w:rsid w:val="00B87196"/>
    <w:rsid w:val="00B87717"/>
    <w:rsid w:val="00B87D72"/>
    <w:rsid w:val="00B9023A"/>
    <w:rsid w:val="00B9079E"/>
    <w:rsid w:val="00B90C8B"/>
    <w:rsid w:val="00B92454"/>
    <w:rsid w:val="00B93650"/>
    <w:rsid w:val="00B949DC"/>
    <w:rsid w:val="00B94E90"/>
    <w:rsid w:val="00B94F8D"/>
    <w:rsid w:val="00B950DE"/>
    <w:rsid w:val="00B95122"/>
    <w:rsid w:val="00B951F6"/>
    <w:rsid w:val="00B9578B"/>
    <w:rsid w:val="00B9676C"/>
    <w:rsid w:val="00B96978"/>
    <w:rsid w:val="00B96A40"/>
    <w:rsid w:val="00B978B3"/>
    <w:rsid w:val="00B97F5C"/>
    <w:rsid w:val="00BA037D"/>
    <w:rsid w:val="00BA20CF"/>
    <w:rsid w:val="00BA394E"/>
    <w:rsid w:val="00BA396D"/>
    <w:rsid w:val="00BA4D32"/>
    <w:rsid w:val="00BA5367"/>
    <w:rsid w:val="00BA5808"/>
    <w:rsid w:val="00BA652D"/>
    <w:rsid w:val="00BA696E"/>
    <w:rsid w:val="00BA7475"/>
    <w:rsid w:val="00BA7698"/>
    <w:rsid w:val="00BA7C95"/>
    <w:rsid w:val="00BB01BE"/>
    <w:rsid w:val="00BB0656"/>
    <w:rsid w:val="00BB099E"/>
    <w:rsid w:val="00BB0D7C"/>
    <w:rsid w:val="00BB1B00"/>
    <w:rsid w:val="00BB2E8A"/>
    <w:rsid w:val="00BB3822"/>
    <w:rsid w:val="00BB383F"/>
    <w:rsid w:val="00BB4204"/>
    <w:rsid w:val="00BB45D8"/>
    <w:rsid w:val="00BB47D4"/>
    <w:rsid w:val="00BB4A43"/>
    <w:rsid w:val="00BB5C08"/>
    <w:rsid w:val="00BB5E59"/>
    <w:rsid w:val="00BC0F61"/>
    <w:rsid w:val="00BC127D"/>
    <w:rsid w:val="00BC18E2"/>
    <w:rsid w:val="00BC29DA"/>
    <w:rsid w:val="00BC327D"/>
    <w:rsid w:val="00BC3917"/>
    <w:rsid w:val="00BC440D"/>
    <w:rsid w:val="00BC466C"/>
    <w:rsid w:val="00BC4E1E"/>
    <w:rsid w:val="00BC5FE5"/>
    <w:rsid w:val="00BC72C9"/>
    <w:rsid w:val="00BC7BD7"/>
    <w:rsid w:val="00BC7DA9"/>
    <w:rsid w:val="00BC7F94"/>
    <w:rsid w:val="00BD0F13"/>
    <w:rsid w:val="00BD1F5A"/>
    <w:rsid w:val="00BD306E"/>
    <w:rsid w:val="00BD32BA"/>
    <w:rsid w:val="00BD3519"/>
    <w:rsid w:val="00BD3644"/>
    <w:rsid w:val="00BD3709"/>
    <w:rsid w:val="00BD3D6A"/>
    <w:rsid w:val="00BD4ED4"/>
    <w:rsid w:val="00BD6173"/>
    <w:rsid w:val="00BD6AF0"/>
    <w:rsid w:val="00BD776B"/>
    <w:rsid w:val="00BD778F"/>
    <w:rsid w:val="00BD7893"/>
    <w:rsid w:val="00BD7C31"/>
    <w:rsid w:val="00BD7D7D"/>
    <w:rsid w:val="00BE02CB"/>
    <w:rsid w:val="00BE0F8E"/>
    <w:rsid w:val="00BE1984"/>
    <w:rsid w:val="00BE1989"/>
    <w:rsid w:val="00BE1C47"/>
    <w:rsid w:val="00BE1DBC"/>
    <w:rsid w:val="00BE27FC"/>
    <w:rsid w:val="00BE2A8D"/>
    <w:rsid w:val="00BE3723"/>
    <w:rsid w:val="00BE436B"/>
    <w:rsid w:val="00BE4810"/>
    <w:rsid w:val="00BE4DBB"/>
    <w:rsid w:val="00BE5B3D"/>
    <w:rsid w:val="00BE5F8E"/>
    <w:rsid w:val="00BE6597"/>
    <w:rsid w:val="00BE6840"/>
    <w:rsid w:val="00BE6D58"/>
    <w:rsid w:val="00BE6F3A"/>
    <w:rsid w:val="00BF0117"/>
    <w:rsid w:val="00BF01CE"/>
    <w:rsid w:val="00BF03F3"/>
    <w:rsid w:val="00BF0610"/>
    <w:rsid w:val="00BF144D"/>
    <w:rsid w:val="00BF1B7F"/>
    <w:rsid w:val="00BF2FD9"/>
    <w:rsid w:val="00BF3F83"/>
    <w:rsid w:val="00BF44FF"/>
    <w:rsid w:val="00BF4811"/>
    <w:rsid w:val="00BF5045"/>
    <w:rsid w:val="00BF54CF"/>
    <w:rsid w:val="00BF54D1"/>
    <w:rsid w:val="00BF5C34"/>
    <w:rsid w:val="00BF5D6C"/>
    <w:rsid w:val="00BF6243"/>
    <w:rsid w:val="00BF68A9"/>
    <w:rsid w:val="00BF717F"/>
    <w:rsid w:val="00BF7E0B"/>
    <w:rsid w:val="00C001FB"/>
    <w:rsid w:val="00C005AB"/>
    <w:rsid w:val="00C01460"/>
    <w:rsid w:val="00C018DD"/>
    <w:rsid w:val="00C019C6"/>
    <w:rsid w:val="00C025E4"/>
    <w:rsid w:val="00C0269B"/>
    <w:rsid w:val="00C026C6"/>
    <w:rsid w:val="00C02B52"/>
    <w:rsid w:val="00C02CD2"/>
    <w:rsid w:val="00C037B4"/>
    <w:rsid w:val="00C03BCF"/>
    <w:rsid w:val="00C04328"/>
    <w:rsid w:val="00C0485F"/>
    <w:rsid w:val="00C057CF"/>
    <w:rsid w:val="00C05876"/>
    <w:rsid w:val="00C06739"/>
    <w:rsid w:val="00C06BF3"/>
    <w:rsid w:val="00C0710F"/>
    <w:rsid w:val="00C0746E"/>
    <w:rsid w:val="00C07D1B"/>
    <w:rsid w:val="00C10340"/>
    <w:rsid w:val="00C1081B"/>
    <w:rsid w:val="00C10998"/>
    <w:rsid w:val="00C11AE8"/>
    <w:rsid w:val="00C151D1"/>
    <w:rsid w:val="00C15556"/>
    <w:rsid w:val="00C15BA0"/>
    <w:rsid w:val="00C15EDA"/>
    <w:rsid w:val="00C167B8"/>
    <w:rsid w:val="00C16FCE"/>
    <w:rsid w:val="00C1715A"/>
    <w:rsid w:val="00C174A5"/>
    <w:rsid w:val="00C1792D"/>
    <w:rsid w:val="00C214B2"/>
    <w:rsid w:val="00C2162D"/>
    <w:rsid w:val="00C219CA"/>
    <w:rsid w:val="00C238CE"/>
    <w:rsid w:val="00C23C4E"/>
    <w:rsid w:val="00C23DF6"/>
    <w:rsid w:val="00C2447E"/>
    <w:rsid w:val="00C24CBB"/>
    <w:rsid w:val="00C25AEB"/>
    <w:rsid w:val="00C269A5"/>
    <w:rsid w:val="00C26D83"/>
    <w:rsid w:val="00C270AE"/>
    <w:rsid w:val="00C3195D"/>
    <w:rsid w:val="00C31B0B"/>
    <w:rsid w:val="00C32116"/>
    <w:rsid w:val="00C32DA2"/>
    <w:rsid w:val="00C33362"/>
    <w:rsid w:val="00C33CBE"/>
    <w:rsid w:val="00C344B1"/>
    <w:rsid w:val="00C34BC8"/>
    <w:rsid w:val="00C34DC1"/>
    <w:rsid w:val="00C3504B"/>
    <w:rsid w:val="00C353C8"/>
    <w:rsid w:val="00C356EB"/>
    <w:rsid w:val="00C35CF3"/>
    <w:rsid w:val="00C35DF4"/>
    <w:rsid w:val="00C3650D"/>
    <w:rsid w:val="00C36575"/>
    <w:rsid w:val="00C365A6"/>
    <w:rsid w:val="00C368CE"/>
    <w:rsid w:val="00C36E8C"/>
    <w:rsid w:val="00C37543"/>
    <w:rsid w:val="00C37829"/>
    <w:rsid w:val="00C403A6"/>
    <w:rsid w:val="00C403E3"/>
    <w:rsid w:val="00C40BA1"/>
    <w:rsid w:val="00C41230"/>
    <w:rsid w:val="00C41B84"/>
    <w:rsid w:val="00C429B4"/>
    <w:rsid w:val="00C42A9A"/>
    <w:rsid w:val="00C42FC5"/>
    <w:rsid w:val="00C434E5"/>
    <w:rsid w:val="00C43A64"/>
    <w:rsid w:val="00C43EFA"/>
    <w:rsid w:val="00C45FEB"/>
    <w:rsid w:val="00C474ED"/>
    <w:rsid w:val="00C50093"/>
    <w:rsid w:val="00C509A4"/>
    <w:rsid w:val="00C50B64"/>
    <w:rsid w:val="00C50BE2"/>
    <w:rsid w:val="00C51774"/>
    <w:rsid w:val="00C51BB4"/>
    <w:rsid w:val="00C51EF2"/>
    <w:rsid w:val="00C52EFF"/>
    <w:rsid w:val="00C532B2"/>
    <w:rsid w:val="00C53FA2"/>
    <w:rsid w:val="00C54186"/>
    <w:rsid w:val="00C545A8"/>
    <w:rsid w:val="00C5509C"/>
    <w:rsid w:val="00C56297"/>
    <w:rsid w:val="00C56911"/>
    <w:rsid w:val="00C56967"/>
    <w:rsid w:val="00C57439"/>
    <w:rsid w:val="00C6043F"/>
    <w:rsid w:val="00C60B69"/>
    <w:rsid w:val="00C60DB6"/>
    <w:rsid w:val="00C62F28"/>
    <w:rsid w:val="00C632A9"/>
    <w:rsid w:val="00C63613"/>
    <w:rsid w:val="00C63909"/>
    <w:rsid w:val="00C63FAB"/>
    <w:rsid w:val="00C64E15"/>
    <w:rsid w:val="00C64EA5"/>
    <w:rsid w:val="00C6625D"/>
    <w:rsid w:val="00C67246"/>
    <w:rsid w:val="00C67395"/>
    <w:rsid w:val="00C67851"/>
    <w:rsid w:val="00C67956"/>
    <w:rsid w:val="00C67AEB"/>
    <w:rsid w:val="00C70E1E"/>
    <w:rsid w:val="00C70F69"/>
    <w:rsid w:val="00C711EE"/>
    <w:rsid w:val="00C7148C"/>
    <w:rsid w:val="00C7190B"/>
    <w:rsid w:val="00C71B6E"/>
    <w:rsid w:val="00C72083"/>
    <w:rsid w:val="00C72ED4"/>
    <w:rsid w:val="00C733CC"/>
    <w:rsid w:val="00C73C74"/>
    <w:rsid w:val="00C7500E"/>
    <w:rsid w:val="00C762D9"/>
    <w:rsid w:val="00C77869"/>
    <w:rsid w:val="00C77910"/>
    <w:rsid w:val="00C77C87"/>
    <w:rsid w:val="00C804AA"/>
    <w:rsid w:val="00C81307"/>
    <w:rsid w:val="00C81615"/>
    <w:rsid w:val="00C8179A"/>
    <w:rsid w:val="00C82732"/>
    <w:rsid w:val="00C82908"/>
    <w:rsid w:val="00C82C23"/>
    <w:rsid w:val="00C831AF"/>
    <w:rsid w:val="00C8411A"/>
    <w:rsid w:val="00C84A21"/>
    <w:rsid w:val="00C85982"/>
    <w:rsid w:val="00C860B7"/>
    <w:rsid w:val="00C86629"/>
    <w:rsid w:val="00C8727A"/>
    <w:rsid w:val="00C9001C"/>
    <w:rsid w:val="00C9083C"/>
    <w:rsid w:val="00C926F4"/>
    <w:rsid w:val="00C942E8"/>
    <w:rsid w:val="00C94434"/>
    <w:rsid w:val="00C94C75"/>
    <w:rsid w:val="00C94F20"/>
    <w:rsid w:val="00C9522E"/>
    <w:rsid w:val="00C96E3E"/>
    <w:rsid w:val="00C97224"/>
    <w:rsid w:val="00C97734"/>
    <w:rsid w:val="00C97E3D"/>
    <w:rsid w:val="00CA0964"/>
    <w:rsid w:val="00CA1DD6"/>
    <w:rsid w:val="00CA2372"/>
    <w:rsid w:val="00CA2EDC"/>
    <w:rsid w:val="00CA3342"/>
    <w:rsid w:val="00CA396E"/>
    <w:rsid w:val="00CA4244"/>
    <w:rsid w:val="00CA443C"/>
    <w:rsid w:val="00CA4E4F"/>
    <w:rsid w:val="00CA6036"/>
    <w:rsid w:val="00CA6E11"/>
    <w:rsid w:val="00CA74BB"/>
    <w:rsid w:val="00CB0729"/>
    <w:rsid w:val="00CB076D"/>
    <w:rsid w:val="00CB094B"/>
    <w:rsid w:val="00CB18D0"/>
    <w:rsid w:val="00CB1E6D"/>
    <w:rsid w:val="00CB2409"/>
    <w:rsid w:val="00CB3F93"/>
    <w:rsid w:val="00CB4EEE"/>
    <w:rsid w:val="00CB5626"/>
    <w:rsid w:val="00CB5B67"/>
    <w:rsid w:val="00CB61B4"/>
    <w:rsid w:val="00CB7176"/>
    <w:rsid w:val="00CB7371"/>
    <w:rsid w:val="00CB7A7A"/>
    <w:rsid w:val="00CB7AF1"/>
    <w:rsid w:val="00CC04F1"/>
    <w:rsid w:val="00CC18CB"/>
    <w:rsid w:val="00CC1B66"/>
    <w:rsid w:val="00CC24CE"/>
    <w:rsid w:val="00CC2BFD"/>
    <w:rsid w:val="00CC36C8"/>
    <w:rsid w:val="00CC3ADF"/>
    <w:rsid w:val="00CC3FCC"/>
    <w:rsid w:val="00CC4F96"/>
    <w:rsid w:val="00CC52DA"/>
    <w:rsid w:val="00CC69C0"/>
    <w:rsid w:val="00CC6C1C"/>
    <w:rsid w:val="00CC6D47"/>
    <w:rsid w:val="00CC771B"/>
    <w:rsid w:val="00CD0174"/>
    <w:rsid w:val="00CD02CD"/>
    <w:rsid w:val="00CD0C86"/>
    <w:rsid w:val="00CD1000"/>
    <w:rsid w:val="00CD16DC"/>
    <w:rsid w:val="00CD28D0"/>
    <w:rsid w:val="00CD396C"/>
    <w:rsid w:val="00CD39B7"/>
    <w:rsid w:val="00CD3C22"/>
    <w:rsid w:val="00CD419F"/>
    <w:rsid w:val="00CD48D5"/>
    <w:rsid w:val="00CD4F28"/>
    <w:rsid w:val="00CD50C8"/>
    <w:rsid w:val="00CD526F"/>
    <w:rsid w:val="00CD63CD"/>
    <w:rsid w:val="00CD678F"/>
    <w:rsid w:val="00CD692B"/>
    <w:rsid w:val="00CD6EA7"/>
    <w:rsid w:val="00CE040B"/>
    <w:rsid w:val="00CE049F"/>
    <w:rsid w:val="00CE0C1A"/>
    <w:rsid w:val="00CE128F"/>
    <w:rsid w:val="00CE158E"/>
    <w:rsid w:val="00CE21B8"/>
    <w:rsid w:val="00CE38B2"/>
    <w:rsid w:val="00CE3A08"/>
    <w:rsid w:val="00CE420E"/>
    <w:rsid w:val="00CE49EC"/>
    <w:rsid w:val="00CE4D59"/>
    <w:rsid w:val="00CE50A0"/>
    <w:rsid w:val="00CE5FC9"/>
    <w:rsid w:val="00CE66DF"/>
    <w:rsid w:val="00CE6A90"/>
    <w:rsid w:val="00CE7924"/>
    <w:rsid w:val="00CF2826"/>
    <w:rsid w:val="00CF295C"/>
    <w:rsid w:val="00CF2BC5"/>
    <w:rsid w:val="00CF2C41"/>
    <w:rsid w:val="00CF3859"/>
    <w:rsid w:val="00CF4F01"/>
    <w:rsid w:val="00CF571C"/>
    <w:rsid w:val="00D00357"/>
    <w:rsid w:val="00D01BDC"/>
    <w:rsid w:val="00D02466"/>
    <w:rsid w:val="00D0373E"/>
    <w:rsid w:val="00D04131"/>
    <w:rsid w:val="00D04318"/>
    <w:rsid w:val="00D044FA"/>
    <w:rsid w:val="00D04AE2"/>
    <w:rsid w:val="00D051C5"/>
    <w:rsid w:val="00D059EF"/>
    <w:rsid w:val="00D06C04"/>
    <w:rsid w:val="00D06FE8"/>
    <w:rsid w:val="00D07295"/>
    <w:rsid w:val="00D10B7A"/>
    <w:rsid w:val="00D10F2D"/>
    <w:rsid w:val="00D11578"/>
    <w:rsid w:val="00D11788"/>
    <w:rsid w:val="00D117E3"/>
    <w:rsid w:val="00D11DD6"/>
    <w:rsid w:val="00D12689"/>
    <w:rsid w:val="00D12A8B"/>
    <w:rsid w:val="00D12F9A"/>
    <w:rsid w:val="00D130B2"/>
    <w:rsid w:val="00D132D6"/>
    <w:rsid w:val="00D13330"/>
    <w:rsid w:val="00D13B50"/>
    <w:rsid w:val="00D140F6"/>
    <w:rsid w:val="00D153A7"/>
    <w:rsid w:val="00D156AE"/>
    <w:rsid w:val="00D17276"/>
    <w:rsid w:val="00D17328"/>
    <w:rsid w:val="00D17489"/>
    <w:rsid w:val="00D2008F"/>
    <w:rsid w:val="00D21E68"/>
    <w:rsid w:val="00D224C4"/>
    <w:rsid w:val="00D24615"/>
    <w:rsid w:val="00D24983"/>
    <w:rsid w:val="00D25E96"/>
    <w:rsid w:val="00D26126"/>
    <w:rsid w:val="00D26808"/>
    <w:rsid w:val="00D27099"/>
    <w:rsid w:val="00D27DC9"/>
    <w:rsid w:val="00D308B9"/>
    <w:rsid w:val="00D312FD"/>
    <w:rsid w:val="00D31327"/>
    <w:rsid w:val="00D314AD"/>
    <w:rsid w:val="00D325CD"/>
    <w:rsid w:val="00D32CE5"/>
    <w:rsid w:val="00D337E0"/>
    <w:rsid w:val="00D337FD"/>
    <w:rsid w:val="00D33CA7"/>
    <w:rsid w:val="00D342BE"/>
    <w:rsid w:val="00D358B5"/>
    <w:rsid w:val="00D36EFE"/>
    <w:rsid w:val="00D37214"/>
    <w:rsid w:val="00D37D99"/>
    <w:rsid w:val="00D37E6B"/>
    <w:rsid w:val="00D40BAF"/>
    <w:rsid w:val="00D41537"/>
    <w:rsid w:val="00D41890"/>
    <w:rsid w:val="00D42996"/>
    <w:rsid w:val="00D42A28"/>
    <w:rsid w:val="00D43805"/>
    <w:rsid w:val="00D4439E"/>
    <w:rsid w:val="00D45070"/>
    <w:rsid w:val="00D45186"/>
    <w:rsid w:val="00D452D7"/>
    <w:rsid w:val="00D45BB7"/>
    <w:rsid w:val="00D4647C"/>
    <w:rsid w:val="00D467F7"/>
    <w:rsid w:val="00D46C8D"/>
    <w:rsid w:val="00D4725B"/>
    <w:rsid w:val="00D47EAA"/>
    <w:rsid w:val="00D50394"/>
    <w:rsid w:val="00D5064A"/>
    <w:rsid w:val="00D509A4"/>
    <w:rsid w:val="00D50D0F"/>
    <w:rsid w:val="00D50FA9"/>
    <w:rsid w:val="00D515FC"/>
    <w:rsid w:val="00D51C47"/>
    <w:rsid w:val="00D52AD8"/>
    <w:rsid w:val="00D5406E"/>
    <w:rsid w:val="00D54B4B"/>
    <w:rsid w:val="00D5536B"/>
    <w:rsid w:val="00D55888"/>
    <w:rsid w:val="00D558FA"/>
    <w:rsid w:val="00D56E57"/>
    <w:rsid w:val="00D570FC"/>
    <w:rsid w:val="00D57A87"/>
    <w:rsid w:val="00D57EF9"/>
    <w:rsid w:val="00D6028C"/>
    <w:rsid w:val="00D608CE"/>
    <w:rsid w:val="00D620AD"/>
    <w:rsid w:val="00D62626"/>
    <w:rsid w:val="00D627E8"/>
    <w:rsid w:val="00D632A0"/>
    <w:rsid w:val="00D632E5"/>
    <w:rsid w:val="00D63826"/>
    <w:rsid w:val="00D6432F"/>
    <w:rsid w:val="00D64AB4"/>
    <w:rsid w:val="00D6587F"/>
    <w:rsid w:val="00D65CE3"/>
    <w:rsid w:val="00D66010"/>
    <w:rsid w:val="00D671C6"/>
    <w:rsid w:val="00D67A7A"/>
    <w:rsid w:val="00D67BC4"/>
    <w:rsid w:val="00D67C5B"/>
    <w:rsid w:val="00D70009"/>
    <w:rsid w:val="00D70CD3"/>
    <w:rsid w:val="00D70E62"/>
    <w:rsid w:val="00D7166F"/>
    <w:rsid w:val="00D72CCB"/>
    <w:rsid w:val="00D72DDA"/>
    <w:rsid w:val="00D73C22"/>
    <w:rsid w:val="00D7469B"/>
    <w:rsid w:val="00D748C9"/>
    <w:rsid w:val="00D75099"/>
    <w:rsid w:val="00D76288"/>
    <w:rsid w:val="00D77271"/>
    <w:rsid w:val="00D77C7B"/>
    <w:rsid w:val="00D81C94"/>
    <w:rsid w:val="00D8236B"/>
    <w:rsid w:val="00D82D2B"/>
    <w:rsid w:val="00D83000"/>
    <w:rsid w:val="00D8348F"/>
    <w:rsid w:val="00D83B64"/>
    <w:rsid w:val="00D84841"/>
    <w:rsid w:val="00D85A67"/>
    <w:rsid w:val="00D85C71"/>
    <w:rsid w:val="00D85D57"/>
    <w:rsid w:val="00D867DC"/>
    <w:rsid w:val="00D90E45"/>
    <w:rsid w:val="00D91273"/>
    <w:rsid w:val="00D91504"/>
    <w:rsid w:val="00D91722"/>
    <w:rsid w:val="00D9232E"/>
    <w:rsid w:val="00D9280A"/>
    <w:rsid w:val="00D929C0"/>
    <w:rsid w:val="00D93648"/>
    <w:rsid w:val="00D948F3"/>
    <w:rsid w:val="00D94C87"/>
    <w:rsid w:val="00D94F3B"/>
    <w:rsid w:val="00D951B0"/>
    <w:rsid w:val="00D95EC3"/>
    <w:rsid w:val="00D972D1"/>
    <w:rsid w:val="00D9736A"/>
    <w:rsid w:val="00D976E7"/>
    <w:rsid w:val="00DA27AA"/>
    <w:rsid w:val="00DA28D1"/>
    <w:rsid w:val="00DA2C1B"/>
    <w:rsid w:val="00DA35A2"/>
    <w:rsid w:val="00DA595F"/>
    <w:rsid w:val="00DA59C2"/>
    <w:rsid w:val="00DA6DD3"/>
    <w:rsid w:val="00DB045D"/>
    <w:rsid w:val="00DB0A9D"/>
    <w:rsid w:val="00DB0BD2"/>
    <w:rsid w:val="00DB0E90"/>
    <w:rsid w:val="00DB1F9F"/>
    <w:rsid w:val="00DB1FD4"/>
    <w:rsid w:val="00DB2638"/>
    <w:rsid w:val="00DB290A"/>
    <w:rsid w:val="00DB35F7"/>
    <w:rsid w:val="00DB3809"/>
    <w:rsid w:val="00DB3B00"/>
    <w:rsid w:val="00DB3B20"/>
    <w:rsid w:val="00DB51FE"/>
    <w:rsid w:val="00DB55E1"/>
    <w:rsid w:val="00DB6A8C"/>
    <w:rsid w:val="00DB6B17"/>
    <w:rsid w:val="00DB7496"/>
    <w:rsid w:val="00DC028B"/>
    <w:rsid w:val="00DC36F1"/>
    <w:rsid w:val="00DC3D8E"/>
    <w:rsid w:val="00DC4106"/>
    <w:rsid w:val="00DC4AA5"/>
    <w:rsid w:val="00DC4F21"/>
    <w:rsid w:val="00DC4F68"/>
    <w:rsid w:val="00DC529B"/>
    <w:rsid w:val="00DC56DC"/>
    <w:rsid w:val="00DC5CC9"/>
    <w:rsid w:val="00DC6038"/>
    <w:rsid w:val="00DC6224"/>
    <w:rsid w:val="00DC68A4"/>
    <w:rsid w:val="00DC71E4"/>
    <w:rsid w:val="00DC7478"/>
    <w:rsid w:val="00DC7D53"/>
    <w:rsid w:val="00DD00E2"/>
    <w:rsid w:val="00DD02B1"/>
    <w:rsid w:val="00DD0CEE"/>
    <w:rsid w:val="00DD0E59"/>
    <w:rsid w:val="00DD1406"/>
    <w:rsid w:val="00DD1639"/>
    <w:rsid w:val="00DD1E78"/>
    <w:rsid w:val="00DD2EC6"/>
    <w:rsid w:val="00DD3F22"/>
    <w:rsid w:val="00DD4251"/>
    <w:rsid w:val="00DD4D58"/>
    <w:rsid w:val="00DD6971"/>
    <w:rsid w:val="00DD79F9"/>
    <w:rsid w:val="00DE1113"/>
    <w:rsid w:val="00DE13C9"/>
    <w:rsid w:val="00DE187A"/>
    <w:rsid w:val="00DE2B2B"/>
    <w:rsid w:val="00DE366B"/>
    <w:rsid w:val="00DE4A1B"/>
    <w:rsid w:val="00DE4AE2"/>
    <w:rsid w:val="00DE4F23"/>
    <w:rsid w:val="00DE66C6"/>
    <w:rsid w:val="00DE6A64"/>
    <w:rsid w:val="00DE7128"/>
    <w:rsid w:val="00DE7ED7"/>
    <w:rsid w:val="00DF1CAE"/>
    <w:rsid w:val="00DF1E54"/>
    <w:rsid w:val="00DF2929"/>
    <w:rsid w:val="00DF2D6C"/>
    <w:rsid w:val="00DF3D78"/>
    <w:rsid w:val="00DF446E"/>
    <w:rsid w:val="00DF44D9"/>
    <w:rsid w:val="00DF4DAA"/>
    <w:rsid w:val="00DF521A"/>
    <w:rsid w:val="00DF5493"/>
    <w:rsid w:val="00DF5CF8"/>
    <w:rsid w:val="00DF5EBC"/>
    <w:rsid w:val="00DF6072"/>
    <w:rsid w:val="00DF6CF8"/>
    <w:rsid w:val="00DF77BA"/>
    <w:rsid w:val="00DF7974"/>
    <w:rsid w:val="00DF79C4"/>
    <w:rsid w:val="00E00034"/>
    <w:rsid w:val="00E00718"/>
    <w:rsid w:val="00E012D3"/>
    <w:rsid w:val="00E017DF"/>
    <w:rsid w:val="00E02A80"/>
    <w:rsid w:val="00E02C1F"/>
    <w:rsid w:val="00E0329D"/>
    <w:rsid w:val="00E034A8"/>
    <w:rsid w:val="00E03FCC"/>
    <w:rsid w:val="00E04495"/>
    <w:rsid w:val="00E04518"/>
    <w:rsid w:val="00E0495D"/>
    <w:rsid w:val="00E04CC2"/>
    <w:rsid w:val="00E0589E"/>
    <w:rsid w:val="00E0615F"/>
    <w:rsid w:val="00E06684"/>
    <w:rsid w:val="00E07435"/>
    <w:rsid w:val="00E1065D"/>
    <w:rsid w:val="00E110FF"/>
    <w:rsid w:val="00E11349"/>
    <w:rsid w:val="00E1164E"/>
    <w:rsid w:val="00E128AC"/>
    <w:rsid w:val="00E12ACD"/>
    <w:rsid w:val="00E131C2"/>
    <w:rsid w:val="00E13977"/>
    <w:rsid w:val="00E1448D"/>
    <w:rsid w:val="00E148F7"/>
    <w:rsid w:val="00E14992"/>
    <w:rsid w:val="00E15C97"/>
    <w:rsid w:val="00E15E88"/>
    <w:rsid w:val="00E16576"/>
    <w:rsid w:val="00E16616"/>
    <w:rsid w:val="00E1683E"/>
    <w:rsid w:val="00E2027B"/>
    <w:rsid w:val="00E21517"/>
    <w:rsid w:val="00E219A0"/>
    <w:rsid w:val="00E21E72"/>
    <w:rsid w:val="00E222F1"/>
    <w:rsid w:val="00E22D35"/>
    <w:rsid w:val="00E23698"/>
    <w:rsid w:val="00E24875"/>
    <w:rsid w:val="00E24D5F"/>
    <w:rsid w:val="00E25784"/>
    <w:rsid w:val="00E264CF"/>
    <w:rsid w:val="00E270D4"/>
    <w:rsid w:val="00E2716E"/>
    <w:rsid w:val="00E27354"/>
    <w:rsid w:val="00E27917"/>
    <w:rsid w:val="00E31B8C"/>
    <w:rsid w:val="00E322E1"/>
    <w:rsid w:val="00E324F9"/>
    <w:rsid w:val="00E329AF"/>
    <w:rsid w:val="00E32B47"/>
    <w:rsid w:val="00E33AED"/>
    <w:rsid w:val="00E351A4"/>
    <w:rsid w:val="00E373EB"/>
    <w:rsid w:val="00E377DB"/>
    <w:rsid w:val="00E37C7E"/>
    <w:rsid w:val="00E37E88"/>
    <w:rsid w:val="00E37FC5"/>
    <w:rsid w:val="00E405F3"/>
    <w:rsid w:val="00E40B3E"/>
    <w:rsid w:val="00E41340"/>
    <w:rsid w:val="00E416BE"/>
    <w:rsid w:val="00E41D9C"/>
    <w:rsid w:val="00E42398"/>
    <w:rsid w:val="00E42416"/>
    <w:rsid w:val="00E4277F"/>
    <w:rsid w:val="00E43C55"/>
    <w:rsid w:val="00E44CEF"/>
    <w:rsid w:val="00E44CF0"/>
    <w:rsid w:val="00E46067"/>
    <w:rsid w:val="00E468DC"/>
    <w:rsid w:val="00E46FB5"/>
    <w:rsid w:val="00E4734A"/>
    <w:rsid w:val="00E4753D"/>
    <w:rsid w:val="00E476F2"/>
    <w:rsid w:val="00E47A2F"/>
    <w:rsid w:val="00E47FB7"/>
    <w:rsid w:val="00E51921"/>
    <w:rsid w:val="00E51BFE"/>
    <w:rsid w:val="00E52073"/>
    <w:rsid w:val="00E52C51"/>
    <w:rsid w:val="00E52CDB"/>
    <w:rsid w:val="00E53586"/>
    <w:rsid w:val="00E53644"/>
    <w:rsid w:val="00E53733"/>
    <w:rsid w:val="00E53F3C"/>
    <w:rsid w:val="00E541F0"/>
    <w:rsid w:val="00E542A9"/>
    <w:rsid w:val="00E542B2"/>
    <w:rsid w:val="00E54A17"/>
    <w:rsid w:val="00E564F5"/>
    <w:rsid w:val="00E56CEB"/>
    <w:rsid w:val="00E5776A"/>
    <w:rsid w:val="00E57E7B"/>
    <w:rsid w:val="00E60693"/>
    <w:rsid w:val="00E606DC"/>
    <w:rsid w:val="00E60E06"/>
    <w:rsid w:val="00E60EE4"/>
    <w:rsid w:val="00E61EEB"/>
    <w:rsid w:val="00E61FBC"/>
    <w:rsid w:val="00E62560"/>
    <w:rsid w:val="00E62D0C"/>
    <w:rsid w:val="00E634D2"/>
    <w:rsid w:val="00E63A8F"/>
    <w:rsid w:val="00E64D7D"/>
    <w:rsid w:val="00E65300"/>
    <w:rsid w:val="00E66664"/>
    <w:rsid w:val="00E66B15"/>
    <w:rsid w:val="00E66DFA"/>
    <w:rsid w:val="00E6703A"/>
    <w:rsid w:val="00E6773F"/>
    <w:rsid w:val="00E70FA2"/>
    <w:rsid w:val="00E71EC1"/>
    <w:rsid w:val="00E725D0"/>
    <w:rsid w:val="00E728F9"/>
    <w:rsid w:val="00E73238"/>
    <w:rsid w:val="00E7378E"/>
    <w:rsid w:val="00E73AEE"/>
    <w:rsid w:val="00E73DB5"/>
    <w:rsid w:val="00E740ED"/>
    <w:rsid w:val="00E766BF"/>
    <w:rsid w:val="00E77123"/>
    <w:rsid w:val="00E77CE2"/>
    <w:rsid w:val="00E819C0"/>
    <w:rsid w:val="00E81B73"/>
    <w:rsid w:val="00E81E9B"/>
    <w:rsid w:val="00E82472"/>
    <w:rsid w:val="00E82F05"/>
    <w:rsid w:val="00E838F7"/>
    <w:rsid w:val="00E8464F"/>
    <w:rsid w:val="00E84B10"/>
    <w:rsid w:val="00E851EB"/>
    <w:rsid w:val="00E85324"/>
    <w:rsid w:val="00E85CA3"/>
    <w:rsid w:val="00E902C9"/>
    <w:rsid w:val="00E907D3"/>
    <w:rsid w:val="00E91E6B"/>
    <w:rsid w:val="00E923D6"/>
    <w:rsid w:val="00E9373A"/>
    <w:rsid w:val="00E93DBD"/>
    <w:rsid w:val="00E945D5"/>
    <w:rsid w:val="00E94A1E"/>
    <w:rsid w:val="00E94ADD"/>
    <w:rsid w:val="00E95205"/>
    <w:rsid w:val="00E954FF"/>
    <w:rsid w:val="00E95513"/>
    <w:rsid w:val="00E955FB"/>
    <w:rsid w:val="00E95B9D"/>
    <w:rsid w:val="00E95FC5"/>
    <w:rsid w:val="00E96B36"/>
    <w:rsid w:val="00E971E9"/>
    <w:rsid w:val="00E97433"/>
    <w:rsid w:val="00E976E3"/>
    <w:rsid w:val="00E97C42"/>
    <w:rsid w:val="00E97E3F"/>
    <w:rsid w:val="00E97FF3"/>
    <w:rsid w:val="00EA00F4"/>
    <w:rsid w:val="00EA1664"/>
    <w:rsid w:val="00EA18AA"/>
    <w:rsid w:val="00EA1CA2"/>
    <w:rsid w:val="00EA1EBC"/>
    <w:rsid w:val="00EA2849"/>
    <w:rsid w:val="00EA3A39"/>
    <w:rsid w:val="00EA3D78"/>
    <w:rsid w:val="00EA42D7"/>
    <w:rsid w:val="00EA48B3"/>
    <w:rsid w:val="00EA59D2"/>
    <w:rsid w:val="00EA5C56"/>
    <w:rsid w:val="00EA694C"/>
    <w:rsid w:val="00EA71A0"/>
    <w:rsid w:val="00EB09EB"/>
    <w:rsid w:val="00EB11BA"/>
    <w:rsid w:val="00EB2AA7"/>
    <w:rsid w:val="00EB30DA"/>
    <w:rsid w:val="00EB326D"/>
    <w:rsid w:val="00EB34DE"/>
    <w:rsid w:val="00EB39F0"/>
    <w:rsid w:val="00EB4139"/>
    <w:rsid w:val="00EB53D7"/>
    <w:rsid w:val="00EB56E0"/>
    <w:rsid w:val="00EB6727"/>
    <w:rsid w:val="00EB700F"/>
    <w:rsid w:val="00EB707B"/>
    <w:rsid w:val="00EB773F"/>
    <w:rsid w:val="00EC02E8"/>
    <w:rsid w:val="00EC11B5"/>
    <w:rsid w:val="00EC11F5"/>
    <w:rsid w:val="00EC12D7"/>
    <w:rsid w:val="00EC1608"/>
    <w:rsid w:val="00EC25A6"/>
    <w:rsid w:val="00EC2B8B"/>
    <w:rsid w:val="00EC33FF"/>
    <w:rsid w:val="00EC3556"/>
    <w:rsid w:val="00EC38E3"/>
    <w:rsid w:val="00EC40D8"/>
    <w:rsid w:val="00EC41E7"/>
    <w:rsid w:val="00EC4588"/>
    <w:rsid w:val="00EC4625"/>
    <w:rsid w:val="00EC62DF"/>
    <w:rsid w:val="00EC6F41"/>
    <w:rsid w:val="00EC7881"/>
    <w:rsid w:val="00EC7A96"/>
    <w:rsid w:val="00ED182F"/>
    <w:rsid w:val="00ED283C"/>
    <w:rsid w:val="00ED313A"/>
    <w:rsid w:val="00ED4D86"/>
    <w:rsid w:val="00ED4E5E"/>
    <w:rsid w:val="00ED7542"/>
    <w:rsid w:val="00EE09D1"/>
    <w:rsid w:val="00EE0BFA"/>
    <w:rsid w:val="00EE120F"/>
    <w:rsid w:val="00EE1411"/>
    <w:rsid w:val="00EE152F"/>
    <w:rsid w:val="00EE1C21"/>
    <w:rsid w:val="00EE1EFE"/>
    <w:rsid w:val="00EE2BE6"/>
    <w:rsid w:val="00EE2F03"/>
    <w:rsid w:val="00EE2F23"/>
    <w:rsid w:val="00EE365C"/>
    <w:rsid w:val="00EE3B16"/>
    <w:rsid w:val="00EE4CB9"/>
    <w:rsid w:val="00EE4E14"/>
    <w:rsid w:val="00EE5853"/>
    <w:rsid w:val="00EE58EA"/>
    <w:rsid w:val="00EE64BC"/>
    <w:rsid w:val="00EE6FCF"/>
    <w:rsid w:val="00EE79CF"/>
    <w:rsid w:val="00EE7EE5"/>
    <w:rsid w:val="00EF1F4D"/>
    <w:rsid w:val="00EF223D"/>
    <w:rsid w:val="00EF2340"/>
    <w:rsid w:val="00EF25F7"/>
    <w:rsid w:val="00EF2719"/>
    <w:rsid w:val="00EF2DBA"/>
    <w:rsid w:val="00EF3602"/>
    <w:rsid w:val="00EF372B"/>
    <w:rsid w:val="00EF3752"/>
    <w:rsid w:val="00EF3880"/>
    <w:rsid w:val="00EF3B35"/>
    <w:rsid w:val="00EF4A20"/>
    <w:rsid w:val="00EF4A28"/>
    <w:rsid w:val="00EF58FA"/>
    <w:rsid w:val="00EF7434"/>
    <w:rsid w:val="00EF74F7"/>
    <w:rsid w:val="00EF7893"/>
    <w:rsid w:val="00F00245"/>
    <w:rsid w:val="00F00D34"/>
    <w:rsid w:val="00F01595"/>
    <w:rsid w:val="00F015C7"/>
    <w:rsid w:val="00F01A99"/>
    <w:rsid w:val="00F02490"/>
    <w:rsid w:val="00F026A5"/>
    <w:rsid w:val="00F027B1"/>
    <w:rsid w:val="00F0283A"/>
    <w:rsid w:val="00F028E1"/>
    <w:rsid w:val="00F036DE"/>
    <w:rsid w:val="00F03A11"/>
    <w:rsid w:val="00F0444E"/>
    <w:rsid w:val="00F04BD8"/>
    <w:rsid w:val="00F06B90"/>
    <w:rsid w:val="00F07755"/>
    <w:rsid w:val="00F07978"/>
    <w:rsid w:val="00F079C5"/>
    <w:rsid w:val="00F102F7"/>
    <w:rsid w:val="00F113BF"/>
    <w:rsid w:val="00F127EA"/>
    <w:rsid w:val="00F12879"/>
    <w:rsid w:val="00F12C48"/>
    <w:rsid w:val="00F12E88"/>
    <w:rsid w:val="00F148B1"/>
    <w:rsid w:val="00F14EAB"/>
    <w:rsid w:val="00F14FCB"/>
    <w:rsid w:val="00F1595C"/>
    <w:rsid w:val="00F164EA"/>
    <w:rsid w:val="00F16B86"/>
    <w:rsid w:val="00F179B6"/>
    <w:rsid w:val="00F2011C"/>
    <w:rsid w:val="00F204BC"/>
    <w:rsid w:val="00F20F8B"/>
    <w:rsid w:val="00F2161F"/>
    <w:rsid w:val="00F216B8"/>
    <w:rsid w:val="00F21A60"/>
    <w:rsid w:val="00F220FB"/>
    <w:rsid w:val="00F22628"/>
    <w:rsid w:val="00F22B0A"/>
    <w:rsid w:val="00F230BD"/>
    <w:rsid w:val="00F240D7"/>
    <w:rsid w:val="00F241CB"/>
    <w:rsid w:val="00F24583"/>
    <w:rsid w:val="00F24D3C"/>
    <w:rsid w:val="00F26219"/>
    <w:rsid w:val="00F264E3"/>
    <w:rsid w:val="00F26813"/>
    <w:rsid w:val="00F26DBB"/>
    <w:rsid w:val="00F2745D"/>
    <w:rsid w:val="00F27F70"/>
    <w:rsid w:val="00F3018C"/>
    <w:rsid w:val="00F3056C"/>
    <w:rsid w:val="00F310D9"/>
    <w:rsid w:val="00F313F6"/>
    <w:rsid w:val="00F31499"/>
    <w:rsid w:val="00F3188B"/>
    <w:rsid w:val="00F31E61"/>
    <w:rsid w:val="00F326C7"/>
    <w:rsid w:val="00F329D9"/>
    <w:rsid w:val="00F33FA0"/>
    <w:rsid w:val="00F34B29"/>
    <w:rsid w:val="00F35203"/>
    <w:rsid w:val="00F352FF"/>
    <w:rsid w:val="00F35482"/>
    <w:rsid w:val="00F358A4"/>
    <w:rsid w:val="00F37961"/>
    <w:rsid w:val="00F37EBE"/>
    <w:rsid w:val="00F40E5A"/>
    <w:rsid w:val="00F40F50"/>
    <w:rsid w:val="00F4127B"/>
    <w:rsid w:val="00F42F11"/>
    <w:rsid w:val="00F443DA"/>
    <w:rsid w:val="00F457A0"/>
    <w:rsid w:val="00F45E11"/>
    <w:rsid w:val="00F45E42"/>
    <w:rsid w:val="00F4645A"/>
    <w:rsid w:val="00F4651E"/>
    <w:rsid w:val="00F468B3"/>
    <w:rsid w:val="00F47727"/>
    <w:rsid w:val="00F47753"/>
    <w:rsid w:val="00F50133"/>
    <w:rsid w:val="00F50F3B"/>
    <w:rsid w:val="00F51062"/>
    <w:rsid w:val="00F51474"/>
    <w:rsid w:val="00F51F46"/>
    <w:rsid w:val="00F5202E"/>
    <w:rsid w:val="00F52384"/>
    <w:rsid w:val="00F52894"/>
    <w:rsid w:val="00F53130"/>
    <w:rsid w:val="00F532D5"/>
    <w:rsid w:val="00F5366A"/>
    <w:rsid w:val="00F537C8"/>
    <w:rsid w:val="00F54069"/>
    <w:rsid w:val="00F54489"/>
    <w:rsid w:val="00F54E44"/>
    <w:rsid w:val="00F5588E"/>
    <w:rsid w:val="00F558A4"/>
    <w:rsid w:val="00F55B6A"/>
    <w:rsid w:val="00F56779"/>
    <w:rsid w:val="00F578C5"/>
    <w:rsid w:val="00F57BDF"/>
    <w:rsid w:val="00F607D9"/>
    <w:rsid w:val="00F61433"/>
    <w:rsid w:val="00F61B3E"/>
    <w:rsid w:val="00F62843"/>
    <w:rsid w:val="00F63F97"/>
    <w:rsid w:val="00F64F83"/>
    <w:rsid w:val="00F669AB"/>
    <w:rsid w:val="00F670A0"/>
    <w:rsid w:val="00F6740A"/>
    <w:rsid w:val="00F67DCB"/>
    <w:rsid w:val="00F70F52"/>
    <w:rsid w:val="00F7156F"/>
    <w:rsid w:val="00F71802"/>
    <w:rsid w:val="00F71A1D"/>
    <w:rsid w:val="00F7217B"/>
    <w:rsid w:val="00F73011"/>
    <w:rsid w:val="00F734F9"/>
    <w:rsid w:val="00F7391B"/>
    <w:rsid w:val="00F7394D"/>
    <w:rsid w:val="00F73C5E"/>
    <w:rsid w:val="00F74B9D"/>
    <w:rsid w:val="00F74DDF"/>
    <w:rsid w:val="00F7577A"/>
    <w:rsid w:val="00F759B5"/>
    <w:rsid w:val="00F75A56"/>
    <w:rsid w:val="00F763D7"/>
    <w:rsid w:val="00F77067"/>
    <w:rsid w:val="00F775B5"/>
    <w:rsid w:val="00F80076"/>
    <w:rsid w:val="00F80510"/>
    <w:rsid w:val="00F81AED"/>
    <w:rsid w:val="00F83114"/>
    <w:rsid w:val="00F8315F"/>
    <w:rsid w:val="00F84ADC"/>
    <w:rsid w:val="00F85845"/>
    <w:rsid w:val="00F87047"/>
    <w:rsid w:val="00F87630"/>
    <w:rsid w:val="00F877D6"/>
    <w:rsid w:val="00F90316"/>
    <w:rsid w:val="00F90744"/>
    <w:rsid w:val="00F90B53"/>
    <w:rsid w:val="00F90D4F"/>
    <w:rsid w:val="00F916BC"/>
    <w:rsid w:val="00F9189D"/>
    <w:rsid w:val="00F91B53"/>
    <w:rsid w:val="00F92A14"/>
    <w:rsid w:val="00F92AB0"/>
    <w:rsid w:val="00F92B2B"/>
    <w:rsid w:val="00F93A90"/>
    <w:rsid w:val="00F9415F"/>
    <w:rsid w:val="00F94718"/>
    <w:rsid w:val="00F95E83"/>
    <w:rsid w:val="00F97B53"/>
    <w:rsid w:val="00F97B5E"/>
    <w:rsid w:val="00FA0042"/>
    <w:rsid w:val="00FA24D2"/>
    <w:rsid w:val="00FA2C99"/>
    <w:rsid w:val="00FA2EB5"/>
    <w:rsid w:val="00FA32F6"/>
    <w:rsid w:val="00FA331F"/>
    <w:rsid w:val="00FA38E1"/>
    <w:rsid w:val="00FA39D8"/>
    <w:rsid w:val="00FA4C2F"/>
    <w:rsid w:val="00FA5406"/>
    <w:rsid w:val="00FA5EE1"/>
    <w:rsid w:val="00FA69A4"/>
    <w:rsid w:val="00FA6E0B"/>
    <w:rsid w:val="00FA71F8"/>
    <w:rsid w:val="00FA7CE0"/>
    <w:rsid w:val="00FB0462"/>
    <w:rsid w:val="00FB0540"/>
    <w:rsid w:val="00FB0659"/>
    <w:rsid w:val="00FB0D7C"/>
    <w:rsid w:val="00FB0F08"/>
    <w:rsid w:val="00FB1739"/>
    <w:rsid w:val="00FB17E0"/>
    <w:rsid w:val="00FB240B"/>
    <w:rsid w:val="00FB3210"/>
    <w:rsid w:val="00FB350C"/>
    <w:rsid w:val="00FB3D6B"/>
    <w:rsid w:val="00FB591B"/>
    <w:rsid w:val="00FB6027"/>
    <w:rsid w:val="00FB6F8C"/>
    <w:rsid w:val="00FC1E14"/>
    <w:rsid w:val="00FC2948"/>
    <w:rsid w:val="00FC2D4B"/>
    <w:rsid w:val="00FC2FCE"/>
    <w:rsid w:val="00FC36CF"/>
    <w:rsid w:val="00FC4674"/>
    <w:rsid w:val="00FC4BAE"/>
    <w:rsid w:val="00FC592B"/>
    <w:rsid w:val="00FC5983"/>
    <w:rsid w:val="00FC61B9"/>
    <w:rsid w:val="00FC62CB"/>
    <w:rsid w:val="00FC6AFB"/>
    <w:rsid w:val="00FC6E55"/>
    <w:rsid w:val="00FD01B8"/>
    <w:rsid w:val="00FD02D7"/>
    <w:rsid w:val="00FD0688"/>
    <w:rsid w:val="00FD0C73"/>
    <w:rsid w:val="00FD14ED"/>
    <w:rsid w:val="00FD17F3"/>
    <w:rsid w:val="00FD23A6"/>
    <w:rsid w:val="00FD332D"/>
    <w:rsid w:val="00FD34E2"/>
    <w:rsid w:val="00FD582E"/>
    <w:rsid w:val="00FD5952"/>
    <w:rsid w:val="00FD637E"/>
    <w:rsid w:val="00FD6553"/>
    <w:rsid w:val="00FD66CC"/>
    <w:rsid w:val="00FD6EB8"/>
    <w:rsid w:val="00FD71AE"/>
    <w:rsid w:val="00FD74F0"/>
    <w:rsid w:val="00FD7A25"/>
    <w:rsid w:val="00FD7E17"/>
    <w:rsid w:val="00FE14D2"/>
    <w:rsid w:val="00FE220D"/>
    <w:rsid w:val="00FE24A4"/>
    <w:rsid w:val="00FE2AFB"/>
    <w:rsid w:val="00FE4A37"/>
    <w:rsid w:val="00FE4C8D"/>
    <w:rsid w:val="00FE51D6"/>
    <w:rsid w:val="00FE5A52"/>
    <w:rsid w:val="00FE6CFB"/>
    <w:rsid w:val="00FE6E38"/>
    <w:rsid w:val="00FE720C"/>
    <w:rsid w:val="00FF124E"/>
    <w:rsid w:val="00FF1667"/>
    <w:rsid w:val="00FF286D"/>
    <w:rsid w:val="00FF3B55"/>
    <w:rsid w:val="00FF419C"/>
    <w:rsid w:val="00FF4265"/>
    <w:rsid w:val="00FF65C8"/>
    <w:rsid w:val="00FF6AEB"/>
    <w:rsid w:val="00FF6DB5"/>
    <w:rsid w:val="00FF790E"/>
    <w:rsid w:val="00FF7F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DB05"/>
  <w15:docId w15:val="{EB48496F-18B0-4D56-8E84-6D0A105B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28F"/>
    <w:rPr>
      <w:sz w:val="24"/>
      <w:szCs w:val="24"/>
      <w:lang w:val="es-ES" w:eastAsia="es-ES"/>
    </w:rPr>
  </w:style>
  <w:style w:type="paragraph" w:styleId="Ttulo1">
    <w:name w:val="heading 1"/>
    <w:basedOn w:val="Normal"/>
    <w:next w:val="Normal"/>
    <w:qFormat/>
    <w:rsid w:val="003F128F"/>
    <w:pPr>
      <w:keepNext/>
      <w:tabs>
        <w:tab w:val="left" w:pos="5580"/>
      </w:tabs>
      <w:jc w:val="center"/>
      <w:outlineLvl w:val="0"/>
    </w:pPr>
    <w:rPr>
      <w:b/>
      <w:lang w:val="en-US"/>
    </w:rPr>
  </w:style>
  <w:style w:type="paragraph" w:styleId="Ttulo2">
    <w:name w:val="heading 2"/>
    <w:basedOn w:val="Normal"/>
    <w:next w:val="Normal"/>
    <w:qFormat/>
    <w:rsid w:val="003F128F"/>
    <w:pPr>
      <w:keepNext/>
      <w:numPr>
        <w:numId w:val="1"/>
      </w:numPr>
      <w:tabs>
        <w:tab w:val="clear" w:pos="1080"/>
      </w:tabs>
      <w:ind w:left="0" w:firstLine="0"/>
      <w:outlineLvl w:val="1"/>
    </w:pPr>
    <w:rPr>
      <w:b/>
      <w:bCs/>
      <w:lang w:val="es-MX"/>
    </w:rPr>
  </w:style>
  <w:style w:type="paragraph" w:styleId="Ttulo3">
    <w:name w:val="heading 3"/>
    <w:basedOn w:val="Normal"/>
    <w:next w:val="Normal"/>
    <w:qFormat/>
    <w:rsid w:val="003F128F"/>
    <w:pPr>
      <w:keepNext/>
      <w:ind w:left="1080"/>
      <w:jc w:val="center"/>
      <w:outlineLvl w:val="2"/>
    </w:pPr>
    <w:rPr>
      <w:rFonts w:ascii="Arial Narrow" w:hAnsi="Arial Narrow" w:cs="Arial"/>
      <w:b/>
      <w:sz w:val="22"/>
    </w:rPr>
  </w:style>
  <w:style w:type="paragraph" w:styleId="Ttulo4">
    <w:name w:val="heading 4"/>
    <w:basedOn w:val="Normal"/>
    <w:next w:val="Normal"/>
    <w:qFormat/>
    <w:rsid w:val="003F128F"/>
    <w:pPr>
      <w:keepNext/>
      <w:tabs>
        <w:tab w:val="left" w:pos="1800"/>
      </w:tabs>
      <w:jc w:val="both"/>
      <w:outlineLvl w:val="3"/>
    </w:pPr>
    <w:rPr>
      <w:rFonts w:ascii="Arial" w:hAnsi="Arial" w:cs="Arial"/>
      <w:sz w:val="28"/>
    </w:rPr>
  </w:style>
  <w:style w:type="paragraph" w:styleId="Ttulo5">
    <w:name w:val="heading 5"/>
    <w:basedOn w:val="Normal"/>
    <w:next w:val="Normal"/>
    <w:qFormat/>
    <w:rsid w:val="003F128F"/>
    <w:pPr>
      <w:keepNext/>
      <w:ind w:left="110"/>
      <w:jc w:val="center"/>
      <w:outlineLvl w:val="4"/>
    </w:pPr>
    <w:rPr>
      <w:rFonts w:ascii="Arial Narrow" w:hAnsi="Arial Narrow" w:cs="Arial"/>
      <w:b/>
      <w:color w:val="FF0000"/>
      <w:sz w:val="22"/>
    </w:rPr>
  </w:style>
  <w:style w:type="paragraph" w:styleId="Ttulo6">
    <w:name w:val="heading 6"/>
    <w:basedOn w:val="Normal"/>
    <w:next w:val="Normal"/>
    <w:qFormat/>
    <w:rsid w:val="003F128F"/>
    <w:pPr>
      <w:keepNext/>
      <w:ind w:left="110"/>
      <w:jc w:val="center"/>
      <w:outlineLvl w:val="5"/>
    </w:pPr>
    <w:rPr>
      <w:rFonts w:ascii="Arial Narrow" w:hAnsi="Arial Narrow" w:cs="Arial"/>
      <w:b/>
      <w:sz w:val="22"/>
    </w:rPr>
  </w:style>
  <w:style w:type="paragraph" w:styleId="Ttulo7">
    <w:name w:val="heading 7"/>
    <w:basedOn w:val="Normal"/>
    <w:next w:val="Normal"/>
    <w:qFormat/>
    <w:rsid w:val="003F128F"/>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qFormat/>
    <w:rsid w:val="003F128F"/>
    <w:pPr>
      <w:keepNext/>
      <w:jc w:val="both"/>
      <w:outlineLvl w:val="7"/>
    </w:pPr>
    <w:rPr>
      <w:rFonts w:ascii="Arial" w:hAnsi="Arial" w:cs="Arial"/>
      <w:b/>
      <w:bCs/>
      <w:color w:val="FF0000"/>
    </w:rPr>
  </w:style>
  <w:style w:type="paragraph" w:styleId="Ttulo9">
    <w:name w:val="heading 9"/>
    <w:basedOn w:val="Normal"/>
    <w:next w:val="Normal"/>
    <w:qFormat/>
    <w:rsid w:val="003F128F"/>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3F128F"/>
    <w:pPr>
      <w:spacing w:line="360" w:lineRule="auto"/>
      <w:jc w:val="both"/>
    </w:pPr>
    <w:rPr>
      <w:rFonts w:ascii="Arial" w:hAnsi="Arial" w:cs="Arial"/>
      <w:b/>
      <w:bCs/>
      <w:sz w:val="20"/>
    </w:rPr>
  </w:style>
  <w:style w:type="paragraph" w:styleId="Textoindependiente3">
    <w:name w:val="Body Text 3"/>
    <w:basedOn w:val="Normal"/>
    <w:link w:val="Textoindependiente3Car"/>
    <w:rsid w:val="003F128F"/>
    <w:pPr>
      <w:spacing w:line="360" w:lineRule="auto"/>
      <w:jc w:val="both"/>
    </w:pPr>
    <w:rPr>
      <w:rFonts w:ascii="Arial" w:hAnsi="Arial"/>
      <w:sz w:val="20"/>
    </w:rPr>
  </w:style>
  <w:style w:type="character" w:customStyle="1" w:styleId="Textoindependiente3Car">
    <w:name w:val="Texto independiente 3 Car"/>
    <w:link w:val="Textoindependiente3"/>
    <w:rsid w:val="00F8315F"/>
    <w:rPr>
      <w:rFonts w:ascii="Arial" w:hAnsi="Arial" w:cs="Arial"/>
      <w:szCs w:val="24"/>
      <w:lang w:val="es-ES" w:eastAsia="es-ES"/>
    </w:rPr>
  </w:style>
  <w:style w:type="paragraph" w:styleId="Textoindependiente2">
    <w:name w:val="Body Text 2"/>
    <w:basedOn w:val="Normal"/>
    <w:rsid w:val="003F128F"/>
    <w:rPr>
      <w:rFonts w:ascii="Tahoma" w:hAnsi="Tahoma" w:cs="Tahoma"/>
      <w:sz w:val="28"/>
      <w:lang w:val="es-MX"/>
    </w:rPr>
  </w:style>
  <w:style w:type="paragraph" w:customStyle="1" w:styleId="PRIMERAPLANA">
    <w:name w:val="PRIMERA PLANA"/>
    <w:basedOn w:val="Normal"/>
    <w:rsid w:val="003F128F"/>
    <w:pPr>
      <w:jc w:val="both"/>
    </w:pPr>
    <w:rPr>
      <w:rFonts w:ascii="Arial" w:hAnsi="Arial"/>
      <w:sz w:val="20"/>
      <w:szCs w:val="20"/>
      <w:lang w:val="es-ES_tradnl"/>
    </w:rPr>
  </w:style>
  <w:style w:type="paragraph" w:styleId="NormalWeb">
    <w:name w:val="Normal (Web)"/>
    <w:basedOn w:val="Normal"/>
    <w:uiPriority w:val="99"/>
    <w:rsid w:val="003F128F"/>
    <w:pPr>
      <w:spacing w:before="100" w:beforeAutospacing="1" w:after="100" w:afterAutospacing="1"/>
    </w:pPr>
  </w:style>
  <w:style w:type="paragraph" w:customStyle="1" w:styleId="Default">
    <w:name w:val="Default"/>
    <w:rsid w:val="003F128F"/>
    <w:pPr>
      <w:autoSpaceDE w:val="0"/>
      <w:autoSpaceDN w:val="0"/>
      <w:adjustRightInd w:val="0"/>
    </w:pPr>
    <w:rPr>
      <w:color w:val="000000"/>
      <w:sz w:val="24"/>
      <w:szCs w:val="24"/>
      <w:lang w:val="es-ES" w:eastAsia="es-ES"/>
    </w:rPr>
  </w:style>
  <w:style w:type="paragraph" w:styleId="Piedepgina">
    <w:name w:val="footer"/>
    <w:basedOn w:val="Normal"/>
    <w:rsid w:val="003F128F"/>
    <w:pPr>
      <w:tabs>
        <w:tab w:val="center" w:pos="4419"/>
        <w:tab w:val="right" w:pos="8838"/>
      </w:tabs>
    </w:pPr>
  </w:style>
  <w:style w:type="character" w:styleId="Nmerodepgina">
    <w:name w:val="page number"/>
    <w:basedOn w:val="Fuentedeprrafopredeter"/>
    <w:rsid w:val="003F128F"/>
  </w:style>
  <w:style w:type="paragraph" w:styleId="Encabezado">
    <w:name w:val="header"/>
    <w:basedOn w:val="Normal"/>
    <w:rsid w:val="003F128F"/>
    <w:pPr>
      <w:tabs>
        <w:tab w:val="center" w:pos="4419"/>
        <w:tab w:val="right" w:pos="8838"/>
      </w:tabs>
    </w:pPr>
  </w:style>
  <w:style w:type="character" w:styleId="Hipervnculo">
    <w:name w:val="Hyperlink"/>
    <w:uiPriority w:val="99"/>
    <w:unhideWhenUsed/>
    <w:rsid w:val="003C7E4F"/>
    <w:rPr>
      <w:color w:val="0000FF"/>
      <w:u w:val="single"/>
    </w:rPr>
  </w:style>
  <w:style w:type="paragraph" w:styleId="Prrafodelista">
    <w:name w:val="List Paragraph"/>
    <w:basedOn w:val="Normal"/>
    <w:uiPriority w:val="34"/>
    <w:qFormat/>
    <w:rsid w:val="006627E8"/>
    <w:pPr>
      <w:ind w:left="708"/>
    </w:pPr>
  </w:style>
  <w:style w:type="paragraph" w:styleId="Sangra2detindependiente">
    <w:name w:val="Body Text Indent 2"/>
    <w:basedOn w:val="Normal"/>
    <w:link w:val="Sangra2detindependienteCar"/>
    <w:uiPriority w:val="99"/>
    <w:semiHidden/>
    <w:unhideWhenUsed/>
    <w:rsid w:val="008E0EB4"/>
    <w:pPr>
      <w:spacing w:after="120" w:line="480" w:lineRule="auto"/>
      <w:ind w:left="283"/>
    </w:pPr>
  </w:style>
  <w:style w:type="character" w:customStyle="1" w:styleId="Sangra2detindependienteCar">
    <w:name w:val="Sangría 2 de t. independiente Car"/>
    <w:link w:val="Sangra2detindependiente"/>
    <w:uiPriority w:val="99"/>
    <w:semiHidden/>
    <w:rsid w:val="008E0EB4"/>
    <w:rPr>
      <w:sz w:val="24"/>
      <w:szCs w:val="24"/>
      <w:lang w:val="es-ES" w:eastAsia="es-ES"/>
    </w:rPr>
  </w:style>
  <w:style w:type="table" w:styleId="Tablaconcuadrcula">
    <w:name w:val="Table Grid"/>
    <w:basedOn w:val="Tablanormal"/>
    <w:uiPriority w:val="39"/>
    <w:rsid w:val="00693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2">
    <w:name w:val="A12"/>
    <w:uiPriority w:val="99"/>
    <w:rsid w:val="004C11B7"/>
    <w:rPr>
      <w:rFonts w:cs="Univers LT"/>
      <w:b/>
      <w:bCs/>
      <w:color w:val="000000"/>
      <w:sz w:val="97"/>
      <w:szCs w:val="97"/>
    </w:rPr>
  </w:style>
  <w:style w:type="paragraph" w:styleId="Textodeglobo">
    <w:name w:val="Balloon Text"/>
    <w:basedOn w:val="Normal"/>
    <w:link w:val="TextodegloboCar"/>
    <w:uiPriority w:val="99"/>
    <w:semiHidden/>
    <w:unhideWhenUsed/>
    <w:rsid w:val="0070336A"/>
    <w:rPr>
      <w:rFonts w:ascii="Tahoma" w:hAnsi="Tahoma"/>
      <w:sz w:val="16"/>
      <w:szCs w:val="16"/>
    </w:rPr>
  </w:style>
  <w:style w:type="character" w:customStyle="1" w:styleId="TextodegloboCar">
    <w:name w:val="Texto de globo Car"/>
    <w:link w:val="Textodeglobo"/>
    <w:uiPriority w:val="99"/>
    <w:semiHidden/>
    <w:rsid w:val="0070336A"/>
    <w:rPr>
      <w:rFonts w:ascii="Tahoma" w:hAnsi="Tahoma" w:cs="Tahoma"/>
      <w:sz w:val="16"/>
      <w:szCs w:val="16"/>
    </w:rPr>
  </w:style>
  <w:style w:type="character" w:styleId="nfasis">
    <w:name w:val="Emphasis"/>
    <w:uiPriority w:val="20"/>
    <w:qFormat/>
    <w:rsid w:val="003C3149"/>
    <w:rPr>
      <w:i/>
      <w:iCs/>
    </w:rPr>
  </w:style>
  <w:style w:type="paragraph" w:styleId="Citadestacada">
    <w:name w:val="Intense Quote"/>
    <w:basedOn w:val="Normal"/>
    <w:next w:val="Normal"/>
    <w:link w:val="CitadestacadaCar"/>
    <w:uiPriority w:val="30"/>
    <w:qFormat/>
    <w:rsid w:val="00563CD2"/>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link w:val="Citadestacada"/>
    <w:uiPriority w:val="30"/>
    <w:rsid w:val="00563CD2"/>
    <w:rPr>
      <w:rFonts w:ascii="Calibri" w:eastAsia="Calibri" w:hAnsi="Calibri" w:cs="Times New Roman"/>
      <w:b/>
      <w:bCs/>
      <w:i/>
      <w:iCs/>
      <w:color w:val="4F81BD"/>
      <w:sz w:val="22"/>
      <w:szCs w:val="22"/>
      <w:lang w:eastAsia="en-US"/>
    </w:rPr>
  </w:style>
  <w:style w:type="paragraph" w:styleId="Textonotapie">
    <w:name w:val="footnote text"/>
    <w:basedOn w:val="Normal"/>
    <w:link w:val="TextonotapieCar"/>
    <w:uiPriority w:val="99"/>
    <w:semiHidden/>
    <w:unhideWhenUsed/>
    <w:rsid w:val="00563CD2"/>
    <w:rPr>
      <w:rFonts w:ascii="Calibri" w:eastAsia="Calibri" w:hAnsi="Calibri"/>
      <w:sz w:val="20"/>
      <w:szCs w:val="20"/>
      <w:lang w:eastAsia="en-US"/>
    </w:rPr>
  </w:style>
  <w:style w:type="character" w:customStyle="1" w:styleId="TextonotapieCar">
    <w:name w:val="Texto nota pie Car"/>
    <w:link w:val="Textonotapie"/>
    <w:uiPriority w:val="99"/>
    <w:semiHidden/>
    <w:rsid w:val="00563CD2"/>
    <w:rPr>
      <w:rFonts w:ascii="Calibri" w:eastAsia="Calibri" w:hAnsi="Calibri" w:cs="Times New Roman"/>
      <w:lang w:eastAsia="en-US"/>
    </w:rPr>
  </w:style>
  <w:style w:type="character" w:styleId="Refdenotaalpie">
    <w:name w:val="footnote reference"/>
    <w:uiPriority w:val="99"/>
    <w:semiHidden/>
    <w:unhideWhenUsed/>
    <w:rsid w:val="00563CD2"/>
    <w:rPr>
      <w:vertAlign w:val="superscript"/>
    </w:rPr>
  </w:style>
  <w:style w:type="character" w:customStyle="1" w:styleId="apple-converted-space">
    <w:name w:val="apple-converted-space"/>
    <w:basedOn w:val="Fuentedeprrafopredeter"/>
    <w:rsid w:val="00BA696E"/>
  </w:style>
  <w:style w:type="character" w:styleId="Textoennegrita">
    <w:name w:val="Strong"/>
    <w:uiPriority w:val="22"/>
    <w:qFormat/>
    <w:rsid w:val="00846076"/>
    <w:rPr>
      <w:b/>
      <w:bCs/>
    </w:rPr>
  </w:style>
  <w:style w:type="character" w:styleId="Hipervnculovisitado">
    <w:name w:val="FollowedHyperlink"/>
    <w:basedOn w:val="Fuentedeprrafopredeter"/>
    <w:uiPriority w:val="99"/>
    <w:semiHidden/>
    <w:unhideWhenUsed/>
    <w:rsid w:val="00C16FCE"/>
    <w:rPr>
      <w:color w:val="954F72"/>
      <w:u w:val="single"/>
    </w:rPr>
  </w:style>
  <w:style w:type="paragraph" w:customStyle="1" w:styleId="xl63">
    <w:name w:val="xl63"/>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val="es-MX" w:eastAsia="es-MX"/>
    </w:rPr>
  </w:style>
  <w:style w:type="paragraph" w:customStyle="1" w:styleId="xl64">
    <w:name w:val="xl64"/>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5">
    <w:name w:val="xl65"/>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6">
    <w:name w:val="xl66"/>
    <w:basedOn w:val="Normal"/>
    <w:rsid w:val="00C16FC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7">
    <w:name w:val="xl67"/>
    <w:basedOn w:val="Normal"/>
    <w:rsid w:val="00C16FCE"/>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8">
    <w:name w:val="xl68"/>
    <w:basedOn w:val="Normal"/>
    <w:rsid w:val="00C16F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69">
    <w:name w:val="xl69"/>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eastAsia="es-MX"/>
    </w:rPr>
  </w:style>
  <w:style w:type="paragraph" w:customStyle="1" w:styleId="xl70">
    <w:name w:val="xl7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1">
    <w:name w:val="xl7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72">
    <w:name w:val="xl72"/>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73">
    <w:name w:val="xl7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74">
    <w:name w:val="xl74"/>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75">
    <w:name w:val="xl7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6">
    <w:name w:val="xl76"/>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val="es-MX" w:eastAsia="es-MX"/>
    </w:rPr>
  </w:style>
  <w:style w:type="paragraph" w:customStyle="1" w:styleId="xl77">
    <w:name w:val="xl77"/>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val="es-MX" w:eastAsia="es-MX"/>
    </w:rPr>
  </w:style>
  <w:style w:type="paragraph" w:customStyle="1" w:styleId="xl78">
    <w:name w:val="xl78"/>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MX" w:eastAsia="es-MX"/>
    </w:rPr>
  </w:style>
  <w:style w:type="paragraph" w:customStyle="1" w:styleId="xl79">
    <w:name w:val="xl79"/>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val="es-MX" w:eastAsia="es-MX"/>
    </w:rPr>
  </w:style>
  <w:style w:type="paragraph" w:customStyle="1" w:styleId="xl80">
    <w:name w:val="xl80"/>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1">
    <w:name w:val="xl81"/>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MX" w:eastAsia="es-MX"/>
    </w:rPr>
  </w:style>
  <w:style w:type="paragraph" w:customStyle="1" w:styleId="xl82">
    <w:name w:val="xl82"/>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MX" w:eastAsia="es-MX"/>
    </w:rPr>
  </w:style>
  <w:style w:type="paragraph" w:customStyle="1" w:styleId="xl83">
    <w:name w:val="xl83"/>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84">
    <w:name w:val="xl84"/>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eastAsia="es-MX"/>
    </w:rPr>
  </w:style>
  <w:style w:type="paragraph" w:customStyle="1" w:styleId="xl85">
    <w:name w:val="xl85"/>
    <w:basedOn w:val="Normal"/>
    <w:rsid w:val="00C16F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val="es-MX" w:eastAsia="es-MX"/>
    </w:rPr>
  </w:style>
  <w:style w:type="paragraph" w:customStyle="1" w:styleId="xl86">
    <w:name w:val="xl8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87">
    <w:name w:val="xl87"/>
    <w:basedOn w:val="Normal"/>
    <w:rsid w:val="00C16FCE"/>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8">
    <w:name w:val="xl88"/>
    <w:basedOn w:val="Normal"/>
    <w:rsid w:val="00C16FCE"/>
    <w:pPr>
      <w:pBdr>
        <w:top w:val="single" w:sz="4" w:space="0" w:color="auto"/>
        <w:bottom w:val="single" w:sz="4" w:space="0" w:color="auto"/>
      </w:pBdr>
      <w:spacing w:before="100" w:beforeAutospacing="1" w:after="100" w:afterAutospacing="1"/>
      <w:jc w:val="center"/>
    </w:pPr>
    <w:rPr>
      <w:b/>
      <w:bCs/>
      <w:sz w:val="16"/>
      <w:szCs w:val="16"/>
      <w:lang w:val="es-MX" w:eastAsia="es-MX"/>
    </w:rPr>
  </w:style>
  <w:style w:type="paragraph" w:customStyle="1" w:styleId="xl89">
    <w:name w:val="xl89"/>
    <w:basedOn w:val="Normal"/>
    <w:rsid w:val="00C16FCE"/>
    <w:pPr>
      <w:pBdr>
        <w:top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0">
    <w:name w:val="xl90"/>
    <w:basedOn w:val="Normal"/>
    <w:rsid w:val="00C16FCE"/>
    <w:pPr>
      <w:spacing w:before="100" w:beforeAutospacing="1" w:after="100" w:afterAutospacing="1"/>
    </w:pPr>
    <w:rPr>
      <w:sz w:val="16"/>
      <w:szCs w:val="16"/>
      <w:lang w:val="es-MX" w:eastAsia="es-MX"/>
    </w:rPr>
  </w:style>
  <w:style w:type="paragraph" w:customStyle="1" w:styleId="xl91">
    <w:name w:val="xl91"/>
    <w:basedOn w:val="Normal"/>
    <w:rsid w:val="00C16FCE"/>
    <w:pPr>
      <w:spacing w:before="100" w:beforeAutospacing="1" w:after="100" w:afterAutospacing="1"/>
    </w:pPr>
    <w:rPr>
      <w:sz w:val="16"/>
      <w:szCs w:val="16"/>
      <w:lang w:val="es-MX" w:eastAsia="es-MX"/>
    </w:rPr>
  </w:style>
  <w:style w:type="paragraph" w:customStyle="1" w:styleId="xl92">
    <w:name w:val="xl92"/>
    <w:basedOn w:val="Normal"/>
    <w:rsid w:val="00C16FCE"/>
    <w:pPr>
      <w:spacing w:before="100" w:beforeAutospacing="1" w:after="100" w:afterAutospacing="1"/>
      <w:textAlignment w:val="center"/>
    </w:pPr>
    <w:rPr>
      <w:sz w:val="16"/>
      <w:szCs w:val="16"/>
      <w:lang w:val="es-MX" w:eastAsia="es-MX"/>
    </w:rPr>
  </w:style>
  <w:style w:type="paragraph" w:customStyle="1" w:styleId="xl93">
    <w:name w:val="xl93"/>
    <w:basedOn w:val="Normal"/>
    <w:rsid w:val="00C16FCE"/>
    <w:pPr>
      <w:shd w:val="clear" w:color="000000" w:fill="FFFFFF"/>
      <w:spacing w:before="100" w:beforeAutospacing="1" w:after="100" w:afterAutospacing="1"/>
      <w:textAlignment w:val="center"/>
    </w:pPr>
    <w:rPr>
      <w:sz w:val="16"/>
      <w:szCs w:val="16"/>
      <w:lang w:val="es-MX" w:eastAsia="es-MX"/>
    </w:rPr>
  </w:style>
  <w:style w:type="paragraph" w:customStyle="1" w:styleId="xl94">
    <w:name w:val="xl94"/>
    <w:basedOn w:val="Normal"/>
    <w:rsid w:val="00C16FCE"/>
    <w:pPr>
      <w:shd w:val="clear" w:color="000000" w:fill="FFFFFF"/>
      <w:spacing w:before="100" w:beforeAutospacing="1" w:after="100" w:afterAutospacing="1"/>
      <w:textAlignment w:val="center"/>
    </w:pPr>
    <w:rPr>
      <w:b/>
      <w:bCs/>
      <w:sz w:val="16"/>
      <w:szCs w:val="16"/>
      <w:lang w:val="es-MX" w:eastAsia="es-MX"/>
    </w:rPr>
  </w:style>
  <w:style w:type="paragraph" w:customStyle="1" w:styleId="xl95">
    <w:name w:val="xl95"/>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val="es-MX" w:eastAsia="es-MX"/>
    </w:rPr>
  </w:style>
  <w:style w:type="paragraph" w:customStyle="1" w:styleId="xl96">
    <w:name w:val="xl96"/>
    <w:basedOn w:val="Normal"/>
    <w:rsid w:val="00C16F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val="es-MX" w:eastAsia="es-MX"/>
    </w:rPr>
  </w:style>
  <w:style w:type="paragraph" w:customStyle="1" w:styleId="xl97">
    <w:name w:val="xl97"/>
    <w:basedOn w:val="Normal"/>
    <w:rsid w:val="00C16FCE"/>
    <w:pPr>
      <w:spacing w:before="100" w:beforeAutospacing="1" w:after="100" w:afterAutospacing="1"/>
    </w:pPr>
    <w:rPr>
      <w:sz w:val="16"/>
      <w:szCs w:val="16"/>
      <w:lang w:val="es-MX" w:eastAsia="es-MX"/>
    </w:rPr>
  </w:style>
  <w:style w:type="character" w:styleId="Refdecomentario">
    <w:name w:val="annotation reference"/>
    <w:basedOn w:val="Fuentedeprrafopredeter"/>
    <w:uiPriority w:val="99"/>
    <w:semiHidden/>
    <w:unhideWhenUsed/>
    <w:rsid w:val="00FC592B"/>
    <w:rPr>
      <w:sz w:val="16"/>
      <w:szCs w:val="16"/>
    </w:rPr>
  </w:style>
  <w:style w:type="paragraph" w:styleId="Textocomentario">
    <w:name w:val="annotation text"/>
    <w:basedOn w:val="Normal"/>
    <w:link w:val="TextocomentarioCar"/>
    <w:uiPriority w:val="99"/>
    <w:semiHidden/>
    <w:unhideWhenUsed/>
    <w:rsid w:val="00FC592B"/>
    <w:rPr>
      <w:sz w:val="20"/>
      <w:szCs w:val="20"/>
    </w:rPr>
  </w:style>
  <w:style w:type="character" w:customStyle="1" w:styleId="TextocomentarioCar">
    <w:name w:val="Texto comentario Car"/>
    <w:basedOn w:val="Fuentedeprrafopredeter"/>
    <w:link w:val="Textocomentario"/>
    <w:uiPriority w:val="99"/>
    <w:semiHidden/>
    <w:rsid w:val="00FC592B"/>
    <w:rPr>
      <w:lang w:val="es-ES" w:eastAsia="es-ES"/>
    </w:rPr>
  </w:style>
  <w:style w:type="paragraph" w:styleId="Asuntodelcomentario">
    <w:name w:val="annotation subject"/>
    <w:basedOn w:val="Textocomentario"/>
    <w:next w:val="Textocomentario"/>
    <w:link w:val="AsuntodelcomentarioCar"/>
    <w:uiPriority w:val="99"/>
    <w:semiHidden/>
    <w:unhideWhenUsed/>
    <w:rsid w:val="00FC592B"/>
    <w:rPr>
      <w:b/>
      <w:bCs/>
    </w:rPr>
  </w:style>
  <w:style w:type="character" w:customStyle="1" w:styleId="AsuntodelcomentarioCar">
    <w:name w:val="Asunto del comentario Car"/>
    <w:basedOn w:val="TextocomentarioCar"/>
    <w:link w:val="Asuntodelcomentario"/>
    <w:uiPriority w:val="99"/>
    <w:semiHidden/>
    <w:rsid w:val="00FC592B"/>
    <w:rPr>
      <w:b/>
      <w:bCs/>
      <w:lang w:val="es-ES" w:eastAsia="es-ES"/>
    </w:rPr>
  </w:style>
  <w:style w:type="paragraph" w:customStyle="1" w:styleId="Texto">
    <w:name w:val="Texto"/>
    <w:basedOn w:val="Normal"/>
    <w:link w:val="TextoCar"/>
    <w:rsid w:val="00426F1E"/>
    <w:pPr>
      <w:spacing w:after="101" w:line="216" w:lineRule="exact"/>
      <w:ind w:firstLine="288"/>
      <w:jc w:val="both"/>
    </w:pPr>
    <w:rPr>
      <w:rFonts w:ascii="Arial" w:hAnsi="Arial" w:cs="Arial"/>
      <w:sz w:val="18"/>
      <w:szCs w:val="20"/>
    </w:rPr>
  </w:style>
  <w:style w:type="character" w:customStyle="1" w:styleId="TextoCar">
    <w:name w:val="Texto Car"/>
    <w:link w:val="Texto"/>
    <w:locked/>
    <w:rsid w:val="00426F1E"/>
    <w:rPr>
      <w:rFonts w:ascii="Arial" w:hAnsi="Arial" w:cs="Arial"/>
      <w:sz w:val="18"/>
      <w:lang w:val="es-ES" w:eastAsia="es-ES"/>
    </w:rPr>
  </w:style>
  <w:style w:type="paragraph" w:styleId="Textosinformato">
    <w:name w:val="Plain Text"/>
    <w:basedOn w:val="Normal"/>
    <w:link w:val="TextosinformatoCar"/>
    <w:rsid w:val="00426F1E"/>
    <w:rPr>
      <w:rFonts w:ascii="Courier New" w:hAnsi="Courier New" w:cs="Courier New"/>
      <w:sz w:val="20"/>
      <w:szCs w:val="20"/>
    </w:rPr>
  </w:style>
  <w:style w:type="character" w:customStyle="1" w:styleId="TextosinformatoCar">
    <w:name w:val="Texto sin formato Car"/>
    <w:basedOn w:val="Fuentedeprrafopredeter"/>
    <w:link w:val="Textosinformato"/>
    <w:rsid w:val="00426F1E"/>
    <w:rPr>
      <w:rFonts w:ascii="Courier New" w:hAnsi="Courier New" w:cs="Courier New"/>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4658">
      <w:bodyDiv w:val="1"/>
      <w:marLeft w:val="0"/>
      <w:marRight w:val="0"/>
      <w:marTop w:val="0"/>
      <w:marBottom w:val="0"/>
      <w:divBdr>
        <w:top w:val="none" w:sz="0" w:space="0" w:color="auto"/>
        <w:left w:val="none" w:sz="0" w:space="0" w:color="auto"/>
        <w:bottom w:val="none" w:sz="0" w:space="0" w:color="auto"/>
        <w:right w:val="none" w:sz="0" w:space="0" w:color="auto"/>
      </w:divBdr>
    </w:div>
    <w:div w:id="12192320">
      <w:bodyDiv w:val="1"/>
      <w:marLeft w:val="0"/>
      <w:marRight w:val="0"/>
      <w:marTop w:val="0"/>
      <w:marBottom w:val="0"/>
      <w:divBdr>
        <w:top w:val="none" w:sz="0" w:space="0" w:color="auto"/>
        <w:left w:val="none" w:sz="0" w:space="0" w:color="auto"/>
        <w:bottom w:val="none" w:sz="0" w:space="0" w:color="auto"/>
        <w:right w:val="none" w:sz="0" w:space="0" w:color="auto"/>
      </w:divBdr>
    </w:div>
    <w:div w:id="16198209">
      <w:bodyDiv w:val="1"/>
      <w:marLeft w:val="0"/>
      <w:marRight w:val="0"/>
      <w:marTop w:val="0"/>
      <w:marBottom w:val="0"/>
      <w:divBdr>
        <w:top w:val="none" w:sz="0" w:space="0" w:color="auto"/>
        <w:left w:val="none" w:sz="0" w:space="0" w:color="auto"/>
        <w:bottom w:val="none" w:sz="0" w:space="0" w:color="auto"/>
        <w:right w:val="none" w:sz="0" w:space="0" w:color="auto"/>
      </w:divBdr>
      <w:divsChild>
        <w:div w:id="489756299">
          <w:marLeft w:val="0"/>
          <w:marRight w:val="0"/>
          <w:marTop w:val="0"/>
          <w:marBottom w:val="0"/>
          <w:divBdr>
            <w:top w:val="none" w:sz="0" w:space="0" w:color="auto"/>
            <w:left w:val="none" w:sz="0" w:space="0" w:color="auto"/>
            <w:bottom w:val="none" w:sz="0" w:space="0" w:color="auto"/>
            <w:right w:val="none" w:sz="0" w:space="0" w:color="auto"/>
          </w:divBdr>
        </w:div>
        <w:div w:id="632172948">
          <w:marLeft w:val="0"/>
          <w:marRight w:val="0"/>
          <w:marTop w:val="0"/>
          <w:marBottom w:val="0"/>
          <w:divBdr>
            <w:top w:val="none" w:sz="0" w:space="0" w:color="auto"/>
            <w:left w:val="none" w:sz="0" w:space="0" w:color="auto"/>
            <w:bottom w:val="none" w:sz="0" w:space="0" w:color="auto"/>
            <w:right w:val="none" w:sz="0" w:space="0" w:color="auto"/>
          </w:divBdr>
        </w:div>
        <w:div w:id="698776159">
          <w:marLeft w:val="0"/>
          <w:marRight w:val="0"/>
          <w:marTop w:val="0"/>
          <w:marBottom w:val="0"/>
          <w:divBdr>
            <w:top w:val="none" w:sz="0" w:space="0" w:color="auto"/>
            <w:left w:val="none" w:sz="0" w:space="0" w:color="auto"/>
            <w:bottom w:val="none" w:sz="0" w:space="0" w:color="auto"/>
            <w:right w:val="none" w:sz="0" w:space="0" w:color="auto"/>
          </w:divBdr>
        </w:div>
        <w:div w:id="1011225830">
          <w:marLeft w:val="0"/>
          <w:marRight w:val="0"/>
          <w:marTop w:val="0"/>
          <w:marBottom w:val="0"/>
          <w:divBdr>
            <w:top w:val="none" w:sz="0" w:space="0" w:color="auto"/>
            <w:left w:val="none" w:sz="0" w:space="0" w:color="auto"/>
            <w:bottom w:val="none" w:sz="0" w:space="0" w:color="auto"/>
            <w:right w:val="none" w:sz="0" w:space="0" w:color="auto"/>
          </w:divBdr>
        </w:div>
        <w:div w:id="1028143673">
          <w:marLeft w:val="0"/>
          <w:marRight w:val="0"/>
          <w:marTop w:val="0"/>
          <w:marBottom w:val="0"/>
          <w:divBdr>
            <w:top w:val="none" w:sz="0" w:space="0" w:color="auto"/>
            <w:left w:val="none" w:sz="0" w:space="0" w:color="auto"/>
            <w:bottom w:val="none" w:sz="0" w:space="0" w:color="auto"/>
            <w:right w:val="none" w:sz="0" w:space="0" w:color="auto"/>
          </w:divBdr>
        </w:div>
        <w:div w:id="1077023111">
          <w:marLeft w:val="0"/>
          <w:marRight w:val="0"/>
          <w:marTop w:val="0"/>
          <w:marBottom w:val="0"/>
          <w:divBdr>
            <w:top w:val="none" w:sz="0" w:space="0" w:color="auto"/>
            <w:left w:val="none" w:sz="0" w:space="0" w:color="auto"/>
            <w:bottom w:val="none" w:sz="0" w:space="0" w:color="auto"/>
            <w:right w:val="none" w:sz="0" w:space="0" w:color="auto"/>
          </w:divBdr>
        </w:div>
        <w:div w:id="1309361602">
          <w:marLeft w:val="0"/>
          <w:marRight w:val="0"/>
          <w:marTop w:val="0"/>
          <w:marBottom w:val="0"/>
          <w:divBdr>
            <w:top w:val="none" w:sz="0" w:space="0" w:color="auto"/>
            <w:left w:val="none" w:sz="0" w:space="0" w:color="auto"/>
            <w:bottom w:val="none" w:sz="0" w:space="0" w:color="auto"/>
            <w:right w:val="none" w:sz="0" w:space="0" w:color="auto"/>
          </w:divBdr>
        </w:div>
        <w:div w:id="1379356091">
          <w:marLeft w:val="0"/>
          <w:marRight w:val="0"/>
          <w:marTop w:val="0"/>
          <w:marBottom w:val="0"/>
          <w:divBdr>
            <w:top w:val="none" w:sz="0" w:space="0" w:color="auto"/>
            <w:left w:val="none" w:sz="0" w:space="0" w:color="auto"/>
            <w:bottom w:val="none" w:sz="0" w:space="0" w:color="auto"/>
            <w:right w:val="none" w:sz="0" w:space="0" w:color="auto"/>
          </w:divBdr>
        </w:div>
        <w:div w:id="1402630343">
          <w:marLeft w:val="0"/>
          <w:marRight w:val="0"/>
          <w:marTop w:val="0"/>
          <w:marBottom w:val="0"/>
          <w:divBdr>
            <w:top w:val="none" w:sz="0" w:space="0" w:color="auto"/>
            <w:left w:val="none" w:sz="0" w:space="0" w:color="auto"/>
            <w:bottom w:val="none" w:sz="0" w:space="0" w:color="auto"/>
            <w:right w:val="none" w:sz="0" w:space="0" w:color="auto"/>
          </w:divBdr>
        </w:div>
        <w:div w:id="1426488813">
          <w:marLeft w:val="0"/>
          <w:marRight w:val="0"/>
          <w:marTop w:val="0"/>
          <w:marBottom w:val="0"/>
          <w:divBdr>
            <w:top w:val="none" w:sz="0" w:space="0" w:color="auto"/>
            <w:left w:val="none" w:sz="0" w:space="0" w:color="auto"/>
            <w:bottom w:val="none" w:sz="0" w:space="0" w:color="auto"/>
            <w:right w:val="none" w:sz="0" w:space="0" w:color="auto"/>
          </w:divBdr>
        </w:div>
        <w:div w:id="1444376446">
          <w:marLeft w:val="0"/>
          <w:marRight w:val="0"/>
          <w:marTop w:val="0"/>
          <w:marBottom w:val="0"/>
          <w:divBdr>
            <w:top w:val="none" w:sz="0" w:space="0" w:color="auto"/>
            <w:left w:val="none" w:sz="0" w:space="0" w:color="auto"/>
            <w:bottom w:val="none" w:sz="0" w:space="0" w:color="auto"/>
            <w:right w:val="none" w:sz="0" w:space="0" w:color="auto"/>
          </w:divBdr>
        </w:div>
        <w:div w:id="1742213218">
          <w:marLeft w:val="0"/>
          <w:marRight w:val="0"/>
          <w:marTop w:val="0"/>
          <w:marBottom w:val="0"/>
          <w:divBdr>
            <w:top w:val="none" w:sz="0" w:space="0" w:color="auto"/>
            <w:left w:val="none" w:sz="0" w:space="0" w:color="auto"/>
            <w:bottom w:val="none" w:sz="0" w:space="0" w:color="auto"/>
            <w:right w:val="none" w:sz="0" w:space="0" w:color="auto"/>
          </w:divBdr>
        </w:div>
        <w:div w:id="1751733133">
          <w:marLeft w:val="0"/>
          <w:marRight w:val="0"/>
          <w:marTop w:val="0"/>
          <w:marBottom w:val="0"/>
          <w:divBdr>
            <w:top w:val="none" w:sz="0" w:space="0" w:color="auto"/>
            <w:left w:val="none" w:sz="0" w:space="0" w:color="auto"/>
            <w:bottom w:val="none" w:sz="0" w:space="0" w:color="auto"/>
            <w:right w:val="none" w:sz="0" w:space="0" w:color="auto"/>
          </w:divBdr>
        </w:div>
        <w:div w:id="2091077186">
          <w:marLeft w:val="0"/>
          <w:marRight w:val="0"/>
          <w:marTop w:val="0"/>
          <w:marBottom w:val="0"/>
          <w:divBdr>
            <w:top w:val="none" w:sz="0" w:space="0" w:color="auto"/>
            <w:left w:val="none" w:sz="0" w:space="0" w:color="auto"/>
            <w:bottom w:val="none" w:sz="0" w:space="0" w:color="auto"/>
            <w:right w:val="none" w:sz="0" w:space="0" w:color="auto"/>
          </w:divBdr>
        </w:div>
        <w:div w:id="2120757088">
          <w:marLeft w:val="0"/>
          <w:marRight w:val="0"/>
          <w:marTop w:val="0"/>
          <w:marBottom w:val="0"/>
          <w:divBdr>
            <w:top w:val="none" w:sz="0" w:space="0" w:color="auto"/>
            <w:left w:val="none" w:sz="0" w:space="0" w:color="auto"/>
            <w:bottom w:val="none" w:sz="0" w:space="0" w:color="auto"/>
            <w:right w:val="none" w:sz="0" w:space="0" w:color="auto"/>
          </w:divBdr>
        </w:div>
      </w:divsChild>
    </w:div>
    <w:div w:id="17706385">
      <w:bodyDiv w:val="1"/>
      <w:marLeft w:val="0"/>
      <w:marRight w:val="0"/>
      <w:marTop w:val="0"/>
      <w:marBottom w:val="0"/>
      <w:divBdr>
        <w:top w:val="none" w:sz="0" w:space="0" w:color="auto"/>
        <w:left w:val="none" w:sz="0" w:space="0" w:color="auto"/>
        <w:bottom w:val="none" w:sz="0" w:space="0" w:color="auto"/>
        <w:right w:val="none" w:sz="0" w:space="0" w:color="auto"/>
      </w:divBdr>
      <w:divsChild>
        <w:div w:id="451241714">
          <w:marLeft w:val="0"/>
          <w:marRight w:val="0"/>
          <w:marTop w:val="0"/>
          <w:marBottom w:val="0"/>
          <w:divBdr>
            <w:top w:val="none" w:sz="0" w:space="0" w:color="auto"/>
            <w:left w:val="none" w:sz="0" w:space="0" w:color="auto"/>
            <w:bottom w:val="none" w:sz="0" w:space="0" w:color="auto"/>
            <w:right w:val="none" w:sz="0" w:space="0" w:color="auto"/>
          </w:divBdr>
        </w:div>
        <w:div w:id="1144614810">
          <w:marLeft w:val="0"/>
          <w:marRight w:val="0"/>
          <w:marTop w:val="0"/>
          <w:marBottom w:val="0"/>
          <w:divBdr>
            <w:top w:val="none" w:sz="0" w:space="0" w:color="auto"/>
            <w:left w:val="none" w:sz="0" w:space="0" w:color="auto"/>
            <w:bottom w:val="none" w:sz="0" w:space="0" w:color="auto"/>
            <w:right w:val="none" w:sz="0" w:space="0" w:color="auto"/>
          </w:divBdr>
        </w:div>
        <w:div w:id="1733310177">
          <w:marLeft w:val="0"/>
          <w:marRight w:val="0"/>
          <w:marTop w:val="0"/>
          <w:marBottom w:val="0"/>
          <w:divBdr>
            <w:top w:val="none" w:sz="0" w:space="0" w:color="auto"/>
            <w:left w:val="none" w:sz="0" w:space="0" w:color="auto"/>
            <w:bottom w:val="none" w:sz="0" w:space="0" w:color="auto"/>
            <w:right w:val="none" w:sz="0" w:space="0" w:color="auto"/>
          </w:divBdr>
        </w:div>
      </w:divsChild>
    </w:div>
    <w:div w:id="66852626">
      <w:bodyDiv w:val="1"/>
      <w:marLeft w:val="0"/>
      <w:marRight w:val="0"/>
      <w:marTop w:val="0"/>
      <w:marBottom w:val="0"/>
      <w:divBdr>
        <w:top w:val="none" w:sz="0" w:space="0" w:color="auto"/>
        <w:left w:val="none" w:sz="0" w:space="0" w:color="auto"/>
        <w:bottom w:val="none" w:sz="0" w:space="0" w:color="auto"/>
        <w:right w:val="none" w:sz="0" w:space="0" w:color="auto"/>
      </w:divBdr>
    </w:div>
    <w:div w:id="71894091">
      <w:bodyDiv w:val="1"/>
      <w:marLeft w:val="0"/>
      <w:marRight w:val="0"/>
      <w:marTop w:val="0"/>
      <w:marBottom w:val="0"/>
      <w:divBdr>
        <w:top w:val="none" w:sz="0" w:space="0" w:color="auto"/>
        <w:left w:val="none" w:sz="0" w:space="0" w:color="auto"/>
        <w:bottom w:val="none" w:sz="0" w:space="0" w:color="auto"/>
        <w:right w:val="none" w:sz="0" w:space="0" w:color="auto"/>
      </w:divBdr>
      <w:divsChild>
        <w:div w:id="32925512">
          <w:marLeft w:val="0"/>
          <w:marRight w:val="0"/>
          <w:marTop w:val="0"/>
          <w:marBottom w:val="0"/>
          <w:divBdr>
            <w:top w:val="none" w:sz="0" w:space="0" w:color="auto"/>
            <w:left w:val="none" w:sz="0" w:space="0" w:color="auto"/>
            <w:bottom w:val="none" w:sz="0" w:space="0" w:color="auto"/>
            <w:right w:val="none" w:sz="0" w:space="0" w:color="auto"/>
          </w:divBdr>
        </w:div>
        <w:div w:id="92478448">
          <w:marLeft w:val="0"/>
          <w:marRight w:val="0"/>
          <w:marTop w:val="0"/>
          <w:marBottom w:val="0"/>
          <w:divBdr>
            <w:top w:val="none" w:sz="0" w:space="0" w:color="auto"/>
            <w:left w:val="none" w:sz="0" w:space="0" w:color="auto"/>
            <w:bottom w:val="none" w:sz="0" w:space="0" w:color="auto"/>
            <w:right w:val="none" w:sz="0" w:space="0" w:color="auto"/>
          </w:divBdr>
        </w:div>
        <w:div w:id="178391196">
          <w:marLeft w:val="0"/>
          <w:marRight w:val="0"/>
          <w:marTop w:val="0"/>
          <w:marBottom w:val="0"/>
          <w:divBdr>
            <w:top w:val="none" w:sz="0" w:space="0" w:color="auto"/>
            <w:left w:val="none" w:sz="0" w:space="0" w:color="auto"/>
            <w:bottom w:val="none" w:sz="0" w:space="0" w:color="auto"/>
            <w:right w:val="none" w:sz="0" w:space="0" w:color="auto"/>
          </w:divBdr>
        </w:div>
        <w:div w:id="196889228">
          <w:marLeft w:val="0"/>
          <w:marRight w:val="0"/>
          <w:marTop w:val="0"/>
          <w:marBottom w:val="0"/>
          <w:divBdr>
            <w:top w:val="none" w:sz="0" w:space="0" w:color="auto"/>
            <w:left w:val="none" w:sz="0" w:space="0" w:color="auto"/>
            <w:bottom w:val="none" w:sz="0" w:space="0" w:color="auto"/>
            <w:right w:val="none" w:sz="0" w:space="0" w:color="auto"/>
          </w:divBdr>
        </w:div>
        <w:div w:id="264769050">
          <w:marLeft w:val="0"/>
          <w:marRight w:val="0"/>
          <w:marTop w:val="0"/>
          <w:marBottom w:val="0"/>
          <w:divBdr>
            <w:top w:val="none" w:sz="0" w:space="0" w:color="auto"/>
            <w:left w:val="none" w:sz="0" w:space="0" w:color="auto"/>
            <w:bottom w:val="none" w:sz="0" w:space="0" w:color="auto"/>
            <w:right w:val="none" w:sz="0" w:space="0" w:color="auto"/>
          </w:divBdr>
        </w:div>
        <w:div w:id="350958788">
          <w:marLeft w:val="0"/>
          <w:marRight w:val="0"/>
          <w:marTop w:val="0"/>
          <w:marBottom w:val="0"/>
          <w:divBdr>
            <w:top w:val="none" w:sz="0" w:space="0" w:color="auto"/>
            <w:left w:val="none" w:sz="0" w:space="0" w:color="auto"/>
            <w:bottom w:val="none" w:sz="0" w:space="0" w:color="auto"/>
            <w:right w:val="none" w:sz="0" w:space="0" w:color="auto"/>
          </w:divBdr>
        </w:div>
        <w:div w:id="410156415">
          <w:marLeft w:val="0"/>
          <w:marRight w:val="0"/>
          <w:marTop w:val="0"/>
          <w:marBottom w:val="0"/>
          <w:divBdr>
            <w:top w:val="none" w:sz="0" w:space="0" w:color="auto"/>
            <w:left w:val="none" w:sz="0" w:space="0" w:color="auto"/>
            <w:bottom w:val="none" w:sz="0" w:space="0" w:color="auto"/>
            <w:right w:val="none" w:sz="0" w:space="0" w:color="auto"/>
          </w:divBdr>
        </w:div>
        <w:div w:id="431319286">
          <w:marLeft w:val="0"/>
          <w:marRight w:val="0"/>
          <w:marTop w:val="0"/>
          <w:marBottom w:val="0"/>
          <w:divBdr>
            <w:top w:val="none" w:sz="0" w:space="0" w:color="auto"/>
            <w:left w:val="none" w:sz="0" w:space="0" w:color="auto"/>
            <w:bottom w:val="none" w:sz="0" w:space="0" w:color="auto"/>
            <w:right w:val="none" w:sz="0" w:space="0" w:color="auto"/>
          </w:divBdr>
        </w:div>
        <w:div w:id="487788995">
          <w:marLeft w:val="0"/>
          <w:marRight w:val="0"/>
          <w:marTop w:val="0"/>
          <w:marBottom w:val="0"/>
          <w:divBdr>
            <w:top w:val="none" w:sz="0" w:space="0" w:color="auto"/>
            <w:left w:val="none" w:sz="0" w:space="0" w:color="auto"/>
            <w:bottom w:val="none" w:sz="0" w:space="0" w:color="auto"/>
            <w:right w:val="none" w:sz="0" w:space="0" w:color="auto"/>
          </w:divBdr>
        </w:div>
        <w:div w:id="494414460">
          <w:marLeft w:val="0"/>
          <w:marRight w:val="0"/>
          <w:marTop w:val="0"/>
          <w:marBottom w:val="0"/>
          <w:divBdr>
            <w:top w:val="none" w:sz="0" w:space="0" w:color="auto"/>
            <w:left w:val="none" w:sz="0" w:space="0" w:color="auto"/>
            <w:bottom w:val="none" w:sz="0" w:space="0" w:color="auto"/>
            <w:right w:val="none" w:sz="0" w:space="0" w:color="auto"/>
          </w:divBdr>
        </w:div>
        <w:div w:id="510267519">
          <w:marLeft w:val="0"/>
          <w:marRight w:val="0"/>
          <w:marTop w:val="0"/>
          <w:marBottom w:val="0"/>
          <w:divBdr>
            <w:top w:val="none" w:sz="0" w:space="0" w:color="auto"/>
            <w:left w:val="none" w:sz="0" w:space="0" w:color="auto"/>
            <w:bottom w:val="none" w:sz="0" w:space="0" w:color="auto"/>
            <w:right w:val="none" w:sz="0" w:space="0" w:color="auto"/>
          </w:divBdr>
        </w:div>
        <w:div w:id="514004801">
          <w:marLeft w:val="0"/>
          <w:marRight w:val="0"/>
          <w:marTop w:val="0"/>
          <w:marBottom w:val="0"/>
          <w:divBdr>
            <w:top w:val="none" w:sz="0" w:space="0" w:color="auto"/>
            <w:left w:val="none" w:sz="0" w:space="0" w:color="auto"/>
            <w:bottom w:val="none" w:sz="0" w:space="0" w:color="auto"/>
            <w:right w:val="none" w:sz="0" w:space="0" w:color="auto"/>
          </w:divBdr>
        </w:div>
        <w:div w:id="526214768">
          <w:marLeft w:val="0"/>
          <w:marRight w:val="0"/>
          <w:marTop w:val="0"/>
          <w:marBottom w:val="0"/>
          <w:divBdr>
            <w:top w:val="none" w:sz="0" w:space="0" w:color="auto"/>
            <w:left w:val="none" w:sz="0" w:space="0" w:color="auto"/>
            <w:bottom w:val="none" w:sz="0" w:space="0" w:color="auto"/>
            <w:right w:val="none" w:sz="0" w:space="0" w:color="auto"/>
          </w:divBdr>
        </w:div>
        <w:div w:id="618755729">
          <w:marLeft w:val="0"/>
          <w:marRight w:val="0"/>
          <w:marTop w:val="0"/>
          <w:marBottom w:val="0"/>
          <w:divBdr>
            <w:top w:val="none" w:sz="0" w:space="0" w:color="auto"/>
            <w:left w:val="none" w:sz="0" w:space="0" w:color="auto"/>
            <w:bottom w:val="none" w:sz="0" w:space="0" w:color="auto"/>
            <w:right w:val="none" w:sz="0" w:space="0" w:color="auto"/>
          </w:divBdr>
        </w:div>
        <w:div w:id="650990215">
          <w:marLeft w:val="0"/>
          <w:marRight w:val="0"/>
          <w:marTop w:val="0"/>
          <w:marBottom w:val="0"/>
          <w:divBdr>
            <w:top w:val="none" w:sz="0" w:space="0" w:color="auto"/>
            <w:left w:val="none" w:sz="0" w:space="0" w:color="auto"/>
            <w:bottom w:val="none" w:sz="0" w:space="0" w:color="auto"/>
            <w:right w:val="none" w:sz="0" w:space="0" w:color="auto"/>
          </w:divBdr>
        </w:div>
        <w:div w:id="675763125">
          <w:marLeft w:val="0"/>
          <w:marRight w:val="0"/>
          <w:marTop w:val="0"/>
          <w:marBottom w:val="0"/>
          <w:divBdr>
            <w:top w:val="none" w:sz="0" w:space="0" w:color="auto"/>
            <w:left w:val="none" w:sz="0" w:space="0" w:color="auto"/>
            <w:bottom w:val="none" w:sz="0" w:space="0" w:color="auto"/>
            <w:right w:val="none" w:sz="0" w:space="0" w:color="auto"/>
          </w:divBdr>
        </w:div>
        <w:div w:id="696470248">
          <w:marLeft w:val="0"/>
          <w:marRight w:val="0"/>
          <w:marTop w:val="0"/>
          <w:marBottom w:val="0"/>
          <w:divBdr>
            <w:top w:val="none" w:sz="0" w:space="0" w:color="auto"/>
            <w:left w:val="none" w:sz="0" w:space="0" w:color="auto"/>
            <w:bottom w:val="none" w:sz="0" w:space="0" w:color="auto"/>
            <w:right w:val="none" w:sz="0" w:space="0" w:color="auto"/>
          </w:divBdr>
        </w:div>
        <w:div w:id="799227182">
          <w:marLeft w:val="0"/>
          <w:marRight w:val="0"/>
          <w:marTop w:val="0"/>
          <w:marBottom w:val="0"/>
          <w:divBdr>
            <w:top w:val="none" w:sz="0" w:space="0" w:color="auto"/>
            <w:left w:val="none" w:sz="0" w:space="0" w:color="auto"/>
            <w:bottom w:val="none" w:sz="0" w:space="0" w:color="auto"/>
            <w:right w:val="none" w:sz="0" w:space="0" w:color="auto"/>
          </w:divBdr>
        </w:div>
        <w:div w:id="850333985">
          <w:marLeft w:val="0"/>
          <w:marRight w:val="0"/>
          <w:marTop w:val="0"/>
          <w:marBottom w:val="0"/>
          <w:divBdr>
            <w:top w:val="none" w:sz="0" w:space="0" w:color="auto"/>
            <w:left w:val="none" w:sz="0" w:space="0" w:color="auto"/>
            <w:bottom w:val="none" w:sz="0" w:space="0" w:color="auto"/>
            <w:right w:val="none" w:sz="0" w:space="0" w:color="auto"/>
          </w:divBdr>
        </w:div>
        <w:div w:id="878593116">
          <w:marLeft w:val="0"/>
          <w:marRight w:val="0"/>
          <w:marTop w:val="0"/>
          <w:marBottom w:val="0"/>
          <w:divBdr>
            <w:top w:val="none" w:sz="0" w:space="0" w:color="auto"/>
            <w:left w:val="none" w:sz="0" w:space="0" w:color="auto"/>
            <w:bottom w:val="none" w:sz="0" w:space="0" w:color="auto"/>
            <w:right w:val="none" w:sz="0" w:space="0" w:color="auto"/>
          </w:divBdr>
        </w:div>
        <w:div w:id="929701003">
          <w:marLeft w:val="0"/>
          <w:marRight w:val="0"/>
          <w:marTop w:val="0"/>
          <w:marBottom w:val="0"/>
          <w:divBdr>
            <w:top w:val="none" w:sz="0" w:space="0" w:color="auto"/>
            <w:left w:val="none" w:sz="0" w:space="0" w:color="auto"/>
            <w:bottom w:val="none" w:sz="0" w:space="0" w:color="auto"/>
            <w:right w:val="none" w:sz="0" w:space="0" w:color="auto"/>
          </w:divBdr>
        </w:div>
        <w:div w:id="960456817">
          <w:marLeft w:val="0"/>
          <w:marRight w:val="0"/>
          <w:marTop w:val="0"/>
          <w:marBottom w:val="0"/>
          <w:divBdr>
            <w:top w:val="none" w:sz="0" w:space="0" w:color="auto"/>
            <w:left w:val="none" w:sz="0" w:space="0" w:color="auto"/>
            <w:bottom w:val="none" w:sz="0" w:space="0" w:color="auto"/>
            <w:right w:val="none" w:sz="0" w:space="0" w:color="auto"/>
          </w:divBdr>
        </w:div>
        <w:div w:id="981928862">
          <w:marLeft w:val="0"/>
          <w:marRight w:val="0"/>
          <w:marTop w:val="0"/>
          <w:marBottom w:val="0"/>
          <w:divBdr>
            <w:top w:val="none" w:sz="0" w:space="0" w:color="auto"/>
            <w:left w:val="none" w:sz="0" w:space="0" w:color="auto"/>
            <w:bottom w:val="none" w:sz="0" w:space="0" w:color="auto"/>
            <w:right w:val="none" w:sz="0" w:space="0" w:color="auto"/>
          </w:divBdr>
        </w:div>
        <w:div w:id="1010525561">
          <w:marLeft w:val="0"/>
          <w:marRight w:val="0"/>
          <w:marTop w:val="0"/>
          <w:marBottom w:val="0"/>
          <w:divBdr>
            <w:top w:val="none" w:sz="0" w:space="0" w:color="auto"/>
            <w:left w:val="none" w:sz="0" w:space="0" w:color="auto"/>
            <w:bottom w:val="none" w:sz="0" w:space="0" w:color="auto"/>
            <w:right w:val="none" w:sz="0" w:space="0" w:color="auto"/>
          </w:divBdr>
        </w:div>
        <w:div w:id="1047606329">
          <w:marLeft w:val="0"/>
          <w:marRight w:val="0"/>
          <w:marTop w:val="0"/>
          <w:marBottom w:val="0"/>
          <w:divBdr>
            <w:top w:val="none" w:sz="0" w:space="0" w:color="auto"/>
            <w:left w:val="none" w:sz="0" w:space="0" w:color="auto"/>
            <w:bottom w:val="none" w:sz="0" w:space="0" w:color="auto"/>
            <w:right w:val="none" w:sz="0" w:space="0" w:color="auto"/>
          </w:divBdr>
        </w:div>
        <w:div w:id="1066493241">
          <w:marLeft w:val="0"/>
          <w:marRight w:val="0"/>
          <w:marTop w:val="0"/>
          <w:marBottom w:val="0"/>
          <w:divBdr>
            <w:top w:val="none" w:sz="0" w:space="0" w:color="auto"/>
            <w:left w:val="none" w:sz="0" w:space="0" w:color="auto"/>
            <w:bottom w:val="none" w:sz="0" w:space="0" w:color="auto"/>
            <w:right w:val="none" w:sz="0" w:space="0" w:color="auto"/>
          </w:divBdr>
        </w:div>
        <w:div w:id="1112092152">
          <w:marLeft w:val="0"/>
          <w:marRight w:val="0"/>
          <w:marTop w:val="0"/>
          <w:marBottom w:val="0"/>
          <w:divBdr>
            <w:top w:val="none" w:sz="0" w:space="0" w:color="auto"/>
            <w:left w:val="none" w:sz="0" w:space="0" w:color="auto"/>
            <w:bottom w:val="none" w:sz="0" w:space="0" w:color="auto"/>
            <w:right w:val="none" w:sz="0" w:space="0" w:color="auto"/>
          </w:divBdr>
        </w:div>
        <w:div w:id="1136335712">
          <w:marLeft w:val="0"/>
          <w:marRight w:val="0"/>
          <w:marTop w:val="0"/>
          <w:marBottom w:val="0"/>
          <w:divBdr>
            <w:top w:val="none" w:sz="0" w:space="0" w:color="auto"/>
            <w:left w:val="none" w:sz="0" w:space="0" w:color="auto"/>
            <w:bottom w:val="none" w:sz="0" w:space="0" w:color="auto"/>
            <w:right w:val="none" w:sz="0" w:space="0" w:color="auto"/>
          </w:divBdr>
        </w:div>
        <w:div w:id="1195387496">
          <w:marLeft w:val="0"/>
          <w:marRight w:val="0"/>
          <w:marTop w:val="0"/>
          <w:marBottom w:val="0"/>
          <w:divBdr>
            <w:top w:val="none" w:sz="0" w:space="0" w:color="auto"/>
            <w:left w:val="none" w:sz="0" w:space="0" w:color="auto"/>
            <w:bottom w:val="none" w:sz="0" w:space="0" w:color="auto"/>
            <w:right w:val="none" w:sz="0" w:space="0" w:color="auto"/>
          </w:divBdr>
        </w:div>
        <w:div w:id="1305617464">
          <w:marLeft w:val="0"/>
          <w:marRight w:val="0"/>
          <w:marTop w:val="0"/>
          <w:marBottom w:val="0"/>
          <w:divBdr>
            <w:top w:val="none" w:sz="0" w:space="0" w:color="auto"/>
            <w:left w:val="none" w:sz="0" w:space="0" w:color="auto"/>
            <w:bottom w:val="none" w:sz="0" w:space="0" w:color="auto"/>
            <w:right w:val="none" w:sz="0" w:space="0" w:color="auto"/>
          </w:divBdr>
        </w:div>
        <w:div w:id="1383990368">
          <w:marLeft w:val="0"/>
          <w:marRight w:val="0"/>
          <w:marTop w:val="0"/>
          <w:marBottom w:val="0"/>
          <w:divBdr>
            <w:top w:val="none" w:sz="0" w:space="0" w:color="auto"/>
            <w:left w:val="none" w:sz="0" w:space="0" w:color="auto"/>
            <w:bottom w:val="none" w:sz="0" w:space="0" w:color="auto"/>
            <w:right w:val="none" w:sz="0" w:space="0" w:color="auto"/>
          </w:divBdr>
        </w:div>
        <w:div w:id="1473206711">
          <w:marLeft w:val="0"/>
          <w:marRight w:val="0"/>
          <w:marTop w:val="0"/>
          <w:marBottom w:val="0"/>
          <w:divBdr>
            <w:top w:val="none" w:sz="0" w:space="0" w:color="auto"/>
            <w:left w:val="none" w:sz="0" w:space="0" w:color="auto"/>
            <w:bottom w:val="none" w:sz="0" w:space="0" w:color="auto"/>
            <w:right w:val="none" w:sz="0" w:space="0" w:color="auto"/>
          </w:divBdr>
        </w:div>
        <w:div w:id="1536235569">
          <w:marLeft w:val="0"/>
          <w:marRight w:val="0"/>
          <w:marTop w:val="0"/>
          <w:marBottom w:val="0"/>
          <w:divBdr>
            <w:top w:val="none" w:sz="0" w:space="0" w:color="auto"/>
            <w:left w:val="none" w:sz="0" w:space="0" w:color="auto"/>
            <w:bottom w:val="none" w:sz="0" w:space="0" w:color="auto"/>
            <w:right w:val="none" w:sz="0" w:space="0" w:color="auto"/>
          </w:divBdr>
        </w:div>
        <w:div w:id="1617299093">
          <w:marLeft w:val="0"/>
          <w:marRight w:val="0"/>
          <w:marTop w:val="0"/>
          <w:marBottom w:val="0"/>
          <w:divBdr>
            <w:top w:val="none" w:sz="0" w:space="0" w:color="auto"/>
            <w:left w:val="none" w:sz="0" w:space="0" w:color="auto"/>
            <w:bottom w:val="none" w:sz="0" w:space="0" w:color="auto"/>
            <w:right w:val="none" w:sz="0" w:space="0" w:color="auto"/>
          </w:divBdr>
        </w:div>
        <w:div w:id="1690911807">
          <w:marLeft w:val="0"/>
          <w:marRight w:val="0"/>
          <w:marTop w:val="0"/>
          <w:marBottom w:val="0"/>
          <w:divBdr>
            <w:top w:val="none" w:sz="0" w:space="0" w:color="auto"/>
            <w:left w:val="none" w:sz="0" w:space="0" w:color="auto"/>
            <w:bottom w:val="none" w:sz="0" w:space="0" w:color="auto"/>
            <w:right w:val="none" w:sz="0" w:space="0" w:color="auto"/>
          </w:divBdr>
        </w:div>
        <w:div w:id="1710689209">
          <w:marLeft w:val="0"/>
          <w:marRight w:val="0"/>
          <w:marTop w:val="0"/>
          <w:marBottom w:val="0"/>
          <w:divBdr>
            <w:top w:val="none" w:sz="0" w:space="0" w:color="auto"/>
            <w:left w:val="none" w:sz="0" w:space="0" w:color="auto"/>
            <w:bottom w:val="none" w:sz="0" w:space="0" w:color="auto"/>
            <w:right w:val="none" w:sz="0" w:space="0" w:color="auto"/>
          </w:divBdr>
        </w:div>
        <w:div w:id="1711832637">
          <w:marLeft w:val="0"/>
          <w:marRight w:val="0"/>
          <w:marTop w:val="0"/>
          <w:marBottom w:val="0"/>
          <w:divBdr>
            <w:top w:val="none" w:sz="0" w:space="0" w:color="auto"/>
            <w:left w:val="none" w:sz="0" w:space="0" w:color="auto"/>
            <w:bottom w:val="none" w:sz="0" w:space="0" w:color="auto"/>
            <w:right w:val="none" w:sz="0" w:space="0" w:color="auto"/>
          </w:divBdr>
        </w:div>
        <w:div w:id="1741908066">
          <w:marLeft w:val="0"/>
          <w:marRight w:val="0"/>
          <w:marTop w:val="0"/>
          <w:marBottom w:val="0"/>
          <w:divBdr>
            <w:top w:val="none" w:sz="0" w:space="0" w:color="auto"/>
            <w:left w:val="none" w:sz="0" w:space="0" w:color="auto"/>
            <w:bottom w:val="none" w:sz="0" w:space="0" w:color="auto"/>
            <w:right w:val="none" w:sz="0" w:space="0" w:color="auto"/>
          </w:divBdr>
        </w:div>
        <w:div w:id="1765608506">
          <w:marLeft w:val="0"/>
          <w:marRight w:val="0"/>
          <w:marTop w:val="0"/>
          <w:marBottom w:val="0"/>
          <w:divBdr>
            <w:top w:val="none" w:sz="0" w:space="0" w:color="auto"/>
            <w:left w:val="none" w:sz="0" w:space="0" w:color="auto"/>
            <w:bottom w:val="none" w:sz="0" w:space="0" w:color="auto"/>
            <w:right w:val="none" w:sz="0" w:space="0" w:color="auto"/>
          </w:divBdr>
        </w:div>
        <w:div w:id="1827085932">
          <w:marLeft w:val="0"/>
          <w:marRight w:val="0"/>
          <w:marTop w:val="0"/>
          <w:marBottom w:val="0"/>
          <w:divBdr>
            <w:top w:val="none" w:sz="0" w:space="0" w:color="auto"/>
            <w:left w:val="none" w:sz="0" w:space="0" w:color="auto"/>
            <w:bottom w:val="none" w:sz="0" w:space="0" w:color="auto"/>
            <w:right w:val="none" w:sz="0" w:space="0" w:color="auto"/>
          </w:divBdr>
        </w:div>
        <w:div w:id="1854108942">
          <w:marLeft w:val="0"/>
          <w:marRight w:val="0"/>
          <w:marTop w:val="0"/>
          <w:marBottom w:val="0"/>
          <w:divBdr>
            <w:top w:val="none" w:sz="0" w:space="0" w:color="auto"/>
            <w:left w:val="none" w:sz="0" w:space="0" w:color="auto"/>
            <w:bottom w:val="none" w:sz="0" w:space="0" w:color="auto"/>
            <w:right w:val="none" w:sz="0" w:space="0" w:color="auto"/>
          </w:divBdr>
        </w:div>
        <w:div w:id="1983654012">
          <w:marLeft w:val="0"/>
          <w:marRight w:val="0"/>
          <w:marTop w:val="0"/>
          <w:marBottom w:val="0"/>
          <w:divBdr>
            <w:top w:val="none" w:sz="0" w:space="0" w:color="auto"/>
            <w:left w:val="none" w:sz="0" w:space="0" w:color="auto"/>
            <w:bottom w:val="none" w:sz="0" w:space="0" w:color="auto"/>
            <w:right w:val="none" w:sz="0" w:space="0" w:color="auto"/>
          </w:divBdr>
        </w:div>
        <w:div w:id="2065445071">
          <w:marLeft w:val="0"/>
          <w:marRight w:val="0"/>
          <w:marTop w:val="0"/>
          <w:marBottom w:val="0"/>
          <w:divBdr>
            <w:top w:val="none" w:sz="0" w:space="0" w:color="auto"/>
            <w:left w:val="none" w:sz="0" w:space="0" w:color="auto"/>
            <w:bottom w:val="none" w:sz="0" w:space="0" w:color="auto"/>
            <w:right w:val="none" w:sz="0" w:space="0" w:color="auto"/>
          </w:divBdr>
        </w:div>
      </w:divsChild>
    </w:div>
    <w:div w:id="98381503">
      <w:bodyDiv w:val="1"/>
      <w:marLeft w:val="0"/>
      <w:marRight w:val="0"/>
      <w:marTop w:val="0"/>
      <w:marBottom w:val="0"/>
      <w:divBdr>
        <w:top w:val="none" w:sz="0" w:space="0" w:color="auto"/>
        <w:left w:val="none" w:sz="0" w:space="0" w:color="auto"/>
        <w:bottom w:val="none" w:sz="0" w:space="0" w:color="auto"/>
        <w:right w:val="none" w:sz="0" w:space="0" w:color="auto"/>
      </w:divBdr>
    </w:div>
    <w:div w:id="102195339">
      <w:bodyDiv w:val="1"/>
      <w:marLeft w:val="0"/>
      <w:marRight w:val="0"/>
      <w:marTop w:val="0"/>
      <w:marBottom w:val="0"/>
      <w:divBdr>
        <w:top w:val="none" w:sz="0" w:space="0" w:color="auto"/>
        <w:left w:val="none" w:sz="0" w:space="0" w:color="auto"/>
        <w:bottom w:val="none" w:sz="0" w:space="0" w:color="auto"/>
        <w:right w:val="none" w:sz="0" w:space="0" w:color="auto"/>
      </w:divBdr>
    </w:div>
    <w:div w:id="117989317">
      <w:bodyDiv w:val="1"/>
      <w:marLeft w:val="0"/>
      <w:marRight w:val="0"/>
      <w:marTop w:val="0"/>
      <w:marBottom w:val="0"/>
      <w:divBdr>
        <w:top w:val="none" w:sz="0" w:space="0" w:color="auto"/>
        <w:left w:val="none" w:sz="0" w:space="0" w:color="auto"/>
        <w:bottom w:val="none" w:sz="0" w:space="0" w:color="auto"/>
        <w:right w:val="none" w:sz="0" w:space="0" w:color="auto"/>
      </w:divBdr>
    </w:div>
    <w:div w:id="128130615">
      <w:bodyDiv w:val="1"/>
      <w:marLeft w:val="0"/>
      <w:marRight w:val="0"/>
      <w:marTop w:val="0"/>
      <w:marBottom w:val="0"/>
      <w:divBdr>
        <w:top w:val="none" w:sz="0" w:space="0" w:color="auto"/>
        <w:left w:val="none" w:sz="0" w:space="0" w:color="auto"/>
        <w:bottom w:val="none" w:sz="0" w:space="0" w:color="auto"/>
        <w:right w:val="none" w:sz="0" w:space="0" w:color="auto"/>
      </w:divBdr>
    </w:div>
    <w:div w:id="135150296">
      <w:bodyDiv w:val="1"/>
      <w:marLeft w:val="0"/>
      <w:marRight w:val="0"/>
      <w:marTop w:val="0"/>
      <w:marBottom w:val="0"/>
      <w:divBdr>
        <w:top w:val="none" w:sz="0" w:space="0" w:color="auto"/>
        <w:left w:val="none" w:sz="0" w:space="0" w:color="auto"/>
        <w:bottom w:val="none" w:sz="0" w:space="0" w:color="auto"/>
        <w:right w:val="none" w:sz="0" w:space="0" w:color="auto"/>
      </w:divBdr>
    </w:div>
    <w:div w:id="155389584">
      <w:bodyDiv w:val="1"/>
      <w:marLeft w:val="0"/>
      <w:marRight w:val="0"/>
      <w:marTop w:val="0"/>
      <w:marBottom w:val="0"/>
      <w:divBdr>
        <w:top w:val="none" w:sz="0" w:space="0" w:color="auto"/>
        <w:left w:val="none" w:sz="0" w:space="0" w:color="auto"/>
        <w:bottom w:val="none" w:sz="0" w:space="0" w:color="auto"/>
        <w:right w:val="none" w:sz="0" w:space="0" w:color="auto"/>
      </w:divBdr>
      <w:divsChild>
        <w:div w:id="104928510">
          <w:marLeft w:val="0"/>
          <w:marRight w:val="0"/>
          <w:marTop w:val="0"/>
          <w:marBottom w:val="0"/>
          <w:divBdr>
            <w:top w:val="none" w:sz="0" w:space="0" w:color="auto"/>
            <w:left w:val="none" w:sz="0" w:space="0" w:color="auto"/>
            <w:bottom w:val="none" w:sz="0" w:space="0" w:color="auto"/>
            <w:right w:val="none" w:sz="0" w:space="0" w:color="auto"/>
          </w:divBdr>
        </w:div>
        <w:div w:id="351414653">
          <w:marLeft w:val="0"/>
          <w:marRight w:val="0"/>
          <w:marTop w:val="0"/>
          <w:marBottom w:val="0"/>
          <w:divBdr>
            <w:top w:val="none" w:sz="0" w:space="0" w:color="auto"/>
            <w:left w:val="none" w:sz="0" w:space="0" w:color="auto"/>
            <w:bottom w:val="none" w:sz="0" w:space="0" w:color="auto"/>
            <w:right w:val="none" w:sz="0" w:space="0" w:color="auto"/>
          </w:divBdr>
        </w:div>
        <w:div w:id="375933241">
          <w:marLeft w:val="0"/>
          <w:marRight w:val="0"/>
          <w:marTop w:val="0"/>
          <w:marBottom w:val="0"/>
          <w:divBdr>
            <w:top w:val="none" w:sz="0" w:space="0" w:color="auto"/>
            <w:left w:val="none" w:sz="0" w:space="0" w:color="auto"/>
            <w:bottom w:val="none" w:sz="0" w:space="0" w:color="auto"/>
            <w:right w:val="none" w:sz="0" w:space="0" w:color="auto"/>
          </w:divBdr>
        </w:div>
        <w:div w:id="409235169">
          <w:marLeft w:val="0"/>
          <w:marRight w:val="0"/>
          <w:marTop w:val="0"/>
          <w:marBottom w:val="0"/>
          <w:divBdr>
            <w:top w:val="none" w:sz="0" w:space="0" w:color="auto"/>
            <w:left w:val="none" w:sz="0" w:space="0" w:color="auto"/>
            <w:bottom w:val="none" w:sz="0" w:space="0" w:color="auto"/>
            <w:right w:val="none" w:sz="0" w:space="0" w:color="auto"/>
          </w:divBdr>
        </w:div>
        <w:div w:id="464736771">
          <w:marLeft w:val="0"/>
          <w:marRight w:val="0"/>
          <w:marTop w:val="0"/>
          <w:marBottom w:val="0"/>
          <w:divBdr>
            <w:top w:val="none" w:sz="0" w:space="0" w:color="auto"/>
            <w:left w:val="none" w:sz="0" w:space="0" w:color="auto"/>
            <w:bottom w:val="none" w:sz="0" w:space="0" w:color="auto"/>
            <w:right w:val="none" w:sz="0" w:space="0" w:color="auto"/>
          </w:divBdr>
        </w:div>
        <w:div w:id="513767513">
          <w:marLeft w:val="0"/>
          <w:marRight w:val="0"/>
          <w:marTop w:val="0"/>
          <w:marBottom w:val="0"/>
          <w:divBdr>
            <w:top w:val="none" w:sz="0" w:space="0" w:color="auto"/>
            <w:left w:val="none" w:sz="0" w:space="0" w:color="auto"/>
            <w:bottom w:val="none" w:sz="0" w:space="0" w:color="auto"/>
            <w:right w:val="none" w:sz="0" w:space="0" w:color="auto"/>
          </w:divBdr>
        </w:div>
        <w:div w:id="523446531">
          <w:marLeft w:val="0"/>
          <w:marRight w:val="0"/>
          <w:marTop w:val="0"/>
          <w:marBottom w:val="0"/>
          <w:divBdr>
            <w:top w:val="none" w:sz="0" w:space="0" w:color="auto"/>
            <w:left w:val="none" w:sz="0" w:space="0" w:color="auto"/>
            <w:bottom w:val="none" w:sz="0" w:space="0" w:color="auto"/>
            <w:right w:val="none" w:sz="0" w:space="0" w:color="auto"/>
          </w:divBdr>
        </w:div>
        <w:div w:id="688606599">
          <w:marLeft w:val="0"/>
          <w:marRight w:val="0"/>
          <w:marTop w:val="0"/>
          <w:marBottom w:val="0"/>
          <w:divBdr>
            <w:top w:val="none" w:sz="0" w:space="0" w:color="auto"/>
            <w:left w:val="none" w:sz="0" w:space="0" w:color="auto"/>
            <w:bottom w:val="none" w:sz="0" w:space="0" w:color="auto"/>
            <w:right w:val="none" w:sz="0" w:space="0" w:color="auto"/>
          </w:divBdr>
        </w:div>
        <w:div w:id="1024597347">
          <w:marLeft w:val="0"/>
          <w:marRight w:val="0"/>
          <w:marTop w:val="0"/>
          <w:marBottom w:val="0"/>
          <w:divBdr>
            <w:top w:val="none" w:sz="0" w:space="0" w:color="auto"/>
            <w:left w:val="none" w:sz="0" w:space="0" w:color="auto"/>
            <w:bottom w:val="none" w:sz="0" w:space="0" w:color="auto"/>
            <w:right w:val="none" w:sz="0" w:space="0" w:color="auto"/>
          </w:divBdr>
        </w:div>
        <w:div w:id="1055009437">
          <w:marLeft w:val="0"/>
          <w:marRight w:val="0"/>
          <w:marTop w:val="0"/>
          <w:marBottom w:val="0"/>
          <w:divBdr>
            <w:top w:val="none" w:sz="0" w:space="0" w:color="auto"/>
            <w:left w:val="none" w:sz="0" w:space="0" w:color="auto"/>
            <w:bottom w:val="none" w:sz="0" w:space="0" w:color="auto"/>
            <w:right w:val="none" w:sz="0" w:space="0" w:color="auto"/>
          </w:divBdr>
        </w:div>
        <w:div w:id="1215116765">
          <w:marLeft w:val="0"/>
          <w:marRight w:val="0"/>
          <w:marTop w:val="0"/>
          <w:marBottom w:val="0"/>
          <w:divBdr>
            <w:top w:val="none" w:sz="0" w:space="0" w:color="auto"/>
            <w:left w:val="none" w:sz="0" w:space="0" w:color="auto"/>
            <w:bottom w:val="none" w:sz="0" w:space="0" w:color="auto"/>
            <w:right w:val="none" w:sz="0" w:space="0" w:color="auto"/>
          </w:divBdr>
        </w:div>
        <w:div w:id="1482190499">
          <w:marLeft w:val="0"/>
          <w:marRight w:val="0"/>
          <w:marTop w:val="0"/>
          <w:marBottom w:val="0"/>
          <w:divBdr>
            <w:top w:val="none" w:sz="0" w:space="0" w:color="auto"/>
            <w:left w:val="none" w:sz="0" w:space="0" w:color="auto"/>
            <w:bottom w:val="none" w:sz="0" w:space="0" w:color="auto"/>
            <w:right w:val="none" w:sz="0" w:space="0" w:color="auto"/>
          </w:divBdr>
        </w:div>
        <w:div w:id="1600064658">
          <w:marLeft w:val="0"/>
          <w:marRight w:val="0"/>
          <w:marTop w:val="0"/>
          <w:marBottom w:val="0"/>
          <w:divBdr>
            <w:top w:val="none" w:sz="0" w:space="0" w:color="auto"/>
            <w:left w:val="none" w:sz="0" w:space="0" w:color="auto"/>
            <w:bottom w:val="none" w:sz="0" w:space="0" w:color="auto"/>
            <w:right w:val="none" w:sz="0" w:space="0" w:color="auto"/>
          </w:divBdr>
        </w:div>
        <w:div w:id="1627542780">
          <w:marLeft w:val="0"/>
          <w:marRight w:val="0"/>
          <w:marTop w:val="0"/>
          <w:marBottom w:val="0"/>
          <w:divBdr>
            <w:top w:val="none" w:sz="0" w:space="0" w:color="auto"/>
            <w:left w:val="none" w:sz="0" w:space="0" w:color="auto"/>
            <w:bottom w:val="none" w:sz="0" w:space="0" w:color="auto"/>
            <w:right w:val="none" w:sz="0" w:space="0" w:color="auto"/>
          </w:divBdr>
        </w:div>
        <w:div w:id="1658142284">
          <w:marLeft w:val="0"/>
          <w:marRight w:val="0"/>
          <w:marTop w:val="0"/>
          <w:marBottom w:val="0"/>
          <w:divBdr>
            <w:top w:val="none" w:sz="0" w:space="0" w:color="auto"/>
            <w:left w:val="none" w:sz="0" w:space="0" w:color="auto"/>
            <w:bottom w:val="none" w:sz="0" w:space="0" w:color="auto"/>
            <w:right w:val="none" w:sz="0" w:space="0" w:color="auto"/>
          </w:divBdr>
        </w:div>
        <w:div w:id="1660305653">
          <w:marLeft w:val="0"/>
          <w:marRight w:val="0"/>
          <w:marTop w:val="0"/>
          <w:marBottom w:val="0"/>
          <w:divBdr>
            <w:top w:val="none" w:sz="0" w:space="0" w:color="auto"/>
            <w:left w:val="none" w:sz="0" w:space="0" w:color="auto"/>
            <w:bottom w:val="none" w:sz="0" w:space="0" w:color="auto"/>
            <w:right w:val="none" w:sz="0" w:space="0" w:color="auto"/>
          </w:divBdr>
        </w:div>
        <w:div w:id="1667702966">
          <w:marLeft w:val="0"/>
          <w:marRight w:val="0"/>
          <w:marTop w:val="0"/>
          <w:marBottom w:val="0"/>
          <w:divBdr>
            <w:top w:val="none" w:sz="0" w:space="0" w:color="auto"/>
            <w:left w:val="none" w:sz="0" w:space="0" w:color="auto"/>
            <w:bottom w:val="none" w:sz="0" w:space="0" w:color="auto"/>
            <w:right w:val="none" w:sz="0" w:space="0" w:color="auto"/>
          </w:divBdr>
        </w:div>
        <w:div w:id="1721587017">
          <w:marLeft w:val="0"/>
          <w:marRight w:val="0"/>
          <w:marTop w:val="0"/>
          <w:marBottom w:val="0"/>
          <w:divBdr>
            <w:top w:val="none" w:sz="0" w:space="0" w:color="auto"/>
            <w:left w:val="none" w:sz="0" w:space="0" w:color="auto"/>
            <w:bottom w:val="none" w:sz="0" w:space="0" w:color="auto"/>
            <w:right w:val="none" w:sz="0" w:space="0" w:color="auto"/>
          </w:divBdr>
        </w:div>
        <w:div w:id="1769423456">
          <w:marLeft w:val="0"/>
          <w:marRight w:val="0"/>
          <w:marTop w:val="0"/>
          <w:marBottom w:val="0"/>
          <w:divBdr>
            <w:top w:val="none" w:sz="0" w:space="0" w:color="auto"/>
            <w:left w:val="none" w:sz="0" w:space="0" w:color="auto"/>
            <w:bottom w:val="none" w:sz="0" w:space="0" w:color="auto"/>
            <w:right w:val="none" w:sz="0" w:space="0" w:color="auto"/>
          </w:divBdr>
        </w:div>
        <w:div w:id="1810787056">
          <w:marLeft w:val="0"/>
          <w:marRight w:val="0"/>
          <w:marTop w:val="0"/>
          <w:marBottom w:val="0"/>
          <w:divBdr>
            <w:top w:val="none" w:sz="0" w:space="0" w:color="auto"/>
            <w:left w:val="none" w:sz="0" w:space="0" w:color="auto"/>
            <w:bottom w:val="none" w:sz="0" w:space="0" w:color="auto"/>
            <w:right w:val="none" w:sz="0" w:space="0" w:color="auto"/>
          </w:divBdr>
        </w:div>
        <w:div w:id="1837914768">
          <w:marLeft w:val="0"/>
          <w:marRight w:val="0"/>
          <w:marTop w:val="0"/>
          <w:marBottom w:val="0"/>
          <w:divBdr>
            <w:top w:val="none" w:sz="0" w:space="0" w:color="auto"/>
            <w:left w:val="none" w:sz="0" w:space="0" w:color="auto"/>
            <w:bottom w:val="none" w:sz="0" w:space="0" w:color="auto"/>
            <w:right w:val="none" w:sz="0" w:space="0" w:color="auto"/>
          </w:divBdr>
        </w:div>
        <w:div w:id="1959989512">
          <w:marLeft w:val="0"/>
          <w:marRight w:val="0"/>
          <w:marTop w:val="0"/>
          <w:marBottom w:val="0"/>
          <w:divBdr>
            <w:top w:val="none" w:sz="0" w:space="0" w:color="auto"/>
            <w:left w:val="none" w:sz="0" w:space="0" w:color="auto"/>
            <w:bottom w:val="none" w:sz="0" w:space="0" w:color="auto"/>
            <w:right w:val="none" w:sz="0" w:space="0" w:color="auto"/>
          </w:divBdr>
        </w:div>
        <w:div w:id="2020498989">
          <w:marLeft w:val="0"/>
          <w:marRight w:val="0"/>
          <w:marTop w:val="0"/>
          <w:marBottom w:val="0"/>
          <w:divBdr>
            <w:top w:val="none" w:sz="0" w:space="0" w:color="auto"/>
            <w:left w:val="none" w:sz="0" w:space="0" w:color="auto"/>
            <w:bottom w:val="none" w:sz="0" w:space="0" w:color="auto"/>
            <w:right w:val="none" w:sz="0" w:space="0" w:color="auto"/>
          </w:divBdr>
        </w:div>
        <w:div w:id="2096583141">
          <w:marLeft w:val="0"/>
          <w:marRight w:val="0"/>
          <w:marTop w:val="0"/>
          <w:marBottom w:val="0"/>
          <w:divBdr>
            <w:top w:val="none" w:sz="0" w:space="0" w:color="auto"/>
            <w:left w:val="none" w:sz="0" w:space="0" w:color="auto"/>
            <w:bottom w:val="none" w:sz="0" w:space="0" w:color="auto"/>
            <w:right w:val="none" w:sz="0" w:space="0" w:color="auto"/>
          </w:divBdr>
        </w:div>
      </w:divsChild>
    </w:div>
    <w:div w:id="158078174">
      <w:bodyDiv w:val="1"/>
      <w:marLeft w:val="0"/>
      <w:marRight w:val="0"/>
      <w:marTop w:val="0"/>
      <w:marBottom w:val="0"/>
      <w:divBdr>
        <w:top w:val="none" w:sz="0" w:space="0" w:color="auto"/>
        <w:left w:val="none" w:sz="0" w:space="0" w:color="auto"/>
        <w:bottom w:val="none" w:sz="0" w:space="0" w:color="auto"/>
        <w:right w:val="none" w:sz="0" w:space="0" w:color="auto"/>
      </w:divBdr>
    </w:div>
    <w:div w:id="166218166">
      <w:bodyDiv w:val="1"/>
      <w:marLeft w:val="0"/>
      <w:marRight w:val="0"/>
      <w:marTop w:val="0"/>
      <w:marBottom w:val="0"/>
      <w:divBdr>
        <w:top w:val="none" w:sz="0" w:space="0" w:color="auto"/>
        <w:left w:val="none" w:sz="0" w:space="0" w:color="auto"/>
        <w:bottom w:val="none" w:sz="0" w:space="0" w:color="auto"/>
        <w:right w:val="none" w:sz="0" w:space="0" w:color="auto"/>
      </w:divBdr>
    </w:div>
    <w:div w:id="199251181">
      <w:bodyDiv w:val="1"/>
      <w:marLeft w:val="0"/>
      <w:marRight w:val="0"/>
      <w:marTop w:val="0"/>
      <w:marBottom w:val="0"/>
      <w:divBdr>
        <w:top w:val="none" w:sz="0" w:space="0" w:color="auto"/>
        <w:left w:val="none" w:sz="0" w:space="0" w:color="auto"/>
        <w:bottom w:val="none" w:sz="0" w:space="0" w:color="auto"/>
        <w:right w:val="none" w:sz="0" w:space="0" w:color="auto"/>
      </w:divBdr>
    </w:div>
    <w:div w:id="229342811">
      <w:bodyDiv w:val="1"/>
      <w:marLeft w:val="0"/>
      <w:marRight w:val="0"/>
      <w:marTop w:val="0"/>
      <w:marBottom w:val="0"/>
      <w:divBdr>
        <w:top w:val="none" w:sz="0" w:space="0" w:color="auto"/>
        <w:left w:val="none" w:sz="0" w:space="0" w:color="auto"/>
        <w:bottom w:val="none" w:sz="0" w:space="0" w:color="auto"/>
        <w:right w:val="none" w:sz="0" w:space="0" w:color="auto"/>
      </w:divBdr>
    </w:div>
    <w:div w:id="233243704">
      <w:bodyDiv w:val="1"/>
      <w:marLeft w:val="0"/>
      <w:marRight w:val="0"/>
      <w:marTop w:val="0"/>
      <w:marBottom w:val="0"/>
      <w:divBdr>
        <w:top w:val="none" w:sz="0" w:space="0" w:color="auto"/>
        <w:left w:val="none" w:sz="0" w:space="0" w:color="auto"/>
        <w:bottom w:val="none" w:sz="0" w:space="0" w:color="auto"/>
        <w:right w:val="none" w:sz="0" w:space="0" w:color="auto"/>
      </w:divBdr>
    </w:div>
    <w:div w:id="244069606">
      <w:bodyDiv w:val="1"/>
      <w:marLeft w:val="0"/>
      <w:marRight w:val="0"/>
      <w:marTop w:val="0"/>
      <w:marBottom w:val="0"/>
      <w:divBdr>
        <w:top w:val="none" w:sz="0" w:space="0" w:color="auto"/>
        <w:left w:val="none" w:sz="0" w:space="0" w:color="auto"/>
        <w:bottom w:val="none" w:sz="0" w:space="0" w:color="auto"/>
        <w:right w:val="none" w:sz="0" w:space="0" w:color="auto"/>
      </w:divBdr>
    </w:div>
    <w:div w:id="257911456">
      <w:bodyDiv w:val="1"/>
      <w:marLeft w:val="0"/>
      <w:marRight w:val="0"/>
      <w:marTop w:val="0"/>
      <w:marBottom w:val="0"/>
      <w:divBdr>
        <w:top w:val="none" w:sz="0" w:space="0" w:color="auto"/>
        <w:left w:val="none" w:sz="0" w:space="0" w:color="auto"/>
        <w:bottom w:val="none" w:sz="0" w:space="0" w:color="auto"/>
        <w:right w:val="none" w:sz="0" w:space="0" w:color="auto"/>
      </w:divBdr>
      <w:divsChild>
        <w:div w:id="636451409">
          <w:marLeft w:val="0"/>
          <w:marRight w:val="0"/>
          <w:marTop w:val="0"/>
          <w:marBottom w:val="0"/>
          <w:divBdr>
            <w:top w:val="none" w:sz="0" w:space="0" w:color="auto"/>
            <w:left w:val="none" w:sz="0" w:space="0" w:color="auto"/>
            <w:bottom w:val="none" w:sz="0" w:space="0" w:color="auto"/>
            <w:right w:val="none" w:sz="0" w:space="0" w:color="auto"/>
          </w:divBdr>
        </w:div>
        <w:div w:id="747189388">
          <w:marLeft w:val="0"/>
          <w:marRight w:val="0"/>
          <w:marTop w:val="0"/>
          <w:marBottom w:val="0"/>
          <w:divBdr>
            <w:top w:val="none" w:sz="0" w:space="0" w:color="auto"/>
            <w:left w:val="none" w:sz="0" w:space="0" w:color="auto"/>
            <w:bottom w:val="none" w:sz="0" w:space="0" w:color="auto"/>
            <w:right w:val="none" w:sz="0" w:space="0" w:color="auto"/>
          </w:divBdr>
        </w:div>
        <w:div w:id="783773281">
          <w:marLeft w:val="0"/>
          <w:marRight w:val="0"/>
          <w:marTop w:val="0"/>
          <w:marBottom w:val="0"/>
          <w:divBdr>
            <w:top w:val="none" w:sz="0" w:space="0" w:color="auto"/>
            <w:left w:val="none" w:sz="0" w:space="0" w:color="auto"/>
            <w:bottom w:val="none" w:sz="0" w:space="0" w:color="auto"/>
            <w:right w:val="none" w:sz="0" w:space="0" w:color="auto"/>
          </w:divBdr>
        </w:div>
        <w:div w:id="1230733129">
          <w:marLeft w:val="0"/>
          <w:marRight w:val="0"/>
          <w:marTop w:val="0"/>
          <w:marBottom w:val="0"/>
          <w:divBdr>
            <w:top w:val="none" w:sz="0" w:space="0" w:color="auto"/>
            <w:left w:val="none" w:sz="0" w:space="0" w:color="auto"/>
            <w:bottom w:val="none" w:sz="0" w:space="0" w:color="auto"/>
            <w:right w:val="none" w:sz="0" w:space="0" w:color="auto"/>
          </w:divBdr>
        </w:div>
        <w:div w:id="1309286701">
          <w:marLeft w:val="0"/>
          <w:marRight w:val="0"/>
          <w:marTop w:val="0"/>
          <w:marBottom w:val="0"/>
          <w:divBdr>
            <w:top w:val="none" w:sz="0" w:space="0" w:color="auto"/>
            <w:left w:val="none" w:sz="0" w:space="0" w:color="auto"/>
            <w:bottom w:val="none" w:sz="0" w:space="0" w:color="auto"/>
            <w:right w:val="none" w:sz="0" w:space="0" w:color="auto"/>
          </w:divBdr>
        </w:div>
        <w:div w:id="1324776745">
          <w:marLeft w:val="0"/>
          <w:marRight w:val="0"/>
          <w:marTop w:val="0"/>
          <w:marBottom w:val="0"/>
          <w:divBdr>
            <w:top w:val="none" w:sz="0" w:space="0" w:color="auto"/>
            <w:left w:val="none" w:sz="0" w:space="0" w:color="auto"/>
            <w:bottom w:val="none" w:sz="0" w:space="0" w:color="auto"/>
            <w:right w:val="none" w:sz="0" w:space="0" w:color="auto"/>
          </w:divBdr>
        </w:div>
        <w:div w:id="2010448748">
          <w:marLeft w:val="0"/>
          <w:marRight w:val="0"/>
          <w:marTop w:val="0"/>
          <w:marBottom w:val="0"/>
          <w:divBdr>
            <w:top w:val="none" w:sz="0" w:space="0" w:color="auto"/>
            <w:left w:val="none" w:sz="0" w:space="0" w:color="auto"/>
            <w:bottom w:val="none" w:sz="0" w:space="0" w:color="auto"/>
            <w:right w:val="none" w:sz="0" w:space="0" w:color="auto"/>
          </w:divBdr>
        </w:div>
      </w:divsChild>
    </w:div>
    <w:div w:id="262960586">
      <w:bodyDiv w:val="1"/>
      <w:marLeft w:val="0"/>
      <w:marRight w:val="0"/>
      <w:marTop w:val="0"/>
      <w:marBottom w:val="0"/>
      <w:divBdr>
        <w:top w:val="none" w:sz="0" w:space="0" w:color="auto"/>
        <w:left w:val="none" w:sz="0" w:space="0" w:color="auto"/>
        <w:bottom w:val="none" w:sz="0" w:space="0" w:color="auto"/>
        <w:right w:val="none" w:sz="0" w:space="0" w:color="auto"/>
      </w:divBdr>
      <w:divsChild>
        <w:div w:id="22487569">
          <w:marLeft w:val="0"/>
          <w:marRight w:val="0"/>
          <w:marTop w:val="0"/>
          <w:marBottom w:val="0"/>
          <w:divBdr>
            <w:top w:val="none" w:sz="0" w:space="0" w:color="auto"/>
            <w:left w:val="none" w:sz="0" w:space="0" w:color="auto"/>
            <w:bottom w:val="none" w:sz="0" w:space="0" w:color="auto"/>
            <w:right w:val="none" w:sz="0" w:space="0" w:color="auto"/>
          </w:divBdr>
        </w:div>
        <w:div w:id="213204328">
          <w:marLeft w:val="0"/>
          <w:marRight w:val="0"/>
          <w:marTop w:val="0"/>
          <w:marBottom w:val="0"/>
          <w:divBdr>
            <w:top w:val="none" w:sz="0" w:space="0" w:color="auto"/>
            <w:left w:val="none" w:sz="0" w:space="0" w:color="auto"/>
            <w:bottom w:val="none" w:sz="0" w:space="0" w:color="auto"/>
            <w:right w:val="none" w:sz="0" w:space="0" w:color="auto"/>
          </w:divBdr>
        </w:div>
        <w:div w:id="217787282">
          <w:marLeft w:val="0"/>
          <w:marRight w:val="0"/>
          <w:marTop w:val="0"/>
          <w:marBottom w:val="0"/>
          <w:divBdr>
            <w:top w:val="none" w:sz="0" w:space="0" w:color="auto"/>
            <w:left w:val="none" w:sz="0" w:space="0" w:color="auto"/>
            <w:bottom w:val="none" w:sz="0" w:space="0" w:color="auto"/>
            <w:right w:val="none" w:sz="0" w:space="0" w:color="auto"/>
          </w:divBdr>
        </w:div>
        <w:div w:id="217933508">
          <w:marLeft w:val="0"/>
          <w:marRight w:val="0"/>
          <w:marTop w:val="0"/>
          <w:marBottom w:val="0"/>
          <w:divBdr>
            <w:top w:val="none" w:sz="0" w:space="0" w:color="auto"/>
            <w:left w:val="none" w:sz="0" w:space="0" w:color="auto"/>
            <w:bottom w:val="none" w:sz="0" w:space="0" w:color="auto"/>
            <w:right w:val="none" w:sz="0" w:space="0" w:color="auto"/>
          </w:divBdr>
        </w:div>
        <w:div w:id="387649309">
          <w:marLeft w:val="0"/>
          <w:marRight w:val="0"/>
          <w:marTop w:val="0"/>
          <w:marBottom w:val="0"/>
          <w:divBdr>
            <w:top w:val="none" w:sz="0" w:space="0" w:color="auto"/>
            <w:left w:val="none" w:sz="0" w:space="0" w:color="auto"/>
            <w:bottom w:val="none" w:sz="0" w:space="0" w:color="auto"/>
            <w:right w:val="none" w:sz="0" w:space="0" w:color="auto"/>
          </w:divBdr>
        </w:div>
        <w:div w:id="1255043787">
          <w:marLeft w:val="0"/>
          <w:marRight w:val="0"/>
          <w:marTop w:val="0"/>
          <w:marBottom w:val="0"/>
          <w:divBdr>
            <w:top w:val="none" w:sz="0" w:space="0" w:color="auto"/>
            <w:left w:val="none" w:sz="0" w:space="0" w:color="auto"/>
            <w:bottom w:val="none" w:sz="0" w:space="0" w:color="auto"/>
            <w:right w:val="none" w:sz="0" w:space="0" w:color="auto"/>
          </w:divBdr>
        </w:div>
        <w:div w:id="1671172528">
          <w:marLeft w:val="0"/>
          <w:marRight w:val="0"/>
          <w:marTop w:val="0"/>
          <w:marBottom w:val="0"/>
          <w:divBdr>
            <w:top w:val="none" w:sz="0" w:space="0" w:color="auto"/>
            <w:left w:val="none" w:sz="0" w:space="0" w:color="auto"/>
            <w:bottom w:val="none" w:sz="0" w:space="0" w:color="auto"/>
            <w:right w:val="none" w:sz="0" w:space="0" w:color="auto"/>
          </w:divBdr>
        </w:div>
        <w:div w:id="1676804263">
          <w:marLeft w:val="0"/>
          <w:marRight w:val="0"/>
          <w:marTop w:val="0"/>
          <w:marBottom w:val="0"/>
          <w:divBdr>
            <w:top w:val="none" w:sz="0" w:space="0" w:color="auto"/>
            <w:left w:val="none" w:sz="0" w:space="0" w:color="auto"/>
            <w:bottom w:val="none" w:sz="0" w:space="0" w:color="auto"/>
            <w:right w:val="none" w:sz="0" w:space="0" w:color="auto"/>
          </w:divBdr>
        </w:div>
        <w:div w:id="1703440368">
          <w:marLeft w:val="0"/>
          <w:marRight w:val="0"/>
          <w:marTop w:val="0"/>
          <w:marBottom w:val="0"/>
          <w:divBdr>
            <w:top w:val="none" w:sz="0" w:space="0" w:color="auto"/>
            <w:left w:val="none" w:sz="0" w:space="0" w:color="auto"/>
            <w:bottom w:val="none" w:sz="0" w:space="0" w:color="auto"/>
            <w:right w:val="none" w:sz="0" w:space="0" w:color="auto"/>
          </w:divBdr>
        </w:div>
        <w:div w:id="1761025613">
          <w:marLeft w:val="0"/>
          <w:marRight w:val="0"/>
          <w:marTop w:val="0"/>
          <w:marBottom w:val="0"/>
          <w:divBdr>
            <w:top w:val="none" w:sz="0" w:space="0" w:color="auto"/>
            <w:left w:val="none" w:sz="0" w:space="0" w:color="auto"/>
            <w:bottom w:val="none" w:sz="0" w:space="0" w:color="auto"/>
            <w:right w:val="none" w:sz="0" w:space="0" w:color="auto"/>
          </w:divBdr>
        </w:div>
        <w:div w:id="1788894079">
          <w:marLeft w:val="0"/>
          <w:marRight w:val="0"/>
          <w:marTop w:val="0"/>
          <w:marBottom w:val="0"/>
          <w:divBdr>
            <w:top w:val="none" w:sz="0" w:space="0" w:color="auto"/>
            <w:left w:val="none" w:sz="0" w:space="0" w:color="auto"/>
            <w:bottom w:val="none" w:sz="0" w:space="0" w:color="auto"/>
            <w:right w:val="none" w:sz="0" w:space="0" w:color="auto"/>
          </w:divBdr>
        </w:div>
        <w:div w:id="1872914325">
          <w:marLeft w:val="0"/>
          <w:marRight w:val="0"/>
          <w:marTop w:val="0"/>
          <w:marBottom w:val="0"/>
          <w:divBdr>
            <w:top w:val="none" w:sz="0" w:space="0" w:color="auto"/>
            <w:left w:val="none" w:sz="0" w:space="0" w:color="auto"/>
            <w:bottom w:val="none" w:sz="0" w:space="0" w:color="auto"/>
            <w:right w:val="none" w:sz="0" w:space="0" w:color="auto"/>
          </w:divBdr>
        </w:div>
        <w:div w:id="1993026269">
          <w:marLeft w:val="0"/>
          <w:marRight w:val="0"/>
          <w:marTop w:val="0"/>
          <w:marBottom w:val="0"/>
          <w:divBdr>
            <w:top w:val="none" w:sz="0" w:space="0" w:color="auto"/>
            <w:left w:val="none" w:sz="0" w:space="0" w:color="auto"/>
            <w:bottom w:val="none" w:sz="0" w:space="0" w:color="auto"/>
            <w:right w:val="none" w:sz="0" w:space="0" w:color="auto"/>
          </w:divBdr>
        </w:div>
      </w:divsChild>
    </w:div>
    <w:div w:id="300499240">
      <w:bodyDiv w:val="1"/>
      <w:marLeft w:val="0"/>
      <w:marRight w:val="0"/>
      <w:marTop w:val="0"/>
      <w:marBottom w:val="0"/>
      <w:divBdr>
        <w:top w:val="none" w:sz="0" w:space="0" w:color="auto"/>
        <w:left w:val="none" w:sz="0" w:space="0" w:color="auto"/>
        <w:bottom w:val="none" w:sz="0" w:space="0" w:color="auto"/>
        <w:right w:val="none" w:sz="0" w:space="0" w:color="auto"/>
      </w:divBdr>
    </w:div>
    <w:div w:id="303972720">
      <w:bodyDiv w:val="1"/>
      <w:marLeft w:val="0"/>
      <w:marRight w:val="0"/>
      <w:marTop w:val="0"/>
      <w:marBottom w:val="0"/>
      <w:divBdr>
        <w:top w:val="none" w:sz="0" w:space="0" w:color="auto"/>
        <w:left w:val="none" w:sz="0" w:space="0" w:color="auto"/>
        <w:bottom w:val="none" w:sz="0" w:space="0" w:color="auto"/>
        <w:right w:val="none" w:sz="0" w:space="0" w:color="auto"/>
      </w:divBdr>
    </w:div>
    <w:div w:id="305166370">
      <w:bodyDiv w:val="1"/>
      <w:marLeft w:val="0"/>
      <w:marRight w:val="0"/>
      <w:marTop w:val="0"/>
      <w:marBottom w:val="0"/>
      <w:divBdr>
        <w:top w:val="none" w:sz="0" w:space="0" w:color="auto"/>
        <w:left w:val="none" w:sz="0" w:space="0" w:color="auto"/>
        <w:bottom w:val="none" w:sz="0" w:space="0" w:color="auto"/>
        <w:right w:val="none" w:sz="0" w:space="0" w:color="auto"/>
      </w:divBdr>
    </w:div>
    <w:div w:id="321587481">
      <w:bodyDiv w:val="1"/>
      <w:marLeft w:val="0"/>
      <w:marRight w:val="0"/>
      <w:marTop w:val="0"/>
      <w:marBottom w:val="0"/>
      <w:divBdr>
        <w:top w:val="none" w:sz="0" w:space="0" w:color="auto"/>
        <w:left w:val="none" w:sz="0" w:space="0" w:color="auto"/>
        <w:bottom w:val="none" w:sz="0" w:space="0" w:color="auto"/>
        <w:right w:val="none" w:sz="0" w:space="0" w:color="auto"/>
      </w:divBdr>
    </w:div>
    <w:div w:id="325715867">
      <w:bodyDiv w:val="1"/>
      <w:marLeft w:val="0"/>
      <w:marRight w:val="0"/>
      <w:marTop w:val="0"/>
      <w:marBottom w:val="0"/>
      <w:divBdr>
        <w:top w:val="none" w:sz="0" w:space="0" w:color="auto"/>
        <w:left w:val="none" w:sz="0" w:space="0" w:color="auto"/>
        <w:bottom w:val="none" w:sz="0" w:space="0" w:color="auto"/>
        <w:right w:val="none" w:sz="0" w:space="0" w:color="auto"/>
      </w:divBdr>
    </w:div>
    <w:div w:id="335424179">
      <w:bodyDiv w:val="1"/>
      <w:marLeft w:val="0"/>
      <w:marRight w:val="0"/>
      <w:marTop w:val="0"/>
      <w:marBottom w:val="0"/>
      <w:divBdr>
        <w:top w:val="none" w:sz="0" w:space="0" w:color="auto"/>
        <w:left w:val="none" w:sz="0" w:space="0" w:color="auto"/>
        <w:bottom w:val="none" w:sz="0" w:space="0" w:color="auto"/>
        <w:right w:val="none" w:sz="0" w:space="0" w:color="auto"/>
      </w:divBdr>
    </w:div>
    <w:div w:id="348874069">
      <w:bodyDiv w:val="1"/>
      <w:marLeft w:val="0"/>
      <w:marRight w:val="0"/>
      <w:marTop w:val="0"/>
      <w:marBottom w:val="0"/>
      <w:divBdr>
        <w:top w:val="none" w:sz="0" w:space="0" w:color="auto"/>
        <w:left w:val="none" w:sz="0" w:space="0" w:color="auto"/>
        <w:bottom w:val="none" w:sz="0" w:space="0" w:color="auto"/>
        <w:right w:val="none" w:sz="0" w:space="0" w:color="auto"/>
      </w:divBdr>
    </w:div>
    <w:div w:id="353575156">
      <w:bodyDiv w:val="1"/>
      <w:marLeft w:val="0"/>
      <w:marRight w:val="0"/>
      <w:marTop w:val="0"/>
      <w:marBottom w:val="0"/>
      <w:divBdr>
        <w:top w:val="none" w:sz="0" w:space="0" w:color="auto"/>
        <w:left w:val="none" w:sz="0" w:space="0" w:color="auto"/>
        <w:bottom w:val="none" w:sz="0" w:space="0" w:color="auto"/>
        <w:right w:val="none" w:sz="0" w:space="0" w:color="auto"/>
      </w:divBdr>
    </w:div>
    <w:div w:id="358551960">
      <w:bodyDiv w:val="1"/>
      <w:marLeft w:val="0"/>
      <w:marRight w:val="0"/>
      <w:marTop w:val="0"/>
      <w:marBottom w:val="0"/>
      <w:divBdr>
        <w:top w:val="none" w:sz="0" w:space="0" w:color="auto"/>
        <w:left w:val="none" w:sz="0" w:space="0" w:color="auto"/>
        <w:bottom w:val="none" w:sz="0" w:space="0" w:color="auto"/>
        <w:right w:val="none" w:sz="0" w:space="0" w:color="auto"/>
      </w:divBdr>
    </w:div>
    <w:div w:id="376710306">
      <w:bodyDiv w:val="1"/>
      <w:marLeft w:val="0"/>
      <w:marRight w:val="0"/>
      <w:marTop w:val="0"/>
      <w:marBottom w:val="0"/>
      <w:divBdr>
        <w:top w:val="none" w:sz="0" w:space="0" w:color="auto"/>
        <w:left w:val="none" w:sz="0" w:space="0" w:color="auto"/>
        <w:bottom w:val="none" w:sz="0" w:space="0" w:color="auto"/>
        <w:right w:val="none" w:sz="0" w:space="0" w:color="auto"/>
      </w:divBdr>
    </w:div>
    <w:div w:id="377899524">
      <w:bodyDiv w:val="1"/>
      <w:marLeft w:val="0"/>
      <w:marRight w:val="0"/>
      <w:marTop w:val="0"/>
      <w:marBottom w:val="0"/>
      <w:divBdr>
        <w:top w:val="none" w:sz="0" w:space="0" w:color="auto"/>
        <w:left w:val="none" w:sz="0" w:space="0" w:color="auto"/>
        <w:bottom w:val="none" w:sz="0" w:space="0" w:color="auto"/>
        <w:right w:val="none" w:sz="0" w:space="0" w:color="auto"/>
      </w:divBdr>
    </w:div>
    <w:div w:id="397678974">
      <w:bodyDiv w:val="1"/>
      <w:marLeft w:val="0"/>
      <w:marRight w:val="0"/>
      <w:marTop w:val="0"/>
      <w:marBottom w:val="0"/>
      <w:divBdr>
        <w:top w:val="none" w:sz="0" w:space="0" w:color="auto"/>
        <w:left w:val="none" w:sz="0" w:space="0" w:color="auto"/>
        <w:bottom w:val="none" w:sz="0" w:space="0" w:color="auto"/>
        <w:right w:val="none" w:sz="0" w:space="0" w:color="auto"/>
      </w:divBdr>
    </w:div>
    <w:div w:id="420949679">
      <w:bodyDiv w:val="1"/>
      <w:marLeft w:val="0"/>
      <w:marRight w:val="0"/>
      <w:marTop w:val="0"/>
      <w:marBottom w:val="0"/>
      <w:divBdr>
        <w:top w:val="none" w:sz="0" w:space="0" w:color="auto"/>
        <w:left w:val="none" w:sz="0" w:space="0" w:color="auto"/>
        <w:bottom w:val="none" w:sz="0" w:space="0" w:color="auto"/>
        <w:right w:val="none" w:sz="0" w:space="0" w:color="auto"/>
      </w:divBdr>
    </w:div>
    <w:div w:id="432744595">
      <w:bodyDiv w:val="1"/>
      <w:marLeft w:val="0"/>
      <w:marRight w:val="0"/>
      <w:marTop w:val="0"/>
      <w:marBottom w:val="0"/>
      <w:divBdr>
        <w:top w:val="none" w:sz="0" w:space="0" w:color="auto"/>
        <w:left w:val="none" w:sz="0" w:space="0" w:color="auto"/>
        <w:bottom w:val="none" w:sz="0" w:space="0" w:color="auto"/>
        <w:right w:val="none" w:sz="0" w:space="0" w:color="auto"/>
      </w:divBdr>
    </w:div>
    <w:div w:id="445468482">
      <w:bodyDiv w:val="1"/>
      <w:marLeft w:val="0"/>
      <w:marRight w:val="0"/>
      <w:marTop w:val="0"/>
      <w:marBottom w:val="0"/>
      <w:divBdr>
        <w:top w:val="none" w:sz="0" w:space="0" w:color="auto"/>
        <w:left w:val="none" w:sz="0" w:space="0" w:color="auto"/>
        <w:bottom w:val="none" w:sz="0" w:space="0" w:color="auto"/>
        <w:right w:val="none" w:sz="0" w:space="0" w:color="auto"/>
      </w:divBdr>
    </w:div>
    <w:div w:id="447891779">
      <w:bodyDiv w:val="1"/>
      <w:marLeft w:val="0"/>
      <w:marRight w:val="0"/>
      <w:marTop w:val="0"/>
      <w:marBottom w:val="0"/>
      <w:divBdr>
        <w:top w:val="none" w:sz="0" w:space="0" w:color="auto"/>
        <w:left w:val="none" w:sz="0" w:space="0" w:color="auto"/>
        <w:bottom w:val="none" w:sz="0" w:space="0" w:color="auto"/>
        <w:right w:val="none" w:sz="0" w:space="0" w:color="auto"/>
      </w:divBdr>
    </w:div>
    <w:div w:id="461461209">
      <w:bodyDiv w:val="1"/>
      <w:marLeft w:val="0"/>
      <w:marRight w:val="0"/>
      <w:marTop w:val="0"/>
      <w:marBottom w:val="0"/>
      <w:divBdr>
        <w:top w:val="none" w:sz="0" w:space="0" w:color="auto"/>
        <w:left w:val="none" w:sz="0" w:space="0" w:color="auto"/>
        <w:bottom w:val="none" w:sz="0" w:space="0" w:color="auto"/>
        <w:right w:val="none" w:sz="0" w:space="0" w:color="auto"/>
      </w:divBdr>
    </w:div>
    <w:div w:id="528028946">
      <w:bodyDiv w:val="1"/>
      <w:marLeft w:val="0"/>
      <w:marRight w:val="0"/>
      <w:marTop w:val="0"/>
      <w:marBottom w:val="0"/>
      <w:divBdr>
        <w:top w:val="none" w:sz="0" w:space="0" w:color="auto"/>
        <w:left w:val="none" w:sz="0" w:space="0" w:color="auto"/>
        <w:bottom w:val="none" w:sz="0" w:space="0" w:color="auto"/>
        <w:right w:val="none" w:sz="0" w:space="0" w:color="auto"/>
      </w:divBdr>
    </w:div>
    <w:div w:id="536091754">
      <w:bodyDiv w:val="1"/>
      <w:marLeft w:val="0"/>
      <w:marRight w:val="0"/>
      <w:marTop w:val="0"/>
      <w:marBottom w:val="0"/>
      <w:divBdr>
        <w:top w:val="none" w:sz="0" w:space="0" w:color="auto"/>
        <w:left w:val="none" w:sz="0" w:space="0" w:color="auto"/>
        <w:bottom w:val="none" w:sz="0" w:space="0" w:color="auto"/>
        <w:right w:val="none" w:sz="0" w:space="0" w:color="auto"/>
      </w:divBdr>
      <w:divsChild>
        <w:div w:id="42751447">
          <w:marLeft w:val="0"/>
          <w:marRight w:val="0"/>
          <w:marTop w:val="0"/>
          <w:marBottom w:val="0"/>
          <w:divBdr>
            <w:top w:val="none" w:sz="0" w:space="0" w:color="auto"/>
            <w:left w:val="none" w:sz="0" w:space="0" w:color="auto"/>
            <w:bottom w:val="none" w:sz="0" w:space="0" w:color="auto"/>
            <w:right w:val="none" w:sz="0" w:space="0" w:color="auto"/>
          </w:divBdr>
        </w:div>
        <w:div w:id="867910320">
          <w:marLeft w:val="0"/>
          <w:marRight w:val="0"/>
          <w:marTop w:val="0"/>
          <w:marBottom w:val="0"/>
          <w:divBdr>
            <w:top w:val="none" w:sz="0" w:space="0" w:color="auto"/>
            <w:left w:val="none" w:sz="0" w:space="0" w:color="auto"/>
            <w:bottom w:val="none" w:sz="0" w:space="0" w:color="auto"/>
            <w:right w:val="none" w:sz="0" w:space="0" w:color="auto"/>
          </w:divBdr>
        </w:div>
        <w:div w:id="1468888018">
          <w:marLeft w:val="0"/>
          <w:marRight w:val="0"/>
          <w:marTop w:val="0"/>
          <w:marBottom w:val="0"/>
          <w:divBdr>
            <w:top w:val="none" w:sz="0" w:space="0" w:color="auto"/>
            <w:left w:val="none" w:sz="0" w:space="0" w:color="auto"/>
            <w:bottom w:val="none" w:sz="0" w:space="0" w:color="auto"/>
            <w:right w:val="none" w:sz="0" w:space="0" w:color="auto"/>
          </w:divBdr>
        </w:div>
        <w:div w:id="1588467226">
          <w:marLeft w:val="0"/>
          <w:marRight w:val="0"/>
          <w:marTop w:val="0"/>
          <w:marBottom w:val="0"/>
          <w:divBdr>
            <w:top w:val="none" w:sz="0" w:space="0" w:color="auto"/>
            <w:left w:val="none" w:sz="0" w:space="0" w:color="auto"/>
            <w:bottom w:val="none" w:sz="0" w:space="0" w:color="auto"/>
            <w:right w:val="none" w:sz="0" w:space="0" w:color="auto"/>
          </w:divBdr>
        </w:div>
        <w:div w:id="1858886550">
          <w:marLeft w:val="0"/>
          <w:marRight w:val="0"/>
          <w:marTop w:val="0"/>
          <w:marBottom w:val="0"/>
          <w:divBdr>
            <w:top w:val="none" w:sz="0" w:space="0" w:color="auto"/>
            <w:left w:val="none" w:sz="0" w:space="0" w:color="auto"/>
            <w:bottom w:val="none" w:sz="0" w:space="0" w:color="auto"/>
            <w:right w:val="none" w:sz="0" w:space="0" w:color="auto"/>
          </w:divBdr>
        </w:div>
        <w:div w:id="1888566202">
          <w:marLeft w:val="0"/>
          <w:marRight w:val="0"/>
          <w:marTop w:val="0"/>
          <w:marBottom w:val="0"/>
          <w:divBdr>
            <w:top w:val="none" w:sz="0" w:space="0" w:color="auto"/>
            <w:left w:val="none" w:sz="0" w:space="0" w:color="auto"/>
            <w:bottom w:val="none" w:sz="0" w:space="0" w:color="auto"/>
            <w:right w:val="none" w:sz="0" w:space="0" w:color="auto"/>
          </w:divBdr>
        </w:div>
        <w:div w:id="1889224644">
          <w:marLeft w:val="0"/>
          <w:marRight w:val="0"/>
          <w:marTop w:val="0"/>
          <w:marBottom w:val="0"/>
          <w:divBdr>
            <w:top w:val="none" w:sz="0" w:space="0" w:color="auto"/>
            <w:left w:val="none" w:sz="0" w:space="0" w:color="auto"/>
            <w:bottom w:val="none" w:sz="0" w:space="0" w:color="auto"/>
            <w:right w:val="none" w:sz="0" w:space="0" w:color="auto"/>
          </w:divBdr>
        </w:div>
        <w:div w:id="2008823247">
          <w:marLeft w:val="0"/>
          <w:marRight w:val="0"/>
          <w:marTop w:val="0"/>
          <w:marBottom w:val="0"/>
          <w:divBdr>
            <w:top w:val="none" w:sz="0" w:space="0" w:color="auto"/>
            <w:left w:val="none" w:sz="0" w:space="0" w:color="auto"/>
            <w:bottom w:val="none" w:sz="0" w:space="0" w:color="auto"/>
            <w:right w:val="none" w:sz="0" w:space="0" w:color="auto"/>
          </w:divBdr>
        </w:div>
      </w:divsChild>
    </w:div>
    <w:div w:id="550769866">
      <w:bodyDiv w:val="1"/>
      <w:marLeft w:val="0"/>
      <w:marRight w:val="0"/>
      <w:marTop w:val="0"/>
      <w:marBottom w:val="0"/>
      <w:divBdr>
        <w:top w:val="none" w:sz="0" w:space="0" w:color="auto"/>
        <w:left w:val="none" w:sz="0" w:space="0" w:color="auto"/>
        <w:bottom w:val="none" w:sz="0" w:space="0" w:color="auto"/>
        <w:right w:val="none" w:sz="0" w:space="0" w:color="auto"/>
      </w:divBdr>
    </w:div>
    <w:div w:id="552540324">
      <w:bodyDiv w:val="1"/>
      <w:marLeft w:val="0"/>
      <w:marRight w:val="0"/>
      <w:marTop w:val="0"/>
      <w:marBottom w:val="0"/>
      <w:divBdr>
        <w:top w:val="none" w:sz="0" w:space="0" w:color="auto"/>
        <w:left w:val="none" w:sz="0" w:space="0" w:color="auto"/>
        <w:bottom w:val="none" w:sz="0" w:space="0" w:color="auto"/>
        <w:right w:val="none" w:sz="0" w:space="0" w:color="auto"/>
      </w:divBdr>
    </w:div>
    <w:div w:id="556821113">
      <w:bodyDiv w:val="1"/>
      <w:marLeft w:val="0"/>
      <w:marRight w:val="0"/>
      <w:marTop w:val="0"/>
      <w:marBottom w:val="0"/>
      <w:divBdr>
        <w:top w:val="none" w:sz="0" w:space="0" w:color="auto"/>
        <w:left w:val="none" w:sz="0" w:space="0" w:color="auto"/>
        <w:bottom w:val="none" w:sz="0" w:space="0" w:color="auto"/>
        <w:right w:val="none" w:sz="0" w:space="0" w:color="auto"/>
      </w:divBdr>
    </w:div>
    <w:div w:id="562722342">
      <w:bodyDiv w:val="1"/>
      <w:marLeft w:val="0"/>
      <w:marRight w:val="0"/>
      <w:marTop w:val="0"/>
      <w:marBottom w:val="0"/>
      <w:divBdr>
        <w:top w:val="none" w:sz="0" w:space="0" w:color="auto"/>
        <w:left w:val="none" w:sz="0" w:space="0" w:color="auto"/>
        <w:bottom w:val="none" w:sz="0" w:space="0" w:color="auto"/>
        <w:right w:val="none" w:sz="0" w:space="0" w:color="auto"/>
      </w:divBdr>
    </w:div>
    <w:div w:id="566381051">
      <w:bodyDiv w:val="1"/>
      <w:marLeft w:val="0"/>
      <w:marRight w:val="0"/>
      <w:marTop w:val="0"/>
      <w:marBottom w:val="0"/>
      <w:divBdr>
        <w:top w:val="none" w:sz="0" w:space="0" w:color="auto"/>
        <w:left w:val="none" w:sz="0" w:space="0" w:color="auto"/>
        <w:bottom w:val="none" w:sz="0" w:space="0" w:color="auto"/>
        <w:right w:val="none" w:sz="0" w:space="0" w:color="auto"/>
      </w:divBdr>
    </w:div>
    <w:div w:id="585069159">
      <w:bodyDiv w:val="1"/>
      <w:marLeft w:val="0"/>
      <w:marRight w:val="0"/>
      <w:marTop w:val="0"/>
      <w:marBottom w:val="0"/>
      <w:divBdr>
        <w:top w:val="none" w:sz="0" w:space="0" w:color="auto"/>
        <w:left w:val="none" w:sz="0" w:space="0" w:color="auto"/>
        <w:bottom w:val="none" w:sz="0" w:space="0" w:color="auto"/>
        <w:right w:val="none" w:sz="0" w:space="0" w:color="auto"/>
      </w:divBdr>
      <w:divsChild>
        <w:div w:id="214780695">
          <w:marLeft w:val="0"/>
          <w:marRight w:val="0"/>
          <w:marTop w:val="0"/>
          <w:marBottom w:val="0"/>
          <w:divBdr>
            <w:top w:val="none" w:sz="0" w:space="0" w:color="auto"/>
            <w:left w:val="none" w:sz="0" w:space="0" w:color="auto"/>
            <w:bottom w:val="none" w:sz="0" w:space="0" w:color="auto"/>
            <w:right w:val="none" w:sz="0" w:space="0" w:color="auto"/>
          </w:divBdr>
        </w:div>
        <w:div w:id="216670044">
          <w:marLeft w:val="0"/>
          <w:marRight w:val="0"/>
          <w:marTop w:val="0"/>
          <w:marBottom w:val="0"/>
          <w:divBdr>
            <w:top w:val="none" w:sz="0" w:space="0" w:color="auto"/>
            <w:left w:val="none" w:sz="0" w:space="0" w:color="auto"/>
            <w:bottom w:val="none" w:sz="0" w:space="0" w:color="auto"/>
            <w:right w:val="none" w:sz="0" w:space="0" w:color="auto"/>
          </w:divBdr>
        </w:div>
        <w:div w:id="226577943">
          <w:marLeft w:val="0"/>
          <w:marRight w:val="0"/>
          <w:marTop w:val="0"/>
          <w:marBottom w:val="0"/>
          <w:divBdr>
            <w:top w:val="none" w:sz="0" w:space="0" w:color="auto"/>
            <w:left w:val="none" w:sz="0" w:space="0" w:color="auto"/>
            <w:bottom w:val="none" w:sz="0" w:space="0" w:color="auto"/>
            <w:right w:val="none" w:sz="0" w:space="0" w:color="auto"/>
          </w:divBdr>
        </w:div>
        <w:div w:id="652879615">
          <w:marLeft w:val="0"/>
          <w:marRight w:val="0"/>
          <w:marTop w:val="0"/>
          <w:marBottom w:val="0"/>
          <w:divBdr>
            <w:top w:val="none" w:sz="0" w:space="0" w:color="auto"/>
            <w:left w:val="none" w:sz="0" w:space="0" w:color="auto"/>
            <w:bottom w:val="none" w:sz="0" w:space="0" w:color="auto"/>
            <w:right w:val="none" w:sz="0" w:space="0" w:color="auto"/>
          </w:divBdr>
        </w:div>
        <w:div w:id="951203074">
          <w:marLeft w:val="0"/>
          <w:marRight w:val="0"/>
          <w:marTop w:val="0"/>
          <w:marBottom w:val="0"/>
          <w:divBdr>
            <w:top w:val="none" w:sz="0" w:space="0" w:color="auto"/>
            <w:left w:val="none" w:sz="0" w:space="0" w:color="auto"/>
            <w:bottom w:val="none" w:sz="0" w:space="0" w:color="auto"/>
            <w:right w:val="none" w:sz="0" w:space="0" w:color="auto"/>
          </w:divBdr>
        </w:div>
        <w:div w:id="1056930036">
          <w:marLeft w:val="0"/>
          <w:marRight w:val="0"/>
          <w:marTop w:val="0"/>
          <w:marBottom w:val="0"/>
          <w:divBdr>
            <w:top w:val="none" w:sz="0" w:space="0" w:color="auto"/>
            <w:left w:val="none" w:sz="0" w:space="0" w:color="auto"/>
            <w:bottom w:val="none" w:sz="0" w:space="0" w:color="auto"/>
            <w:right w:val="none" w:sz="0" w:space="0" w:color="auto"/>
          </w:divBdr>
        </w:div>
        <w:div w:id="1189173623">
          <w:marLeft w:val="0"/>
          <w:marRight w:val="0"/>
          <w:marTop w:val="0"/>
          <w:marBottom w:val="0"/>
          <w:divBdr>
            <w:top w:val="none" w:sz="0" w:space="0" w:color="auto"/>
            <w:left w:val="none" w:sz="0" w:space="0" w:color="auto"/>
            <w:bottom w:val="none" w:sz="0" w:space="0" w:color="auto"/>
            <w:right w:val="none" w:sz="0" w:space="0" w:color="auto"/>
          </w:divBdr>
        </w:div>
        <w:div w:id="1461877843">
          <w:marLeft w:val="0"/>
          <w:marRight w:val="0"/>
          <w:marTop w:val="0"/>
          <w:marBottom w:val="0"/>
          <w:divBdr>
            <w:top w:val="none" w:sz="0" w:space="0" w:color="auto"/>
            <w:left w:val="none" w:sz="0" w:space="0" w:color="auto"/>
            <w:bottom w:val="none" w:sz="0" w:space="0" w:color="auto"/>
            <w:right w:val="none" w:sz="0" w:space="0" w:color="auto"/>
          </w:divBdr>
        </w:div>
        <w:div w:id="1495339790">
          <w:marLeft w:val="0"/>
          <w:marRight w:val="0"/>
          <w:marTop w:val="0"/>
          <w:marBottom w:val="0"/>
          <w:divBdr>
            <w:top w:val="none" w:sz="0" w:space="0" w:color="auto"/>
            <w:left w:val="none" w:sz="0" w:space="0" w:color="auto"/>
            <w:bottom w:val="none" w:sz="0" w:space="0" w:color="auto"/>
            <w:right w:val="none" w:sz="0" w:space="0" w:color="auto"/>
          </w:divBdr>
        </w:div>
        <w:div w:id="1500802597">
          <w:marLeft w:val="0"/>
          <w:marRight w:val="0"/>
          <w:marTop w:val="0"/>
          <w:marBottom w:val="0"/>
          <w:divBdr>
            <w:top w:val="none" w:sz="0" w:space="0" w:color="auto"/>
            <w:left w:val="none" w:sz="0" w:space="0" w:color="auto"/>
            <w:bottom w:val="none" w:sz="0" w:space="0" w:color="auto"/>
            <w:right w:val="none" w:sz="0" w:space="0" w:color="auto"/>
          </w:divBdr>
        </w:div>
        <w:div w:id="1621841645">
          <w:marLeft w:val="0"/>
          <w:marRight w:val="0"/>
          <w:marTop w:val="0"/>
          <w:marBottom w:val="0"/>
          <w:divBdr>
            <w:top w:val="none" w:sz="0" w:space="0" w:color="auto"/>
            <w:left w:val="none" w:sz="0" w:space="0" w:color="auto"/>
            <w:bottom w:val="none" w:sz="0" w:space="0" w:color="auto"/>
            <w:right w:val="none" w:sz="0" w:space="0" w:color="auto"/>
          </w:divBdr>
        </w:div>
        <w:div w:id="1625038496">
          <w:marLeft w:val="0"/>
          <w:marRight w:val="0"/>
          <w:marTop w:val="0"/>
          <w:marBottom w:val="0"/>
          <w:divBdr>
            <w:top w:val="none" w:sz="0" w:space="0" w:color="auto"/>
            <w:left w:val="none" w:sz="0" w:space="0" w:color="auto"/>
            <w:bottom w:val="none" w:sz="0" w:space="0" w:color="auto"/>
            <w:right w:val="none" w:sz="0" w:space="0" w:color="auto"/>
          </w:divBdr>
        </w:div>
      </w:divsChild>
    </w:div>
    <w:div w:id="593628856">
      <w:bodyDiv w:val="1"/>
      <w:marLeft w:val="0"/>
      <w:marRight w:val="0"/>
      <w:marTop w:val="0"/>
      <w:marBottom w:val="0"/>
      <w:divBdr>
        <w:top w:val="none" w:sz="0" w:space="0" w:color="auto"/>
        <w:left w:val="none" w:sz="0" w:space="0" w:color="auto"/>
        <w:bottom w:val="none" w:sz="0" w:space="0" w:color="auto"/>
        <w:right w:val="none" w:sz="0" w:space="0" w:color="auto"/>
      </w:divBdr>
    </w:div>
    <w:div w:id="623196700">
      <w:bodyDiv w:val="1"/>
      <w:marLeft w:val="0"/>
      <w:marRight w:val="0"/>
      <w:marTop w:val="0"/>
      <w:marBottom w:val="0"/>
      <w:divBdr>
        <w:top w:val="none" w:sz="0" w:space="0" w:color="auto"/>
        <w:left w:val="none" w:sz="0" w:space="0" w:color="auto"/>
        <w:bottom w:val="none" w:sz="0" w:space="0" w:color="auto"/>
        <w:right w:val="none" w:sz="0" w:space="0" w:color="auto"/>
      </w:divBdr>
    </w:div>
    <w:div w:id="629242136">
      <w:bodyDiv w:val="1"/>
      <w:marLeft w:val="0"/>
      <w:marRight w:val="0"/>
      <w:marTop w:val="0"/>
      <w:marBottom w:val="0"/>
      <w:divBdr>
        <w:top w:val="none" w:sz="0" w:space="0" w:color="auto"/>
        <w:left w:val="none" w:sz="0" w:space="0" w:color="auto"/>
        <w:bottom w:val="none" w:sz="0" w:space="0" w:color="auto"/>
        <w:right w:val="none" w:sz="0" w:space="0" w:color="auto"/>
      </w:divBdr>
      <w:divsChild>
        <w:div w:id="13770418">
          <w:marLeft w:val="0"/>
          <w:marRight w:val="0"/>
          <w:marTop w:val="0"/>
          <w:marBottom w:val="0"/>
          <w:divBdr>
            <w:top w:val="none" w:sz="0" w:space="0" w:color="auto"/>
            <w:left w:val="none" w:sz="0" w:space="0" w:color="auto"/>
            <w:bottom w:val="none" w:sz="0" w:space="0" w:color="auto"/>
            <w:right w:val="none" w:sz="0" w:space="0" w:color="auto"/>
          </w:divBdr>
        </w:div>
        <w:div w:id="65424882">
          <w:marLeft w:val="0"/>
          <w:marRight w:val="0"/>
          <w:marTop w:val="0"/>
          <w:marBottom w:val="0"/>
          <w:divBdr>
            <w:top w:val="none" w:sz="0" w:space="0" w:color="auto"/>
            <w:left w:val="none" w:sz="0" w:space="0" w:color="auto"/>
            <w:bottom w:val="none" w:sz="0" w:space="0" w:color="auto"/>
            <w:right w:val="none" w:sz="0" w:space="0" w:color="auto"/>
          </w:divBdr>
        </w:div>
        <w:div w:id="102381458">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106196646">
          <w:marLeft w:val="0"/>
          <w:marRight w:val="0"/>
          <w:marTop w:val="0"/>
          <w:marBottom w:val="0"/>
          <w:divBdr>
            <w:top w:val="none" w:sz="0" w:space="0" w:color="auto"/>
            <w:left w:val="none" w:sz="0" w:space="0" w:color="auto"/>
            <w:bottom w:val="none" w:sz="0" w:space="0" w:color="auto"/>
            <w:right w:val="none" w:sz="0" w:space="0" w:color="auto"/>
          </w:divBdr>
        </w:div>
        <w:div w:id="289752225">
          <w:marLeft w:val="0"/>
          <w:marRight w:val="0"/>
          <w:marTop w:val="0"/>
          <w:marBottom w:val="0"/>
          <w:divBdr>
            <w:top w:val="none" w:sz="0" w:space="0" w:color="auto"/>
            <w:left w:val="none" w:sz="0" w:space="0" w:color="auto"/>
            <w:bottom w:val="none" w:sz="0" w:space="0" w:color="auto"/>
            <w:right w:val="none" w:sz="0" w:space="0" w:color="auto"/>
          </w:divBdr>
        </w:div>
        <w:div w:id="353919931">
          <w:marLeft w:val="0"/>
          <w:marRight w:val="0"/>
          <w:marTop w:val="0"/>
          <w:marBottom w:val="0"/>
          <w:divBdr>
            <w:top w:val="none" w:sz="0" w:space="0" w:color="auto"/>
            <w:left w:val="none" w:sz="0" w:space="0" w:color="auto"/>
            <w:bottom w:val="none" w:sz="0" w:space="0" w:color="auto"/>
            <w:right w:val="none" w:sz="0" w:space="0" w:color="auto"/>
          </w:divBdr>
        </w:div>
        <w:div w:id="396322773">
          <w:marLeft w:val="0"/>
          <w:marRight w:val="0"/>
          <w:marTop w:val="0"/>
          <w:marBottom w:val="0"/>
          <w:divBdr>
            <w:top w:val="none" w:sz="0" w:space="0" w:color="auto"/>
            <w:left w:val="none" w:sz="0" w:space="0" w:color="auto"/>
            <w:bottom w:val="none" w:sz="0" w:space="0" w:color="auto"/>
            <w:right w:val="none" w:sz="0" w:space="0" w:color="auto"/>
          </w:divBdr>
        </w:div>
        <w:div w:id="590771995">
          <w:marLeft w:val="0"/>
          <w:marRight w:val="0"/>
          <w:marTop w:val="0"/>
          <w:marBottom w:val="0"/>
          <w:divBdr>
            <w:top w:val="none" w:sz="0" w:space="0" w:color="auto"/>
            <w:left w:val="none" w:sz="0" w:space="0" w:color="auto"/>
            <w:bottom w:val="none" w:sz="0" w:space="0" w:color="auto"/>
            <w:right w:val="none" w:sz="0" w:space="0" w:color="auto"/>
          </w:divBdr>
        </w:div>
        <w:div w:id="642855173">
          <w:marLeft w:val="0"/>
          <w:marRight w:val="0"/>
          <w:marTop w:val="0"/>
          <w:marBottom w:val="0"/>
          <w:divBdr>
            <w:top w:val="none" w:sz="0" w:space="0" w:color="auto"/>
            <w:left w:val="none" w:sz="0" w:space="0" w:color="auto"/>
            <w:bottom w:val="none" w:sz="0" w:space="0" w:color="auto"/>
            <w:right w:val="none" w:sz="0" w:space="0" w:color="auto"/>
          </w:divBdr>
        </w:div>
        <w:div w:id="683826240">
          <w:marLeft w:val="0"/>
          <w:marRight w:val="0"/>
          <w:marTop w:val="0"/>
          <w:marBottom w:val="0"/>
          <w:divBdr>
            <w:top w:val="none" w:sz="0" w:space="0" w:color="auto"/>
            <w:left w:val="none" w:sz="0" w:space="0" w:color="auto"/>
            <w:bottom w:val="none" w:sz="0" w:space="0" w:color="auto"/>
            <w:right w:val="none" w:sz="0" w:space="0" w:color="auto"/>
          </w:divBdr>
        </w:div>
        <w:div w:id="741291387">
          <w:marLeft w:val="0"/>
          <w:marRight w:val="0"/>
          <w:marTop w:val="0"/>
          <w:marBottom w:val="0"/>
          <w:divBdr>
            <w:top w:val="none" w:sz="0" w:space="0" w:color="auto"/>
            <w:left w:val="none" w:sz="0" w:space="0" w:color="auto"/>
            <w:bottom w:val="none" w:sz="0" w:space="0" w:color="auto"/>
            <w:right w:val="none" w:sz="0" w:space="0" w:color="auto"/>
          </w:divBdr>
        </w:div>
        <w:div w:id="759645312">
          <w:marLeft w:val="0"/>
          <w:marRight w:val="0"/>
          <w:marTop w:val="0"/>
          <w:marBottom w:val="0"/>
          <w:divBdr>
            <w:top w:val="none" w:sz="0" w:space="0" w:color="auto"/>
            <w:left w:val="none" w:sz="0" w:space="0" w:color="auto"/>
            <w:bottom w:val="none" w:sz="0" w:space="0" w:color="auto"/>
            <w:right w:val="none" w:sz="0" w:space="0" w:color="auto"/>
          </w:divBdr>
        </w:div>
        <w:div w:id="893472337">
          <w:marLeft w:val="0"/>
          <w:marRight w:val="0"/>
          <w:marTop w:val="0"/>
          <w:marBottom w:val="0"/>
          <w:divBdr>
            <w:top w:val="none" w:sz="0" w:space="0" w:color="auto"/>
            <w:left w:val="none" w:sz="0" w:space="0" w:color="auto"/>
            <w:bottom w:val="none" w:sz="0" w:space="0" w:color="auto"/>
            <w:right w:val="none" w:sz="0" w:space="0" w:color="auto"/>
          </w:divBdr>
        </w:div>
        <w:div w:id="973171024">
          <w:marLeft w:val="0"/>
          <w:marRight w:val="0"/>
          <w:marTop w:val="0"/>
          <w:marBottom w:val="0"/>
          <w:divBdr>
            <w:top w:val="none" w:sz="0" w:space="0" w:color="auto"/>
            <w:left w:val="none" w:sz="0" w:space="0" w:color="auto"/>
            <w:bottom w:val="none" w:sz="0" w:space="0" w:color="auto"/>
            <w:right w:val="none" w:sz="0" w:space="0" w:color="auto"/>
          </w:divBdr>
        </w:div>
        <w:div w:id="993995979">
          <w:marLeft w:val="0"/>
          <w:marRight w:val="0"/>
          <w:marTop w:val="0"/>
          <w:marBottom w:val="0"/>
          <w:divBdr>
            <w:top w:val="none" w:sz="0" w:space="0" w:color="auto"/>
            <w:left w:val="none" w:sz="0" w:space="0" w:color="auto"/>
            <w:bottom w:val="none" w:sz="0" w:space="0" w:color="auto"/>
            <w:right w:val="none" w:sz="0" w:space="0" w:color="auto"/>
          </w:divBdr>
        </w:div>
        <w:div w:id="1019546001">
          <w:marLeft w:val="0"/>
          <w:marRight w:val="0"/>
          <w:marTop w:val="0"/>
          <w:marBottom w:val="0"/>
          <w:divBdr>
            <w:top w:val="none" w:sz="0" w:space="0" w:color="auto"/>
            <w:left w:val="none" w:sz="0" w:space="0" w:color="auto"/>
            <w:bottom w:val="none" w:sz="0" w:space="0" w:color="auto"/>
            <w:right w:val="none" w:sz="0" w:space="0" w:color="auto"/>
          </w:divBdr>
        </w:div>
        <w:div w:id="1075979306">
          <w:marLeft w:val="0"/>
          <w:marRight w:val="0"/>
          <w:marTop w:val="0"/>
          <w:marBottom w:val="0"/>
          <w:divBdr>
            <w:top w:val="none" w:sz="0" w:space="0" w:color="auto"/>
            <w:left w:val="none" w:sz="0" w:space="0" w:color="auto"/>
            <w:bottom w:val="none" w:sz="0" w:space="0" w:color="auto"/>
            <w:right w:val="none" w:sz="0" w:space="0" w:color="auto"/>
          </w:divBdr>
        </w:div>
        <w:div w:id="1093891749">
          <w:marLeft w:val="0"/>
          <w:marRight w:val="0"/>
          <w:marTop w:val="0"/>
          <w:marBottom w:val="0"/>
          <w:divBdr>
            <w:top w:val="none" w:sz="0" w:space="0" w:color="auto"/>
            <w:left w:val="none" w:sz="0" w:space="0" w:color="auto"/>
            <w:bottom w:val="none" w:sz="0" w:space="0" w:color="auto"/>
            <w:right w:val="none" w:sz="0" w:space="0" w:color="auto"/>
          </w:divBdr>
        </w:div>
        <w:div w:id="1190559675">
          <w:marLeft w:val="0"/>
          <w:marRight w:val="0"/>
          <w:marTop w:val="0"/>
          <w:marBottom w:val="0"/>
          <w:divBdr>
            <w:top w:val="none" w:sz="0" w:space="0" w:color="auto"/>
            <w:left w:val="none" w:sz="0" w:space="0" w:color="auto"/>
            <w:bottom w:val="none" w:sz="0" w:space="0" w:color="auto"/>
            <w:right w:val="none" w:sz="0" w:space="0" w:color="auto"/>
          </w:divBdr>
        </w:div>
        <w:div w:id="1277568248">
          <w:marLeft w:val="0"/>
          <w:marRight w:val="0"/>
          <w:marTop w:val="0"/>
          <w:marBottom w:val="0"/>
          <w:divBdr>
            <w:top w:val="none" w:sz="0" w:space="0" w:color="auto"/>
            <w:left w:val="none" w:sz="0" w:space="0" w:color="auto"/>
            <w:bottom w:val="none" w:sz="0" w:space="0" w:color="auto"/>
            <w:right w:val="none" w:sz="0" w:space="0" w:color="auto"/>
          </w:divBdr>
        </w:div>
        <w:div w:id="1284921225">
          <w:marLeft w:val="0"/>
          <w:marRight w:val="0"/>
          <w:marTop w:val="0"/>
          <w:marBottom w:val="0"/>
          <w:divBdr>
            <w:top w:val="none" w:sz="0" w:space="0" w:color="auto"/>
            <w:left w:val="none" w:sz="0" w:space="0" w:color="auto"/>
            <w:bottom w:val="none" w:sz="0" w:space="0" w:color="auto"/>
            <w:right w:val="none" w:sz="0" w:space="0" w:color="auto"/>
          </w:divBdr>
        </w:div>
        <w:div w:id="1309555204">
          <w:marLeft w:val="0"/>
          <w:marRight w:val="0"/>
          <w:marTop w:val="0"/>
          <w:marBottom w:val="0"/>
          <w:divBdr>
            <w:top w:val="none" w:sz="0" w:space="0" w:color="auto"/>
            <w:left w:val="none" w:sz="0" w:space="0" w:color="auto"/>
            <w:bottom w:val="none" w:sz="0" w:space="0" w:color="auto"/>
            <w:right w:val="none" w:sz="0" w:space="0" w:color="auto"/>
          </w:divBdr>
        </w:div>
        <w:div w:id="1311983369">
          <w:marLeft w:val="0"/>
          <w:marRight w:val="0"/>
          <w:marTop w:val="0"/>
          <w:marBottom w:val="0"/>
          <w:divBdr>
            <w:top w:val="none" w:sz="0" w:space="0" w:color="auto"/>
            <w:left w:val="none" w:sz="0" w:space="0" w:color="auto"/>
            <w:bottom w:val="none" w:sz="0" w:space="0" w:color="auto"/>
            <w:right w:val="none" w:sz="0" w:space="0" w:color="auto"/>
          </w:divBdr>
        </w:div>
        <w:div w:id="1333024740">
          <w:marLeft w:val="0"/>
          <w:marRight w:val="0"/>
          <w:marTop w:val="0"/>
          <w:marBottom w:val="0"/>
          <w:divBdr>
            <w:top w:val="none" w:sz="0" w:space="0" w:color="auto"/>
            <w:left w:val="none" w:sz="0" w:space="0" w:color="auto"/>
            <w:bottom w:val="none" w:sz="0" w:space="0" w:color="auto"/>
            <w:right w:val="none" w:sz="0" w:space="0" w:color="auto"/>
          </w:divBdr>
        </w:div>
        <w:div w:id="1346521472">
          <w:marLeft w:val="0"/>
          <w:marRight w:val="0"/>
          <w:marTop w:val="0"/>
          <w:marBottom w:val="0"/>
          <w:divBdr>
            <w:top w:val="none" w:sz="0" w:space="0" w:color="auto"/>
            <w:left w:val="none" w:sz="0" w:space="0" w:color="auto"/>
            <w:bottom w:val="none" w:sz="0" w:space="0" w:color="auto"/>
            <w:right w:val="none" w:sz="0" w:space="0" w:color="auto"/>
          </w:divBdr>
        </w:div>
        <w:div w:id="1353798901">
          <w:marLeft w:val="0"/>
          <w:marRight w:val="0"/>
          <w:marTop w:val="0"/>
          <w:marBottom w:val="0"/>
          <w:divBdr>
            <w:top w:val="none" w:sz="0" w:space="0" w:color="auto"/>
            <w:left w:val="none" w:sz="0" w:space="0" w:color="auto"/>
            <w:bottom w:val="none" w:sz="0" w:space="0" w:color="auto"/>
            <w:right w:val="none" w:sz="0" w:space="0" w:color="auto"/>
          </w:divBdr>
        </w:div>
        <w:div w:id="1355691977">
          <w:marLeft w:val="0"/>
          <w:marRight w:val="0"/>
          <w:marTop w:val="0"/>
          <w:marBottom w:val="0"/>
          <w:divBdr>
            <w:top w:val="none" w:sz="0" w:space="0" w:color="auto"/>
            <w:left w:val="none" w:sz="0" w:space="0" w:color="auto"/>
            <w:bottom w:val="none" w:sz="0" w:space="0" w:color="auto"/>
            <w:right w:val="none" w:sz="0" w:space="0" w:color="auto"/>
          </w:divBdr>
        </w:div>
        <w:div w:id="1364401518">
          <w:marLeft w:val="0"/>
          <w:marRight w:val="0"/>
          <w:marTop w:val="0"/>
          <w:marBottom w:val="0"/>
          <w:divBdr>
            <w:top w:val="none" w:sz="0" w:space="0" w:color="auto"/>
            <w:left w:val="none" w:sz="0" w:space="0" w:color="auto"/>
            <w:bottom w:val="none" w:sz="0" w:space="0" w:color="auto"/>
            <w:right w:val="none" w:sz="0" w:space="0" w:color="auto"/>
          </w:divBdr>
        </w:div>
        <w:div w:id="1391461626">
          <w:marLeft w:val="0"/>
          <w:marRight w:val="0"/>
          <w:marTop w:val="0"/>
          <w:marBottom w:val="0"/>
          <w:divBdr>
            <w:top w:val="none" w:sz="0" w:space="0" w:color="auto"/>
            <w:left w:val="none" w:sz="0" w:space="0" w:color="auto"/>
            <w:bottom w:val="none" w:sz="0" w:space="0" w:color="auto"/>
            <w:right w:val="none" w:sz="0" w:space="0" w:color="auto"/>
          </w:divBdr>
        </w:div>
        <w:div w:id="1428387066">
          <w:marLeft w:val="0"/>
          <w:marRight w:val="0"/>
          <w:marTop w:val="0"/>
          <w:marBottom w:val="0"/>
          <w:divBdr>
            <w:top w:val="none" w:sz="0" w:space="0" w:color="auto"/>
            <w:left w:val="none" w:sz="0" w:space="0" w:color="auto"/>
            <w:bottom w:val="none" w:sz="0" w:space="0" w:color="auto"/>
            <w:right w:val="none" w:sz="0" w:space="0" w:color="auto"/>
          </w:divBdr>
        </w:div>
        <w:div w:id="1506557841">
          <w:marLeft w:val="0"/>
          <w:marRight w:val="0"/>
          <w:marTop w:val="0"/>
          <w:marBottom w:val="0"/>
          <w:divBdr>
            <w:top w:val="none" w:sz="0" w:space="0" w:color="auto"/>
            <w:left w:val="none" w:sz="0" w:space="0" w:color="auto"/>
            <w:bottom w:val="none" w:sz="0" w:space="0" w:color="auto"/>
            <w:right w:val="none" w:sz="0" w:space="0" w:color="auto"/>
          </w:divBdr>
        </w:div>
        <w:div w:id="1653212005">
          <w:marLeft w:val="0"/>
          <w:marRight w:val="0"/>
          <w:marTop w:val="0"/>
          <w:marBottom w:val="0"/>
          <w:divBdr>
            <w:top w:val="none" w:sz="0" w:space="0" w:color="auto"/>
            <w:left w:val="none" w:sz="0" w:space="0" w:color="auto"/>
            <w:bottom w:val="none" w:sz="0" w:space="0" w:color="auto"/>
            <w:right w:val="none" w:sz="0" w:space="0" w:color="auto"/>
          </w:divBdr>
        </w:div>
        <w:div w:id="1665015799">
          <w:marLeft w:val="0"/>
          <w:marRight w:val="0"/>
          <w:marTop w:val="0"/>
          <w:marBottom w:val="0"/>
          <w:divBdr>
            <w:top w:val="none" w:sz="0" w:space="0" w:color="auto"/>
            <w:left w:val="none" w:sz="0" w:space="0" w:color="auto"/>
            <w:bottom w:val="none" w:sz="0" w:space="0" w:color="auto"/>
            <w:right w:val="none" w:sz="0" w:space="0" w:color="auto"/>
          </w:divBdr>
        </w:div>
        <w:div w:id="1721248662">
          <w:marLeft w:val="0"/>
          <w:marRight w:val="0"/>
          <w:marTop w:val="0"/>
          <w:marBottom w:val="0"/>
          <w:divBdr>
            <w:top w:val="none" w:sz="0" w:space="0" w:color="auto"/>
            <w:left w:val="none" w:sz="0" w:space="0" w:color="auto"/>
            <w:bottom w:val="none" w:sz="0" w:space="0" w:color="auto"/>
            <w:right w:val="none" w:sz="0" w:space="0" w:color="auto"/>
          </w:divBdr>
        </w:div>
        <w:div w:id="1826579683">
          <w:marLeft w:val="0"/>
          <w:marRight w:val="0"/>
          <w:marTop w:val="0"/>
          <w:marBottom w:val="0"/>
          <w:divBdr>
            <w:top w:val="none" w:sz="0" w:space="0" w:color="auto"/>
            <w:left w:val="none" w:sz="0" w:space="0" w:color="auto"/>
            <w:bottom w:val="none" w:sz="0" w:space="0" w:color="auto"/>
            <w:right w:val="none" w:sz="0" w:space="0" w:color="auto"/>
          </w:divBdr>
        </w:div>
        <w:div w:id="1830559458">
          <w:marLeft w:val="0"/>
          <w:marRight w:val="0"/>
          <w:marTop w:val="0"/>
          <w:marBottom w:val="0"/>
          <w:divBdr>
            <w:top w:val="none" w:sz="0" w:space="0" w:color="auto"/>
            <w:left w:val="none" w:sz="0" w:space="0" w:color="auto"/>
            <w:bottom w:val="none" w:sz="0" w:space="0" w:color="auto"/>
            <w:right w:val="none" w:sz="0" w:space="0" w:color="auto"/>
          </w:divBdr>
        </w:div>
        <w:div w:id="1839349874">
          <w:marLeft w:val="0"/>
          <w:marRight w:val="0"/>
          <w:marTop w:val="0"/>
          <w:marBottom w:val="0"/>
          <w:divBdr>
            <w:top w:val="none" w:sz="0" w:space="0" w:color="auto"/>
            <w:left w:val="none" w:sz="0" w:space="0" w:color="auto"/>
            <w:bottom w:val="none" w:sz="0" w:space="0" w:color="auto"/>
            <w:right w:val="none" w:sz="0" w:space="0" w:color="auto"/>
          </w:divBdr>
        </w:div>
        <w:div w:id="1855877597">
          <w:marLeft w:val="0"/>
          <w:marRight w:val="0"/>
          <w:marTop w:val="0"/>
          <w:marBottom w:val="0"/>
          <w:divBdr>
            <w:top w:val="none" w:sz="0" w:space="0" w:color="auto"/>
            <w:left w:val="none" w:sz="0" w:space="0" w:color="auto"/>
            <w:bottom w:val="none" w:sz="0" w:space="0" w:color="auto"/>
            <w:right w:val="none" w:sz="0" w:space="0" w:color="auto"/>
          </w:divBdr>
        </w:div>
        <w:div w:id="1885479657">
          <w:marLeft w:val="0"/>
          <w:marRight w:val="0"/>
          <w:marTop w:val="0"/>
          <w:marBottom w:val="0"/>
          <w:divBdr>
            <w:top w:val="none" w:sz="0" w:space="0" w:color="auto"/>
            <w:left w:val="none" w:sz="0" w:space="0" w:color="auto"/>
            <w:bottom w:val="none" w:sz="0" w:space="0" w:color="auto"/>
            <w:right w:val="none" w:sz="0" w:space="0" w:color="auto"/>
          </w:divBdr>
        </w:div>
        <w:div w:id="1939824862">
          <w:marLeft w:val="0"/>
          <w:marRight w:val="0"/>
          <w:marTop w:val="0"/>
          <w:marBottom w:val="0"/>
          <w:divBdr>
            <w:top w:val="none" w:sz="0" w:space="0" w:color="auto"/>
            <w:left w:val="none" w:sz="0" w:space="0" w:color="auto"/>
            <w:bottom w:val="none" w:sz="0" w:space="0" w:color="auto"/>
            <w:right w:val="none" w:sz="0" w:space="0" w:color="auto"/>
          </w:divBdr>
        </w:div>
        <w:div w:id="2030719159">
          <w:marLeft w:val="0"/>
          <w:marRight w:val="0"/>
          <w:marTop w:val="0"/>
          <w:marBottom w:val="0"/>
          <w:divBdr>
            <w:top w:val="none" w:sz="0" w:space="0" w:color="auto"/>
            <w:left w:val="none" w:sz="0" w:space="0" w:color="auto"/>
            <w:bottom w:val="none" w:sz="0" w:space="0" w:color="auto"/>
            <w:right w:val="none" w:sz="0" w:space="0" w:color="auto"/>
          </w:divBdr>
        </w:div>
        <w:div w:id="2113544363">
          <w:marLeft w:val="0"/>
          <w:marRight w:val="0"/>
          <w:marTop w:val="0"/>
          <w:marBottom w:val="0"/>
          <w:divBdr>
            <w:top w:val="none" w:sz="0" w:space="0" w:color="auto"/>
            <w:left w:val="none" w:sz="0" w:space="0" w:color="auto"/>
            <w:bottom w:val="none" w:sz="0" w:space="0" w:color="auto"/>
            <w:right w:val="none" w:sz="0" w:space="0" w:color="auto"/>
          </w:divBdr>
        </w:div>
        <w:div w:id="2122676048">
          <w:marLeft w:val="0"/>
          <w:marRight w:val="0"/>
          <w:marTop w:val="0"/>
          <w:marBottom w:val="0"/>
          <w:divBdr>
            <w:top w:val="none" w:sz="0" w:space="0" w:color="auto"/>
            <w:left w:val="none" w:sz="0" w:space="0" w:color="auto"/>
            <w:bottom w:val="none" w:sz="0" w:space="0" w:color="auto"/>
            <w:right w:val="none" w:sz="0" w:space="0" w:color="auto"/>
          </w:divBdr>
        </w:div>
      </w:divsChild>
    </w:div>
    <w:div w:id="680469331">
      <w:bodyDiv w:val="1"/>
      <w:marLeft w:val="0"/>
      <w:marRight w:val="0"/>
      <w:marTop w:val="0"/>
      <w:marBottom w:val="0"/>
      <w:divBdr>
        <w:top w:val="none" w:sz="0" w:space="0" w:color="auto"/>
        <w:left w:val="none" w:sz="0" w:space="0" w:color="auto"/>
        <w:bottom w:val="none" w:sz="0" w:space="0" w:color="auto"/>
        <w:right w:val="none" w:sz="0" w:space="0" w:color="auto"/>
      </w:divBdr>
    </w:div>
    <w:div w:id="684677190">
      <w:bodyDiv w:val="1"/>
      <w:marLeft w:val="0"/>
      <w:marRight w:val="0"/>
      <w:marTop w:val="0"/>
      <w:marBottom w:val="0"/>
      <w:divBdr>
        <w:top w:val="none" w:sz="0" w:space="0" w:color="auto"/>
        <w:left w:val="none" w:sz="0" w:space="0" w:color="auto"/>
        <w:bottom w:val="none" w:sz="0" w:space="0" w:color="auto"/>
        <w:right w:val="none" w:sz="0" w:space="0" w:color="auto"/>
      </w:divBdr>
      <w:divsChild>
        <w:div w:id="19355237">
          <w:marLeft w:val="0"/>
          <w:marRight w:val="0"/>
          <w:marTop w:val="0"/>
          <w:marBottom w:val="0"/>
          <w:divBdr>
            <w:top w:val="none" w:sz="0" w:space="0" w:color="auto"/>
            <w:left w:val="none" w:sz="0" w:space="0" w:color="auto"/>
            <w:bottom w:val="none" w:sz="0" w:space="0" w:color="auto"/>
            <w:right w:val="none" w:sz="0" w:space="0" w:color="auto"/>
          </w:divBdr>
        </w:div>
        <w:div w:id="29646261">
          <w:marLeft w:val="0"/>
          <w:marRight w:val="0"/>
          <w:marTop w:val="0"/>
          <w:marBottom w:val="0"/>
          <w:divBdr>
            <w:top w:val="none" w:sz="0" w:space="0" w:color="auto"/>
            <w:left w:val="none" w:sz="0" w:space="0" w:color="auto"/>
            <w:bottom w:val="none" w:sz="0" w:space="0" w:color="auto"/>
            <w:right w:val="none" w:sz="0" w:space="0" w:color="auto"/>
          </w:divBdr>
        </w:div>
        <w:div w:id="124855286">
          <w:marLeft w:val="0"/>
          <w:marRight w:val="0"/>
          <w:marTop w:val="0"/>
          <w:marBottom w:val="0"/>
          <w:divBdr>
            <w:top w:val="none" w:sz="0" w:space="0" w:color="auto"/>
            <w:left w:val="none" w:sz="0" w:space="0" w:color="auto"/>
            <w:bottom w:val="none" w:sz="0" w:space="0" w:color="auto"/>
            <w:right w:val="none" w:sz="0" w:space="0" w:color="auto"/>
          </w:divBdr>
        </w:div>
        <w:div w:id="146408146">
          <w:marLeft w:val="0"/>
          <w:marRight w:val="0"/>
          <w:marTop w:val="0"/>
          <w:marBottom w:val="0"/>
          <w:divBdr>
            <w:top w:val="none" w:sz="0" w:space="0" w:color="auto"/>
            <w:left w:val="none" w:sz="0" w:space="0" w:color="auto"/>
            <w:bottom w:val="none" w:sz="0" w:space="0" w:color="auto"/>
            <w:right w:val="none" w:sz="0" w:space="0" w:color="auto"/>
          </w:divBdr>
        </w:div>
        <w:div w:id="470901659">
          <w:marLeft w:val="0"/>
          <w:marRight w:val="0"/>
          <w:marTop w:val="0"/>
          <w:marBottom w:val="0"/>
          <w:divBdr>
            <w:top w:val="none" w:sz="0" w:space="0" w:color="auto"/>
            <w:left w:val="none" w:sz="0" w:space="0" w:color="auto"/>
            <w:bottom w:val="none" w:sz="0" w:space="0" w:color="auto"/>
            <w:right w:val="none" w:sz="0" w:space="0" w:color="auto"/>
          </w:divBdr>
        </w:div>
        <w:div w:id="530799119">
          <w:marLeft w:val="0"/>
          <w:marRight w:val="0"/>
          <w:marTop w:val="0"/>
          <w:marBottom w:val="0"/>
          <w:divBdr>
            <w:top w:val="none" w:sz="0" w:space="0" w:color="auto"/>
            <w:left w:val="none" w:sz="0" w:space="0" w:color="auto"/>
            <w:bottom w:val="none" w:sz="0" w:space="0" w:color="auto"/>
            <w:right w:val="none" w:sz="0" w:space="0" w:color="auto"/>
          </w:divBdr>
        </w:div>
        <w:div w:id="592668741">
          <w:marLeft w:val="0"/>
          <w:marRight w:val="0"/>
          <w:marTop w:val="0"/>
          <w:marBottom w:val="0"/>
          <w:divBdr>
            <w:top w:val="none" w:sz="0" w:space="0" w:color="auto"/>
            <w:left w:val="none" w:sz="0" w:space="0" w:color="auto"/>
            <w:bottom w:val="none" w:sz="0" w:space="0" w:color="auto"/>
            <w:right w:val="none" w:sz="0" w:space="0" w:color="auto"/>
          </w:divBdr>
        </w:div>
        <w:div w:id="600991215">
          <w:marLeft w:val="0"/>
          <w:marRight w:val="0"/>
          <w:marTop w:val="0"/>
          <w:marBottom w:val="0"/>
          <w:divBdr>
            <w:top w:val="none" w:sz="0" w:space="0" w:color="auto"/>
            <w:left w:val="none" w:sz="0" w:space="0" w:color="auto"/>
            <w:bottom w:val="none" w:sz="0" w:space="0" w:color="auto"/>
            <w:right w:val="none" w:sz="0" w:space="0" w:color="auto"/>
          </w:divBdr>
        </w:div>
        <w:div w:id="611742820">
          <w:marLeft w:val="0"/>
          <w:marRight w:val="0"/>
          <w:marTop w:val="0"/>
          <w:marBottom w:val="0"/>
          <w:divBdr>
            <w:top w:val="none" w:sz="0" w:space="0" w:color="auto"/>
            <w:left w:val="none" w:sz="0" w:space="0" w:color="auto"/>
            <w:bottom w:val="none" w:sz="0" w:space="0" w:color="auto"/>
            <w:right w:val="none" w:sz="0" w:space="0" w:color="auto"/>
          </w:divBdr>
        </w:div>
        <w:div w:id="614480126">
          <w:marLeft w:val="0"/>
          <w:marRight w:val="0"/>
          <w:marTop w:val="0"/>
          <w:marBottom w:val="0"/>
          <w:divBdr>
            <w:top w:val="none" w:sz="0" w:space="0" w:color="auto"/>
            <w:left w:val="none" w:sz="0" w:space="0" w:color="auto"/>
            <w:bottom w:val="none" w:sz="0" w:space="0" w:color="auto"/>
            <w:right w:val="none" w:sz="0" w:space="0" w:color="auto"/>
          </w:divBdr>
        </w:div>
        <w:div w:id="630942476">
          <w:marLeft w:val="0"/>
          <w:marRight w:val="0"/>
          <w:marTop w:val="0"/>
          <w:marBottom w:val="0"/>
          <w:divBdr>
            <w:top w:val="none" w:sz="0" w:space="0" w:color="auto"/>
            <w:left w:val="none" w:sz="0" w:space="0" w:color="auto"/>
            <w:bottom w:val="none" w:sz="0" w:space="0" w:color="auto"/>
            <w:right w:val="none" w:sz="0" w:space="0" w:color="auto"/>
          </w:divBdr>
        </w:div>
        <w:div w:id="680280242">
          <w:marLeft w:val="0"/>
          <w:marRight w:val="0"/>
          <w:marTop w:val="0"/>
          <w:marBottom w:val="0"/>
          <w:divBdr>
            <w:top w:val="none" w:sz="0" w:space="0" w:color="auto"/>
            <w:left w:val="none" w:sz="0" w:space="0" w:color="auto"/>
            <w:bottom w:val="none" w:sz="0" w:space="0" w:color="auto"/>
            <w:right w:val="none" w:sz="0" w:space="0" w:color="auto"/>
          </w:divBdr>
        </w:div>
        <w:div w:id="1012338457">
          <w:marLeft w:val="0"/>
          <w:marRight w:val="0"/>
          <w:marTop w:val="0"/>
          <w:marBottom w:val="0"/>
          <w:divBdr>
            <w:top w:val="none" w:sz="0" w:space="0" w:color="auto"/>
            <w:left w:val="none" w:sz="0" w:space="0" w:color="auto"/>
            <w:bottom w:val="none" w:sz="0" w:space="0" w:color="auto"/>
            <w:right w:val="none" w:sz="0" w:space="0" w:color="auto"/>
          </w:divBdr>
        </w:div>
        <w:div w:id="1067995874">
          <w:marLeft w:val="0"/>
          <w:marRight w:val="0"/>
          <w:marTop w:val="0"/>
          <w:marBottom w:val="0"/>
          <w:divBdr>
            <w:top w:val="none" w:sz="0" w:space="0" w:color="auto"/>
            <w:left w:val="none" w:sz="0" w:space="0" w:color="auto"/>
            <w:bottom w:val="none" w:sz="0" w:space="0" w:color="auto"/>
            <w:right w:val="none" w:sz="0" w:space="0" w:color="auto"/>
          </w:divBdr>
        </w:div>
        <w:div w:id="1108620651">
          <w:marLeft w:val="0"/>
          <w:marRight w:val="0"/>
          <w:marTop w:val="0"/>
          <w:marBottom w:val="0"/>
          <w:divBdr>
            <w:top w:val="none" w:sz="0" w:space="0" w:color="auto"/>
            <w:left w:val="none" w:sz="0" w:space="0" w:color="auto"/>
            <w:bottom w:val="none" w:sz="0" w:space="0" w:color="auto"/>
            <w:right w:val="none" w:sz="0" w:space="0" w:color="auto"/>
          </w:divBdr>
        </w:div>
        <w:div w:id="1164780826">
          <w:marLeft w:val="0"/>
          <w:marRight w:val="0"/>
          <w:marTop w:val="0"/>
          <w:marBottom w:val="0"/>
          <w:divBdr>
            <w:top w:val="none" w:sz="0" w:space="0" w:color="auto"/>
            <w:left w:val="none" w:sz="0" w:space="0" w:color="auto"/>
            <w:bottom w:val="none" w:sz="0" w:space="0" w:color="auto"/>
            <w:right w:val="none" w:sz="0" w:space="0" w:color="auto"/>
          </w:divBdr>
        </w:div>
        <w:div w:id="1319581075">
          <w:marLeft w:val="0"/>
          <w:marRight w:val="0"/>
          <w:marTop w:val="0"/>
          <w:marBottom w:val="0"/>
          <w:divBdr>
            <w:top w:val="none" w:sz="0" w:space="0" w:color="auto"/>
            <w:left w:val="none" w:sz="0" w:space="0" w:color="auto"/>
            <w:bottom w:val="none" w:sz="0" w:space="0" w:color="auto"/>
            <w:right w:val="none" w:sz="0" w:space="0" w:color="auto"/>
          </w:divBdr>
        </w:div>
        <w:div w:id="1324160946">
          <w:marLeft w:val="0"/>
          <w:marRight w:val="0"/>
          <w:marTop w:val="0"/>
          <w:marBottom w:val="0"/>
          <w:divBdr>
            <w:top w:val="none" w:sz="0" w:space="0" w:color="auto"/>
            <w:left w:val="none" w:sz="0" w:space="0" w:color="auto"/>
            <w:bottom w:val="none" w:sz="0" w:space="0" w:color="auto"/>
            <w:right w:val="none" w:sz="0" w:space="0" w:color="auto"/>
          </w:divBdr>
        </w:div>
        <w:div w:id="1416631211">
          <w:marLeft w:val="0"/>
          <w:marRight w:val="0"/>
          <w:marTop w:val="0"/>
          <w:marBottom w:val="0"/>
          <w:divBdr>
            <w:top w:val="none" w:sz="0" w:space="0" w:color="auto"/>
            <w:left w:val="none" w:sz="0" w:space="0" w:color="auto"/>
            <w:bottom w:val="none" w:sz="0" w:space="0" w:color="auto"/>
            <w:right w:val="none" w:sz="0" w:space="0" w:color="auto"/>
          </w:divBdr>
        </w:div>
        <w:div w:id="1496458123">
          <w:marLeft w:val="0"/>
          <w:marRight w:val="0"/>
          <w:marTop w:val="0"/>
          <w:marBottom w:val="0"/>
          <w:divBdr>
            <w:top w:val="none" w:sz="0" w:space="0" w:color="auto"/>
            <w:left w:val="none" w:sz="0" w:space="0" w:color="auto"/>
            <w:bottom w:val="none" w:sz="0" w:space="0" w:color="auto"/>
            <w:right w:val="none" w:sz="0" w:space="0" w:color="auto"/>
          </w:divBdr>
        </w:div>
        <w:div w:id="1532650603">
          <w:marLeft w:val="0"/>
          <w:marRight w:val="0"/>
          <w:marTop w:val="0"/>
          <w:marBottom w:val="0"/>
          <w:divBdr>
            <w:top w:val="none" w:sz="0" w:space="0" w:color="auto"/>
            <w:left w:val="none" w:sz="0" w:space="0" w:color="auto"/>
            <w:bottom w:val="none" w:sz="0" w:space="0" w:color="auto"/>
            <w:right w:val="none" w:sz="0" w:space="0" w:color="auto"/>
          </w:divBdr>
        </w:div>
        <w:div w:id="1567643903">
          <w:marLeft w:val="0"/>
          <w:marRight w:val="0"/>
          <w:marTop w:val="0"/>
          <w:marBottom w:val="0"/>
          <w:divBdr>
            <w:top w:val="none" w:sz="0" w:space="0" w:color="auto"/>
            <w:left w:val="none" w:sz="0" w:space="0" w:color="auto"/>
            <w:bottom w:val="none" w:sz="0" w:space="0" w:color="auto"/>
            <w:right w:val="none" w:sz="0" w:space="0" w:color="auto"/>
          </w:divBdr>
        </w:div>
        <w:div w:id="1683119404">
          <w:marLeft w:val="0"/>
          <w:marRight w:val="0"/>
          <w:marTop w:val="0"/>
          <w:marBottom w:val="0"/>
          <w:divBdr>
            <w:top w:val="none" w:sz="0" w:space="0" w:color="auto"/>
            <w:left w:val="none" w:sz="0" w:space="0" w:color="auto"/>
            <w:bottom w:val="none" w:sz="0" w:space="0" w:color="auto"/>
            <w:right w:val="none" w:sz="0" w:space="0" w:color="auto"/>
          </w:divBdr>
        </w:div>
        <w:div w:id="1721200308">
          <w:marLeft w:val="0"/>
          <w:marRight w:val="0"/>
          <w:marTop w:val="0"/>
          <w:marBottom w:val="0"/>
          <w:divBdr>
            <w:top w:val="none" w:sz="0" w:space="0" w:color="auto"/>
            <w:left w:val="none" w:sz="0" w:space="0" w:color="auto"/>
            <w:bottom w:val="none" w:sz="0" w:space="0" w:color="auto"/>
            <w:right w:val="none" w:sz="0" w:space="0" w:color="auto"/>
          </w:divBdr>
        </w:div>
        <w:div w:id="1850102219">
          <w:marLeft w:val="0"/>
          <w:marRight w:val="0"/>
          <w:marTop w:val="0"/>
          <w:marBottom w:val="0"/>
          <w:divBdr>
            <w:top w:val="none" w:sz="0" w:space="0" w:color="auto"/>
            <w:left w:val="none" w:sz="0" w:space="0" w:color="auto"/>
            <w:bottom w:val="none" w:sz="0" w:space="0" w:color="auto"/>
            <w:right w:val="none" w:sz="0" w:space="0" w:color="auto"/>
          </w:divBdr>
        </w:div>
        <w:div w:id="1919167212">
          <w:marLeft w:val="0"/>
          <w:marRight w:val="0"/>
          <w:marTop w:val="0"/>
          <w:marBottom w:val="0"/>
          <w:divBdr>
            <w:top w:val="none" w:sz="0" w:space="0" w:color="auto"/>
            <w:left w:val="none" w:sz="0" w:space="0" w:color="auto"/>
            <w:bottom w:val="none" w:sz="0" w:space="0" w:color="auto"/>
            <w:right w:val="none" w:sz="0" w:space="0" w:color="auto"/>
          </w:divBdr>
        </w:div>
        <w:div w:id="1926762588">
          <w:marLeft w:val="0"/>
          <w:marRight w:val="0"/>
          <w:marTop w:val="0"/>
          <w:marBottom w:val="0"/>
          <w:divBdr>
            <w:top w:val="none" w:sz="0" w:space="0" w:color="auto"/>
            <w:left w:val="none" w:sz="0" w:space="0" w:color="auto"/>
            <w:bottom w:val="none" w:sz="0" w:space="0" w:color="auto"/>
            <w:right w:val="none" w:sz="0" w:space="0" w:color="auto"/>
          </w:divBdr>
        </w:div>
        <w:div w:id="2050909896">
          <w:marLeft w:val="0"/>
          <w:marRight w:val="0"/>
          <w:marTop w:val="0"/>
          <w:marBottom w:val="0"/>
          <w:divBdr>
            <w:top w:val="none" w:sz="0" w:space="0" w:color="auto"/>
            <w:left w:val="none" w:sz="0" w:space="0" w:color="auto"/>
            <w:bottom w:val="none" w:sz="0" w:space="0" w:color="auto"/>
            <w:right w:val="none" w:sz="0" w:space="0" w:color="auto"/>
          </w:divBdr>
        </w:div>
        <w:div w:id="2122721194">
          <w:marLeft w:val="0"/>
          <w:marRight w:val="0"/>
          <w:marTop w:val="0"/>
          <w:marBottom w:val="0"/>
          <w:divBdr>
            <w:top w:val="none" w:sz="0" w:space="0" w:color="auto"/>
            <w:left w:val="none" w:sz="0" w:space="0" w:color="auto"/>
            <w:bottom w:val="none" w:sz="0" w:space="0" w:color="auto"/>
            <w:right w:val="none" w:sz="0" w:space="0" w:color="auto"/>
          </w:divBdr>
        </w:div>
      </w:divsChild>
    </w:div>
    <w:div w:id="690451005">
      <w:bodyDiv w:val="1"/>
      <w:marLeft w:val="0"/>
      <w:marRight w:val="0"/>
      <w:marTop w:val="0"/>
      <w:marBottom w:val="0"/>
      <w:divBdr>
        <w:top w:val="none" w:sz="0" w:space="0" w:color="auto"/>
        <w:left w:val="none" w:sz="0" w:space="0" w:color="auto"/>
        <w:bottom w:val="none" w:sz="0" w:space="0" w:color="auto"/>
        <w:right w:val="none" w:sz="0" w:space="0" w:color="auto"/>
      </w:divBdr>
    </w:div>
    <w:div w:id="706873996">
      <w:bodyDiv w:val="1"/>
      <w:marLeft w:val="0"/>
      <w:marRight w:val="0"/>
      <w:marTop w:val="0"/>
      <w:marBottom w:val="0"/>
      <w:divBdr>
        <w:top w:val="none" w:sz="0" w:space="0" w:color="auto"/>
        <w:left w:val="none" w:sz="0" w:space="0" w:color="auto"/>
        <w:bottom w:val="none" w:sz="0" w:space="0" w:color="auto"/>
        <w:right w:val="none" w:sz="0" w:space="0" w:color="auto"/>
      </w:divBdr>
    </w:div>
    <w:div w:id="714239852">
      <w:bodyDiv w:val="1"/>
      <w:marLeft w:val="0"/>
      <w:marRight w:val="0"/>
      <w:marTop w:val="0"/>
      <w:marBottom w:val="0"/>
      <w:divBdr>
        <w:top w:val="none" w:sz="0" w:space="0" w:color="auto"/>
        <w:left w:val="none" w:sz="0" w:space="0" w:color="auto"/>
        <w:bottom w:val="none" w:sz="0" w:space="0" w:color="auto"/>
        <w:right w:val="none" w:sz="0" w:space="0" w:color="auto"/>
      </w:divBdr>
    </w:div>
    <w:div w:id="721366913">
      <w:bodyDiv w:val="1"/>
      <w:marLeft w:val="0"/>
      <w:marRight w:val="0"/>
      <w:marTop w:val="0"/>
      <w:marBottom w:val="0"/>
      <w:divBdr>
        <w:top w:val="none" w:sz="0" w:space="0" w:color="auto"/>
        <w:left w:val="none" w:sz="0" w:space="0" w:color="auto"/>
        <w:bottom w:val="none" w:sz="0" w:space="0" w:color="auto"/>
        <w:right w:val="none" w:sz="0" w:space="0" w:color="auto"/>
      </w:divBdr>
    </w:div>
    <w:div w:id="726489739">
      <w:bodyDiv w:val="1"/>
      <w:marLeft w:val="0"/>
      <w:marRight w:val="0"/>
      <w:marTop w:val="0"/>
      <w:marBottom w:val="0"/>
      <w:divBdr>
        <w:top w:val="none" w:sz="0" w:space="0" w:color="auto"/>
        <w:left w:val="none" w:sz="0" w:space="0" w:color="auto"/>
        <w:bottom w:val="none" w:sz="0" w:space="0" w:color="auto"/>
        <w:right w:val="none" w:sz="0" w:space="0" w:color="auto"/>
      </w:divBdr>
      <w:divsChild>
        <w:div w:id="15157242">
          <w:marLeft w:val="0"/>
          <w:marRight w:val="0"/>
          <w:marTop w:val="0"/>
          <w:marBottom w:val="0"/>
          <w:divBdr>
            <w:top w:val="none" w:sz="0" w:space="0" w:color="auto"/>
            <w:left w:val="none" w:sz="0" w:space="0" w:color="auto"/>
            <w:bottom w:val="none" w:sz="0" w:space="0" w:color="auto"/>
            <w:right w:val="none" w:sz="0" w:space="0" w:color="auto"/>
          </w:divBdr>
        </w:div>
        <w:div w:id="83301645">
          <w:marLeft w:val="0"/>
          <w:marRight w:val="0"/>
          <w:marTop w:val="0"/>
          <w:marBottom w:val="0"/>
          <w:divBdr>
            <w:top w:val="none" w:sz="0" w:space="0" w:color="auto"/>
            <w:left w:val="none" w:sz="0" w:space="0" w:color="auto"/>
            <w:bottom w:val="none" w:sz="0" w:space="0" w:color="auto"/>
            <w:right w:val="none" w:sz="0" w:space="0" w:color="auto"/>
          </w:divBdr>
        </w:div>
        <w:div w:id="155343102">
          <w:marLeft w:val="0"/>
          <w:marRight w:val="0"/>
          <w:marTop w:val="0"/>
          <w:marBottom w:val="0"/>
          <w:divBdr>
            <w:top w:val="none" w:sz="0" w:space="0" w:color="auto"/>
            <w:left w:val="none" w:sz="0" w:space="0" w:color="auto"/>
            <w:bottom w:val="none" w:sz="0" w:space="0" w:color="auto"/>
            <w:right w:val="none" w:sz="0" w:space="0" w:color="auto"/>
          </w:divBdr>
        </w:div>
        <w:div w:id="362095425">
          <w:marLeft w:val="0"/>
          <w:marRight w:val="0"/>
          <w:marTop w:val="0"/>
          <w:marBottom w:val="0"/>
          <w:divBdr>
            <w:top w:val="none" w:sz="0" w:space="0" w:color="auto"/>
            <w:left w:val="none" w:sz="0" w:space="0" w:color="auto"/>
            <w:bottom w:val="none" w:sz="0" w:space="0" w:color="auto"/>
            <w:right w:val="none" w:sz="0" w:space="0" w:color="auto"/>
          </w:divBdr>
        </w:div>
        <w:div w:id="368339930">
          <w:marLeft w:val="0"/>
          <w:marRight w:val="0"/>
          <w:marTop w:val="0"/>
          <w:marBottom w:val="0"/>
          <w:divBdr>
            <w:top w:val="none" w:sz="0" w:space="0" w:color="auto"/>
            <w:left w:val="none" w:sz="0" w:space="0" w:color="auto"/>
            <w:bottom w:val="none" w:sz="0" w:space="0" w:color="auto"/>
            <w:right w:val="none" w:sz="0" w:space="0" w:color="auto"/>
          </w:divBdr>
        </w:div>
        <w:div w:id="384303295">
          <w:marLeft w:val="0"/>
          <w:marRight w:val="0"/>
          <w:marTop w:val="0"/>
          <w:marBottom w:val="0"/>
          <w:divBdr>
            <w:top w:val="none" w:sz="0" w:space="0" w:color="auto"/>
            <w:left w:val="none" w:sz="0" w:space="0" w:color="auto"/>
            <w:bottom w:val="none" w:sz="0" w:space="0" w:color="auto"/>
            <w:right w:val="none" w:sz="0" w:space="0" w:color="auto"/>
          </w:divBdr>
        </w:div>
        <w:div w:id="551044870">
          <w:marLeft w:val="0"/>
          <w:marRight w:val="0"/>
          <w:marTop w:val="0"/>
          <w:marBottom w:val="0"/>
          <w:divBdr>
            <w:top w:val="none" w:sz="0" w:space="0" w:color="auto"/>
            <w:left w:val="none" w:sz="0" w:space="0" w:color="auto"/>
            <w:bottom w:val="none" w:sz="0" w:space="0" w:color="auto"/>
            <w:right w:val="none" w:sz="0" w:space="0" w:color="auto"/>
          </w:divBdr>
        </w:div>
        <w:div w:id="745999764">
          <w:marLeft w:val="0"/>
          <w:marRight w:val="0"/>
          <w:marTop w:val="0"/>
          <w:marBottom w:val="0"/>
          <w:divBdr>
            <w:top w:val="none" w:sz="0" w:space="0" w:color="auto"/>
            <w:left w:val="none" w:sz="0" w:space="0" w:color="auto"/>
            <w:bottom w:val="none" w:sz="0" w:space="0" w:color="auto"/>
            <w:right w:val="none" w:sz="0" w:space="0" w:color="auto"/>
          </w:divBdr>
        </w:div>
        <w:div w:id="899442528">
          <w:marLeft w:val="0"/>
          <w:marRight w:val="0"/>
          <w:marTop w:val="0"/>
          <w:marBottom w:val="0"/>
          <w:divBdr>
            <w:top w:val="none" w:sz="0" w:space="0" w:color="auto"/>
            <w:left w:val="none" w:sz="0" w:space="0" w:color="auto"/>
            <w:bottom w:val="none" w:sz="0" w:space="0" w:color="auto"/>
            <w:right w:val="none" w:sz="0" w:space="0" w:color="auto"/>
          </w:divBdr>
        </w:div>
        <w:div w:id="1119032449">
          <w:marLeft w:val="0"/>
          <w:marRight w:val="0"/>
          <w:marTop w:val="0"/>
          <w:marBottom w:val="0"/>
          <w:divBdr>
            <w:top w:val="none" w:sz="0" w:space="0" w:color="auto"/>
            <w:left w:val="none" w:sz="0" w:space="0" w:color="auto"/>
            <w:bottom w:val="none" w:sz="0" w:space="0" w:color="auto"/>
            <w:right w:val="none" w:sz="0" w:space="0" w:color="auto"/>
          </w:divBdr>
        </w:div>
        <w:div w:id="1175848385">
          <w:marLeft w:val="0"/>
          <w:marRight w:val="0"/>
          <w:marTop w:val="0"/>
          <w:marBottom w:val="0"/>
          <w:divBdr>
            <w:top w:val="none" w:sz="0" w:space="0" w:color="auto"/>
            <w:left w:val="none" w:sz="0" w:space="0" w:color="auto"/>
            <w:bottom w:val="none" w:sz="0" w:space="0" w:color="auto"/>
            <w:right w:val="none" w:sz="0" w:space="0" w:color="auto"/>
          </w:divBdr>
        </w:div>
        <w:div w:id="1181092778">
          <w:marLeft w:val="0"/>
          <w:marRight w:val="0"/>
          <w:marTop w:val="0"/>
          <w:marBottom w:val="0"/>
          <w:divBdr>
            <w:top w:val="none" w:sz="0" w:space="0" w:color="auto"/>
            <w:left w:val="none" w:sz="0" w:space="0" w:color="auto"/>
            <w:bottom w:val="none" w:sz="0" w:space="0" w:color="auto"/>
            <w:right w:val="none" w:sz="0" w:space="0" w:color="auto"/>
          </w:divBdr>
        </w:div>
        <w:div w:id="1493987511">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1817646614">
          <w:marLeft w:val="0"/>
          <w:marRight w:val="0"/>
          <w:marTop w:val="0"/>
          <w:marBottom w:val="0"/>
          <w:divBdr>
            <w:top w:val="none" w:sz="0" w:space="0" w:color="auto"/>
            <w:left w:val="none" w:sz="0" w:space="0" w:color="auto"/>
            <w:bottom w:val="none" w:sz="0" w:space="0" w:color="auto"/>
            <w:right w:val="none" w:sz="0" w:space="0" w:color="auto"/>
          </w:divBdr>
        </w:div>
      </w:divsChild>
    </w:div>
    <w:div w:id="727534707">
      <w:bodyDiv w:val="1"/>
      <w:marLeft w:val="0"/>
      <w:marRight w:val="0"/>
      <w:marTop w:val="0"/>
      <w:marBottom w:val="0"/>
      <w:divBdr>
        <w:top w:val="none" w:sz="0" w:space="0" w:color="auto"/>
        <w:left w:val="none" w:sz="0" w:space="0" w:color="auto"/>
        <w:bottom w:val="none" w:sz="0" w:space="0" w:color="auto"/>
        <w:right w:val="none" w:sz="0" w:space="0" w:color="auto"/>
      </w:divBdr>
    </w:div>
    <w:div w:id="743645067">
      <w:bodyDiv w:val="1"/>
      <w:marLeft w:val="0"/>
      <w:marRight w:val="0"/>
      <w:marTop w:val="0"/>
      <w:marBottom w:val="0"/>
      <w:divBdr>
        <w:top w:val="none" w:sz="0" w:space="0" w:color="auto"/>
        <w:left w:val="none" w:sz="0" w:space="0" w:color="auto"/>
        <w:bottom w:val="none" w:sz="0" w:space="0" w:color="auto"/>
        <w:right w:val="none" w:sz="0" w:space="0" w:color="auto"/>
      </w:divBdr>
    </w:div>
    <w:div w:id="744717541">
      <w:bodyDiv w:val="1"/>
      <w:marLeft w:val="0"/>
      <w:marRight w:val="0"/>
      <w:marTop w:val="0"/>
      <w:marBottom w:val="0"/>
      <w:divBdr>
        <w:top w:val="none" w:sz="0" w:space="0" w:color="auto"/>
        <w:left w:val="none" w:sz="0" w:space="0" w:color="auto"/>
        <w:bottom w:val="none" w:sz="0" w:space="0" w:color="auto"/>
        <w:right w:val="none" w:sz="0" w:space="0" w:color="auto"/>
      </w:divBdr>
    </w:div>
    <w:div w:id="749891635">
      <w:bodyDiv w:val="1"/>
      <w:marLeft w:val="0"/>
      <w:marRight w:val="0"/>
      <w:marTop w:val="0"/>
      <w:marBottom w:val="0"/>
      <w:divBdr>
        <w:top w:val="none" w:sz="0" w:space="0" w:color="auto"/>
        <w:left w:val="none" w:sz="0" w:space="0" w:color="auto"/>
        <w:bottom w:val="none" w:sz="0" w:space="0" w:color="auto"/>
        <w:right w:val="none" w:sz="0" w:space="0" w:color="auto"/>
      </w:divBdr>
      <w:divsChild>
        <w:div w:id="865867336">
          <w:marLeft w:val="0"/>
          <w:marRight w:val="0"/>
          <w:marTop w:val="0"/>
          <w:marBottom w:val="0"/>
          <w:divBdr>
            <w:top w:val="none" w:sz="0" w:space="0" w:color="auto"/>
            <w:left w:val="none" w:sz="0" w:space="0" w:color="auto"/>
            <w:bottom w:val="none" w:sz="0" w:space="0" w:color="auto"/>
            <w:right w:val="none" w:sz="0" w:space="0" w:color="auto"/>
          </w:divBdr>
        </w:div>
        <w:div w:id="1299802861">
          <w:marLeft w:val="0"/>
          <w:marRight w:val="0"/>
          <w:marTop w:val="0"/>
          <w:marBottom w:val="0"/>
          <w:divBdr>
            <w:top w:val="none" w:sz="0" w:space="0" w:color="auto"/>
            <w:left w:val="none" w:sz="0" w:space="0" w:color="auto"/>
            <w:bottom w:val="none" w:sz="0" w:space="0" w:color="auto"/>
            <w:right w:val="none" w:sz="0" w:space="0" w:color="auto"/>
          </w:divBdr>
        </w:div>
        <w:div w:id="1571039661">
          <w:marLeft w:val="0"/>
          <w:marRight w:val="0"/>
          <w:marTop w:val="0"/>
          <w:marBottom w:val="0"/>
          <w:divBdr>
            <w:top w:val="none" w:sz="0" w:space="0" w:color="auto"/>
            <w:left w:val="none" w:sz="0" w:space="0" w:color="auto"/>
            <w:bottom w:val="none" w:sz="0" w:space="0" w:color="auto"/>
            <w:right w:val="none" w:sz="0" w:space="0" w:color="auto"/>
          </w:divBdr>
        </w:div>
        <w:div w:id="1845973443">
          <w:marLeft w:val="0"/>
          <w:marRight w:val="0"/>
          <w:marTop w:val="0"/>
          <w:marBottom w:val="0"/>
          <w:divBdr>
            <w:top w:val="none" w:sz="0" w:space="0" w:color="auto"/>
            <w:left w:val="none" w:sz="0" w:space="0" w:color="auto"/>
            <w:bottom w:val="none" w:sz="0" w:space="0" w:color="auto"/>
            <w:right w:val="none" w:sz="0" w:space="0" w:color="auto"/>
          </w:divBdr>
        </w:div>
      </w:divsChild>
    </w:div>
    <w:div w:id="751047187">
      <w:bodyDiv w:val="1"/>
      <w:marLeft w:val="0"/>
      <w:marRight w:val="0"/>
      <w:marTop w:val="0"/>
      <w:marBottom w:val="0"/>
      <w:divBdr>
        <w:top w:val="none" w:sz="0" w:space="0" w:color="auto"/>
        <w:left w:val="none" w:sz="0" w:space="0" w:color="auto"/>
        <w:bottom w:val="none" w:sz="0" w:space="0" w:color="auto"/>
        <w:right w:val="none" w:sz="0" w:space="0" w:color="auto"/>
      </w:divBdr>
      <w:divsChild>
        <w:div w:id="92937493">
          <w:marLeft w:val="0"/>
          <w:marRight w:val="0"/>
          <w:marTop w:val="0"/>
          <w:marBottom w:val="0"/>
          <w:divBdr>
            <w:top w:val="none" w:sz="0" w:space="0" w:color="auto"/>
            <w:left w:val="none" w:sz="0" w:space="0" w:color="auto"/>
            <w:bottom w:val="none" w:sz="0" w:space="0" w:color="auto"/>
            <w:right w:val="none" w:sz="0" w:space="0" w:color="auto"/>
          </w:divBdr>
        </w:div>
        <w:div w:id="516819485">
          <w:marLeft w:val="0"/>
          <w:marRight w:val="0"/>
          <w:marTop w:val="0"/>
          <w:marBottom w:val="0"/>
          <w:divBdr>
            <w:top w:val="none" w:sz="0" w:space="0" w:color="auto"/>
            <w:left w:val="none" w:sz="0" w:space="0" w:color="auto"/>
            <w:bottom w:val="none" w:sz="0" w:space="0" w:color="auto"/>
            <w:right w:val="none" w:sz="0" w:space="0" w:color="auto"/>
          </w:divBdr>
        </w:div>
        <w:div w:id="1738357308">
          <w:marLeft w:val="0"/>
          <w:marRight w:val="0"/>
          <w:marTop w:val="0"/>
          <w:marBottom w:val="0"/>
          <w:divBdr>
            <w:top w:val="none" w:sz="0" w:space="0" w:color="auto"/>
            <w:left w:val="none" w:sz="0" w:space="0" w:color="auto"/>
            <w:bottom w:val="none" w:sz="0" w:space="0" w:color="auto"/>
            <w:right w:val="none" w:sz="0" w:space="0" w:color="auto"/>
          </w:divBdr>
        </w:div>
      </w:divsChild>
    </w:div>
    <w:div w:id="770052888">
      <w:bodyDiv w:val="1"/>
      <w:marLeft w:val="0"/>
      <w:marRight w:val="0"/>
      <w:marTop w:val="0"/>
      <w:marBottom w:val="0"/>
      <w:divBdr>
        <w:top w:val="none" w:sz="0" w:space="0" w:color="auto"/>
        <w:left w:val="none" w:sz="0" w:space="0" w:color="auto"/>
        <w:bottom w:val="none" w:sz="0" w:space="0" w:color="auto"/>
        <w:right w:val="none" w:sz="0" w:space="0" w:color="auto"/>
      </w:divBdr>
    </w:div>
    <w:div w:id="783765003">
      <w:bodyDiv w:val="1"/>
      <w:marLeft w:val="0"/>
      <w:marRight w:val="0"/>
      <w:marTop w:val="0"/>
      <w:marBottom w:val="0"/>
      <w:divBdr>
        <w:top w:val="none" w:sz="0" w:space="0" w:color="auto"/>
        <w:left w:val="none" w:sz="0" w:space="0" w:color="auto"/>
        <w:bottom w:val="none" w:sz="0" w:space="0" w:color="auto"/>
        <w:right w:val="none" w:sz="0" w:space="0" w:color="auto"/>
      </w:divBdr>
    </w:div>
    <w:div w:id="783816539">
      <w:bodyDiv w:val="1"/>
      <w:marLeft w:val="0"/>
      <w:marRight w:val="0"/>
      <w:marTop w:val="0"/>
      <w:marBottom w:val="0"/>
      <w:divBdr>
        <w:top w:val="none" w:sz="0" w:space="0" w:color="auto"/>
        <w:left w:val="none" w:sz="0" w:space="0" w:color="auto"/>
        <w:bottom w:val="none" w:sz="0" w:space="0" w:color="auto"/>
        <w:right w:val="none" w:sz="0" w:space="0" w:color="auto"/>
      </w:divBdr>
    </w:div>
    <w:div w:id="786508554">
      <w:bodyDiv w:val="1"/>
      <w:marLeft w:val="0"/>
      <w:marRight w:val="0"/>
      <w:marTop w:val="0"/>
      <w:marBottom w:val="0"/>
      <w:divBdr>
        <w:top w:val="none" w:sz="0" w:space="0" w:color="auto"/>
        <w:left w:val="none" w:sz="0" w:space="0" w:color="auto"/>
        <w:bottom w:val="none" w:sz="0" w:space="0" w:color="auto"/>
        <w:right w:val="none" w:sz="0" w:space="0" w:color="auto"/>
      </w:divBdr>
    </w:div>
    <w:div w:id="824013993">
      <w:bodyDiv w:val="1"/>
      <w:marLeft w:val="0"/>
      <w:marRight w:val="0"/>
      <w:marTop w:val="0"/>
      <w:marBottom w:val="0"/>
      <w:divBdr>
        <w:top w:val="none" w:sz="0" w:space="0" w:color="auto"/>
        <w:left w:val="none" w:sz="0" w:space="0" w:color="auto"/>
        <w:bottom w:val="none" w:sz="0" w:space="0" w:color="auto"/>
        <w:right w:val="none" w:sz="0" w:space="0" w:color="auto"/>
      </w:divBdr>
    </w:div>
    <w:div w:id="831259139">
      <w:bodyDiv w:val="1"/>
      <w:marLeft w:val="0"/>
      <w:marRight w:val="0"/>
      <w:marTop w:val="0"/>
      <w:marBottom w:val="0"/>
      <w:divBdr>
        <w:top w:val="none" w:sz="0" w:space="0" w:color="auto"/>
        <w:left w:val="none" w:sz="0" w:space="0" w:color="auto"/>
        <w:bottom w:val="none" w:sz="0" w:space="0" w:color="auto"/>
        <w:right w:val="none" w:sz="0" w:space="0" w:color="auto"/>
      </w:divBdr>
    </w:div>
    <w:div w:id="858078926">
      <w:bodyDiv w:val="1"/>
      <w:marLeft w:val="0"/>
      <w:marRight w:val="0"/>
      <w:marTop w:val="0"/>
      <w:marBottom w:val="0"/>
      <w:divBdr>
        <w:top w:val="none" w:sz="0" w:space="0" w:color="auto"/>
        <w:left w:val="none" w:sz="0" w:space="0" w:color="auto"/>
        <w:bottom w:val="none" w:sz="0" w:space="0" w:color="auto"/>
        <w:right w:val="none" w:sz="0" w:space="0" w:color="auto"/>
      </w:divBdr>
      <w:divsChild>
        <w:div w:id="351028181">
          <w:marLeft w:val="0"/>
          <w:marRight w:val="0"/>
          <w:marTop w:val="0"/>
          <w:marBottom w:val="0"/>
          <w:divBdr>
            <w:top w:val="none" w:sz="0" w:space="0" w:color="auto"/>
            <w:left w:val="none" w:sz="0" w:space="0" w:color="auto"/>
            <w:bottom w:val="none" w:sz="0" w:space="0" w:color="auto"/>
            <w:right w:val="none" w:sz="0" w:space="0" w:color="auto"/>
          </w:divBdr>
        </w:div>
        <w:div w:id="521894156">
          <w:marLeft w:val="0"/>
          <w:marRight w:val="0"/>
          <w:marTop w:val="0"/>
          <w:marBottom w:val="0"/>
          <w:divBdr>
            <w:top w:val="none" w:sz="0" w:space="0" w:color="auto"/>
            <w:left w:val="none" w:sz="0" w:space="0" w:color="auto"/>
            <w:bottom w:val="none" w:sz="0" w:space="0" w:color="auto"/>
            <w:right w:val="none" w:sz="0" w:space="0" w:color="auto"/>
          </w:divBdr>
        </w:div>
        <w:div w:id="982975803">
          <w:marLeft w:val="0"/>
          <w:marRight w:val="0"/>
          <w:marTop w:val="0"/>
          <w:marBottom w:val="0"/>
          <w:divBdr>
            <w:top w:val="none" w:sz="0" w:space="0" w:color="auto"/>
            <w:left w:val="none" w:sz="0" w:space="0" w:color="auto"/>
            <w:bottom w:val="none" w:sz="0" w:space="0" w:color="auto"/>
            <w:right w:val="none" w:sz="0" w:space="0" w:color="auto"/>
          </w:divBdr>
        </w:div>
        <w:div w:id="1604726495">
          <w:marLeft w:val="0"/>
          <w:marRight w:val="0"/>
          <w:marTop w:val="0"/>
          <w:marBottom w:val="0"/>
          <w:divBdr>
            <w:top w:val="none" w:sz="0" w:space="0" w:color="auto"/>
            <w:left w:val="none" w:sz="0" w:space="0" w:color="auto"/>
            <w:bottom w:val="none" w:sz="0" w:space="0" w:color="auto"/>
            <w:right w:val="none" w:sz="0" w:space="0" w:color="auto"/>
          </w:divBdr>
        </w:div>
        <w:div w:id="1648582408">
          <w:marLeft w:val="0"/>
          <w:marRight w:val="0"/>
          <w:marTop w:val="0"/>
          <w:marBottom w:val="0"/>
          <w:divBdr>
            <w:top w:val="none" w:sz="0" w:space="0" w:color="auto"/>
            <w:left w:val="none" w:sz="0" w:space="0" w:color="auto"/>
            <w:bottom w:val="none" w:sz="0" w:space="0" w:color="auto"/>
            <w:right w:val="none" w:sz="0" w:space="0" w:color="auto"/>
          </w:divBdr>
        </w:div>
        <w:div w:id="2005737818">
          <w:marLeft w:val="0"/>
          <w:marRight w:val="0"/>
          <w:marTop w:val="0"/>
          <w:marBottom w:val="0"/>
          <w:divBdr>
            <w:top w:val="none" w:sz="0" w:space="0" w:color="auto"/>
            <w:left w:val="none" w:sz="0" w:space="0" w:color="auto"/>
            <w:bottom w:val="none" w:sz="0" w:space="0" w:color="auto"/>
            <w:right w:val="none" w:sz="0" w:space="0" w:color="auto"/>
          </w:divBdr>
        </w:div>
      </w:divsChild>
    </w:div>
    <w:div w:id="861357577">
      <w:bodyDiv w:val="1"/>
      <w:marLeft w:val="0"/>
      <w:marRight w:val="0"/>
      <w:marTop w:val="0"/>
      <w:marBottom w:val="0"/>
      <w:divBdr>
        <w:top w:val="none" w:sz="0" w:space="0" w:color="auto"/>
        <w:left w:val="none" w:sz="0" w:space="0" w:color="auto"/>
        <w:bottom w:val="none" w:sz="0" w:space="0" w:color="auto"/>
        <w:right w:val="none" w:sz="0" w:space="0" w:color="auto"/>
      </w:divBdr>
    </w:div>
    <w:div w:id="867720353">
      <w:bodyDiv w:val="1"/>
      <w:marLeft w:val="0"/>
      <w:marRight w:val="0"/>
      <w:marTop w:val="0"/>
      <w:marBottom w:val="0"/>
      <w:divBdr>
        <w:top w:val="none" w:sz="0" w:space="0" w:color="auto"/>
        <w:left w:val="none" w:sz="0" w:space="0" w:color="auto"/>
        <w:bottom w:val="none" w:sz="0" w:space="0" w:color="auto"/>
        <w:right w:val="none" w:sz="0" w:space="0" w:color="auto"/>
      </w:divBdr>
    </w:div>
    <w:div w:id="882670961">
      <w:bodyDiv w:val="1"/>
      <w:marLeft w:val="0"/>
      <w:marRight w:val="0"/>
      <w:marTop w:val="0"/>
      <w:marBottom w:val="0"/>
      <w:divBdr>
        <w:top w:val="none" w:sz="0" w:space="0" w:color="auto"/>
        <w:left w:val="none" w:sz="0" w:space="0" w:color="auto"/>
        <w:bottom w:val="none" w:sz="0" w:space="0" w:color="auto"/>
        <w:right w:val="none" w:sz="0" w:space="0" w:color="auto"/>
      </w:divBdr>
    </w:div>
    <w:div w:id="895506550">
      <w:bodyDiv w:val="1"/>
      <w:marLeft w:val="0"/>
      <w:marRight w:val="0"/>
      <w:marTop w:val="0"/>
      <w:marBottom w:val="0"/>
      <w:divBdr>
        <w:top w:val="none" w:sz="0" w:space="0" w:color="auto"/>
        <w:left w:val="none" w:sz="0" w:space="0" w:color="auto"/>
        <w:bottom w:val="none" w:sz="0" w:space="0" w:color="auto"/>
        <w:right w:val="none" w:sz="0" w:space="0" w:color="auto"/>
      </w:divBdr>
    </w:div>
    <w:div w:id="908880326">
      <w:bodyDiv w:val="1"/>
      <w:marLeft w:val="0"/>
      <w:marRight w:val="0"/>
      <w:marTop w:val="0"/>
      <w:marBottom w:val="0"/>
      <w:divBdr>
        <w:top w:val="none" w:sz="0" w:space="0" w:color="auto"/>
        <w:left w:val="none" w:sz="0" w:space="0" w:color="auto"/>
        <w:bottom w:val="none" w:sz="0" w:space="0" w:color="auto"/>
        <w:right w:val="none" w:sz="0" w:space="0" w:color="auto"/>
      </w:divBdr>
    </w:div>
    <w:div w:id="961154648">
      <w:bodyDiv w:val="1"/>
      <w:marLeft w:val="0"/>
      <w:marRight w:val="0"/>
      <w:marTop w:val="0"/>
      <w:marBottom w:val="0"/>
      <w:divBdr>
        <w:top w:val="none" w:sz="0" w:space="0" w:color="auto"/>
        <w:left w:val="none" w:sz="0" w:space="0" w:color="auto"/>
        <w:bottom w:val="none" w:sz="0" w:space="0" w:color="auto"/>
        <w:right w:val="none" w:sz="0" w:space="0" w:color="auto"/>
      </w:divBdr>
    </w:div>
    <w:div w:id="981616873">
      <w:bodyDiv w:val="1"/>
      <w:marLeft w:val="0"/>
      <w:marRight w:val="0"/>
      <w:marTop w:val="0"/>
      <w:marBottom w:val="0"/>
      <w:divBdr>
        <w:top w:val="none" w:sz="0" w:space="0" w:color="auto"/>
        <w:left w:val="none" w:sz="0" w:space="0" w:color="auto"/>
        <w:bottom w:val="none" w:sz="0" w:space="0" w:color="auto"/>
        <w:right w:val="none" w:sz="0" w:space="0" w:color="auto"/>
      </w:divBdr>
    </w:div>
    <w:div w:id="990989888">
      <w:bodyDiv w:val="1"/>
      <w:marLeft w:val="0"/>
      <w:marRight w:val="0"/>
      <w:marTop w:val="0"/>
      <w:marBottom w:val="0"/>
      <w:divBdr>
        <w:top w:val="none" w:sz="0" w:space="0" w:color="auto"/>
        <w:left w:val="none" w:sz="0" w:space="0" w:color="auto"/>
        <w:bottom w:val="none" w:sz="0" w:space="0" w:color="auto"/>
        <w:right w:val="none" w:sz="0" w:space="0" w:color="auto"/>
      </w:divBdr>
      <w:divsChild>
        <w:div w:id="102578866">
          <w:marLeft w:val="0"/>
          <w:marRight w:val="0"/>
          <w:marTop w:val="0"/>
          <w:marBottom w:val="0"/>
          <w:divBdr>
            <w:top w:val="none" w:sz="0" w:space="0" w:color="auto"/>
            <w:left w:val="none" w:sz="0" w:space="0" w:color="auto"/>
            <w:bottom w:val="none" w:sz="0" w:space="0" w:color="auto"/>
            <w:right w:val="none" w:sz="0" w:space="0" w:color="auto"/>
          </w:divBdr>
        </w:div>
        <w:div w:id="225650979">
          <w:marLeft w:val="0"/>
          <w:marRight w:val="0"/>
          <w:marTop w:val="0"/>
          <w:marBottom w:val="0"/>
          <w:divBdr>
            <w:top w:val="none" w:sz="0" w:space="0" w:color="auto"/>
            <w:left w:val="none" w:sz="0" w:space="0" w:color="auto"/>
            <w:bottom w:val="none" w:sz="0" w:space="0" w:color="auto"/>
            <w:right w:val="none" w:sz="0" w:space="0" w:color="auto"/>
          </w:divBdr>
        </w:div>
        <w:div w:id="243145458">
          <w:marLeft w:val="0"/>
          <w:marRight w:val="0"/>
          <w:marTop w:val="0"/>
          <w:marBottom w:val="0"/>
          <w:divBdr>
            <w:top w:val="none" w:sz="0" w:space="0" w:color="auto"/>
            <w:left w:val="none" w:sz="0" w:space="0" w:color="auto"/>
            <w:bottom w:val="none" w:sz="0" w:space="0" w:color="auto"/>
            <w:right w:val="none" w:sz="0" w:space="0" w:color="auto"/>
          </w:divBdr>
        </w:div>
        <w:div w:id="263808538">
          <w:marLeft w:val="0"/>
          <w:marRight w:val="0"/>
          <w:marTop w:val="0"/>
          <w:marBottom w:val="0"/>
          <w:divBdr>
            <w:top w:val="none" w:sz="0" w:space="0" w:color="auto"/>
            <w:left w:val="none" w:sz="0" w:space="0" w:color="auto"/>
            <w:bottom w:val="none" w:sz="0" w:space="0" w:color="auto"/>
            <w:right w:val="none" w:sz="0" w:space="0" w:color="auto"/>
          </w:divBdr>
        </w:div>
        <w:div w:id="514342506">
          <w:marLeft w:val="0"/>
          <w:marRight w:val="0"/>
          <w:marTop w:val="0"/>
          <w:marBottom w:val="0"/>
          <w:divBdr>
            <w:top w:val="none" w:sz="0" w:space="0" w:color="auto"/>
            <w:left w:val="none" w:sz="0" w:space="0" w:color="auto"/>
            <w:bottom w:val="none" w:sz="0" w:space="0" w:color="auto"/>
            <w:right w:val="none" w:sz="0" w:space="0" w:color="auto"/>
          </w:divBdr>
        </w:div>
        <w:div w:id="554318716">
          <w:marLeft w:val="0"/>
          <w:marRight w:val="0"/>
          <w:marTop w:val="0"/>
          <w:marBottom w:val="0"/>
          <w:divBdr>
            <w:top w:val="none" w:sz="0" w:space="0" w:color="auto"/>
            <w:left w:val="none" w:sz="0" w:space="0" w:color="auto"/>
            <w:bottom w:val="none" w:sz="0" w:space="0" w:color="auto"/>
            <w:right w:val="none" w:sz="0" w:space="0" w:color="auto"/>
          </w:divBdr>
        </w:div>
        <w:div w:id="710227895">
          <w:marLeft w:val="0"/>
          <w:marRight w:val="0"/>
          <w:marTop w:val="0"/>
          <w:marBottom w:val="0"/>
          <w:divBdr>
            <w:top w:val="none" w:sz="0" w:space="0" w:color="auto"/>
            <w:left w:val="none" w:sz="0" w:space="0" w:color="auto"/>
            <w:bottom w:val="none" w:sz="0" w:space="0" w:color="auto"/>
            <w:right w:val="none" w:sz="0" w:space="0" w:color="auto"/>
          </w:divBdr>
        </w:div>
        <w:div w:id="935669100">
          <w:marLeft w:val="0"/>
          <w:marRight w:val="0"/>
          <w:marTop w:val="0"/>
          <w:marBottom w:val="0"/>
          <w:divBdr>
            <w:top w:val="none" w:sz="0" w:space="0" w:color="auto"/>
            <w:left w:val="none" w:sz="0" w:space="0" w:color="auto"/>
            <w:bottom w:val="none" w:sz="0" w:space="0" w:color="auto"/>
            <w:right w:val="none" w:sz="0" w:space="0" w:color="auto"/>
          </w:divBdr>
        </w:div>
        <w:div w:id="1146975245">
          <w:marLeft w:val="0"/>
          <w:marRight w:val="0"/>
          <w:marTop w:val="0"/>
          <w:marBottom w:val="0"/>
          <w:divBdr>
            <w:top w:val="none" w:sz="0" w:space="0" w:color="auto"/>
            <w:left w:val="none" w:sz="0" w:space="0" w:color="auto"/>
            <w:bottom w:val="none" w:sz="0" w:space="0" w:color="auto"/>
            <w:right w:val="none" w:sz="0" w:space="0" w:color="auto"/>
          </w:divBdr>
        </w:div>
        <w:div w:id="1378092164">
          <w:marLeft w:val="0"/>
          <w:marRight w:val="0"/>
          <w:marTop w:val="0"/>
          <w:marBottom w:val="0"/>
          <w:divBdr>
            <w:top w:val="none" w:sz="0" w:space="0" w:color="auto"/>
            <w:left w:val="none" w:sz="0" w:space="0" w:color="auto"/>
            <w:bottom w:val="none" w:sz="0" w:space="0" w:color="auto"/>
            <w:right w:val="none" w:sz="0" w:space="0" w:color="auto"/>
          </w:divBdr>
        </w:div>
        <w:div w:id="1419794099">
          <w:marLeft w:val="0"/>
          <w:marRight w:val="0"/>
          <w:marTop w:val="0"/>
          <w:marBottom w:val="0"/>
          <w:divBdr>
            <w:top w:val="none" w:sz="0" w:space="0" w:color="auto"/>
            <w:left w:val="none" w:sz="0" w:space="0" w:color="auto"/>
            <w:bottom w:val="none" w:sz="0" w:space="0" w:color="auto"/>
            <w:right w:val="none" w:sz="0" w:space="0" w:color="auto"/>
          </w:divBdr>
        </w:div>
        <w:div w:id="1428388070">
          <w:marLeft w:val="0"/>
          <w:marRight w:val="0"/>
          <w:marTop w:val="0"/>
          <w:marBottom w:val="0"/>
          <w:divBdr>
            <w:top w:val="none" w:sz="0" w:space="0" w:color="auto"/>
            <w:left w:val="none" w:sz="0" w:space="0" w:color="auto"/>
            <w:bottom w:val="none" w:sz="0" w:space="0" w:color="auto"/>
            <w:right w:val="none" w:sz="0" w:space="0" w:color="auto"/>
          </w:divBdr>
        </w:div>
        <w:div w:id="1605185603">
          <w:marLeft w:val="0"/>
          <w:marRight w:val="0"/>
          <w:marTop w:val="0"/>
          <w:marBottom w:val="0"/>
          <w:divBdr>
            <w:top w:val="none" w:sz="0" w:space="0" w:color="auto"/>
            <w:left w:val="none" w:sz="0" w:space="0" w:color="auto"/>
            <w:bottom w:val="none" w:sz="0" w:space="0" w:color="auto"/>
            <w:right w:val="none" w:sz="0" w:space="0" w:color="auto"/>
          </w:divBdr>
        </w:div>
        <w:div w:id="1729569143">
          <w:marLeft w:val="0"/>
          <w:marRight w:val="0"/>
          <w:marTop w:val="0"/>
          <w:marBottom w:val="0"/>
          <w:divBdr>
            <w:top w:val="none" w:sz="0" w:space="0" w:color="auto"/>
            <w:left w:val="none" w:sz="0" w:space="0" w:color="auto"/>
            <w:bottom w:val="none" w:sz="0" w:space="0" w:color="auto"/>
            <w:right w:val="none" w:sz="0" w:space="0" w:color="auto"/>
          </w:divBdr>
        </w:div>
        <w:div w:id="1732387048">
          <w:marLeft w:val="0"/>
          <w:marRight w:val="0"/>
          <w:marTop w:val="0"/>
          <w:marBottom w:val="0"/>
          <w:divBdr>
            <w:top w:val="none" w:sz="0" w:space="0" w:color="auto"/>
            <w:left w:val="none" w:sz="0" w:space="0" w:color="auto"/>
            <w:bottom w:val="none" w:sz="0" w:space="0" w:color="auto"/>
            <w:right w:val="none" w:sz="0" w:space="0" w:color="auto"/>
          </w:divBdr>
        </w:div>
        <w:div w:id="2080595925">
          <w:marLeft w:val="0"/>
          <w:marRight w:val="0"/>
          <w:marTop w:val="0"/>
          <w:marBottom w:val="0"/>
          <w:divBdr>
            <w:top w:val="none" w:sz="0" w:space="0" w:color="auto"/>
            <w:left w:val="none" w:sz="0" w:space="0" w:color="auto"/>
            <w:bottom w:val="none" w:sz="0" w:space="0" w:color="auto"/>
            <w:right w:val="none" w:sz="0" w:space="0" w:color="auto"/>
          </w:divBdr>
        </w:div>
      </w:divsChild>
    </w:div>
    <w:div w:id="995380448">
      <w:bodyDiv w:val="1"/>
      <w:marLeft w:val="0"/>
      <w:marRight w:val="0"/>
      <w:marTop w:val="0"/>
      <w:marBottom w:val="0"/>
      <w:divBdr>
        <w:top w:val="none" w:sz="0" w:space="0" w:color="auto"/>
        <w:left w:val="none" w:sz="0" w:space="0" w:color="auto"/>
        <w:bottom w:val="none" w:sz="0" w:space="0" w:color="auto"/>
        <w:right w:val="none" w:sz="0" w:space="0" w:color="auto"/>
      </w:divBdr>
    </w:div>
    <w:div w:id="1008023078">
      <w:bodyDiv w:val="1"/>
      <w:marLeft w:val="0"/>
      <w:marRight w:val="0"/>
      <w:marTop w:val="0"/>
      <w:marBottom w:val="0"/>
      <w:divBdr>
        <w:top w:val="none" w:sz="0" w:space="0" w:color="auto"/>
        <w:left w:val="none" w:sz="0" w:space="0" w:color="auto"/>
        <w:bottom w:val="none" w:sz="0" w:space="0" w:color="auto"/>
        <w:right w:val="none" w:sz="0" w:space="0" w:color="auto"/>
      </w:divBdr>
      <w:divsChild>
        <w:div w:id="15928318">
          <w:marLeft w:val="0"/>
          <w:marRight w:val="0"/>
          <w:marTop w:val="0"/>
          <w:marBottom w:val="0"/>
          <w:divBdr>
            <w:top w:val="none" w:sz="0" w:space="0" w:color="auto"/>
            <w:left w:val="none" w:sz="0" w:space="0" w:color="auto"/>
            <w:bottom w:val="none" w:sz="0" w:space="0" w:color="auto"/>
            <w:right w:val="none" w:sz="0" w:space="0" w:color="auto"/>
          </w:divBdr>
        </w:div>
        <w:div w:id="229004583">
          <w:marLeft w:val="0"/>
          <w:marRight w:val="0"/>
          <w:marTop w:val="0"/>
          <w:marBottom w:val="0"/>
          <w:divBdr>
            <w:top w:val="none" w:sz="0" w:space="0" w:color="auto"/>
            <w:left w:val="none" w:sz="0" w:space="0" w:color="auto"/>
            <w:bottom w:val="none" w:sz="0" w:space="0" w:color="auto"/>
            <w:right w:val="none" w:sz="0" w:space="0" w:color="auto"/>
          </w:divBdr>
        </w:div>
        <w:div w:id="476918543">
          <w:marLeft w:val="0"/>
          <w:marRight w:val="0"/>
          <w:marTop w:val="0"/>
          <w:marBottom w:val="0"/>
          <w:divBdr>
            <w:top w:val="none" w:sz="0" w:space="0" w:color="auto"/>
            <w:left w:val="none" w:sz="0" w:space="0" w:color="auto"/>
            <w:bottom w:val="none" w:sz="0" w:space="0" w:color="auto"/>
            <w:right w:val="none" w:sz="0" w:space="0" w:color="auto"/>
          </w:divBdr>
        </w:div>
        <w:div w:id="532502355">
          <w:marLeft w:val="0"/>
          <w:marRight w:val="0"/>
          <w:marTop w:val="0"/>
          <w:marBottom w:val="0"/>
          <w:divBdr>
            <w:top w:val="none" w:sz="0" w:space="0" w:color="auto"/>
            <w:left w:val="none" w:sz="0" w:space="0" w:color="auto"/>
            <w:bottom w:val="none" w:sz="0" w:space="0" w:color="auto"/>
            <w:right w:val="none" w:sz="0" w:space="0" w:color="auto"/>
          </w:divBdr>
        </w:div>
        <w:div w:id="788546968">
          <w:marLeft w:val="0"/>
          <w:marRight w:val="0"/>
          <w:marTop w:val="0"/>
          <w:marBottom w:val="0"/>
          <w:divBdr>
            <w:top w:val="none" w:sz="0" w:space="0" w:color="auto"/>
            <w:left w:val="none" w:sz="0" w:space="0" w:color="auto"/>
            <w:bottom w:val="none" w:sz="0" w:space="0" w:color="auto"/>
            <w:right w:val="none" w:sz="0" w:space="0" w:color="auto"/>
          </w:divBdr>
        </w:div>
        <w:div w:id="804083466">
          <w:marLeft w:val="0"/>
          <w:marRight w:val="0"/>
          <w:marTop w:val="0"/>
          <w:marBottom w:val="0"/>
          <w:divBdr>
            <w:top w:val="none" w:sz="0" w:space="0" w:color="auto"/>
            <w:left w:val="none" w:sz="0" w:space="0" w:color="auto"/>
            <w:bottom w:val="none" w:sz="0" w:space="0" w:color="auto"/>
            <w:right w:val="none" w:sz="0" w:space="0" w:color="auto"/>
          </w:divBdr>
        </w:div>
        <w:div w:id="1254513861">
          <w:marLeft w:val="0"/>
          <w:marRight w:val="0"/>
          <w:marTop w:val="0"/>
          <w:marBottom w:val="0"/>
          <w:divBdr>
            <w:top w:val="none" w:sz="0" w:space="0" w:color="auto"/>
            <w:left w:val="none" w:sz="0" w:space="0" w:color="auto"/>
            <w:bottom w:val="none" w:sz="0" w:space="0" w:color="auto"/>
            <w:right w:val="none" w:sz="0" w:space="0" w:color="auto"/>
          </w:divBdr>
        </w:div>
        <w:div w:id="1309241487">
          <w:marLeft w:val="0"/>
          <w:marRight w:val="0"/>
          <w:marTop w:val="0"/>
          <w:marBottom w:val="0"/>
          <w:divBdr>
            <w:top w:val="none" w:sz="0" w:space="0" w:color="auto"/>
            <w:left w:val="none" w:sz="0" w:space="0" w:color="auto"/>
            <w:bottom w:val="none" w:sz="0" w:space="0" w:color="auto"/>
            <w:right w:val="none" w:sz="0" w:space="0" w:color="auto"/>
          </w:divBdr>
        </w:div>
      </w:divsChild>
    </w:div>
    <w:div w:id="1009797725">
      <w:bodyDiv w:val="1"/>
      <w:marLeft w:val="0"/>
      <w:marRight w:val="0"/>
      <w:marTop w:val="0"/>
      <w:marBottom w:val="0"/>
      <w:divBdr>
        <w:top w:val="none" w:sz="0" w:space="0" w:color="auto"/>
        <w:left w:val="none" w:sz="0" w:space="0" w:color="auto"/>
        <w:bottom w:val="none" w:sz="0" w:space="0" w:color="auto"/>
        <w:right w:val="none" w:sz="0" w:space="0" w:color="auto"/>
      </w:divBdr>
      <w:divsChild>
        <w:div w:id="60760309">
          <w:marLeft w:val="0"/>
          <w:marRight w:val="0"/>
          <w:marTop w:val="0"/>
          <w:marBottom w:val="0"/>
          <w:divBdr>
            <w:top w:val="none" w:sz="0" w:space="0" w:color="auto"/>
            <w:left w:val="none" w:sz="0" w:space="0" w:color="auto"/>
            <w:bottom w:val="none" w:sz="0" w:space="0" w:color="auto"/>
            <w:right w:val="none" w:sz="0" w:space="0" w:color="auto"/>
          </w:divBdr>
        </w:div>
        <w:div w:id="157309865">
          <w:marLeft w:val="0"/>
          <w:marRight w:val="0"/>
          <w:marTop w:val="0"/>
          <w:marBottom w:val="0"/>
          <w:divBdr>
            <w:top w:val="none" w:sz="0" w:space="0" w:color="auto"/>
            <w:left w:val="none" w:sz="0" w:space="0" w:color="auto"/>
            <w:bottom w:val="none" w:sz="0" w:space="0" w:color="auto"/>
            <w:right w:val="none" w:sz="0" w:space="0" w:color="auto"/>
          </w:divBdr>
        </w:div>
        <w:div w:id="224031019">
          <w:marLeft w:val="0"/>
          <w:marRight w:val="0"/>
          <w:marTop w:val="0"/>
          <w:marBottom w:val="0"/>
          <w:divBdr>
            <w:top w:val="none" w:sz="0" w:space="0" w:color="auto"/>
            <w:left w:val="none" w:sz="0" w:space="0" w:color="auto"/>
            <w:bottom w:val="none" w:sz="0" w:space="0" w:color="auto"/>
            <w:right w:val="none" w:sz="0" w:space="0" w:color="auto"/>
          </w:divBdr>
        </w:div>
        <w:div w:id="299724839">
          <w:marLeft w:val="0"/>
          <w:marRight w:val="0"/>
          <w:marTop w:val="0"/>
          <w:marBottom w:val="0"/>
          <w:divBdr>
            <w:top w:val="none" w:sz="0" w:space="0" w:color="auto"/>
            <w:left w:val="none" w:sz="0" w:space="0" w:color="auto"/>
            <w:bottom w:val="none" w:sz="0" w:space="0" w:color="auto"/>
            <w:right w:val="none" w:sz="0" w:space="0" w:color="auto"/>
          </w:divBdr>
        </w:div>
        <w:div w:id="384790872">
          <w:marLeft w:val="0"/>
          <w:marRight w:val="0"/>
          <w:marTop w:val="0"/>
          <w:marBottom w:val="0"/>
          <w:divBdr>
            <w:top w:val="none" w:sz="0" w:space="0" w:color="auto"/>
            <w:left w:val="none" w:sz="0" w:space="0" w:color="auto"/>
            <w:bottom w:val="none" w:sz="0" w:space="0" w:color="auto"/>
            <w:right w:val="none" w:sz="0" w:space="0" w:color="auto"/>
          </w:divBdr>
        </w:div>
        <w:div w:id="541330344">
          <w:marLeft w:val="0"/>
          <w:marRight w:val="0"/>
          <w:marTop w:val="0"/>
          <w:marBottom w:val="0"/>
          <w:divBdr>
            <w:top w:val="none" w:sz="0" w:space="0" w:color="auto"/>
            <w:left w:val="none" w:sz="0" w:space="0" w:color="auto"/>
            <w:bottom w:val="none" w:sz="0" w:space="0" w:color="auto"/>
            <w:right w:val="none" w:sz="0" w:space="0" w:color="auto"/>
          </w:divBdr>
        </w:div>
        <w:div w:id="647442460">
          <w:marLeft w:val="0"/>
          <w:marRight w:val="0"/>
          <w:marTop w:val="0"/>
          <w:marBottom w:val="0"/>
          <w:divBdr>
            <w:top w:val="none" w:sz="0" w:space="0" w:color="auto"/>
            <w:left w:val="none" w:sz="0" w:space="0" w:color="auto"/>
            <w:bottom w:val="none" w:sz="0" w:space="0" w:color="auto"/>
            <w:right w:val="none" w:sz="0" w:space="0" w:color="auto"/>
          </w:divBdr>
        </w:div>
        <w:div w:id="736821454">
          <w:marLeft w:val="0"/>
          <w:marRight w:val="0"/>
          <w:marTop w:val="0"/>
          <w:marBottom w:val="0"/>
          <w:divBdr>
            <w:top w:val="none" w:sz="0" w:space="0" w:color="auto"/>
            <w:left w:val="none" w:sz="0" w:space="0" w:color="auto"/>
            <w:bottom w:val="none" w:sz="0" w:space="0" w:color="auto"/>
            <w:right w:val="none" w:sz="0" w:space="0" w:color="auto"/>
          </w:divBdr>
        </w:div>
        <w:div w:id="785076619">
          <w:marLeft w:val="0"/>
          <w:marRight w:val="0"/>
          <w:marTop w:val="0"/>
          <w:marBottom w:val="0"/>
          <w:divBdr>
            <w:top w:val="none" w:sz="0" w:space="0" w:color="auto"/>
            <w:left w:val="none" w:sz="0" w:space="0" w:color="auto"/>
            <w:bottom w:val="none" w:sz="0" w:space="0" w:color="auto"/>
            <w:right w:val="none" w:sz="0" w:space="0" w:color="auto"/>
          </w:divBdr>
        </w:div>
        <w:div w:id="987635969">
          <w:marLeft w:val="0"/>
          <w:marRight w:val="0"/>
          <w:marTop w:val="0"/>
          <w:marBottom w:val="0"/>
          <w:divBdr>
            <w:top w:val="none" w:sz="0" w:space="0" w:color="auto"/>
            <w:left w:val="none" w:sz="0" w:space="0" w:color="auto"/>
            <w:bottom w:val="none" w:sz="0" w:space="0" w:color="auto"/>
            <w:right w:val="none" w:sz="0" w:space="0" w:color="auto"/>
          </w:divBdr>
        </w:div>
        <w:div w:id="1032077257">
          <w:marLeft w:val="0"/>
          <w:marRight w:val="0"/>
          <w:marTop w:val="0"/>
          <w:marBottom w:val="0"/>
          <w:divBdr>
            <w:top w:val="none" w:sz="0" w:space="0" w:color="auto"/>
            <w:left w:val="none" w:sz="0" w:space="0" w:color="auto"/>
            <w:bottom w:val="none" w:sz="0" w:space="0" w:color="auto"/>
            <w:right w:val="none" w:sz="0" w:space="0" w:color="auto"/>
          </w:divBdr>
        </w:div>
        <w:div w:id="1428961133">
          <w:marLeft w:val="0"/>
          <w:marRight w:val="0"/>
          <w:marTop w:val="0"/>
          <w:marBottom w:val="0"/>
          <w:divBdr>
            <w:top w:val="none" w:sz="0" w:space="0" w:color="auto"/>
            <w:left w:val="none" w:sz="0" w:space="0" w:color="auto"/>
            <w:bottom w:val="none" w:sz="0" w:space="0" w:color="auto"/>
            <w:right w:val="none" w:sz="0" w:space="0" w:color="auto"/>
          </w:divBdr>
        </w:div>
        <w:div w:id="1476606790">
          <w:marLeft w:val="0"/>
          <w:marRight w:val="0"/>
          <w:marTop w:val="0"/>
          <w:marBottom w:val="0"/>
          <w:divBdr>
            <w:top w:val="none" w:sz="0" w:space="0" w:color="auto"/>
            <w:left w:val="none" w:sz="0" w:space="0" w:color="auto"/>
            <w:bottom w:val="none" w:sz="0" w:space="0" w:color="auto"/>
            <w:right w:val="none" w:sz="0" w:space="0" w:color="auto"/>
          </w:divBdr>
        </w:div>
        <w:div w:id="1586450555">
          <w:marLeft w:val="0"/>
          <w:marRight w:val="0"/>
          <w:marTop w:val="0"/>
          <w:marBottom w:val="0"/>
          <w:divBdr>
            <w:top w:val="none" w:sz="0" w:space="0" w:color="auto"/>
            <w:left w:val="none" w:sz="0" w:space="0" w:color="auto"/>
            <w:bottom w:val="none" w:sz="0" w:space="0" w:color="auto"/>
            <w:right w:val="none" w:sz="0" w:space="0" w:color="auto"/>
          </w:divBdr>
        </w:div>
        <w:div w:id="1602640306">
          <w:marLeft w:val="0"/>
          <w:marRight w:val="0"/>
          <w:marTop w:val="0"/>
          <w:marBottom w:val="0"/>
          <w:divBdr>
            <w:top w:val="none" w:sz="0" w:space="0" w:color="auto"/>
            <w:left w:val="none" w:sz="0" w:space="0" w:color="auto"/>
            <w:bottom w:val="none" w:sz="0" w:space="0" w:color="auto"/>
            <w:right w:val="none" w:sz="0" w:space="0" w:color="auto"/>
          </w:divBdr>
        </w:div>
        <w:div w:id="1732849648">
          <w:marLeft w:val="0"/>
          <w:marRight w:val="0"/>
          <w:marTop w:val="0"/>
          <w:marBottom w:val="0"/>
          <w:divBdr>
            <w:top w:val="none" w:sz="0" w:space="0" w:color="auto"/>
            <w:left w:val="none" w:sz="0" w:space="0" w:color="auto"/>
            <w:bottom w:val="none" w:sz="0" w:space="0" w:color="auto"/>
            <w:right w:val="none" w:sz="0" w:space="0" w:color="auto"/>
          </w:divBdr>
        </w:div>
        <w:div w:id="1907185821">
          <w:marLeft w:val="0"/>
          <w:marRight w:val="0"/>
          <w:marTop w:val="0"/>
          <w:marBottom w:val="0"/>
          <w:divBdr>
            <w:top w:val="none" w:sz="0" w:space="0" w:color="auto"/>
            <w:left w:val="none" w:sz="0" w:space="0" w:color="auto"/>
            <w:bottom w:val="none" w:sz="0" w:space="0" w:color="auto"/>
            <w:right w:val="none" w:sz="0" w:space="0" w:color="auto"/>
          </w:divBdr>
        </w:div>
        <w:div w:id="1910189835">
          <w:marLeft w:val="0"/>
          <w:marRight w:val="0"/>
          <w:marTop w:val="0"/>
          <w:marBottom w:val="0"/>
          <w:divBdr>
            <w:top w:val="none" w:sz="0" w:space="0" w:color="auto"/>
            <w:left w:val="none" w:sz="0" w:space="0" w:color="auto"/>
            <w:bottom w:val="none" w:sz="0" w:space="0" w:color="auto"/>
            <w:right w:val="none" w:sz="0" w:space="0" w:color="auto"/>
          </w:divBdr>
        </w:div>
        <w:div w:id="1973291061">
          <w:marLeft w:val="0"/>
          <w:marRight w:val="0"/>
          <w:marTop w:val="0"/>
          <w:marBottom w:val="0"/>
          <w:divBdr>
            <w:top w:val="none" w:sz="0" w:space="0" w:color="auto"/>
            <w:left w:val="none" w:sz="0" w:space="0" w:color="auto"/>
            <w:bottom w:val="none" w:sz="0" w:space="0" w:color="auto"/>
            <w:right w:val="none" w:sz="0" w:space="0" w:color="auto"/>
          </w:divBdr>
        </w:div>
        <w:div w:id="2063557726">
          <w:marLeft w:val="0"/>
          <w:marRight w:val="0"/>
          <w:marTop w:val="0"/>
          <w:marBottom w:val="0"/>
          <w:divBdr>
            <w:top w:val="none" w:sz="0" w:space="0" w:color="auto"/>
            <w:left w:val="none" w:sz="0" w:space="0" w:color="auto"/>
            <w:bottom w:val="none" w:sz="0" w:space="0" w:color="auto"/>
            <w:right w:val="none" w:sz="0" w:space="0" w:color="auto"/>
          </w:divBdr>
        </w:div>
        <w:div w:id="2099061929">
          <w:marLeft w:val="0"/>
          <w:marRight w:val="0"/>
          <w:marTop w:val="0"/>
          <w:marBottom w:val="0"/>
          <w:divBdr>
            <w:top w:val="none" w:sz="0" w:space="0" w:color="auto"/>
            <w:left w:val="none" w:sz="0" w:space="0" w:color="auto"/>
            <w:bottom w:val="none" w:sz="0" w:space="0" w:color="auto"/>
            <w:right w:val="none" w:sz="0" w:space="0" w:color="auto"/>
          </w:divBdr>
        </w:div>
      </w:divsChild>
    </w:div>
    <w:div w:id="1026098045">
      <w:bodyDiv w:val="1"/>
      <w:marLeft w:val="0"/>
      <w:marRight w:val="0"/>
      <w:marTop w:val="0"/>
      <w:marBottom w:val="0"/>
      <w:divBdr>
        <w:top w:val="none" w:sz="0" w:space="0" w:color="auto"/>
        <w:left w:val="none" w:sz="0" w:space="0" w:color="auto"/>
        <w:bottom w:val="none" w:sz="0" w:space="0" w:color="auto"/>
        <w:right w:val="none" w:sz="0" w:space="0" w:color="auto"/>
      </w:divBdr>
    </w:div>
    <w:div w:id="1039818232">
      <w:bodyDiv w:val="1"/>
      <w:marLeft w:val="0"/>
      <w:marRight w:val="0"/>
      <w:marTop w:val="0"/>
      <w:marBottom w:val="0"/>
      <w:divBdr>
        <w:top w:val="none" w:sz="0" w:space="0" w:color="auto"/>
        <w:left w:val="none" w:sz="0" w:space="0" w:color="auto"/>
        <w:bottom w:val="none" w:sz="0" w:space="0" w:color="auto"/>
        <w:right w:val="none" w:sz="0" w:space="0" w:color="auto"/>
      </w:divBdr>
    </w:div>
    <w:div w:id="1044908475">
      <w:bodyDiv w:val="1"/>
      <w:marLeft w:val="0"/>
      <w:marRight w:val="0"/>
      <w:marTop w:val="0"/>
      <w:marBottom w:val="0"/>
      <w:divBdr>
        <w:top w:val="none" w:sz="0" w:space="0" w:color="auto"/>
        <w:left w:val="none" w:sz="0" w:space="0" w:color="auto"/>
        <w:bottom w:val="none" w:sz="0" w:space="0" w:color="auto"/>
        <w:right w:val="none" w:sz="0" w:space="0" w:color="auto"/>
      </w:divBdr>
    </w:div>
    <w:div w:id="1046221134">
      <w:bodyDiv w:val="1"/>
      <w:marLeft w:val="0"/>
      <w:marRight w:val="0"/>
      <w:marTop w:val="0"/>
      <w:marBottom w:val="0"/>
      <w:divBdr>
        <w:top w:val="none" w:sz="0" w:space="0" w:color="auto"/>
        <w:left w:val="none" w:sz="0" w:space="0" w:color="auto"/>
        <w:bottom w:val="none" w:sz="0" w:space="0" w:color="auto"/>
        <w:right w:val="none" w:sz="0" w:space="0" w:color="auto"/>
      </w:divBdr>
    </w:div>
    <w:div w:id="1050687492">
      <w:bodyDiv w:val="1"/>
      <w:marLeft w:val="0"/>
      <w:marRight w:val="0"/>
      <w:marTop w:val="0"/>
      <w:marBottom w:val="0"/>
      <w:divBdr>
        <w:top w:val="none" w:sz="0" w:space="0" w:color="auto"/>
        <w:left w:val="none" w:sz="0" w:space="0" w:color="auto"/>
        <w:bottom w:val="none" w:sz="0" w:space="0" w:color="auto"/>
        <w:right w:val="none" w:sz="0" w:space="0" w:color="auto"/>
      </w:divBdr>
      <w:divsChild>
        <w:div w:id="121001925">
          <w:marLeft w:val="0"/>
          <w:marRight w:val="0"/>
          <w:marTop w:val="0"/>
          <w:marBottom w:val="0"/>
          <w:divBdr>
            <w:top w:val="none" w:sz="0" w:space="0" w:color="auto"/>
            <w:left w:val="none" w:sz="0" w:space="0" w:color="auto"/>
            <w:bottom w:val="none" w:sz="0" w:space="0" w:color="auto"/>
            <w:right w:val="none" w:sz="0" w:space="0" w:color="auto"/>
          </w:divBdr>
        </w:div>
        <w:div w:id="551426126">
          <w:marLeft w:val="0"/>
          <w:marRight w:val="0"/>
          <w:marTop w:val="0"/>
          <w:marBottom w:val="0"/>
          <w:divBdr>
            <w:top w:val="none" w:sz="0" w:space="0" w:color="auto"/>
            <w:left w:val="none" w:sz="0" w:space="0" w:color="auto"/>
            <w:bottom w:val="none" w:sz="0" w:space="0" w:color="auto"/>
            <w:right w:val="none" w:sz="0" w:space="0" w:color="auto"/>
          </w:divBdr>
        </w:div>
        <w:div w:id="593444018">
          <w:marLeft w:val="0"/>
          <w:marRight w:val="0"/>
          <w:marTop w:val="0"/>
          <w:marBottom w:val="0"/>
          <w:divBdr>
            <w:top w:val="none" w:sz="0" w:space="0" w:color="auto"/>
            <w:left w:val="none" w:sz="0" w:space="0" w:color="auto"/>
            <w:bottom w:val="none" w:sz="0" w:space="0" w:color="auto"/>
            <w:right w:val="none" w:sz="0" w:space="0" w:color="auto"/>
          </w:divBdr>
        </w:div>
        <w:div w:id="838812323">
          <w:marLeft w:val="0"/>
          <w:marRight w:val="0"/>
          <w:marTop w:val="0"/>
          <w:marBottom w:val="0"/>
          <w:divBdr>
            <w:top w:val="none" w:sz="0" w:space="0" w:color="auto"/>
            <w:left w:val="none" w:sz="0" w:space="0" w:color="auto"/>
            <w:bottom w:val="none" w:sz="0" w:space="0" w:color="auto"/>
            <w:right w:val="none" w:sz="0" w:space="0" w:color="auto"/>
          </w:divBdr>
        </w:div>
        <w:div w:id="1170364827">
          <w:marLeft w:val="0"/>
          <w:marRight w:val="0"/>
          <w:marTop w:val="0"/>
          <w:marBottom w:val="0"/>
          <w:divBdr>
            <w:top w:val="none" w:sz="0" w:space="0" w:color="auto"/>
            <w:left w:val="none" w:sz="0" w:space="0" w:color="auto"/>
            <w:bottom w:val="none" w:sz="0" w:space="0" w:color="auto"/>
            <w:right w:val="none" w:sz="0" w:space="0" w:color="auto"/>
          </w:divBdr>
        </w:div>
        <w:div w:id="1953508974">
          <w:marLeft w:val="0"/>
          <w:marRight w:val="0"/>
          <w:marTop w:val="0"/>
          <w:marBottom w:val="0"/>
          <w:divBdr>
            <w:top w:val="none" w:sz="0" w:space="0" w:color="auto"/>
            <w:left w:val="none" w:sz="0" w:space="0" w:color="auto"/>
            <w:bottom w:val="none" w:sz="0" w:space="0" w:color="auto"/>
            <w:right w:val="none" w:sz="0" w:space="0" w:color="auto"/>
          </w:divBdr>
        </w:div>
        <w:div w:id="2094619482">
          <w:marLeft w:val="0"/>
          <w:marRight w:val="0"/>
          <w:marTop w:val="0"/>
          <w:marBottom w:val="0"/>
          <w:divBdr>
            <w:top w:val="none" w:sz="0" w:space="0" w:color="auto"/>
            <w:left w:val="none" w:sz="0" w:space="0" w:color="auto"/>
            <w:bottom w:val="none" w:sz="0" w:space="0" w:color="auto"/>
            <w:right w:val="none" w:sz="0" w:space="0" w:color="auto"/>
          </w:divBdr>
        </w:div>
      </w:divsChild>
    </w:div>
    <w:div w:id="1080755330">
      <w:bodyDiv w:val="1"/>
      <w:marLeft w:val="0"/>
      <w:marRight w:val="0"/>
      <w:marTop w:val="0"/>
      <w:marBottom w:val="0"/>
      <w:divBdr>
        <w:top w:val="none" w:sz="0" w:space="0" w:color="auto"/>
        <w:left w:val="none" w:sz="0" w:space="0" w:color="auto"/>
        <w:bottom w:val="none" w:sz="0" w:space="0" w:color="auto"/>
        <w:right w:val="none" w:sz="0" w:space="0" w:color="auto"/>
      </w:divBdr>
    </w:div>
    <w:div w:id="1083179989">
      <w:bodyDiv w:val="1"/>
      <w:marLeft w:val="0"/>
      <w:marRight w:val="0"/>
      <w:marTop w:val="0"/>
      <w:marBottom w:val="0"/>
      <w:divBdr>
        <w:top w:val="none" w:sz="0" w:space="0" w:color="auto"/>
        <w:left w:val="none" w:sz="0" w:space="0" w:color="auto"/>
        <w:bottom w:val="none" w:sz="0" w:space="0" w:color="auto"/>
        <w:right w:val="none" w:sz="0" w:space="0" w:color="auto"/>
      </w:divBdr>
      <w:divsChild>
        <w:div w:id="564607999">
          <w:marLeft w:val="0"/>
          <w:marRight w:val="0"/>
          <w:marTop w:val="0"/>
          <w:marBottom w:val="0"/>
          <w:divBdr>
            <w:top w:val="none" w:sz="0" w:space="0" w:color="auto"/>
            <w:left w:val="none" w:sz="0" w:space="0" w:color="auto"/>
            <w:bottom w:val="none" w:sz="0" w:space="0" w:color="auto"/>
            <w:right w:val="none" w:sz="0" w:space="0" w:color="auto"/>
          </w:divBdr>
        </w:div>
        <w:div w:id="698706416">
          <w:marLeft w:val="0"/>
          <w:marRight w:val="0"/>
          <w:marTop w:val="0"/>
          <w:marBottom w:val="0"/>
          <w:divBdr>
            <w:top w:val="none" w:sz="0" w:space="0" w:color="auto"/>
            <w:left w:val="none" w:sz="0" w:space="0" w:color="auto"/>
            <w:bottom w:val="none" w:sz="0" w:space="0" w:color="auto"/>
            <w:right w:val="none" w:sz="0" w:space="0" w:color="auto"/>
          </w:divBdr>
        </w:div>
        <w:div w:id="938148058">
          <w:marLeft w:val="0"/>
          <w:marRight w:val="0"/>
          <w:marTop w:val="0"/>
          <w:marBottom w:val="0"/>
          <w:divBdr>
            <w:top w:val="none" w:sz="0" w:space="0" w:color="auto"/>
            <w:left w:val="none" w:sz="0" w:space="0" w:color="auto"/>
            <w:bottom w:val="none" w:sz="0" w:space="0" w:color="auto"/>
            <w:right w:val="none" w:sz="0" w:space="0" w:color="auto"/>
          </w:divBdr>
        </w:div>
        <w:div w:id="1002049598">
          <w:marLeft w:val="0"/>
          <w:marRight w:val="0"/>
          <w:marTop w:val="0"/>
          <w:marBottom w:val="0"/>
          <w:divBdr>
            <w:top w:val="none" w:sz="0" w:space="0" w:color="auto"/>
            <w:left w:val="none" w:sz="0" w:space="0" w:color="auto"/>
            <w:bottom w:val="none" w:sz="0" w:space="0" w:color="auto"/>
            <w:right w:val="none" w:sz="0" w:space="0" w:color="auto"/>
          </w:divBdr>
        </w:div>
        <w:div w:id="1025597157">
          <w:marLeft w:val="0"/>
          <w:marRight w:val="0"/>
          <w:marTop w:val="0"/>
          <w:marBottom w:val="0"/>
          <w:divBdr>
            <w:top w:val="none" w:sz="0" w:space="0" w:color="auto"/>
            <w:left w:val="none" w:sz="0" w:space="0" w:color="auto"/>
            <w:bottom w:val="none" w:sz="0" w:space="0" w:color="auto"/>
            <w:right w:val="none" w:sz="0" w:space="0" w:color="auto"/>
          </w:divBdr>
        </w:div>
        <w:div w:id="1329089252">
          <w:marLeft w:val="0"/>
          <w:marRight w:val="0"/>
          <w:marTop w:val="0"/>
          <w:marBottom w:val="0"/>
          <w:divBdr>
            <w:top w:val="none" w:sz="0" w:space="0" w:color="auto"/>
            <w:left w:val="none" w:sz="0" w:space="0" w:color="auto"/>
            <w:bottom w:val="none" w:sz="0" w:space="0" w:color="auto"/>
            <w:right w:val="none" w:sz="0" w:space="0" w:color="auto"/>
          </w:divBdr>
        </w:div>
        <w:div w:id="1537037654">
          <w:marLeft w:val="0"/>
          <w:marRight w:val="0"/>
          <w:marTop w:val="0"/>
          <w:marBottom w:val="0"/>
          <w:divBdr>
            <w:top w:val="none" w:sz="0" w:space="0" w:color="auto"/>
            <w:left w:val="none" w:sz="0" w:space="0" w:color="auto"/>
            <w:bottom w:val="none" w:sz="0" w:space="0" w:color="auto"/>
            <w:right w:val="none" w:sz="0" w:space="0" w:color="auto"/>
          </w:divBdr>
        </w:div>
        <w:div w:id="1685017925">
          <w:marLeft w:val="0"/>
          <w:marRight w:val="0"/>
          <w:marTop w:val="0"/>
          <w:marBottom w:val="0"/>
          <w:divBdr>
            <w:top w:val="none" w:sz="0" w:space="0" w:color="auto"/>
            <w:left w:val="none" w:sz="0" w:space="0" w:color="auto"/>
            <w:bottom w:val="none" w:sz="0" w:space="0" w:color="auto"/>
            <w:right w:val="none" w:sz="0" w:space="0" w:color="auto"/>
          </w:divBdr>
        </w:div>
        <w:div w:id="2129272132">
          <w:marLeft w:val="0"/>
          <w:marRight w:val="0"/>
          <w:marTop w:val="0"/>
          <w:marBottom w:val="0"/>
          <w:divBdr>
            <w:top w:val="none" w:sz="0" w:space="0" w:color="auto"/>
            <w:left w:val="none" w:sz="0" w:space="0" w:color="auto"/>
            <w:bottom w:val="none" w:sz="0" w:space="0" w:color="auto"/>
            <w:right w:val="none" w:sz="0" w:space="0" w:color="auto"/>
          </w:divBdr>
        </w:div>
      </w:divsChild>
    </w:div>
    <w:div w:id="1091203117">
      <w:bodyDiv w:val="1"/>
      <w:marLeft w:val="0"/>
      <w:marRight w:val="0"/>
      <w:marTop w:val="0"/>
      <w:marBottom w:val="0"/>
      <w:divBdr>
        <w:top w:val="none" w:sz="0" w:space="0" w:color="auto"/>
        <w:left w:val="none" w:sz="0" w:space="0" w:color="auto"/>
        <w:bottom w:val="none" w:sz="0" w:space="0" w:color="auto"/>
        <w:right w:val="none" w:sz="0" w:space="0" w:color="auto"/>
      </w:divBdr>
    </w:div>
    <w:div w:id="1103110500">
      <w:bodyDiv w:val="1"/>
      <w:marLeft w:val="0"/>
      <w:marRight w:val="0"/>
      <w:marTop w:val="0"/>
      <w:marBottom w:val="0"/>
      <w:divBdr>
        <w:top w:val="none" w:sz="0" w:space="0" w:color="auto"/>
        <w:left w:val="none" w:sz="0" w:space="0" w:color="auto"/>
        <w:bottom w:val="none" w:sz="0" w:space="0" w:color="auto"/>
        <w:right w:val="none" w:sz="0" w:space="0" w:color="auto"/>
      </w:divBdr>
      <w:divsChild>
        <w:div w:id="17318460">
          <w:marLeft w:val="0"/>
          <w:marRight w:val="0"/>
          <w:marTop w:val="0"/>
          <w:marBottom w:val="0"/>
          <w:divBdr>
            <w:top w:val="none" w:sz="0" w:space="0" w:color="auto"/>
            <w:left w:val="none" w:sz="0" w:space="0" w:color="auto"/>
            <w:bottom w:val="none" w:sz="0" w:space="0" w:color="auto"/>
            <w:right w:val="none" w:sz="0" w:space="0" w:color="auto"/>
          </w:divBdr>
        </w:div>
        <w:div w:id="65304553">
          <w:marLeft w:val="0"/>
          <w:marRight w:val="0"/>
          <w:marTop w:val="0"/>
          <w:marBottom w:val="0"/>
          <w:divBdr>
            <w:top w:val="none" w:sz="0" w:space="0" w:color="auto"/>
            <w:left w:val="none" w:sz="0" w:space="0" w:color="auto"/>
            <w:bottom w:val="none" w:sz="0" w:space="0" w:color="auto"/>
            <w:right w:val="none" w:sz="0" w:space="0" w:color="auto"/>
          </w:divBdr>
        </w:div>
        <w:div w:id="620258612">
          <w:marLeft w:val="0"/>
          <w:marRight w:val="0"/>
          <w:marTop w:val="0"/>
          <w:marBottom w:val="0"/>
          <w:divBdr>
            <w:top w:val="none" w:sz="0" w:space="0" w:color="auto"/>
            <w:left w:val="none" w:sz="0" w:space="0" w:color="auto"/>
            <w:bottom w:val="none" w:sz="0" w:space="0" w:color="auto"/>
            <w:right w:val="none" w:sz="0" w:space="0" w:color="auto"/>
          </w:divBdr>
        </w:div>
        <w:div w:id="711343884">
          <w:marLeft w:val="0"/>
          <w:marRight w:val="0"/>
          <w:marTop w:val="0"/>
          <w:marBottom w:val="0"/>
          <w:divBdr>
            <w:top w:val="none" w:sz="0" w:space="0" w:color="auto"/>
            <w:left w:val="none" w:sz="0" w:space="0" w:color="auto"/>
            <w:bottom w:val="none" w:sz="0" w:space="0" w:color="auto"/>
            <w:right w:val="none" w:sz="0" w:space="0" w:color="auto"/>
          </w:divBdr>
        </w:div>
        <w:div w:id="786003971">
          <w:marLeft w:val="0"/>
          <w:marRight w:val="0"/>
          <w:marTop w:val="0"/>
          <w:marBottom w:val="0"/>
          <w:divBdr>
            <w:top w:val="none" w:sz="0" w:space="0" w:color="auto"/>
            <w:left w:val="none" w:sz="0" w:space="0" w:color="auto"/>
            <w:bottom w:val="none" w:sz="0" w:space="0" w:color="auto"/>
            <w:right w:val="none" w:sz="0" w:space="0" w:color="auto"/>
          </w:divBdr>
        </w:div>
        <w:div w:id="1268196434">
          <w:marLeft w:val="0"/>
          <w:marRight w:val="0"/>
          <w:marTop w:val="0"/>
          <w:marBottom w:val="0"/>
          <w:divBdr>
            <w:top w:val="none" w:sz="0" w:space="0" w:color="auto"/>
            <w:left w:val="none" w:sz="0" w:space="0" w:color="auto"/>
            <w:bottom w:val="none" w:sz="0" w:space="0" w:color="auto"/>
            <w:right w:val="none" w:sz="0" w:space="0" w:color="auto"/>
          </w:divBdr>
        </w:div>
        <w:div w:id="2107144000">
          <w:marLeft w:val="0"/>
          <w:marRight w:val="0"/>
          <w:marTop w:val="0"/>
          <w:marBottom w:val="0"/>
          <w:divBdr>
            <w:top w:val="none" w:sz="0" w:space="0" w:color="auto"/>
            <w:left w:val="none" w:sz="0" w:space="0" w:color="auto"/>
            <w:bottom w:val="none" w:sz="0" w:space="0" w:color="auto"/>
            <w:right w:val="none" w:sz="0" w:space="0" w:color="auto"/>
          </w:divBdr>
        </w:div>
        <w:div w:id="2137985756">
          <w:marLeft w:val="0"/>
          <w:marRight w:val="0"/>
          <w:marTop w:val="0"/>
          <w:marBottom w:val="0"/>
          <w:divBdr>
            <w:top w:val="none" w:sz="0" w:space="0" w:color="auto"/>
            <w:left w:val="none" w:sz="0" w:space="0" w:color="auto"/>
            <w:bottom w:val="none" w:sz="0" w:space="0" w:color="auto"/>
            <w:right w:val="none" w:sz="0" w:space="0" w:color="auto"/>
          </w:divBdr>
        </w:div>
      </w:divsChild>
    </w:div>
    <w:div w:id="1120564866">
      <w:bodyDiv w:val="1"/>
      <w:marLeft w:val="0"/>
      <w:marRight w:val="0"/>
      <w:marTop w:val="0"/>
      <w:marBottom w:val="0"/>
      <w:divBdr>
        <w:top w:val="none" w:sz="0" w:space="0" w:color="auto"/>
        <w:left w:val="none" w:sz="0" w:space="0" w:color="auto"/>
        <w:bottom w:val="none" w:sz="0" w:space="0" w:color="auto"/>
        <w:right w:val="none" w:sz="0" w:space="0" w:color="auto"/>
      </w:divBdr>
    </w:div>
    <w:div w:id="1128741340">
      <w:bodyDiv w:val="1"/>
      <w:marLeft w:val="0"/>
      <w:marRight w:val="0"/>
      <w:marTop w:val="0"/>
      <w:marBottom w:val="0"/>
      <w:divBdr>
        <w:top w:val="none" w:sz="0" w:space="0" w:color="auto"/>
        <w:left w:val="none" w:sz="0" w:space="0" w:color="auto"/>
        <w:bottom w:val="none" w:sz="0" w:space="0" w:color="auto"/>
        <w:right w:val="none" w:sz="0" w:space="0" w:color="auto"/>
      </w:divBdr>
    </w:div>
    <w:div w:id="1128822029">
      <w:bodyDiv w:val="1"/>
      <w:marLeft w:val="0"/>
      <w:marRight w:val="0"/>
      <w:marTop w:val="0"/>
      <w:marBottom w:val="0"/>
      <w:divBdr>
        <w:top w:val="none" w:sz="0" w:space="0" w:color="auto"/>
        <w:left w:val="none" w:sz="0" w:space="0" w:color="auto"/>
        <w:bottom w:val="none" w:sz="0" w:space="0" w:color="auto"/>
        <w:right w:val="none" w:sz="0" w:space="0" w:color="auto"/>
      </w:divBdr>
    </w:div>
    <w:div w:id="1143473531">
      <w:bodyDiv w:val="1"/>
      <w:marLeft w:val="0"/>
      <w:marRight w:val="0"/>
      <w:marTop w:val="0"/>
      <w:marBottom w:val="0"/>
      <w:divBdr>
        <w:top w:val="none" w:sz="0" w:space="0" w:color="auto"/>
        <w:left w:val="none" w:sz="0" w:space="0" w:color="auto"/>
        <w:bottom w:val="none" w:sz="0" w:space="0" w:color="auto"/>
        <w:right w:val="none" w:sz="0" w:space="0" w:color="auto"/>
      </w:divBdr>
    </w:div>
    <w:div w:id="1145470785">
      <w:bodyDiv w:val="1"/>
      <w:marLeft w:val="0"/>
      <w:marRight w:val="0"/>
      <w:marTop w:val="0"/>
      <w:marBottom w:val="0"/>
      <w:divBdr>
        <w:top w:val="none" w:sz="0" w:space="0" w:color="auto"/>
        <w:left w:val="none" w:sz="0" w:space="0" w:color="auto"/>
        <w:bottom w:val="none" w:sz="0" w:space="0" w:color="auto"/>
        <w:right w:val="none" w:sz="0" w:space="0" w:color="auto"/>
      </w:divBdr>
      <w:divsChild>
        <w:div w:id="105974473">
          <w:marLeft w:val="0"/>
          <w:marRight w:val="0"/>
          <w:marTop w:val="0"/>
          <w:marBottom w:val="0"/>
          <w:divBdr>
            <w:top w:val="none" w:sz="0" w:space="0" w:color="auto"/>
            <w:left w:val="none" w:sz="0" w:space="0" w:color="auto"/>
            <w:bottom w:val="none" w:sz="0" w:space="0" w:color="auto"/>
            <w:right w:val="none" w:sz="0" w:space="0" w:color="auto"/>
          </w:divBdr>
        </w:div>
        <w:div w:id="334916784">
          <w:marLeft w:val="0"/>
          <w:marRight w:val="0"/>
          <w:marTop w:val="0"/>
          <w:marBottom w:val="0"/>
          <w:divBdr>
            <w:top w:val="none" w:sz="0" w:space="0" w:color="auto"/>
            <w:left w:val="none" w:sz="0" w:space="0" w:color="auto"/>
            <w:bottom w:val="none" w:sz="0" w:space="0" w:color="auto"/>
            <w:right w:val="none" w:sz="0" w:space="0" w:color="auto"/>
          </w:divBdr>
        </w:div>
        <w:div w:id="364986310">
          <w:marLeft w:val="0"/>
          <w:marRight w:val="0"/>
          <w:marTop w:val="0"/>
          <w:marBottom w:val="0"/>
          <w:divBdr>
            <w:top w:val="none" w:sz="0" w:space="0" w:color="auto"/>
            <w:left w:val="none" w:sz="0" w:space="0" w:color="auto"/>
            <w:bottom w:val="none" w:sz="0" w:space="0" w:color="auto"/>
            <w:right w:val="none" w:sz="0" w:space="0" w:color="auto"/>
          </w:divBdr>
        </w:div>
        <w:div w:id="430904778">
          <w:marLeft w:val="0"/>
          <w:marRight w:val="0"/>
          <w:marTop w:val="0"/>
          <w:marBottom w:val="0"/>
          <w:divBdr>
            <w:top w:val="none" w:sz="0" w:space="0" w:color="auto"/>
            <w:left w:val="none" w:sz="0" w:space="0" w:color="auto"/>
            <w:bottom w:val="none" w:sz="0" w:space="0" w:color="auto"/>
            <w:right w:val="none" w:sz="0" w:space="0" w:color="auto"/>
          </w:divBdr>
        </w:div>
        <w:div w:id="449596036">
          <w:marLeft w:val="0"/>
          <w:marRight w:val="0"/>
          <w:marTop w:val="0"/>
          <w:marBottom w:val="0"/>
          <w:divBdr>
            <w:top w:val="none" w:sz="0" w:space="0" w:color="auto"/>
            <w:left w:val="none" w:sz="0" w:space="0" w:color="auto"/>
            <w:bottom w:val="none" w:sz="0" w:space="0" w:color="auto"/>
            <w:right w:val="none" w:sz="0" w:space="0" w:color="auto"/>
          </w:divBdr>
        </w:div>
        <w:div w:id="1082218860">
          <w:marLeft w:val="0"/>
          <w:marRight w:val="0"/>
          <w:marTop w:val="0"/>
          <w:marBottom w:val="0"/>
          <w:divBdr>
            <w:top w:val="none" w:sz="0" w:space="0" w:color="auto"/>
            <w:left w:val="none" w:sz="0" w:space="0" w:color="auto"/>
            <w:bottom w:val="none" w:sz="0" w:space="0" w:color="auto"/>
            <w:right w:val="none" w:sz="0" w:space="0" w:color="auto"/>
          </w:divBdr>
        </w:div>
        <w:div w:id="1434521739">
          <w:marLeft w:val="0"/>
          <w:marRight w:val="0"/>
          <w:marTop w:val="0"/>
          <w:marBottom w:val="0"/>
          <w:divBdr>
            <w:top w:val="none" w:sz="0" w:space="0" w:color="auto"/>
            <w:left w:val="none" w:sz="0" w:space="0" w:color="auto"/>
            <w:bottom w:val="none" w:sz="0" w:space="0" w:color="auto"/>
            <w:right w:val="none" w:sz="0" w:space="0" w:color="auto"/>
          </w:divBdr>
        </w:div>
        <w:div w:id="1467505350">
          <w:marLeft w:val="0"/>
          <w:marRight w:val="0"/>
          <w:marTop w:val="0"/>
          <w:marBottom w:val="0"/>
          <w:divBdr>
            <w:top w:val="none" w:sz="0" w:space="0" w:color="auto"/>
            <w:left w:val="none" w:sz="0" w:space="0" w:color="auto"/>
            <w:bottom w:val="none" w:sz="0" w:space="0" w:color="auto"/>
            <w:right w:val="none" w:sz="0" w:space="0" w:color="auto"/>
          </w:divBdr>
        </w:div>
        <w:div w:id="1624456527">
          <w:marLeft w:val="0"/>
          <w:marRight w:val="0"/>
          <w:marTop w:val="0"/>
          <w:marBottom w:val="0"/>
          <w:divBdr>
            <w:top w:val="none" w:sz="0" w:space="0" w:color="auto"/>
            <w:left w:val="none" w:sz="0" w:space="0" w:color="auto"/>
            <w:bottom w:val="none" w:sz="0" w:space="0" w:color="auto"/>
            <w:right w:val="none" w:sz="0" w:space="0" w:color="auto"/>
          </w:divBdr>
        </w:div>
        <w:div w:id="1939487991">
          <w:marLeft w:val="0"/>
          <w:marRight w:val="0"/>
          <w:marTop w:val="0"/>
          <w:marBottom w:val="0"/>
          <w:divBdr>
            <w:top w:val="none" w:sz="0" w:space="0" w:color="auto"/>
            <w:left w:val="none" w:sz="0" w:space="0" w:color="auto"/>
            <w:bottom w:val="none" w:sz="0" w:space="0" w:color="auto"/>
            <w:right w:val="none" w:sz="0" w:space="0" w:color="auto"/>
          </w:divBdr>
        </w:div>
      </w:divsChild>
    </w:div>
    <w:div w:id="1145970629">
      <w:bodyDiv w:val="1"/>
      <w:marLeft w:val="0"/>
      <w:marRight w:val="0"/>
      <w:marTop w:val="0"/>
      <w:marBottom w:val="0"/>
      <w:divBdr>
        <w:top w:val="none" w:sz="0" w:space="0" w:color="auto"/>
        <w:left w:val="none" w:sz="0" w:space="0" w:color="auto"/>
        <w:bottom w:val="none" w:sz="0" w:space="0" w:color="auto"/>
        <w:right w:val="none" w:sz="0" w:space="0" w:color="auto"/>
      </w:divBdr>
      <w:divsChild>
        <w:div w:id="389499508">
          <w:marLeft w:val="0"/>
          <w:marRight w:val="0"/>
          <w:marTop w:val="0"/>
          <w:marBottom w:val="0"/>
          <w:divBdr>
            <w:top w:val="none" w:sz="0" w:space="0" w:color="auto"/>
            <w:left w:val="none" w:sz="0" w:space="0" w:color="auto"/>
            <w:bottom w:val="none" w:sz="0" w:space="0" w:color="auto"/>
            <w:right w:val="none" w:sz="0" w:space="0" w:color="auto"/>
          </w:divBdr>
        </w:div>
        <w:div w:id="492765297">
          <w:marLeft w:val="0"/>
          <w:marRight w:val="0"/>
          <w:marTop w:val="0"/>
          <w:marBottom w:val="0"/>
          <w:divBdr>
            <w:top w:val="none" w:sz="0" w:space="0" w:color="auto"/>
            <w:left w:val="none" w:sz="0" w:space="0" w:color="auto"/>
            <w:bottom w:val="none" w:sz="0" w:space="0" w:color="auto"/>
            <w:right w:val="none" w:sz="0" w:space="0" w:color="auto"/>
          </w:divBdr>
        </w:div>
        <w:div w:id="981271409">
          <w:marLeft w:val="0"/>
          <w:marRight w:val="0"/>
          <w:marTop w:val="0"/>
          <w:marBottom w:val="0"/>
          <w:divBdr>
            <w:top w:val="none" w:sz="0" w:space="0" w:color="auto"/>
            <w:left w:val="none" w:sz="0" w:space="0" w:color="auto"/>
            <w:bottom w:val="none" w:sz="0" w:space="0" w:color="auto"/>
            <w:right w:val="none" w:sz="0" w:space="0" w:color="auto"/>
          </w:divBdr>
        </w:div>
        <w:div w:id="1423381791">
          <w:marLeft w:val="0"/>
          <w:marRight w:val="0"/>
          <w:marTop w:val="0"/>
          <w:marBottom w:val="0"/>
          <w:divBdr>
            <w:top w:val="none" w:sz="0" w:space="0" w:color="auto"/>
            <w:left w:val="none" w:sz="0" w:space="0" w:color="auto"/>
            <w:bottom w:val="none" w:sz="0" w:space="0" w:color="auto"/>
            <w:right w:val="none" w:sz="0" w:space="0" w:color="auto"/>
          </w:divBdr>
        </w:div>
        <w:div w:id="1688946851">
          <w:marLeft w:val="0"/>
          <w:marRight w:val="0"/>
          <w:marTop w:val="0"/>
          <w:marBottom w:val="0"/>
          <w:divBdr>
            <w:top w:val="none" w:sz="0" w:space="0" w:color="auto"/>
            <w:left w:val="none" w:sz="0" w:space="0" w:color="auto"/>
            <w:bottom w:val="none" w:sz="0" w:space="0" w:color="auto"/>
            <w:right w:val="none" w:sz="0" w:space="0" w:color="auto"/>
          </w:divBdr>
        </w:div>
        <w:div w:id="2078241934">
          <w:marLeft w:val="0"/>
          <w:marRight w:val="0"/>
          <w:marTop w:val="0"/>
          <w:marBottom w:val="0"/>
          <w:divBdr>
            <w:top w:val="none" w:sz="0" w:space="0" w:color="auto"/>
            <w:left w:val="none" w:sz="0" w:space="0" w:color="auto"/>
            <w:bottom w:val="none" w:sz="0" w:space="0" w:color="auto"/>
            <w:right w:val="none" w:sz="0" w:space="0" w:color="auto"/>
          </w:divBdr>
        </w:div>
      </w:divsChild>
    </w:div>
    <w:div w:id="1146972834">
      <w:bodyDiv w:val="1"/>
      <w:marLeft w:val="0"/>
      <w:marRight w:val="0"/>
      <w:marTop w:val="0"/>
      <w:marBottom w:val="0"/>
      <w:divBdr>
        <w:top w:val="none" w:sz="0" w:space="0" w:color="auto"/>
        <w:left w:val="none" w:sz="0" w:space="0" w:color="auto"/>
        <w:bottom w:val="none" w:sz="0" w:space="0" w:color="auto"/>
        <w:right w:val="none" w:sz="0" w:space="0" w:color="auto"/>
      </w:divBdr>
      <w:divsChild>
        <w:div w:id="57442269">
          <w:marLeft w:val="0"/>
          <w:marRight w:val="0"/>
          <w:marTop w:val="0"/>
          <w:marBottom w:val="0"/>
          <w:divBdr>
            <w:top w:val="none" w:sz="0" w:space="0" w:color="auto"/>
            <w:left w:val="none" w:sz="0" w:space="0" w:color="auto"/>
            <w:bottom w:val="none" w:sz="0" w:space="0" w:color="auto"/>
            <w:right w:val="none" w:sz="0" w:space="0" w:color="auto"/>
          </w:divBdr>
        </w:div>
        <w:div w:id="139929691">
          <w:marLeft w:val="0"/>
          <w:marRight w:val="0"/>
          <w:marTop w:val="0"/>
          <w:marBottom w:val="0"/>
          <w:divBdr>
            <w:top w:val="none" w:sz="0" w:space="0" w:color="auto"/>
            <w:left w:val="none" w:sz="0" w:space="0" w:color="auto"/>
            <w:bottom w:val="none" w:sz="0" w:space="0" w:color="auto"/>
            <w:right w:val="none" w:sz="0" w:space="0" w:color="auto"/>
          </w:divBdr>
        </w:div>
        <w:div w:id="234828766">
          <w:marLeft w:val="0"/>
          <w:marRight w:val="0"/>
          <w:marTop w:val="0"/>
          <w:marBottom w:val="0"/>
          <w:divBdr>
            <w:top w:val="none" w:sz="0" w:space="0" w:color="auto"/>
            <w:left w:val="none" w:sz="0" w:space="0" w:color="auto"/>
            <w:bottom w:val="none" w:sz="0" w:space="0" w:color="auto"/>
            <w:right w:val="none" w:sz="0" w:space="0" w:color="auto"/>
          </w:divBdr>
        </w:div>
        <w:div w:id="862010908">
          <w:marLeft w:val="0"/>
          <w:marRight w:val="0"/>
          <w:marTop w:val="0"/>
          <w:marBottom w:val="0"/>
          <w:divBdr>
            <w:top w:val="none" w:sz="0" w:space="0" w:color="auto"/>
            <w:left w:val="none" w:sz="0" w:space="0" w:color="auto"/>
            <w:bottom w:val="none" w:sz="0" w:space="0" w:color="auto"/>
            <w:right w:val="none" w:sz="0" w:space="0" w:color="auto"/>
          </w:divBdr>
        </w:div>
        <w:div w:id="956717419">
          <w:marLeft w:val="0"/>
          <w:marRight w:val="0"/>
          <w:marTop w:val="0"/>
          <w:marBottom w:val="0"/>
          <w:divBdr>
            <w:top w:val="none" w:sz="0" w:space="0" w:color="auto"/>
            <w:left w:val="none" w:sz="0" w:space="0" w:color="auto"/>
            <w:bottom w:val="none" w:sz="0" w:space="0" w:color="auto"/>
            <w:right w:val="none" w:sz="0" w:space="0" w:color="auto"/>
          </w:divBdr>
        </w:div>
        <w:div w:id="973288225">
          <w:marLeft w:val="0"/>
          <w:marRight w:val="0"/>
          <w:marTop w:val="0"/>
          <w:marBottom w:val="0"/>
          <w:divBdr>
            <w:top w:val="none" w:sz="0" w:space="0" w:color="auto"/>
            <w:left w:val="none" w:sz="0" w:space="0" w:color="auto"/>
            <w:bottom w:val="none" w:sz="0" w:space="0" w:color="auto"/>
            <w:right w:val="none" w:sz="0" w:space="0" w:color="auto"/>
          </w:divBdr>
        </w:div>
        <w:div w:id="1002047540">
          <w:marLeft w:val="0"/>
          <w:marRight w:val="0"/>
          <w:marTop w:val="0"/>
          <w:marBottom w:val="0"/>
          <w:divBdr>
            <w:top w:val="none" w:sz="0" w:space="0" w:color="auto"/>
            <w:left w:val="none" w:sz="0" w:space="0" w:color="auto"/>
            <w:bottom w:val="none" w:sz="0" w:space="0" w:color="auto"/>
            <w:right w:val="none" w:sz="0" w:space="0" w:color="auto"/>
          </w:divBdr>
        </w:div>
        <w:div w:id="1176991857">
          <w:marLeft w:val="0"/>
          <w:marRight w:val="0"/>
          <w:marTop w:val="0"/>
          <w:marBottom w:val="0"/>
          <w:divBdr>
            <w:top w:val="none" w:sz="0" w:space="0" w:color="auto"/>
            <w:left w:val="none" w:sz="0" w:space="0" w:color="auto"/>
            <w:bottom w:val="none" w:sz="0" w:space="0" w:color="auto"/>
            <w:right w:val="none" w:sz="0" w:space="0" w:color="auto"/>
          </w:divBdr>
        </w:div>
        <w:div w:id="1447693822">
          <w:marLeft w:val="0"/>
          <w:marRight w:val="0"/>
          <w:marTop w:val="0"/>
          <w:marBottom w:val="0"/>
          <w:divBdr>
            <w:top w:val="none" w:sz="0" w:space="0" w:color="auto"/>
            <w:left w:val="none" w:sz="0" w:space="0" w:color="auto"/>
            <w:bottom w:val="none" w:sz="0" w:space="0" w:color="auto"/>
            <w:right w:val="none" w:sz="0" w:space="0" w:color="auto"/>
          </w:divBdr>
        </w:div>
        <w:div w:id="1863396282">
          <w:marLeft w:val="0"/>
          <w:marRight w:val="0"/>
          <w:marTop w:val="0"/>
          <w:marBottom w:val="0"/>
          <w:divBdr>
            <w:top w:val="none" w:sz="0" w:space="0" w:color="auto"/>
            <w:left w:val="none" w:sz="0" w:space="0" w:color="auto"/>
            <w:bottom w:val="none" w:sz="0" w:space="0" w:color="auto"/>
            <w:right w:val="none" w:sz="0" w:space="0" w:color="auto"/>
          </w:divBdr>
        </w:div>
        <w:div w:id="2029288605">
          <w:marLeft w:val="0"/>
          <w:marRight w:val="0"/>
          <w:marTop w:val="0"/>
          <w:marBottom w:val="0"/>
          <w:divBdr>
            <w:top w:val="none" w:sz="0" w:space="0" w:color="auto"/>
            <w:left w:val="none" w:sz="0" w:space="0" w:color="auto"/>
            <w:bottom w:val="none" w:sz="0" w:space="0" w:color="auto"/>
            <w:right w:val="none" w:sz="0" w:space="0" w:color="auto"/>
          </w:divBdr>
        </w:div>
      </w:divsChild>
    </w:div>
    <w:div w:id="1174615736">
      <w:bodyDiv w:val="1"/>
      <w:marLeft w:val="0"/>
      <w:marRight w:val="0"/>
      <w:marTop w:val="0"/>
      <w:marBottom w:val="0"/>
      <w:divBdr>
        <w:top w:val="none" w:sz="0" w:space="0" w:color="auto"/>
        <w:left w:val="none" w:sz="0" w:space="0" w:color="auto"/>
        <w:bottom w:val="none" w:sz="0" w:space="0" w:color="auto"/>
        <w:right w:val="none" w:sz="0" w:space="0" w:color="auto"/>
      </w:divBdr>
    </w:div>
    <w:div w:id="1183207226">
      <w:bodyDiv w:val="1"/>
      <w:marLeft w:val="0"/>
      <w:marRight w:val="0"/>
      <w:marTop w:val="0"/>
      <w:marBottom w:val="0"/>
      <w:divBdr>
        <w:top w:val="none" w:sz="0" w:space="0" w:color="auto"/>
        <w:left w:val="none" w:sz="0" w:space="0" w:color="auto"/>
        <w:bottom w:val="none" w:sz="0" w:space="0" w:color="auto"/>
        <w:right w:val="none" w:sz="0" w:space="0" w:color="auto"/>
      </w:divBdr>
    </w:div>
    <w:div w:id="1198393382">
      <w:bodyDiv w:val="1"/>
      <w:marLeft w:val="0"/>
      <w:marRight w:val="0"/>
      <w:marTop w:val="0"/>
      <w:marBottom w:val="0"/>
      <w:divBdr>
        <w:top w:val="none" w:sz="0" w:space="0" w:color="auto"/>
        <w:left w:val="none" w:sz="0" w:space="0" w:color="auto"/>
        <w:bottom w:val="none" w:sz="0" w:space="0" w:color="auto"/>
        <w:right w:val="none" w:sz="0" w:space="0" w:color="auto"/>
      </w:divBdr>
    </w:div>
    <w:div w:id="1215847604">
      <w:bodyDiv w:val="1"/>
      <w:marLeft w:val="0"/>
      <w:marRight w:val="0"/>
      <w:marTop w:val="0"/>
      <w:marBottom w:val="0"/>
      <w:divBdr>
        <w:top w:val="none" w:sz="0" w:space="0" w:color="auto"/>
        <w:left w:val="none" w:sz="0" w:space="0" w:color="auto"/>
        <w:bottom w:val="none" w:sz="0" w:space="0" w:color="auto"/>
        <w:right w:val="none" w:sz="0" w:space="0" w:color="auto"/>
      </w:divBdr>
    </w:div>
    <w:div w:id="1220048013">
      <w:bodyDiv w:val="1"/>
      <w:marLeft w:val="0"/>
      <w:marRight w:val="0"/>
      <w:marTop w:val="0"/>
      <w:marBottom w:val="0"/>
      <w:divBdr>
        <w:top w:val="none" w:sz="0" w:space="0" w:color="auto"/>
        <w:left w:val="none" w:sz="0" w:space="0" w:color="auto"/>
        <w:bottom w:val="none" w:sz="0" w:space="0" w:color="auto"/>
        <w:right w:val="none" w:sz="0" w:space="0" w:color="auto"/>
      </w:divBdr>
    </w:div>
    <w:div w:id="1271863361">
      <w:bodyDiv w:val="1"/>
      <w:marLeft w:val="0"/>
      <w:marRight w:val="0"/>
      <w:marTop w:val="0"/>
      <w:marBottom w:val="0"/>
      <w:divBdr>
        <w:top w:val="none" w:sz="0" w:space="0" w:color="auto"/>
        <w:left w:val="none" w:sz="0" w:space="0" w:color="auto"/>
        <w:bottom w:val="none" w:sz="0" w:space="0" w:color="auto"/>
        <w:right w:val="none" w:sz="0" w:space="0" w:color="auto"/>
      </w:divBdr>
    </w:div>
    <w:div w:id="1273827237">
      <w:bodyDiv w:val="1"/>
      <w:marLeft w:val="0"/>
      <w:marRight w:val="0"/>
      <w:marTop w:val="0"/>
      <w:marBottom w:val="0"/>
      <w:divBdr>
        <w:top w:val="none" w:sz="0" w:space="0" w:color="auto"/>
        <w:left w:val="none" w:sz="0" w:space="0" w:color="auto"/>
        <w:bottom w:val="none" w:sz="0" w:space="0" w:color="auto"/>
        <w:right w:val="none" w:sz="0" w:space="0" w:color="auto"/>
      </w:divBdr>
    </w:div>
    <w:div w:id="1277248564">
      <w:bodyDiv w:val="1"/>
      <w:marLeft w:val="0"/>
      <w:marRight w:val="0"/>
      <w:marTop w:val="0"/>
      <w:marBottom w:val="0"/>
      <w:divBdr>
        <w:top w:val="none" w:sz="0" w:space="0" w:color="auto"/>
        <w:left w:val="none" w:sz="0" w:space="0" w:color="auto"/>
        <w:bottom w:val="none" w:sz="0" w:space="0" w:color="auto"/>
        <w:right w:val="none" w:sz="0" w:space="0" w:color="auto"/>
      </w:divBdr>
    </w:div>
    <w:div w:id="1286428089">
      <w:bodyDiv w:val="1"/>
      <w:marLeft w:val="0"/>
      <w:marRight w:val="0"/>
      <w:marTop w:val="0"/>
      <w:marBottom w:val="0"/>
      <w:divBdr>
        <w:top w:val="none" w:sz="0" w:space="0" w:color="auto"/>
        <w:left w:val="none" w:sz="0" w:space="0" w:color="auto"/>
        <w:bottom w:val="none" w:sz="0" w:space="0" w:color="auto"/>
        <w:right w:val="none" w:sz="0" w:space="0" w:color="auto"/>
      </w:divBdr>
    </w:div>
    <w:div w:id="1289436222">
      <w:bodyDiv w:val="1"/>
      <w:marLeft w:val="0"/>
      <w:marRight w:val="0"/>
      <w:marTop w:val="0"/>
      <w:marBottom w:val="0"/>
      <w:divBdr>
        <w:top w:val="none" w:sz="0" w:space="0" w:color="auto"/>
        <w:left w:val="none" w:sz="0" w:space="0" w:color="auto"/>
        <w:bottom w:val="none" w:sz="0" w:space="0" w:color="auto"/>
        <w:right w:val="none" w:sz="0" w:space="0" w:color="auto"/>
      </w:divBdr>
    </w:div>
    <w:div w:id="1295408287">
      <w:bodyDiv w:val="1"/>
      <w:marLeft w:val="0"/>
      <w:marRight w:val="0"/>
      <w:marTop w:val="0"/>
      <w:marBottom w:val="0"/>
      <w:divBdr>
        <w:top w:val="none" w:sz="0" w:space="0" w:color="auto"/>
        <w:left w:val="none" w:sz="0" w:space="0" w:color="auto"/>
        <w:bottom w:val="none" w:sz="0" w:space="0" w:color="auto"/>
        <w:right w:val="none" w:sz="0" w:space="0" w:color="auto"/>
      </w:divBdr>
      <w:divsChild>
        <w:div w:id="64961944">
          <w:marLeft w:val="0"/>
          <w:marRight w:val="0"/>
          <w:marTop w:val="0"/>
          <w:marBottom w:val="0"/>
          <w:divBdr>
            <w:top w:val="none" w:sz="0" w:space="0" w:color="auto"/>
            <w:left w:val="none" w:sz="0" w:space="0" w:color="auto"/>
            <w:bottom w:val="none" w:sz="0" w:space="0" w:color="auto"/>
            <w:right w:val="none" w:sz="0" w:space="0" w:color="auto"/>
          </w:divBdr>
        </w:div>
        <w:div w:id="105538883">
          <w:marLeft w:val="0"/>
          <w:marRight w:val="0"/>
          <w:marTop w:val="0"/>
          <w:marBottom w:val="0"/>
          <w:divBdr>
            <w:top w:val="none" w:sz="0" w:space="0" w:color="auto"/>
            <w:left w:val="none" w:sz="0" w:space="0" w:color="auto"/>
            <w:bottom w:val="none" w:sz="0" w:space="0" w:color="auto"/>
            <w:right w:val="none" w:sz="0" w:space="0" w:color="auto"/>
          </w:divBdr>
        </w:div>
        <w:div w:id="136143347">
          <w:marLeft w:val="0"/>
          <w:marRight w:val="0"/>
          <w:marTop w:val="0"/>
          <w:marBottom w:val="0"/>
          <w:divBdr>
            <w:top w:val="none" w:sz="0" w:space="0" w:color="auto"/>
            <w:left w:val="none" w:sz="0" w:space="0" w:color="auto"/>
            <w:bottom w:val="none" w:sz="0" w:space="0" w:color="auto"/>
            <w:right w:val="none" w:sz="0" w:space="0" w:color="auto"/>
          </w:divBdr>
        </w:div>
        <w:div w:id="218127622">
          <w:marLeft w:val="0"/>
          <w:marRight w:val="0"/>
          <w:marTop w:val="0"/>
          <w:marBottom w:val="0"/>
          <w:divBdr>
            <w:top w:val="none" w:sz="0" w:space="0" w:color="auto"/>
            <w:left w:val="none" w:sz="0" w:space="0" w:color="auto"/>
            <w:bottom w:val="none" w:sz="0" w:space="0" w:color="auto"/>
            <w:right w:val="none" w:sz="0" w:space="0" w:color="auto"/>
          </w:divBdr>
        </w:div>
        <w:div w:id="246891073">
          <w:marLeft w:val="0"/>
          <w:marRight w:val="0"/>
          <w:marTop w:val="0"/>
          <w:marBottom w:val="0"/>
          <w:divBdr>
            <w:top w:val="none" w:sz="0" w:space="0" w:color="auto"/>
            <w:left w:val="none" w:sz="0" w:space="0" w:color="auto"/>
            <w:bottom w:val="none" w:sz="0" w:space="0" w:color="auto"/>
            <w:right w:val="none" w:sz="0" w:space="0" w:color="auto"/>
          </w:divBdr>
        </w:div>
        <w:div w:id="475613937">
          <w:marLeft w:val="0"/>
          <w:marRight w:val="0"/>
          <w:marTop w:val="0"/>
          <w:marBottom w:val="0"/>
          <w:divBdr>
            <w:top w:val="none" w:sz="0" w:space="0" w:color="auto"/>
            <w:left w:val="none" w:sz="0" w:space="0" w:color="auto"/>
            <w:bottom w:val="none" w:sz="0" w:space="0" w:color="auto"/>
            <w:right w:val="none" w:sz="0" w:space="0" w:color="auto"/>
          </w:divBdr>
        </w:div>
        <w:div w:id="539172356">
          <w:marLeft w:val="0"/>
          <w:marRight w:val="0"/>
          <w:marTop w:val="0"/>
          <w:marBottom w:val="0"/>
          <w:divBdr>
            <w:top w:val="none" w:sz="0" w:space="0" w:color="auto"/>
            <w:left w:val="none" w:sz="0" w:space="0" w:color="auto"/>
            <w:bottom w:val="none" w:sz="0" w:space="0" w:color="auto"/>
            <w:right w:val="none" w:sz="0" w:space="0" w:color="auto"/>
          </w:divBdr>
        </w:div>
        <w:div w:id="743651426">
          <w:marLeft w:val="0"/>
          <w:marRight w:val="0"/>
          <w:marTop w:val="0"/>
          <w:marBottom w:val="0"/>
          <w:divBdr>
            <w:top w:val="none" w:sz="0" w:space="0" w:color="auto"/>
            <w:left w:val="none" w:sz="0" w:space="0" w:color="auto"/>
            <w:bottom w:val="none" w:sz="0" w:space="0" w:color="auto"/>
            <w:right w:val="none" w:sz="0" w:space="0" w:color="auto"/>
          </w:divBdr>
        </w:div>
        <w:div w:id="878589893">
          <w:marLeft w:val="0"/>
          <w:marRight w:val="0"/>
          <w:marTop w:val="0"/>
          <w:marBottom w:val="0"/>
          <w:divBdr>
            <w:top w:val="none" w:sz="0" w:space="0" w:color="auto"/>
            <w:left w:val="none" w:sz="0" w:space="0" w:color="auto"/>
            <w:bottom w:val="none" w:sz="0" w:space="0" w:color="auto"/>
            <w:right w:val="none" w:sz="0" w:space="0" w:color="auto"/>
          </w:divBdr>
        </w:div>
        <w:div w:id="1148669761">
          <w:marLeft w:val="0"/>
          <w:marRight w:val="0"/>
          <w:marTop w:val="0"/>
          <w:marBottom w:val="0"/>
          <w:divBdr>
            <w:top w:val="none" w:sz="0" w:space="0" w:color="auto"/>
            <w:left w:val="none" w:sz="0" w:space="0" w:color="auto"/>
            <w:bottom w:val="none" w:sz="0" w:space="0" w:color="auto"/>
            <w:right w:val="none" w:sz="0" w:space="0" w:color="auto"/>
          </w:divBdr>
        </w:div>
        <w:div w:id="1148789085">
          <w:marLeft w:val="0"/>
          <w:marRight w:val="0"/>
          <w:marTop w:val="0"/>
          <w:marBottom w:val="0"/>
          <w:divBdr>
            <w:top w:val="none" w:sz="0" w:space="0" w:color="auto"/>
            <w:left w:val="none" w:sz="0" w:space="0" w:color="auto"/>
            <w:bottom w:val="none" w:sz="0" w:space="0" w:color="auto"/>
            <w:right w:val="none" w:sz="0" w:space="0" w:color="auto"/>
          </w:divBdr>
        </w:div>
        <w:div w:id="1486362838">
          <w:marLeft w:val="0"/>
          <w:marRight w:val="0"/>
          <w:marTop w:val="0"/>
          <w:marBottom w:val="0"/>
          <w:divBdr>
            <w:top w:val="none" w:sz="0" w:space="0" w:color="auto"/>
            <w:left w:val="none" w:sz="0" w:space="0" w:color="auto"/>
            <w:bottom w:val="none" w:sz="0" w:space="0" w:color="auto"/>
            <w:right w:val="none" w:sz="0" w:space="0" w:color="auto"/>
          </w:divBdr>
        </w:div>
        <w:div w:id="1585869468">
          <w:marLeft w:val="0"/>
          <w:marRight w:val="0"/>
          <w:marTop w:val="0"/>
          <w:marBottom w:val="0"/>
          <w:divBdr>
            <w:top w:val="none" w:sz="0" w:space="0" w:color="auto"/>
            <w:left w:val="none" w:sz="0" w:space="0" w:color="auto"/>
            <w:bottom w:val="none" w:sz="0" w:space="0" w:color="auto"/>
            <w:right w:val="none" w:sz="0" w:space="0" w:color="auto"/>
          </w:divBdr>
        </w:div>
      </w:divsChild>
    </w:div>
    <w:div w:id="1310020200">
      <w:bodyDiv w:val="1"/>
      <w:marLeft w:val="0"/>
      <w:marRight w:val="0"/>
      <w:marTop w:val="0"/>
      <w:marBottom w:val="0"/>
      <w:divBdr>
        <w:top w:val="none" w:sz="0" w:space="0" w:color="auto"/>
        <w:left w:val="none" w:sz="0" w:space="0" w:color="auto"/>
        <w:bottom w:val="none" w:sz="0" w:space="0" w:color="auto"/>
        <w:right w:val="none" w:sz="0" w:space="0" w:color="auto"/>
      </w:divBdr>
    </w:div>
    <w:div w:id="1334602905">
      <w:bodyDiv w:val="1"/>
      <w:marLeft w:val="0"/>
      <w:marRight w:val="0"/>
      <w:marTop w:val="0"/>
      <w:marBottom w:val="0"/>
      <w:divBdr>
        <w:top w:val="none" w:sz="0" w:space="0" w:color="auto"/>
        <w:left w:val="none" w:sz="0" w:space="0" w:color="auto"/>
        <w:bottom w:val="none" w:sz="0" w:space="0" w:color="auto"/>
        <w:right w:val="none" w:sz="0" w:space="0" w:color="auto"/>
      </w:divBdr>
    </w:div>
    <w:div w:id="1355575863">
      <w:bodyDiv w:val="1"/>
      <w:marLeft w:val="0"/>
      <w:marRight w:val="0"/>
      <w:marTop w:val="0"/>
      <w:marBottom w:val="0"/>
      <w:divBdr>
        <w:top w:val="none" w:sz="0" w:space="0" w:color="auto"/>
        <w:left w:val="none" w:sz="0" w:space="0" w:color="auto"/>
        <w:bottom w:val="none" w:sz="0" w:space="0" w:color="auto"/>
        <w:right w:val="none" w:sz="0" w:space="0" w:color="auto"/>
      </w:divBdr>
    </w:div>
    <w:div w:id="1357075014">
      <w:bodyDiv w:val="1"/>
      <w:marLeft w:val="0"/>
      <w:marRight w:val="0"/>
      <w:marTop w:val="0"/>
      <w:marBottom w:val="0"/>
      <w:divBdr>
        <w:top w:val="none" w:sz="0" w:space="0" w:color="auto"/>
        <w:left w:val="none" w:sz="0" w:space="0" w:color="auto"/>
        <w:bottom w:val="none" w:sz="0" w:space="0" w:color="auto"/>
        <w:right w:val="none" w:sz="0" w:space="0" w:color="auto"/>
      </w:divBdr>
    </w:div>
    <w:div w:id="1369451150">
      <w:bodyDiv w:val="1"/>
      <w:marLeft w:val="0"/>
      <w:marRight w:val="0"/>
      <w:marTop w:val="0"/>
      <w:marBottom w:val="0"/>
      <w:divBdr>
        <w:top w:val="none" w:sz="0" w:space="0" w:color="auto"/>
        <w:left w:val="none" w:sz="0" w:space="0" w:color="auto"/>
        <w:bottom w:val="none" w:sz="0" w:space="0" w:color="auto"/>
        <w:right w:val="none" w:sz="0" w:space="0" w:color="auto"/>
      </w:divBdr>
    </w:div>
    <w:div w:id="1369572235">
      <w:bodyDiv w:val="1"/>
      <w:marLeft w:val="0"/>
      <w:marRight w:val="0"/>
      <w:marTop w:val="0"/>
      <w:marBottom w:val="0"/>
      <w:divBdr>
        <w:top w:val="none" w:sz="0" w:space="0" w:color="auto"/>
        <w:left w:val="none" w:sz="0" w:space="0" w:color="auto"/>
        <w:bottom w:val="none" w:sz="0" w:space="0" w:color="auto"/>
        <w:right w:val="none" w:sz="0" w:space="0" w:color="auto"/>
      </w:divBdr>
      <w:divsChild>
        <w:div w:id="11807881">
          <w:marLeft w:val="0"/>
          <w:marRight w:val="0"/>
          <w:marTop w:val="0"/>
          <w:marBottom w:val="0"/>
          <w:divBdr>
            <w:top w:val="none" w:sz="0" w:space="0" w:color="auto"/>
            <w:left w:val="none" w:sz="0" w:space="0" w:color="auto"/>
            <w:bottom w:val="none" w:sz="0" w:space="0" w:color="auto"/>
            <w:right w:val="none" w:sz="0" w:space="0" w:color="auto"/>
          </w:divBdr>
        </w:div>
        <w:div w:id="23755996">
          <w:marLeft w:val="0"/>
          <w:marRight w:val="0"/>
          <w:marTop w:val="0"/>
          <w:marBottom w:val="0"/>
          <w:divBdr>
            <w:top w:val="none" w:sz="0" w:space="0" w:color="auto"/>
            <w:left w:val="none" w:sz="0" w:space="0" w:color="auto"/>
            <w:bottom w:val="none" w:sz="0" w:space="0" w:color="auto"/>
            <w:right w:val="none" w:sz="0" w:space="0" w:color="auto"/>
          </w:divBdr>
        </w:div>
        <w:div w:id="24065028">
          <w:marLeft w:val="0"/>
          <w:marRight w:val="0"/>
          <w:marTop w:val="0"/>
          <w:marBottom w:val="0"/>
          <w:divBdr>
            <w:top w:val="none" w:sz="0" w:space="0" w:color="auto"/>
            <w:left w:val="none" w:sz="0" w:space="0" w:color="auto"/>
            <w:bottom w:val="none" w:sz="0" w:space="0" w:color="auto"/>
            <w:right w:val="none" w:sz="0" w:space="0" w:color="auto"/>
          </w:divBdr>
        </w:div>
        <w:div w:id="91515811">
          <w:marLeft w:val="0"/>
          <w:marRight w:val="0"/>
          <w:marTop w:val="0"/>
          <w:marBottom w:val="0"/>
          <w:divBdr>
            <w:top w:val="none" w:sz="0" w:space="0" w:color="auto"/>
            <w:left w:val="none" w:sz="0" w:space="0" w:color="auto"/>
            <w:bottom w:val="none" w:sz="0" w:space="0" w:color="auto"/>
            <w:right w:val="none" w:sz="0" w:space="0" w:color="auto"/>
          </w:divBdr>
        </w:div>
        <w:div w:id="108202716">
          <w:marLeft w:val="0"/>
          <w:marRight w:val="0"/>
          <w:marTop w:val="0"/>
          <w:marBottom w:val="0"/>
          <w:divBdr>
            <w:top w:val="none" w:sz="0" w:space="0" w:color="auto"/>
            <w:left w:val="none" w:sz="0" w:space="0" w:color="auto"/>
            <w:bottom w:val="none" w:sz="0" w:space="0" w:color="auto"/>
            <w:right w:val="none" w:sz="0" w:space="0" w:color="auto"/>
          </w:divBdr>
        </w:div>
        <w:div w:id="147137119">
          <w:marLeft w:val="0"/>
          <w:marRight w:val="0"/>
          <w:marTop w:val="0"/>
          <w:marBottom w:val="0"/>
          <w:divBdr>
            <w:top w:val="none" w:sz="0" w:space="0" w:color="auto"/>
            <w:left w:val="none" w:sz="0" w:space="0" w:color="auto"/>
            <w:bottom w:val="none" w:sz="0" w:space="0" w:color="auto"/>
            <w:right w:val="none" w:sz="0" w:space="0" w:color="auto"/>
          </w:divBdr>
        </w:div>
        <w:div w:id="147718886">
          <w:marLeft w:val="0"/>
          <w:marRight w:val="0"/>
          <w:marTop w:val="0"/>
          <w:marBottom w:val="0"/>
          <w:divBdr>
            <w:top w:val="none" w:sz="0" w:space="0" w:color="auto"/>
            <w:left w:val="none" w:sz="0" w:space="0" w:color="auto"/>
            <w:bottom w:val="none" w:sz="0" w:space="0" w:color="auto"/>
            <w:right w:val="none" w:sz="0" w:space="0" w:color="auto"/>
          </w:divBdr>
        </w:div>
        <w:div w:id="197207626">
          <w:marLeft w:val="0"/>
          <w:marRight w:val="0"/>
          <w:marTop w:val="0"/>
          <w:marBottom w:val="0"/>
          <w:divBdr>
            <w:top w:val="none" w:sz="0" w:space="0" w:color="auto"/>
            <w:left w:val="none" w:sz="0" w:space="0" w:color="auto"/>
            <w:bottom w:val="none" w:sz="0" w:space="0" w:color="auto"/>
            <w:right w:val="none" w:sz="0" w:space="0" w:color="auto"/>
          </w:divBdr>
        </w:div>
        <w:div w:id="217130004">
          <w:marLeft w:val="0"/>
          <w:marRight w:val="0"/>
          <w:marTop w:val="0"/>
          <w:marBottom w:val="0"/>
          <w:divBdr>
            <w:top w:val="none" w:sz="0" w:space="0" w:color="auto"/>
            <w:left w:val="none" w:sz="0" w:space="0" w:color="auto"/>
            <w:bottom w:val="none" w:sz="0" w:space="0" w:color="auto"/>
            <w:right w:val="none" w:sz="0" w:space="0" w:color="auto"/>
          </w:divBdr>
        </w:div>
        <w:div w:id="320618317">
          <w:marLeft w:val="0"/>
          <w:marRight w:val="0"/>
          <w:marTop w:val="0"/>
          <w:marBottom w:val="0"/>
          <w:divBdr>
            <w:top w:val="none" w:sz="0" w:space="0" w:color="auto"/>
            <w:left w:val="none" w:sz="0" w:space="0" w:color="auto"/>
            <w:bottom w:val="none" w:sz="0" w:space="0" w:color="auto"/>
            <w:right w:val="none" w:sz="0" w:space="0" w:color="auto"/>
          </w:divBdr>
        </w:div>
        <w:div w:id="323096890">
          <w:marLeft w:val="0"/>
          <w:marRight w:val="0"/>
          <w:marTop w:val="0"/>
          <w:marBottom w:val="0"/>
          <w:divBdr>
            <w:top w:val="none" w:sz="0" w:space="0" w:color="auto"/>
            <w:left w:val="none" w:sz="0" w:space="0" w:color="auto"/>
            <w:bottom w:val="none" w:sz="0" w:space="0" w:color="auto"/>
            <w:right w:val="none" w:sz="0" w:space="0" w:color="auto"/>
          </w:divBdr>
        </w:div>
        <w:div w:id="350841613">
          <w:marLeft w:val="0"/>
          <w:marRight w:val="0"/>
          <w:marTop w:val="0"/>
          <w:marBottom w:val="0"/>
          <w:divBdr>
            <w:top w:val="none" w:sz="0" w:space="0" w:color="auto"/>
            <w:left w:val="none" w:sz="0" w:space="0" w:color="auto"/>
            <w:bottom w:val="none" w:sz="0" w:space="0" w:color="auto"/>
            <w:right w:val="none" w:sz="0" w:space="0" w:color="auto"/>
          </w:divBdr>
        </w:div>
        <w:div w:id="371807111">
          <w:marLeft w:val="0"/>
          <w:marRight w:val="0"/>
          <w:marTop w:val="0"/>
          <w:marBottom w:val="0"/>
          <w:divBdr>
            <w:top w:val="none" w:sz="0" w:space="0" w:color="auto"/>
            <w:left w:val="none" w:sz="0" w:space="0" w:color="auto"/>
            <w:bottom w:val="none" w:sz="0" w:space="0" w:color="auto"/>
            <w:right w:val="none" w:sz="0" w:space="0" w:color="auto"/>
          </w:divBdr>
        </w:div>
        <w:div w:id="387655930">
          <w:marLeft w:val="0"/>
          <w:marRight w:val="0"/>
          <w:marTop w:val="0"/>
          <w:marBottom w:val="0"/>
          <w:divBdr>
            <w:top w:val="none" w:sz="0" w:space="0" w:color="auto"/>
            <w:left w:val="none" w:sz="0" w:space="0" w:color="auto"/>
            <w:bottom w:val="none" w:sz="0" w:space="0" w:color="auto"/>
            <w:right w:val="none" w:sz="0" w:space="0" w:color="auto"/>
          </w:divBdr>
        </w:div>
        <w:div w:id="484979769">
          <w:marLeft w:val="0"/>
          <w:marRight w:val="0"/>
          <w:marTop w:val="0"/>
          <w:marBottom w:val="0"/>
          <w:divBdr>
            <w:top w:val="none" w:sz="0" w:space="0" w:color="auto"/>
            <w:left w:val="none" w:sz="0" w:space="0" w:color="auto"/>
            <w:bottom w:val="none" w:sz="0" w:space="0" w:color="auto"/>
            <w:right w:val="none" w:sz="0" w:space="0" w:color="auto"/>
          </w:divBdr>
        </w:div>
        <w:div w:id="509370764">
          <w:marLeft w:val="0"/>
          <w:marRight w:val="0"/>
          <w:marTop w:val="0"/>
          <w:marBottom w:val="0"/>
          <w:divBdr>
            <w:top w:val="none" w:sz="0" w:space="0" w:color="auto"/>
            <w:left w:val="none" w:sz="0" w:space="0" w:color="auto"/>
            <w:bottom w:val="none" w:sz="0" w:space="0" w:color="auto"/>
            <w:right w:val="none" w:sz="0" w:space="0" w:color="auto"/>
          </w:divBdr>
        </w:div>
        <w:div w:id="516235015">
          <w:marLeft w:val="0"/>
          <w:marRight w:val="0"/>
          <w:marTop w:val="0"/>
          <w:marBottom w:val="0"/>
          <w:divBdr>
            <w:top w:val="none" w:sz="0" w:space="0" w:color="auto"/>
            <w:left w:val="none" w:sz="0" w:space="0" w:color="auto"/>
            <w:bottom w:val="none" w:sz="0" w:space="0" w:color="auto"/>
            <w:right w:val="none" w:sz="0" w:space="0" w:color="auto"/>
          </w:divBdr>
        </w:div>
        <w:div w:id="578950113">
          <w:marLeft w:val="0"/>
          <w:marRight w:val="0"/>
          <w:marTop w:val="0"/>
          <w:marBottom w:val="0"/>
          <w:divBdr>
            <w:top w:val="none" w:sz="0" w:space="0" w:color="auto"/>
            <w:left w:val="none" w:sz="0" w:space="0" w:color="auto"/>
            <w:bottom w:val="none" w:sz="0" w:space="0" w:color="auto"/>
            <w:right w:val="none" w:sz="0" w:space="0" w:color="auto"/>
          </w:divBdr>
        </w:div>
        <w:div w:id="605041605">
          <w:marLeft w:val="0"/>
          <w:marRight w:val="0"/>
          <w:marTop w:val="0"/>
          <w:marBottom w:val="0"/>
          <w:divBdr>
            <w:top w:val="none" w:sz="0" w:space="0" w:color="auto"/>
            <w:left w:val="none" w:sz="0" w:space="0" w:color="auto"/>
            <w:bottom w:val="none" w:sz="0" w:space="0" w:color="auto"/>
            <w:right w:val="none" w:sz="0" w:space="0" w:color="auto"/>
          </w:divBdr>
        </w:div>
        <w:div w:id="625936503">
          <w:marLeft w:val="0"/>
          <w:marRight w:val="0"/>
          <w:marTop w:val="0"/>
          <w:marBottom w:val="0"/>
          <w:divBdr>
            <w:top w:val="none" w:sz="0" w:space="0" w:color="auto"/>
            <w:left w:val="none" w:sz="0" w:space="0" w:color="auto"/>
            <w:bottom w:val="none" w:sz="0" w:space="0" w:color="auto"/>
            <w:right w:val="none" w:sz="0" w:space="0" w:color="auto"/>
          </w:divBdr>
        </w:div>
        <w:div w:id="626931313">
          <w:marLeft w:val="0"/>
          <w:marRight w:val="0"/>
          <w:marTop w:val="0"/>
          <w:marBottom w:val="0"/>
          <w:divBdr>
            <w:top w:val="none" w:sz="0" w:space="0" w:color="auto"/>
            <w:left w:val="none" w:sz="0" w:space="0" w:color="auto"/>
            <w:bottom w:val="none" w:sz="0" w:space="0" w:color="auto"/>
            <w:right w:val="none" w:sz="0" w:space="0" w:color="auto"/>
          </w:divBdr>
        </w:div>
        <w:div w:id="628586067">
          <w:marLeft w:val="0"/>
          <w:marRight w:val="0"/>
          <w:marTop w:val="0"/>
          <w:marBottom w:val="0"/>
          <w:divBdr>
            <w:top w:val="none" w:sz="0" w:space="0" w:color="auto"/>
            <w:left w:val="none" w:sz="0" w:space="0" w:color="auto"/>
            <w:bottom w:val="none" w:sz="0" w:space="0" w:color="auto"/>
            <w:right w:val="none" w:sz="0" w:space="0" w:color="auto"/>
          </w:divBdr>
        </w:div>
        <w:div w:id="633995488">
          <w:marLeft w:val="0"/>
          <w:marRight w:val="0"/>
          <w:marTop w:val="0"/>
          <w:marBottom w:val="0"/>
          <w:divBdr>
            <w:top w:val="none" w:sz="0" w:space="0" w:color="auto"/>
            <w:left w:val="none" w:sz="0" w:space="0" w:color="auto"/>
            <w:bottom w:val="none" w:sz="0" w:space="0" w:color="auto"/>
            <w:right w:val="none" w:sz="0" w:space="0" w:color="auto"/>
          </w:divBdr>
        </w:div>
        <w:div w:id="654647004">
          <w:marLeft w:val="0"/>
          <w:marRight w:val="0"/>
          <w:marTop w:val="0"/>
          <w:marBottom w:val="0"/>
          <w:divBdr>
            <w:top w:val="none" w:sz="0" w:space="0" w:color="auto"/>
            <w:left w:val="none" w:sz="0" w:space="0" w:color="auto"/>
            <w:bottom w:val="none" w:sz="0" w:space="0" w:color="auto"/>
            <w:right w:val="none" w:sz="0" w:space="0" w:color="auto"/>
          </w:divBdr>
        </w:div>
        <w:div w:id="654917602">
          <w:marLeft w:val="0"/>
          <w:marRight w:val="0"/>
          <w:marTop w:val="0"/>
          <w:marBottom w:val="0"/>
          <w:divBdr>
            <w:top w:val="none" w:sz="0" w:space="0" w:color="auto"/>
            <w:left w:val="none" w:sz="0" w:space="0" w:color="auto"/>
            <w:bottom w:val="none" w:sz="0" w:space="0" w:color="auto"/>
            <w:right w:val="none" w:sz="0" w:space="0" w:color="auto"/>
          </w:divBdr>
        </w:div>
        <w:div w:id="715743035">
          <w:marLeft w:val="0"/>
          <w:marRight w:val="0"/>
          <w:marTop w:val="0"/>
          <w:marBottom w:val="0"/>
          <w:divBdr>
            <w:top w:val="none" w:sz="0" w:space="0" w:color="auto"/>
            <w:left w:val="none" w:sz="0" w:space="0" w:color="auto"/>
            <w:bottom w:val="none" w:sz="0" w:space="0" w:color="auto"/>
            <w:right w:val="none" w:sz="0" w:space="0" w:color="auto"/>
          </w:divBdr>
        </w:div>
        <w:div w:id="717434325">
          <w:marLeft w:val="0"/>
          <w:marRight w:val="0"/>
          <w:marTop w:val="0"/>
          <w:marBottom w:val="0"/>
          <w:divBdr>
            <w:top w:val="none" w:sz="0" w:space="0" w:color="auto"/>
            <w:left w:val="none" w:sz="0" w:space="0" w:color="auto"/>
            <w:bottom w:val="none" w:sz="0" w:space="0" w:color="auto"/>
            <w:right w:val="none" w:sz="0" w:space="0" w:color="auto"/>
          </w:divBdr>
        </w:div>
        <w:div w:id="717584447">
          <w:marLeft w:val="0"/>
          <w:marRight w:val="0"/>
          <w:marTop w:val="0"/>
          <w:marBottom w:val="0"/>
          <w:divBdr>
            <w:top w:val="none" w:sz="0" w:space="0" w:color="auto"/>
            <w:left w:val="none" w:sz="0" w:space="0" w:color="auto"/>
            <w:bottom w:val="none" w:sz="0" w:space="0" w:color="auto"/>
            <w:right w:val="none" w:sz="0" w:space="0" w:color="auto"/>
          </w:divBdr>
        </w:div>
        <w:div w:id="725298779">
          <w:marLeft w:val="0"/>
          <w:marRight w:val="0"/>
          <w:marTop w:val="0"/>
          <w:marBottom w:val="0"/>
          <w:divBdr>
            <w:top w:val="none" w:sz="0" w:space="0" w:color="auto"/>
            <w:left w:val="none" w:sz="0" w:space="0" w:color="auto"/>
            <w:bottom w:val="none" w:sz="0" w:space="0" w:color="auto"/>
            <w:right w:val="none" w:sz="0" w:space="0" w:color="auto"/>
          </w:divBdr>
        </w:div>
        <w:div w:id="733545775">
          <w:marLeft w:val="0"/>
          <w:marRight w:val="0"/>
          <w:marTop w:val="0"/>
          <w:marBottom w:val="0"/>
          <w:divBdr>
            <w:top w:val="none" w:sz="0" w:space="0" w:color="auto"/>
            <w:left w:val="none" w:sz="0" w:space="0" w:color="auto"/>
            <w:bottom w:val="none" w:sz="0" w:space="0" w:color="auto"/>
            <w:right w:val="none" w:sz="0" w:space="0" w:color="auto"/>
          </w:divBdr>
        </w:div>
        <w:div w:id="779226389">
          <w:marLeft w:val="0"/>
          <w:marRight w:val="0"/>
          <w:marTop w:val="0"/>
          <w:marBottom w:val="0"/>
          <w:divBdr>
            <w:top w:val="none" w:sz="0" w:space="0" w:color="auto"/>
            <w:left w:val="none" w:sz="0" w:space="0" w:color="auto"/>
            <w:bottom w:val="none" w:sz="0" w:space="0" w:color="auto"/>
            <w:right w:val="none" w:sz="0" w:space="0" w:color="auto"/>
          </w:divBdr>
        </w:div>
        <w:div w:id="789936071">
          <w:marLeft w:val="0"/>
          <w:marRight w:val="0"/>
          <w:marTop w:val="0"/>
          <w:marBottom w:val="0"/>
          <w:divBdr>
            <w:top w:val="none" w:sz="0" w:space="0" w:color="auto"/>
            <w:left w:val="none" w:sz="0" w:space="0" w:color="auto"/>
            <w:bottom w:val="none" w:sz="0" w:space="0" w:color="auto"/>
            <w:right w:val="none" w:sz="0" w:space="0" w:color="auto"/>
          </w:divBdr>
        </w:div>
        <w:div w:id="799808725">
          <w:marLeft w:val="0"/>
          <w:marRight w:val="0"/>
          <w:marTop w:val="0"/>
          <w:marBottom w:val="0"/>
          <w:divBdr>
            <w:top w:val="none" w:sz="0" w:space="0" w:color="auto"/>
            <w:left w:val="none" w:sz="0" w:space="0" w:color="auto"/>
            <w:bottom w:val="none" w:sz="0" w:space="0" w:color="auto"/>
            <w:right w:val="none" w:sz="0" w:space="0" w:color="auto"/>
          </w:divBdr>
        </w:div>
        <w:div w:id="803545548">
          <w:marLeft w:val="0"/>
          <w:marRight w:val="0"/>
          <w:marTop w:val="0"/>
          <w:marBottom w:val="0"/>
          <w:divBdr>
            <w:top w:val="none" w:sz="0" w:space="0" w:color="auto"/>
            <w:left w:val="none" w:sz="0" w:space="0" w:color="auto"/>
            <w:bottom w:val="none" w:sz="0" w:space="0" w:color="auto"/>
            <w:right w:val="none" w:sz="0" w:space="0" w:color="auto"/>
          </w:divBdr>
        </w:div>
        <w:div w:id="870728471">
          <w:marLeft w:val="0"/>
          <w:marRight w:val="0"/>
          <w:marTop w:val="0"/>
          <w:marBottom w:val="0"/>
          <w:divBdr>
            <w:top w:val="none" w:sz="0" w:space="0" w:color="auto"/>
            <w:left w:val="none" w:sz="0" w:space="0" w:color="auto"/>
            <w:bottom w:val="none" w:sz="0" w:space="0" w:color="auto"/>
            <w:right w:val="none" w:sz="0" w:space="0" w:color="auto"/>
          </w:divBdr>
        </w:div>
        <w:div w:id="873349657">
          <w:marLeft w:val="0"/>
          <w:marRight w:val="0"/>
          <w:marTop w:val="0"/>
          <w:marBottom w:val="0"/>
          <w:divBdr>
            <w:top w:val="none" w:sz="0" w:space="0" w:color="auto"/>
            <w:left w:val="none" w:sz="0" w:space="0" w:color="auto"/>
            <w:bottom w:val="none" w:sz="0" w:space="0" w:color="auto"/>
            <w:right w:val="none" w:sz="0" w:space="0" w:color="auto"/>
          </w:divBdr>
        </w:div>
        <w:div w:id="926037059">
          <w:marLeft w:val="0"/>
          <w:marRight w:val="0"/>
          <w:marTop w:val="0"/>
          <w:marBottom w:val="0"/>
          <w:divBdr>
            <w:top w:val="none" w:sz="0" w:space="0" w:color="auto"/>
            <w:left w:val="none" w:sz="0" w:space="0" w:color="auto"/>
            <w:bottom w:val="none" w:sz="0" w:space="0" w:color="auto"/>
            <w:right w:val="none" w:sz="0" w:space="0" w:color="auto"/>
          </w:divBdr>
        </w:div>
        <w:div w:id="943728152">
          <w:marLeft w:val="0"/>
          <w:marRight w:val="0"/>
          <w:marTop w:val="0"/>
          <w:marBottom w:val="0"/>
          <w:divBdr>
            <w:top w:val="none" w:sz="0" w:space="0" w:color="auto"/>
            <w:left w:val="none" w:sz="0" w:space="0" w:color="auto"/>
            <w:bottom w:val="none" w:sz="0" w:space="0" w:color="auto"/>
            <w:right w:val="none" w:sz="0" w:space="0" w:color="auto"/>
          </w:divBdr>
        </w:div>
        <w:div w:id="951938612">
          <w:marLeft w:val="0"/>
          <w:marRight w:val="0"/>
          <w:marTop w:val="0"/>
          <w:marBottom w:val="0"/>
          <w:divBdr>
            <w:top w:val="none" w:sz="0" w:space="0" w:color="auto"/>
            <w:left w:val="none" w:sz="0" w:space="0" w:color="auto"/>
            <w:bottom w:val="none" w:sz="0" w:space="0" w:color="auto"/>
            <w:right w:val="none" w:sz="0" w:space="0" w:color="auto"/>
          </w:divBdr>
        </w:div>
        <w:div w:id="1058895214">
          <w:marLeft w:val="0"/>
          <w:marRight w:val="0"/>
          <w:marTop w:val="0"/>
          <w:marBottom w:val="0"/>
          <w:divBdr>
            <w:top w:val="none" w:sz="0" w:space="0" w:color="auto"/>
            <w:left w:val="none" w:sz="0" w:space="0" w:color="auto"/>
            <w:bottom w:val="none" w:sz="0" w:space="0" w:color="auto"/>
            <w:right w:val="none" w:sz="0" w:space="0" w:color="auto"/>
          </w:divBdr>
        </w:div>
        <w:div w:id="1112867125">
          <w:marLeft w:val="0"/>
          <w:marRight w:val="0"/>
          <w:marTop w:val="0"/>
          <w:marBottom w:val="0"/>
          <w:divBdr>
            <w:top w:val="none" w:sz="0" w:space="0" w:color="auto"/>
            <w:left w:val="none" w:sz="0" w:space="0" w:color="auto"/>
            <w:bottom w:val="none" w:sz="0" w:space="0" w:color="auto"/>
            <w:right w:val="none" w:sz="0" w:space="0" w:color="auto"/>
          </w:divBdr>
        </w:div>
        <w:div w:id="1317302563">
          <w:marLeft w:val="0"/>
          <w:marRight w:val="0"/>
          <w:marTop w:val="0"/>
          <w:marBottom w:val="0"/>
          <w:divBdr>
            <w:top w:val="none" w:sz="0" w:space="0" w:color="auto"/>
            <w:left w:val="none" w:sz="0" w:space="0" w:color="auto"/>
            <w:bottom w:val="none" w:sz="0" w:space="0" w:color="auto"/>
            <w:right w:val="none" w:sz="0" w:space="0" w:color="auto"/>
          </w:divBdr>
        </w:div>
        <w:div w:id="1335570195">
          <w:marLeft w:val="0"/>
          <w:marRight w:val="0"/>
          <w:marTop w:val="0"/>
          <w:marBottom w:val="0"/>
          <w:divBdr>
            <w:top w:val="none" w:sz="0" w:space="0" w:color="auto"/>
            <w:left w:val="none" w:sz="0" w:space="0" w:color="auto"/>
            <w:bottom w:val="none" w:sz="0" w:space="0" w:color="auto"/>
            <w:right w:val="none" w:sz="0" w:space="0" w:color="auto"/>
          </w:divBdr>
        </w:div>
        <w:div w:id="1336222232">
          <w:marLeft w:val="0"/>
          <w:marRight w:val="0"/>
          <w:marTop w:val="0"/>
          <w:marBottom w:val="0"/>
          <w:divBdr>
            <w:top w:val="none" w:sz="0" w:space="0" w:color="auto"/>
            <w:left w:val="none" w:sz="0" w:space="0" w:color="auto"/>
            <w:bottom w:val="none" w:sz="0" w:space="0" w:color="auto"/>
            <w:right w:val="none" w:sz="0" w:space="0" w:color="auto"/>
          </w:divBdr>
        </w:div>
        <w:div w:id="1392776654">
          <w:marLeft w:val="0"/>
          <w:marRight w:val="0"/>
          <w:marTop w:val="0"/>
          <w:marBottom w:val="0"/>
          <w:divBdr>
            <w:top w:val="none" w:sz="0" w:space="0" w:color="auto"/>
            <w:left w:val="none" w:sz="0" w:space="0" w:color="auto"/>
            <w:bottom w:val="none" w:sz="0" w:space="0" w:color="auto"/>
            <w:right w:val="none" w:sz="0" w:space="0" w:color="auto"/>
          </w:divBdr>
        </w:div>
        <w:div w:id="1429617436">
          <w:marLeft w:val="0"/>
          <w:marRight w:val="0"/>
          <w:marTop w:val="0"/>
          <w:marBottom w:val="0"/>
          <w:divBdr>
            <w:top w:val="none" w:sz="0" w:space="0" w:color="auto"/>
            <w:left w:val="none" w:sz="0" w:space="0" w:color="auto"/>
            <w:bottom w:val="none" w:sz="0" w:space="0" w:color="auto"/>
            <w:right w:val="none" w:sz="0" w:space="0" w:color="auto"/>
          </w:divBdr>
        </w:div>
        <w:div w:id="1434940800">
          <w:marLeft w:val="0"/>
          <w:marRight w:val="0"/>
          <w:marTop w:val="0"/>
          <w:marBottom w:val="0"/>
          <w:divBdr>
            <w:top w:val="none" w:sz="0" w:space="0" w:color="auto"/>
            <w:left w:val="none" w:sz="0" w:space="0" w:color="auto"/>
            <w:bottom w:val="none" w:sz="0" w:space="0" w:color="auto"/>
            <w:right w:val="none" w:sz="0" w:space="0" w:color="auto"/>
          </w:divBdr>
        </w:div>
        <w:div w:id="1436025480">
          <w:marLeft w:val="0"/>
          <w:marRight w:val="0"/>
          <w:marTop w:val="0"/>
          <w:marBottom w:val="0"/>
          <w:divBdr>
            <w:top w:val="none" w:sz="0" w:space="0" w:color="auto"/>
            <w:left w:val="none" w:sz="0" w:space="0" w:color="auto"/>
            <w:bottom w:val="none" w:sz="0" w:space="0" w:color="auto"/>
            <w:right w:val="none" w:sz="0" w:space="0" w:color="auto"/>
          </w:divBdr>
        </w:div>
        <w:div w:id="1480462377">
          <w:marLeft w:val="0"/>
          <w:marRight w:val="0"/>
          <w:marTop w:val="0"/>
          <w:marBottom w:val="0"/>
          <w:divBdr>
            <w:top w:val="none" w:sz="0" w:space="0" w:color="auto"/>
            <w:left w:val="none" w:sz="0" w:space="0" w:color="auto"/>
            <w:bottom w:val="none" w:sz="0" w:space="0" w:color="auto"/>
            <w:right w:val="none" w:sz="0" w:space="0" w:color="auto"/>
          </w:divBdr>
        </w:div>
        <w:div w:id="1532259456">
          <w:marLeft w:val="0"/>
          <w:marRight w:val="0"/>
          <w:marTop w:val="0"/>
          <w:marBottom w:val="0"/>
          <w:divBdr>
            <w:top w:val="none" w:sz="0" w:space="0" w:color="auto"/>
            <w:left w:val="none" w:sz="0" w:space="0" w:color="auto"/>
            <w:bottom w:val="none" w:sz="0" w:space="0" w:color="auto"/>
            <w:right w:val="none" w:sz="0" w:space="0" w:color="auto"/>
          </w:divBdr>
        </w:div>
        <w:div w:id="1615212324">
          <w:marLeft w:val="0"/>
          <w:marRight w:val="0"/>
          <w:marTop w:val="0"/>
          <w:marBottom w:val="0"/>
          <w:divBdr>
            <w:top w:val="none" w:sz="0" w:space="0" w:color="auto"/>
            <w:left w:val="none" w:sz="0" w:space="0" w:color="auto"/>
            <w:bottom w:val="none" w:sz="0" w:space="0" w:color="auto"/>
            <w:right w:val="none" w:sz="0" w:space="0" w:color="auto"/>
          </w:divBdr>
        </w:div>
        <w:div w:id="1738285341">
          <w:marLeft w:val="0"/>
          <w:marRight w:val="0"/>
          <w:marTop w:val="0"/>
          <w:marBottom w:val="0"/>
          <w:divBdr>
            <w:top w:val="none" w:sz="0" w:space="0" w:color="auto"/>
            <w:left w:val="none" w:sz="0" w:space="0" w:color="auto"/>
            <w:bottom w:val="none" w:sz="0" w:space="0" w:color="auto"/>
            <w:right w:val="none" w:sz="0" w:space="0" w:color="auto"/>
          </w:divBdr>
        </w:div>
        <w:div w:id="1741709600">
          <w:marLeft w:val="0"/>
          <w:marRight w:val="0"/>
          <w:marTop w:val="0"/>
          <w:marBottom w:val="0"/>
          <w:divBdr>
            <w:top w:val="none" w:sz="0" w:space="0" w:color="auto"/>
            <w:left w:val="none" w:sz="0" w:space="0" w:color="auto"/>
            <w:bottom w:val="none" w:sz="0" w:space="0" w:color="auto"/>
            <w:right w:val="none" w:sz="0" w:space="0" w:color="auto"/>
          </w:divBdr>
        </w:div>
        <w:div w:id="1742556877">
          <w:marLeft w:val="0"/>
          <w:marRight w:val="0"/>
          <w:marTop w:val="0"/>
          <w:marBottom w:val="0"/>
          <w:divBdr>
            <w:top w:val="none" w:sz="0" w:space="0" w:color="auto"/>
            <w:left w:val="none" w:sz="0" w:space="0" w:color="auto"/>
            <w:bottom w:val="none" w:sz="0" w:space="0" w:color="auto"/>
            <w:right w:val="none" w:sz="0" w:space="0" w:color="auto"/>
          </w:divBdr>
        </w:div>
        <w:div w:id="1744722090">
          <w:marLeft w:val="0"/>
          <w:marRight w:val="0"/>
          <w:marTop w:val="0"/>
          <w:marBottom w:val="0"/>
          <w:divBdr>
            <w:top w:val="none" w:sz="0" w:space="0" w:color="auto"/>
            <w:left w:val="none" w:sz="0" w:space="0" w:color="auto"/>
            <w:bottom w:val="none" w:sz="0" w:space="0" w:color="auto"/>
            <w:right w:val="none" w:sz="0" w:space="0" w:color="auto"/>
          </w:divBdr>
        </w:div>
        <w:div w:id="1771312761">
          <w:marLeft w:val="0"/>
          <w:marRight w:val="0"/>
          <w:marTop w:val="0"/>
          <w:marBottom w:val="0"/>
          <w:divBdr>
            <w:top w:val="none" w:sz="0" w:space="0" w:color="auto"/>
            <w:left w:val="none" w:sz="0" w:space="0" w:color="auto"/>
            <w:bottom w:val="none" w:sz="0" w:space="0" w:color="auto"/>
            <w:right w:val="none" w:sz="0" w:space="0" w:color="auto"/>
          </w:divBdr>
        </w:div>
        <w:div w:id="1798990746">
          <w:marLeft w:val="0"/>
          <w:marRight w:val="0"/>
          <w:marTop w:val="0"/>
          <w:marBottom w:val="0"/>
          <w:divBdr>
            <w:top w:val="none" w:sz="0" w:space="0" w:color="auto"/>
            <w:left w:val="none" w:sz="0" w:space="0" w:color="auto"/>
            <w:bottom w:val="none" w:sz="0" w:space="0" w:color="auto"/>
            <w:right w:val="none" w:sz="0" w:space="0" w:color="auto"/>
          </w:divBdr>
        </w:div>
        <w:div w:id="1832989224">
          <w:marLeft w:val="0"/>
          <w:marRight w:val="0"/>
          <w:marTop w:val="0"/>
          <w:marBottom w:val="0"/>
          <w:divBdr>
            <w:top w:val="none" w:sz="0" w:space="0" w:color="auto"/>
            <w:left w:val="none" w:sz="0" w:space="0" w:color="auto"/>
            <w:bottom w:val="none" w:sz="0" w:space="0" w:color="auto"/>
            <w:right w:val="none" w:sz="0" w:space="0" w:color="auto"/>
          </w:divBdr>
        </w:div>
        <w:div w:id="1835149285">
          <w:marLeft w:val="0"/>
          <w:marRight w:val="0"/>
          <w:marTop w:val="0"/>
          <w:marBottom w:val="0"/>
          <w:divBdr>
            <w:top w:val="none" w:sz="0" w:space="0" w:color="auto"/>
            <w:left w:val="none" w:sz="0" w:space="0" w:color="auto"/>
            <w:bottom w:val="none" w:sz="0" w:space="0" w:color="auto"/>
            <w:right w:val="none" w:sz="0" w:space="0" w:color="auto"/>
          </w:divBdr>
        </w:div>
        <w:div w:id="1845395359">
          <w:marLeft w:val="0"/>
          <w:marRight w:val="0"/>
          <w:marTop w:val="0"/>
          <w:marBottom w:val="0"/>
          <w:divBdr>
            <w:top w:val="none" w:sz="0" w:space="0" w:color="auto"/>
            <w:left w:val="none" w:sz="0" w:space="0" w:color="auto"/>
            <w:bottom w:val="none" w:sz="0" w:space="0" w:color="auto"/>
            <w:right w:val="none" w:sz="0" w:space="0" w:color="auto"/>
          </w:divBdr>
        </w:div>
        <w:div w:id="1871600675">
          <w:marLeft w:val="0"/>
          <w:marRight w:val="0"/>
          <w:marTop w:val="0"/>
          <w:marBottom w:val="0"/>
          <w:divBdr>
            <w:top w:val="none" w:sz="0" w:space="0" w:color="auto"/>
            <w:left w:val="none" w:sz="0" w:space="0" w:color="auto"/>
            <w:bottom w:val="none" w:sz="0" w:space="0" w:color="auto"/>
            <w:right w:val="none" w:sz="0" w:space="0" w:color="auto"/>
          </w:divBdr>
        </w:div>
        <w:div w:id="2005425166">
          <w:marLeft w:val="0"/>
          <w:marRight w:val="0"/>
          <w:marTop w:val="0"/>
          <w:marBottom w:val="0"/>
          <w:divBdr>
            <w:top w:val="none" w:sz="0" w:space="0" w:color="auto"/>
            <w:left w:val="none" w:sz="0" w:space="0" w:color="auto"/>
            <w:bottom w:val="none" w:sz="0" w:space="0" w:color="auto"/>
            <w:right w:val="none" w:sz="0" w:space="0" w:color="auto"/>
          </w:divBdr>
        </w:div>
        <w:div w:id="2019699679">
          <w:marLeft w:val="0"/>
          <w:marRight w:val="0"/>
          <w:marTop w:val="0"/>
          <w:marBottom w:val="0"/>
          <w:divBdr>
            <w:top w:val="none" w:sz="0" w:space="0" w:color="auto"/>
            <w:left w:val="none" w:sz="0" w:space="0" w:color="auto"/>
            <w:bottom w:val="none" w:sz="0" w:space="0" w:color="auto"/>
            <w:right w:val="none" w:sz="0" w:space="0" w:color="auto"/>
          </w:divBdr>
        </w:div>
        <w:div w:id="2036954441">
          <w:marLeft w:val="0"/>
          <w:marRight w:val="0"/>
          <w:marTop w:val="0"/>
          <w:marBottom w:val="0"/>
          <w:divBdr>
            <w:top w:val="none" w:sz="0" w:space="0" w:color="auto"/>
            <w:left w:val="none" w:sz="0" w:space="0" w:color="auto"/>
            <w:bottom w:val="none" w:sz="0" w:space="0" w:color="auto"/>
            <w:right w:val="none" w:sz="0" w:space="0" w:color="auto"/>
          </w:divBdr>
        </w:div>
        <w:div w:id="2060322843">
          <w:marLeft w:val="0"/>
          <w:marRight w:val="0"/>
          <w:marTop w:val="0"/>
          <w:marBottom w:val="0"/>
          <w:divBdr>
            <w:top w:val="none" w:sz="0" w:space="0" w:color="auto"/>
            <w:left w:val="none" w:sz="0" w:space="0" w:color="auto"/>
            <w:bottom w:val="none" w:sz="0" w:space="0" w:color="auto"/>
            <w:right w:val="none" w:sz="0" w:space="0" w:color="auto"/>
          </w:divBdr>
        </w:div>
        <w:div w:id="2066491287">
          <w:marLeft w:val="0"/>
          <w:marRight w:val="0"/>
          <w:marTop w:val="0"/>
          <w:marBottom w:val="0"/>
          <w:divBdr>
            <w:top w:val="none" w:sz="0" w:space="0" w:color="auto"/>
            <w:left w:val="none" w:sz="0" w:space="0" w:color="auto"/>
            <w:bottom w:val="none" w:sz="0" w:space="0" w:color="auto"/>
            <w:right w:val="none" w:sz="0" w:space="0" w:color="auto"/>
          </w:divBdr>
        </w:div>
        <w:div w:id="2070839101">
          <w:marLeft w:val="0"/>
          <w:marRight w:val="0"/>
          <w:marTop w:val="0"/>
          <w:marBottom w:val="0"/>
          <w:divBdr>
            <w:top w:val="none" w:sz="0" w:space="0" w:color="auto"/>
            <w:left w:val="none" w:sz="0" w:space="0" w:color="auto"/>
            <w:bottom w:val="none" w:sz="0" w:space="0" w:color="auto"/>
            <w:right w:val="none" w:sz="0" w:space="0" w:color="auto"/>
          </w:divBdr>
        </w:div>
        <w:div w:id="2072730324">
          <w:marLeft w:val="0"/>
          <w:marRight w:val="0"/>
          <w:marTop w:val="0"/>
          <w:marBottom w:val="0"/>
          <w:divBdr>
            <w:top w:val="none" w:sz="0" w:space="0" w:color="auto"/>
            <w:left w:val="none" w:sz="0" w:space="0" w:color="auto"/>
            <w:bottom w:val="none" w:sz="0" w:space="0" w:color="auto"/>
            <w:right w:val="none" w:sz="0" w:space="0" w:color="auto"/>
          </w:divBdr>
        </w:div>
        <w:div w:id="2140026643">
          <w:marLeft w:val="0"/>
          <w:marRight w:val="0"/>
          <w:marTop w:val="0"/>
          <w:marBottom w:val="0"/>
          <w:divBdr>
            <w:top w:val="none" w:sz="0" w:space="0" w:color="auto"/>
            <w:left w:val="none" w:sz="0" w:space="0" w:color="auto"/>
            <w:bottom w:val="none" w:sz="0" w:space="0" w:color="auto"/>
            <w:right w:val="none" w:sz="0" w:space="0" w:color="auto"/>
          </w:divBdr>
        </w:div>
      </w:divsChild>
    </w:div>
    <w:div w:id="1384527161">
      <w:bodyDiv w:val="1"/>
      <w:marLeft w:val="0"/>
      <w:marRight w:val="0"/>
      <w:marTop w:val="0"/>
      <w:marBottom w:val="0"/>
      <w:divBdr>
        <w:top w:val="none" w:sz="0" w:space="0" w:color="auto"/>
        <w:left w:val="none" w:sz="0" w:space="0" w:color="auto"/>
        <w:bottom w:val="none" w:sz="0" w:space="0" w:color="auto"/>
        <w:right w:val="none" w:sz="0" w:space="0" w:color="auto"/>
      </w:divBdr>
    </w:div>
    <w:div w:id="1388725854">
      <w:bodyDiv w:val="1"/>
      <w:marLeft w:val="0"/>
      <w:marRight w:val="0"/>
      <w:marTop w:val="0"/>
      <w:marBottom w:val="0"/>
      <w:divBdr>
        <w:top w:val="none" w:sz="0" w:space="0" w:color="auto"/>
        <w:left w:val="none" w:sz="0" w:space="0" w:color="auto"/>
        <w:bottom w:val="none" w:sz="0" w:space="0" w:color="auto"/>
        <w:right w:val="none" w:sz="0" w:space="0" w:color="auto"/>
      </w:divBdr>
    </w:div>
    <w:div w:id="1401557988">
      <w:bodyDiv w:val="1"/>
      <w:marLeft w:val="0"/>
      <w:marRight w:val="0"/>
      <w:marTop w:val="0"/>
      <w:marBottom w:val="0"/>
      <w:divBdr>
        <w:top w:val="none" w:sz="0" w:space="0" w:color="auto"/>
        <w:left w:val="none" w:sz="0" w:space="0" w:color="auto"/>
        <w:bottom w:val="none" w:sz="0" w:space="0" w:color="auto"/>
        <w:right w:val="none" w:sz="0" w:space="0" w:color="auto"/>
      </w:divBdr>
    </w:div>
    <w:div w:id="1403136076">
      <w:bodyDiv w:val="1"/>
      <w:marLeft w:val="0"/>
      <w:marRight w:val="0"/>
      <w:marTop w:val="0"/>
      <w:marBottom w:val="0"/>
      <w:divBdr>
        <w:top w:val="none" w:sz="0" w:space="0" w:color="auto"/>
        <w:left w:val="none" w:sz="0" w:space="0" w:color="auto"/>
        <w:bottom w:val="none" w:sz="0" w:space="0" w:color="auto"/>
        <w:right w:val="none" w:sz="0" w:space="0" w:color="auto"/>
      </w:divBdr>
    </w:div>
    <w:div w:id="1421221463">
      <w:bodyDiv w:val="1"/>
      <w:marLeft w:val="0"/>
      <w:marRight w:val="0"/>
      <w:marTop w:val="0"/>
      <w:marBottom w:val="0"/>
      <w:divBdr>
        <w:top w:val="none" w:sz="0" w:space="0" w:color="auto"/>
        <w:left w:val="none" w:sz="0" w:space="0" w:color="auto"/>
        <w:bottom w:val="none" w:sz="0" w:space="0" w:color="auto"/>
        <w:right w:val="none" w:sz="0" w:space="0" w:color="auto"/>
      </w:divBdr>
    </w:div>
    <w:div w:id="1429503606">
      <w:bodyDiv w:val="1"/>
      <w:marLeft w:val="0"/>
      <w:marRight w:val="0"/>
      <w:marTop w:val="0"/>
      <w:marBottom w:val="0"/>
      <w:divBdr>
        <w:top w:val="none" w:sz="0" w:space="0" w:color="auto"/>
        <w:left w:val="none" w:sz="0" w:space="0" w:color="auto"/>
        <w:bottom w:val="none" w:sz="0" w:space="0" w:color="auto"/>
        <w:right w:val="none" w:sz="0" w:space="0" w:color="auto"/>
      </w:divBdr>
    </w:div>
    <w:div w:id="1447193833">
      <w:bodyDiv w:val="1"/>
      <w:marLeft w:val="0"/>
      <w:marRight w:val="0"/>
      <w:marTop w:val="0"/>
      <w:marBottom w:val="0"/>
      <w:divBdr>
        <w:top w:val="none" w:sz="0" w:space="0" w:color="auto"/>
        <w:left w:val="none" w:sz="0" w:space="0" w:color="auto"/>
        <w:bottom w:val="none" w:sz="0" w:space="0" w:color="auto"/>
        <w:right w:val="none" w:sz="0" w:space="0" w:color="auto"/>
      </w:divBdr>
    </w:div>
    <w:div w:id="1464542386">
      <w:bodyDiv w:val="1"/>
      <w:marLeft w:val="0"/>
      <w:marRight w:val="0"/>
      <w:marTop w:val="0"/>
      <w:marBottom w:val="0"/>
      <w:divBdr>
        <w:top w:val="none" w:sz="0" w:space="0" w:color="auto"/>
        <w:left w:val="none" w:sz="0" w:space="0" w:color="auto"/>
        <w:bottom w:val="none" w:sz="0" w:space="0" w:color="auto"/>
        <w:right w:val="none" w:sz="0" w:space="0" w:color="auto"/>
      </w:divBdr>
    </w:div>
    <w:div w:id="1496334895">
      <w:bodyDiv w:val="1"/>
      <w:marLeft w:val="0"/>
      <w:marRight w:val="0"/>
      <w:marTop w:val="0"/>
      <w:marBottom w:val="0"/>
      <w:divBdr>
        <w:top w:val="none" w:sz="0" w:space="0" w:color="auto"/>
        <w:left w:val="none" w:sz="0" w:space="0" w:color="auto"/>
        <w:bottom w:val="none" w:sz="0" w:space="0" w:color="auto"/>
        <w:right w:val="none" w:sz="0" w:space="0" w:color="auto"/>
      </w:divBdr>
      <w:divsChild>
        <w:div w:id="411775145">
          <w:marLeft w:val="0"/>
          <w:marRight w:val="0"/>
          <w:marTop w:val="0"/>
          <w:marBottom w:val="0"/>
          <w:divBdr>
            <w:top w:val="none" w:sz="0" w:space="0" w:color="auto"/>
            <w:left w:val="none" w:sz="0" w:space="0" w:color="auto"/>
            <w:bottom w:val="none" w:sz="0" w:space="0" w:color="auto"/>
            <w:right w:val="none" w:sz="0" w:space="0" w:color="auto"/>
          </w:divBdr>
        </w:div>
        <w:div w:id="428353265">
          <w:marLeft w:val="0"/>
          <w:marRight w:val="0"/>
          <w:marTop w:val="0"/>
          <w:marBottom w:val="0"/>
          <w:divBdr>
            <w:top w:val="none" w:sz="0" w:space="0" w:color="auto"/>
            <w:left w:val="none" w:sz="0" w:space="0" w:color="auto"/>
            <w:bottom w:val="none" w:sz="0" w:space="0" w:color="auto"/>
            <w:right w:val="none" w:sz="0" w:space="0" w:color="auto"/>
          </w:divBdr>
        </w:div>
        <w:div w:id="474223356">
          <w:marLeft w:val="0"/>
          <w:marRight w:val="0"/>
          <w:marTop w:val="0"/>
          <w:marBottom w:val="0"/>
          <w:divBdr>
            <w:top w:val="none" w:sz="0" w:space="0" w:color="auto"/>
            <w:left w:val="none" w:sz="0" w:space="0" w:color="auto"/>
            <w:bottom w:val="none" w:sz="0" w:space="0" w:color="auto"/>
            <w:right w:val="none" w:sz="0" w:space="0" w:color="auto"/>
          </w:divBdr>
        </w:div>
        <w:div w:id="1360203094">
          <w:marLeft w:val="0"/>
          <w:marRight w:val="0"/>
          <w:marTop w:val="0"/>
          <w:marBottom w:val="0"/>
          <w:divBdr>
            <w:top w:val="none" w:sz="0" w:space="0" w:color="auto"/>
            <w:left w:val="none" w:sz="0" w:space="0" w:color="auto"/>
            <w:bottom w:val="none" w:sz="0" w:space="0" w:color="auto"/>
            <w:right w:val="none" w:sz="0" w:space="0" w:color="auto"/>
          </w:divBdr>
        </w:div>
        <w:div w:id="1361586254">
          <w:marLeft w:val="0"/>
          <w:marRight w:val="0"/>
          <w:marTop w:val="0"/>
          <w:marBottom w:val="0"/>
          <w:divBdr>
            <w:top w:val="none" w:sz="0" w:space="0" w:color="auto"/>
            <w:left w:val="none" w:sz="0" w:space="0" w:color="auto"/>
            <w:bottom w:val="none" w:sz="0" w:space="0" w:color="auto"/>
            <w:right w:val="none" w:sz="0" w:space="0" w:color="auto"/>
          </w:divBdr>
        </w:div>
        <w:div w:id="1426995066">
          <w:marLeft w:val="0"/>
          <w:marRight w:val="0"/>
          <w:marTop w:val="0"/>
          <w:marBottom w:val="0"/>
          <w:divBdr>
            <w:top w:val="none" w:sz="0" w:space="0" w:color="auto"/>
            <w:left w:val="none" w:sz="0" w:space="0" w:color="auto"/>
            <w:bottom w:val="none" w:sz="0" w:space="0" w:color="auto"/>
            <w:right w:val="none" w:sz="0" w:space="0" w:color="auto"/>
          </w:divBdr>
        </w:div>
        <w:div w:id="1591889572">
          <w:marLeft w:val="0"/>
          <w:marRight w:val="0"/>
          <w:marTop w:val="0"/>
          <w:marBottom w:val="0"/>
          <w:divBdr>
            <w:top w:val="none" w:sz="0" w:space="0" w:color="auto"/>
            <w:left w:val="none" w:sz="0" w:space="0" w:color="auto"/>
            <w:bottom w:val="none" w:sz="0" w:space="0" w:color="auto"/>
            <w:right w:val="none" w:sz="0" w:space="0" w:color="auto"/>
          </w:divBdr>
        </w:div>
        <w:div w:id="1626959328">
          <w:marLeft w:val="0"/>
          <w:marRight w:val="0"/>
          <w:marTop w:val="0"/>
          <w:marBottom w:val="0"/>
          <w:divBdr>
            <w:top w:val="none" w:sz="0" w:space="0" w:color="auto"/>
            <w:left w:val="none" w:sz="0" w:space="0" w:color="auto"/>
            <w:bottom w:val="none" w:sz="0" w:space="0" w:color="auto"/>
            <w:right w:val="none" w:sz="0" w:space="0" w:color="auto"/>
          </w:divBdr>
        </w:div>
        <w:div w:id="1792482056">
          <w:marLeft w:val="0"/>
          <w:marRight w:val="0"/>
          <w:marTop w:val="0"/>
          <w:marBottom w:val="0"/>
          <w:divBdr>
            <w:top w:val="none" w:sz="0" w:space="0" w:color="auto"/>
            <w:left w:val="none" w:sz="0" w:space="0" w:color="auto"/>
            <w:bottom w:val="none" w:sz="0" w:space="0" w:color="auto"/>
            <w:right w:val="none" w:sz="0" w:space="0" w:color="auto"/>
          </w:divBdr>
        </w:div>
        <w:div w:id="1917321519">
          <w:marLeft w:val="0"/>
          <w:marRight w:val="0"/>
          <w:marTop w:val="0"/>
          <w:marBottom w:val="0"/>
          <w:divBdr>
            <w:top w:val="none" w:sz="0" w:space="0" w:color="auto"/>
            <w:left w:val="none" w:sz="0" w:space="0" w:color="auto"/>
            <w:bottom w:val="none" w:sz="0" w:space="0" w:color="auto"/>
            <w:right w:val="none" w:sz="0" w:space="0" w:color="auto"/>
          </w:divBdr>
        </w:div>
      </w:divsChild>
    </w:div>
    <w:div w:id="1520465390">
      <w:bodyDiv w:val="1"/>
      <w:marLeft w:val="0"/>
      <w:marRight w:val="0"/>
      <w:marTop w:val="0"/>
      <w:marBottom w:val="0"/>
      <w:divBdr>
        <w:top w:val="none" w:sz="0" w:space="0" w:color="auto"/>
        <w:left w:val="none" w:sz="0" w:space="0" w:color="auto"/>
        <w:bottom w:val="none" w:sz="0" w:space="0" w:color="auto"/>
        <w:right w:val="none" w:sz="0" w:space="0" w:color="auto"/>
      </w:divBdr>
    </w:div>
    <w:div w:id="1529172442">
      <w:bodyDiv w:val="1"/>
      <w:marLeft w:val="0"/>
      <w:marRight w:val="0"/>
      <w:marTop w:val="0"/>
      <w:marBottom w:val="0"/>
      <w:divBdr>
        <w:top w:val="none" w:sz="0" w:space="0" w:color="auto"/>
        <w:left w:val="none" w:sz="0" w:space="0" w:color="auto"/>
        <w:bottom w:val="none" w:sz="0" w:space="0" w:color="auto"/>
        <w:right w:val="none" w:sz="0" w:space="0" w:color="auto"/>
      </w:divBdr>
    </w:div>
    <w:div w:id="1536963352">
      <w:bodyDiv w:val="1"/>
      <w:marLeft w:val="0"/>
      <w:marRight w:val="0"/>
      <w:marTop w:val="0"/>
      <w:marBottom w:val="0"/>
      <w:divBdr>
        <w:top w:val="none" w:sz="0" w:space="0" w:color="auto"/>
        <w:left w:val="none" w:sz="0" w:space="0" w:color="auto"/>
        <w:bottom w:val="none" w:sz="0" w:space="0" w:color="auto"/>
        <w:right w:val="none" w:sz="0" w:space="0" w:color="auto"/>
      </w:divBdr>
    </w:div>
    <w:div w:id="1539047942">
      <w:bodyDiv w:val="1"/>
      <w:marLeft w:val="0"/>
      <w:marRight w:val="0"/>
      <w:marTop w:val="0"/>
      <w:marBottom w:val="0"/>
      <w:divBdr>
        <w:top w:val="none" w:sz="0" w:space="0" w:color="auto"/>
        <w:left w:val="none" w:sz="0" w:space="0" w:color="auto"/>
        <w:bottom w:val="none" w:sz="0" w:space="0" w:color="auto"/>
        <w:right w:val="none" w:sz="0" w:space="0" w:color="auto"/>
      </w:divBdr>
      <w:divsChild>
        <w:div w:id="693961662">
          <w:marLeft w:val="0"/>
          <w:marRight w:val="0"/>
          <w:marTop w:val="0"/>
          <w:marBottom w:val="0"/>
          <w:divBdr>
            <w:top w:val="none" w:sz="0" w:space="0" w:color="auto"/>
            <w:left w:val="none" w:sz="0" w:space="0" w:color="auto"/>
            <w:bottom w:val="none" w:sz="0" w:space="0" w:color="auto"/>
            <w:right w:val="none" w:sz="0" w:space="0" w:color="auto"/>
          </w:divBdr>
        </w:div>
        <w:div w:id="709304031">
          <w:marLeft w:val="0"/>
          <w:marRight w:val="0"/>
          <w:marTop w:val="0"/>
          <w:marBottom w:val="0"/>
          <w:divBdr>
            <w:top w:val="none" w:sz="0" w:space="0" w:color="auto"/>
            <w:left w:val="none" w:sz="0" w:space="0" w:color="auto"/>
            <w:bottom w:val="none" w:sz="0" w:space="0" w:color="auto"/>
            <w:right w:val="none" w:sz="0" w:space="0" w:color="auto"/>
          </w:divBdr>
        </w:div>
        <w:div w:id="1645617434">
          <w:marLeft w:val="0"/>
          <w:marRight w:val="0"/>
          <w:marTop w:val="0"/>
          <w:marBottom w:val="0"/>
          <w:divBdr>
            <w:top w:val="none" w:sz="0" w:space="0" w:color="auto"/>
            <w:left w:val="none" w:sz="0" w:space="0" w:color="auto"/>
            <w:bottom w:val="none" w:sz="0" w:space="0" w:color="auto"/>
            <w:right w:val="none" w:sz="0" w:space="0" w:color="auto"/>
          </w:divBdr>
        </w:div>
        <w:div w:id="1775635322">
          <w:marLeft w:val="0"/>
          <w:marRight w:val="0"/>
          <w:marTop w:val="0"/>
          <w:marBottom w:val="0"/>
          <w:divBdr>
            <w:top w:val="none" w:sz="0" w:space="0" w:color="auto"/>
            <w:left w:val="none" w:sz="0" w:space="0" w:color="auto"/>
            <w:bottom w:val="none" w:sz="0" w:space="0" w:color="auto"/>
            <w:right w:val="none" w:sz="0" w:space="0" w:color="auto"/>
          </w:divBdr>
        </w:div>
        <w:div w:id="1784348700">
          <w:marLeft w:val="0"/>
          <w:marRight w:val="0"/>
          <w:marTop w:val="0"/>
          <w:marBottom w:val="0"/>
          <w:divBdr>
            <w:top w:val="none" w:sz="0" w:space="0" w:color="auto"/>
            <w:left w:val="none" w:sz="0" w:space="0" w:color="auto"/>
            <w:bottom w:val="none" w:sz="0" w:space="0" w:color="auto"/>
            <w:right w:val="none" w:sz="0" w:space="0" w:color="auto"/>
          </w:divBdr>
        </w:div>
      </w:divsChild>
    </w:div>
    <w:div w:id="1541160547">
      <w:bodyDiv w:val="1"/>
      <w:marLeft w:val="0"/>
      <w:marRight w:val="0"/>
      <w:marTop w:val="0"/>
      <w:marBottom w:val="0"/>
      <w:divBdr>
        <w:top w:val="none" w:sz="0" w:space="0" w:color="auto"/>
        <w:left w:val="none" w:sz="0" w:space="0" w:color="auto"/>
        <w:bottom w:val="none" w:sz="0" w:space="0" w:color="auto"/>
        <w:right w:val="none" w:sz="0" w:space="0" w:color="auto"/>
      </w:divBdr>
    </w:div>
    <w:div w:id="1547140785">
      <w:bodyDiv w:val="1"/>
      <w:marLeft w:val="0"/>
      <w:marRight w:val="0"/>
      <w:marTop w:val="0"/>
      <w:marBottom w:val="0"/>
      <w:divBdr>
        <w:top w:val="none" w:sz="0" w:space="0" w:color="auto"/>
        <w:left w:val="none" w:sz="0" w:space="0" w:color="auto"/>
        <w:bottom w:val="none" w:sz="0" w:space="0" w:color="auto"/>
        <w:right w:val="none" w:sz="0" w:space="0" w:color="auto"/>
      </w:divBdr>
    </w:div>
    <w:div w:id="1559393169">
      <w:bodyDiv w:val="1"/>
      <w:marLeft w:val="0"/>
      <w:marRight w:val="0"/>
      <w:marTop w:val="0"/>
      <w:marBottom w:val="0"/>
      <w:divBdr>
        <w:top w:val="none" w:sz="0" w:space="0" w:color="auto"/>
        <w:left w:val="none" w:sz="0" w:space="0" w:color="auto"/>
        <w:bottom w:val="none" w:sz="0" w:space="0" w:color="auto"/>
        <w:right w:val="none" w:sz="0" w:space="0" w:color="auto"/>
      </w:divBdr>
    </w:div>
    <w:div w:id="1573539338">
      <w:bodyDiv w:val="1"/>
      <w:marLeft w:val="0"/>
      <w:marRight w:val="0"/>
      <w:marTop w:val="0"/>
      <w:marBottom w:val="0"/>
      <w:divBdr>
        <w:top w:val="none" w:sz="0" w:space="0" w:color="auto"/>
        <w:left w:val="none" w:sz="0" w:space="0" w:color="auto"/>
        <w:bottom w:val="none" w:sz="0" w:space="0" w:color="auto"/>
        <w:right w:val="none" w:sz="0" w:space="0" w:color="auto"/>
      </w:divBdr>
      <w:divsChild>
        <w:div w:id="119766946">
          <w:marLeft w:val="0"/>
          <w:marRight w:val="0"/>
          <w:marTop w:val="0"/>
          <w:marBottom w:val="0"/>
          <w:divBdr>
            <w:top w:val="none" w:sz="0" w:space="0" w:color="auto"/>
            <w:left w:val="none" w:sz="0" w:space="0" w:color="auto"/>
            <w:bottom w:val="none" w:sz="0" w:space="0" w:color="auto"/>
            <w:right w:val="none" w:sz="0" w:space="0" w:color="auto"/>
          </w:divBdr>
        </w:div>
        <w:div w:id="265775844">
          <w:marLeft w:val="0"/>
          <w:marRight w:val="0"/>
          <w:marTop w:val="0"/>
          <w:marBottom w:val="0"/>
          <w:divBdr>
            <w:top w:val="none" w:sz="0" w:space="0" w:color="auto"/>
            <w:left w:val="none" w:sz="0" w:space="0" w:color="auto"/>
            <w:bottom w:val="none" w:sz="0" w:space="0" w:color="auto"/>
            <w:right w:val="none" w:sz="0" w:space="0" w:color="auto"/>
          </w:divBdr>
        </w:div>
        <w:div w:id="370808497">
          <w:marLeft w:val="0"/>
          <w:marRight w:val="0"/>
          <w:marTop w:val="0"/>
          <w:marBottom w:val="0"/>
          <w:divBdr>
            <w:top w:val="none" w:sz="0" w:space="0" w:color="auto"/>
            <w:left w:val="none" w:sz="0" w:space="0" w:color="auto"/>
            <w:bottom w:val="none" w:sz="0" w:space="0" w:color="auto"/>
            <w:right w:val="none" w:sz="0" w:space="0" w:color="auto"/>
          </w:divBdr>
        </w:div>
        <w:div w:id="436606364">
          <w:marLeft w:val="0"/>
          <w:marRight w:val="0"/>
          <w:marTop w:val="0"/>
          <w:marBottom w:val="0"/>
          <w:divBdr>
            <w:top w:val="none" w:sz="0" w:space="0" w:color="auto"/>
            <w:left w:val="none" w:sz="0" w:space="0" w:color="auto"/>
            <w:bottom w:val="none" w:sz="0" w:space="0" w:color="auto"/>
            <w:right w:val="none" w:sz="0" w:space="0" w:color="auto"/>
          </w:divBdr>
        </w:div>
        <w:div w:id="545216058">
          <w:marLeft w:val="0"/>
          <w:marRight w:val="0"/>
          <w:marTop w:val="0"/>
          <w:marBottom w:val="0"/>
          <w:divBdr>
            <w:top w:val="none" w:sz="0" w:space="0" w:color="auto"/>
            <w:left w:val="none" w:sz="0" w:space="0" w:color="auto"/>
            <w:bottom w:val="none" w:sz="0" w:space="0" w:color="auto"/>
            <w:right w:val="none" w:sz="0" w:space="0" w:color="auto"/>
          </w:divBdr>
        </w:div>
        <w:div w:id="623003912">
          <w:marLeft w:val="0"/>
          <w:marRight w:val="0"/>
          <w:marTop w:val="0"/>
          <w:marBottom w:val="0"/>
          <w:divBdr>
            <w:top w:val="none" w:sz="0" w:space="0" w:color="auto"/>
            <w:left w:val="none" w:sz="0" w:space="0" w:color="auto"/>
            <w:bottom w:val="none" w:sz="0" w:space="0" w:color="auto"/>
            <w:right w:val="none" w:sz="0" w:space="0" w:color="auto"/>
          </w:divBdr>
        </w:div>
        <w:div w:id="766074942">
          <w:marLeft w:val="0"/>
          <w:marRight w:val="0"/>
          <w:marTop w:val="0"/>
          <w:marBottom w:val="0"/>
          <w:divBdr>
            <w:top w:val="none" w:sz="0" w:space="0" w:color="auto"/>
            <w:left w:val="none" w:sz="0" w:space="0" w:color="auto"/>
            <w:bottom w:val="none" w:sz="0" w:space="0" w:color="auto"/>
            <w:right w:val="none" w:sz="0" w:space="0" w:color="auto"/>
          </w:divBdr>
        </w:div>
        <w:div w:id="993342002">
          <w:marLeft w:val="0"/>
          <w:marRight w:val="0"/>
          <w:marTop w:val="0"/>
          <w:marBottom w:val="0"/>
          <w:divBdr>
            <w:top w:val="none" w:sz="0" w:space="0" w:color="auto"/>
            <w:left w:val="none" w:sz="0" w:space="0" w:color="auto"/>
            <w:bottom w:val="none" w:sz="0" w:space="0" w:color="auto"/>
            <w:right w:val="none" w:sz="0" w:space="0" w:color="auto"/>
          </w:divBdr>
        </w:div>
        <w:div w:id="1112163475">
          <w:marLeft w:val="0"/>
          <w:marRight w:val="0"/>
          <w:marTop w:val="0"/>
          <w:marBottom w:val="0"/>
          <w:divBdr>
            <w:top w:val="none" w:sz="0" w:space="0" w:color="auto"/>
            <w:left w:val="none" w:sz="0" w:space="0" w:color="auto"/>
            <w:bottom w:val="none" w:sz="0" w:space="0" w:color="auto"/>
            <w:right w:val="none" w:sz="0" w:space="0" w:color="auto"/>
          </w:divBdr>
        </w:div>
        <w:div w:id="1313829004">
          <w:marLeft w:val="0"/>
          <w:marRight w:val="0"/>
          <w:marTop w:val="0"/>
          <w:marBottom w:val="0"/>
          <w:divBdr>
            <w:top w:val="none" w:sz="0" w:space="0" w:color="auto"/>
            <w:left w:val="none" w:sz="0" w:space="0" w:color="auto"/>
            <w:bottom w:val="none" w:sz="0" w:space="0" w:color="auto"/>
            <w:right w:val="none" w:sz="0" w:space="0" w:color="auto"/>
          </w:divBdr>
        </w:div>
        <w:div w:id="1439715813">
          <w:marLeft w:val="0"/>
          <w:marRight w:val="0"/>
          <w:marTop w:val="0"/>
          <w:marBottom w:val="0"/>
          <w:divBdr>
            <w:top w:val="none" w:sz="0" w:space="0" w:color="auto"/>
            <w:left w:val="none" w:sz="0" w:space="0" w:color="auto"/>
            <w:bottom w:val="none" w:sz="0" w:space="0" w:color="auto"/>
            <w:right w:val="none" w:sz="0" w:space="0" w:color="auto"/>
          </w:divBdr>
        </w:div>
        <w:div w:id="1449202736">
          <w:marLeft w:val="0"/>
          <w:marRight w:val="0"/>
          <w:marTop w:val="0"/>
          <w:marBottom w:val="0"/>
          <w:divBdr>
            <w:top w:val="none" w:sz="0" w:space="0" w:color="auto"/>
            <w:left w:val="none" w:sz="0" w:space="0" w:color="auto"/>
            <w:bottom w:val="none" w:sz="0" w:space="0" w:color="auto"/>
            <w:right w:val="none" w:sz="0" w:space="0" w:color="auto"/>
          </w:divBdr>
        </w:div>
        <w:div w:id="1696224319">
          <w:marLeft w:val="0"/>
          <w:marRight w:val="0"/>
          <w:marTop w:val="0"/>
          <w:marBottom w:val="0"/>
          <w:divBdr>
            <w:top w:val="none" w:sz="0" w:space="0" w:color="auto"/>
            <w:left w:val="none" w:sz="0" w:space="0" w:color="auto"/>
            <w:bottom w:val="none" w:sz="0" w:space="0" w:color="auto"/>
            <w:right w:val="none" w:sz="0" w:space="0" w:color="auto"/>
          </w:divBdr>
        </w:div>
        <w:div w:id="1719891848">
          <w:marLeft w:val="0"/>
          <w:marRight w:val="0"/>
          <w:marTop w:val="0"/>
          <w:marBottom w:val="0"/>
          <w:divBdr>
            <w:top w:val="none" w:sz="0" w:space="0" w:color="auto"/>
            <w:left w:val="none" w:sz="0" w:space="0" w:color="auto"/>
            <w:bottom w:val="none" w:sz="0" w:space="0" w:color="auto"/>
            <w:right w:val="none" w:sz="0" w:space="0" w:color="auto"/>
          </w:divBdr>
        </w:div>
        <w:div w:id="2115787071">
          <w:marLeft w:val="0"/>
          <w:marRight w:val="0"/>
          <w:marTop w:val="0"/>
          <w:marBottom w:val="0"/>
          <w:divBdr>
            <w:top w:val="none" w:sz="0" w:space="0" w:color="auto"/>
            <w:left w:val="none" w:sz="0" w:space="0" w:color="auto"/>
            <w:bottom w:val="none" w:sz="0" w:space="0" w:color="auto"/>
            <w:right w:val="none" w:sz="0" w:space="0" w:color="auto"/>
          </w:divBdr>
        </w:div>
      </w:divsChild>
    </w:div>
    <w:div w:id="1574007203">
      <w:bodyDiv w:val="1"/>
      <w:marLeft w:val="0"/>
      <w:marRight w:val="0"/>
      <w:marTop w:val="0"/>
      <w:marBottom w:val="0"/>
      <w:divBdr>
        <w:top w:val="none" w:sz="0" w:space="0" w:color="auto"/>
        <w:left w:val="none" w:sz="0" w:space="0" w:color="auto"/>
        <w:bottom w:val="none" w:sz="0" w:space="0" w:color="auto"/>
        <w:right w:val="none" w:sz="0" w:space="0" w:color="auto"/>
      </w:divBdr>
    </w:div>
    <w:div w:id="1579628604">
      <w:bodyDiv w:val="1"/>
      <w:marLeft w:val="0"/>
      <w:marRight w:val="0"/>
      <w:marTop w:val="0"/>
      <w:marBottom w:val="0"/>
      <w:divBdr>
        <w:top w:val="none" w:sz="0" w:space="0" w:color="auto"/>
        <w:left w:val="none" w:sz="0" w:space="0" w:color="auto"/>
        <w:bottom w:val="none" w:sz="0" w:space="0" w:color="auto"/>
        <w:right w:val="none" w:sz="0" w:space="0" w:color="auto"/>
      </w:divBdr>
    </w:div>
    <w:div w:id="1579973511">
      <w:bodyDiv w:val="1"/>
      <w:marLeft w:val="0"/>
      <w:marRight w:val="0"/>
      <w:marTop w:val="0"/>
      <w:marBottom w:val="0"/>
      <w:divBdr>
        <w:top w:val="none" w:sz="0" w:space="0" w:color="auto"/>
        <w:left w:val="none" w:sz="0" w:space="0" w:color="auto"/>
        <w:bottom w:val="none" w:sz="0" w:space="0" w:color="auto"/>
        <w:right w:val="none" w:sz="0" w:space="0" w:color="auto"/>
      </w:divBdr>
    </w:div>
    <w:div w:id="1587609708">
      <w:bodyDiv w:val="1"/>
      <w:marLeft w:val="0"/>
      <w:marRight w:val="0"/>
      <w:marTop w:val="0"/>
      <w:marBottom w:val="0"/>
      <w:divBdr>
        <w:top w:val="none" w:sz="0" w:space="0" w:color="auto"/>
        <w:left w:val="none" w:sz="0" w:space="0" w:color="auto"/>
        <w:bottom w:val="none" w:sz="0" w:space="0" w:color="auto"/>
        <w:right w:val="none" w:sz="0" w:space="0" w:color="auto"/>
      </w:divBdr>
    </w:div>
    <w:div w:id="1599826516">
      <w:bodyDiv w:val="1"/>
      <w:marLeft w:val="0"/>
      <w:marRight w:val="0"/>
      <w:marTop w:val="0"/>
      <w:marBottom w:val="0"/>
      <w:divBdr>
        <w:top w:val="none" w:sz="0" w:space="0" w:color="auto"/>
        <w:left w:val="none" w:sz="0" w:space="0" w:color="auto"/>
        <w:bottom w:val="none" w:sz="0" w:space="0" w:color="auto"/>
        <w:right w:val="none" w:sz="0" w:space="0" w:color="auto"/>
      </w:divBdr>
    </w:div>
    <w:div w:id="1600411880">
      <w:bodyDiv w:val="1"/>
      <w:marLeft w:val="0"/>
      <w:marRight w:val="0"/>
      <w:marTop w:val="0"/>
      <w:marBottom w:val="0"/>
      <w:divBdr>
        <w:top w:val="none" w:sz="0" w:space="0" w:color="auto"/>
        <w:left w:val="none" w:sz="0" w:space="0" w:color="auto"/>
        <w:bottom w:val="none" w:sz="0" w:space="0" w:color="auto"/>
        <w:right w:val="none" w:sz="0" w:space="0" w:color="auto"/>
      </w:divBdr>
    </w:div>
    <w:div w:id="1606300839">
      <w:bodyDiv w:val="1"/>
      <w:marLeft w:val="0"/>
      <w:marRight w:val="0"/>
      <w:marTop w:val="0"/>
      <w:marBottom w:val="0"/>
      <w:divBdr>
        <w:top w:val="none" w:sz="0" w:space="0" w:color="auto"/>
        <w:left w:val="none" w:sz="0" w:space="0" w:color="auto"/>
        <w:bottom w:val="none" w:sz="0" w:space="0" w:color="auto"/>
        <w:right w:val="none" w:sz="0" w:space="0" w:color="auto"/>
      </w:divBdr>
    </w:div>
    <w:div w:id="1609921944">
      <w:bodyDiv w:val="1"/>
      <w:marLeft w:val="0"/>
      <w:marRight w:val="0"/>
      <w:marTop w:val="0"/>
      <w:marBottom w:val="0"/>
      <w:divBdr>
        <w:top w:val="none" w:sz="0" w:space="0" w:color="auto"/>
        <w:left w:val="none" w:sz="0" w:space="0" w:color="auto"/>
        <w:bottom w:val="none" w:sz="0" w:space="0" w:color="auto"/>
        <w:right w:val="none" w:sz="0" w:space="0" w:color="auto"/>
      </w:divBdr>
    </w:div>
    <w:div w:id="1612980621">
      <w:bodyDiv w:val="1"/>
      <w:marLeft w:val="0"/>
      <w:marRight w:val="0"/>
      <w:marTop w:val="0"/>
      <w:marBottom w:val="0"/>
      <w:divBdr>
        <w:top w:val="none" w:sz="0" w:space="0" w:color="auto"/>
        <w:left w:val="none" w:sz="0" w:space="0" w:color="auto"/>
        <w:bottom w:val="none" w:sz="0" w:space="0" w:color="auto"/>
        <w:right w:val="none" w:sz="0" w:space="0" w:color="auto"/>
      </w:divBdr>
    </w:div>
    <w:div w:id="1636522751">
      <w:bodyDiv w:val="1"/>
      <w:marLeft w:val="0"/>
      <w:marRight w:val="0"/>
      <w:marTop w:val="0"/>
      <w:marBottom w:val="0"/>
      <w:divBdr>
        <w:top w:val="none" w:sz="0" w:space="0" w:color="auto"/>
        <w:left w:val="none" w:sz="0" w:space="0" w:color="auto"/>
        <w:bottom w:val="none" w:sz="0" w:space="0" w:color="auto"/>
        <w:right w:val="none" w:sz="0" w:space="0" w:color="auto"/>
      </w:divBdr>
    </w:div>
    <w:div w:id="1639453636">
      <w:bodyDiv w:val="1"/>
      <w:marLeft w:val="0"/>
      <w:marRight w:val="0"/>
      <w:marTop w:val="0"/>
      <w:marBottom w:val="0"/>
      <w:divBdr>
        <w:top w:val="none" w:sz="0" w:space="0" w:color="auto"/>
        <w:left w:val="none" w:sz="0" w:space="0" w:color="auto"/>
        <w:bottom w:val="none" w:sz="0" w:space="0" w:color="auto"/>
        <w:right w:val="none" w:sz="0" w:space="0" w:color="auto"/>
      </w:divBdr>
      <w:divsChild>
        <w:div w:id="200364026">
          <w:marLeft w:val="0"/>
          <w:marRight w:val="0"/>
          <w:marTop w:val="0"/>
          <w:marBottom w:val="0"/>
          <w:divBdr>
            <w:top w:val="none" w:sz="0" w:space="0" w:color="auto"/>
            <w:left w:val="none" w:sz="0" w:space="0" w:color="auto"/>
            <w:bottom w:val="none" w:sz="0" w:space="0" w:color="auto"/>
            <w:right w:val="none" w:sz="0" w:space="0" w:color="auto"/>
          </w:divBdr>
        </w:div>
        <w:div w:id="225381526">
          <w:marLeft w:val="0"/>
          <w:marRight w:val="0"/>
          <w:marTop w:val="0"/>
          <w:marBottom w:val="0"/>
          <w:divBdr>
            <w:top w:val="none" w:sz="0" w:space="0" w:color="auto"/>
            <w:left w:val="none" w:sz="0" w:space="0" w:color="auto"/>
            <w:bottom w:val="none" w:sz="0" w:space="0" w:color="auto"/>
            <w:right w:val="none" w:sz="0" w:space="0" w:color="auto"/>
          </w:divBdr>
        </w:div>
        <w:div w:id="520972519">
          <w:marLeft w:val="0"/>
          <w:marRight w:val="0"/>
          <w:marTop w:val="0"/>
          <w:marBottom w:val="0"/>
          <w:divBdr>
            <w:top w:val="none" w:sz="0" w:space="0" w:color="auto"/>
            <w:left w:val="none" w:sz="0" w:space="0" w:color="auto"/>
            <w:bottom w:val="none" w:sz="0" w:space="0" w:color="auto"/>
            <w:right w:val="none" w:sz="0" w:space="0" w:color="auto"/>
          </w:divBdr>
        </w:div>
        <w:div w:id="1028334238">
          <w:marLeft w:val="0"/>
          <w:marRight w:val="0"/>
          <w:marTop w:val="0"/>
          <w:marBottom w:val="0"/>
          <w:divBdr>
            <w:top w:val="none" w:sz="0" w:space="0" w:color="auto"/>
            <w:left w:val="none" w:sz="0" w:space="0" w:color="auto"/>
            <w:bottom w:val="none" w:sz="0" w:space="0" w:color="auto"/>
            <w:right w:val="none" w:sz="0" w:space="0" w:color="auto"/>
          </w:divBdr>
        </w:div>
        <w:div w:id="1036002154">
          <w:marLeft w:val="0"/>
          <w:marRight w:val="0"/>
          <w:marTop w:val="0"/>
          <w:marBottom w:val="0"/>
          <w:divBdr>
            <w:top w:val="none" w:sz="0" w:space="0" w:color="auto"/>
            <w:left w:val="none" w:sz="0" w:space="0" w:color="auto"/>
            <w:bottom w:val="none" w:sz="0" w:space="0" w:color="auto"/>
            <w:right w:val="none" w:sz="0" w:space="0" w:color="auto"/>
          </w:divBdr>
        </w:div>
        <w:div w:id="1070082676">
          <w:marLeft w:val="0"/>
          <w:marRight w:val="0"/>
          <w:marTop w:val="0"/>
          <w:marBottom w:val="0"/>
          <w:divBdr>
            <w:top w:val="none" w:sz="0" w:space="0" w:color="auto"/>
            <w:left w:val="none" w:sz="0" w:space="0" w:color="auto"/>
            <w:bottom w:val="none" w:sz="0" w:space="0" w:color="auto"/>
            <w:right w:val="none" w:sz="0" w:space="0" w:color="auto"/>
          </w:divBdr>
        </w:div>
        <w:div w:id="1204514651">
          <w:marLeft w:val="0"/>
          <w:marRight w:val="0"/>
          <w:marTop w:val="0"/>
          <w:marBottom w:val="0"/>
          <w:divBdr>
            <w:top w:val="none" w:sz="0" w:space="0" w:color="auto"/>
            <w:left w:val="none" w:sz="0" w:space="0" w:color="auto"/>
            <w:bottom w:val="none" w:sz="0" w:space="0" w:color="auto"/>
            <w:right w:val="none" w:sz="0" w:space="0" w:color="auto"/>
          </w:divBdr>
        </w:div>
      </w:divsChild>
    </w:div>
    <w:div w:id="1648197573">
      <w:bodyDiv w:val="1"/>
      <w:marLeft w:val="0"/>
      <w:marRight w:val="0"/>
      <w:marTop w:val="0"/>
      <w:marBottom w:val="0"/>
      <w:divBdr>
        <w:top w:val="none" w:sz="0" w:space="0" w:color="auto"/>
        <w:left w:val="none" w:sz="0" w:space="0" w:color="auto"/>
        <w:bottom w:val="none" w:sz="0" w:space="0" w:color="auto"/>
        <w:right w:val="none" w:sz="0" w:space="0" w:color="auto"/>
      </w:divBdr>
    </w:div>
    <w:div w:id="1650791324">
      <w:bodyDiv w:val="1"/>
      <w:marLeft w:val="0"/>
      <w:marRight w:val="0"/>
      <w:marTop w:val="0"/>
      <w:marBottom w:val="0"/>
      <w:divBdr>
        <w:top w:val="none" w:sz="0" w:space="0" w:color="auto"/>
        <w:left w:val="none" w:sz="0" w:space="0" w:color="auto"/>
        <w:bottom w:val="none" w:sz="0" w:space="0" w:color="auto"/>
        <w:right w:val="none" w:sz="0" w:space="0" w:color="auto"/>
      </w:divBdr>
    </w:div>
    <w:div w:id="1652715328">
      <w:bodyDiv w:val="1"/>
      <w:marLeft w:val="0"/>
      <w:marRight w:val="0"/>
      <w:marTop w:val="0"/>
      <w:marBottom w:val="0"/>
      <w:divBdr>
        <w:top w:val="none" w:sz="0" w:space="0" w:color="auto"/>
        <w:left w:val="none" w:sz="0" w:space="0" w:color="auto"/>
        <w:bottom w:val="none" w:sz="0" w:space="0" w:color="auto"/>
        <w:right w:val="none" w:sz="0" w:space="0" w:color="auto"/>
      </w:divBdr>
      <w:divsChild>
        <w:div w:id="1158229345">
          <w:marLeft w:val="0"/>
          <w:marRight w:val="0"/>
          <w:marTop w:val="0"/>
          <w:marBottom w:val="0"/>
          <w:divBdr>
            <w:top w:val="none" w:sz="0" w:space="0" w:color="auto"/>
            <w:left w:val="none" w:sz="0" w:space="0" w:color="auto"/>
            <w:bottom w:val="none" w:sz="0" w:space="0" w:color="auto"/>
            <w:right w:val="none" w:sz="0" w:space="0" w:color="auto"/>
          </w:divBdr>
        </w:div>
        <w:div w:id="1158812339">
          <w:marLeft w:val="0"/>
          <w:marRight w:val="0"/>
          <w:marTop w:val="0"/>
          <w:marBottom w:val="0"/>
          <w:divBdr>
            <w:top w:val="none" w:sz="0" w:space="0" w:color="auto"/>
            <w:left w:val="none" w:sz="0" w:space="0" w:color="auto"/>
            <w:bottom w:val="none" w:sz="0" w:space="0" w:color="auto"/>
            <w:right w:val="none" w:sz="0" w:space="0" w:color="auto"/>
          </w:divBdr>
        </w:div>
        <w:div w:id="1220943590">
          <w:marLeft w:val="0"/>
          <w:marRight w:val="0"/>
          <w:marTop w:val="0"/>
          <w:marBottom w:val="0"/>
          <w:divBdr>
            <w:top w:val="none" w:sz="0" w:space="0" w:color="auto"/>
            <w:left w:val="none" w:sz="0" w:space="0" w:color="auto"/>
            <w:bottom w:val="none" w:sz="0" w:space="0" w:color="auto"/>
            <w:right w:val="none" w:sz="0" w:space="0" w:color="auto"/>
          </w:divBdr>
        </w:div>
        <w:div w:id="1252079378">
          <w:marLeft w:val="0"/>
          <w:marRight w:val="0"/>
          <w:marTop w:val="0"/>
          <w:marBottom w:val="0"/>
          <w:divBdr>
            <w:top w:val="none" w:sz="0" w:space="0" w:color="auto"/>
            <w:left w:val="none" w:sz="0" w:space="0" w:color="auto"/>
            <w:bottom w:val="none" w:sz="0" w:space="0" w:color="auto"/>
            <w:right w:val="none" w:sz="0" w:space="0" w:color="auto"/>
          </w:divBdr>
        </w:div>
        <w:div w:id="1285773640">
          <w:marLeft w:val="0"/>
          <w:marRight w:val="0"/>
          <w:marTop w:val="0"/>
          <w:marBottom w:val="0"/>
          <w:divBdr>
            <w:top w:val="none" w:sz="0" w:space="0" w:color="auto"/>
            <w:left w:val="none" w:sz="0" w:space="0" w:color="auto"/>
            <w:bottom w:val="none" w:sz="0" w:space="0" w:color="auto"/>
            <w:right w:val="none" w:sz="0" w:space="0" w:color="auto"/>
          </w:divBdr>
        </w:div>
        <w:div w:id="1566338365">
          <w:marLeft w:val="0"/>
          <w:marRight w:val="0"/>
          <w:marTop w:val="0"/>
          <w:marBottom w:val="0"/>
          <w:divBdr>
            <w:top w:val="none" w:sz="0" w:space="0" w:color="auto"/>
            <w:left w:val="none" w:sz="0" w:space="0" w:color="auto"/>
            <w:bottom w:val="none" w:sz="0" w:space="0" w:color="auto"/>
            <w:right w:val="none" w:sz="0" w:space="0" w:color="auto"/>
          </w:divBdr>
        </w:div>
        <w:div w:id="1674185227">
          <w:marLeft w:val="0"/>
          <w:marRight w:val="0"/>
          <w:marTop w:val="0"/>
          <w:marBottom w:val="0"/>
          <w:divBdr>
            <w:top w:val="none" w:sz="0" w:space="0" w:color="auto"/>
            <w:left w:val="none" w:sz="0" w:space="0" w:color="auto"/>
            <w:bottom w:val="none" w:sz="0" w:space="0" w:color="auto"/>
            <w:right w:val="none" w:sz="0" w:space="0" w:color="auto"/>
          </w:divBdr>
        </w:div>
        <w:div w:id="1836846910">
          <w:marLeft w:val="0"/>
          <w:marRight w:val="0"/>
          <w:marTop w:val="0"/>
          <w:marBottom w:val="0"/>
          <w:divBdr>
            <w:top w:val="none" w:sz="0" w:space="0" w:color="auto"/>
            <w:left w:val="none" w:sz="0" w:space="0" w:color="auto"/>
            <w:bottom w:val="none" w:sz="0" w:space="0" w:color="auto"/>
            <w:right w:val="none" w:sz="0" w:space="0" w:color="auto"/>
          </w:divBdr>
        </w:div>
        <w:div w:id="2094937480">
          <w:marLeft w:val="0"/>
          <w:marRight w:val="0"/>
          <w:marTop w:val="0"/>
          <w:marBottom w:val="0"/>
          <w:divBdr>
            <w:top w:val="none" w:sz="0" w:space="0" w:color="auto"/>
            <w:left w:val="none" w:sz="0" w:space="0" w:color="auto"/>
            <w:bottom w:val="none" w:sz="0" w:space="0" w:color="auto"/>
            <w:right w:val="none" w:sz="0" w:space="0" w:color="auto"/>
          </w:divBdr>
        </w:div>
      </w:divsChild>
    </w:div>
    <w:div w:id="166149736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sChild>
        <w:div w:id="129177637">
          <w:marLeft w:val="0"/>
          <w:marRight w:val="0"/>
          <w:marTop w:val="0"/>
          <w:marBottom w:val="0"/>
          <w:divBdr>
            <w:top w:val="none" w:sz="0" w:space="0" w:color="auto"/>
            <w:left w:val="none" w:sz="0" w:space="0" w:color="auto"/>
            <w:bottom w:val="none" w:sz="0" w:space="0" w:color="auto"/>
            <w:right w:val="none" w:sz="0" w:space="0" w:color="auto"/>
          </w:divBdr>
        </w:div>
        <w:div w:id="167910406">
          <w:marLeft w:val="0"/>
          <w:marRight w:val="0"/>
          <w:marTop w:val="0"/>
          <w:marBottom w:val="0"/>
          <w:divBdr>
            <w:top w:val="none" w:sz="0" w:space="0" w:color="auto"/>
            <w:left w:val="none" w:sz="0" w:space="0" w:color="auto"/>
            <w:bottom w:val="none" w:sz="0" w:space="0" w:color="auto"/>
            <w:right w:val="none" w:sz="0" w:space="0" w:color="auto"/>
          </w:divBdr>
        </w:div>
        <w:div w:id="231089405">
          <w:marLeft w:val="0"/>
          <w:marRight w:val="0"/>
          <w:marTop w:val="0"/>
          <w:marBottom w:val="0"/>
          <w:divBdr>
            <w:top w:val="none" w:sz="0" w:space="0" w:color="auto"/>
            <w:left w:val="none" w:sz="0" w:space="0" w:color="auto"/>
            <w:bottom w:val="none" w:sz="0" w:space="0" w:color="auto"/>
            <w:right w:val="none" w:sz="0" w:space="0" w:color="auto"/>
          </w:divBdr>
        </w:div>
        <w:div w:id="274364103">
          <w:marLeft w:val="0"/>
          <w:marRight w:val="0"/>
          <w:marTop w:val="0"/>
          <w:marBottom w:val="0"/>
          <w:divBdr>
            <w:top w:val="none" w:sz="0" w:space="0" w:color="auto"/>
            <w:left w:val="none" w:sz="0" w:space="0" w:color="auto"/>
            <w:bottom w:val="none" w:sz="0" w:space="0" w:color="auto"/>
            <w:right w:val="none" w:sz="0" w:space="0" w:color="auto"/>
          </w:divBdr>
        </w:div>
        <w:div w:id="315455366">
          <w:marLeft w:val="0"/>
          <w:marRight w:val="0"/>
          <w:marTop w:val="0"/>
          <w:marBottom w:val="0"/>
          <w:divBdr>
            <w:top w:val="none" w:sz="0" w:space="0" w:color="auto"/>
            <w:left w:val="none" w:sz="0" w:space="0" w:color="auto"/>
            <w:bottom w:val="none" w:sz="0" w:space="0" w:color="auto"/>
            <w:right w:val="none" w:sz="0" w:space="0" w:color="auto"/>
          </w:divBdr>
        </w:div>
        <w:div w:id="423459236">
          <w:marLeft w:val="0"/>
          <w:marRight w:val="0"/>
          <w:marTop w:val="0"/>
          <w:marBottom w:val="0"/>
          <w:divBdr>
            <w:top w:val="none" w:sz="0" w:space="0" w:color="auto"/>
            <w:left w:val="none" w:sz="0" w:space="0" w:color="auto"/>
            <w:bottom w:val="none" w:sz="0" w:space="0" w:color="auto"/>
            <w:right w:val="none" w:sz="0" w:space="0" w:color="auto"/>
          </w:divBdr>
        </w:div>
        <w:div w:id="524100296">
          <w:marLeft w:val="0"/>
          <w:marRight w:val="0"/>
          <w:marTop w:val="0"/>
          <w:marBottom w:val="0"/>
          <w:divBdr>
            <w:top w:val="none" w:sz="0" w:space="0" w:color="auto"/>
            <w:left w:val="none" w:sz="0" w:space="0" w:color="auto"/>
            <w:bottom w:val="none" w:sz="0" w:space="0" w:color="auto"/>
            <w:right w:val="none" w:sz="0" w:space="0" w:color="auto"/>
          </w:divBdr>
        </w:div>
        <w:div w:id="768156477">
          <w:marLeft w:val="0"/>
          <w:marRight w:val="0"/>
          <w:marTop w:val="0"/>
          <w:marBottom w:val="0"/>
          <w:divBdr>
            <w:top w:val="none" w:sz="0" w:space="0" w:color="auto"/>
            <w:left w:val="none" w:sz="0" w:space="0" w:color="auto"/>
            <w:bottom w:val="none" w:sz="0" w:space="0" w:color="auto"/>
            <w:right w:val="none" w:sz="0" w:space="0" w:color="auto"/>
          </w:divBdr>
        </w:div>
        <w:div w:id="833490177">
          <w:marLeft w:val="0"/>
          <w:marRight w:val="0"/>
          <w:marTop w:val="0"/>
          <w:marBottom w:val="0"/>
          <w:divBdr>
            <w:top w:val="none" w:sz="0" w:space="0" w:color="auto"/>
            <w:left w:val="none" w:sz="0" w:space="0" w:color="auto"/>
            <w:bottom w:val="none" w:sz="0" w:space="0" w:color="auto"/>
            <w:right w:val="none" w:sz="0" w:space="0" w:color="auto"/>
          </w:divBdr>
        </w:div>
        <w:div w:id="865218439">
          <w:marLeft w:val="0"/>
          <w:marRight w:val="0"/>
          <w:marTop w:val="0"/>
          <w:marBottom w:val="0"/>
          <w:divBdr>
            <w:top w:val="none" w:sz="0" w:space="0" w:color="auto"/>
            <w:left w:val="none" w:sz="0" w:space="0" w:color="auto"/>
            <w:bottom w:val="none" w:sz="0" w:space="0" w:color="auto"/>
            <w:right w:val="none" w:sz="0" w:space="0" w:color="auto"/>
          </w:divBdr>
        </w:div>
        <w:div w:id="1080716217">
          <w:marLeft w:val="0"/>
          <w:marRight w:val="0"/>
          <w:marTop w:val="0"/>
          <w:marBottom w:val="0"/>
          <w:divBdr>
            <w:top w:val="none" w:sz="0" w:space="0" w:color="auto"/>
            <w:left w:val="none" w:sz="0" w:space="0" w:color="auto"/>
            <w:bottom w:val="none" w:sz="0" w:space="0" w:color="auto"/>
            <w:right w:val="none" w:sz="0" w:space="0" w:color="auto"/>
          </w:divBdr>
        </w:div>
        <w:div w:id="1272201248">
          <w:marLeft w:val="0"/>
          <w:marRight w:val="0"/>
          <w:marTop w:val="0"/>
          <w:marBottom w:val="0"/>
          <w:divBdr>
            <w:top w:val="none" w:sz="0" w:space="0" w:color="auto"/>
            <w:left w:val="none" w:sz="0" w:space="0" w:color="auto"/>
            <w:bottom w:val="none" w:sz="0" w:space="0" w:color="auto"/>
            <w:right w:val="none" w:sz="0" w:space="0" w:color="auto"/>
          </w:divBdr>
        </w:div>
        <w:div w:id="1297444105">
          <w:marLeft w:val="0"/>
          <w:marRight w:val="0"/>
          <w:marTop w:val="0"/>
          <w:marBottom w:val="0"/>
          <w:divBdr>
            <w:top w:val="none" w:sz="0" w:space="0" w:color="auto"/>
            <w:left w:val="none" w:sz="0" w:space="0" w:color="auto"/>
            <w:bottom w:val="none" w:sz="0" w:space="0" w:color="auto"/>
            <w:right w:val="none" w:sz="0" w:space="0" w:color="auto"/>
          </w:divBdr>
        </w:div>
        <w:div w:id="1359894334">
          <w:marLeft w:val="0"/>
          <w:marRight w:val="0"/>
          <w:marTop w:val="0"/>
          <w:marBottom w:val="0"/>
          <w:divBdr>
            <w:top w:val="none" w:sz="0" w:space="0" w:color="auto"/>
            <w:left w:val="none" w:sz="0" w:space="0" w:color="auto"/>
            <w:bottom w:val="none" w:sz="0" w:space="0" w:color="auto"/>
            <w:right w:val="none" w:sz="0" w:space="0" w:color="auto"/>
          </w:divBdr>
        </w:div>
        <w:div w:id="1527791412">
          <w:marLeft w:val="0"/>
          <w:marRight w:val="0"/>
          <w:marTop w:val="0"/>
          <w:marBottom w:val="0"/>
          <w:divBdr>
            <w:top w:val="none" w:sz="0" w:space="0" w:color="auto"/>
            <w:left w:val="none" w:sz="0" w:space="0" w:color="auto"/>
            <w:bottom w:val="none" w:sz="0" w:space="0" w:color="auto"/>
            <w:right w:val="none" w:sz="0" w:space="0" w:color="auto"/>
          </w:divBdr>
        </w:div>
        <w:div w:id="1596399640">
          <w:marLeft w:val="0"/>
          <w:marRight w:val="0"/>
          <w:marTop w:val="0"/>
          <w:marBottom w:val="0"/>
          <w:divBdr>
            <w:top w:val="none" w:sz="0" w:space="0" w:color="auto"/>
            <w:left w:val="none" w:sz="0" w:space="0" w:color="auto"/>
            <w:bottom w:val="none" w:sz="0" w:space="0" w:color="auto"/>
            <w:right w:val="none" w:sz="0" w:space="0" w:color="auto"/>
          </w:divBdr>
        </w:div>
        <w:div w:id="1664778094">
          <w:marLeft w:val="0"/>
          <w:marRight w:val="0"/>
          <w:marTop w:val="0"/>
          <w:marBottom w:val="0"/>
          <w:divBdr>
            <w:top w:val="none" w:sz="0" w:space="0" w:color="auto"/>
            <w:left w:val="none" w:sz="0" w:space="0" w:color="auto"/>
            <w:bottom w:val="none" w:sz="0" w:space="0" w:color="auto"/>
            <w:right w:val="none" w:sz="0" w:space="0" w:color="auto"/>
          </w:divBdr>
        </w:div>
        <w:div w:id="1884049685">
          <w:marLeft w:val="0"/>
          <w:marRight w:val="0"/>
          <w:marTop w:val="0"/>
          <w:marBottom w:val="0"/>
          <w:divBdr>
            <w:top w:val="none" w:sz="0" w:space="0" w:color="auto"/>
            <w:left w:val="none" w:sz="0" w:space="0" w:color="auto"/>
            <w:bottom w:val="none" w:sz="0" w:space="0" w:color="auto"/>
            <w:right w:val="none" w:sz="0" w:space="0" w:color="auto"/>
          </w:divBdr>
        </w:div>
        <w:div w:id="1888646149">
          <w:marLeft w:val="0"/>
          <w:marRight w:val="0"/>
          <w:marTop w:val="0"/>
          <w:marBottom w:val="0"/>
          <w:divBdr>
            <w:top w:val="none" w:sz="0" w:space="0" w:color="auto"/>
            <w:left w:val="none" w:sz="0" w:space="0" w:color="auto"/>
            <w:bottom w:val="none" w:sz="0" w:space="0" w:color="auto"/>
            <w:right w:val="none" w:sz="0" w:space="0" w:color="auto"/>
          </w:divBdr>
        </w:div>
        <w:div w:id="1892888671">
          <w:marLeft w:val="0"/>
          <w:marRight w:val="0"/>
          <w:marTop w:val="0"/>
          <w:marBottom w:val="0"/>
          <w:divBdr>
            <w:top w:val="none" w:sz="0" w:space="0" w:color="auto"/>
            <w:left w:val="none" w:sz="0" w:space="0" w:color="auto"/>
            <w:bottom w:val="none" w:sz="0" w:space="0" w:color="auto"/>
            <w:right w:val="none" w:sz="0" w:space="0" w:color="auto"/>
          </w:divBdr>
        </w:div>
      </w:divsChild>
    </w:div>
    <w:div w:id="1684162405">
      <w:bodyDiv w:val="1"/>
      <w:marLeft w:val="0"/>
      <w:marRight w:val="0"/>
      <w:marTop w:val="0"/>
      <w:marBottom w:val="0"/>
      <w:divBdr>
        <w:top w:val="none" w:sz="0" w:space="0" w:color="auto"/>
        <w:left w:val="none" w:sz="0" w:space="0" w:color="auto"/>
        <w:bottom w:val="none" w:sz="0" w:space="0" w:color="auto"/>
        <w:right w:val="none" w:sz="0" w:space="0" w:color="auto"/>
      </w:divBdr>
    </w:div>
    <w:div w:id="1695769770">
      <w:bodyDiv w:val="1"/>
      <w:marLeft w:val="0"/>
      <w:marRight w:val="0"/>
      <w:marTop w:val="0"/>
      <w:marBottom w:val="0"/>
      <w:divBdr>
        <w:top w:val="none" w:sz="0" w:space="0" w:color="auto"/>
        <w:left w:val="none" w:sz="0" w:space="0" w:color="auto"/>
        <w:bottom w:val="none" w:sz="0" w:space="0" w:color="auto"/>
        <w:right w:val="none" w:sz="0" w:space="0" w:color="auto"/>
      </w:divBdr>
    </w:div>
    <w:div w:id="1702242355">
      <w:bodyDiv w:val="1"/>
      <w:marLeft w:val="0"/>
      <w:marRight w:val="0"/>
      <w:marTop w:val="0"/>
      <w:marBottom w:val="0"/>
      <w:divBdr>
        <w:top w:val="none" w:sz="0" w:space="0" w:color="auto"/>
        <w:left w:val="none" w:sz="0" w:space="0" w:color="auto"/>
        <w:bottom w:val="none" w:sz="0" w:space="0" w:color="auto"/>
        <w:right w:val="none" w:sz="0" w:space="0" w:color="auto"/>
      </w:divBdr>
    </w:div>
    <w:div w:id="1708484909">
      <w:bodyDiv w:val="1"/>
      <w:marLeft w:val="0"/>
      <w:marRight w:val="0"/>
      <w:marTop w:val="0"/>
      <w:marBottom w:val="0"/>
      <w:divBdr>
        <w:top w:val="none" w:sz="0" w:space="0" w:color="auto"/>
        <w:left w:val="none" w:sz="0" w:space="0" w:color="auto"/>
        <w:bottom w:val="none" w:sz="0" w:space="0" w:color="auto"/>
        <w:right w:val="none" w:sz="0" w:space="0" w:color="auto"/>
      </w:divBdr>
    </w:div>
    <w:div w:id="1714572995">
      <w:bodyDiv w:val="1"/>
      <w:marLeft w:val="0"/>
      <w:marRight w:val="0"/>
      <w:marTop w:val="0"/>
      <w:marBottom w:val="0"/>
      <w:divBdr>
        <w:top w:val="none" w:sz="0" w:space="0" w:color="auto"/>
        <w:left w:val="none" w:sz="0" w:space="0" w:color="auto"/>
        <w:bottom w:val="none" w:sz="0" w:space="0" w:color="auto"/>
        <w:right w:val="none" w:sz="0" w:space="0" w:color="auto"/>
      </w:divBdr>
      <w:divsChild>
        <w:div w:id="96143046">
          <w:marLeft w:val="0"/>
          <w:marRight w:val="0"/>
          <w:marTop w:val="0"/>
          <w:marBottom w:val="0"/>
          <w:divBdr>
            <w:top w:val="none" w:sz="0" w:space="0" w:color="auto"/>
            <w:left w:val="none" w:sz="0" w:space="0" w:color="auto"/>
            <w:bottom w:val="none" w:sz="0" w:space="0" w:color="auto"/>
            <w:right w:val="none" w:sz="0" w:space="0" w:color="auto"/>
          </w:divBdr>
        </w:div>
        <w:div w:id="551118417">
          <w:marLeft w:val="0"/>
          <w:marRight w:val="0"/>
          <w:marTop w:val="0"/>
          <w:marBottom w:val="0"/>
          <w:divBdr>
            <w:top w:val="none" w:sz="0" w:space="0" w:color="auto"/>
            <w:left w:val="none" w:sz="0" w:space="0" w:color="auto"/>
            <w:bottom w:val="none" w:sz="0" w:space="0" w:color="auto"/>
            <w:right w:val="none" w:sz="0" w:space="0" w:color="auto"/>
          </w:divBdr>
        </w:div>
        <w:div w:id="916403611">
          <w:marLeft w:val="0"/>
          <w:marRight w:val="0"/>
          <w:marTop w:val="0"/>
          <w:marBottom w:val="0"/>
          <w:divBdr>
            <w:top w:val="none" w:sz="0" w:space="0" w:color="auto"/>
            <w:left w:val="none" w:sz="0" w:space="0" w:color="auto"/>
            <w:bottom w:val="none" w:sz="0" w:space="0" w:color="auto"/>
            <w:right w:val="none" w:sz="0" w:space="0" w:color="auto"/>
          </w:divBdr>
        </w:div>
        <w:div w:id="1192185176">
          <w:marLeft w:val="0"/>
          <w:marRight w:val="0"/>
          <w:marTop w:val="0"/>
          <w:marBottom w:val="0"/>
          <w:divBdr>
            <w:top w:val="none" w:sz="0" w:space="0" w:color="auto"/>
            <w:left w:val="none" w:sz="0" w:space="0" w:color="auto"/>
            <w:bottom w:val="none" w:sz="0" w:space="0" w:color="auto"/>
            <w:right w:val="none" w:sz="0" w:space="0" w:color="auto"/>
          </w:divBdr>
        </w:div>
        <w:div w:id="1464538915">
          <w:marLeft w:val="0"/>
          <w:marRight w:val="0"/>
          <w:marTop w:val="0"/>
          <w:marBottom w:val="0"/>
          <w:divBdr>
            <w:top w:val="none" w:sz="0" w:space="0" w:color="auto"/>
            <w:left w:val="none" w:sz="0" w:space="0" w:color="auto"/>
            <w:bottom w:val="none" w:sz="0" w:space="0" w:color="auto"/>
            <w:right w:val="none" w:sz="0" w:space="0" w:color="auto"/>
          </w:divBdr>
        </w:div>
      </w:divsChild>
    </w:div>
    <w:div w:id="1739403380">
      <w:bodyDiv w:val="1"/>
      <w:marLeft w:val="0"/>
      <w:marRight w:val="0"/>
      <w:marTop w:val="0"/>
      <w:marBottom w:val="0"/>
      <w:divBdr>
        <w:top w:val="none" w:sz="0" w:space="0" w:color="auto"/>
        <w:left w:val="none" w:sz="0" w:space="0" w:color="auto"/>
        <w:bottom w:val="none" w:sz="0" w:space="0" w:color="auto"/>
        <w:right w:val="none" w:sz="0" w:space="0" w:color="auto"/>
      </w:divBdr>
    </w:div>
    <w:div w:id="1753889478">
      <w:bodyDiv w:val="1"/>
      <w:marLeft w:val="0"/>
      <w:marRight w:val="0"/>
      <w:marTop w:val="0"/>
      <w:marBottom w:val="0"/>
      <w:divBdr>
        <w:top w:val="none" w:sz="0" w:space="0" w:color="auto"/>
        <w:left w:val="none" w:sz="0" w:space="0" w:color="auto"/>
        <w:bottom w:val="none" w:sz="0" w:space="0" w:color="auto"/>
        <w:right w:val="none" w:sz="0" w:space="0" w:color="auto"/>
      </w:divBdr>
    </w:div>
    <w:div w:id="1759015234">
      <w:bodyDiv w:val="1"/>
      <w:marLeft w:val="0"/>
      <w:marRight w:val="0"/>
      <w:marTop w:val="0"/>
      <w:marBottom w:val="0"/>
      <w:divBdr>
        <w:top w:val="none" w:sz="0" w:space="0" w:color="auto"/>
        <w:left w:val="none" w:sz="0" w:space="0" w:color="auto"/>
        <w:bottom w:val="none" w:sz="0" w:space="0" w:color="auto"/>
        <w:right w:val="none" w:sz="0" w:space="0" w:color="auto"/>
      </w:divBdr>
    </w:div>
    <w:div w:id="1771779698">
      <w:bodyDiv w:val="1"/>
      <w:marLeft w:val="0"/>
      <w:marRight w:val="0"/>
      <w:marTop w:val="0"/>
      <w:marBottom w:val="0"/>
      <w:divBdr>
        <w:top w:val="none" w:sz="0" w:space="0" w:color="auto"/>
        <w:left w:val="none" w:sz="0" w:space="0" w:color="auto"/>
        <w:bottom w:val="none" w:sz="0" w:space="0" w:color="auto"/>
        <w:right w:val="none" w:sz="0" w:space="0" w:color="auto"/>
      </w:divBdr>
    </w:div>
    <w:div w:id="1776514798">
      <w:bodyDiv w:val="1"/>
      <w:marLeft w:val="0"/>
      <w:marRight w:val="0"/>
      <w:marTop w:val="0"/>
      <w:marBottom w:val="0"/>
      <w:divBdr>
        <w:top w:val="none" w:sz="0" w:space="0" w:color="auto"/>
        <w:left w:val="none" w:sz="0" w:space="0" w:color="auto"/>
        <w:bottom w:val="none" w:sz="0" w:space="0" w:color="auto"/>
        <w:right w:val="none" w:sz="0" w:space="0" w:color="auto"/>
      </w:divBdr>
    </w:div>
    <w:div w:id="1808160850">
      <w:bodyDiv w:val="1"/>
      <w:marLeft w:val="0"/>
      <w:marRight w:val="0"/>
      <w:marTop w:val="0"/>
      <w:marBottom w:val="0"/>
      <w:divBdr>
        <w:top w:val="none" w:sz="0" w:space="0" w:color="auto"/>
        <w:left w:val="none" w:sz="0" w:space="0" w:color="auto"/>
        <w:bottom w:val="none" w:sz="0" w:space="0" w:color="auto"/>
        <w:right w:val="none" w:sz="0" w:space="0" w:color="auto"/>
      </w:divBdr>
      <w:divsChild>
        <w:div w:id="3098196">
          <w:marLeft w:val="0"/>
          <w:marRight w:val="0"/>
          <w:marTop w:val="0"/>
          <w:marBottom w:val="0"/>
          <w:divBdr>
            <w:top w:val="none" w:sz="0" w:space="0" w:color="auto"/>
            <w:left w:val="none" w:sz="0" w:space="0" w:color="auto"/>
            <w:bottom w:val="none" w:sz="0" w:space="0" w:color="auto"/>
            <w:right w:val="none" w:sz="0" w:space="0" w:color="auto"/>
          </w:divBdr>
        </w:div>
        <w:div w:id="50807499">
          <w:marLeft w:val="0"/>
          <w:marRight w:val="0"/>
          <w:marTop w:val="0"/>
          <w:marBottom w:val="0"/>
          <w:divBdr>
            <w:top w:val="none" w:sz="0" w:space="0" w:color="auto"/>
            <w:left w:val="none" w:sz="0" w:space="0" w:color="auto"/>
            <w:bottom w:val="none" w:sz="0" w:space="0" w:color="auto"/>
            <w:right w:val="none" w:sz="0" w:space="0" w:color="auto"/>
          </w:divBdr>
        </w:div>
        <w:div w:id="54548685">
          <w:marLeft w:val="0"/>
          <w:marRight w:val="0"/>
          <w:marTop w:val="0"/>
          <w:marBottom w:val="0"/>
          <w:divBdr>
            <w:top w:val="none" w:sz="0" w:space="0" w:color="auto"/>
            <w:left w:val="none" w:sz="0" w:space="0" w:color="auto"/>
            <w:bottom w:val="none" w:sz="0" w:space="0" w:color="auto"/>
            <w:right w:val="none" w:sz="0" w:space="0" w:color="auto"/>
          </w:divBdr>
        </w:div>
        <w:div w:id="72510509">
          <w:marLeft w:val="0"/>
          <w:marRight w:val="0"/>
          <w:marTop w:val="0"/>
          <w:marBottom w:val="0"/>
          <w:divBdr>
            <w:top w:val="none" w:sz="0" w:space="0" w:color="auto"/>
            <w:left w:val="none" w:sz="0" w:space="0" w:color="auto"/>
            <w:bottom w:val="none" w:sz="0" w:space="0" w:color="auto"/>
            <w:right w:val="none" w:sz="0" w:space="0" w:color="auto"/>
          </w:divBdr>
        </w:div>
        <w:div w:id="76247584">
          <w:marLeft w:val="0"/>
          <w:marRight w:val="0"/>
          <w:marTop w:val="0"/>
          <w:marBottom w:val="0"/>
          <w:divBdr>
            <w:top w:val="none" w:sz="0" w:space="0" w:color="auto"/>
            <w:left w:val="none" w:sz="0" w:space="0" w:color="auto"/>
            <w:bottom w:val="none" w:sz="0" w:space="0" w:color="auto"/>
            <w:right w:val="none" w:sz="0" w:space="0" w:color="auto"/>
          </w:divBdr>
        </w:div>
        <w:div w:id="95685053">
          <w:marLeft w:val="0"/>
          <w:marRight w:val="0"/>
          <w:marTop w:val="0"/>
          <w:marBottom w:val="0"/>
          <w:divBdr>
            <w:top w:val="none" w:sz="0" w:space="0" w:color="auto"/>
            <w:left w:val="none" w:sz="0" w:space="0" w:color="auto"/>
            <w:bottom w:val="none" w:sz="0" w:space="0" w:color="auto"/>
            <w:right w:val="none" w:sz="0" w:space="0" w:color="auto"/>
          </w:divBdr>
        </w:div>
        <w:div w:id="124930436">
          <w:marLeft w:val="0"/>
          <w:marRight w:val="0"/>
          <w:marTop w:val="0"/>
          <w:marBottom w:val="0"/>
          <w:divBdr>
            <w:top w:val="none" w:sz="0" w:space="0" w:color="auto"/>
            <w:left w:val="none" w:sz="0" w:space="0" w:color="auto"/>
            <w:bottom w:val="none" w:sz="0" w:space="0" w:color="auto"/>
            <w:right w:val="none" w:sz="0" w:space="0" w:color="auto"/>
          </w:divBdr>
        </w:div>
        <w:div w:id="147745673">
          <w:marLeft w:val="0"/>
          <w:marRight w:val="0"/>
          <w:marTop w:val="0"/>
          <w:marBottom w:val="0"/>
          <w:divBdr>
            <w:top w:val="none" w:sz="0" w:space="0" w:color="auto"/>
            <w:left w:val="none" w:sz="0" w:space="0" w:color="auto"/>
            <w:bottom w:val="none" w:sz="0" w:space="0" w:color="auto"/>
            <w:right w:val="none" w:sz="0" w:space="0" w:color="auto"/>
          </w:divBdr>
        </w:div>
        <w:div w:id="207256878">
          <w:marLeft w:val="0"/>
          <w:marRight w:val="0"/>
          <w:marTop w:val="0"/>
          <w:marBottom w:val="0"/>
          <w:divBdr>
            <w:top w:val="none" w:sz="0" w:space="0" w:color="auto"/>
            <w:left w:val="none" w:sz="0" w:space="0" w:color="auto"/>
            <w:bottom w:val="none" w:sz="0" w:space="0" w:color="auto"/>
            <w:right w:val="none" w:sz="0" w:space="0" w:color="auto"/>
          </w:divBdr>
        </w:div>
        <w:div w:id="243925214">
          <w:marLeft w:val="0"/>
          <w:marRight w:val="0"/>
          <w:marTop w:val="0"/>
          <w:marBottom w:val="0"/>
          <w:divBdr>
            <w:top w:val="none" w:sz="0" w:space="0" w:color="auto"/>
            <w:left w:val="none" w:sz="0" w:space="0" w:color="auto"/>
            <w:bottom w:val="none" w:sz="0" w:space="0" w:color="auto"/>
            <w:right w:val="none" w:sz="0" w:space="0" w:color="auto"/>
          </w:divBdr>
        </w:div>
        <w:div w:id="247151991">
          <w:marLeft w:val="0"/>
          <w:marRight w:val="0"/>
          <w:marTop w:val="0"/>
          <w:marBottom w:val="0"/>
          <w:divBdr>
            <w:top w:val="none" w:sz="0" w:space="0" w:color="auto"/>
            <w:left w:val="none" w:sz="0" w:space="0" w:color="auto"/>
            <w:bottom w:val="none" w:sz="0" w:space="0" w:color="auto"/>
            <w:right w:val="none" w:sz="0" w:space="0" w:color="auto"/>
          </w:divBdr>
        </w:div>
        <w:div w:id="253562754">
          <w:marLeft w:val="0"/>
          <w:marRight w:val="0"/>
          <w:marTop w:val="0"/>
          <w:marBottom w:val="0"/>
          <w:divBdr>
            <w:top w:val="none" w:sz="0" w:space="0" w:color="auto"/>
            <w:left w:val="none" w:sz="0" w:space="0" w:color="auto"/>
            <w:bottom w:val="none" w:sz="0" w:space="0" w:color="auto"/>
            <w:right w:val="none" w:sz="0" w:space="0" w:color="auto"/>
          </w:divBdr>
        </w:div>
        <w:div w:id="255672558">
          <w:marLeft w:val="0"/>
          <w:marRight w:val="0"/>
          <w:marTop w:val="0"/>
          <w:marBottom w:val="0"/>
          <w:divBdr>
            <w:top w:val="none" w:sz="0" w:space="0" w:color="auto"/>
            <w:left w:val="none" w:sz="0" w:space="0" w:color="auto"/>
            <w:bottom w:val="none" w:sz="0" w:space="0" w:color="auto"/>
            <w:right w:val="none" w:sz="0" w:space="0" w:color="auto"/>
          </w:divBdr>
        </w:div>
        <w:div w:id="258222558">
          <w:marLeft w:val="0"/>
          <w:marRight w:val="0"/>
          <w:marTop w:val="0"/>
          <w:marBottom w:val="0"/>
          <w:divBdr>
            <w:top w:val="none" w:sz="0" w:space="0" w:color="auto"/>
            <w:left w:val="none" w:sz="0" w:space="0" w:color="auto"/>
            <w:bottom w:val="none" w:sz="0" w:space="0" w:color="auto"/>
            <w:right w:val="none" w:sz="0" w:space="0" w:color="auto"/>
          </w:divBdr>
        </w:div>
        <w:div w:id="296450407">
          <w:marLeft w:val="0"/>
          <w:marRight w:val="0"/>
          <w:marTop w:val="0"/>
          <w:marBottom w:val="0"/>
          <w:divBdr>
            <w:top w:val="none" w:sz="0" w:space="0" w:color="auto"/>
            <w:left w:val="none" w:sz="0" w:space="0" w:color="auto"/>
            <w:bottom w:val="none" w:sz="0" w:space="0" w:color="auto"/>
            <w:right w:val="none" w:sz="0" w:space="0" w:color="auto"/>
          </w:divBdr>
        </w:div>
        <w:div w:id="315500257">
          <w:marLeft w:val="0"/>
          <w:marRight w:val="0"/>
          <w:marTop w:val="0"/>
          <w:marBottom w:val="0"/>
          <w:divBdr>
            <w:top w:val="none" w:sz="0" w:space="0" w:color="auto"/>
            <w:left w:val="none" w:sz="0" w:space="0" w:color="auto"/>
            <w:bottom w:val="none" w:sz="0" w:space="0" w:color="auto"/>
            <w:right w:val="none" w:sz="0" w:space="0" w:color="auto"/>
          </w:divBdr>
        </w:div>
        <w:div w:id="318466334">
          <w:marLeft w:val="0"/>
          <w:marRight w:val="0"/>
          <w:marTop w:val="0"/>
          <w:marBottom w:val="0"/>
          <w:divBdr>
            <w:top w:val="none" w:sz="0" w:space="0" w:color="auto"/>
            <w:left w:val="none" w:sz="0" w:space="0" w:color="auto"/>
            <w:bottom w:val="none" w:sz="0" w:space="0" w:color="auto"/>
            <w:right w:val="none" w:sz="0" w:space="0" w:color="auto"/>
          </w:divBdr>
        </w:div>
        <w:div w:id="391121698">
          <w:marLeft w:val="0"/>
          <w:marRight w:val="0"/>
          <w:marTop w:val="0"/>
          <w:marBottom w:val="0"/>
          <w:divBdr>
            <w:top w:val="none" w:sz="0" w:space="0" w:color="auto"/>
            <w:left w:val="none" w:sz="0" w:space="0" w:color="auto"/>
            <w:bottom w:val="none" w:sz="0" w:space="0" w:color="auto"/>
            <w:right w:val="none" w:sz="0" w:space="0" w:color="auto"/>
          </w:divBdr>
        </w:div>
        <w:div w:id="452796052">
          <w:marLeft w:val="0"/>
          <w:marRight w:val="0"/>
          <w:marTop w:val="0"/>
          <w:marBottom w:val="0"/>
          <w:divBdr>
            <w:top w:val="none" w:sz="0" w:space="0" w:color="auto"/>
            <w:left w:val="none" w:sz="0" w:space="0" w:color="auto"/>
            <w:bottom w:val="none" w:sz="0" w:space="0" w:color="auto"/>
            <w:right w:val="none" w:sz="0" w:space="0" w:color="auto"/>
          </w:divBdr>
        </w:div>
        <w:div w:id="465927912">
          <w:marLeft w:val="0"/>
          <w:marRight w:val="0"/>
          <w:marTop w:val="0"/>
          <w:marBottom w:val="0"/>
          <w:divBdr>
            <w:top w:val="none" w:sz="0" w:space="0" w:color="auto"/>
            <w:left w:val="none" w:sz="0" w:space="0" w:color="auto"/>
            <w:bottom w:val="none" w:sz="0" w:space="0" w:color="auto"/>
            <w:right w:val="none" w:sz="0" w:space="0" w:color="auto"/>
          </w:divBdr>
        </w:div>
        <w:div w:id="468938605">
          <w:marLeft w:val="0"/>
          <w:marRight w:val="0"/>
          <w:marTop w:val="0"/>
          <w:marBottom w:val="0"/>
          <w:divBdr>
            <w:top w:val="none" w:sz="0" w:space="0" w:color="auto"/>
            <w:left w:val="none" w:sz="0" w:space="0" w:color="auto"/>
            <w:bottom w:val="none" w:sz="0" w:space="0" w:color="auto"/>
            <w:right w:val="none" w:sz="0" w:space="0" w:color="auto"/>
          </w:divBdr>
        </w:div>
        <w:div w:id="470755120">
          <w:marLeft w:val="0"/>
          <w:marRight w:val="0"/>
          <w:marTop w:val="0"/>
          <w:marBottom w:val="0"/>
          <w:divBdr>
            <w:top w:val="none" w:sz="0" w:space="0" w:color="auto"/>
            <w:left w:val="none" w:sz="0" w:space="0" w:color="auto"/>
            <w:bottom w:val="none" w:sz="0" w:space="0" w:color="auto"/>
            <w:right w:val="none" w:sz="0" w:space="0" w:color="auto"/>
          </w:divBdr>
        </w:div>
        <w:div w:id="496727693">
          <w:marLeft w:val="0"/>
          <w:marRight w:val="0"/>
          <w:marTop w:val="0"/>
          <w:marBottom w:val="0"/>
          <w:divBdr>
            <w:top w:val="none" w:sz="0" w:space="0" w:color="auto"/>
            <w:left w:val="none" w:sz="0" w:space="0" w:color="auto"/>
            <w:bottom w:val="none" w:sz="0" w:space="0" w:color="auto"/>
            <w:right w:val="none" w:sz="0" w:space="0" w:color="auto"/>
          </w:divBdr>
        </w:div>
        <w:div w:id="505098715">
          <w:marLeft w:val="0"/>
          <w:marRight w:val="0"/>
          <w:marTop w:val="0"/>
          <w:marBottom w:val="0"/>
          <w:divBdr>
            <w:top w:val="none" w:sz="0" w:space="0" w:color="auto"/>
            <w:left w:val="none" w:sz="0" w:space="0" w:color="auto"/>
            <w:bottom w:val="none" w:sz="0" w:space="0" w:color="auto"/>
            <w:right w:val="none" w:sz="0" w:space="0" w:color="auto"/>
          </w:divBdr>
        </w:div>
        <w:div w:id="516769404">
          <w:marLeft w:val="0"/>
          <w:marRight w:val="0"/>
          <w:marTop w:val="0"/>
          <w:marBottom w:val="0"/>
          <w:divBdr>
            <w:top w:val="none" w:sz="0" w:space="0" w:color="auto"/>
            <w:left w:val="none" w:sz="0" w:space="0" w:color="auto"/>
            <w:bottom w:val="none" w:sz="0" w:space="0" w:color="auto"/>
            <w:right w:val="none" w:sz="0" w:space="0" w:color="auto"/>
          </w:divBdr>
        </w:div>
        <w:div w:id="537205082">
          <w:marLeft w:val="0"/>
          <w:marRight w:val="0"/>
          <w:marTop w:val="0"/>
          <w:marBottom w:val="0"/>
          <w:divBdr>
            <w:top w:val="none" w:sz="0" w:space="0" w:color="auto"/>
            <w:left w:val="none" w:sz="0" w:space="0" w:color="auto"/>
            <w:bottom w:val="none" w:sz="0" w:space="0" w:color="auto"/>
            <w:right w:val="none" w:sz="0" w:space="0" w:color="auto"/>
          </w:divBdr>
        </w:div>
        <w:div w:id="537397163">
          <w:marLeft w:val="0"/>
          <w:marRight w:val="0"/>
          <w:marTop w:val="0"/>
          <w:marBottom w:val="0"/>
          <w:divBdr>
            <w:top w:val="none" w:sz="0" w:space="0" w:color="auto"/>
            <w:left w:val="none" w:sz="0" w:space="0" w:color="auto"/>
            <w:bottom w:val="none" w:sz="0" w:space="0" w:color="auto"/>
            <w:right w:val="none" w:sz="0" w:space="0" w:color="auto"/>
          </w:divBdr>
        </w:div>
        <w:div w:id="561253210">
          <w:marLeft w:val="0"/>
          <w:marRight w:val="0"/>
          <w:marTop w:val="0"/>
          <w:marBottom w:val="0"/>
          <w:divBdr>
            <w:top w:val="none" w:sz="0" w:space="0" w:color="auto"/>
            <w:left w:val="none" w:sz="0" w:space="0" w:color="auto"/>
            <w:bottom w:val="none" w:sz="0" w:space="0" w:color="auto"/>
            <w:right w:val="none" w:sz="0" w:space="0" w:color="auto"/>
          </w:divBdr>
        </w:div>
        <w:div w:id="575553317">
          <w:marLeft w:val="0"/>
          <w:marRight w:val="0"/>
          <w:marTop w:val="0"/>
          <w:marBottom w:val="0"/>
          <w:divBdr>
            <w:top w:val="none" w:sz="0" w:space="0" w:color="auto"/>
            <w:left w:val="none" w:sz="0" w:space="0" w:color="auto"/>
            <w:bottom w:val="none" w:sz="0" w:space="0" w:color="auto"/>
            <w:right w:val="none" w:sz="0" w:space="0" w:color="auto"/>
          </w:divBdr>
        </w:div>
        <w:div w:id="581792941">
          <w:marLeft w:val="0"/>
          <w:marRight w:val="0"/>
          <w:marTop w:val="0"/>
          <w:marBottom w:val="0"/>
          <w:divBdr>
            <w:top w:val="none" w:sz="0" w:space="0" w:color="auto"/>
            <w:left w:val="none" w:sz="0" w:space="0" w:color="auto"/>
            <w:bottom w:val="none" w:sz="0" w:space="0" w:color="auto"/>
            <w:right w:val="none" w:sz="0" w:space="0" w:color="auto"/>
          </w:divBdr>
        </w:div>
        <w:div w:id="590435463">
          <w:marLeft w:val="0"/>
          <w:marRight w:val="0"/>
          <w:marTop w:val="0"/>
          <w:marBottom w:val="0"/>
          <w:divBdr>
            <w:top w:val="none" w:sz="0" w:space="0" w:color="auto"/>
            <w:left w:val="none" w:sz="0" w:space="0" w:color="auto"/>
            <w:bottom w:val="none" w:sz="0" w:space="0" w:color="auto"/>
            <w:right w:val="none" w:sz="0" w:space="0" w:color="auto"/>
          </w:divBdr>
        </w:div>
        <w:div w:id="611935081">
          <w:marLeft w:val="0"/>
          <w:marRight w:val="0"/>
          <w:marTop w:val="0"/>
          <w:marBottom w:val="0"/>
          <w:divBdr>
            <w:top w:val="none" w:sz="0" w:space="0" w:color="auto"/>
            <w:left w:val="none" w:sz="0" w:space="0" w:color="auto"/>
            <w:bottom w:val="none" w:sz="0" w:space="0" w:color="auto"/>
            <w:right w:val="none" w:sz="0" w:space="0" w:color="auto"/>
          </w:divBdr>
        </w:div>
        <w:div w:id="621301630">
          <w:marLeft w:val="0"/>
          <w:marRight w:val="0"/>
          <w:marTop w:val="0"/>
          <w:marBottom w:val="0"/>
          <w:divBdr>
            <w:top w:val="none" w:sz="0" w:space="0" w:color="auto"/>
            <w:left w:val="none" w:sz="0" w:space="0" w:color="auto"/>
            <w:bottom w:val="none" w:sz="0" w:space="0" w:color="auto"/>
            <w:right w:val="none" w:sz="0" w:space="0" w:color="auto"/>
          </w:divBdr>
        </w:div>
        <w:div w:id="625891894">
          <w:marLeft w:val="0"/>
          <w:marRight w:val="0"/>
          <w:marTop w:val="0"/>
          <w:marBottom w:val="0"/>
          <w:divBdr>
            <w:top w:val="none" w:sz="0" w:space="0" w:color="auto"/>
            <w:left w:val="none" w:sz="0" w:space="0" w:color="auto"/>
            <w:bottom w:val="none" w:sz="0" w:space="0" w:color="auto"/>
            <w:right w:val="none" w:sz="0" w:space="0" w:color="auto"/>
          </w:divBdr>
        </w:div>
        <w:div w:id="657268412">
          <w:marLeft w:val="0"/>
          <w:marRight w:val="0"/>
          <w:marTop w:val="0"/>
          <w:marBottom w:val="0"/>
          <w:divBdr>
            <w:top w:val="none" w:sz="0" w:space="0" w:color="auto"/>
            <w:left w:val="none" w:sz="0" w:space="0" w:color="auto"/>
            <w:bottom w:val="none" w:sz="0" w:space="0" w:color="auto"/>
            <w:right w:val="none" w:sz="0" w:space="0" w:color="auto"/>
          </w:divBdr>
        </w:div>
        <w:div w:id="675427361">
          <w:marLeft w:val="0"/>
          <w:marRight w:val="0"/>
          <w:marTop w:val="0"/>
          <w:marBottom w:val="0"/>
          <w:divBdr>
            <w:top w:val="none" w:sz="0" w:space="0" w:color="auto"/>
            <w:left w:val="none" w:sz="0" w:space="0" w:color="auto"/>
            <w:bottom w:val="none" w:sz="0" w:space="0" w:color="auto"/>
            <w:right w:val="none" w:sz="0" w:space="0" w:color="auto"/>
          </w:divBdr>
        </w:div>
        <w:div w:id="679165696">
          <w:marLeft w:val="0"/>
          <w:marRight w:val="0"/>
          <w:marTop w:val="0"/>
          <w:marBottom w:val="0"/>
          <w:divBdr>
            <w:top w:val="none" w:sz="0" w:space="0" w:color="auto"/>
            <w:left w:val="none" w:sz="0" w:space="0" w:color="auto"/>
            <w:bottom w:val="none" w:sz="0" w:space="0" w:color="auto"/>
            <w:right w:val="none" w:sz="0" w:space="0" w:color="auto"/>
          </w:divBdr>
        </w:div>
        <w:div w:id="683827944">
          <w:marLeft w:val="0"/>
          <w:marRight w:val="0"/>
          <w:marTop w:val="0"/>
          <w:marBottom w:val="0"/>
          <w:divBdr>
            <w:top w:val="none" w:sz="0" w:space="0" w:color="auto"/>
            <w:left w:val="none" w:sz="0" w:space="0" w:color="auto"/>
            <w:bottom w:val="none" w:sz="0" w:space="0" w:color="auto"/>
            <w:right w:val="none" w:sz="0" w:space="0" w:color="auto"/>
          </w:divBdr>
        </w:div>
        <w:div w:id="686558946">
          <w:marLeft w:val="0"/>
          <w:marRight w:val="0"/>
          <w:marTop w:val="0"/>
          <w:marBottom w:val="0"/>
          <w:divBdr>
            <w:top w:val="none" w:sz="0" w:space="0" w:color="auto"/>
            <w:left w:val="none" w:sz="0" w:space="0" w:color="auto"/>
            <w:bottom w:val="none" w:sz="0" w:space="0" w:color="auto"/>
            <w:right w:val="none" w:sz="0" w:space="0" w:color="auto"/>
          </w:divBdr>
        </w:div>
        <w:div w:id="703791547">
          <w:marLeft w:val="0"/>
          <w:marRight w:val="0"/>
          <w:marTop w:val="0"/>
          <w:marBottom w:val="0"/>
          <w:divBdr>
            <w:top w:val="none" w:sz="0" w:space="0" w:color="auto"/>
            <w:left w:val="none" w:sz="0" w:space="0" w:color="auto"/>
            <w:bottom w:val="none" w:sz="0" w:space="0" w:color="auto"/>
            <w:right w:val="none" w:sz="0" w:space="0" w:color="auto"/>
          </w:divBdr>
        </w:div>
        <w:div w:id="727191321">
          <w:marLeft w:val="0"/>
          <w:marRight w:val="0"/>
          <w:marTop w:val="0"/>
          <w:marBottom w:val="0"/>
          <w:divBdr>
            <w:top w:val="none" w:sz="0" w:space="0" w:color="auto"/>
            <w:left w:val="none" w:sz="0" w:space="0" w:color="auto"/>
            <w:bottom w:val="none" w:sz="0" w:space="0" w:color="auto"/>
            <w:right w:val="none" w:sz="0" w:space="0" w:color="auto"/>
          </w:divBdr>
        </w:div>
        <w:div w:id="729498971">
          <w:marLeft w:val="0"/>
          <w:marRight w:val="0"/>
          <w:marTop w:val="0"/>
          <w:marBottom w:val="0"/>
          <w:divBdr>
            <w:top w:val="none" w:sz="0" w:space="0" w:color="auto"/>
            <w:left w:val="none" w:sz="0" w:space="0" w:color="auto"/>
            <w:bottom w:val="none" w:sz="0" w:space="0" w:color="auto"/>
            <w:right w:val="none" w:sz="0" w:space="0" w:color="auto"/>
          </w:divBdr>
        </w:div>
        <w:div w:id="758138830">
          <w:marLeft w:val="0"/>
          <w:marRight w:val="0"/>
          <w:marTop w:val="0"/>
          <w:marBottom w:val="0"/>
          <w:divBdr>
            <w:top w:val="none" w:sz="0" w:space="0" w:color="auto"/>
            <w:left w:val="none" w:sz="0" w:space="0" w:color="auto"/>
            <w:bottom w:val="none" w:sz="0" w:space="0" w:color="auto"/>
            <w:right w:val="none" w:sz="0" w:space="0" w:color="auto"/>
          </w:divBdr>
        </w:div>
        <w:div w:id="764569360">
          <w:marLeft w:val="0"/>
          <w:marRight w:val="0"/>
          <w:marTop w:val="0"/>
          <w:marBottom w:val="0"/>
          <w:divBdr>
            <w:top w:val="none" w:sz="0" w:space="0" w:color="auto"/>
            <w:left w:val="none" w:sz="0" w:space="0" w:color="auto"/>
            <w:bottom w:val="none" w:sz="0" w:space="0" w:color="auto"/>
            <w:right w:val="none" w:sz="0" w:space="0" w:color="auto"/>
          </w:divBdr>
        </w:div>
        <w:div w:id="816652942">
          <w:marLeft w:val="0"/>
          <w:marRight w:val="0"/>
          <w:marTop w:val="0"/>
          <w:marBottom w:val="0"/>
          <w:divBdr>
            <w:top w:val="none" w:sz="0" w:space="0" w:color="auto"/>
            <w:left w:val="none" w:sz="0" w:space="0" w:color="auto"/>
            <w:bottom w:val="none" w:sz="0" w:space="0" w:color="auto"/>
            <w:right w:val="none" w:sz="0" w:space="0" w:color="auto"/>
          </w:divBdr>
        </w:div>
        <w:div w:id="858737802">
          <w:marLeft w:val="0"/>
          <w:marRight w:val="0"/>
          <w:marTop w:val="0"/>
          <w:marBottom w:val="0"/>
          <w:divBdr>
            <w:top w:val="none" w:sz="0" w:space="0" w:color="auto"/>
            <w:left w:val="none" w:sz="0" w:space="0" w:color="auto"/>
            <w:bottom w:val="none" w:sz="0" w:space="0" w:color="auto"/>
            <w:right w:val="none" w:sz="0" w:space="0" w:color="auto"/>
          </w:divBdr>
        </w:div>
        <w:div w:id="890926748">
          <w:marLeft w:val="0"/>
          <w:marRight w:val="0"/>
          <w:marTop w:val="0"/>
          <w:marBottom w:val="0"/>
          <w:divBdr>
            <w:top w:val="none" w:sz="0" w:space="0" w:color="auto"/>
            <w:left w:val="none" w:sz="0" w:space="0" w:color="auto"/>
            <w:bottom w:val="none" w:sz="0" w:space="0" w:color="auto"/>
            <w:right w:val="none" w:sz="0" w:space="0" w:color="auto"/>
          </w:divBdr>
        </w:div>
        <w:div w:id="958419013">
          <w:marLeft w:val="0"/>
          <w:marRight w:val="0"/>
          <w:marTop w:val="0"/>
          <w:marBottom w:val="0"/>
          <w:divBdr>
            <w:top w:val="none" w:sz="0" w:space="0" w:color="auto"/>
            <w:left w:val="none" w:sz="0" w:space="0" w:color="auto"/>
            <w:bottom w:val="none" w:sz="0" w:space="0" w:color="auto"/>
            <w:right w:val="none" w:sz="0" w:space="0" w:color="auto"/>
          </w:divBdr>
        </w:div>
        <w:div w:id="963534225">
          <w:marLeft w:val="0"/>
          <w:marRight w:val="0"/>
          <w:marTop w:val="0"/>
          <w:marBottom w:val="0"/>
          <w:divBdr>
            <w:top w:val="none" w:sz="0" w:space="0" w:color="auto"/>
            <w:left w:val="none" w:sz="0" w:space="0" w:color="auto"/>
            <w:bottom w:val="none" w:sz="0" w:space="0" w:color="auto"/>
            <w:right w:val="none" w:sz="0" w:space="0" w:color="auto"/>
          </w:divBdr>
        </w:div>
        <w:div w:id="1003820237">
          <w:marLeft w:val="0"/>
          <w:marRight w:val="0"/>
          <w:marTop w:val="0"/>
          <w:marBottom w:val="0"/>
          <w:divBdr>
            <w:top w:val="none" w:sz="0" w:space="0" w:color="auto"/>
            <w:left w:val="none" w:sz="0" w:space="0" w:color="auto"/>
            <w:bottom w:val="none" w:sz="0" w:space="0" w:color="auto"/>
            <w:right w:val="none" w:sz="0" w:space="0" w:color="auto"/>
          </w:divBdr>
        </w:div>
        <w:div w:id="1032926666">
          <w:marLeft w:val="0"/>
          <w:marRight w:val="0"/>
          <w:marTop w:val="0"/>
          <w:marBottom w:val="0"/>
          <w:divBdr>
            <w:top w:val="none" w:sz="0" w:space="0" w:color="auto"/>
            <w:left w:val="none" w:sz="0" w:space="0" w:color="auto"/>
            <w:bottom w:val="none" w:sz="0" w:space="0" w:color="auto"/>
            <w:right w:val="none" w:sz="0" w:space="0" w:color="auto"/>
          </w:divBdr>
        </w:div>
        <w:div w:id="1073088125">
          <w:marLeft w:val="0"/>
          <w:marRight w:val="0"/>
          <w:marTop w:val="0"/>
          <w:marBottom w:val="0"/>
          <w:divBdr>
            <w:top w:val="none" w:sz="0" w:space="0" w:color="auto"/>
            <w:left w:val="none" w:sz="0" w:space="0" w:color="auto"/>
            <w:bottom w:val="none" w:sz="0" w:space="0" w:color="auto"/>
            <w:right w:val="none" w:sz="0" w:space="0" w:color="auto"/>
          </w:divBdr>
        </w:div>
        <w:div w:id="1079329719">
          <w:marLeft w:val="0"/>
          <w:marRight w:val="0"/>
          <w:marTop w:val="0"/>
          <w:marBottom w:val="0"/>
          <w:divBdr>
            <w:top w:val="none" w:sz="0" w:space="0" w:color="auto"/>
            <w:left w:val="none" w:sz="0" w:space="0" w:color="auto"/>
            <w:bottom w:val="none" w:sz="0" w:space="0" w:color="auto"/>
            <w:right w:val="none" w:sz="0" w:space="0" w:color="auto"/>
          </w:divBdr>
        </w:div>
        <w:div w:id="1100568829">
          <w:marLeft w:val="0"/>
          <w:marRight w:val="0"/>
          <w:marTop w:val="0"/>
          <w:marBottom w:val="0"/>
          <w:divBdr>
            <w:top w:val="none" w:sz="0" w:space="0" w:color="auto"/>
            <w:left w:val="none" w:sz="0" w:space="0" w:color="auto"/>
            <w:bottom w:val="none" w:sz="0" w:space="0" w:color="auto"/>
            <w:right w:val="none" w:sz="0" w:space="0" w:color="auto"/>
          </w:divBdr>
        </w:div>
        <w:div w:id="1118717544">
          <w:marLeft w:val="0"/>
          <w:marRight w:val="0"/>
          <w:marTop w:val="0"/>
          <w:marBottom w:val="0"/>
          <w:divBdr>
            <w:top w:val="none" w:sz="0" w:space="0" w:color="auto"/>
            <w:left w:val="none" w:sz="0" w:space="0" w:color="auto"/>
            <w:bottom w:val="none" w:sz="0" w:space="0" w:color="auto"/>
            <w:right w:val="none" w:sz="0" w:space="0" w:color="auto"/>
          </w:divBdr>
        </w:div>
        <w:div w:id="1123187739">
          <w:marLeft w:val="0"/>
          <w:marRight w:val="0"/>
          <w:marTop w:val="0"/>
          <w:marBottom w:val="0"/>
          <w:divBdr>
            <w:top w:val="none" w:sz="0" w:space="0" w:color="auto"/>
            <w:left w:val="none" w:sz="0" w:space="0" w:color="auto"/>
            <w:bottom w:val="none" w:sz="0" w:space="0" w:color="auto"/>
            <w:right w:val="none" w:sz="0" w:space="0" w:color="auto"/>
          </w:divBdr>
        </w:div>
        <w:div w:id="1138229449">
          <w:marLeft w:val="0"/>
          <w:marRight w:val="0"/>
          <w:marTop w:val="0"/>
          <w:marBottom w:val="0"/>
          <w:divBdr>
            <w:top w:val="none" w:sz="0" w:space="0" w:color="auto"/>
            <w:left w:val="none" w:sz="0" w:space="0" w:color="auto"/>
            <w:bottom w:val="none" w:sz="0" w:space="0" w:color="auto"/>
            <w:right w:val="none" w:sz="0" w:space="0" w:color="auto"/>
          </w:divBdr>
        </w:div>
        <w:div w:id="1162157923">
          <w:marLeft w:val="0"/>
          <w:marRight w:val="0"/>
          <w:marTop w:val="0"/>
          <w:marBottom w:val="0"/>
          <w:divBdr>
            <w:top w:val="none" w:sz="0" w:space="0" w:color="auto"/>
            <w:left w:val="none" w:sz="0" w:space="0" w:color="auto"/>
            <w:bottom w:val="none" w:sz="0" w:space="0" w:color="auto"/>
            <w:right w:val="none" w:sz="0" w:space="0" w:color="auto"/>
          </w:divBdr>
        </w:div>
        <w:div w:id="1179154580">
          <w:marLeft w:val="0"/>
          <w:marRight w:val="0"/>
          <w:marTop w:val="0"/>
          <w:marBottom w:val="0"/>
          <w:divBdr>
            <w:top w:val="none" w:sz="0" w:space="0" w:color="auto"/>
            <w:left w:val="none" w:sz="0" w:space="0" w:color="auto"/>
            <w:bottom w:val="none" w:sz="0" w:space="0" w:color="auto"/>
            <w:right w:val="none" w:sz="0" w:space="0" w:color="auto"/>
          </w:divBdr>
        </w:div>
        <w:div w:id="1207524887">
          <w:marLeft w:val="0"/>
          <w:marRight w:val="0"/>
          <w:marTop w:val="0"/>
          <w:marBottom w:val="0"/>
          <w:divBdr>
            <w:top w:val="none" w:sz="0" w:space="0" w:color="auto"/>
            <w:left w:val="none" w:sz="0" w:space="0" w:color="auto"/>
            <w:bottom w:val="none" w:sz="0" w:space="0" w:color="auto"/>
            <w:right w:val="none" w:sz="0" w:space="0" w:color="auto"/>
          </w:divBdr>
        </w:div>
        <w:div w:id="1233152091">
          <w:marLeft w:val="0"/>
          <w:marRight w:val="0"/>
          <w:marTop w:val="0"/>
          <w:marBottom w:val="0"/>
          <w:divBdr>
            <w:top w:val="none" w:sz="0" w:space="0" w:color="auto"/>
            <w:left w:val="none" w:sz="0" w:space="0" w:color="auto"/>
            <w:bottom w:val="none" w:sz="0" w:space="0" w:color="auto"/>
            <w:right w:val="none" w:sz="0" w:space="0" w:color="auto"/>
          </w:divBdr>
        </w:div>
        <w:div w:id="1236358959">
          <w:marLeft w:val="0"/>
          <w:marRight w:val="0"/>
          <w:marTop w:val="0"/>
          <w:marBottom w:val="0"/>
          <w:divBdr>
            <w:top w:val="none" w:sz="0" w:space="0" w:color="auto"/>
            <w:left w:val="none" w:sz="0" w:space="0" w:color="auto"/>
            <w:bottom w:val="none" w:sz="0" w:space="0" w:color="auto"/>
            <w:right w:val="none" w:sz="0" w:space="0" w:color="auto"/>
          </w:divBdr>
        </w:div>
        <w:div w:id="1269657957">
          <w:marLeft w:val="0"/>
          <w:marRight w:val="0"/>
          <w:marTop w:val="0"/>
          <w:marBottom w:val="0"/>
          <w:divBdr>
            <w:top w:val="none" w:sz="0" w:space="0" w:color="auto"/>
            <w:left w:val="none" w:sz="0" w:space="0" w:color="auto"/>
            <w:bottom w:val="none" w:sz="0" w:space="0" w:color="auto"/>
            <w:right w:val="none" w:sz="0" w:space="0" w:color="auto"/>
          </w:divBdr>
        </w:div>
        <w:div w:id="1269894622">
          <w:marLeft w:val="0"/>
          <w:marRight w:val="0"/>
          <w:marTop w:val="0"/>
          <w:marBottom w:val="0"/>
          <w:divBdr>
            <w:top w:val="none" w:sz="0" w:space="0" w:color="auto"/>
            <w:left w:val="none" w:sz="0" w:space="0" w:color="auto"/>
            <w:bottom w:val="none" w:sz="0" w:space="0" w:color="auto"/>
            <w:right w:val="none" w:sz="0" w:space="0" w:color="auto"/>
          </w:divBdr>
        </w:div>
        <w:div w:id="1273511243">
          <w:marLeft w:val="0"/>
          <w:marRight w:val="0"/>
          <w:marTop w:val="0"/>
          <w:marBottom w:val="0"/>
          <w:divBdr>
            <w:top w:val="none" w:sz="0" w:space="0" w:color="auto"/>
            <w:left w:val="none" w:sz="0" w:space="0" w:color="auto"/>
            <w:bottom w:val="none" w:sz="0" w:space="0" w:color="auto"/>
            <w:right w:val="none" w:sz="0" w:space="0" w:color="auto"/>
          </w:divBdr>
        </w:div>
        <w:div w:id="1287275110">
          <w:marLeft w:val="0"/>
          <w:marRight w:val="0"/>
          <w:marTop w:val="0"/>
          <w:marBottom w:val="0"/>
          <w:divBdr>
            <w:top w:val="none" w:sz="0" w:space="0" w:color="auto"/>
            <w:left w:val="none" w:sz="0" w:space="0" w:color="auto"/>
            <w:bottom w:val="none" w:sz="0" w:space="0" w:color="auto"/>
            <w:right w:val="none" w:sz="0" w:space="0" w:color="auto"/>
          </w:divBdr>
        </w:div>
        <w:div w:id="1317219264">
          <w:marLeft w:val="0"/>
          <w:marRight w:val="0"/>
          <w:marTop w:val="0"/>
          <w:marBottom w:val="0"/>
          <w:divBdr>
            <w:top w:val="none" w:sz="0" w:space="0" w:color="auto"/>
            <w:left w:val="none" w:sz="0" w:space="0" w:color="auto"/>
            <w:bottom w:val="none" w:sz="0" w:space="0" w:color="auto"/>
            <w:right w:val="none" w:sz="0" w:space="0" w:color="auto"/>
          </w:divBdr>
        </w:div>
        <w:div w:id="1350137656">
          <w:marLeft w:val="0"/>
          <w:marRight w:val="0"/>
          <w:marTop w:val="0"/>
          <w:marBottom w:val="0"/>
          <w:divBdr>
            <w:top w:val="none" w:sz="0" w:space="0" w:color="auto"/>
            <w:left w:val="none" w:sz="0" w:space="0" w:color="auto"/>
            <w:bottom w:val="none" w:sz="0" w:space="0" w:color="auto"/>
            <w:right w:val="none" w:sz="0" w:space="0" w:color="auto"/>
          </w:divBdr>
        </w:div>
        <w:div w:id="1352683806">
          <w:marLeft w:val="0"/>
          <w:marRight w:val="0"/>
          <w:marTop w:val="0"/>
          <w:marBottom w:val="0"/>
          <w:divBdr>
            <w:top w:val="none" w:sz="0" w:space="0" w:color="auto"/>
            <w:left w:val="none" w:sz="0" w:space="0" w:color="auto"/>
            <w:bottom w:val="none" w:sz="0" w:space="0" w:color="auto"/>
            <w:right w:val="none" w:sz="0" w:space="0" w:color="auto"/>
          </w:divBdr>
        </w:div>
        <w:div w:id="1355696057">
          <w:marLeft w:val="0"/>
          <w:marRight w:val="0"/>
          <w:marTop w:val="0"/>
          <w:marBottom w:val="0"/>
          <w:divBdr>
            <w:top w:val="none" w:sz="0" w:space="0" w:color="auto"/>
            <w:left w:val="none" w:sz="0" w:space="0" w:color="auto"/>
            <w:bottom w:val="none" w:sz="0" w:space="0" w:color="auto"/>
            <w:right w:val="none" w:sz="0" w:space="0" w:color="auto"/>
          </w:divBdr>
        </w:div>
        <w:div w:id="1439523014">
          <w:marLeft w:val="0"/>
          <w:marRight w:val="0"/>
          <w:marTop w:val="0"/>
          <w:marBottom w:val="0"/>
          <w:divBdr>
            <w:top w:val="none" w:sz="0" w:space="0" w:color="auto"/>
            <w:left w:val="none" w:sz="0" w:space="0" w:color="auto"/>
            <w:bottom w:val="none" w:sz="0" w:space="0" w:color="auto"/>
            <w:right w:val="none" w:sz="0" w:space="0" w:color="auto"/>
          </w:divBdr>
        </w:div>
        <w:div w:id="1486504721">
          <w:marLeft w:val="0"/>
          <w:marRight w:val="0"/>
          <w:marTop w:val="0"/>
          <w:marBottom w:val="0"/>
          <w:divBdr>
            <w:top w:val="none" w:sz="0" w:space="0" w:color="auto"/>
            <w:left w:val="none" w:sz="0" w:space="0" w:color="auto"/>
            <w:bottom w:val="none" w:sz="0" w:space="0" w:color="auto"/>
            <w:right w:val="none" w:sz="0" w:space="0" w:color="auto"/>
          </w:divBdr>
        </w:div>
        <w:div w:id="1488478655">
          <w:marLeft w:val="0"/>
          <w:marRight w:val="0"/>
          <w:marTop w:val="0"/>
          <w:marBottom w:val="0"/>
          <w:divBdr>
            <w:top w:val="none" w:sz="0" w:space="0" w:color="auto"/>
            <w:left w:val="none" w:sz="0" w:space="0" w:color="auto"/>
            <w:bottom w:val="none" w:sz="0" w:space="0" w:color="auto"/>
            <w:right w:val="none" w:sz="0" w:space="0" w:color="auto"/>
          </w:divBdr>
        </w:div>
        <w:div w:id="1512141023">
          <w:marLeft w:val="0"/>
          <w:marRight w:val="0"/>
          <w:marTop w:val="0"/>
          <w:marBottom w:val="0"/>
          <w:divBdr>
            <w:top w:val="none" w:sz="0" w:space="0" w:color="auto"/>
            <w:left w:val="none" w:sz="0" w:space="0" w:color="auto"/>
            <w:bottom w:val="none" w:sz="0" w:space="0" w:color="auto"/>
            <w:right w:val="none" w:sz="0" w:space="0" w:color="auto"/>
          </w:divBdr>
        </w:div>
        <w:div w:id="1513375053">
          <w:marLeft w:val="0"/>
          <w:marRight w:val="0"/>
          <w:marTop w:val="0"/>
          <w:marBottom w:val="0"/>
          <w:divBdr>
            <w:top w:val="none" w:sz="0" w:space="0" w:color="auto"/>
            <w:left w:val="none" w:sz="0" w:space="0" w:color="auto"/>
            <w:bottom w:val="none" w:sz="0" w:space="0" w:color="auto"/>
            <w:right w:val="none" w:sz="0" w:space="0" w:color="auto"/>
          </w:divBdr>
        </w:div>
        <w:div w:id="1515193675">
          <w:marLeft w:val="0"/>
          <w:marRight w:val="0"/>
          <w:marTop w:val="0"/>
          <w:marBottom w:val="0"/>
          <w:divBdr>
            <w:top w:val="none" w:sz="0" w:space="0" w:color="auto"/>
            <w:left w:val="none" w:sz="0" w:space="0" w:color="auto"/>
            <w:bottom w:val="none" w:sz="0" w:space="0" w:color="auto"/>
            <w:right w:val="none" w:sz="0" w:space="0" w:color="auto"/>
          </w:divBdr>
        </w:div>
        <w:div w:id="1534541715">
          <w:marLeft w:val="0"/>
          <w:marRight w:val="0"/>
          <w:marTop w:val="0"/>
          <w:marBottom w:val="0"/>
          <w:divBdr>
            <w:top w:val="none" w:sz="0" w:space="0" w:color="auto"/>
            <w:left w:val="none" w:sz="0" w:space="0" w:color="auto"/>
            <w:bottom w:val="none" w:sz="0" w:space="0" w:color="auto"/>
            <w:right w:val="none" w:sz="0" w:space="0" w:color="auto"/>
          </w:divBdr>
        </w:div>
        <w:div w:id="1543859289">
          <w:marLeft w:val="0"/>
          <w:marRight w:val="0"/>
          <w:marTop w:val="0"/>
          <w:marBottom w:val="0"/>
          <w:divBdr>
            <w:top w:val="none" w:sz="0" w:space="0" w:color="auto"/>
            <w:left w:val="none" w:sz="0" w:space="0" w:color="auto"/>
            <w:bottom w:val="none" w:sz="0" w:space="0" w:color="auto"/>
            <w:right w:val="none" w:sz="0" w:space="0" w:color="auto"/>
          </w:divBdr>
        </w:div>
        <w:div w:id="1612126399">
          <w:marLeft w:val="0"/>
          <w:marRight w:val="0"/>
          <w:marTop w:val="0"/>
          <w:marBottom w:val="0"/>
          <w:divBdr>
            <w:top w:val="none" w:sz="0" w:space="0" w:color="auto"/>
            <w:left w:val="none" w:sz="0" w:space="0" w:color="auto"/>
            <w:bottom w:val="none" w:sz="0" w:space="0" w:color="auto"/>
            <w:right w:val="none" w:sz="0" w:space="0" w:color="auto"/>
          </w:divBdr>
        </w:div>
        <w:div w:id="1621957353">
          <w:marLeft w:val="0"/>
          <w:marRight w:val="0"/>
          <w:marTop w:val="0"/>
          <w:marBottom w:val="0"/>
          <w:divBdr>
            <w:top w:val="none" w:sz="0" w:space="0" w:color="auto"/>
            <w:left w:val="none" w:sz="0" w:space="0" w:color="auto"/>
            <w:bottom w:val="none" w:sz="0" w:space="0" w:color="auto"/>
            <w:right w:val="none" w:sz="0" w:space="0" w:color="auto"/>
          </w:divBdr>
        </w:div>
        <w:div w:id="1640837137">
          <w:marLeft w:val="0"/>
          <w:marRight w:val="0"/>
          <w:marTop w:val="0"/>
          <w:marBottom w:val="0"/>
          <w:divBdr>
            <w:top w:val="none" w:sz="0" w:space="0" w:color="auto"/>
            <w:left w:val="none" w:sz="0" w:space="0" w:color="auto"/>
            <w:bottom w:val="none" w:sz="0" w:space="0" w:color="auto"/>
            <w:right w:val="none" w:sz="0" w:space="0" w:color="auto"/>
          </w:divBdr>
        </w:div>
        <w:div w:id="1661419010">
          <w:marLeft w:val="0"/>
          <w:marRight w:val="0"/>
          <w:marTop w:val="0"/>
          <w:marBottom w:val="0"/>
          <w:divBdr>
            <w:top w:val="none" w:sz="0" w:space="0" w:color="auto"/>
            <w:left w:val="none" w:sz="0" w:space="0" w:color="auto"/>
            <w:bottom w:val="none" w:sz="0" w:space="0" w:color="auto"/>
            <w:right w:val="none" w:sz="0" w:space="0" w:color="auto"/>
          </w:divBdr>
        </w:div>
        <w:div w:id="1679654730">
          <w:marLeft w:val="0"/>
          <w:marRight w:val="0"/>
          <w:marTop w:val="0"/>
          <w:marBottom w:val="0"/>
          <w:divBdr>
            <w:top w:val="none" w:sz="0" w:space="0" w:color="auto"/>
            <w:left w:val="none" w:sz="0" w:space="0" w:color="auto"/>
            <w:bottom w:val="none" w:sz="0" w:space="0" w:color="auto"/>
            <w:right w:val="none" w:sz="0" w:space="0" w:color="auto"/>
          </w:divBdr>
        </w:div>
        <w:div w:id="1685477959">
          <w:marLeft w:val="0"/>
          <w:marRight w:val="0"/>
          <w:marTop w:val="0"/>
          <w:marBottom w:val="0"/>
          <w:divBdr>
            <w:top w:val="none" w:sz="0" w:space="0" w:color="auto"/>
            <w:left w:val="none" w:sz="0" w:space="0" w:color="auto"/>
            <w:bottom w:val="none" w:sz="0" w:space="0" w:color="auto"/>
            <w:right w:val="none" w:sz="0" w:space="0" w:color="auto"/>
          </w:divBdr>
        </w:div>
        <w:div w:id="1697194693">
          <w:marLeft w:val="0"/>
          <w:marRight w:val="0"/>
          <w:marTop w:val="0"/>
          <w:marBottom w:val="0"/>
          <w:divBdr>
            <w:top w:val="none" w:sz="0" w:space="0" w:color="auto"/>
            <w:left w:val="none" w:sz="0" w:space="0" w:color="auto"/>
            <w:bottom w:val="none" w:sz="0" w:space="0" w:color="auto"/>
            <w:right w:val="none" w:sz="0" w:space="0" w:color="auto"/>
          </w:divBdr>
        </w:div>
        <w:div w:id="1718161901">
          <w:marLeft w:val="0"/>
          <w:marRight w:val="0"/>
          <w:marTop w:val="0"/>
          <w:marBottom w:val="0"/>
          <w:divBdr>
            <w:top w:val="none" w:sz="0" w:space="0" w:color="auto"/>
            <w:left w:val="none" w:sz="0" w:space="0" w:color="auto"/>
            <w:bottom w:val="none" w:sz="0" w:space="0" w:color="auto"/>
            <w:right w:val="none" w:sz="0" w:space="0" w:color="auto"/>
          </w:divBdr>
        </w:div>
        <w:div w:id="1719623921">
          <w:marLeft w:val="0"/>
          <w:marRight w:val="0"/>
          <w:marTop w:val="0"/>
          <w:marBottom w:val="0"/>
          <w:divBdr>
            <w:top w:val="none" w:sz="0" w:space="0" w:color="auto"/>
            <w:left w:val="none" w:sz="0" w:space="0" w:color="auto"/>
            <w:bottom w:val="none" w:sz="0" w:space="0" w:color="auto"/>
            <w:right w:val="none" w:sz="0" w:space="0" w:color="auto"/>
          </w:divBdr>
        </w:div>
        <w:div w:id="1753619210">
          <w:marLeft w:val="0"/>
          <w:marRight w:val="0"/>
          <w:marTop w:val="0"/>
          <w:marBottom w:val="0"/>
          <w:divBdr>
            <w:top w:val="none" w:sz="0" w:space="0" w:color="auto"/>
            <w:left w:val="none" w:sz="0" w:space="0" w:color="auto"/>
            <w:bottom w:val="none" w:sz="0" w:space="0" w:color="auto"/>
            <w:right w:val="none" w:sz="0" w:space="0" w:color="auto"/>
          </w:divBdr>
        </w:div>
        <w:div w:id="1799293760">
          <w:marLeft w:val="0"/>
          <w:marRight w:val="0"/>
          <w:marTop w:val="0"/>
          <w:marBottom w:val="0"/>
          <w:divBdr>
            <w:top w:val="none" w:sz="0" w:space="0" w:color="auto"/>
            <w:left w:val="none" w:sz="0" w:space="0" w:color="auto"/>
            <w:bottom w:val="none" w:sz="0" w:space="0" w:color="auto"/>
            <w:right w:val="none" w:sz="0" w:space="0" w:color="auto"/>
          </w:divBdr>
        </w:div>
        <w:div w:id="1821850238">
          <w:marLeft w:val="0"/>
          <w:marRight w:val="0"/>
          <w:marTop w:val="0"/>
          <w:marBottom w:val="0"/>
          <w:divBdr>
            <w:top w:val="none" w:sz="0" w:space="0" w:color="auto"/>
            <w:left w:val="none" w:sz="0" w:space="0" w:color="auto"/>
            <w:bottom w:val="none" w:sz="0" w:space="0" w:color="auto"/>
            <w:right w:val="none" w:sz="0" w:space="0" w:color="auto"/>
          </w:divBdr>
        </w:div>
        <w:div w:id="1835223752">
          <w:marLeft w:val="0"/>
          <w:marRight w:val="0"/>
          <w:marTop w:val="0"/>
          <w:marBottom w:val="0"/>
          <w:divBdr>
            <w:top w:val="none" w:sz="0" w:space="0" w:color="auto"/>
            <w:left w:val="none" w:sz="0" w:space="0" w:color="auto"/>
            <w:bottom w:val="none" w:sz="0" w:space="0" w:color="auto"/>
            <w:right w:val="none" w:sz="0" w:space="0" w:color="auto"/>
          </w:divBdr>
        </w:div>
        <w:div w:id="1840844480">
          <w:marLeft w:val="0"/>
          <w:marRight w:val="0"/>
          <w:marTop w:val="0"/>
          <w:marBottom w:val="0"/>
          <w:divBdr>
            <w:top w:val="none" w:sz="0" w:space="0" w:color="auto"/>
            <w:left w:val="none" w:sz="0" w:space="0" w:color="auto"/>
            <w:bottom w:val="none" w:sz="0" w:space="0" w:color="auto"/>
            <w:right w:val="none" w:sz="0" w:space="0" w:color="auto"/>
          </w:divBdr>
        </w:div>
        <w:div w:id="1859733466">
          <w:marLeft w:val="0"/>
          <w:marRight w:val="0"/>
          <w:marTop w:val="0"/>
          <w:marBottom w:val="0"/>
          <w:divBdr>
            <w:top w:val="none" w:sz="0" w:space="0" w:color="auto"/>
            <w:left w:val="none" w:sz="0" w:space="0" w:color="auto"/>
            <w:bottom w:val="none" w:sz="0" w:space="0" w:color="auto"/>
            <w:right w:val="none" w:sz="0" w:space="0" w:color="auto"/>
          </w:divBdr>
        </w:div>
        <w:div w:id="1871647583">
          <w:marLeft w:val="0"/>
          <w:marRight w:val="0"/>
          <w:marTop w:val="0"/>
          <w:marBottom w:val="0"/>
          <w:divBdr>
            <w:top w:val="none" w:sz="0" w:space="0" w:color="auto"/>
            <w:left w:val="none" w:sz="0" w:space="0" w:color="auto"/>
            <w:bottom w:val="none" w:sz="0" w:space="0" w:color="auto"/>
            <w:right w:val="none" w:sz="0" w:space="0" w:color="auto"/>
          </w:divBdr>
        </w:div>
        <w:div w:id="1902250235">
          <w:marLeft w:val="0"/>
          <w:marRight w:val="0"/>
          <w:marTop w:val="0"/>
          <w:marBottom w:val="0"/>
          <w:divBdr>
            <w:top w:val="none" w:sz="0" w:space="0" w:color="auto"/>
            <w:left w:val="none" w:sz="0" w:space="0" w:color="auto"/>
            <w:bottom w:val="none" w:sz="0" w:space="0" w:color="auto"/>
            <w:right w:val="none" w:sz="0" w:space="0" w:color="auto"/>
          </w:divBdr>
        </w:div>
        <w:div w:id="1903714621">
          <w:marLeft w:val="0"/>
          <w:marRight w:val="0"/>
          <w:marTop w:val="0"/>
          <w:marBottom w:val="0"/>
          <w:divBdr>
            <w:top w:val="none" w:sz="0" w:space="0" w:color="auto"/>
            <w:left w:val="none" w:sz="0" w:space="0" w:color="auto"/>
            <w:bottom w:val="none" w:sz="0" w:space="0" w:color="auto"/>
            <w:right w:val="none" w:sz="0" w:space="0" w:color="auto"/>
          </w:divBdr>
        </w:div>
        <w:div w:id="1912696599">
          <w:marLeft w:val="0"/>
          <w:marRight w:val="0"/>
          <w:marTop w:val="0"/>
          <w:marBottom w:val="0"/>
          <w:divBdr>
            <w:top w:val="none" w:sz="0" w:space="0" w:color="auto"/>
            <w:left w:val="none" w:sz="0" w:space="0" w:color="auto"/>
            <w:bottom w:val="none" w:sz="0" w:space="0" w:color="auto"/>
            <w:right w:val="none" w:sz="0" w:space="0" w:color="auto"/>
          </w:divBdr>
        </w:div>
        <w:div w:id="1936396600">
          <w:marLeft w:val="0"/>
          <w:marRight w:val="0"/>
          <w:marTop w:val="0"/>
          <w:marBottom w:val="0"/>
          <w:divBdr>
            <w:top w:val="none" w:sz="0" w:space="0" w:color="auto"/>
            <w:left w:val="none" w:sz="0" w:space="0" w:color="auto"/>
            <w:bottom w:val="none" w:sz="0" w:space="0" w:color="auto"/>
            <w:right w:val="none" w:sz="0" w:space="0" w:color="auto"/>
          </w:divBdr>
        </w:div>
        <w:div w:id="1942906582">
          <w:marLeft w:val="0"/>
          <w:marRight w:val="0"/>
          <w:marTop w:val="0"/>
          <w:marBottom w:val="0"/>
          <w:divBdr>
            <w:top w:val="none" w:sz="0" w:space="0" w:color="auto"/>
            <w:left w:val="none" w:sz="0" w:space="0" w:color="auto"/>
            <w:bottom w:val="none" w:sz="0" w:space="0" w:color="auto"/>
            <w:right w:val="none" w:sz="0" w:space="0" w:color="auto"/>
          </w:divBdr>
        </w:div>
        <w:div w:id="1968852174">
          <w:marLeft w:val="0"/>
          <w:marRight w:val="0"/>
          <w:marTop w:val="0"/>
          <w:marBottom w:val="0"/>
          <w:divBdr>
            <w:top w:val="none" w:sz="0" w:space="0" w:color="auto"/>
            <w:left w:val="none" w:sz="0" w:space="0" w:color="auto"/>
            <w:bottom w:val="none" w:sz="0" w:space="0" w:color="auto"/>
            <w:right w:val="none" w:sz="0" w:space="0" w:color="auto"/>
          </w:divBdr>
        </w:div>
        <w:div w:id="1968970419">
          <w:marLeft w:val="0"/>
          <w:marRight w:val="0"/>
          <w:marTop w:val="0"/>
          <w:marBottom w:val="0"/>
          <w:divBdr>
            <w:top w:val="none" w:sz="0" w:space="0" w:color="auto"/>
            <w:left w:val="none" w:sz="0" w:space="0" w:color="auto"/>
            <w:bottom w:val="none" w:sz="0" w:space="0" w:color="auto"/>
            <w:right w:val="none" w:sz="0" w:space="0" w:color="auto"/>
          </w:divBdr>
        </w:div>
        <w:div w:id="2037189351">
          <w:marLeft w:val="0"/>
          <w:marRight w:val="0"/>
          <w:marTop w:val="0"/>
          <w:marBottom w:val="0"/>
          <w:divBdr>
            <w:top w:val="none" w:sz="0" w:space="0" w:color="auto"/>
            <w:left w:val="none" w:sz="0" w:space="0" w:color="auto"/>
            <w:bottom w:val="none" w:sz="0" w:space="0" w:color="auto"/>
            <w:right w:val="none" w:sz="0" w:space="0" w:color="auto"/>
          </w:divBdr>
        </w:div>
        <w:div w:id="2080974459">
          <w:marLeft w:val="0"/>
          <w:marRight w:val="0"/>
          <w:marTop w:val="0"/>
          <w:marBottom w:val="0"/>
          <w:divBdr>
            <w:top w:val="none" w:sz="0" w:space="0" w:color="auto"/>
            <w:left w:val="none" w:sz="0" w:space="0" w:color="auto"/>
            <w:bottom w:val="none" w:sz="0" w:space="0" w:color="auto"/>
            <w:right w:val="none" w:sz="0" w:space="0" w:color="auto"/>
          </w:divBdr>
        </w:div>
        <w:div w:id="2083092084">
          <w:marLeft w:val="0"/>
          <w:marRight w:val="0"/>
          <w:marTop w:val="0"/>
          <w:marBottom w:val="0"/>
          <w:divBdr>
            <w:top w:val="none" w:sz="0" w:space="0" w:color="auto"/>
            <w:left w:val="none" w:sz="0" w:space="0" w:color="auto"/>
            <w:bottom w:val="none" w:sz="0" w:space="0" w:color="auto"/>
            <w:right w:val="none" w:sz="0" w:space="0" w:color="auto"/>
          </w:divBdr>
        </w:div>
        <w:div w:id="2087144693">
          <w:marLeft w:val="0"/>
          <w:marRight w:val="0"/>
          <w:marTop w:val="0"/>
          <w:marBottom w:val="0"/>
          <w:divBdr>
            <w:top w:val="none" w:sz="0" w:space="0" w:color="auto"/>
            <w:left w:val="none" w:sz="0" w:space="0" w:color="auto"/>
            <w:bottom w:val="none" w:sz="0" w:space="0" w:color="auto"/>
            <w:right w:val="none" w:sz="0" w:space="0" w:color="auto"/>
          </w:divBdr>
        </w:div>
        <w:div w:id="2098476685">
          <w:marLeft w:val="0"/>
          <w:marRight w:val="0"/>
          <w:marTop w:val="0"/>
          <w:marBottom w:val="0"/>
          <w:divBdr>
            <w:top w:val="none" w:sz="0" w:space="0" w:color="auto"/>
            <w:left w:val="none" w:sz="0" w:space="0" w:color="auto"/>
            <w:bottom w:val="none" w:sz="0" w:space="0" w:color="auto"/>
            <w:right w:val="none" w:sz="0" w:space="0" w:color="auto"/>
          </w:divBdr>
        </w:div>
        <w:div w:id="2101367051">
          <w:marLeft w:val="0"/>
          <w:marRight w:val="0"/>
          <w:marTop w:val="0"/>
          <w:marBottom w:val="0"/>
          <w:divBdr>
            <w:top w:val="none" w:sz="0" w:space="0" w:color="auto"/>
            <w:left w:val="none" w:sz="0" w:space="0" w:color="auto"/>
            <w:bottom w:val="none" w:sz="0" w:space="0" w:color="auto"/>
            <w:right w:val="none" w:sz="0" w:space="0" w:color="auto"/>
          </w:divBdr>
        </w:div>
        <w:div w:id="2117674253">
          <w:marLeft w:val="0"/>
          <w:marRight w:val="0"/>
          <w:marTop w:val="0"/>
          <w:marBottom w:val="0"/>
          <w:divBdr>
            <w:top w:val="none" w:sz="0" w:space="0" w:color="auto"/>
            <w:left w:val="none" w:sz="0" w:space="0" w:color="auto"/>
            <w:bottom w:val="none" w:sz="0" w:space="0" w:color="auto"/>
            <w:right w:val="none" w:sz="0" w:space="0" w:color="auto"/>
          </w:divBdr>
        </w:div>
        <w:div w:id="2139881653">
          <w:marLeft w:val="0"/>
          <w:marRight w:val="0"/>
          <w:marTop w:val="0"/>
          <w:marBottom w:val="0"/>
          <w:divBdr>
            <w:top w:val="none" w:sz="0" w:space="0" w:color="auto"/>
            <w:left w:val="none" w:sz="0" w:space="0" w:color="auto"/>
            <w:bottom w:val="none" w:sz="0" w:space="0" w:color="auto"/>
            <w:right w:val="none" w:sz="0" w:space="0" w:color="auto"/>
          </w:divBdr>
        </w:div>
        <w:div w:id="2146191638">
          <w:marLeft w:val="0"/>
          <w:marRight w:val="0"/>
          <w:marTop w:val="0"/>
          <w:marBottom w:val="0"/>
          <w:divBdr>
            <w:top w:val="none" w:sz="0" w:space="0" w:color="auto"/>
            <w:left w:val="none" w:sz="0" w:space="0" w:color="auto"/>
            <w:bottom w:val="none" w:sz="0" w:space="0" w:color="auto"/>
            <w:right w:val="none" w:sz="0" w:space="0" w:color="auto"/>
          </w:divBdr>
        </w:div>
      </w:divsChild>
    </w:div>
    <w:div w:id="1815372825">
      <w:bodyDiv w:val="1"/>
      <w:marLeft w:val="0"/>
      <w:marRight w:val="0"/>
      <w:marTop w:val="0"/>
      <w:marBottom w:val="0"/>
      <w:divBdr>
        <w:top w:val="none" w:sz="0" w:space="0" w:color="auto"/>
        <w:left w:val="none" w:sz="0" w:space="0" w:color="auto"/>
        <w:bottom w:val="none" w:sz="0" w:space="0" w:color="auto"/>
        <w:right w:val="none" w:sz="0" w:space="0" w:color="auto"/>
      </w:divBdr>
    </w:div>
    <w:div w:id="1837762913">
      <w:bodyDiv w:val="1"/>
      <w:marLeft w:val="0"/>
      <w:marRight w:val="0"/>
      <w:marTop w:val="0"/>
      <w:marBottom w:val="0"/>
      <w:divBdr>
        <w:top w:val="none" w:sz="0" w:space="0" w:color="auto"/>
        <w:left w:val="none" w:sz="0" w:space="0" w:color="auto"/>
        <w:bottom w:val="none" w:sz="0" w:space="0" w:color="auto"/>
        <w:right w:val="none" w:sz="0" w:space="0" w:color="auto"/>
      </w:divBdr>
    </w:div>
    <w:div w:id="1849708527">
      <w:bodyDiv w:val="1"/>
      <w:marLeft w:val="0"/>
      <w:marRight w:val="0"/>
      <w:marTop w:val="0"/>
      <w:marBottom w:val="0"/>
      <w:divBdr>
        <w:top w:val="none" w:sz="0" w:space="0" w:color="auto"/>
        <w:left w:val="none" w:sz="0" w:space="0" w:color="auto"/>
        <w:bottom w:val="none" w:sz="0" w:space="0" w:color="auto"/>
        <w:right w:val="none" w:sz="0" w:space="0" w:color="auto"/>
      </w:divBdr>
      <w:divsChild>
        <w:div w:id="49883702">
          <w:marLeft w:val="0"/>
          <w:marRight w:val="0"/>
          <w:marTop w:val="0"/>
          <w:marBottom w:val="0"/>
          <w:divBdr>
            <w:top w:val="none" w:sz="0" w:space="0" w:color="auto"/>
            <w:left w:val="none" w:sz="0" w:space="0" w:color="auto"/>
            <w:bottom w:val="none" w:sz="0" w:space="0" w:color="auto"/>
            <w:right w:val="none" w:sz="0" w:space="0" w:color="auto"/>
          </w:divBdr>
        </w:div>
        <w:div w:id="424959022">
          <w:marLeft w:val="0"/>
          <w:marRight w:val="0"/>
          <w:marTop w:val="0"/>
          <w:marBottom w:val="0"/>
          <w:divBdr>
            <w:top w:val="none" w:sz="0" w:space="0" w:color="auto"/>
            <w:left w:val="none" w:sz="0" w:space="0" w:color="auto"/>
            <w:bottom w:val="none" w:sz="0" w:space="0" w:color="auto"/>
            <w:right w:val="none" w:sz="0" w:space="0" w:color="auto"/>
          </w:divBdr>
        </w:div>
        <w:div w:id="494300611">
          <w:marLeft w:val="0"/>
          <w:marRight w:val="0"/>
          <w:marTop w:val="0"/>
          <w:marBottom w:val="0"/>
          <w:divBdr>
            <w:top w:val="none" w:sz="0" w:space="0" w:color="auto"/>
            <w:left w:val="none" w:sz="0" w:space="0" w:color="auto"/>
            <w:bottom w:val="none" w:sz="0" w:space="0" w:color="auto"/>
            <w:right w:val="none" w:sz="0" w:space="0" w:color="auto"/>
          </w:divBdr>
        </w:div>
        <w:div w:id="576135359">
          <w:marLeft w:val="0"/>
          <w:marRight w:val="0"/>
          <w:marTop w:val="0"/>
          <w:marBottom w:val="0"/>
          <w:divBdr>
            <w:top w:val="none" w:sz="0" w:space="0" w:color="auto"/>
            <w:left w:val="none" w:sz="0" w:space="0" w:color="auto"/>
            <w:bottom w:val="none" w:sz="0" w:space="0" w:color="auto"/>
            <w:right w:val="none" w:sz="0" w:space="0" w:color="auto"/>
          </w:divBdr>
        </w:div>
        <w:div w:id="1058818896">
          <w:marLeft w:val="0"/>
          <w:marRight w:val="0"/>
          <w:marTop w:val="0"/>
          <w:marBottom w:val="0"/>
          <w:divBdr>
            <w:top w:val="none" w:sz="0" w:space="0" w:color="auto"/>
            <w:left w:val="none" w:sz="0" w:space="0" w:color="auto"/>
            <w:bottom w:val="none" w:sz="0" w:space="0" w:color="auto"/>
            <w:right w:val="none" w:sz="0" w:space="0" w:color="auto"/>
          </w:divBdr>
        </w:div>
        <w:div w:id="1286307258">
          <w:marLeft w:val="0"/>
          <w:marRight w:val="0"/>
          <w:marTop w:val="0"/>
          <w:marBottom w:val="0"/>
          <w:divBdr>
            <w:top w:val="none" w:sz="0" w:space="0" w:color="auto"/>
            <w:left w:val="none" w:sz="0" w:space="0" w:color="auto"/>
            <w:bottom w:val="none" w:sz="0" w:space="0" w:color="auto"/>
            <w:right w:val="none" w:sz="0" w:space="0" w:color="auto"/>
          </w:divBdr>
        </w:div>
        <w:div w:id="1594893458">
          <w:marLeft w:val="0"/>
          <w:marRight w:val="0"/>
          <w:marTop w:val="0"/>
          <w:marBottom w:val="0"/>
          <w:divBdr>
            <w:top w:val="none" w:sz="0" w:space="0" w:color="auto"/>
            <w:left w:val="none" w:sz="0" w:space="0" w:color="auto"/>
            <w:bottom w:val="none" w:sz="0" w:space="0" w:color="auto"/>
            <w:right w:val="none" w:sz="0" w:space="0" w:color="auto"/>
          </w:divBdr>
        </w:div>
        <w:div w:id="1749645597">
          <w:marLeft w:val="0"/>
          <w:marRight w:val="0"/>
          <w:marTop w:val="0"/>
          <w:marBottom w:val="0"/>
          <w:divBdr>
            <w:top w:val="none" w:sz="0" w:space="0" w:color="auto"/>
            <w:left w:val="none" w:sz="0" w:space="0" w:color="auto"/>
            <w:bottom w:val="none" w:sz="0" w:space="0" w:color="auto"/>
            <w:right w:val="none" w:sz="0" w:space="0" w:color="auto"/>
          </w:divBdr>
        </w:div>
        <w:div w:id="1750930529">
          <w:marLeft w:val="0"/>
          <w:marRight w:val="0"/>
          <w:marTop w:val="0"/>
          <w:marBottom w:val="0"/>
          <w:divBdr>
            <w:top w:val="none" w:sz="0" w:space="0" w:color="auto"/>
            <w:left w:val="none" w:sz="0" w:space="0" w:color="auto"/>
            <w:bottom w:val="none" w:sz="0" w:space="0" w:color="auto"/>
            <w:right w:val="none" w:sz="0" w:space="0" w:color="auto"/>
          </w:divBdr>
        </w:div>
        <w:div w:id="1762140125">
          <w:marLeft w:val="0"/>
          <w:marRight w:val="0"/>
          <w:marTop w:val="0"/>
          <w:marBottom w:val="0"/>
          <w:divBdr>
            <w:top w:val="none" w:sz="0" w:space="0" w:color="auto"/>
            <w:left w:val="none" w:sz="0" w:space="0" w:color="auto"/>
            <w:bottom w:val="none" w:sz="0" w:space="0" w:color="auto"/>
            <w:right w:val="none" w:sz="0" w:space="0" w:color="auto"/>
          </w:divBdr>
        </w:div>
        <w:div w:id="1785614879">
          <w:marLeft w:val="0"/>
          <w:marRight w:val="0"/>
          <w:marTop w:val="0"/>
          <w:marBottom w:val="0"/>
          <w:divBdr>
            <w:top w:val="none" w:sz="0" w:space="0" w:color="auto"/>
            <w:left w:val="none" w:sz="0" w:space="0" w:color="auto"/>
            <w:bottom w:val="none" w:sz="0" w:space="0" w:color="auto"/>
            <w:right w:val="none" w:sz="0" w:space="0" w:color="auto"/>
          </w:divBdr>
        </w:div>
        <w:div w:id="1821652455">
          <w:marLeft w:val="0"/>
          <w:marRight w:val="0"/>
          <w:marTop w:val="0"/>
          <w:marBottom w:val="0"/>
          <w:divBdr>
            <w:top w:val="none" w:sz="0" w:space="0" w:color="auto"/>
            <w:left w:val="none" w:sz="0" w:space="0" w:color="auto"/>
            <w:bottom w:val="none" w:sz="0" w:space="0" w:color="auto"/>
            <w:right w:val="none" w:sz="0" w:space="0" w:color="auto"/>
          </w:divBdr>
        </w:div>
        <w:div w:id="1866092397">
          <w:marLeft w:val="0"/>
          <w:marRight w:val="0"/>
          <w:marTop w:val="0"/>
          <w:marBottom w:val="0"/>
          <w:divBdr>
            <w:top w:val="none" w:sz="0" w:space="0" w:color="auto"/>
            <w:left w:val="none" w:sz="0" w:space="0" w:color="auto"/>
            <w:bottom w:val="none" w:sz="0" w:space="0" w:color="auto"/>
            <w:right w:val="none" w:sz="0" w:space="0" w:color="auto"/>
          </w:divBdr>
        </w:div>
        <w:div w:id="1956280432">
          <w:marLeft w:val="0"/>
          <w:marRight w:val="0"/>
          <w:marTop w:val="0"/>
          <w:marBottom w:val="0"/>
          <w:divBdr>
            <w:top w:val="none" w:sz="0" w:space="0" w:color="auto"/>
            <w:left w:val="none" w:sz="0" w:space="0" w:color="auto"/>
            <w:bottom w:val="none" w:sz="0" w:space="0" w:color="auto"/>
            <w:right w:val="none" w:sz="0" w:space="0" w:color="auto"/>
          </w:divBdr>
        </w:div>
      </w:divsChild>
    </w:div>
    <w:div w:id="1850946056">
      <w:bodyDiv w:val="1"/>
      <w:marLeft w:val="0"/>
      <w:marRight w:val="0"/>
      <w:marTop w:val="0"/>
      <w:marBottom w:val="0"/>
      <w:divBdr>
        <w:top w:val="none" w:sz="0" w:space="0" w:color="auto"/>
        <w:left w:val="none" w:sz="0" w:space="0" w:color="auto"/>
        <w:bottom w:val="none" w:sz="0" w:space="0" w:color="auto"/>
        <w:right w:val="none" w:sz="0" w:space="0" w:color="auto"/>
      </w:divBdr>
    </w:div>
    <w:div w:id="1905871050">
      <w:bodyDiv w:val="1"/>
      <w:marLeft w:val="0"/>
      <w:marRight w:val="0"/>
      <w:marTop w:val="0"/>
      <w:marBottom w:val="0"/>
      <w:divBdr>
        <w:top w:val="none" w:sz="0" w:space="0" w:color="auto"/>
        <w:left w:val="none" w:sz="0" w:space="0" w:color="auto"/>
        <w:bottom w:val="none" w:sz="0" w:space="0" w:color="auto"/>
        <w:right w:val="none" w:sz="0" w:space="0" w:color="auto"/>
      </w:divBdr>
    </w:div>
    <w:div w:id="1928924571">
      <w:bodyDiv w:val="1"/>
      <w:marLeft w:val="0"/>
      <w:marRight w:val="0"/>
      <w:marTop w:val="0"/>
      <w:marBottom w:val="0"/>
      <w:divBdr>
        <w:top w:val="none" w:sz="0" w:space="0" w:color="auto"/>
        <w:left w:val="none" w:sz="0" w:space="0" w:color="auto"/>
        <w:bottom w:val="none" w:sz="0" w:space="0" w:color="auto"/>
        <w:right w:val="none" w:sz="0" w:space="0" w:color="auto"/>
      </w:divBdr>
    </w:div>
    <w:div w:id="1934584393">
      <w:bodyDiv w:val="1"/>
      <w:marLeft w:val="0"/>
      <w:marRight w:val="0"/>
      <w:marTop w:val="0"/>
      <w:marBottom w:val="0"/>
      <w:divBdr>
        <w:top w:val="none" w:sz="0" w:space="0" w:color="auto"/>
        <w:left w:val="none" w:sz="0" w:space="0" w:color="auto"/>
        <w:bottom w:val="none" w:sz="0" w:space="0" w:color="auto"/>
        <w:right w:val="none" w:sz="0" w:space="0" w:color="auto"/>
      </w:divBdr>
    </w:div>
    <w:div w:id="1950816323">
      <w:bodyDiv w:val="1"/>
      <w:marLeft w:val="0"/>
      <w:marRight w:val="0"/>
      <w:marTop w:val="0"/>
      <w:marBottom w:val="0"/>
      <w:divBdr>
        <w:top w:val="none" w:sz="0" w:space="0" w:color="auto"/>
        <w:left w:val="none" w:sz="0" w:space="0" w:color="auto"/>
        <w:bottom w:val="none" w:sz="0" w:space="0" w:color="auto"/>
        <w:right w:val="none" w:sz="0" w:space="0" w:color="auto"/>
      </w:divBdr>
    </w:div>
    <w:div w:id="1952587088">
      <w:bodyDiv w:val="1"/>
      <w:marLeft w:val="0"/>
      <w:marRight w:val="0"/>
      <w:marTop w:val="0"/>
      <w:marBottom w:val="0"/>
      <w:divBdr>
        <w:top w:val="none" w:sz="0" w:space="0" w:color="auto"/>
        <w:left w:val="none" w:sz="0" w:space="0" w:color="auto"/>
        <w:bottom w:val="none" w:sz="0" w:space="0" w:color="auto"/>
        <w:right w:val="none" w:sz="0" w:space="0" w:color="auto"/>
      </w:divBdr>
    </w:div>
    <w:div w:id="1957909819">
      <w:bodyDiv w:val="1"/>
      <w:marLeft w:val="0"/>
      <w:marRight w:val="0"/>
      <w:marTop w:val="0"/>
      <w:marBottom w:val="0"/>
      <w:divBdr>
        <w:top w:val="none" w:sz="0" w:space="0" w:color="auto"/>
        <w:left w:val="none" w:sz="0" w:space="0" w:color="auto"/>
        <w:bottom w:val="none" w:sz="0" w:space="0" w:color="auto"/>
        <w:right w:val="none" w:sz="0" w:space="0" w:color="auto"/>
      </w:divBdr>
    </w:div>
    <w:div w:id="1960184946">
      <w:bodyDiv w:val="1"/>
      <w:marLeft w:val="0"/>
      <w:marRight w:val="0"/>
      <w:marTop w:val="0"/>
      <w:marBottom w:val="0"/>
      <w:divBdr>
        <w:top w:val="none" w:sz="0" w:space="0" w:color="auto"/>
        <w:left w:val="none" w:sz="0" w:space="0" w:color="auto"/>
        <w:bottom w:val="none" w:sz="0" w:space="0" w:color="auto"/>
        <w:right w:val="none" w:sz="0" w:space="0" w:color="auto"/>
      </w:divBdr>
    </w:div>
    <w:div w:id="1971667637">
      <w:bodyDiv w:val="1"/>
      <w:marLeft w:val="0"/>
      <w:marRight w:val="0"/>
      <w:marTop w:val="0"/>
      <w:marBottom w:val="0"/>
      <w:divBdr>
        <w:top w:val="none" w:sz="0" w:space="0" w:color="auto"/>
        <w:left w:val="none" w:sz="0" w:space="0" w:color="auto"/>
        <w:bottom w:val="none" w:sz="0" w:space="0" w:color="auto"/>
        <w:right w:val="none" w:sz="0" w:space="0" w:color="auto"/>
      </w:divBdr>
      <w:divsChild>
        <w:div w:id="227882686">
          <w:marLeft w:val="0"/>
          <w:marRight w:val="0"/>
          <w:marTop w:val="0"/>
          <w:marBottom w:val="0"/>
          <w:divBdr>
            <w:top w:val="none" w:sz="0" w:space="0" w:color="auto"/>
            <w:left w:val="none" w:sz="0" w:space="0" w:color="auto"/>
            <w:bottom w:val="none" w:sz="0" w:space="0" w:color="auto"/>
            <w:right w:val="none" w:sz="0" w:space="0" w:color="auto"/>
          </w:divBdr>
        </w:div>
        <w:div w:id="241840726">
          <w:marLeft w:val="0"/>
          <w:marRight w:val="0"/>
          <w:marTop w:val="0"/>
          <w:marBottom w:val="0"/>
          <w:divBdr>
            <w:top w:val="none" w:sz="0" w:space="0" w:color="auto"/>
            <w:left w:val="none" w:sz="0" w:space="0" w:color="auto"/>
            <w:bottom w:val="none" w:sz="0" w:space="0" w:color="auto"/>
            <w:right w:val="none" w:sz="0" w:space="0" w:color="auto"/>
          </w:divBdr>
        </w:div>
        <w:div w:id="265238148">
          <w:marLeft w:val="0"/>
          <w:marRight w:val="0"/>
          <w:marTop w:val="0"/>
          <w:marBottom w:val="0"/>
          <w:divBdr>
            <w:top w:val="none" w:sz="0" w:space="0" w:color="auto"/>
            <w:left w:val="none" w:sz="0" w:space="0" w:color="auto"/>
            <w:bottom w:val="none" w:sz="0" w:space="0" w:color="auto"/>
            <w:right w:val="none" w:sz="0" w:space="0" w:color="auto"/>
          </w:divBdr>
        </w:div>
        <w:div w:id="278493533">
          <w:marLeft w:val="0"/>
          <w:marRight w:val="0"/>
          <w:marTop w:val="0"/>
          <w:marBottom w:val="0"/>
          <w:divBdr>
            <w:top w:val="none" w:sz="0" w:space="0" w:color="auto"/>
            <w:left w:val="none" w:sz="0" w:space="0" w:color="auto"/>
            <w:bottom w:val="none" w:sz="0" w:space="0" w:color="auto"/>
            <w:right w:val="none" w:sz="0" w:space="0" w:color="auto"/>
          </w:divBdr>
        </w:div>
        <w:div w:id="751396785">
          <w:marLeft w:val="0"/>
          <w:marRight w:val="0"/>
          <w:marTop w:val="0"/>
          <w:marBottom w:val="0"/>
          <w:divBdr>
            <w:top w:val="none" w:sz="0" w:space="0" w:color="auto"/>
            <w:left w:val="none" w:sz="0" w:space="0" w:color="auto"/>
            <w:bottom w:val="none" w:sz="0" w:space="0" w:color="auto"/>
            <w:right w:val="none" w:sz="0" w:space="0" w:color="auto"/>
          </w:divBdr>
        </w:div>
        <w:div w:id="1036849810">
          <w:marLeft w:val="0"/>
          <w:marRight w:val="0"/>
          <w:marTop w:val="0"/>
          <w:marBottom w:val="0"/>
          <w:divBdr>
            <w:top w:val="none" w:sz="0" w:space="0" w:color="auto"/>
            <w:left w:val="none" w:sz="0" w:space="0" w:color="auto"/>
            <w:bottom w:val="none" w:sz="0" w:space="0" w:color="auto"/>
            <w:right w:val="none" w:sz="0" w:space="0" w:color="auto"/>
          </w:divBdr>
        </w:div>
        <w:div w:id="2126071653">
          <w:marLeft w:val="0"/>
          <w:marRight w:val="0"/>
          <w:marTop w:val="0"/>
          <w:marBottom w:val="0"/>
          <w:divBdr>
            <w:top w:val="none" w:sz="0" w:space="0" w:color="auto"/>
            <w:left w:val="none" w:sz="0" w:space="0" w:color="auto"/>
            <w:bottom w:val="none" w:sz="0" w:space="0" w:color="auto"/>
            <w:right w:val="none" w:sz="0" w:space="0" w:color="auto"/>
          </w:divBdr>
        </w:div>
      </w:divsChild>
    </w:div>
    <w:div w:id="1976906999">
      <w:bodyDiv w:val="1"/>
      <w:marLeft w:val="0"/>
      <w:marRight w:val="0"/>
      <w:marTop w:val="0"/>
      <w:marBottom w:val="0"/>
      <w:divBdr>
        <w:top w:val="none" w:sz="0" w:space="0" w:color="auto"/>
        <w:left w:val="none" w:sz="0" w:space="0" w:color="auto"/>
        <w:bottom w:val="none" w:sz="0" w:space="0" w:color="auto"/>
        <w:right w:val="none" w:sz="0" w:space="0" w:color="auto"/>
      </w:divBdr>
    </w:div>
    <w:div w:id="1980526179">
      <w:bodyDiv w:val="1"/>
      <w:marLeft w:val="0"/>
      <w:marRight w:val="0"/>
      <w:marTop w:val="0"/>
      <w:marBottom w:val="0"/>
      <w:divBdr>
        <w:top w:val="none" w:sz="0" w:space="0" w:color="auto"/>
        <w:left w:val="none" w:sz="0" w:space="0" w:color="auto"/>
        <w:bottom w:val="none" w:sz="0" w:space="0" w:color="auto"/>
        <w:right w:val="none" w:sz="0" w:space="0" w:color="auto"/>
      </w:divBdr>
    </w:div>
    <w:div w:id="2011711929">
      <w:bodyDiv w:val="1"/>
      <w:marLeft w:val="0"/>
      <w:marRight w:val="0"/>
      <w:marTop w:val="0"/>
      <w:marBottom w:val="0"/>
      <w:divBdr>
        <w:top w:val="none" w:sz="0" w:space="0" w:color="auto"/>
        <w:left w:val="none" w:sz="0" w:space="0" w:color="auto"/>
        <w:bottom w:val="none" w:sz="0" w:space="0" w:color="auto"/>
        <w:right w:val="none" w:sz="0" w:space="0" w:color="auto"/>
      </w:divBdr>
    </w:div>
    <w:div w:id="2021423056">
      <w:bodyDiv w:val="1"/>
      <w:marLeft w:val="0"/>
      <w:marRight w:val="0"/>
      <w:marTop w:val="0"/>
      <w:marBottom w:val="0"/>
      <w:divBdr>
        <w:top w:val="none" w:sz="0" w:space="0" w:color="auto"/>
        <w:left w:val="none" w:sz="0" w:space="0" w:color="auto"/>
        <w:bottom w:val="none" w:sz="0" w:space="0" w:color="auto"/>
        <w:right w:val="none" w:sz="0" w:space="0" w:color="auto"/>
      </w:divBdr>
    </w:div>
    <w:div w:id="2026707316">
      <w:bodyDiv w:val="1"/>
      <w:marLeft w:val="0"/>
      <w:marRight w:val="0"/>
      <w:marTop w:val="0"/>
      <w:marBottom w:val="0"/>
      <w:divBdr>
        <w:top w:val="none" w:sz="0" w:space="0" w:color="auto"/>
        <w:left w:val="none" w:sz="0" w:space="0" w:color="auto"/>
        <w:bottom w:val="none" w:sz="0" w:space="0" w:color="auto"/>
        <w:right w:val="none" w:sz="0" w:space="0" w:color="auto"/>
      </w:divBdr>
    </w:div>
    <w:div w:id="2037656880">
      <w:bodyDiv w:val="1"/>
      <w:marLeft w:val="0"/>
      <w:marRight w:val="0"/>
      <w:marTop w:val="0"/>
      <w:marBottom w:val="0"/>
      <w:divBdr>
        <w:top w:val="none" w:sz="0" w:space="0" w:color="auto"/>
        <w:left w:val="none" w:sz="0" w:space="0" w:color="auto"/>
        <w:bottom w:val="none" w:sz="0" w:space="0" w:color="auto"/>
        <w:right w:val="none" w:sz="0" w:space="0" w:color="auto"/>
      </w:divBdr>
    </w:div>
    <w:div w:id="2039546235">
      <w:bodyDiv w:val="1"/>
      <w:marLeft w:val="0"/>
      <w:marRight w:val="0"/>
      <w:marTop w:val="0"/>
      <w:marBottom w:val="0"/>
      <w:divBdr>
        <w:top w:val="none" w:sz="0" w:space="0" w:color="auto"/>
        <w:left w:val="none" w:sz="0" w:space="0" w:color="auto"/>
        <w:bottom w:val="none" w:sz="0" w:space="0" w:color="auto"/>
        <w:right w:val="none" w:sz="0" w:space="0" w:color="auto"/>
      </w:divBdr>
    </w:div>
    <w:div w:id="2057852693">
      <w:bodyDiv w:val="1"/>
      <w:marLeft w:val="0"/>
      <w:marRight w:val="0"/>
      <w:marTop w:val="0"/>
      <w:marBottom w:val="0"/>
      <w:divBdr>
        <w:top w:val="none" w:sz="0" w:space="0" w:color="auto"/>
        <w:left w:val="none" w:sz="0" w:space="0" w:color="auto"/>
        <w:bottom w:val="none" w:sz="0" w:space="0" w:color="auto"/>
        <w:right w:val="none" w:sz="0" w:space="0" w:color="auto"/>
      </w:divBdr>
    </w:div>
    <w:div w:id="2064332527">
      <w:bodyDiv w:val="1"/>
      <w:marLeft w:val="0"/>
      <w:marRight w:val="0"/>
      <w:marTop w:val="0"/>
      <w:marBottom w:val="0"/>
      <w:divBdr>
        <w:top w:val="none" w:sz="0" w:space="0" w:color="auto"/>
        <w:left w:val="none" w:sz="0" w:space="0" w:color="auto"/>
        <w:bottom w:val="none" w:sz="0" w:space="0" w:color="auto"/>
        <w:right w:val="none" w:sz="0" w:space="0" w:color="auto"/>
      </w:divBdr>
    </w:div>
    <w:div w:id="2074347069">
      <w:bodyDiv w:val="1"/>
      <w:marLeft w:val="0"/>
      <w:marRight w:val="0"/>
      <w:marTop w:val="0"/>
      <w:marBottom w:val="0"/>
      <w:divBdr>
        <w:top w:val="none" w:sz="0" w:space="0" w:color="auto"/>
        <w:left w:val="none" w:sz="0" w:space="0" w:color="auto"/>
        <w:bottom w:val="none" w:sz="0" w:space="0" w:color="auto"/>
        <w:right w:val="none" w:sz="0" w:space="0" w:color="auto"/>
      </w:divBdr>
    </w:div>
    <w:div w:id="2081437384">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
    <w:div w:id="2103798644">
      <w:bodyDiv w:val="1"/>
      <w:marLeft w:val="0"/>
      <w:marRight w:val="0"/>
      <w:marTop w:val="0"/>
      <w:marBottom w:val="0"/>
      <w:divBdr>
        <w:top w:val="none" w:sz="0" w:space="0" w:color="auto"/>
        <w:left w:val="none" w:sz="0" w:space="0" w:color="auto"/>
        <w:bottom w:val="none" w:sz="0" w:space="0" w:color="auto"/>
        <w:right w:val="none" w:sz="0" w:space="0" w:color="auto"/>
      </w:divBdr>
    </w:div>
    <w:div w:id="2105101267">
      <w:bodyDiv w:val="1"/>
      <w:marLeft w:val="0"/>
      <w:marRight w:val="0"/>
      <w:marTop w:val="0"/>
      <w:marBottom w:val="0"/>
      <w:divBdr>
        <w:top w:val="none" w:sz="0" w:space="0" w:color="auto"/>
        <w:left w:val="none" w:sz="0" w:space="0" w:color="auto"/>
        <w:bottom w:val="none" w:sz="0" w:space="0" w:color="auto"/>
        <w:right w:val="none" w:sz="0" w:space="0" w:color="auto"/>
      </w:divBdr>
    </w:div>
    <w:div w:id="2106077370">
      <w:bodyDiv w:val="1"/>
      <w:marLeft w:val="0"/>
      <w:marRight w:val="0"/>
      <w:marTop w:val="0"/>
      <w:marBottom w:val="0"/>
      <w:divBdr>
        <w:top w:val="none" w:sz="0" w:space="0" w:color="auto"/>
        <w:left w:val="none" w:sz="0" w:space="0" w:color="auto"/>
        <w:bottom w:val="none" w:sz="0" w:space="0" w:color="auto"/>
        <w:right w:val="none" w:sz="0" w:space="0" w:color="auto"/>
      </w:divBdr>
      <w:divsChild>
        <w:div w:id="18626715">
          <w:marLeft w:val="0"/>
          <w:marRight w:val="0"/>
          <w:marTop w:val="0"/>
          <w:marBottom w:val="0"/>
          <w:divBdr>
            <w:top w:val="none" w:sz="0" w:space="0" w:color="auto"/>
            <w:left w:val="none" w:sz="0" w:space="0" w:color="auto"/>
            <w:bottom w:val="none" w:sz="0" w:space="0" w:color="auto"/>
            <w:right w:val="none" w:sz="0" w:space="0" w:color="auto"/>
          </w:divBdr>
        </w:div>
        <w:div w:id="105271133">
          <w:marLeft w:val="0"/>
          <w:marRight w:val="0"/>
          <w:marTop w:val="0"/>
          <w:marBottom w:val="0"/>
          <w:divBdr>
            <w:top w:val="none" w:sz="0" w:space="0" w:color="auto"/>
            <w:left w:val="none" w:sz="0" w:space="0" w:color="auto"/>
            <w:bottom w:val="none" w:sz="0" w:space="0" w:color="auto"/>
            <w:right w:val="none" w:sz="0" w:space="0" w:color="auto"/>
          </w:divBdr>
        </w:div>
        <w:div w:id="130249732">
          <w:marLeft w:val="0"/>
          <w:marRight w:val="0"/>
          <w:marTop w:val="0"/>
          <w:marBottom w:val="0"/>
          <w:divBdr>
            <w:top w:val="none" w:sz="0" w:space="0" w:color="auto"/>
            <w:left w:val="none" w:sz="0" w:space="0" w:color="auto"/>
            <w:bottom w:val="none" w:sz="0" w:space="0" w:color="auto"/>
            <w:right w:val="none" w:sz="0" w:space="0" w:color="auto"/>
          </w:divBdr>
        </w:div>
        <w:div w:id="317077473">
          <w:marLeft w:val="0"/>
          <w:marRight w:val="0"/>
          <w:marTop w:val="0"/>
          <w:marBottom w:val="0"/>
          <w:divBdr>
            <w:top w:val="none" w:sz="0" w:space="0" w:color="auto"/>
            <w:left w:val="none" w:sz="0" w:space="0" w:color="auto"/>
            <w:bottom w:val="none" w:sz="0" w:space="0" w:color="auto"/>
            <w:right w:val="none" w:sz="0" w:space="0" w:color="auto"/>
          </w:divBdr>
        </w:div>
        <w:div w:id="584220063">
          <w:marLeft w:val="0"/>
          <w:marRight w:val="0"/>
          <w:marTop w:val="0"/>
          <w:marBottom w:val="0"/>
          <w:divBdr>
            <w:top w:val="none" w:sz="0" w:space="0" w:color="auto"/>
            <w:left w:val="none" w:sz="0" w:space="0" w:color="auto"/>
            <w:bottom w:val="none" w:sz="0" w:space="0" w:color="auto"/>
            <w:right w:val="none" w:sz="0" w:space="0" w:color="auto"/>
          </w:divBdr>
        </w:div>
        <w:div w:id="616715238">
          <w:marLeft w:val="0"/>
          <w:marRight w:val="0"/>
          <w:marTop w:val="0"/>
          <w:marBottom w:val="0"/>
          <w:divBdr>
            <w:top w:val="none" w:sz="0" w:space="0" w:color="auto"/>
            <w:left w:val="none" w:sz="0" w:space="0" w:color="auto"/>
            <w:bottom w:val="none" w:sz="0" w:space="0" w:color="auto"/>
            <w:right w:val="none" w:sz="0" w:space="0" w:color="auto"/>
          </w:divBdr>
        </w:div>
        <w:div w:id="625426528">
          <w:marLeft w:val="0"/>
          <w:marRight w:val="0"/>
          <w:marTop w:val="0"/>
          <w:marBottom w:val="0"/>
          <w:divBdr>
            <w:top w:val="none" w:sz="0" w:space="0" w:color="auto"/>
            <w:left w:val="none" w:sz="0" w:space="0" w:color="auto"/>
            <w:bottom w:val="none" w:sz="0" w:space="0" w:color="auto"/>
            <w:right w:val="none" w:sz="0" w:space="0" w:color="auto"/>
          </w:divBdr>
        </w:div>
        <w:div w:id="788202740">
          <w:marLeft w:val="0"/>
          <w:marRight w:val="0"/>
          <w:marTop w:val="0"/>
          <w:marBottom w:val="0"/>
          <w:divBdr>
            <w:top w:val="none" w:sz="0" w:space="0" w:color="auto"/>
            <w:left w:val="none" w:sz="0" w:space="0" w:color="auto"/>
            <w:bottom w:val="none" w:sz="0" w:space="0" w:color="auto"/>
            <w:right w:val="none" w:sz="0" w:space="0" w:color="auto"/>
          </w:divBdr>
        </w:div>
        <w:div w:id="807819619">
          <w:marLeft w:val="0"/>
          <w:marRight w:val="0"/>
          <w:marTop w:val="0"/>
          <w:marBottom w:val="0"/>
          <w:divBdr>
            <w:top w:val="none" w:sz="0" w:space="0" w:color="auto"/>
            <w:left w:val="none" w:sz="0" w:space="0" w:color="auto"/>
            <w:bottom w:val="none" w:sz="0" w:space="0" w:color="auto"/>
            <w:right w:val="none" w:sz="0" w:space="0" w:color="auto"/>
          </w:divBdr>
        </w:div>
        <w:div w:id="820658761">
          <w:marLeft w:val="0"/>
          <w:marRight w:val="0"/>
          <w:marTop w:val="0"/>
          <w:marBottom w:val="0"/>
          <w:divBdr>
            <w:top w:val="none" w:sz="0" w:space="0" w:color="auto"/>
            <w:left w:val="none" w:sz="0" w:space="0" w:color="auto"/>
            <w:bottom w:val="none" w:sz="0" w:space="0" w:color="auto"/>
            <w:right w:val="none" w:sz="0" w:space="0" w:color="auto"/>
          </w:divBdr>
        </w:div>
        <w:div w:id="822745804">
          <w:marLeft w:val="0"/>
          <w:marRight w:val="0"/>
          <w:marTop w:val="0"/>
          <w:marBottom w:val="0"/>
          <w:divBdr>
            <w:top w:val="none" w:sz="0" w:space="0" w:color="auto"/>
            <w:left w:val="none" w:sz="0" w:space="0" w:color="auto"/>
            <w:bottom w:val="none" w:sz="0" w:space="0" w:color="auto"/>
            <w:right w:val="none" w:sz="0" w:space="0" w:color="auto"/>
          </w:divBdr>
        </w:div>
        <w:div w:id="1010641152">
          <w:marLeft w:val="0"/>
          <w:marRight w:val="0"/>
          <w:marTop w:val="0"/>
          <w:marBottom w:val="0"/>
          <w:divBdr>
            <w:top w:val="none" w:sz="0" w:space="0" w:color="auto"/>
            <w:left w:val="none" w:sz="0" w:space="0" w:color="auto"/>
            <w:bottom w:val="none" w:sz="0" w:space="0" w:color="auto"/>
            <w:right w:val="none" w:sz="0" w:space="0" w:color="auto"/>
          </w:divBdr>
        </w:div>
        <w:div w:id="1041053573">
          <w:marLeft w:val="0"/>
          <w:marRight w:val="0"/>
          <w:marTop w:val="0"/>
          <w:marBottom w:val="0"/>
          <w:divBdr>
            <w:top w:val="none" w:sz="0" w:space="0" w:color="auto"/>
            <w:left w:val="none" w:sz="0" w:space="0" w:color="auto"/>
            <w:bottom w:val="none" w:sz="0" w:space="0" w:color="auto"/>
            <w:right w:val="none" w:sz="0" w:space="0" w:color="auto"/>
          </w:divBdr>
        </w:div>
        <w:div w:id="1061903552">
          <w:marLeft w:val="0"/>
          <w:marRight w:val="0"/>
          <w:marTop w:val="0"/>
          <w:marBottom w:val="0"/>
          <w:divBdr>
            <w:top w:val="none" w:sz="0" w:space="0" w:color="auto"/>
            <w:left w:val="none" w:sz="0" w:space="0" w:color="auto"/>
            <w:bottom w:val="none" w:sz="0" w:space="0" w:color="auto"/>
            <w:right w:val="none" w:sz="0" w:space="0" w:color="auto"/>
          </w:divBdr>
        </w:div>
        <w:div w:id="1118916994">
          <w:marLeft w:val="0"/>
          <w:marRight w:val="0"/>
          <w:marTop w:val="0"/>
          <w:marBottom w:val="0"/>
          <w:divBdr>
            <w:top w:val="none" w:sz="0" w:space="0" w:color="auto"/>
            <w:left w:val="none" w:sz="0" w:space="0" w:color="auto"/>
            <w:bottom w:val="none" w:sz="0" w:space="0" w:color="auto"/>
            <w:right w:val="none" w:sz="0" w:space="0" w:color="auto"/>
          </w:divBdr>
        </w:div>
        <w:div w:id="1147743530">
          <w:marLeft w:val="0"/>
          <w:marRight w:val="0"/>
          <w:marTop w:val="0"/>
          <w:marBottom w:val="0"/>
          <w:divBdr>
            <w:top w:val="none" w:sz="0" w:space="0" w:color="auto"/>
            <w:left w:val="none" w:sz="0" w:space="0" w:color="auto"/>
            <w:bottom w:val="none" w:sz="0" w:space="0" w:color="auto"/>
            <w:right w:val="none" w:sz="0" w:space="0" w:color="auto"/>
          </w:divBdr>
        </w:div>
        <w:div w:id="1195536734">
          <w:marLeft w:val="0"/>
          <w:marRight w:val="0"/>
          <w:marTop w:val="0"/>
          <w:marBottom w:val="0"/>
          <w:divBdr>
            <w:top w:val="none" w:sz="0" w:space="0" w:color="auto"/>
            <w:left w:val="none" w:sz="0" w:space="0" w:color="auto"/>
            <w:bottom w:val="none" w:sz="0" w:space="0" w:color="auto"/>
            <w:right w:val="none" w:sz="0" w:space="0" w:color="auto"/>
          </w:divBdr>
        </w:div>
        <w:div w:id="1272321103">
          <w:marLeft w:val="0"/>
          <w:marRight w:val="0"/>
          <w:marTop w:val="0"/>
          <w:marBottom w:val="0"/>
          <w:divBdr>
            <w:top w:val="none" w:sz="0" w:space="0" w:color="auto"/>
            <w:left w:val="none" w:sz="0" w:space="0" w:color="auto"/>
            <w:bottom w:val="none" w:sz="0" w:space="0" w:color="auto"/>
            <w:right w:val="none" w:sz="0" w:space="0" w:color="auto"/>
          </w:divBdr>
        </w:div>
        <w:div w:id="1474985711">
          <w:marLeft w:val="0"/>
          <w:marRight w:val="0"/>
          <w:marTop w:val="0"/>
          <w:marBottom w:val="0"/>
          <w:divBdr>
            <w:top w:val="none" w:sz="0" w:space="0" w:color="auto"/>
            <w:left w:val="none" w:sz="0" w:space="0" w:color="auto"/>
            <w:bottom w:val="none" w:sz="0" w:space="0" w:color="auto"/>
            <w:right w:val="none" w:sz="0" w:space="0" w:color="auto"/>
          </w:divBdr>
        </w:div>
        <w:div w:id="1507986998">
          <w:marLeft w:val="0"/>
          <w:marRight w:val="0"/>
          <w:marTop w:val="0"/>
          <w:marBottom w:val="0"/>
          <w:divBdr>
            <w:top w:val="none" w:sz="0" w:space="0" w:color="auto"/>
            <w:left w:val="none" w:sz="0" w:space="0" w:color="auto"/>
            <w:bottom w:val="none" w:sz="0" w:space="0" w:color="auto"/>
            <w:right w:val="none" w:sz="0" w:space="0" w:color="auto"/>
          </w:divBdr>
        </w:div>
        <w:div w:id="1571234202">
          <w:marLeft w:val="0"/>
          <w:marRight w:val="0"/>
          <w:marTop w:val="0"/>
          <w:marBottom w:val="0"/>
          <w:divBdr>
            <w:top w:val="none" w:sz="0" w:space="0" w:color="auto"/>
            <w:left w:val="none" w:sz="0" w:space="0" w:color="auto"/>
            <w:bottom w:val="none" w:sz="0" w:space="0" w:color="auto"/>
            <w:right w:val="none" w:sz="0" w:space="0" w:color="auto"/>
          </w:divBdr>
        </w:div>
        <w:div w:id="1713072747">
          <w:marLeft w:val="0"/>
          <w:marRight w:val="0"/>
          <w:marTop w:val="0"/>
          <w:marBottom w:val="0"/>
          <w:divBdr>
            <w:top w:val="none" w:sz="0" w:space="0" w:color="auto"/>
            <w:left w:val="none" w:sz="0" w:space="0" w:color="auto"/>
            <w:bottom w:val="none" w:sz="0" w:space="0" w:color="auto"/>
            <w:right w:val="none" w:sz="0" w:space="0" w:color="auto"/>
          </w:divBdr>
        </w:div>
        <w:div w:id="1927105921">
          <w:marLeft w:val="0"/>
          <w:marRight w:val="0"/>
          <w:marTop w:val="0"/>
          <w:marBottom w:val="0"/>
          <w:divBdr>
            <w:top w:val="none" w:sz="0" w:space="0" w:color="auto"/>
            <w:left w:val="none" w:sz="0" w:space="0" w:color="auto"/>
            <w:bottom w:val="none" w:sz="0" w:space="0" w:color="auto"/>
            <w:right w:val="none" w:sz="0" w:space="0" w:color="auto"/>
          </w:divBdr>
        </w:div>
        <w:div w:id="1962376467">
          <w:marLeft w:val="0"/>
          <w:marRight w:val="0"/>
          <w:marTop w:val="0"/>
          <w:marBottom w:val="0"/>
          <w:divBdr>
            <w:top w:val="none" w:sz="0" w:space="0" w:color="auto"/>
            <w:left w:val="none" w:sz="0" w:space="0" w:color="auto"/>
            <w:bottom w:val="none" w:sz="0" w:space="0" w:color="auto"/>
            <w:right w:val="none" w:sz="0" w:space="0" w:color="auto"/>
          </w:divBdr>
        </w:div>
      </w:divsChild>
    </w:div>
    <w:div w:id="2126927277">
      <w:bodyDiv w:val="1"/>
      <w:marLeft w:val="0"/>
      <w:marRight w:val="0"/>
      <w:marTop w:val="0"/>
      <w:marBottom w:val="0"/>
      <w:divBdr>
        <w:top w:val="none" w:sz="0" w:space="0" w:color="auto"/>
        <w:left w:val="none" w:sz="0" w:space="0" w:color="auto"/>
        <w:bottom w:val="none" w:sz="0" w:space="0" w:color="auto"/>
        <w:right w:val="none" w:sz="0" w:space="0" w:color="auto"/>
      </w:divBdr>
      <w:divsChild>
        <w:div w:id="33313805">
          <w:marLeft w:val="0"/>
          <w:marRight w:val="0"/>
          <w:marTop w:val="0"/>
          <w:marBottom w:val="0"/>
          <w:divBdr>
            <w:top w:val="none" w:sz="0" w:space="0" w:color="auto"/>
            <w:left w:val="none" w:sz="0" w:space="0" w:color="auto"/>
            <w:bottom w:val="none" w:sz="0" w:space="0" w:color="auto"/>
            <w:right w:val="none" w:sz="0" w:space="0" w:color="auto"/>
          </w:divBdr>
        </w:div>
        <w:div w:id="51736683">
          <w:marLeft w:val="0"/>
          <w:marRight w:val="0"/>
          <w:marTop w:val="0"/>
          <w:marBottom w:val="0"/>
          <w:divBdr>
            <w:top w:val="none" w:sz="0" w:space="0" w:color="auto"/>
            <w:left w:val="none" w:sz="0" w:space="0" w:color="auto"/>
            <w:bottom w:val="none" w:sz="0" w:space="0" w:color="auto"/>
            <w:right w:val="none" w:sz="0" w:space="0" w:color="auto"/>
          </w:divBdr>
        </w:div>
        <w:div w:id="193733644">
          <w:marLeft w:val="0"/>
          <w:marRight w:val="0"/>
          <w:marTop w:val="0"/>
          <w:marBottom w:val="0"/>
          <w:divBdr>
            <w:top w:val="none" w:sz="0" w:space="0" w:color="auto"/>
            <w:left w:val="none" w:sz="0" w:space="0" w:color="auto"/>
            <w:bottom w:val="none" w:sz="0" w:space="0" w:color="auto"/>
            <w:right w:val="none" w:sz="0" w:space="0" w:color="auto"/>
          </w:divBdr>
        </w:div>
        <w:div w:id="237443036">
          <w:marLeft w:val="0"/>
          <w:marRight w:val="0"/>
          <w:marTop w:val="0"/>
          <w:marBottom w:val="0"/>
          <w:divBdr>
            <w:top w:val="none" w:sz="0" w:space="0" w:color="auto"/>
            <w:left w:val="none" w:sz="0" w:space="0" w:color="auto"/>
            <w:bottom w:val="none" w:sz="0" w:space="0" w:color="auto"/>
            <w:right w:val="none" w:sz="0" w:space="0" w:color="auto"/>
          </w:divBdr>
        </w:div>
        <w:div w:id="298459453">
          <w:marLeft w:val="0"/>
          <w:marRight w:val="0"/>
          <w:marTop w:val="0"/>
          <w:marBottom w:val="0"/>
          <w:divBdr>
            <w:top w:val="none" w:sz="0" w:space="0" w:color="auto"/>
            <w:left w:val="none" w:sz="0" w:space="0" w:color="auto"/>
            <w:bottom w:val="none" w:sz="0" w:space="0" w:color="auto"/>
            <w:right w:val="none" w:sz="0" w:space="0" w:color="auto"/>
          </w:divBdr>
        </w:div>
        <w:div w:id="460802667">
          <w:marLeft w:val="0"/>
          <w:marRight w:val="0"/>
          <w:marTop w:val="0"/>
          <w:marBottom w:val="0"/>
          <w:divBdr>
            <w:top w:val="none" w:sz="0" w:space="0" w:color="auto"/>
            <w:left w:val="none" w:sz="0" w:space="0" w:color="auto"/>
            <w:bottom w:val="none" w:sz="0" w:space="0" w:color="auto"/>
            <w:right w:val="none" w:sz="0" w:space="0" w:color="auto"/>
          </w:divBdr>
        </w:div>
        <w:div w:id="479080717">
          <w:marLeft w:val="0"/>
          <w:marRight w:val="0"/>
          <w:marTop w:val="0"/>
          <w:marBottom w:val="0"/>
          <w:divBdr>
            <w:top w:val="none" w:sz="0" w:space="0" w:color="auto"/>
            <w:left w:val="none" w:sz="0" w:space="0" w:color="auto"/>
            <w:bottom w:val="none" w:sz="0" w:space="0" w:color="auto"/>
            <w:right w:val="none" w:sz="0" w:space="0" w:color="auto"/>
          </w:divBdr>
        </w:div>
        <w:div w:id="508256720">
          <w:marLeft w:val="0"/>
          <w:marRight w:val="0"/>
          <w:marTop w:val="0"/>
          <w:marBottom w:val="0"/>
          <w:divBdr>
            <w:top w:val="none" w:sz="0" w:space="0" w:color="auto"/>
            <w:left w:val="none" w:sz="0" w:space="0" w:color="auto"/>
            <w:bottom w:val="none" w:sz="0" w:space="0" w:color="auto"/>
            <w:right w:val="none" w:sz="0" w:space="0" w:color="auto"/>
          </w:divBdr>
        </w:div>
        <w:div w:id="656038281">
          <w:marLeft w:val="0"/>
          <w:marRight w:val="0"/>
          <w:marTop w:val="0"/>
          <w:marBottom w:val="0"/>
          <w:divBdr>
            <w:top w:val="none" w:sz="0" w:space="0" w:color="auto"/>
            <w:left w:val="none" w:sz="0" w:space="0" w:color="auto"/>
            <w:bottom w:val="none" w:sz="0" w:space="0" w:color="auto"/>
            <w:right w:val="none" w:sz="0" w:space="0" w:color="auto"/>
          </w:divBdr>
        </w:div>
        <w:div w:id="1025014417">
          <w:marLeft w:val="0"/>
          <w:marRight w:val="0"/>
          <w:marTop w:val="0"/>
          <w:marBottom w:val="0"/>
          <w:divBdr>
            <w:top w:val="none" w:sz="0" w:space="0" w:color="auto"/>
            <w:left w:val="none" w:sz="0" w:space="0" w:color="auto"/>
            <w:bottom w:val="none" w:sz="0" w:space="0" w:color="auto"/>
            <w:right w:val="none" w:sz="0" w:space="0" w:color="auto"/>
          </w:divBdr>
        </w:div>
        <w:div w:id="1164513656">
          <w:marLeft w:val="0"/>
          <w:marRight w:val="0"/>
          <w:marTop w:val="0"/>
          <w:marBottom w:val="0"/>
          <w:divBdr>
            <w:top w:val="none" w:sz="0" w:space="0" w:color="auto"/>
            <w:left w:val="none" w:sz="0" w:space="0" w:color="auto"/>
            <w:bottom w:val="none" w:sz="0" w:space="0" w:color="auto"/>
            <w:right w:val="none" w:sz="0" w:space="0" w:color="auto"/>
          </w:divBdr>
        </w:div>
        <w:div w:id="1195654935">
          <w:marLeft w:val="0"/>
          <w:marRight w:val="0"/>
          <w:marTop w:val="0"/>
          <w:marBottom w:val="0"/>
          <w:divBdr>
            <w:top w:val="none" w:sz="0" w:space="0" w:color="auto"/>
            <w:left w:val="none" w:sz="0" w:space="0" w:color="auto"/>
            <w:bottom w:val="none" w:sz="0" w:space="0" w:color="auto"/>
            <w:right w:val="none" w:sz="0" w:space="0" w:color="auto"/>
          </w:divBdr>
        </w:div>
        <w:div w:id="1221943139">
          <w:marLeft w:val="0"/>
          <w:marRight w:val="0"/>
          <w:marTop w:val="0"/>
          <w:marBottom w:val="0"/>
          <w:divBdr>
            <w:top w:val="none" w:sz="0" w:space="0" w:color="auto"/>
            <w:left w:val="none" w:sz="0" w:space="0" w:color="auto"/>
            <w:bottom w:val="none" w:sz="0" w:space="0" w:color="auto"/>
            <w:right w:val="none" w:sz="0" w:space="0" w:color="auto"/>
          </w:divBdr>
        </w:div>
        <w:div w:id="1330986175">
          <w:marLeft w:val="0"/>
          <w:marRight w:val="0"/>
          <w:marTop w:val="0"/>
          <w:marBottom w:val="0"/>
          <w:divBdr>
            <w:top w:val="none" w:sz="0" w:space="0" w:color="auto"/>
            <w:left w:val="none" w:sz="0" w:space="0" w:color="auto"/>
            <w:bottom w:val="none" w:sz="0" w:space="0" w:color="auto"/>
            <w:right w:val="none" w:sz="0" w:space="0" w:color="auto"/>
          </w:divBdr>
        </w:div>
        <w:div w:id="1529367607">
          <w:marLeft w:val="0"/>
          <w:marRight w:val="0"/>
          <w:marTop w:val="0"/>
          <w:marBottom w:val="0"/>
          <w:divBdr>
            <w:top w:val="none" w:sz="0" w:space="0" w:color="auto"/>
            <w:left w:val="none" w:sz="0" w:space="0" w:color="auto"/>
            <w:bottom w:val="none" w:sz="0" w:space="0" w:color="auto"/>
            <w:right w:val="none" w:sz="0" w:space="0" w:color="auto"/>
          </w:divBdr>
        </w:div>
        <w:div w:id="1768306382">
          <w:marLeft w:val="0"/>
          <w:marRight w:val="0"/>
          <w:marTop w:val="0"/>
          <w:marBottom w:val="0"/>
          <w:divBdr>
            <w:top w:val="none" w:sz="0" w:space="0" w:color="auto"/>
            <w:left w:val="none" w:sz="0" w:space="0" w:color="auto"/>
            <w:bottom w:val="none" w:sz="0" w:space="0" w:color="auto"/>
            <w:right w:val="none" w:sz="0" w:space="0" w:color="auto"/>
          </w:divBdr>
        </w:div>
        <w:div w:id="1820608112">
          <w:marLeft w:val="0"/>
          <w:marRight w:val="0"/>
          <w:marTop w:val="0"/>
          <w:marBottom w:val="0"/>
          <w:divBdr>
            <w:top w:val="none" w:sz="0" w:space="0" w:color="auto"/>
            <w:left w:val="none" w:sz="0" w:space="0" w:color="auto"/>
            <w:bottom w:val="none" w:sz="0" w:space="0" w:color="auto"/>
            <w:right w:val="none" w:sz="0" w:space="0" w:color="auto"/>
          </w:divBdr>
        </w:div>
        <w:div w:id="1886332647">
          <w:marLeft w:val="0"/>
          <w:marRight w:val="0"/>
          <w:marTop w:val="0"/>
          <w:marBottom w:val="0"/>
          <w:divBdr>
            <w:top w:val="none" w:sz="0" w:space="0" w:color="auto"/>
            <w:left w:val="none" w:sz="0" w:space="0" w:color="auto"/>
            <w:bottom w:val="none" w:sz="0" w:space="0" w:color="auto"/>
            <w:right w:val="none" w:sz="0" w:space="0" w:color="auto"/>
          </w:divBdr>
        </w:div>
        <w:div w:id="1950577523">
          <w:marLeft w:val="0"/>
          <w:marRight w:val="0"/>
          <w:marTop w:val="0"/>
          <w:marBottom w:val="0"/>
          <w:divBdr>
            <w:top w:val="none" w:sz="0" w:space="0" w:color="auto"/>
            <w:left w:val="none" w:sz="0" w:space="0" w:color="auto"/>
            <w:bottom w:val="none" w:sz="0" w:space="0" w:color="auto"/>
            <w:right w:val="none" w:sz="0" w:space="0" w:color="auto"/>
          </w:divBdr>
        </w:div>
        <w:div w:id="1988165934">
          <w:marLeft w:val="0"/>
          <w:marRight w:val="0"/>
          <w:marTop w:val="0"/>
          <w:marBottom w:val="0"/>
          <w:divBdr>
            <w:top w:val="none" w:sz="0" w:space="0" w:color="auto"/>
            <w:left w:val="none" w:sz="0" w:space="0" w:color="auto"/>
            <w:bottom w:val="none" w:sz="0" w:space="0" w:color="auto"/>
            <w:right w:val="none" w:sz="0" w:space="0" w:color="auto"/>
          </w:divBdr>
        </w:div>
      </w:divsChild>
    </w:div>
    <w:div w:id="2135052828">
      <w:bodyDiv w:val="1"/>
      <w:marLeft w:val="0"/>
      <w:marRight w:val="0"/>
      <w:marTop w:val="0"/>
      <w:marBottom w:val="0"/>
      <w:divBdr>
        <w:top w:val="none" w:sz="0" w:space="0" w:color="auto"/>
        <w:left w:val="none" w:sz="0" w:space="0" w:color="auto"/>
        <w:bottom w:val="none" w:sz="0" w:space="0" w:color="auto"/>
        <w:right w:val="none" w:sz="0" w:space="0" w:color="auto"/>
      </w:divBdr>
      <w:divsChild>
        <w:div w:id="133648542">
          <w:marLeft w:val="0"/>
          <w:marRight w:val="0"/>
          <w:marTop w:val="0"/>
          <w:marBottom w:val="0"/>
          <w:divBdr>
            <w:top w:val="none" w:sz="0" w:space="0" w:color="auto"/>
            <w:left w:val="none" w:sz="0" w:space="0" w:color="auto"/>
            <w:bottom w:val="none" w:sz="0" w:space="0" w:color="auto"/>
            <w:right w:val="none" w:sz="0" w:space="0" w:color="auto"/>
          </w:divBdr>
        </w:div>
        <w:div w:id="135725565">
          <w:marLeft w:val="0"/>
          <w:marRight w:val="0"/>
          <w:marTop w:val="0"/>
          <w:marBottom w:val="0"/>
          <w:divBdr>
            <w:top w:val="none" w:sz="0" w:space="0" w:color="auto"/>
            <w:left w:val="none" w:sz="0" w:space="0" w:color="auto"/>
            <w:bottom w:val="none" w:sz="0" w:space="0" w:color="auto"/>
            <w:right w:val="none" w:sz="0" w:space="0" w:color="auto"/>
          </w:divBdr>
        </w:div>
        <w:div w:id="204568504">
          <w:marLeft w:val="0"/>
          <w:marRight w:val="0"/>
          <w:marTop w:val="0"/>
          <w:marBottom w:val="0"/>
          <w:divBdr>
            <w:top w:val="none" w:sz="0" w:space="0" w:color="auto"/>
            <w:left w:val="none" w:sz="0" w:space="0" w:color="auto"/>
            <w:bottom w:val="none" w:sz="0" w:space="0" w:color="auto"/>
            <w:right w:val="none" w:sz="0" w:space="0" w:color="auto"/>
          </w:divBdr>
        </w:div>
        <w:div w:id="223876365">
          <w:marLeft w:val="0"/>
          <w:marRight w:val="0"/>
          <w:marTop w:val="0"/>
          <w:marBottom w:val="0"/>
          <w:divBdr>
            <w:top w:val="none" w:sz="0" w:space="0" w:color="auto"/>
            <w:left w:val="none" w:sz="0" w:space="0" w:color="auto"/>
            <w:bottom w:val="none" w:sz="0" w:space="0" w:color="auto"/>
            <w:right w:val="none" w:sz="0" w:space="0" w:color="auto"/>
          </w:divBdr>
        </w:div>
        <w:div w:id="251934455">
          <w:marLeft w:val="0"/>
          <w:marRight w:val="0"/>
          <w:marTop w:val="0"/>
          <w:marBottom w:val="0"/>
          <w:divBdr>
            <w:top w:val="none" w:sz="0" w:space="0" w:color="auto"/>
            <w:left w:val="none" w:sz="0" w:space="0" w:color="auto"/>
            <w:bottom w:val="none" w:sz="0" w:space="0" w:color="auto"/>
            <w:right w:val="none" w:sz="0" w:space="0" w:color="auto"/>
          </w:divBdr>
        </w:div>
        <w:div w:id="306404049">
          <w:marLeft w:val="0"/>
          <w:marRight w:val="0"/>
          <w:marTop w:val="0"/>
          <w:marBottom w:val="0"/>
          <w:divBdr>
            <w:top w:val="none" w:sz="0" w:space="0" w:color="auto"/>
            <w:left w:val="none" w:sz="0" w:space="0" w:color="auto"/>
            <w:bottom w:val="none" w:sz="0" w:space="0" w:color="auto"/>
            <w:right w:val="none" w:sz="0" w:space="0" w:color="auto"/>
          </w:divBdr>
        </w:div>
        <w:div w:id="352002195">
          <w:marLeft w:val="0"/>
          <w:marRight w:val="0"/>
          <w:marTop w:val="0"/>
          <w:marBottom w:val="0"/>
          <w:divBdr>
            <w:top w:val="none" w:sz="0" w:space="0" w:color="auto"/>
            <w:left w:val="none" w:sz="0" w:space="0" w:color="auto"/>
            <w:bottom w:val="none" w:sz="0" w:space="0" w:color="auto"/>
            <w:right w:val="none" w:sz="0" w:space="0" w:color="auto"/>
          </w:divBdr>
        </w:div>
        <w:div w:id="362443566">
          <w:marLeft w:val="0"/>
          <w:marRight w:val="0"/>
          <w:marTop w:val="0"/>
          <w:marBottom w:val="0"/>
          <w:divBdr>
            <w:top w:val="none" w:sz="0" w:space="0" w:color="auto"/>
            <w:left w:val="none" w:sz="0" w:space="0" w:color="auto"/>
            <w:bottom w:val="none" w:sz="0" w:space="0" w:color="auto"/>
            <w:right w:val="none" w:sz="0" w:space="0" w:color="auto"/>
          </w:divBdr>
        </w:div>
        <w:div w:id="425658640">
          <w:marLeft w:val="0"/>
          <w:marRight w:val="0"/>
          <w:marTop w:val="0"/>
          <w:marBottom w:val="0"/>
          <w:divBdr>
            <w:top w:val="none" w:sz="0" w:space="0" w:color="auto"/>
            <w:left w:val="none" w:sz="0" w:space="0" w:color="auto"/>
            <w:bottom w:val="none" w:sz="0" w:space="0" w:color="auto"/>
            <w:right w:val="none" w:sz="0" w:space="0" w:color="auto"/>
          </w:divBdr>
        </w:div>
        <w:div w:id="451485086">
          <w:marLeft w:val="0"/>
          <w:marRight w:val="0"/>
          <w:marTop w:val="0"/>
          <w:marBottom w:val="0"/>
          <w:divBdr>
            <w:top w:val="none" w:sz="0" w:space="0" w:color="auto"/>
            <w:left w:val="none" w:sz="0" w:space="0" w:color="auto"/>
            <w:bottom w:val="none" w:sz="0" w:space="0" w:color="auto"/>
            <w:right w:val="none" w:sz="0" w:space="0" w:color="auto"/>
          </w:divBdr>
        </w:div>
        <w:div w:id="601180492">
          <w:marLeft w:val="0"/>
          <w:marRight w:val="0"/>
          <w:marTop w:val="0"/>
          <w:marBottom w:val="0"/>
          <w:divBdr>
            <w:top w:val="none" w:sz="0" w:space="0" w:color="auto"/>
            <w:left w:val="none" w:sz="0" w:space="0" w:color="auto"/>
            <w:bottom w:val="none" w:sz="0" w:space="0" w:color="auto"/>
            <w:right w:val="none" w:sz="0" w:space="0" w:color="auto"/>
          </w:divBdr>
        </w:div>
        <w:div w:id="633413909">
          <w:marLeft w:val="0"/>
          <w:marRight w:val="0"/>
          <w:marTop w:val="0"/>
          <w:marBottom w:val="0"/>
          <w:divBdr>
            <w:top w:val="none" w:sz="0" w:space="0" w:color="auto"/>
            <w:left w:val="none" w:sz="0" w:space="0" w:color="auto"/>
            <w:bottom w:val="none" w:sz="0" w:space="0" w:color="auto"/>
            <w:right w:val="none" w:sz="0" w:space="0" w:color="auto"/>
          </w:divBdr>
        </w:div>
        <w:div w:id="679048164">
          <w:marLeft w:val="0"/>
          <w:marRight w:val="0"/>
          <w:marTop w:val="0"/>
          <w:marBottom w:val="0"/>
          <w:divBdr>
            <w:top w:val="none" w:sz="0" w:space="0" w:color="auto"/>
            <w:left w:val="none" w:sz="0" w:space="0" w:color="auto"/>
            <w:bottom w:val="none" w:sz="0" w:space="0" w:color="auto"/>
            <w:right w:val="none" w:sz="0" w:space="0" w:color="auto"/>
          </w:divBdr>
        </w:div>
        <w:div w:id="689334657">
          <w:marLeft w:val="0"/>
          <w:marRight w:val="0"/>
          <w:marTop w:val="0"/>
          <w:marBottom w:val="0"/>
          <w:divBdr>
            <w:top w:val="none" w:sz="0" w:space="0" w:color="auto"/>
            <w:left w:val="none" w:sz="0" w:space="0" w:color="auto"/>
            <w:bottom w:val="none" w:sz="0" w:space="0" w:color="auto"/>
            <w:right w:val="none" w:sz="0" w:space="0" w:color="auto"/>
          </w:divBdr>
        </w:div>
        <w:div w:id="696153152">
          <w:marLeft w:val="0"/>
          <w:marRight w:val="0"/>
          <w:marTop w:val="0"/>
          <w:marBottom w:val="0"/>
          <w:divBdr>
            <w:top w:val="none" w:sz="0" w:space="0" w:color="auto"/>
            <w:left w:val="none" w:sz="0" w:space="0" w:color="auto"/>
            <w:bottom w:val="none" w:sz="0" w:space="0" w:color="auto"/>
            <w:right w:val="none" w:sz="0" w:space="0" w:color="auto"/>
          </w:divBdr>
        </w:div>
        <w:div w:id="733966925">
          <w:marLeft w:val="0"/>
          <w:marRight w:val="0"/>
          <w:marTop w:val="0"/>
          <w:marBottom w:val="0"/>
          <w:divBdr>
            <w:top w:val="none" w:sz="0" w:space="0" w:color="auto"/>
            <w:left w:val="none" w:sz="0" w:space="0" w:color="auto"/>
            <w:bottom w:val="none" w:sz="0" w:space="0" w:color="auto"/>
            <w:right w:val="none" w:sz="0" w:space="0" w:color="auto"/>
          </w:divBdr>
        </w:div>
        <w:div w:id="738942827">
          <w:marLeft w:val="0"/>
          <w:marRight w:val="0"/>
          <w:marTop w:val="0"/>
          <w:marBottom w:val="0"/>
          <w:divBdr>
            <w:top w:val="none" w:sz="0" w:space="0" w:color="auto"/>
            <w:left w:val="none" w:sz="0" w:space="0" w:color="auto"/>
            <w:bottom w:val="none" w:sz="0" w:space="0" w:color="auto"/>
            <w:right w:val="none" w:sz="0" w:space="0" w:color="auto"/>
          </w:divBdr>
        </w:div>
        <w:div w:id="760949113">
          <w:marLeft w:val="0"/>
          <w:marRight w:val="0"/>
          <w:marTop w:val="0"/>
          <w:marBottom w:val="0"/>
          <w:divBdr>
            <w:top w:val="none" w:sz="0" w:space="0" w:color="auto"/>
            <w:left w:val="none" w:sz="0" w:space="0" w:color="auto"/>
            <w:bottom w:val="none" w:sz="0" w:space="0" w:color="auto"/>
            <w:right w:val="none" w:sz="0" w:space="0" w:color="auto"/>
          </w:divBdr>
        </w:div>
        <w:div w:id="766657011">
          <w:marLeft w:val="0"/>
          <w:marRight w:val="0"/>
          <w:marTop w:val="0"/>
          <w:marBottom w:val="0"/>
          <w:divBdr>
            <w:top w:val="none" w:sz="0" w:space="0" w:color="auto"/>
            <w:left w:val="none" w:sz="0" w:space="0" w:color="auto"/>
            <w:bottom w:val="none" w:sz="0" w:space="0" w:color="auto"/>
            <w:right w:val="none" w:sz="0" w:space="0" w:color="auto"/>
          </w:divBdr>
        </w:div>
        <w:div w:id="855119870">
          <w:marLeft w:val="0"/>
          <w:marRight w:val="0"/>
          <w:marTop w:val="0"/>
          <w:marBottom w:val="0"/>
          <w:divBdr>
            <w:top w:val="none" w:sz="0" w:space="0" w:color="auto"/>
            <w:left w:val="none" w:sz="0" w:space="0" w:color="auto"/>
            <w:bottom w:val="none" w:sz="0" w:space="0" w:color="auto"/>
            <w:right w:val="none" w:sz="0" w:space="0" w:color="auto"/>
          </w:divBdr>
        </w:div>
        <w:div w:id="912813281">
          <w:marLeft w:val="0"/>
          <w:marRight w:val="0"/>
          <w:marTop w:val="0"/>
          <w:marBottom w:val="0"/>
          <w:divBdr>
            <w:top w:val="none" w:sz="0" w:space="0" w:color="auto"/>
            <w:left w:val="none" w:sz="0" w:space="0" w:color="auto"/>
            <w:bottom w:val="none" w:sz="0" w:space="0" w:color="auto"/>
            <w:right w:val="none" w:sz="0" w:space="0" w:color="auto"/>
          </w:divBdr>
        </w:div>
        <w:div w:id="945695920">
          <w:marLeft w:val="0"/>
          <w:marRight w:val="0"/>
          <w:marTop w:val="0"/>
          <w:marBottom w:val="0"/>
          <w:divBdr>
            <w:top w:val="none" w:sz="0" w:space="0" w:color="auto"/>
            <w:left w:val="none" w:sz="0" w:space="0" w:color="auto"/>
            <w:bottom w:val="none" w:sz="0" w:space="0" w:color="auto"/>
            <w:right w:val="none" w:sz="0" w:space="0" w:color="auto"/>
          </w:divBdr>
        </w:div>
        <w:div w:id="1050769706">
          <w:marLeft w:val="0"/>
          <w:marRight w:val="0"/>
          <w:marTop w:val="0"/>
          <w:marBottom w:val="0"/>
          <w:divBdr>
            <w:top w:val="none" w:sz="0" w:space="0" w:color="auto"/>
            <w:left w:val="none" w:sz="0" w:space="0" w:color="auto"/>
            <w:bottom w:val="none" w:sz="0" w:space="0" w:color="auto"/>
            <w:right w:val="none" w:sz="0" w:space="0" w:color="auto"/>
          </w:divBdr>
        </w:div>
        <w:div w:id="1051928791">
          <w:marLeft w:val="0"/>
          <w:marRight w:val="0"/>
          <w:marTop w:val="0"/>
          <w:marBottom w:val="0"/>
          <w:divBdr>
            <w:top w:val="none" w:sz="0" w:space="0" w:color="auto"/>
            <w:left w:val="none" w:sz="0" w:space="0" w:color="auto"/>
            <w:bottom w:val="none" w:sz="0" w:space="0" w:color="auto"/>
            <w:right w:val="none" w:sz="0" w:space="0" w:color="auto"/>
          </w:divBdr>
        </w:div>
        <w:div w:id="1079131957">
          <w:marLeft w:val="0"/>
          <w:marRight w:val="0"/>
          <w:marTop w:val="0"/>
          <w:marBottom w:val="0"/>
          <w:divBdr>
            <w:top w:val="none" w:sz="0" w:space="0" w:color="auto"/>
            <w:left w:val="none" w:sz="0" w:space="0" w:color="auto"/>
            <w:bottom w:val="none" w:sz="0" w:space="0" w:color="auto"/>
            <w:right w:val="none" w:sz="0" w:space="0" w:color="auto"/>
          </w:divBdr>
        </w:div>
        <w:div w:id="1158887654">
          <w:marLeft w:val="0"/>
          <w:marRight w:val="0"/>
          <w:marTop w:val="0"/>
          <w:marBottom w:val="0"/>
          <w:divBdr>
            <w:top w:val="none" w:sz="0" w:space="0" w:color="auto"/>
            <w:left w:val="none" w:sz="0" w:space="0" w:color="auto"/>
            <w:bottom w:val="none" w:sz="0" w:space="0" w:color="auto"/>
            <w:right w:val="none" w:sz="0" w:space="0" w:color="auto"/>
          </w:divBdr>
        </w:div>
        <w:div w:id="1183058136">
          <w:marLeft w:val="0"/>
          <w:marRight w:val="0"/>
          <w:marTop w:val="0"/>
          <w:marBottom w:val="0"/>
          <w:divBdr>
            <w:top w:val="none" w:sz="0" w:space="0" w:color="auto"/>
            <w:left w:val="none" w:sz="0" w:space="0" w:color="auto"/>
            <w:bottom w:val="none" w:sz="0" w:space="0" w:color="auto"/>
            <w:right w:val="none" w:sz="0" w:space="0" w:color="auto"/>
          </w:divBdr>
        </w:div>
        <w:div w:id="1188328828">
          <w:marLeft w:val="0"/>
          <w:marRight w:val="0"/>
          <w:marTop w:val="0"/>
          <w:marBottom w:val="0"/>
          <w:divBdr>
            <w:top w:val="none" w:sz="0" w:space="0" w:color="auto"/>
            <w:left w:val="none" w:sz="0" w:space="0" w:color="auto"/>
            <w:bottom w:val="none" w:sz="0" w:space="0" w:color="auto"/>
            <w:right w:val="none" w:sz="0" w:space="0" w:color="auto"/>
          </w:divBdr>
        </w:div>
        <w:div w:id="1190098755">
          <w:marLeft w:val="0"/>
          <w:marRight w:val="0"/>
          <w:marTop w:val="0"/>
          <w:marBottom w:val="0"/>
          <w:divBdr>
            <w:top w:val="none" w:sz="0" w:space="0" w:color="auto"/>
            <w:left w:val="none" w:sz="0" w:space="0" w:color="auto"/>
            <w:bottom w:val="none" w:sz="0" w:space="0" w:color="auto"/>
            <w:right w:val="none" w:sz="0" w:space="0" w:color="auto"/>
          </w:divBdr>
        </w:div>
        <w:div w:id="1351107895">
          <w:marLeft w:val="0"/>
          <w:marRight w:val="0"/>
          <w:marTop w:val="0"/>
          <w:marBottom w:val="0"/>
          <w:divBdr>
            <w:top w:val="none" w:sz="0" w:space="0" w:color="auto"/>
            <w:left w:val="none" w:sz="0" w:space="0" w:color="auto"/>
            <w:bottom w:val="none" w:sz="0" w:space="0" w:color="auto"/>
            <w:right w:val="none" w:sz="0" w:space="0" w:color="auto"/>
          </w:divBdr>
        </w:div>
        <w:div w:id="1353339465">
          <w:marLeft w:val="0"/>
          <w:marRight w:val="0"/>
          <w:marTop w:val="0"/>
          <w:marBottom w:val="0"/>
          <w:divBdr>
            <w:top w:val="none" w:sz="0" w:space="0" w:color="auto"/>
            <w:left w:val="none" w:sz="0" w:space="0" w:color="auto"/>
            <w:bottom w:val="none" w:sz="0" w:space="0" w:color="auto"/>
            <w:right w:val="none" w:sz="0" w:space="0" w:color="auto"/>
          </w:divBdr>
        </w:div>
        <w:div w:id="1380517942">
          <w:marLeft w:val="0"/>
          <w:marRight w:val="0"/>
          <w:marTop w:val="0"/>
          <w:marBottom w:val="0"/>
          <w:divBdr>
            <w:top w:val="none" w:sz="0" w:space="0" w:color="auto"/>
            <w:left w:val="none" w:sz="0" w:space="0" w:color="auto"/>
            <w:bottom w:val="none" w:sz="0" w:space="0" w:color="auto"/>
            <w:right w:val="none" w:sz="0" w:space="0" w:color="auto"/>
          </w:divBdr>
        </w:div>
        <w:div w:id="1445424995">
          <w:marLeft w:val="0"/>
          <w:marRight w:val="0"/>
          <w:marTop w:val="0"/>
          <w:marBottom w:val="0"/>
          <w:divBdr>
            <w:top w:val="none" w:sz="0" w:space="0" w:color="auto"/>
            <w:left w:val="none" w:sz="0" w:space="0" w:color="auto"/>
            <w:bottom w:val="none" w:sz="0" w:space="0" w:color="auto"/>
            <w:right w:val="none" w:sz="0" w:space="0" w:color="auto"/>
          </w:divBdr>
        </w:div>
        <w:div w:id="1475217616">
          <w:marLeft w:val="0"/>
          <w:marRight w:val="0"/>
          <w:marTop w:val="0"/>
          <w:marBottom w:val="0"/>
          <w:divBdr>
            <w:top w:val="none" w:sz="0" w:space="0" w:color="auto"/>
            <w:left w:val="none" w:sz="0" w:space="0" w:color="auto"/>
            <w:bottom w:val="none" w:sz="0" w:space="0" w:color="auto"/>
            <w:right w:val="none" w:sz="0" w:space="0" w:color="auto"/>
          </w:divBdr>
        </w:div>
        <w:div w:id="1516455097">
          <w:marLeft w:val="0"/>
          <w:marRight w:val="0"/>
          <w:marTop w:val="0"/>
          <w:marBottom w:val="0"/>
          <w:divBdr>
            <w:top w:val="none" w:sz="0" w:space="0" w:color="auto"/>
            <w:left w:val="none" w:sz="0" w:space="0" w:color="auto"/>
            <w:bottom w:val="none" w:sz="0" w:space="0" w:color="auto"/>
            <w:right w:val="none" w:sz="0" w:space="0" w:color="auto"/>
          </w:divBdr>
        </w:div>
        <w:div w:id="1522234691">
          <w:marLeft w:val="0"/>
          <w:marRight w:val="0"/>
          <w:marTop w:val="0"/>
          <w:marBottom w:val="0"/>
          <w:divBdr>
            <w:top w:val="none" w:sz="0" w:space="0" w:color="auto"/>
            <w:left w:val="none" w:sz="0" w:space="0" w:color="auto"/>
            <w:bottom w:val="none" w:sz="0" w:space="0" w:color="auto"/>
            <w:right w:val="none" w:sz="0" w:space="0" w:color="auto"/>
          </w:divBdr>
        </w:div>
        <w:div w:id="1655375480">
          <w:marLeft w:val="0"/>
          <w:marRight w:val="0"/>
          <w:marTop w:val="0"/>
          <w:marBottom w:val="0"/>
          <w:divBdr>
            <w:top w:val="none" w:sz="0" w:space="0" w:color="auto"/>
            <w:left w:val="none" w:sz="0" w:space="0" w:color="auto"/>
            <w:bottom w:val="none" w:sz="0" w:space="0" w:color="auto"/>
            <w:right w:val="none" w:sz="0" w:space="0" w:color="auto"/>
          </w:divBdr>
        </w:div>
        <w:div w:id="1680044570">
          <w:marLeft w:val="0"/>
          <w:marRight w:val="0"/>
          <w:marTop w:val="0"/>
          <w:marBottom w:val="0"/>
          <w:divBdr>
            <w:top w:val="none" w:sz="0" w:space="0" w:color="auto"/>
            <w:left w:val="none" w:sz="0" w:space="0" w:color="auto"/>
            <w:bottom w:val="none" w:sz="0" w:space="0" w:color="auto"/>
            <w:right w:val="none" w:sz="0" w:space="0" w:color="auto"/>
          </w:divBdr>
        </w:div>
        <w:div w:id="1703936670">
          <w:marLeft w:val="0"/>
          <w:marRight w:val="0"/>
          <w:marTop w:val="0"/>
          <w:marBottom w:val="0"/>
          <w:divBdr>
            <w:top w:val="none" w:sz="0" w:space="0" w:color="auto"/>
            <w:left w:val="none" w:sz="0" w:space="0" w:color="auto"/>
            <w:bottom w:val="none" w:sz="0" w:space="0" w:color="auto"/>
            <w:right w:val="none" w:sz="0" w:space="0" w:color="auto"/>
          </w:divBdr>
        </w:div>
        <w:div w:id="1732773819">
          <w:marLeft w:val="0"/>
          <w:marRight w:val="0"/>
          <w:marTop w:val="0"/>
          <w:marBottom w:val="0"/>
          <w:divBdr>
            <w:top w:val="none" w:sz="0" w:space="0" w:color="auto"/>
            <w:left w:val="none" w:sz="0" w:space="0" w:color="auto"/>
            <w:bottom w:val="none" w:sz="0" w:space="0" w:color="auto"/>
            <w:right w:val="none" w:sz="0" w:space="0" w:color="auto"/>
          </w:divBdr>
        </w:div>
        <w:div w:id="1744452788">
          <w:marLeft w:val="0"/>
          <w:marRight w:val="0"/>
          <w:marTop w:val="0"/>
          <w:marBottom w:val="0"/>
          <w:divBdr>
            <w:top w:val="none" w:sz="0" w:space="0" w:color="auto"/>
            <w:left w:val="none" w:sz="0" w:space="0" w:color="auto"/>
            <w:bottom w:val="none" w:sz="0" w:space="0" w:color="auto"/>
            <w:right w:val="none" w:sz="0" w:space="0" w:color="auto"/>
          </w:divBdr>
        </w:div>
        <w:div w:id="1767069424">
          <w:marLeft w:val="0"/>
          <w:marRight w:val="0"/>
          <w:marTop w:val="0"/>
          <w:marBottom w:val="0"/>
          <w:divBdr>
            <w:top w:val="none" w:sz="0" w:space="0" w:color="auto"/>
            <w:left w:val="none" w:sz="0" w:space="0" w:color="auto"/>
            <w:bottom w:val="none" w:sz="0" w:space="0" w:color="auto"/>
            <w:right w:val="none" w:sz="0" w:space="0" w:color="auto"/>
          </w:divBdr>
        </w:div>
        <w:div w:id="1781535331">
          <w:marLeft w:val="0"/>
          <w:marRight w:val="0"/>
          <w:marTop w:val="0"/>
          <w:marBottom w:val="0"/>
          <w:divBdr>
            <w:top w:val="none" w:sz="0" w:space="0" w:color="auto"/>
            <w:left w:val="none" w:sz="0" w:space="0" w:color="auto"/>
            <w:bottom w:val="none" w:sz="0" w:space="0" w:color="auto"/>
            <w:right w:val="none" w:sz="0" w:space="0" w:color="auto"/>
          </w:divBdr>
        </w:div>
        <w:div w:id="1790125037">
          <w:marLeft w:val="0"/>
          <w:marRight w:val="0"/>
          <w:marTop w:val="0"/>
          <w:marBottom w:val="0"/>
          <w:divBdr>
            <w:top w:val="none" w:sz="0" w:space="0" w:color="auto"/>
            <w:left w:val="none" w:sz="0" w:space="0" w:color="auto"/>
            <w:bottom w:val="none" w:sz="0" w:space="0" w:color="auto"/>
            <w:right w:val="none" w:sz="0" w:space="0" w:color="auto"/>
          </w:divBdr>
        </w:div>
        <w:div w:id="1830901920">
          <w:marLeft w:val="0"/>
          <w:marRight w:val="0"/>
          <w:marTop w:val="0"/>
          <w:marBottom w:val="0"/>
          <w:divBdr>
            <w:top w:val="none" w:sz="0" w:space="0" w:color="auto"/>
            <w:left w:val="none" w:sz="0" w:space="0" w:color="auto"/>
            <w:bottom w:val="none" w:sz="0" w:space="0" w:color="auto"/>
            <w:right w:val="none" w:sz="0" w:space="0" w:color="auto"/>
          </w:divBdr>
        </w:div>
        <w:div w:id="1832528044">
          <w:marLeft w:val="0"/>
          <w:marRight w:val="0"/>
          <w:marTop w:val="0"/>
          <w:marBottom w:val="0"/>
          <w:divBdr>
            <w:top w:val="none" w:sz="0" w:space="0" w:color="auto"/>
            <w:left w:val="none" w:sz="0" w:space="0" w:color="auto"/>
            <w:bottom w:val="none" w:sz="0" w:space="0" w:color="auto"/>
            <w:right w:val="none" w:sz="0" w:space="0" w:color="auto"/>
          </w:divBdr>
        </w:div>
        <w:div w:id="1930968637">
          <w:marLeft w:val="0"/>
          <w:marRight w:val="0"/>
          <w:marTop w:val="0"/>
          <w:marBottom w:val="0"/>
          <w:divBdr>
            <w:top w:val="none" w:sz="0" w:space="0" w:color="auto"/>
            <w:left w:val="none" w:sz="0" w:space="0" w:color="auto"/>
            <w:bottom w:val="none" w:sz="0" w:space="0" w:color="auto"/>
            <w:right w:val="none" w:sz="0" w:space="0" w:color="auto"/>
          </w:divBdr>
        </w:div>
        <w:div w:id="1978560605">
          <w:marLeft w:val="0"/>
          <w:marRight w:val="0"/>
          <w:marTop w:val="0"/>
          <w:marBottom w:val="0"/>
          <w:divBdr>
            <w:top w:val="none" w:sz="0" w:space="0" w:color="auto"/>
            <w:left w:val="none" w:sz="0" w:space="0" w:color="auto"/>
            <w:bottom w:val="none" w:sz="0" w:space="0" w:color="auto"/>
            <w:right w:val="none" w:sz="0" w:space="0" w:color="auto"/>
          </w:divBdr>
        </w:div>
        <w:div w:id="1996302532">
          <w:marLeft w:val="0"/>
          <w:marRight w:val="0"/>
          <w:marTop w:val="0"/>
          <w:marBottom w:val="0"/>
          <w:divBdr>
            <w:top w:val="none" w:sz="0" w:space="0" w:color="auto"/>
            <w:left w:val="none" w:sz="0" w:space="0" w:color="auto"/>
            <w:bottom w:val="none" w:sz="0" w:space="0" w:color="auto"/>
            <w:right w:val="none" w:sz="0" w:space="0" w:color="auto"/>
          </w:divBdr>
        </w:div>
        <w:div w:id="2046252128">
          <w:marLeft w:val="0"/>
          <w:marRight w:val="0"/>
          <w:marTop w:val="0"/>
          <w:marBottom w:val="0"/>
          <w:divBdr>
            <w:top w:val="none" w:sz="0" w:space="0" w:color="auto"/>
            <w:left w:val="none" w:sz="0" w:space="0" w:color="auto"/>
            <w:bottom w:val="none" w:sz="0" w:space="0" w:color="auto"/>
            <w:right w:val="none" w:sz="0" w:space="0" w:color="auto"/>
          </w:divBdr>
        </w:div>
        <w:div w:id="2053382079">
          <w:marLeft w:val="0"/>
          <w:marRight w:val="0"/>
          <w:marTop w:val="0"/>
          <w:marBottom w:val="0"/>
          <w:divBdr>
            <w:top w:val="none" w:sz="0" w:space="0" w:color="auto"/>
            <w:left w:val="none" w:sz="0" w:space="0" w:color="auto"/>
            <w:bottom w:val="none" w:sz="0" w:space="0" w:color="auto"/>
            <w:right w:val="none" w:sz="0" w:space="0" w:color="auto"/>
          </w:divBdr>
        </w:div>
      </w:divsChild>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 w:id="2139106947">
      <w:bodyDiv w:val="1"/>
      <w:marLeft w:val="0"/>
      <w:marRight w:val="0"/>
      <w:marTop w:val="0"/>
      <w:marBottom w:val="0"/>
      <w:divBdr>
        <w:top w:val="none" w:sz="0" w:space="0" w:color="auto"/>
        <w:left w:val="none" w:sz="0" w:space="0" w:color="auto"/>
        <w:bottom w:val="none" w:sz="0" w:space="0" w:color="auto"/>
        <w:right w:val="none" w:sz="0" w:space="0" w:color="auto"/>
      </w:divBdr>
    </w:div>
    <w:div w:id="2140999516">
      <w:bodyDiv w:val="1"/>
      <w:marLeft w:val="0"/>
      <w:marRight w:val="0"/>
      <w:marTop w:val="0"/>
      <w:marBottom w:val="0"/>
      <w:divBdr>
        <w:top w:val="none" w:sz="0" w:space="0" w:color="auto"/>
        <w:left w:val="none" w:sz="0" w:space="0" w:color="auto"/>
        <w:bottom w:val="none" w:sz="0" w:space="0" w:color="auto"/>
        <w:right w:val="none" w:sz="0" w:space="0" w:color="auto"/>
      </w:divBdr>
    </w:div>
    <w:div w:id="214107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chart" Target="charts/chart1.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microsoft.com/office/2007/relationships/hdphoto" Target="media/hdphoto3.wdp"/><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microsoft.com/office/2007/relationships/hdphoto" Target="media/hdphoto1.wdp"/><Relationship Id="rId46" Type="http://schemas.openxmlformats.org/officeDocument/2006/relationships/image" Target="media/image36.png"/><Relationship Id="rId20" Type="http://schemas.openxmlformats.org/officeDocument/2006/relationships/image" Target="media/image13.emf"/><Relationship Id="rId41" Type="http://schemas.microsoft.com/office/2007/relationships/hdphoto" Target="media/hdphoto2.wdp"/><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barChart>
        <c:barDir val="bar"/>
        <c:grouping val="clustered"/>
        <c:varyColors val="0"/>
        <c:ser>
          <c:idx val="0"/>
          <c:order val="0"/>
          <c:tx>
            <c:strRef>
              <c:f>Hoja1!$B$1</c:f>
              <c:strCache>
                <c:ptCount val="1"/>
                <c:pt idx="0">
                  <c:v>I - 2020</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total</c:v>
                </c:pt>
                <c:pt idx="1">
                  <c:v>Act. Primarias</c:v>
                </c:pt>
                <c:pt idx="2">
                  <c:v>Act. Secundaria</c:v>
                </c:pt>
                <c:pt idx="3">
                  <c:v>Act. Tercerias</c:v>
                </c:pt>
              </c:strCache>
            </c:strRef>
          </c:cat>
          <c:val>
            <c:numRef>
              <c:f>Hoja1!$B$2:$B$5</c:f>
              <c:numCache>
                <c:formatCode>General</c:formatCode>
                <c:ptCount val="4"/>
                <c:pt idx="0">
                  <c:v>-22.63</c:v>
                </c:pt>
                <c:pt idx="1">
                  <c:v>6.58</c:v>
                </c:pt>
                <c:pt idx="2">
                  <c:v>-36.64</c:v>
                </c:pt>
                <c:pt idx="3">
                  <c:v>-14.4</c:v>
                </c:pt>
              </c:numCache>
            </c:numRef>
          </c:val>
        </c:ser>
        <c:dLbls>
          <c:dLblPos val="inEnd"/>
          <c:showLegendKey val="0"/>
          <c:showVal val="1"/>
          <c:showCatName val="0"/>
          <c:showSerName val="0"/>
          <c:showPercent val="0"/>
          <c:showBubbleSize val="0"/>
        </c:dLbls>
        <c:gapWidth val="65"/>
        <c:axId val="-1607246704"/>
        <c:axId val="-1607229296"/>
      </c:barChart>
      <c:catAx>
        <c:axId val="-160724670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ln>
                  <a:solidFill>
                    <a:schemeClr val="accent2">
                      <a:lumMod val="50000"/>
                    </a:schemeClr>
                  </a:solidFill>
                </a:ln>
                <a:solidFill>
                  <a:schemeClr val="dk1">
                    <a:lumMod val="75000"/>
                    <a:lumOff val="25000"/>
                  </a:schemeClr>
                </a:solidFill>
                <a:latin typeface="+mn-lt"/>
                <a:ea typeface="+mn-ea"/>
                <a:cs typeface="+mn-cs"/>
              </a:defRPr>
            </a:pPr>
            <a:endParaRPr lang="es-MX"/>
          </a:p>
        </c:txPr>
        <c:crossAx val="-1607229296"/>
        <c:crosses val="autoZero"/>
        <c:auto val="1"/>
        <c:lblAlgn val="ctr"/>
        <c:lblOffset val="100"/>
        <c:noMultiLvlLbl val="0"/>
      </c:catAx>
      <c:valAx>
        <c:axId val="-16072292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60724670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29045E-66FB-4076-82AD-EE5791BE3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110</Pages>
  <Words>29058</Words>
  <Characters>159825</Characters>
  <Application>Microsoft Office Word</Application>
  <DocSecurity>0</DocSecurity>
  <Lines>1331</Lines>
  <Paragraphs>377</Paragraphs>
  <ScaleCrop>false</ScaleCrop>
  <HeadingPairs>
    <vt:vector size="2" baseType="variant">
      <vt:variant>
        <vt:lpstr>Título</vt:lpstr>
      </vt:variant>
      <vt:variant>
        <vt:i4>1</vt:i4>
      </vt:variant>
    </vt:vector>
  </HeadingPairs>
  <TitlesOfParts>
    <vt:vector size="1" baseType="lpstr">
      <vt:lpstr>LEY DE INGRESOS DEL ESTADO DE TLAXCALA</vt:lpstr>
    </vt:vector>
  </TitlesOfParts>
  <Company>Hewlett-Packard Company</Company>
  <LinksUpToDate>false</LinksUpToDate>
  <CharactersWithSpaces>188506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 DE INGRESOS DEL ESTADO DE TLAXCALA</dc:title>
  <dc:subject/>
  <dc:creator>ALFREDO AGUILAR TORRES</dc:creator>
  <cp:keywords/>
  <dc:description/>
  <cp:lastModifiedBy>maribel</cp:lastModifiedBy>
  <cp:revision>14</cp:revision>
  <cp:lastPrinted>2017-11-15T03:39:00Z</cp:lastPrinted>
  <dcterms:created xsi:type="dcterms:W3CDTF">2020-11-14T00:00:00Z</dcterms:created>
  <dcterms:modified xsi:type="dcterms:W3CDTF">2020-11-14T22:32:00Z</dcterms:modified>
</cp:coreProperties>
</file>