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BA3DC49" w14:textId="7C6C7073" w:rsidR="00182E26" w:rsidRDefault="00182E26" w:rsidP="00182E26">
      <w:pPr>
        <w:spacing w:line="360" w:lineRule="auto"/>
        <w:jc w:val="center"/>
        <w:rPr>
          <w:b/>
          <w:sz w:val="20"/>
          <w:szCs w:val="20"/>
        </w:rPr>
      </w:pPr>
      <w:bookmarkStart w:id="0" w:name="_GoBack"/>
      <w:bookmarkEnd w:id="0"/>
      <w:r>
        <w:rPr>
          <w:b/>
          <w:sz w:val="20"/>
          <w:szCs w:val="20"/>
        </w:rPr>
        <w:t>CRITERIOS DE POLÍTICA ECONÓMICA DEL ESTADO DE TLAXCALA</w:t>
      </w:r>
      <w:r w:rsidR="00C82952">
        <w:rPr>
          <w:b/>
          <w:sz w:val="20"/>
          <w:szCs w:val="20"/>
        </w:rPr>
        <w:t>, PARA EL EJERCICIO FISCAL 2023</w:t>
      </w:r>
    </w:p>
    <w:p w14:paraId="52C774B1" w14:textId="68336D20" w:rsidR="00815F22" w:rsidRDefault="00815F22" w:rsidP="00182E26">
      <w:pPr>
        <w:spacing w:line="360" w:lineRule="auto"/>
        <w:jc w:val="center"/>
        <w:rPr>
          <w:b/>
          <w:sz w:val="20"/>
          <w:szCs w:val="20"/>
        </w:rPr>
      </w:pPr>
    </w:p>
    <w:p w14:paraId="39F091C0" w14:textId="77777777" w:rsidR="00815F22" w:rsidRDefault="00815F22" w:rsidP="00815F22">
      <w:pPr>
        <w:spacing w:line="360" w:lineRule="auto"/>
        <w:jc w:val="center"/>
        <w:rPr>
          <w:rFonts w:ascii="Arial" w:hAnsi="Arial" w:cs="Arial"/>
          <w:b/>
        </w:rPr>
      </w:pPr>
    </w:p>
    <w:p w14:paraId="5D1444DF" w14:textId="77777777" w:rsidR="00815F22" w:rsidRPr="00815F22" w:rsidRDefault="00815F22" w:rsidP="00126CF7">
      <w:pPr>
        <w:pStyle w:val="PRIMERAPLANA"/>
        <w:numPr>
          <w:ilvl w:val="0"/>
          <w:numId w:val="10"/>
        </w:numPr>
        <w:spacing w:line="360" w:lineRule="auto"/>
        <w:ind w:left="567" w:hanging="578"/>
        <w:rPr>
          <w:rFonts w:ascii="Times New Roman" w:hAnsi="Times New Roman"/>
          <w:b/>
          <w:bCs/>
          <w:lang w:val="es-ES"/>
        </w:rPr>
      </w:pPr>
      <w:r w:rsidRPr="00815F22">
        <w:rPr>
          <w:rFonts w:ascii="Times New Roman" w:hAnsi="Times New Roman"/>
          <w:b/>
          <w:bCs/>
          <w:lang w:val="es-ES"/>
        </w:rPr>
        <w:t>INTRODUCCIÓN</w:t>
      </w:r>
    </w:p>
    <w:p w14:paraId="7677AD53" w14:textId="623DE49C" w:rsidR="00FB1EE0" w:rsidRDefault="00FB1EE0" w:rsidP="00182E26">
      <w:pPr>
        <w:spacing w:line="360" w:lineRule="auto"/>
        <w:jc w:val="center"/>
        <w:rPr>
          <w:b/>
          <w:sz w:val="20"/>
          <w:szCs w:val="20"/>
        </w:rPr>
      </w:pPr>
    </w:p>
    <w:p w14:paraId="2A3C2BF4"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Los Criterios de Política Económica del Estado de Tlaxcala, para el Ejercicio Fiscal 2023, son elaborados y entregados por el Ejecutivo del Estado al Poder Legislativo, con el objeto de facilitar el análisis de las iniciativas de Ley de Ingresos, así como del Decreto de Presupuesto de Egresos del Estado de Tlaxcala para el Ejercicio Fiscal 2023.</w:t>
      </w:r>
    </w:p>
    <w:p w14:paraId="616EED74" w14:textId="77777777" w:rsidR="00414CDC" w:rsidRPr="00414CDC" w:rsidRDefault="00414CDC" w:rsidP="00414CDC">
      <w:pPr>
        <w:pStyle w:val="PRIMERAPLANA"/>
        <w:spacing w:line="360" w:lineRule="auto"/>
        <w:rPr>
          <w:rFonts w:ascii="Times New Roman" w:hAnsi="Times New Roman"/>
          <w:bCs/>
          <w:lang w:val="es-ES"/>
        </w:rPr>
      </w:pPr>
    </w:p>
    <w:p w14:paraId="779875B8" w14:textId="7118ED14"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Los Criterios de Política Económica, toman como referencia los lineamientos definidos por el Gobierno Federal y las prioridades que el Ejecutivo del Estado ha definido para el año 2023. En este documento, se definen las metas para el crecimiento económico estatal, considerando las expectativas del crecimiento económico nacional y mundial para 2023, así mismo, consideran los efectos de la recuperación económica esperada en el país a dos años de suscitarse la pandemia de</w:t>
      </w:r>
      <w:r w:rsidR="00927DEF">
        <w:rPr>
          <w:rFonts w:ascii="Times New Roman" w:hAnsi="Times New Roman"/>
          <w:bCs/>
          <w:lang w:val="es-ES"/>
        </w:rPr>
        <w:t xml:space="preserve"> la</w:t>
      </w:r>
      <w:r w:rsidRPr="00414CDC">
        <w:rPr>
          <w:rFonts w:ascii="Times New Roman" w:hAnsi="Times New Roman"/>
          <w:bCs/>
          <w:lang w:val="es-ES"/>
        </w:rPr>
        <w:t xml:space="preserve"> COVID-19, y sus consecuencias de mediano plazo, en los diferentes sectores de la economía.</w:t>
      </w:r>
    </w:p>
    <w:p w14:paraId="2EE91A57" w14:textId="77777777" w:rsidR="00414CDC" w:rsidRPr="00414CDC" w:rsidRDefault="00414CDC" w:rsidP="00414CDC">
      <w:pPr>
        <w:pStyle w:val="PRIMERAPLANA"/>
        <w:spacing w:line="360" w:lineRule="auto"/>
        <w:rPr>
          <w:rFonts w:ascii="Times New Roman" w:hAnsi="Times New Roman"/>
          <w:bCs/>
          <w:lang w:val="es-ES"/>
        </w:rPr>
      </w:pPr>
    </w:p>
    <w:p w14:paraId="3FA4573E"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Asimismo, se incorporan las principales estrategias y acciones que habrán de seguirse en materia de ingreso y gasto, definidos en la Iniciativa de Ley de Ingresos y en el Proyecto de Decreto de Presupuesto de Egresos, para el Ejercicio Fiscal 2023, en los que se establecen los recursos necesarios para atender las diferentes problemáticas sociales de la población tlaxcalteca, con la finalidad de satisfacer las demandas colectivas e impulsar el crecimiento y desarrollo económico del Estado.</w:t>
      </w:r>
    </w:p>
    <w:p w14:paraId="5424167E" w14:textId="77777777" w:rsidR="00987D88" w:rsidRDefault="00987D88" w:rsidP="00414CDC">
      <w:pPr>
        <w:pStyle w:val="PRIMERAPLANA"/>
        <w:spacing w:line="360" w:lineRule="auto"/>
        <w:rPr>
          <w:rFonts w:ascii="Times New Roman" w:hAnsi="Times New Roman"/>
          <w:bCs/>
          <w:lang w:val="es-ES"/>
        </w:rPr>
      </w:pPr>
    </w:p>
    <w:p w14:paraId="1EB3C4FC"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El Gobierno del Estado, tiene como prioridad el desarrollo de la infraestructura y la prestación de servicios públicos de calidad, al considerar que la adecuada dotación de infraestructura y servicios públicos genera un desarrollo positivo en la Entidad, repercutiendo en el crecimiento económico, mejoras en la competitividad, productividad y sobre todo, en un mayor bienestar social.</w:t>
      </w:r>
    </w:p>
    <w:p w14:paraId="7198BAC1" w14:textId="77777777" w:rsidR="00414CDC" w:rsidRPr="00414CDC" w:rsidRDefault="00414CDC" w:rsidP="00414CDC">
      <w:pPr>
        <w:pStyle w:val="PRIMERAPLANA"/>
        <w:spacing w:line="360" w:lineRule="auto"/>
        <w:rPr>
          <w:rFonts w:ascii="Times New Roman" w:hAnsi="Times New Roman"/>
          <w:bCs/>
          <w:lang w:val="es-ES"/>
        </w:rPr>
      </w:pPr>
    </w:p>
    <w:p w14:paraId="0B417BB2"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Nos hemos propuesto implementar un nuevo modelo de Gobierno, basado en la construcción de una sociedad más justa y más humana, orientado a la mejora en los procesos de la administración tributaria y a una forma de gestión más participativa, encauzado hacia la mejora en los niveles de desarrollo humano y de la productividad. Por lo que, las propuestas contenidas en la presente Iniciativa reflejan el que los esfuerzos gubernamentales se encaminen al aprovechamiento adecuado de los espacios de </w:t>
      </w:r>
      <w:r w:rsidRPr="00414CDC">
        <w:rPr>
          <w:rFonts w:ascii="Times New Roman" w:hAnsi="Times New Roman"/>
          <w:bCs/>
          <w:lang w:val="es-ES"/>
        </w:rPr>
        <w:lastRenderedPageBreak/>
        <w:t>oportunidad que el marco legal brinda para fortalecer sus finanzas, y con ello su capacidad de respuesta a las crecientes demandas de la sociedad, por lo que la adecuación del marco jurídico tributario del ámbito local adquiere relevancia para avanzar hacia un fortalecimiento basado en unas finanzas públicas sostenibles.</w:t>
      </w:r>
    </w:p>
    <w:p w14:paraId="6A331F9F" w14:textId="77777777" w:rsidR="00414CDC" w:rsidRPr="00414CDC" w:rsidRDefault="00414CDC" w:rsidP="00414CDC">
      <w:pPr>
        <w:pStyle w:val="PRIMERAPLANA"/>
        <w:spacing w:line="360" w:lineRule="auto"/>
        <w:rPr>
          <w:rFonts w:ascii="Times New Roman" w:hAnsi="Times New Roman"/>
          <w:bCs/>
          <w:lang w:val="es-ES"/>
        </w:rPr>
      </w:pPr>
    </w:p>
    <w:p w14:paraId="46510D4C"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Desde el inicio de nuestro encargo, hemos sido congruentes con los objetivos planteados en el Plan Estatal de Desarrollo 2021-2027, a través de las estrategias puestas en marcha por las Dependencias que conforman la estructura gubernamental, siendo evaluadas en sus funciones a fin de poder ofrecer a la ciudadanía, calidad en la prestación de sus servicios, modernizando la operatividad administrativa, facilitando la gestión de trámites y el cumplimiento de las obligaciones fiscales, con innovación tecnológica y digital para la asesoría fiscal y el pago de las contribuciones locales, eficientando la recaudación sin aumentar las cargas tributarias a la ciudadanía.</w:t>
      </w:r>
    </w:p>
    <w:p w14:paraId="2E780416" w14:textId="77777777" w:rsidR="00414CDC" w:rsidRPr="00414CDC" w:rsidRDefault="00414CDC" w:rsidP="00414CDC">
      <w:pPr>
        <w:pStyle w:val="PRIMERAPLANA"/>
        <w:spacing w:line="360" w:lineRule="auto"/>
        <w:rPr>
          <w:rFonts w:ascii="Times New Roman" w:hAnsi="Times New Roman"/>
          <w:bCs/>
          <w:lang w:val="es-ES"/>
        </w:rPr>
      </w:pPr>
    </w:p>
    <w:p w14:paraId="4D4193E9"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El ejercicio transparente del gasto público, es uno de los reclamos fundamentales de la sociedad, pues de ello depende que los servicios públicos que el Estado proporciona sean de calidad, aplicando los ingresos obtenidos mediante la contribución de sus habitantes, materializándose en beneficio de la ciudadanía, lo que implica que, a partir de una adecuada planeación, la presupuestación y la programación de las acciones a ejecutar se efectúen orientadas en favor de la población en general.</w:t>
      </w:r>
    </w:p>
    <w:p w14:paraId="67D43C44" w14:textId="77777777" w:rsidR="00414CDC" w:rsidRPr="00414CDC" w:rsidRDefault="00414CDC" w:rsidP="00414CDC">
      <w:pPr>
        <w:pStyle w:val="PRIMERAPLANA"/>
        <w:spacing w:line="360" w:lineRule="auto"/>
        <w:rPr>
          <w:rFonts w:ascii="Times New Roman" w:hAnsi="Times New Roman"/>
          <w:bCs/>
          <w:lang w:val="es-ES"/>
        </w:rPr>
      </w:pPr>
    </w:p>
    <w:p w14:paraId="5418E8C0"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La rendición de cuentas responsable y transparente de las finanzas públicas, fortalece la credibilidad de los Tlaxcaltecas en la gestión gubernamental; facilita la recaudación de las contribuciones locales, e incentiva el cumplimiento de las obligaciones fiscales.</w:t>
      </w:r>
    </w:p>
    <w:p w14:paraId="5AA5E4BE" w14:textId="77777777" w:rsidR="00414CDC" w:rsidRPr="00414CDC" w:rsidRDefault="00414CDC" w:rsidP="00414CDC">
      <w:pPr>
        <w:pStyle w:val="PRIMERAPLANA"/>
        <w:spacing w:line="360" w:lineRule="auto"/>
        <w:rPr>
          <w:rFonts w:ascii="Times New Roman" w:hAnsi="Times New Roman"/>
          <w:bCs/>
          <w:lang w:val="es-ES"/>
        </w:rPr>
      </w:pPr>
    </w:p>
    <w:p w14:paraId="29452272"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El Gobierno del Estado, en el cumplimiento de sus objetivos, mantiene el equilibrio y la solidez de sus finanzas públicas, la racionalización del gasto es prueba de que es posible la calidad en la gestión pública con eficacia y eficiencia; el fortalecimiento de la recaudación de ingresos es primordial para atender los planes estratégicos de la administración en materia de seguridad, salud, bienestar social y recuperación económica.</w:t>
      </w:r>
    </w:p>
    <w:p w14:paraId="5C472596" w14:textId="77777777" w:rsidR="00414CDC" w:rsidRPr="00414CDC" w:rsidRDefault="00414CDC" w:rsidP="00414CDC">
      <w:pPr>
        <w:pStyle w:val="PRIMERAPLANA"/>
        <w:spacing w:line="360" w:lineRule="auto"/>
        <w:rPr>
          <w:rFonts w:ascii="Times New Roman" w:hAnsi="Times New Roman"/>
          <w:bCs/>
          <w:lang w:val="es-ES"/>
        </w:rPr>
      </w:pPr>
    </w:p>
    <w:p w14:paraId="3079D1D8"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El actual gobierno busca consolidar un Estado de Derecho, que sea el fundamento de una eficaz lucha contra la delincuencia, a fin de que las personas y sus familias gocen de una vida tranquila y en paz, alejada de la violencia y la ilegalidad.</w:t>
      </w:r>
    </w:p>
    <w:p w14:paraId="4C7429F4" w14:textId="77777777" w:rsidR="00414CDC" w:rsidRPr="00414CDC" w:rsidRDefault="00414CDC" w:rsidP="00414CDC">
      <w:pPr>
        <w:pStyle w:val="PRIMERAPLANA"/>
        <w:spacing w:line="360" w:lineRule="auto"/>
        <w:rPr>
          <w:rFonts w:ascii="Times New Roman" w:hAnsi="Times New Roman"/>
          <w:bCs/>
          <w:lang w:val="es-ES"/>
        </w:rPr>
      </w:pPr>
    </w:p>
    <w:p w14:paraId="1F7A515B"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lastRenderedPageBreak/>
        <w:t>Asimismo, el promover el sector turismo es una acción clave, ya que representa un motor de desarrollo económico y de la actividad social en todo el Estado, pues resulta especialmente estratégico en estos momentos de recuperación, por lo que la promoción de Pueblos Mágicos y de las actividades turísticas en la entidad a nivel nacional e internacional son fundamentales.</w:t>
      </w:r>
    </w:p>
    <w:p w14:paraId="328FD020" w14:textId="77777777" w:rsidR="00414CDC" w:rsidRPr="00414CDC" w:rsidRDefault="00414CDC" w:rsidP="00414CDC">
      <w:pPr>
        <w:pStyle w:val="PRIMERAPLANA"/>
        <w:spacing w:line="360" w:lineRule="auto"/>
        <w:rPr>
          <w:rFonts w:ascii="Times New Roman" w:hAnsi="Times New Roman"/>
          <w:bCs/>
          <w:lang w:val="es-ES"/>
        </w:rPr>
      </w:pPr>
    </w:p>
    <w:p w14:paraId="52301AB7"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El Gobierno de la Cuarta Transformación de la vida pública, consciente de los grandes retos que enfrenta nuestra Entidad, está absolutamente comprometido en responder a la confianza de la población en la que el conjunto de políticas, objetivos, estrategias y líneas de acción en materia de ingresos públicos, están dirigidas a consolidar el desarrollo de nuestra Entidad.</w:t>
      </w:r>
    </w:p>
    <w:p w14:paraId="1A7DB613" w14:textId="77777777" w:rsidR="00414CDC" w:rsidRPr="00414CDC" w:rsidRDefault="00414CDC" w:rsidP="00414CDC">
      <w:pPr>
        <w:pStyle w:val="PRIMERAPLANA"/>
        <w:spacing w:line="360" w:lineRule="auto"/>
        <w:rPr>
          <w:rFonts w:ascii="Times New Roman" w:hAnsi="Times New Roman"/>
          <w:bCs/>
          <w:lang w:val="es-ES"/>
        </w:rPr>
      </w:pPr>
    </w:p>
    <w:p w14:paraId="63BEB757" w14:textId="2E16500C"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La política fiscal del Gobierno del Estado se enfocará en recaudar los ingresos presupuestarios que le corresponden, así como en el manejo eficiente del gasto público, que contribuya a un balance presupuestario positivo.</w:t>
      </w:r>
    </w:p>
    <w:p w14:paraId="268C668A" w14:textId="77777777" w:rsidR="00414CDC" w:rsidRPr="00414CDC" w:rsidRDefault="00414CDC" w:rsidP="00414CDC">
      <w:pPr>
        <w:pStyle w:val="PRIMERAPLANA"/>
        <w:spacing w:line="360" w:lineRule="auto"/>
        <w:rPr>
          <w:rFonts w:ascii="Times New Roman" w:hAnsi="Times New Roman"/>
          <w:bCs/>
          <w:lang w:val="es-ES"/>
        </w:rPr>
      </w:pPr>
    </w:p>
    <w:p w14:paraId="51D8A979" w14:textId="72694DAC" w:rsidR="00C82952"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La política de ingresos para el ejercicio 2023, está definida en el marco de la actividad económica de nuestro país, </w:t>
      </w:r>
      <w:r w:rsidR="009314DF">
        <w:rPr>
          <w:rFonts w:ascii="Times New Roman" w:hAnsi="Times New Roman"/>
          <w:bCs/>
          <w:lang w:val="es-ES"/>
        </w:rPr>
        <w:t>que será impulsada por la mejor</w:t>
      </w:r>
      <w:r w:rsidRPr="00414CDC">
        <w:rPr>
          <w:rFonts w:ascii="Times New Roman" w:hAnsi="Times New Roman"/>
          <w:bCs/>
          <w:lang w:val="es-ES"/>
        </w:rPr>
        <w:t>a de las condiciones de trabajo y la inclusión de regiones y sectores de las poblaciones históricamente desatendidas. El crecimiento con un desarrollo incluyente y sostenido continuará favorecido por el consumo interno y la paz social. Se estima que la actividad económica continuará mostrando crecimientos trimestrales superiores al promedio histórico de 2011 a 2019, con lo cual se tendría una expansión de 3.0% anual para todo el año, en el escenario donde todos los factores internos y externos contribuyan de manera positiva, por lo que los esfuerzos del Gobierno del Estado se centrarán en</w:t>
      </w:r>
      <w:r w:rsidR="00C82952" w:rsidRPr="00C82952">
        <w:rPr>
          <w:rFonts w:ascii="Times New Roman" w:hAnsi="Times New Roman"/>
          <w:bCs/>
          <w:lang w:val="es-ES"/>
        </w:rPr>
        <w:t>:</w:t>
      </w:r>
    </w:p>
    <w:p w14:paraId="077FBF29" w14:textId="77777777" w:rsidR="00987D88" w:rsidRPr="00C82952" w:rsidRDefault="00987D88" w:rsidP="00414CDC">
      <w:pPr>
        <w:pStyle w:val="PRIMERAPLANA"/>
        <w:spacing w:line="360" w:lineRule="auto"/>
        <w:rPr>
          <w:rFonts w:ascii="Times New Roman" w:hAnsi="Times New Roman"/>
          <w:bCs/>
          <w:lang w:val="es-ES"/>
        </w:rPr>
      </w:pPr>
    </w:p>
    <w:p w14:paraId="7FEA7865" w14:textId="77777777" w:rsidR="00C82952" w:rsidRPr="00C82952" w:rsidRDefault="00C82952" w:rsidP="00C82952">
      <w:pPr>
        <w:pStyle w:val="PRIMERAPLANA"/>
        <w:spacing w:line="360" w:lineRule="auto"/>
        <w:ind w:left="708"/>
        <w:rPr>
          <w:rFonts w:ascii="Times New Roman" w:hAnsi="Times New Roman"/>
          <w:bCs/>
          <w:lang w:val="es-ES"/>
        </w:rPr>
      </w:pPr>
      <w:r w:rsidRPr="00C82952">
        <w:rPr>
          <w:rFonts w:ascii="Times New Roman" w:hAnsi="Times New Roman"/>
          <w:bCs/>
          <w:lang w:val="es-ES"/>
        </w:rPr>
        <w:t>I.</w:t>
      </w:r>
      <w:r w:rsidRPr="00C82952">
        <w:rPr>
          <w:rFonts w:ascii="Times New Roman" w:hAnsi="Times New Roman"/>
          <w:bCs/>
          <w:lang w:val="es-ES"/>
        </w:rPr>
        <w:tab/>
        <w:t>Incrementar los Ingresos Propios o de Gestión; a través de un mayor esfuerzo recaudatorio y en la implementación de la modernización integral de la administración tributaria.</w:t>
      </w:r>
    </w:p>
    <w:p w14:paraId="586E0F53" w14:textId="62B91BD3" w:rsidR="00C82952" w:rsidRPr="00C82952" w:rsidRDefault="00C82952" w:rsidP="00C82952">
      <w:pPr>
        <w:pStyle w:val="PRIMERAPLANA"/>
        <w:spacing w:line="360" w:lineRule="auto"/>
        <w:ind w:left="708"/>
        <w:rPr>
          <w:rFonts w:ascii="Times New Roman" w:hAnsi="Times New Roman"/>
          <w:bCs/>
          <w:lang w:val="es-ES"/>
        </w:rPr>
      </w:pPr>
      <w:r w:rsidRPr="00C82952">
        <w:rPr>
          <w:rFonts w:ascii="Times New Roman" w:hAnsi="Times New Roman"/>
          <w:bCs/>
          <w:lang w:val="es-ES"/>
        </w:rPr>
        <w:t>II.</w:t>
      </w:r>
      <w:r w:rsidRPr="00C82952">
        <w:rPr>
          <w:rFonts w:ascii="Times New Roman" w:hAnsi="Times New Roman"/>
          <w:bCs/>
          <w:lang w:val="es-ES"/>
        </w:rPr>
        <w:tab/>
        <w:t>Fortalecer los Ingresos Ordinarios del Estado; teniendo como finalidad la mejora del Balance Presupuestario de Recursos Disponibles y el consecuente financiamiento del gasto en desarrollo social e inversión en obra pública.</w:t>
      </w:r>
    </w:p>
    <w:p w14:paraId="18360599" w14:textId="726D4730" w:rsidR="00C82952" w:rsidRPr="00C82952" w:rsidRDefault="00C82952" w:rsidP="00C82952">
      <w:pPr>
        <w:pStyle w:val="PRIMERAPLANA"/>
        <w:spacing w:line="360" w:lineRule="auto"/>
        <w:ind w:left="708"/>
        <w:rPr>
          <w:rFonts w:ascii="Times New Roman" w:hAnsi="Times New Roman"/>
          <w:bCs/>
          <w:lang w:val="es-ES"/>
        </w:rPr>
      </w:pPr>
      <w:r w:rsidRPr="00C82952">
        <w:rPr>
          <w:rFonts w:ascii="Times New Roman" w:hAnsi="Times New Roman"/>
          <w:bCs/>
          <w:lang w:val="es-ES"/>
        </w:rPr>
        <w:t>III.</w:t>
      </w:r>
      <w:r w:rsidRPr="00C82952">
        <w:rPr>
          <w:rFonts w:ascii="Times New Roman" w:hAnsi="Times New Roman"/>
          <w:bCs/>
          <w:lang w:val="es-ES"/>
        </w:rPr>
        <w:tab/>
        <w:t>Cumplir con las metas de Ingresos Presupuestarios; que permitan mantener finanzas públicas sanas.</w:t>
      </w:r>
    </w:p>
    <w:p w14:paraId="4E1D5F44" w14:textId="77777777" w:rsidR="00C82952" w:rsidRDefault="00C82952" w:rsidP="00C82952">
      <w:pPr>
        <w:pStyle w:val="PRIMERAPLANA"/>
        <w:spacing w:line="360" w:lineRule="auto"/>
        <w:rPr>
          <w:rFonts w:ascii="Times New Roman" w:hAnsi="Times New Roman"/>
          <w:bCs/>
          <w:lang w:val="es-ES"/>
        </w:rPr>
      </w:pPr>
    </w:p>
    <w:p w14:paraId="676DD0F0" w14:textId="2282700D" w:rsidR="00916798" w:rsidRDefault="00414CDC" w:rsidP="00C82952">
      <w:pPr>
        <w:pStyle w:val="PRIMERAPLANA"/>
        <w:spacing w:line="360" w:lineRule="auto"/>
        <w:rPr>
          <w:rFonts w:ascii="Times New Roman" w:hAnsi="Times New Roman"/>
          <w:bCs/>
          <w:lang w:val="es-ES"/>
        </w:rPr>
      </w:pPr>
      <w:r w:rsidRPr="00414CDC">
        <w:rPr>
          <w:rFonts w:ascii="Times New Roman" w:hAnsi="Times New Roman"/>
          <w:bCs/>
          <w:lang w:val="es-ES"/>
        </w:rPr>
        <w:t xml:space="preserve">Para tales fines, se propone la consolidación de un gobierno cercano con visión extendida, comprometido y de resultados, transparente y de rendición de cuentas, de cero tolerancia a la </w:t>
      </w:r>
      <w:r w:rsidRPr="00414CDC">
        <w:rPr>
          <w:rFonts w:ascii="Times New Roman" w:hAnsi="Times New Roman"/>
          <w:bCs/>
          <w:lang w:val="es-ES"/>
        </w:rPr>
        <w:lastRenderedPageBreak/>
        <w:t>corrupción y sensible a las necesidades sociales, como principal medida para transformar las condiciones de desarrollo de Tlaxcala, a través de acciones contundentes que consoliden las bases de un Estado sólido, garanticen la seguridad y la paz, mejoren la prevención en situaciones de emergencia sanitaria y promuevan el empleo, a fin de que su gente disfrute de una vida digna y segura, moderna y en unidad, con progresión de los derechos, la vigencia de la perspectiva de género y la felicidad de las familias y las personas</w:t>
      </w:r>
      <w:r>
        <w:rPr>
          <w:rFonts w:ascii="Times New Roman" w:hAnsi="Times New Roman"/>
          <w:bCs/>
          <w:lang w:val="es-ES"/>
        </w:rPr>
        <w:t>.</w:t>
      </w:r>
    </w:p>
    <w:p w14:paraId="7AF5799A" w14:textId="77777777" w:rsidR="00916798" w:rsidRPr="00FB1EE0" w:rsidRDefault="00916798" w:rsidP="00916798">
      <w:pPr>
        <w:pStyle w:val="PRIMERAPLANA"/>
        <w:spacing w:line="360" w:lineRule="auto"/>
        <w:rPr>
          <w:rFonts w:ascii="Times New Roman" w:hAnsi="Times New Roman"/>
          <w:bCs/>
          <w:lang w:val="es-ES"/>
        </w:rPr>
      </w:pPr>
    </w:p>
    <w:p w14:paraId="3646F0CC" w14:textId="77777777" w:rsidR="00916798" w:rsidRPr="00FB1EE0" w:rsidRDefault="00916798" w:rsidP="00126CF7">
      <w:pPr>
        <w:pStyle w:val="PRIMERAPLANA"/>
        <w:numPr>
          <w:ilvl w:val="0"/>
          <w:numId w:val="10"/>
        </w:numPr>
        <w:spacing w:line="360" w:lineRule="auto"/>
        <w:ind w:left="567" w:hanging="578"/>
        <w:rPr>
          <w:rFonts w:ascii="Times New Roman" w:hAnsi="Times New Roman"/>
          <w:b/>
          <w:bCs/>
          <w:lang w:val="es-ES"/>
        </w:rPr>
      </w:pPr>
      <w:r w:rsidRPr="00FB1EE0">
        <w:rPr>
          <w:rFonts w:ascii="Times New Roman" w:hAnsi="Times New Roman"/>
          <w:b/>
          <w:bCs/>
          <w:lang w:val="es-ES"/>
        </w:rPr>
        <w:t>EN MATERIA DE INGRESOS</w:t>
      </w:r>
    </w:p>
    <w:p w14:paraId="5A9092A8" w14:textId="77777777" w:rsidR="00916798" w:rsidRPr="00FB1EE0" w:rsidRDefault="00916798" w:rsidP="00916798">
      <w:pPr>
        <w:pStyle w:val="PRIMERAPLANA"/>
        <w:spacing w:line="360" w:lineRule="auto"/>
        <w:rPr>
          <w:rFonts w:ascii="Times New Roman" w:hAnsi="Times New Roman"/>
          <w:bCs/>
          <w:lang w:val="es-ES"/>
        </w:rPr>
      </w:pPr>
    </w:p>
    <w:p w14:paraId="5F9F2DDD"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La Iniciativa de Ley de Ingresos del Estado de Tlaxcala, para el Ejercicio Fiscal 2023, que se presenta ante ese Congreso del Estado, se elaboró tomando en consideración las proyecciones económicas previstas por la Secretaría de Hacienda y Crédito Público (SHCP), en los Criterios Generales de Política Económica para la Iniciativa de Ley de Ingresos y el Proyecto de Presupuesto de Egresos de la Federación correspondientes al Ejercicio Fiscal 2023, por lo que se estima que los ingresos presupuestarios observen un crecimiento respecto al presupuesto aprobado en 2022, teniendo el reto de impulsar la actividad económica estatal y mejorar la gestión tributaria a través de mejoras en los sistemas recaudatorios, la ampliación de la base de contribuyentes y del aumento de la recaudación fiscal, para generar los recursos necesarios para el financiamiento del gasto público, para lograr un balance presupuestario sostenible.</w:t>
      </w:r>
    </w:p>
    <w:p w14:paraId="78AF7337" w14:textId="77777777" w:rsidR="00414CDC" w:rsidRPr="00414CDC" w:rsidRDefault="00414CDC" w:rsidP="00414CDC">
      <w:pPr>
        <w:pStyle w:val="PRIMERAPLANA"/>
        <w:spacing w:line="360" w:lineRule="auto"/>
        <w:rPr>
          <w:rFonts w:ascii="Times New Roman" w:hAnsi="Times New Roman"/>
          <w:bCs/>
          <w:lang w:val="es-ES"/>
        </w:rPr>
      </w:pPr>
    </w:p>
    <w:p w14:paraId="7DE3EF73"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Los objetivos del Gobierno del Estado en materia de planeación, programación y presupuestación, consideran metas en ingresos prudentes y realistas, en referencia a los supuestos del marco macroeconómico y fiscal que ha definido el Gobierno Federal en el Documento relativo al Cumplimiento de las Disposiciones Contenidas en el artículo 42, fracción I, de la Ley Federal de Presupuesto y Responsabilidad Hacendaria (Pre-Criterios 2023) y de los Criterios Generales de Política Económica para la Iniciativa de Ley de Ingresos y el Proyecto de Presupuesto de Egresos de la Federación correspondientes al Ejercicio Fiscal 2023 (CGPE 2023).</w:t>
      </w:r>
    </w:p>
    <w:p w14:paraId="2C661354" w14:textId="77777777" w:rsidR="00414CDC" w:rsidRPr="00414CDC" w:rsidRDefault="00414CDC" w:rsidP="00414CDC">
      <w:pPr>
        <w:pStyle w:val="PRIMERAPLANA"/>
        <w:spacing w:line="360" w:lineRule="auto"/>
        <w:rPr>
          <w:rFonts w:ascii="Times New Roman" w:hAnsi="Times New Roman"/>
          <w:bCs/>
          <w:lang w:val="es-ES"/>
        </w:rPr>
      </w:pPr>
    </w:p>
    <w:p w14:paraId="1F5C683E" w14:textId="63003D6D" w:rsidR="00C82952"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La Ley de Disciplina Financiera de las Entidades Federativas y los Municipios, en su artículo 5, establece que las iniciativas de la Ley de Ingresos y el Proyecto de Presupuesto de Egresos deben elaborarse conforme a lo establecido en la legislación local. Además, contendrán entre otros los apartados siguientes</w:t>
      </w:r>
      <w:r w:rsidR="00C82952" w:rsidRPr="00C82952">
        <w:rPr>
          <w:rFonts w:ascii="Times New Roman" w:hAnsi="Times New Roman"/>
          <w:bCs/>
          <w:lang w:val="es-ES"/>
        </w:rPr>
        <w:t xml:space="preserve">: </w:t>
      </w:r>
    </w:p>
    <w:p w14:paraId="4AD54423" w14:textId="77777777" w:rsidR="00987D88" w:rsidRPr="00C82952" w:rsidRDefault="00987D88" w:rsidP="00414CDC">
      <w:pPr>
        <w:pStyle w:val="PRIMERAPLANA"/>
        <w:spacing w:line="360" w:lineRule="auto"/>
        <w:rPr>
          <w:rFonts w:ascii="Times New Roman" w:hAnsi="Times New Roman"/>
          <w:bCs/>
          <w:lang w:val="es-ES"/>
        </w:rPr>
      </w:pPr>
    </w:p>
    <w:p w14:paraId="27C2EC46" w14:textId="2801C128" w:rsidR="00C82952" w:rsidRPr="00C82952" w:rsidRDefault="00C82952" w:rsidP="00126CF7">
      <w:pPr>
        <w:pStyle w:val="PRIMERAPLANA"/>
        <w:numPr>
          <w:ilvl w:val="0"/>
          <w:numId w:val="16"/>
        </w:numPr>
        <w:spacing w:line="360" w:lineRule="auto"/>
        <w:rPr>
          <w:rFonts w:ascii="Times New Roman" w:hAnsi="Times New Roman"/>
          <w:bCs/>
          <w:lang w:val="es-ES"/>
        </w:rPr>
      </w:pPr>
      <w:r w:rsidRPr="00C82952">
        <w:rPr>
          <w:rFonts w:ascii="Times New Roman" w:hAnsi="Times New Roman"/>
          <w:bCs/>
          <w:lang w:val="es-ES"/>
        </w:rPr>
        <w:t xml:space="preserve">Los objetivos anuales, las estrategias y las metas; </w:t>
      </w:r>
    </w:p>
    <w:p w14:paraId="1D0B1804" w14:textId="10AC8906" w:rsidR="00C82952" w:rsidRPr="00C82952" w:rsidRDefault="00C82952" w:rsidP="00126CF7">
      <w:pPr>
        <w:pStyle w:val="PRIMERAPLANA"/>
        <w:numPr>
          <w:ilvl w:val="0"/>
          <w:numId w:val="16"/>
        </w:numPr>
        <w:spacing w:line="360" w:lineRule="auto"/>
        <w:rPr>
          <w:rFonts w:ascii="Times New Roman" w:hAnsi="Times New Roman"/>
          <w:bCs/>
          <w:lang w:val="es-ES"/>
        </w:rPr>
      </w:pPr>
      <w:r w:rsidRPr="00C82952">
        <w:rPr>
          <w:rFonts w:ascii="Times New Roman" w:hAnsi="Times New Roman"/>
          <w:bCs/>
          <w:lang w:val="es-ES"/>
        </w:rPr>
        <w:lastRenderedPageBreak/>
        <w:t xml:space="preserve">Las proyecciones de finanzas públicas a partir de los Criterios Generales de Política Económica del Gobierno Federal, así como la estimación de las transferencias federales etiquetadas y no etiquetadas; y </w:t>
      </w:r>
    </w:p>
    <w:p w14:paraId="4DA52632" w14:textId="77777777" w:rsidR="00C82952" w:rsidRPr="00C82952" w:rsidRDefault="00C82952" w:rsidP="00126CF7">
      <w:pPr>
        <w:pStyle w:val="PRIMERAPLANA"/>
        <w:numPr>
          <w:ilvl w:val="0"/>
          <w:numId w:val="16"/>
        </w:numPr>
        <w:spacing w:line="360" w:lineRule="auto"/>
        <w:rPr>
          <w:rFonts w:ascii="Times New Roman" w:hAnsi="Times New Roman"/>
          <w:bCs/>
          <w:lang w:val="es-ES"/>
        </w:rPr>
      </w:pPr>
      <w:r w:rsidRPr="00C82952">
        <w:rPr>
          <w:rFonts w:ascii="Times New Roman" w:hAnsi="Times New Roman"/>
          <w:bCs/>
          <w:lang w:val="es-ES"/>
        </w:rPr>
        <w:t xml:space="preserve">La identificación de los riesgos relevantes para las finanzas públicas, incluyendo los montos de la deuda contingente. </w:t>
      </w:r>
    </w:p>
    <w:p w14:paraId="53B736B6" w14:textId="77777777" w:rsidR="00C82952" w:rsidRPr="00C82952" w:rsidRDefault="00C82952" w:rsidP="00C82952">
      <w:pPr>
        <w:pStyle w:val="PRIMERAPLANA"/>
        <w:spacing w:line="360" w:lineRule="auto"/>
        <w:rPr>
          <w:rFonts w:ascii="Times New Roman" w:hAnsi="Times New Roman"/>
          <w:bCs/>
          <w:lang w:val="es-ES"/>
        </w:rPr>
      </w:pPr>
    </w:p>
    <w:p w14:paraId="39C13E74"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Se somete a la consideración de esa Legislatura, la presente Iniciativa de Ley en el formato aprobado por el Consejo Nacional de Armonización Contable (CONAC), de conformidad con las Normas emitidas por este organismo, en términos de lo dispuesto por los artículos 9, fracciones I y IX; 14 y 61 de la Ley General de Contabilidad Gubernamental, donde se desglosan los rubros e importes que el Estado estima percibir de conformidad con el Clasificador por Rubro de Ingresos. Por lo anterior, y con la finalidad de proveer los recursos necesarios para la consecución de los objetivos planteados por esta administración, se exponen las políticas económicas y financieras que sustentan la Iniciativa de Ley de Ingresos, considerando los principios de la propia Ley General de Contabilidad Gubernamental, la Ley de Disciplina Financiera de las Entidades Federativas y los Municipios y el Código Financiero para el Estado de Tlaxcala y sus Municipios; así como el entorno económico internacional, nacional y local, para realizar la propuesta de los montos que en ingresos federales y locales estima recibir el Estado en el ejercicio fiscal 2023.</w:t>
      </w:r>
    </w:p>
    <w:p w14:paraId="4585C3EE" w14:textId="77777777" w:rsidR="00414CDC" w:rsidRPr="00414CDC" w:rsidRDefault="00414CDC" w:rsidP="00414CDC">
      <w:pPr>
        <w:pStyle w:val="PRIMERAPLANA"/>
        <w:spacing w:line="360" w:lineRule="auto"/>
        <w:rPr>
          <w:rFonts w:ascii="Times New Roman" w:hAnsi="Times New Roman"/>
          <w:bCs/>
          <w:lang w:val="es-ES"/>
        </w:rPr>
      </w:pPr>
    </w:p>
    <w:p w14:paraId="37BA487E" w14:textId="72A3CE0D"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De conformidad con lo establecido en la Constitución Política del Estado Libre y Soberano de Tlaxcala y el Código Financiero para el Estado de Tlaxcala y sus Municipios, el Ejecutivo del Estado somete a consideración de esa Soberanía la Iniciativa de Ley de Ingresos del Estado de Tlaxcala, para el Ejercicio Fiscal 2023; considerando que el crecimiento y desarrollo económico de 2022 continuó reflejando las secuelas económicas ocasionadas por la pandemia de </w:t>
      </w:r>
      <w:r w:rsidR="00987D88">
        <w:rPr>
          <w:rFonts w:ascii="Times New Roman" w:hAnsi="Times New Roman"/>
          <w:bCs/>
          <w:lang w:val="es-ES"/>
        </w:rPr>
        <w:t xml:space="preserve">la </w:t>
      </w:r>
      <w:r w:rsidRPr="00414CDC">
        <w:rPr>
          <w:rFonts w:ascii="Times New Roman" w:hAnsi="Times New Roman"/>
          <w:bCs/>
          <w:lang w:val="es-ES"/>
        </w:rPr>
        <w:t xml:space="preserve">COVID-19 y los crecientes conflictos geopolíticos, los cuales han generado una fragmentación del comercio y del sistema financiero internacional. El conflicto bélico de Europa del Este incrementó el desabasto de insumos industriales y exacerbó las disrupciones en las cadenas globales de valor, lo cual contribuyó al incremento adicional en el precio de las materias primas y generó presiones inflacionarias en la economía global, las cuales han alcanzado niveles no vistos en décadas. </w:t>
      </w:r>
    </w:p>
    <w:p w14:paraId="007BEB1C" w14:textId="77777777" w:rsidR="00414CDC" w:rsidRPr="00414CDC" w:rsidRDefault="00414CDC" w:rsidP="00414CDC">
      <w:pPr>
        <w:pStyle w:val="PRIMERAPLANA"/>
        <w:spacing w:line="360" w:lineRule="auto"/>
        <w:rPr>
          <w:rFonts w:ascii="Times New Roman" w:hAnsi="Times New Roman"/>
          <w:bCs/>
          <w:lang w:val="es-ES"/>
        </w:rPr>
      </w:pPr>
    </w:p>
    <w:p w14:paraId="2CF742C7" w14:textId="4004EAA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Estos impactos generaron que muchos bancos centrales, incluyendo </w:t>
      </w:r>
      <w:r w:rsidR="009314DF">
        <w:rPr>
          <w:rFonts w:ascii="Times New Roman" w:hAnsi="Times New Roman"/>
          <w:bCs/>
          <w:lang w:val="es-ES"/>
        </w:rPr>
        <w:t>el Banco de México, incrementara</w:t>
      </w:r>
      <w:r w:rsidRPr="00414CDC">
        <w:rPr>
          <w:rFonts w:ascii="Times New Roman" w:hAnsi="Times New Roman"/>
          <w:bCs/>
          <w:lang w:val="es-ES"/>
        </w:rPr>
        <w:t xml:space="preserve">n las tasas de interés con el objetivo de moderar la inflación mediante la contención del gasto ante la imposibilidad de que la oferta global pudiera satisfacer la demanda. Como resultado de lo anterior, se espera un menor ritmo de crecimiento global al que se anticipaba al inicio del año. </w:t>
      </w:r>
    </w:p>
    <w:p w14:paraId="24C98936" w14:textId="77777777" w:rsidR="00414CDC" w:rsidRPr="00414CDC" w:rsidRDefault="00414CDC" w:rsidP="00414CDC">
      <w:pPr>
        <w:pStyle w:val="PRIMERAPLANA"/>
        <w:spacing w:line="360" w:lineRule="auto"/>
        <w:rPr>
          <w:rFonts w:ascii="Times New Roman" w:hAnsi="Times New Roman"/>
          <w:bCs/>
          <w:lang w:val="es-ES"/>
        </w:rPr>
      </w:pPr>
    </w:p>
    <w:p w14:paraId="62A1B571" w14:textId="6255F08B"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Si bien en Estados Unidos de </w:t>
      </w:r>
      <w:r w:rsidR="009314DF">
        <w:rPr>
          <w:rFonts w:ascii="Times New Roman" w:hAnsi="Times New Roman"/>
          <w:bCs/>
          <w:lang w:val="es-ES"/>
        </w:rPr>
        <w:t>A</w:t>
      </w:r>
      <w:r w:rsidRPr="00414CDC">
        <w:rPr>
          <w:rFonts w:ascii="Times New Roman" w:hAnsi="Times New Roman"/>
          <w:bCs/>
          <w:lang w:val="es-ES"/>
        </w:rPr>
        <w:t>mérica (EE.UU.), nuestro principal socio comercial, se registraron indicios de desaceleración económica, aún no existe evidencia contundente de una recesión. Lo anterior, principalmente, en un contexto de fortaleza de la producción industrial, el mercado laboral y el crecimiento del consumo privado en la primera mitad del año. En particular, la producción industrial de este país continuó creciendo en julio con un avance en las manufacturas, causado por una mayor producción automotriz y buen dinamismo en los sectores aeroespacial, de ropa y plásticos. De mantenerse este dinamismo para el cierre de año, el crecimiento anual de la producción industrial ascendería a 4.2% anual, en línea con lo que el consenso de analistas anticipaba en agosto.</w:t>
      </w:r>
    </w:p>
    <w:p w14:paraId="70BAA9EB" w14:textId="77777777" w:rsidR="00414CDC" w:rsidRPr="00414CDC" w:rsidRDefault="00414CDC" w:rsidP="00414CDC">
      <w:pPr>
        <w:pStyle w:val="PRIMERAPLANA"/>
        <w:spacing w:line="360" w:lineRule="auto"/>
        <w:rPr>
          <w:rFonts w:ascii="Times New Roman" w:hAnsi="Times New Roman"/>
          <w:bCs/>
          <w:lang w:val="es-ES"/>
        </w:rPr>
      </w:pPr>
    </w:p>
    <w:p w14:paraId="44159A40"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Por el contrario, en la zona del euro el panorama se ha tornado más complejo y los riesgos de una recesión económica se materializan a pasos acelerados. Europa está siendo impactada por la falta de gas y mayores costos de energía que están afectando directamente el funcionamiento de empresas y el consumo de los hogares. En particular, la respuesta de Rusia de suspender la provisión de gas a Alemania está obligando a la interrupción de la actividad industrial y, por lo tanto, a una caída abrupta de la actividad económica y el comercio de la región europea. Esta situación se acrecentará a medida que se aproxime el invierno y la demanda de gas aumente.</w:t>
      </w:r>
    </w:p>
    <w:p w14:paraId="0BCB6916" w14:textId="77777777" w:rsidR="00414CDC" w:rsidRPr="00414CDC" w:rsidRDefault="00414CDC" w:rsidP="00414CDC">
      <w:pPr>
        <w:pStyle w:val="PRIMERAPLANA"/>
        <w:spacing w:line="360" w:lineRule="auto"/>
        <w:rPr>
          <w:rFonts w:ascii="Times New Roman" w:hAnsi="Times New Roman"/>
          <w:bCs/>
          <w:lang w:val="es-ES"/>
        </w:rPr>
      </w:pPr>
    </w:p>
    <w:p w14:paraId="158B30AF"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Por su parte, economías emergentes como China mantienen perspectivas de crecimiento a la baja hacia el cierre del año ante un menor dinamismo en la demanda interna y en la producción de sectores estratégicos, como el caso de la construcción. En un contexto de precios altos y un mayor riesgo de desanclaje de las expectativas de inflación, los bancos centrales de países avanzados continuarán con los ajustes a la política monetaria y podrían acelerar los incrementos en las tasas de interés hacia un nivel restrictivo, con lo cual afectarán el ritmo de crecimiento global. Por ejemplo, la Reserva Federal en EE.UU. (FED, por sus siglas en inglés) puso fin a su ciclo monetario acomodaticio en marzo de 2022, aumentando su tasa de referencia en cuatro ocasiones, donde los dos últimos aumentos fueron de 75 puntos base (pb); estos últimos, los mayores incrementos no vistos desde 1994.</w:t>
      </w:r>
    </w:p>
    <w:p w14:paraId="17D76C30" w14:textId="77777777" w:rsidR="00414CDC" w:rsidRPr="00414CDC" w:rsidRDefault="00414CDC" w:rsidP="00414CDC">
      <w:pPr>
        <w:pStyle w:val="PRIMERAPLANA"/>
        <w:spacing w:line="360" w:lineRule="auto"/>
        <w:rPr>
          <w:rFonts w:ascii="Times New Roman" w:hAnsi="Times New Roman"/>
          <w:bCs/>
          <w:lang w:val="es-ES"/>
        </w:rPr>
      </w:pPr>
    </w:p>
    <w:p w14:paraId="3E5E3345"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En este contexto, los precios del petróleo y otras materias primas han comenzado a descender en los últimos meses. Algunos de estos insumos regresaron a los niveles observados antes de la guerra debido a los temores de una desaceleración global. En el mercado de alimentos, por ejemplo, se espera que los precios comiencen a bajar debido a una mayor cosecha de granos y cereales en países como Brasil, Australia y EE.UU., así como al más reciente acuerdo entre Rusia y Ucrania para permitir el transporte de granos. Adicionalmente, los costos de transporte a través de las principales vías marítimas del </w:t>
      </w:r>
      <w:r w:rsidRPr="00414CDC">
        <w:rPr>
          <w:rFonts w:ascii="Times New Roman" w:hAnsi="Times New Roman"/>
          <w:bCs/>
          <w:lang w:val="es-ES"/>
        </w:rPr>
        <w:lastRenderedPageBreak/>
        <w:t xml:space="preserve">mundo han comenzado a descender mejorando con ello la expectativa del comercio global y la presión en los precios. </w:t>
      </w:r>
    </w:p>
    <w:p w14:paraId="3EE1C2FF" w14:textId="77777777" w:rsidR="00414CDC" w:rsidRPr="00414CDC" w:rsidRDefault="00414CDC" w:rsidP="00414CDC">
      <w:pPr>
        <w:pStyle w:val="PRIMERAPLANA"/>
        <w:spacing w:line="360" w:lineRule="auto"/>
        <w:rPr>
          <w:rFonts w:ascii="Times New Roman" w:hAnsi="Times New Roman"/>
          <w:bCs/>
          <w:lang w:val="es-ES"/>
        </w:rPr>
      </w:pPr>
    </w:p>
    <w:p w14:paraId="76027DCF" w14:textId="15F9EE39"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En lo que resta del año se prevé que continúen los episodios de volatilidad en los mercados financieros internacionales derivado</w:t>
      </w:r>
      <w:r w:rsidR="009314DF">
        <w:rPr>
          <w:rFonts w:ascii="Times New Roman" w:hAnsi="Times New Roman"/>
          <w:bCs/>
          <w:lang w:val="es-ES"/>
        </w:rPr>
        <w:t>s</w:t>
      </w:r>
      <w:r w:rsidRPr="00414CDC">
        <w:rPr>
          <w:rFonts w:ascii="Times New Roman" w:hAnsi="Times New Roman"/>
          <w:bCs/>
          <w:lang w:val="es-ES"/>
        </w:rPr>
        <w:t xml:space="preserve"> del ambiente de presiones inflacionarias y la persistencia de choques adicionales que obliguen a la FED a revisar el nivel de tasa de interés terminal. Esto podrá ser acrecentado por la percepción de riesgo que influya en el rebalanceo de portafolios. Este último fenómeno es particularmente relevante para los países emergentes, aunque hasta ahora el monto de movimientos de flujos se ubica por debajo de periodos anteriores de estrés financiero.</w:t>
      </w:r>
    </w:p>
    <w:p w14:paraId="58A171D9" w14:textId="77777777" w:rsidR="00414CDC" w:rsidRPr="00414CDC" w:rsidRDefault="00414CDC" w:rsidP="00414CDC">
      <w:pPr>
        <w:pStyle w:val="PRIMERAPLANA"/>
        <w:spacing w:line="360" w:lineRule="auto"/>
        <w:rPr>
          <w:rFonts w:ascii="Times New Roman" w:hAnsi="Times New Roman"/>
          <w:bCs/>
          <w:lang w:val="es-ES"/>
        </w:rPr>
      </w:pPr>
    </w:p>
    <w:p w14:paraId="44997137"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Para 2022, se prevé que los sectores relacionados con el mercado interno registren avances importantes, lo que permitirá que las actividades más rezagadas respecto a sus niveles prepandemia puedan cerrar esa brecha y aquellas que ya se han recuperado continúen creciendo.</w:t>
      </w:r>
    </w:p>
    <w:p w14:paraId="1124B2AD" w14:textId="77777777" w:rsidR="00987D88" w:rsidRDefault="00987D88" w:rsidP="00414CDC">
      <w:pPr>
        <w:pStyle w:val="PRIMERAPLANA"/>
        <w:spacing w:line="360" w:lineRule="auto"/>
        <w:rPr>
          <w:rFonts w:ascii="Times New Roman" w:hAnsi="Times New Roman"/>
          <w:bCs/>
          <w:lang w:val="es-ES"/>
        </w:rPr>
      </w:pPr>
    </w:p>
    <w:p w14:paraId="4D992D96" w14:textId="47E74454"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En relación con la estimación de las principales variables del marco macroeconómico, la Secretaría de Hacienda y Crédito Público (SHCP) estima un precio de la mezcla mexicana de exportación </w:t>
      </w:r>
      <w:r w:rsidR="00987D88">
        <w:rPr>
          <w:rFonts w:ascii="Times New Roman" w:hAnsi="Times New Roman"/>
          <w:bCs/>
          <w:lang w:val="es-ES"/>
        </w:rPr>
        <w:t>d</w:t>
      </w:r>
      <w:r w:rsidRPr="00414CDC">
        <w:rPr>
          <w:rFonts w:ascii="Times New Roman" w:hAnsi="Times New Roman"/>
          <w:bCs/>
          <w:lang w:val="es-ES"/>
        </w:rPr>
        <w:t xml:space="preserve">el petróleo (MME) de 93.6 dólares por barril (dpb), que toma en cuenta la información observada a julio, así como la dinámica global de la cotización del hidrocarburo, los pronósticos de analistas y los precios del mercado de futuros en los precios de referencia Brent y WTI. La producción total de crudo en el país usada en los cálculos se ajusta ligeramente a 1,835 miles de barriles diarios (mbd), cifra prudente y consistente con el desempeño de la producción de Pemex y los productores privados observada durante la primera mitad de 2022. </w:t>
      </w:r>
    </w:p>
    <w:p w14:paraId="0876AED5" w14:textId="77777777" w:rsidR="00414CDC" w:rsidRPr="00414CDC" w:rsidRDefault="00414CDC" w:rsidP="00414CDC">
      <w:pPr>
        <w:pStyle w:val="PRIMERAPLANA"/>
        <w:spacing w:line="360" w:lineRule="auto"/>
        <w:rPr>
          <w:rFonts w:ascii="Times New Roman" w:hAnsi="Times New Roman"/>
          <w:bCs/>
          <w:lang w:val="es-ES"/>
        </w:rPr>
      </w:pPr>
    </w:p>
    <w:p w14:paraId="4C1DE4F7"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Se incorpora, además, una proyección de 7.8% para la inflación promedio, la cual se espera alcance su pico más alto en el tercer trimestre de 2022 y que comience a descender a partir de ese periodo e iniciar la convergencia hacia el objetivo del Banco de México. Además, la moderación en los precios internacionales de algunos combustibles fósiles y fertilizantes, así como las materias primas, y una mayor oferta de productos agropecuarios durante la segunda mitad del año podrían ser factores que propicien la disminución de ciertos rubros que componen o bien presionan por el lado del costo de los productores a la inflación. </w:t>
      </w:r>
    </w:p>
    <w:p w14:paraId="31E5AB6D" w14:textId="77777777" w:rsidR="00414CDC" w:rsidRPr="00414CDC" w:rsidRDefault="00414CDC" w:rsidP="00414CDC">
      <w:pPr>
        <w:pStyle w:val="PRIMERAPLANA"/>
        <w:spacing w:line="360" w:lineRule="auto"/>
        <w:rPr>
          <w:rFonts w:ascii="Times New Roman" w:hAnsi="Times New Roman"/>
          <w:bCs/>
          <w:lang w:val="es-ES"/>
        </w:rPr>
      </w:pPr>
    </w:p>
    <w:p w14:paraId="52EE4A51"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Por otra parte, se estima un tipo de cambio promedio de 20.4 pesos por dólar, el cual es consistente con los fundamentales macroeconómicos y en línea con el presentado en el Paquete Económico 2022. Cabe destacar que no se descartan nuevos episodios de incertidumbre relacionados al conflicto bélico en </w:t>
      </w:r>
      <w:r w:rsidRPr="00414CDC">
        <w:rPr>
          <w:rFonts w:ascii="Times New Roman" w:hAnsi="Times New Roman"/>
          <w:bCs/>
          <w:lang w:val="es-ES"/>
        </w:rPr>
        <w:lastRenderedPageBreak/>
        <w:t xml:space="preserve">Europa del Este y otros conflictos geopolíticos, así como la evolución de los costos marítimos y la resolución de los problemas logísticos en puertos que afecten las presiones inflacionarias, positiva o negativamente, de tal forma que lleven a cambios no anticipados en el ritmo de incremento de las tasas de interés por parte de los bancos centrales. </w:t>
      </w:r>
    </w:p>
    <w:p w14:paraId="1AA5D77A" w14:textId="77777777" w:rsidR="00414CDC" w:rsidRPr="00414CDC" w:rsidRDefault="00414CDC" w:rsidP="00414CDC">
      <w:pPr>
        <w:pStyle w:val="PRIMERAPLANA"/>
        <w:spacing w:line="360" w:lineRule="auto"/>
        <w:rPr>
          <w:rFonts w:ascii="Times New Roman" w:hAnsi="Times New Roman"/>
          <w:bCs/>
          <w:lang w:val="es-ES"/>
        </w:rPr>
      </w:pPr>
    </w:p>
    <w:p w14:paraId="674812D3"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Se prevé además que la tasa de interés será mayor a la proyectada en el Paquete Económico 2022, principalmente por los choques externos que han afectado el nivel y la persistencia de inflación y que han llevado a que el Banco de México suba de forma acelerada su tasa de interés de referencia, aun cuando las expectativas de inflación de mediano plazo se mantengan ancladas. De esta manera, la SHCP prevé que, para el cierre del año, la tasa de interés se ubique alrededor de un nivel de 9.50%.</w:t>
      </w:r>
    </w:p>
    <w:p w14:paraId="530708A2" w14:textId="77777777" w:rsidR="00414CDC" w:rsidRPr="00414CDC" w:rsidRDefault="00414CDC" w:rsidP="00414CDC">
      <w:pPr>
        <w:pStyle w:val="PRIMERAPLANA"/>
        <w:spacing w:line="360" w:lineRule="auto"/>
        <w:rPr>
          <w:rFonts w:ascii="Times New Roman" w:hAnsi="Times New Roman"/>
          <w:bCs/>
          <w:lang w:val="es-ES"/>
        </w:rPr>
      </w:pPr>
    </w:p>
    <w:p w14:paraId="4FE322D7"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Hacia 2023, México seguirá creciendo y consolidando su transformación económica. Se estima que la actividad económica de nuestro país será impulsada por la mejoría de las condiciones de trabajo y la inclusión de regiones y sectores de las poblaciones históricamente desatendidas. El crecimiento con un desarrollo incluyente y sostenido continuará favorecido por el consumo interno y la paz social. Se estima que la actividad económica continuará mostrando crecimientos trimestrales superiores al promedio histórico de 2011 a 2019, con lo cual se tendría una expansión de 3.0% anual para todo el año, en el escenario donde todos los factores internos y externos contribuyan de manera positiva.</w:t>
      </w:r>
    </w:p>
    <w:p w14:paraId="57BC72D6" w14:textId="77777777" w:rsidR="00414CDC" w:rsidRPr="00414CDC" w:rsidRDefault="00414CDC" w:rsidP="00414CDC">
      <w:pPr>
        <w:pStyle w:val="PRIMERAPLANA"/>
        <w:spacing w:line="360" w:lineRule="auto"/>
        <w:rPr>
          <w:rFonts w:ascii="Times New Roman" w:hAnsi="Times New Roman"/>
          <w:bCs/>
          <w:lang w:val="es-ES"/>
        </w:rPr>
      </w:pPr>
    </w:p>
    <w:p w14:paraId="738E68AF"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El crecimiento del país estará basado en la inversión estratégica en infraestructura que se ha estado llevando a cabo en la región sur-sureste del país desde 2019, con lo cual se espera incrementar el crecimiento económico promedio de la región, lo cual a su vez abona a la contabilidad de crecimiento nacional. Los proyectos insignia se encuentran ya iniciando su fase de conclusión y han empezado a generar efectos positivos sobre el empleo, el crecimiento regional y el combate a la pobreza. En este sentido, se estima que, mediante los proyectos del Corredor Interoceánico del Istmo de Tehuantepec y el Tren Maya, casi 6 millones de habitantes del sur-sureste del país se verán beneficiados directamente mediante la transformación económica regional que generarán dichos proyectos en sus comunidades. </w:t>
      </w:r>
    </w:p>
    <w:p w14:paraId="395305D3" w14:textId="77777777" w:rsidR="00414CDC" w:rsidRPr="00414CDC" w:rsidRDefault="00414CDC" w:rsidP="00414CDC">
      <w:pPr>
        <w:pStyle w:val="PRIMERAPLANA"/>
        <w:spacing w:line="360" w:lineRule="auto"/>
        <w:rPr>
          <w:rFonts w:ascii="Times New Roman" w:hAnsi="Times New Roman"/>
          <w:bCs/>
          <w:lang w:val="es-ES"/>
        </w:rPr>
      </w:pPr>
    </w:p>
    <w:p w14:paraId="41133A0E"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Estos proyectos permitirán conectar el nuevo enclave industrial y turístico del sureste con el resto de la República ya que actualmente, la relocalización de empresas se está materializando en los enclaves manufactureros y logísticos del norte y centro del país. Para potenciar estas inversiones, se está negociando y movilizando un paquete de financiamiento para facilitar la inversión privada en el sureste. De esta forma, más de 1.3 millones de empresas podrán, por primera vez, tener acceso a la red </w:t>
      </w:r>
      <w:r w:rsidRPr="00414CDC">
        <w:rPr>
          <w:rFonts w:ascii="Times New Roman" w:hAnsi="Times New Roman"/>
          <w:bCs/>
          <w:lang w:val="es-ES"/>
        </w:rPr>
        <w:lastRenderedPageBreak/>
        <w:t>comercial nacional e internacional, que incluye el fortalecimiento de la red portuaria, así como de la infraestructura de carreteras, fibra óptica y caminos rurales.</w:t>
      </w:r>
    </w:p>
    <w:p w14:paraId="19A71317" w14:textId="77777777" w:rsidR="00414CDC" w:rsidRPr="00414CDC" w:rsidRDefault="00414CDC" w:rsidP="00414CDC">
      <w:pPr>
        <w:pStyle w:val="PRIMERAPLANA"/>
        <w:spacing w:line="360" w:lineRule="auto"/>
        <w:rPr>
          <w:rFonts w:ascii="Times New Roman" w:hAnsi="Times New Roman"/>
          <w:bCs/>
          <w:lang w:val="es-ES"/>
        </w:rPr>
      </w:pPr>
    </w:p>
    <w:p w14:paraId="39941154"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Un elemento que continuará contribuyendo de manera activa al crecimiento de la economía nacional son las perspectivas de relocalización de cadenas de valor de Asia hacia América, lo cual impulsará la inversión y el sector exportador del país. La economía mexicana, mediante su robusta red de tratados comerciales y sus múltiples ventajas comparativas geográficas, demográficas y económicas, será el mayor beneficiado de la región de América Latina y el Caribe.</w:t>
      </w:r>
    </w:p>
    <w:p w14:paraId="0069914C" w14:textId="77777777" w:rsidR="00414CDC" w:rsidRPr="00414CDC" w:rsidRDefault="00414CDC" w:rsidP="00414CDC">
      <w:pPr>
        <w:pStyle w:val="PRIMERAPLANA"/>
        <w:spacing w:line="360" w:lineRule="auto"/>
        <w:rPr>
          <w:rFonts w:ascii="Times New Roman" w:hAnsi="Times New Roman"/>
          <w:bCs/>
          <w:lang w:val="es-ES"/>
        </w:rPr>
      </w:pPr>
    </w:p>
    <w:p w14:paraId="6CF7B28D"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En este contexto, dentro de las variables clave del marco macroeconómico, se prevé que la inflación convergerá al objetivo del banco central como resultado de las distintas medidas en materia fiscal y monetaria, como son el Paquete Contra la Inflación y la Carestía (PACIC) y los incrementos de tasa de interés realizados por el banco central. Se prevé además la reducción de las presiones internacionales, particularmente en los precios de materias primas como el trigo, el maíz y el petróleo. De este modo, se espera que la inflación cierre 2023 en 3.2%, en línea con lo estimado por el banco central. </w:t>
      </w:r>
    </w:p>
    <w:p w14:paraId="7589AFED" w14:textId="77777777" w:rsidR="00414CDC" w:rsidRPr="00414CDC" w:rsidRDefault="00414CDC" w:rsidP="00414CDC">
      <w:pPr>
        <w:pStyle w:val="PRIMERAPLANA"/>
        <w:spacing w:line="360" w:lineRule="auto"/>
        <w:rPr>
          <w:rFonts w:ascii="Times New Roman" w:hAnsi="Times New Roman"/>
          <w:bCs/>
          <w:lang w:val="es-ES"/>
        </w:rPr>
      </w:pPr>
    </w:p>
    <w:p w14:paraId="3E2F041E"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En este contexto, dentro de las variables clave del marco macroeconómico, se prevé que la inflación convergerá al objetivo del banco central como resultado de las distintas medidas en materia fiscal y monetaria, como son el PACIC y los incrementos de tasa de interés hechos por el banco central. En este marco, se anticipa que la tasa de interés alcance un nivel de 8.5% al cierre de 2023, el cual contrasta con lo estimado previamente en los CGPE 2022, donde se preveía una tasa de 5.3%. En el caso del tipo de cambio, se estima que alcance un nivel de 20.6 pesos por dólar al cierre del año. </w:t>
      </w:r>
    </w:p>
    <w:p w14:paraId="2CBDD7D4" w14:textId="77777777" w:rsidR="00414CDC" w:rsidRPr="00414CDC" w:rsidRDefault="00414CDC" w:rsidP="00414CDC">
      <w:pPr>
        <w:pStyle w:val="PRIMERAPLANA"/>
        <w:spacing w:line="360" w:lineRule="auto"/>
        <w:rPr>
          <w:rFonts w:ascii="Times New Roman" w:hAnsi="Times New Roman"/>
          <w:bCs/>
          <w:lang w:val="es-ES"/>
        </w:rPr>
      </w:pPr>
    </w:p>
    <w:p w14:paraId="0A0DAD32"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Respecto al precio del petróleo, se estima un precio de la mezcla mexicana de crudo de exportación de 68.7 dpb, en línea con la metodología establecida en los artículos 31 de la Ley Federal de Presupuesto y Responsabilidad Hacendaria (LFPRH) y 15 de su Reglamento. En cuanto a la producción del hidrocarburo, se prevé que la plataforma para el próximo ejercicio fiscal ascienda a 1,872 mbd. El pronóstico se basa en un escenario conservador de la producción de Pemex y las proyecciones de las empresas privadas. </w:t>
      </w:r>
    </w:p>
    <w:p w14:paraId="49BA0E16" w14:textId="77777777" w:rsidR="00414CDC" w:rsidRPr="00414CDC" w:rsidRDefault="00414CDC" w:rsidP="00414CDC">
      <w:pPr>
        <w:pStyle w:val="PRIMERAPLANA"/>
        <w:spacing w:line="360" w:lineRule="auto"/>
        <w:rPr>
          <w:rFonts w:ascii="Times New Roman" w:hAnsi="Times New Roman"/>
          <w:bCs/>
          <w:lang w:val="es-ES"/>
        </w:rPr>
      </w:pPr>
    </w:p>
    <w:p w14:paraId="01BB414E"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Otras variables de interés para las estimaciones presentadas en el Paquete Económico 2023 son el PIB y la producción industrial de los EE.UU; en particular esta última es la variable que está más correlacionada con el PIB de México. Respecto a la producción industrial, se anticipa un crecimiento de 2.3% anual, en línea con lo estimado en el Paquete Económico 2022, ya que se prevé que la actividad </w:t>
      </w:r>
      <w:r w:rsidRPr="00414CDC">
        <w:rPr>
          <w:rFonts w:ascii="Times New Roman" w:hAnsi="Times New Roman"/>
          <w:bCs/>
          <w:lang w:val="es-ES"/>
        </w:rPr>
        <w:lastRenderedPageBreak/>
        <w:t>sea favorecida por menores distorsiones en las cadenas globales de valor, lo que apoyaría el reabastecimiento del nivel de inventarios y la mayor proveeduría de insumos y productos al resto del mundo. Derivado de lo anterior, la industria estadounidense requerirá productos intermedios que México seguirá exportando dada la estrecha relación comercial entre ambos países. Respecto al PIB de EE.UU., el escenario base para las estimaciones realizadas por la SHCP considera que en la economía estadounidense no existen desequilibrios estructurales o factores subyacentes que compliquen su evolución económica sino más bien una política monetaria más restrictiva que busca la estabilidad en el nivel de precios. Así, se prevé un crecimiento de 1.8% anual, inferior en 0.3 pp a lo previsto en el Paquete Económico de 2022.</w:t>
      </w:r>
    </w:p>
    <w:p w14:paraId="07C5029D" w14:textId="77777777" w:rsidR="00414CDC" w:rsidRPr="00414CDC" w:rsidRDefault="00414CDC" w:rsidP="00414CDC">
      <w:pPr>
        <w:pStyle w:val="PRIMERAPLANA"/>
        <w:spacing w:line="360" w:lineRule="auto"/>
        <w:rPr>
          <w:rFonts w:ascii="Times New Roman" w:hAnsi="Times New Roman"/>
          <w:bCs/>
          <w:lang w:val="es-ES"/>
        </w:rPr>
      </w:pPr>
    </w:p>
    <w:p w14:paraId="7299A428" w14:textId="2C01FA22" w:rsidR="00C82952"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Cabe señalar que el entorno macroeconómico previsto para 2023 se encuentra sujeto a diversos riesgos tanto al alza como a la baja. Entre los primeros destacan</w:t>
      </w:r>
      <w:r w:rsidR="00C82952" w:rsidRPr="00C82952">
        <w:rPr>
          <w:rFonts w:ascii="Times New Roman" w:hAnsi="Times New Roman"/>
          <w:bCs/>
          <w:lang w:val="es-ES"/>
        </w:rPr>
        <w:t>:</w:t>
      </w:r>
    </w:p>
    <w:p w14:paraId="0E352E2C" w14:textId="77777777" w:rsidR="00987D88" w:rsidRPr="00C82952" w:rsidRDefault="00987D88" w:rsidP="00414CDC">
      <w:pPr>
        <w:pStyle w:val="PRIMERAPLANA"/>
        <w:spacing w:line="360" w:lineRule="auto"/>
        <w:rPr>
          <w:rFonts w:ascii="Times New Roman" w:hAnsi="Times New Roman"/>
          <w:bCs/>
          <w:lang w:val="es-ES"/>
        </w:rPr>
      </w:pPr>
    </w:p>
    <w:p w14:paraId="074DE9EA" w14:textId="5DBF1640" w:rsidR="00C82952" w:rsidRPr="00B15570" w:rsidRDefault="00C82952" w:rsidP="00126CF7">
      <w:pPr>
        <w:pStyle w:val="PRIMERAPLANA"/>
        <w:numPr>
          <w:ilvl w:val="0"/>
          <w:numId w:val="20"/>
        </w:numPr>
        <w:spacing w:line="360" w:lineRule="auto"/>
        <w:rPr>
          <w:rFonts w:ascii="Times New Roman" w:hAnsi="Times New Roman"/>
          <w:bCs/>
          <w:lang w:val="es-ES"/>
        </w:rPr>
      </w:pPr>
      <w:r w:rsidRPr="00B15570">
        <w:rPr>
          <w:rFonts w:ascii="Times New Roman" w:hAnsi="Times New Roman"/>
          <w:bCs/>
          <w:lang w:val="es-ES"/>
        </w:rPr>
        <w:t>Disminución sostenida de los precios de las materias primas que favorezca la disminución de la inflación y su persistencia, lo cual resulte en ajustes a la baja de las expectativas inflacionarias de mediano plazo y tasas de interés.</w:t>
      </w:r>
    </w:p>
    <w:p w14:paraId="2875463B" w14:textId="4E07D057" w:rsidR="00C82952" w:rsidRPr="00C82952" w:rsidRDefault="00C82952" w:rsidP="00126CF7">
      <w:pPr>
        <w:pStyle w:val="PRIMERAPLANA"/>
        <w:numPr>
          <w:ilvl w:val="0"/>
          <w:numId w:val="20"/>
        </w:numPr>
        <w:spacing w:line="360" w:lineRule="auto"/>
        <w:rPr>
          <w:rFonts w:ascii="Times New Roman" w:hAnsi="Times New Roman"/>
          <w:bCs/>
          <w:lang w:val="es-ES"/>
        </w:rPr>
      </w:pPr>
      <w:r w:rsidRPr="00C82952">
        <w:rPr>
          <w:rFonts w:ascii="Times New Roman" w:hAnsi="Times New Roman"/>
          <w:bCs/>
          <w:lang w:val="es-ES"/>
        </w:rPr>
        <w:t>Resolución de conflictos geopolíticos y tensiones comerciales, particularmente entre Rusia y Ucrania, así como la eliminación de las sanciones económicas y las restricciones de exportación con una menor incertidumbre y volatilidad en los precios de activos y materias primas.</w:t>
      </w:r>
    </w:p>
    <w:p w14:paraId="3D0EF175" w14:textId="3E7B18AF" w:rsidR="00C82952" w:rsidRPr="00C82952" w:rsidRDefault="00C82952" w:rsidP="00126CF7">
      <w:pPr>
        <w:pStyle w:val="PRIMERAPLANA"/>
        <w:numPr>
          <w:ilvl w:val="0"/>
          <w:numId w:val="20"/>
        </w:numPr>
        <w:spacing w:line="360" w:lineRule="auto"/>
        <w:rPr>
          <w:rFonts w:ascii="Times New Roman" w:hAnsi="Times New Roman"/>
          <w:bCs/>
          <w:lang w:val="es-ES"/>
        </w:rPr>
      </w:pPr>
      <w:r w:rsidRPr="00C82952">
        <w:rPr>
          <w:rFonts w:ascii="Times New Roman" w:hAnsi="Times New Roman"/>
          <w:bCs/>
          <w:lang w:val="es-ES"/>
        </w:rPr>
        <w:t>Aceleración del nearshoring y las oportunidades de inversión en México a lo largo de la frontera norte y de la región central por el aprovechamiento de la mano de obra mexicana, la geolocalización, los tratados comerciales y la coyuntura económica.</w:t>
      </w:r>
    </w:p>
    <w:p w14:paraId="3C3018FB" w14:textId="3CE18AB0" w:rsidR="00C82952" w:rsidRPr="00C82952" w:rsidRDefault="00C82952" w:rsidP="00126CF7">
      <w:pPr>
        <w:pStyle w:val="PRIMERAPLANA"/>
        <w:numPr>
          <w:ilvl w:val="0"/>
          <w:numId w:val="20"/>
        </w:numPr>
        <w:spacing w:line="360" w:lineRule="auto"/>
        <w:rPr>
          <w:rFonts w:ascii="Times New Roman" w:hAnsi="Times New Roman"/>
          <w:bCs/>
          <w:lang w:val="es-ES"/>
        </w:rPr>
      </w:pPr>
      <w:r w:rsidRPr="00C82952">
        <w:rPr>
          <w:rFonts w:ascii="Times New Roman" w:hAnsi="Times New Roman"/>
          <w:bCs/>
          <w:lang w:val="es-ES"/>
        </w:rPr>
        <w:t xml:space="preserve">En el marco de cambios legislativos en EE.UU. y de cambios en los patrones de consumo, podría acelerarse la recomposición de plantas automotrices hacia vehículos eléctricos, lo cual beneficiaría en mayor medida a la </w:t>
      </w:r>
      <w:r w:rsidR="00F47980">
        <w:rPr>
          <w:rFonts w:ascii="Times New Roman" w:hAnsi="Times New Roman"/>
          <w:bCs/>
          <w:lang w:val="es-ES"/>
        </w:rPr>
        <w:t xml:space="preserve">(Inversión Extranjera Directa) </w:t>
      </w:r>
      <w:r w:rsidRPr="00C82952">
        <w:rPr>
          <w:rFonts w:ascii="Times New Roman" w:hAnsi="Times New Roman"/>
          <w:bCs/>
          <w:lang w:val="es-ES"/>
        </w:rPr>
        <w:t>IED y a las exportaciones mexicanas. Adicionalmente, una mayor producción de energías renovables que se refleje inicialmente en la IED</w:t>
      </w:r>
    </w:p>
    <w:p w14:paraId="2687AACF" w14:textId="0A78F94F" w:rsidR="00C82952" w:rsidRPr="00C82952" w:rsidRDefault="00C82952" w:rsidP="00126CF7">
      <w:pPr>
        <w:pStyle w:val="PRIMERAPLANA"/>
        <w:numPr>
          <w:ilvl w:val="0"/>
          <w:numId w:val="20"/>
        </w:numPr>
        <w:spacing w:line="360" w:lineRule="auto"/>
        <w:rPr>
          <w:rFonts w:ascii="Times New Roman" w:hAnsi="Times New Roman"/>
          <w:bCs/>
          <w:lang w:val="es-ES"/>
        </w:rPr>
      </w:pPr>
      <w:r w:rsidRPr="00C82952">
        <w:rPr>
          <w:rFonts w:ascii="Times New Roman" w:hAnsi="Times New Roman"/>
          <w:bCs/>
          <w:lang w:val="es-ES"/>
        </w:rPr>
        <w:t>Aceleración de los efectos de las inversiones públicas y privadas realizadas a lo largo de la presente administración en los puertos marítimos de México, lo cual incrementaría la eficiencia y productividad del transporte de mercancías, así como una mayor integración regional, principalmente en el continente americano, con beneficios puntuales en el sector manufacturero de exportación, en la inflación y en mayores inversiones.</w:t>
      </w:r>
    </w:p>
    <w:p w14:paraId="37A10209" w14:textId="126AB05F" w:rsidR="00C82952" w:rsidRDefault="00C82952" w:rsidP="00126CF7">
      <w:pPr>
        <w:pStyle w:val="PRIMERAPLANA"/>
        <w:numPr>
          <w:ilvl w:val="0"/>
          <w:numId w:val="20"/>
        </w:numPr>
        <w:spacing w:line="360" w:lineRule="auto"/>
        <w:rPr>
          <w:rFonts w:ascii="Times New Roman" w:hAnsi="Times New Roman"/>
          <w:bCs/>
          <w:lang w:val="es-ES"/>
        </w:rPr>
      </w:pPr>
      <w:r w:rsidRPr="00B15570">
        <w:rPr>
          <w:rFonts w:ascii="Times New Roman" w:hAnsi="Times New Roman"/>
          <w:bCs/>
          <w:lang w:val="es-ES"/>
        </w:rPr>
        <w:lastRenderedPageBreak/>
        <w:t>Mejores condiciones climatológicas junto con la aparición de nueva tecnología que permita una mayor estabilidad en la producción agrícola e impactos limitados en otras industrias como las intensivas en agua, en el marco de una rápida contención de los efectos del cambio climático en la actividad económica mundial.</w:t>
      </w:r>
    </w:p>
    <w:p w14:paraId="293917CA" w14:textId="77777777" w:rsidR="00987D88" w:rsidRPr="00B15570" w:rsidRDefault="00987D88" w:rsidP="00126CF7">
      <w:pPr>
        <w:pStyle w:val="PRIMERAPLANA"/>
        <w:numPr>
          <w:ilvl w:val="0"/>
          <w:numId w:val="20"/>
        </w:numPr>
        <w:spacing w:line="360" w:lineRule="auto"/>
        <w:rPr>
          <w:rFonts w:ascii="Times New Roman" w:hAnsi="Times New Roman"/>
          <w:bCs/>
          <w:lang w:val="es-ES"/>
        </w:rPr>
      </w:pPr>
    </w:p>
    <w:p w14:paraId="1470DFB1" w14:textId="6200F778" w:rsidR="00C82952" w:rsidRDefault="00C82952" w:rsidP="00C82952">
      <w:pPr>
        <w:pStyle w:val="PRIMERAPLANA"/>
        <w:spacing w:line="360" w:lineRule="auto"/>
        <w:rPr>
          <w:rFonts w:ascii="Times New Roman" w:hAnsi="Times New Roman"/>
          <w:bCs/>
          <w:lang w:val="es-ES"/>
        </w:rPr>
      </w:pPr>
      <w:r w:rsidRPr="00C82952">
        <w:rPr>
          <w:rFonts w:ascii="Times New Roman" w:hAnsi="Times New Roman"/>
          <w:bCs/>
          <w:lang w:val="es-ES"/>
        </w:rPr>
        <w:t>Entre los segundos resaltan:</w:t>
      </w:r>
    </w:p>
    <w:p w14:paraId="0E527701" w14:textId="77777777" w:rsidR="00987D88" w:rsidRPr="00C82952" w:rsidRDefault="00987D88" w:rsidP="00C82952">
      <w:pPr>
        <w:pStyle w:val="PRIMERAPLANA"/>
        <w:spacing w:line="360" w:lineRule="auto"/>
        <w:rPr>
          <w:rFonts w:ascii="Times New Roman" w:hAnsi="Times New Roman"/>
          <w:bCs/>
          <w:lang w:val="es-ES"/>
        </w:rPr>
      </w:pPr>
    </w:p>
    <w:p w14:paraId="0F27D8B1" w14:textId="4C6B6482" w:rsidR="00C82952" w:rsidRPr="00C82952" w:rsidRDefault="00C82952" w:rsidP="00126CF7">
      <w:pPr>
        <w:pStyle w:val="PRIMERAPLANA"/>
        <w:numPr>
          <w:ilvl w:val="0"/>
          <w:numId w:val="17"/>
        </w:numPr>
        <w:spacing w:line="360" w:lineRule="auto"/>
        <w:rPr>
          <w:rFonts w:ascii="Times New Roman" w:hAnsi="Times New Roman"/>
          <w:bCs/>
          <w:lang w:val="es-ES"/>
        </w:rPr>
      </w:pPr>
      <w:r w:rsidRPr="00C82952">
        <w:rPr>
          <w:rFonts w:ascii="Times New Roman" w:hAnsi="Times New Roman"/>
          <w:bCs/>
          <w:lang w:val="es-ES"/>
        </w:rPr>
        <w:t>Tensiones geopolíticas, incluido el conflicto Rusia-Ucrania, que repercutan vía menor abasto de insumos y por las sanciones económicas impuestas por diversos países a Rusia.</w:t>
      </w:r>
    </w:p>
    <w:p w14:paraId="41A147FC" w14:textId="3412C244" w:rsidR="00C82952" w:rsidRPr="00C82952" w:rsidRDefault="00C82952" w:rsidP="00126CF7">
      <w:pPr>
        <w:pStyle w:val="PRIMERAPLANA"/>
        <w:numPr>
          <w:ilvl w:val="0"/>
          <w:numId w:val="17"/>
        </w:numPr>
        <w:spacing w:line="360" w:lineRule="auto"/>
        <w:rPr>
          <w:rFonts w:ascii="Times New Roman" w:hAnsi="Times New Roman"/>
          <w:bCs/>
          <w:lang w:val="es-ES"/>
        </w:rPr>
      </w:pPr>
      <w:r w:rsidRPr="00C82952">
        <w:rPr>
          <w:rFonts w:ascii="Times New Roman" w:hAnsi="Times New Roman"/>
          <w:bCs/>
          <w:lang w:val="es-ES"/>
        </w:rPr>
        <w:t>Un débil crecimiento económico global derivado de los fuertes incrementos en la tasa de interés de referencia de los bancos centrales, junto con una alta inflación, explicada principalmente por factores de oferta.</w:t>
      </w:r>
    </w:p>
    <w:p w14:paraId="12796866" w14:textId="411C8255" w:rsidR="00C82952" w:rsidRPr="00C82952" w:rsidRDefault="00C82952" w:rsidP="00126CF7">
      <w:pPr>
        <w:pStyle w:val="PRIMERAPLANA"/>
        <w:numPr>
          <w:ilvl w:val="0"/>
          <w:numId w:val="17"/>
        </w:numPr>
        <w:spacing w:line="360" w:lineRule="auto"/>
        <w:rPr>
          <w:rFonts w:ascii="Times New Roman" w:hAnsi="Times New Roman"/>
          <w:bCs/>
          <w:lang w:val="es-ES"/>
        </w:rPr>
      </w:pPr>
      <w:r w:rsidRPr="00C82952">
        <w:rPr>
          <w:rFonts w:ascii="Times New Roman" w:hAnsi="Times New Roman"/>
          <w:bCs/>
          <w:lang w:val="es-ES"/>
        </w:rPr>
        <w:t>Falta de resolución de discrepancias en materia comercial entre los países del T-MEC que desencadene sanciones relacionadas a aranceles.</w:t>
      </w:r>
    </w:p>
    <w:p w14:paraId="56A628E3" w14:textId="6A15C1B1" w:rsidR="00C82952" w:rsidRPr="00C82952" w:rsidRDefault="00C82952" w:rsidP="00126CF7">
      <w:pPr>
        <w:pStyle w:val="PRIMERAPLANA"/>
        <w:numPr>
          <w:ilvl w:val="0"/>
          <w:numId w:val="17"/>
        </w:numPr>
        <w:spacing w:line="360" w:lineRule="auto"/>
        <w:rPr>
          <w:rFonts w:ascii="Times New Roman" w:hAnsi="Times New Roman"/>
          <w:bCs/>
          <w:lang w:val="es-ES"/>
        </w:rPr>
      </w:pPr>
      <w:r w:rsidRPr="00C82952">
        <w:rPr>
          <w:rFonts w:ascii="Times New Roman" w:hAnsi="Times New Roman"/>
          <w:bCs/>
          <w:lang w:val="es-ES"/>
        </w:rPr>
        <w:t>Tensiones sociales y políticas ocasionadas por un ambiente de alta inflación global y/o desabasto de alimentos.</w:t>
      </w:r>
    </w:p>
    <w:p w14:paraId="7EE4EF6A" w14:textId="73777FD4" w:rsidR="00C82952" w:rsidRPr="00C82952" w:rsidRDefault="00C82952" w:rsidP="00126CF7">
      <w:pPr>
        <w:pStyle w:val="PRIMERAPLANA"/>
        <w:numPr>
          <w:ilvl w:val="0"/>
          <w:numId w:val="17"/>
        </w:numPr>
        <w:spacing w:line="360" w:lineRule="auto"/>
        <w:rPr>
          <w:rFonts w:ascii="Times New Roman" w:hAnsi="Times New Roman"/>
          <w:bCs/>
          <w:lang w:val="es-ES"/>
        </w:rPr>
      </w:pPr>
      <w:r w:rsidRPr="00C82952">
        <w:rPr>
          <w:rFonts w:ascii="Times New Roman" w:hAnsi="Times New Roman"/>
          <w:bCs/>
          <w:lang w:val="es-ES"/>
        </w:rPr>
        <w:t xml:space="preserve">Las negociaciones en curso para reactivar el acuerdo nuclear de 2015 que se llevan actualmente entre Irán, por un lado, y EE.UU., Reino Unido, Francia y Alemania, por el otro, podría permitir el retorno del crudo iraní, adicionando 1 mbd al mercado global, lo que podría reducir el precio del petróleo a nivel internacional.  </w:t>
      </w:r>
    </w:p>
    <w:p w14:paraId="34EC1E4C" w14:textId="62E5C48E" w:rsidR="00C82952" w:rsidRPr="00C82952" w:rsidRDefault="00C82952" w:rsidP="00126CF7">
      <w:pPr>
        <w:pStyle w:val="PRIMERAPLANA"/>
        <w:numPr>
          <w:ilvl w:val="0"/>
          <w:numId w:val="17"/>
        </w:numPr>
        <w:spacing w:line="360" w:lineRule="auto"/>
        <w:rPr>
          <w:rFonts w:ascii="Times New Roman" w:hAnsi="Times New Roman"/>
          <w:bCs/>
          <w:lang w:val="es-ES"/>
        </w:rPr>
      </w:pPr>
      <w:r w:rsidRPr="00C82952">
        <w:rPr>
          <w:rFonts w:ascii="Times New Roman" w:hAnsi="Times New Roman"/>
          <w:bCs/>
          <w:lang w:val="es-ES"/>
        </w:rPr>
        <w:t>Incremento en la producción de petróleo de países no pertenecientes a la OPEP+ que podría reducir los precios internacionales, como es el caso de EE.UU. y Noruega. El primero se espera que alcance un récord de 12.7 mbd en 2023, después del último máximo de 12.3 mbd establecido en 2019. Mientras que Noruega, con sus nuevos proyectos en marcha, podría aumentar su producción en 200 mbd</w:t>
      </w:r>
      <w:r w:rsidR="00414CDC">
        <w:rPr>
          <w:rFonts w:ascii="Times New Roman" w:hAnsi="Times New Roman"/>
          <w:bCs/>
          <w:lang w:val="es-ES"/>
        </w:rPr>
        <w:t>.</w:t>
      </w:r>
    </w:p>
    <w:p w14:paraId="6153173C" w14:textId="77777777" w:rsidR="00C82952" w:rsidRPr="00C82952" w:rsidRDefault="00C82952" w:rsidP="00126CF7">
      <w:pPr>
        <w:pStyle w:val="PRIMERAPLANA"/>
        <w:numPr>
          <w:ilvl w:val="0"/>
          <w:numId w:val="17"/>
        </w:numPr>
        <w:spacing w:line="360" w:lineRule="auto"/>
        <w:rPr>
          <w:rFonts w:ascii="Times New Roman" w:hAnsi="Times New Roman"/>
          <w:bCs/>
          <w:lang w:val="es-ES"/>
        </w:rPr>
      </w:pPr>
      <w:r w:rsidRPr="00C82952">
        <w:rPr>
          <w:rFonts w:ascii="Times New Roman" w:hAnsi="Times New Roman"/>
          <w:bCs/>
          <w:lang w:val="es-ES"/>
        </w:rPr>
        <w:t>Continuación de las políticas de liberación de reservas estratégicas de petróleo por parte de los países de la Agencia Internacional de Energía, una vez que finalice el plan actual en noviembre.</w:t>
      </w:r>
    </w:p>
    <w:p w14:paraId="4BAF3987" w14:textId="77777777" w:rsidR="00C82952" w:rsidRPr="00C82952" w:rsidRDefault="00C82952" w:rsidP="00C82952">
      <w:pPr>
        <w:pStyle w:val="PRIMERAPLANA"/>
        <w:spacing w:line="360" w:lineRule="auto"/>
        <w:rPr>
          <w:rFonts w:ascii="Times New Roman" w:hAnsi="Times New Roman"/>
          <w:bCs/>
          <w:lang w:val="es-ES"/>
        </w:rPr>
      </w:pPr>
    </w:p>
    <w:p w14:paraId="1C11D1EA"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Se espera que la inflación converja muy cerca del objetivo de Banxico apoyado de las medidas en materia fiscal y monetaria, una alta base de comparación, así como la reducción de las presiones internacionales, particularmente de los precios de las materias primas como el trigo, el maíz y energéticos como el petróleo y gas. Así, la inflación cerrará 2023 en 3.2%. Se estima que la tasa de interés podría comenzar a disminuir, por lo que se prevé que en 2023 se encuentre en niveles de 8.5%. </w:t>
      </w:r>
      <w:r w:rsidRPr="00414CDC">
        <w:rPr>
          <w:rFonts w:ascii="Times New Roman" w:hAnsi="Times New Roman"/>
          <w:bCs/>
          <w:lang w:val="es-ES"/>
        </w:rPr>
        <w:lastRenderedPageBreak/>
        <w:t>La estimación del tipo de cambio de 20.6 pesos por dólar al cierre de año es consistente con los fundamentales macroeconómicos y con una trayectoria de las tasas de interés internas y la postura relativa con la FED. En materia de petróleo, se estima un precio de la mezcla mexicana de crudo de exportación de 68.7 dpb, en línea con la metodología establecida en el artículo 31 de la LFPRH y el artículo 15 de su Reglamento. La plataforma de producción de petróleo estimada es de 1,872 mbd para 2023. los CGPE 2023 plantean un balance público de -3.6% del PIB; un déficit primario de 0.2% del PIB; y RFSP de 4.1% del PIB, nivel que mantiene la deuda en una trayectoria estable y sostenible de 49.4%. Con respecto a los RFSP, se estima que las necesidades de financiamiento fuera del presupuesto contribuyan en un 0.50% del PIB.</w:t>
      </w:r>
    </w:p>
    <w:p w14:paraId="72AECBB5" w14:textId="77777777" w:rsidR="00414CDC" w:rsidRPr="00414CDC" w:rsidRDefault="00414CDC" w:rsidP="00414CDC">
      <w:pPr>
        <w:pStyle w:val="PRIMERAPLANA"/>
        <w:spacing w:line="360" w:lineRule="auto"/>
        <w:rPr>
          <w:rFonts w:ascii="Times New Roman" w:hAnsi="Times New Roman"/>
          <w:bCs/>
          <w:lang w:val="es-ES"/>
        </w:rPr>
      </w:pPr>
    </w:p>
    <w:p w14:paraId="36C9C675" w14:textId="0CAC13F1"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En el periodo 2024-2028, se prevé que la mayoría de los países logren un crecimiento económico estable cercano a su PIB potencial en ausencia de nuevos choques por factores políticos, climatológicos o sanitarios. Si bien algunos países han aumentado su nivel de endeudamiento de forma notable particularmente desde 2020 a raíz de la pandemia de </w:t>
      </w:r>
      <w:r w:rsidR="00987D88">
        <w:rPr>
          <w:rFonts w:ascii="Times New Roman" w:hAnsi="Times New Roman"/>
          <w:bCs/>
          <w:lang w:val="es-ES"/>
        </w:rPr>
        <w:t xml:space="preserve">la </w:t>
      </w:r>
      <w:r w:rsidRPr="00414CDC">
        <w:rPr>
          <w:rFonts w:ascii="Times New Roman" w:hAnsi="Times New Roman"/>
          <w:bCs/>
          <w:lang w:val="es-ES"/>
        </w:rPr>
        <w:t xml:space="preserve">COVID-19, no se pueden anticipar problemas estructurales que lleven a un crecimiento menor de la economía global o un riesgo sistémico en el sistema financiero internacional. </w:t>
      </w:r>
    </w:p>
    <w:p w14:paraId="75CF38F6" w14:textId="77777777" w:rsidR="00414CDC" w:rsidRPr="00414CDC" w:rsidRDefault="00414CDC" w:rsidP="00414CDC">
      <w:pPr>
        <w:pStyle w:val="PRIMERAPLANA"/>
        <w:spacing w:line="360" w:lineRule="auto"/>
        <w:rPr>
          <w:rFonts w:ascii="Times New Roman" w:hAnsi="Times New Roman"/>
          <w:bCs/>
          <w:lang w:val="es-ES"/>
        </w:rPr>
      </w:pPr>
    </w:p>
    <w:p w14:paraId="29C939FE"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En el caso del PIB de EE.UU., el escenario central indica que la senda de crecimiento regresará a la trayectoria de tendencia previa a la pandemia. En esa línea, los analistas encuestados por Blue Chip, en la edición de marzo de 2022, pronosticaron que entre 2024 y 2028 el PIB real del país se expandirá a un ritmo anual promedio de 2.0%. De acuerdo con la misma encuesta, la tasa de desempleo promedio en este país se ubicará en 2.8%, mientras que la inflación se situaría en 2.2% y los rendimientos de los bonos del Tesoro a tres meses y diez años en promedio alcanzarán niveles de 2.1 y 3.0%, respectivamente. En este contexto, México se verá favorecido por factores externos dada la estrecha integración comercial que existe con la economía global y con EE.UU. en particular. Por ende, se prevé un desempeño positivo para las exportaciones, en particular, para equipo de transporte, aparatos electrónicos, minería no petrolera, alimentos procesados y comercio electrónico. Las recientes inversiones de diversas empresas para localizarse en México sustentan la mayor capacidad del país para aumentar dicha exportación. Asimismo, un buen desempeño de la economía estadounidense apoyará a la inversión extranjera, el turismo y el flujo de remesas.</w:t>
      </w:r>
    </w:p>
    <w:p w14:paraId="27C28C3B" w14:textId="77777777" w:rsidR="00414CDC" w:rsidRPr="00414CDC" w:rsidRDefault="00414CDC" w:rsidP="00414CDC">
      <w:pPr>
        <w:pStyle w:val="PRIMERAPLANA"/>
        <w:spacing w:line="360" w:lineRule="auto"/>
        <w:rPr>
          <w:rFonts w:ascii="Times New Roman" w:hAnsi="Times New Roman"/>
          <w:bCs/>
          <w:lang w:val="es-ES"/>
        </w:rPr>
      </w:pPr>
    </w:p>
    <w:p w14:paraId="6D8A8DCB"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Respecto a la demanda interna, se prevé que la economía mexicana mantenga un sólido dinamismo principalmente como resultado de las reformas al mercado laboral que se han implementado en beneficio de mayores ingresos y mejores condiciones para los trabajadores; un mayor crecimiento </w:t>
      </w:r>
      <w:r w:rsidRPr="00414CDC">
        <w:rPr>
          <w:rFonts w:ascii="Times New Roman" w:hAnsi="Times New Roman"/>
          <w:bCs/>
          <w:lang w:val="es-ES"/>
        </w:rPr>
        <w:lastRenderedPageBreak/>
        <w:t xml:space="preserve">económico en la región sur-sureste que aumentará el mercado interno, la conectividad entre regiones, así como la reducción de la pobreza y de la desigualdad en esta región; y finalmente, una mayor profundidad del sistema financiero derivado de las acciones impulsadas para fortalecer el ahorro y la inclusión financiera, cuyo principal resultado es que más personas y empresas tengan acceso a crédito y a otros servicios bancarios. </w:t>
      </w:r>
    </w:p>
    <w:p w14:paraId="776EA731" w14:textId="77777777" w:rsidR="00414CDC" w:rsidRPr="00414CDC" w:rsidRDefault="00414CDC" w:rsidP="00414CDC">
      <w:pPr>
        <w:pStyle w:val="PRIMERAPLANA"/>
        <w:spacing w:line="360" w:lineRule="auto"/>
        <w:rPr>
          <w:rFonts w:ascii="Times New Roman" w:hAnsi="Times New Roman"/>
          <w:bCs/>
          <w:lang w:val="es-ES"/>
        </w:rPr>
      </w:pPr>
    </w:p>
    <w:p w14:paraId="6B110C24"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Derivado de lo anterior, se estima que en el periodo 2024-2028 el PIB de México registrará un crecimiento real anual de entre 1.9 y 2.9%. De manera puntual, se proyecta una expansión de 2.4% para el periodo en cuestión. Estas estimaciones se encuentran en línea con las estimaciones del PIB potencial establecidas en el art. 11 C del Reglamento de la Ley Federal de Presupuesto y Responsabilidad Hacendaria (LFPRH), aunque ligeramente por arriba de lo publicado en la encuesta de expectativas del sector privado del 1 de julio de 2022 que realizó el Banco de México, en donde la mediana del pronóstico del PIB para los próximos diez años es de 2.0%. </w:t>
      </w:r>
    </w:p>
    <w:p w14:paraId="080BBF56" w14:textId="77777777" w:rsidR="00414CDC" w:rsidRPr="00414CDC" w:rsidRDefault="00414CDC" w:rsidP="00414CDC">
      <w:pPr>
        <w:pStyle w:val="PRIMERAPLANA"/>
        <w:spacing w:line="360" w:lineRule="auto"/>
        <w:rPr>
          <w:rFonts w:ascii="Times New Roman" w:hAnsi="Times New Roman"/>
          <w:bCs/>
          <w:lang w:val="es-ES"/>
        </w:rPr>
      </w:pPr>
    </w:p>
    <w:p w14:paraId="45B7FC44"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Consistente con el escenario de crecimiento de tendencia, en materia de precios se estima que la inflación se ubicará en la meta establecida por el Banco de México de 3.0% durante el periodo 2024-2028. Asimismo, para el tipo de cambio nominal, se prevé una ligera depreciación en el horizonte de pronóstico, congruente con una trayectoria constante del tipo de cambio real y tomando en cuenta el comportamiento esperado de mediano plazo para la inflación de EE.UU.</w:t>
      </w:r>
    </w:p>
    <w:p w14:paraId="3E55951E" w14:textId="77777777" w:rsidR="00414CDC" w:rsidRPr="00414CDC" w:rsidRDefault="00414CDC" w:rsidP="00414CDC">
      <w:pPr>
        <w:pStyle w:val="PRIMERAPLANA"/>
        <w:spacing w:line="360" w:lineRule="auto"/>
        <w:rPr>
          <w:rFonts w:ascii="Times New Roman" w:hAnsi="Times New Roman"/>
          <w:bCs/>
          <w:lang w:val="es-ES"/>
        </w:rPr>
      </w:pPr>
    </w:p>
    <w:p w14:paraId="7446869F"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Al considerar dichas proyecciones, se asume que continuará la disminución gradual de la tasa de Cetes a 28 días hasta situarse en 5.5% en 2026. Lo anterior es consistente con una postura monetaria neutral de equilibrio y resultaría que el diferencial entre la tasa de interés de México y EE.UU. se reduzca desde 2025 y logre estabilizarse posteriormente. </w:t>
      </w:r>
    </w:p>
    <w:p w14:paraId="50A78316" w14:textId="77777777" w:rsidR="00414CDC" w:rsidRPr="00414CDC" w:rsidRDefault="00414CDC" w:rsidP="00414CDC">
      <w:pPr>
        <w:pStyle w:val="PRIMERAPLANA"/>
        <w:spacing w:line="360" w:lineRule="auto"/>
        <w:rPr>
          <w:rFonts w:ascii="Times New Roman" w:hAnsi="Times New Roman"/>
          <w:bCs/>
          <w:lang w:val="es-ES"/>
        </w:rPr>
      </w:pPr>
    </w:p>
    <w:p w14:paraId="455CD09D"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En el periodo 2024-2028, el déficit de la cuenta corriente de la balanza de pagos se mantendrá por debajo del promedio histórico al ubicarse en un nivel promedio de 1.0% del PIB derivado de un desempeño positivo de las remesas, y acorde al crecimiento previsto para EE.UU., así como por la evolución esperada de la balanza comercial petrolera y de servicios en donde México podría continuar registrando un déficit. En cuanto a los precios de la mezcla mexicana, se prevé un precio promedio de 56.9 dpb en el periodo 2024-2028, el cual es consistente con la dinámica que muestra la curva de futuros al mes de agosto. Para la plataforma de producción de crudo, se asume una trayectoria conservadora con respecto a las proyecciones de PEMEX y de las empresas privadas.</w:t>
      </w:r>
    </w:p>
    <w:p w14:paraId="14BBE6E9" w14:textId="77777777" w:rsidR="00414CDC" w:rsidRPr="00414CDC" w:rsidRDefault="00414CDC" w:rsidP="00414CDC">
      <w:pPr>
        <w:pStyle w:val="PRIMERAPLANA"/>
        <w:spacing w:line="360" w:lineRule="auto"/>
        <w:rPr>
          <w:rFonts w:ascii="Times New Roman" w:hAnsi="Times New Roman"/>
          <w:bCs/>
          <w:lang w:val="es-ES"/>
        </w:rPr>
      </w:pPr>
    </w:p>
    <w:p w14:paraId="0CBB08FE" w14:textId="07964440" w:rsidR="00C82952"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lastRenderedPageBreak/>
        <w:t>El marco macroeconómico descrito se encuentra sujeto a riesgos que podrían modificar las trayectorias estimadas. Los riesgos a la baja se presentan a continuación</w:t>
      </w:r>
      <w:r w:rsidR="00C82952" w:rsidRPr="00C82952">
        <w:rPr>
          <w:rFonts w:ascii="Times New Roman" w:hAnsi="Times New Roman"/>
          <w:bCs/>
          <w:lang w:val="es-ES"/>
        </w:rPr>
        <w:t xml:space="preserve">: </w:t>
      </w:r>
    </w:p>
    <w:p w14:paraId="2095E1F9" w14:textId="77777777" w:rsidR="006C79BD" w:rsidRPr="00C82952" w:rsidRDefault="006C79BD" w:rsidP="00414CDC">
      <w:pPr>
        <w:pStyle w:val="PRIMERAPLANA"/>
        <w:spacing w:line="360" w:lineRule="auto"/>
        <w:rPr>
          <w:rFonts w:ascii="Times New Roman" w:hAnsi="Times New Roman"/>
          <w:bCs/>
          <w:lang w:val="es-ES"/>
        </w:rPr>
      </w:pPr>
    </w:p>
    <w:p w14:paraId="130E2240" w14:textId="308A14EA" w:rsidR="00C82952" w:rsidRPr="00C82952" w:rsidRDefault="00C82952" w:rsidP="00126CF7">
      <w:pPr>
        <w:pStyle w:val="PRIMERAPLANA"/>
        <w:numPr>
          <w:ilvl w:val="0"/>
          <w:numId w:val="18"/>
        </w:numPr>
        <w:spacing w:line="360" w:lineRule="auto"/>
        <w:rPr>
          <w:rFonts w:ascii="Times New Roman" w:hAnsi="Times New Roman"/>
          <w:bCs/>
          <w:lang w:val="es-ES"/>
        </w:rPr>
      </w:pPr>
      <w:r w:rsidRPr="00C82952">
        <w:rPr>
          <w:rFonts w:ascii="Times New Roman" w:hAnsi="Times New Roman"/>
          <w:bCs/>
          <w:lang w:val="es-ES"/>
        </w:rPr>
        <w:t>Prolongación de conflictos geopolíticos y creación de bloques comerciales entre países, así como sanciones económicas hacia Rusia o China. Lo anterior podría aumentar la volatilidad y el nivel de precios de algunas materias primas y alimentos, al tiempo que disminuiría el comercio internacional y los flujos financieros internacionales.</w:t>
      </w:r>
    </w:p>
    <w:p w14:paraId="05C935BA" w14:textId="3BD1A09A" w:rsidR="00C82952" w:rsidRPr="00C82952" w:rsidRDefault="00C82952" w:rsidP="00126CF7">
      <w:pPr>
        <w:pStyle w:val="PRIMERAPLANA"/>
        <w:numPr>
          <w:ilvl w:val="0"/>
          <w:numId w:val="18"/>
        </w:numPr>
        <w:spacing w:line="360" w:lineRule="auto"/>
        <w:rPr>
          <w:rFonts w:ascii="Times New Roman" w:hAnsi="Times New Roman"/>
          <w:bCs/>
          <w:lang w:val="es-ES"/>
        </w:rPr>
      </w:pPr>
      <w:r w:rsidRPr="00C82952">
        <w:rPr>
          <w:rFonts w:ascii="Times New Roman" w:hAnsi="Times New Roman"/>
          <w:bCs/>
          <w:lang w:val="es-ES"/>
        </w:rPr>
        <w:t>Una política monetaria restrictiva prolongada, que presione las condiciones financieras y contribuya a un crecimiento global por abajo del promedio histórico.</w:t>
      </w:r>
    </w:p>
    <w:p w14:paraId="21495B91" w14:textId="35354622" w:rsidR="00C82952" w:rsidRPr="00C82952" w:rsidRDefault="00C82952" w:rsidP="00126CF7">
      <w:pPr>
        <w:pStyle w:val="PRIMERAPLANA"/>
        <w:numPr>
          <w:ilvl w:val="0"/>
          <w:numId w:val="18"/>
        </w:numPr>
        <w:spacing w:line="360" w:lineRule="auto"/>
        <w:rPr>
          <w:rFonts w:ascii="Times New Roman" w:hAnsi="Times New Roman"/>
          <w:bCs/>
          <w:lang w:val="es-ES"/>
        </w:rPr>
      </w:pPr>
      <w:r w:rsidRPr="00C82952">
        <w:rPr>
          <w:rFonts w:ascii="Times New Roman" w:hAnsi="Times New Roman"/>
          <w:bCs/>
          <w:lang w:val="es-ES"/>
        </w:rPr>
        <w:t>Escenario de impago de la deuda por las alzas en las tasas de interés a nivel mundial en un contexto donde los niveles de endeudamiento han alcanzado máximos históricos, particularmente de algunas economías que aumentaron su deuda para enfrentar la crisis sanitaria.</w:t>
      </w:r>
    </w:p>
    <w:p w14:paraId="164A94D5" w14:textId="77777777" w:rsidR="00C82952" w:rsidRPr="00C82952" w:rsidRDefault="00C82952" w:rsidP="00126CF7">
      <w:pPr>
        <w:pStyle w:val="PRIMERAPLANA"/>
        <w:numPr>
          <w:ilvl w:val="0"/>
          <w:numId w:val="18"/>
        </w:numPr>
        <w:spacing w:line="360" w:lineRule="auto"/>
        <w:rPr>
          <w:rFonts w:ascii="Times New Roman" w:hAnsi="Times New Roman"/>
          <w:bCs/>
          <w:lang w:val="es-ES"/>
        </w:rPr>
      </w:pPr>
      <w:r w:rsidRPr="00C82952">
        <w:rPr>
          <w:rFonts w:ascii="Times New Roman" w:hAnsi="Times New Roman"/>
          <w:bCs/>
          <w:lang w:val="es-ES"/>
        </w:rPr>
        <w:t>Desaceleración económica de China por problemas políticos al interior y estructurales de su economía, en particular por una menor inversión en el sector inmobiliario y la acumulación de deuda que reduciría su demanda de las materias primas y aumentaría el riesgo de enfrentar problemas financieros.</w:t>
      </w:r>
    </w:p>
    <w:p w14:paraId="7434384D" w14:textId="77777777" w:rsidR="006C79BD" w:rsidRDefault="006C79BD" w:rsidP="00C82952">
      <w:pPr>
        <w:pStyle w:val="PRIMERAPLANA"/>
        <w:spacing w:line="360" w:lineRule="auto"/>
        <w:rPr>
          <w:rFonts w:ascii="Times New Roman" w:hAnsi="Times New Roman"/>
          <w:bCs/>
          <w:lang w:val="es-ES"/>
        </w:rPr>
      </w:pPr>
    </w:p>
    <w:p w14:paraId="04C02571" w14:textId="00661CE3" w:rsidR="00C82952" w:rsidRDefault="00C82952" w:rsidP="00C82952">
      <w:pPr>
        <w:pStyle w:val="PRIMERAPLANA"/>
        <w:spacing w:line="360" w:lineRule="auto"/>
        <w:rPr>
          <w:rFonts w:ascii="Times New Roman" w:hAnsi="Times New Roman"/>
          <w:bCs/>
          <w:lang w:val="es-ES"/>
        </w:rPr>
      </w:pPr>
      <w:r w:rsidRPr="00C82952">
        <w:rPr>
          <w:rFonts w:ascii="Times New Roman" w:hAnsi="Times New Roman"/>
          <w:bCs/>
          <w:lang w:val="es-ES"/>
        </w:rPr>
        <w:t>Los riesgos al alza a considerar, son los siguientes:</w:t>
      </w:r>
    </w:p>
    <w:p w14:paraId="1260E746" w14:textId="77777777" w:rsidR="006C79BD" w:rsidRPr="00C82952" w:rsidRDefault="006C79BD" w:rsidP="00C82952">
      <w:pPr>
        <w:pStyle w:val="PRIMERAPLANA"/>
        <w:spacing w:line="360" w:lineRule="auto"/>
        <w:rPr>
          <w:rFonts w:ascii="Times New Roman" w:hAnsi="Times New Roman"/>
          <w:bCs/>
          <w:lang w:val="es-ES"/>
        </w:rPr>
      </w:pPr>
    </w:p>
    <w:p w14:paraId="09F70C8D" w14:textId="2AD875CD" w:rsidR="00C82952" w:rsidRPr="00C82952" w:rsidRDefault="00C82952" w:rsidP="00126CF7">
      <w:pPr>
        <w:pStyle w:val="PRIMERAPLANA"/>
        <w:numPr>
          <w:ilvl w:val="0"/>
          <w:numId w:val="19"/>
        </w:numPr>
        <w:spacing w:line="360" w:lineRule="auto"/>
        <w:rPr>
          <w:rFonts w:ascii="Times New Roman" w:hAnsi="Times New Roman"/>
          <w:bCs/>
          <w:lang w:val="es-ES"/>
        </w:rPr>
      </w:pPr>
      <w:r w:rsidRPr="00C82952">
        <w:rPr>
          <w:rFonts w:ascii="Times New Roman" w:hAnsi="Times New Roman"/>
          <w:bCs/>
          <w:lang w:val="es-ES"/>
        </w:rPr>
        <w:t>Mejoras importantes en las condiciones de informalidad derivado de las reformas en materia laboral implementadas desde el inicio de la administración, las cuales beneficiarían al consumo, la productividad y a la recaudación tributaria.</w:t>
      </w:r>
    </w:p>
    <w:p w14:paraId="2484EE4F" w14:textId="25BC9081" w:rsidR="00C82952" w:rsidRPr="00C82952" w:rsidRDefault="00C82952" w:rsidP="00126CF7">
      <w:pPr>
        <w:pStyle w:val="PRIMERAPLANA"/>
        <w:numPr>
          <w:ilvl w:val="0"/>
          <w:numId w:val="19"/>
        </w:numPr>
        <w:spacing w:line="360" w:lineRule="auto"/>
        <w:rPr>
          <w:rFonts w:ascii="Times New Roman" w:hAnsi="Times New Roman"/>
          <w:bCs/>
          <w:lang w:val="es-ES"/>
        </w:rPr>
      </w:pPr>
      <w:r w:rsidRPr="00C82952">
        <w:rPr>
          <w:rFonts w:ascii="Times New Roman" w:hAnsi="Times New Roman"/>
          <w:bCs/>
          <w:lang w:val="es-ES"/>
        </w:rPr>
        <w:t>Aumentos en la productividad de factores por una mayor innovación, que permitiría una distribución más eficiente del empleo y el capital.</w:t>
      </w:r>
    </w:p>
    <w:p w14:paraId="1AB70A11" w14:textId="77777777" w:rsidR="00C82952" w:rsidRPr="00C82952" w:rsidRDefault="00C82952" w:rsidP="00126CF7">
      <w:pPr>
        <w:pStyle w:val="PRIMERAPLANA"/>
        <w:numPr>
          <w:ilvl w:val="0"/>
          <w:numId w:val="19"/>
        </w:numPr>
        <w:spacing w:line="360" w:lineRule="auto"/>
        <w:rPr>
          <w:rFonts w:ascii="Times New Roman" w:hAnsi="Times New Roman"/>
          <w:bCs/>
          <w:lang w:val="es-ES"/>
        </w:rPr>
      </w:pPr>
      <w:r w:rsidRPr="00C82952">
        <w:rPr>
          <w:rFonts w:ascii="Times New Roman" w:hAnsi="Times New Roman"/>
          <w:bCs/>
          <w:lang w:val="es-ES"/>
        </w:rPr>
        <w:t>Una mayor competencia económica que contribuya a la disminución de las presiones inflacionarias, fomente la mayor disponibilidad de productos y, mejore la calidad de los servicios y la competitividad de México en el ámbito internacional.</w:t>
      </w:r>
    </w:p>
    <w:p w14:paraId="7B09FEF2" w14:textId="77777777" w:rsidR="00C82952" w:rsidRPr="00C82952" w:rsidRDefault="00C82952" w:rsidP="00C82952">
      <w:pPr>
        <w:pStyle w:val="PRIMERAPLANA"/>
        <w:spacing w:line="360" w:lineRule="auto"/>
        <w:rPr>
          <w:rFonts w:ascii="Times New Roman" w:hAnsi="Times New Roman"/>
          <w:bCs/>
          <w:lang w:val="es-ES"/>
        </w:rPr>
      </w:pPr>
    </w:p>
    <w:p w14:paraId="3941681D"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Los CGPE 2023 plantean un balance público de -3.6% del PIB; un déficit primario de 0.2% del PIB; y RFSP de 4.1% del PIB, nivel que mantiene la deuda en una trayectoria estable y sostenible de 49.4%.</w:t>
      </w:r>
    </w:p>
    <w:p w14:paraId="1D43FD13" w14:textId="77777777" w:rsidR="00414CDC" w:rsidRPr="00414CDC" w:rsidRDefault="00414CDC" w:rsidP="00414CDC">
      <w:pPr>
        <w:pStyle w:val="PRIMERAPLANA"/>
        <w:spacing w:line="360" w:lineRule="auto"/>
        <w:rPr>
          <w:rFonts w:ascii="Times New Roman" w:hAnsi="Times New Roman"/>
          <w:bCs/>
          <w:lang w:val="es-ES"/>
        </w:rPr>
      </w:pPr>
    </w:p>
    <w:p w14:paraId="545081E4"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Las metas de balance son consistentes con un nivel sostenible de la deuda pública tanto en el mediano como en el largo plazo, tomando en consideración las expectativas actuales de crecimiento económico </w:t>
      </w:r>
      <w:r w:rsidRPr="00414CDC">
        <w:rPr>
          <w:rFonts w:ascii="Times New Roman" w:hAnsi="Times New Roman"/>
          <w:bCs/>
          <w:lang w:val="es-ES"/>
        </w:rPr>
        <w:lastRenderedPageBreak/>
        <w:t>y la trayectoria de los agregados fiscales, como lo establecen los artículos 17 de la LFPRH y 11B de su Reglamento. Para el ejercicio fiscal 2023 se proyecta un déficit en el balance del Gobierno Federal de 1,168.3 mil millones de pesos o 3.7% del PIB, que considera las metas de los RFSP, del balance público y de las Empresas Productivas del Estado.</w:t>
      </w:r>
    </w:p>
    <w:p w14:paraId="2F93E650" w14:textId="77777777" w:rsidR="00414CDC" w:rsidRPr="00414CDC" w:rsidRDefault="00414CDC" w:rsidP="00414CDC">
      <w:pPr>
        <w:pStyle w:val="PRIMERAPLANA"/>
        <w:spacing w:line="360" w:lineRule="auto"/>
        <w:rPr>
          <w:rFonts w:ascii="Times New Roman" w:hAnsi="Times New Roman"/>
          <w:bCs/>
          <w:lang w:val="es-ES"/>
        </w:rPr>
      </w:pPr>
    </w:p>
    <w:p w14:paraId="57F766C6" w14:textId="198E5BD1"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El Paquete Económico Federal para 2023 se elaboró en el contexto de un complejo entorno internacional caracterizado por altos niveles de inflación, en el marco de las distorsiones provocadas por el conflicto bélico en Europa del Este en la actividad económica y de la persistencia de algunos efectos derivados de la pandemia de</w:t>
      </w:r>
      <w:r w:rsidR="009E2121">
        <w:rPr>
          <w:rFonts w:ascii="Times New Roman" w:hAnsi="Times New Roman"/>
          <w:bCs/>
          <w:lang w:val="es-ES"/>
        </w:rPr>
        <w:t xml:space="preserve"> </w:t>
      </w:r>
      <w:r w:rsidRPr="00414CDC">
        <w:rPr>
          <w:rFonts w:ascii="Times New Roman" w:hAnsi="Times New Roman"/>
          <w:bCs/>
          <w:lang w:val="es-ES"/>
        </w:rPr>
        <w:t>l</w:t>
      </w:r>
      <w:r w:rsidR="009E2121">
        <w:rPr>
          <w:rFonts w:ascii="Times New Roman" w:hAnsi="Times New Roman"/>
          <w:bCs/>
          <w:lang w:val="es-ES"/>
        </w:rPr>
        <w:t>a</w:t>
      </w:r>
      <w:r w:rsidRPr="00414CDC">
        <w:rPr>
          <w:rFonts w:ascii="Times New Roman" w:hAnsi="Times New Roman"/>
          <w:bCs/>
          <w:lang w:val="es-ES"/>
        </w:rPr>
        <w:t xml:space="preserve"> COVID-19 iniciada en 2020. En este contexto, el Gobierno de México propone incrementos importantes a programas sociales que ayuden a atenuar los efectos generados por la inflación en sectores de bajos ingresos y a garantizar la seguridad alimentaria, tales como Fertilizantes, Sembrando Vida y Producción para el Bienestar. A su vez, se proponen recursos adicionales que favorezcan la expansión de la capacidad operativa del sector salud y su provisión de servicios. Específicamente, se busca atender a personas sin seguridad social y afianzar la distribuc</w:t>
      </w:r>
      <w:r w:rsidR="00437827">
        <w:rPr>
          <w:rFonts w:ascii="Times New Roman" w:hAnsi="Times New Roman"/>
          <w:bCs/>
          <w:lang w:val="es-ES"/>
        </w:rPr>
        <w:t xml:space="preserve">ión gratuita de vacunas contra </w:t>
      </w:r>
      <w:r w:rsidRPr="00414CDC">
        <w:rPr>
          <w:rFonts w:ascii="Times New Roman" w:hAnsi="Times New Roman"/>
          <w:bCs/>
          <w:lang w:val="es-ES"/>
        </w:rPr>
        <w:t>l</w:t>
      </w:r>
      <w:r w:rsidR="00437827">
        <w:rPr>
          <w:rFonts w:ascii="Times New Roman" w:hAnsi="Times New Roman"/>
          <w:bCs/>
          <w:lang w:val="es-ES"/>
        </w:rPr>
        <w:t>a</w:t>
      </w:r>
      <w:r w:rsidRPr="00414CDC">
        <w:rPr>
          <w:rFonts w:ascii="Times New Roman" w:hAnsi="Times New Roman"/>
          <w:bCs/>
          <w:lang w:val="es-ES"/>
        </w:rPr>
        <w:t xml:space="preserve"> COVID-19.</w:t>
      </w:r>
    </w:p>
    <w:p w14:paraId="492EA05B" w14:textId="77777777" w:rsidR="00414CDC" w:rsidRPr="00414CDC" w:rsidRDefault="00414CDC" w:rsidP="00414CDC">
      <w:pPr>
        <w:pStyle w:val="PRIMERAPLANA"/>
        <w:spacing w:line="360" w:lineRule="auto"/>
        <w:rPr>
          <w:rFonts w:ascii="Times New Roman" w:hAnsi="Times New Roman"/>
          <w:bCs/>
          <w:lang w:val="es-ES"/>
        </w:rPr>
      </w:pPr>
    </w:p>
    <w:p w14:paraId="7E3998F1" w14:textId="1CCAA884" w:rsidR="00C82952" w:rsidRPr="00C82952"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La Iniciativa que se somete a la consideración de esa Legislatura, se estructura de acuerdo al Clasificador por Rubro de Ingresos y a la Norma para armonizar la presentación de la información adicional a la iniciativa de la Ley de Ingresos, emitidas por el Consejo Nacional de Armonización Contable (CONAC); asimismo, se incluyen los formatos de información contable y presupuestal establecidos por la Ley de Disciplina Financiera de las Entidades Federativas y los Municipios, dando cumplimiento a lo preceptuado en dichos ordenamientos; lo anterior, a efecto de dar cumplimiento a las obligaciones del Estado de Tlaxcala en materia de contabilidad gubernamental y eliminar condiciones de opacidad que permitan mejorar el posicionamiento de la Entidad en el Índice de Información Presupuestal Estatal, implementado por el Instituto Mexicano para la Competitividad, A.C. (IMCO, A.C.), fomentando buenas prácticas en materia de Transparencia y Rendición de Cuentas</w:t>
      </w:r>
      <w:r w:rsidR="00C82952" w:rsidRPr="00C82952">
        <w:rPr>
          <w:rFonts w:ascii="Times New Roman" w:hAnsi="Times New Roman"/>
          <w:bCs/>
          <w:lang w:val="es-ES"/>
        </w:rPr>
        <w:t>.</w:t>
      </w:r>
    </w:p>
    <w:p w14:paraId="65F90E99" w14:textId="77777777" w:rsidR="00916798" w:rsidRDefault="00916798" w:rsidP="00916798">
      <w:pPr>
        <w:pStyle w:val="PRIMERAPLANA"/>
        <w:spacing w:line="360" w:lineRule="auto"/>
        <w:rPr>
          <w:rFonts w:cs="Arial"/>
          <w:bCs/>
          <w:sz w:val="24"/>
          <w:szCs w:val="24"/>
          <w:lang w:val="es-ES"/>
        </w:rPr>
      </w:pPr>
    </w:p>
    <w:p w14:paraId="1EB1E6A4" w14:textId="77777777" w:rsidR="00916798" w:rsidRPr="00FB1EE0" w:rsidRDefault="00916798" w:rsidP="00916798">
      <w:pPr>
        <w:pStyle w:val="PRIMERAPLANA"/>
        <w:spacing w:line="360" w:lineRule="auto"/>
        <w:rPr>
          <w:rFonts w:ascii="Times New Roman" w:hAnsi="Times New Roman"/>
          <w:b/>
          <w:lang w:val="es-ES"/>
        </w:rPr>
      </w:pPr>
      <w:r w:rsidRPr="00FB1EE0">
        <w:rPr>
          <w:rFonts w:ascii="Times New Roman" w:hAnsi="Times New Roman"/>
          <w:b/>
          <w:lang w:val="es-ES"/>
        </w:rPr>
        <w:t>ENTORNO INTERNACIONAL</w:t>
      </w:r>
    </w:p>
    <w:p w14:paraId="29E9DA00" w14:textId="77777777" w:rsidR="00916798" w:rsidRPr="00FB1EE0" w:rsidRDefault="00916798" w:rsidP="00916798">
      <w:pPr>
        <w:pStyle w:val="PRIMERAPLANA"/>
        <w:spacing w:line="360" w:lineRule="auto"/>
        <w:rPr>
          <w:rFonts w:ascii="Times New Roman" w:hAnsi="Times New Roman"/>
          <w:bCs/>
          <w:lang w:val="es-ES"/>
        </w:rPr>
      </w:pPr>
    </w:p>
    <w:p w14:paraId="50DB6A7A"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La guerra entre Rusia y Ucrania exacerbó los choques acumulados de la pandemia, generando mayores presiones inflacionarias, desabasto de insumos industriales y un menor ritmo de crecimiento en la actividad económica global en la primera mitad de 2022. En el mismo periodo, en EE.UU. se observaron signos de desaceleración en la economía, a pesar de la fortaleza del empleo, la resiliencia en el consumo privado y la producción industrial. Mientras tanto, en Europa, las principales economías </w:t>
      </w:r>
      <w:r w:rsidRPr="00414CDC">
        <w:rPr>
          <w:rFonts w:ascii="Times New Roman" w:hAnsi="Times New Roman"/>
          <w:bCs/>
          <w:lang w:val="es-ES"/>
        </w:rPr>
        <w:lastRenderedPageBreak/>
        <w:t xml:space="preserve">como Alemania y Reino Unido perdieron dinamismo en su actividad económica, por lo que es actualmente la región del mundo que mayor probabilidad tiene de entrar en recesión en 2022. Finalmente, en China se registró una menor producción industrial y un menor crecimiento económico que posiblemente se extienda en lo que resta del año. </w:t>
      </w:r>
    </w:p>
    <w:p w14:paraId="0C9099BF" w14:textId="77777777" w:rsidR="00414CDC" w:rsidRPr="00414CDC" w:rsidRDefault="00414CDC" w:rsidP="00414CDC">
      <w:pPr>
        <w:pStyle w:val="PRIMERAPLANA"/>
        <w:spacing w:line="360" w:lineRule="auto"/>
        <w:rPr>
          <w:rFonts w:ascii="Times New Roman" w:hAnsi="Times New Roman"/>
          <w:bCs/>
          <w:lang w:val="es-ES"/>
        </w:rPr>
      </w:pPr>
    </w:p>
    <w:p w14:paraId="2266FC8B"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Frente a la persistencia de las presiones inflacionarias no anticipadas y el riesgo de desanclaje de las expectativas, los bancos centrales de economías emergentes y avanzadas endurecieron su política monetaria elevando las tasas de interés de manera significativa. Destaca que los países emergentes reaccionaron con anticipación mientras que las economías avanzadas lo hicieron con un mayor rezago. En particular, la FED, en su reunión del 15 de diciembre de 2021, reconoció que los factores que inciden en la inflación no obedecían a factores transitorios, por lo cual en marzo de 2022 decidió elevar su tasa de referencia en 25 pb, y posteriormente 50 puntos en mayo, seguido de dos aumentos más de 75 puntos el 15 de junio y el 27 de julio, poniendo fin a su ciclo monetario acomodaticio y registrando aumentos a la tasa de referencia que no se habían visto en los últimos 28 años; en lo que resta del año, se prevé que continúe un ambiente de incertidumbre, con un riesgo hacia un menor dinamismo económico, mayor inflación y tasas de interés, respecto a lo que se anticipaba al inicio del año. Ante este panorama, el 26 de julio el Fondo Monetario Internacional (FMI) revisó a la baja su estimación de crecimiento mundial para 2022 en 3.2% desde 4.4% en su proyección de enero, al tiempo que aumentó su estimación de inflación mundial para el cierre de año a 8.3% desde 6.9%.</w:t>
      </w:r>
    </w:p>
    <w:p w14:paraId="63F33743" w14:textId="77777777" w:rsidR="00414CDC" w:rsidRPr="00414CDC" w:rsidRDefault="00414CDC" w:rsidP="00414CDC">
      <w:pPr>
        <w:pStyle w:val="PRIMERAPLANA"/>
        <w:spacing w:line="360" w:lineRule="auto"/>
        <w:rPr>
          <w:rFonts w:ascii="Times New Roman" w:hAnsi="Times New Roman"/>
          <w:bCs/>
          <w:lang w:val="es-ES"/>
        </w:rPr>
      </w:pPr>
    </w:p>
    <w:p w14:paraId="049BEC38"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Durante la primera mitad del año, el PIB estadounidense registró dos trimestres de crecimiento negativo de manera consecutiva (0.4 y 0.1%, a tasa trimestral), lo cual generó mayor incertidumbre respecto al estado en que se encuentra la actividad económica. Sin embargo, otros indicadores de periodicidad frecuente sorprendieron al alza, lo que sugiere la existencia de una desaceleración económica, aunque sin evidencia contundente de una recesión. El buen comportamiento de variables fundamentales como el consumo privado, el empleo y la producción industrial brindan evidencia de este hecho, a pesar de la caída acumulada en el PIB en los primeros seis meses del año; la producción industrial, de mantener su tendencia al tercer trimestre de 2022, podría registrar un crecimiento de 4.2% anual en 2022, cercana a la mediana de la estimación en agosto por parte de los analistas privados encuestados por Blue Chip de 4.3%.</w:t>
      </w:r>
    </w:p>
    <w:p w14:paraId="6CC1E2E1" w14:textId="77777777" w:rsidR="00414CDC" w:rsidRPr="00414CDC" w:rsidRDefault="00414CDC" w:rsidP="00414CDC">
      <w:pPr>
        <w:pStyle w:val="PRIMERAPLANA"/>
        <w:spacing w:line="360" w:lineRule="auto"/>
        <w:rPr>
          <w:rFonts w:ascii="Times New Roman" w:hAnsi="Times New Roman"/>
          <w:bCs/>
          <w:lang w:val="es-ES"/>
        </w:rPr>
      </w:pPr>
    </w:p>
    <w:p w14:paraId="6529B6F7"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En cuanto al consumo personal real, si bien en el margen también se ha desacelerado, su crecimiento mensual entre enero y julio fue positivo, a excepción de mayo, por una caída en el consumo de bienes durables y no durables. A diferencia de este último, destaca la contribución positiva y constante por </w:t>
      </w:r>
      <w:r w:rsidRPr="00414CDC">
        <w:rPr>
          <w:rFonts w:ascii="Times New Roman" w:hAnsi="Times New Roman"/>
          <w:bCs/>
          <w:lang w:val="es-ES"/>
        </w:rPr>
        <w:lastRenderedPageBreak/>
        <w:t>parte del consumo en servicios que, desde marzo de 2021 hasta julio de 2022, reflejó un retorno gradual del consumo de bienes hacia los servicios el cual se prevé se mantenga en línea con la creación de empleo y menores presiones inflacionarias.</w:t>
      </w:r>
    </w:p>
    <w:p w14:paraId="0C5D0ADC" w14:textId="77777777" w:rsidR="00414CDC" w:rsidRPr="00414CDC" w:rsidRDefault="00414CDC" w:rsidP="00414CDC">
      <w:pPr>
        <w:pStyle w:val="PRIMERAPLANA"/>
        <w:spacing w:line="360" w:lineRule="auto"/>
        <w:rPr>
          <w:rFonts w:ascii="Times New Roman" w:hAnsi="Times New Roman"/>
          <w:bCs/>
          <w:lang w:val="es-ES"/>
        </w:rPr>
      </w:pPr>
    </w:p>
    <w:p w14:paraId="68764754"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En agosto de 2022, se crearon 315 mil plazas, de manera que el promedio de los primeros ocho meses del año alcanzó las 438 mil plazas, mientras que la tasa de desempleo en este mismo mes se situó en 3.7%. Así, ante una sólida demanda laboral con una tasa históricamente elevada de vacantes disponibles (6.9% en julio 2022), la mediana de Blue Chip estima una tasa de desempleo de 3.6% para 2022 y en 4.0% para el próximo año.</w:t>
      </w:r>
    </w:p>
    <w:p w14:paraId="1C9B3E34" w14:textId="77777777" w:rsidR="00414CDC" w:rsidRPr="00414CDC" w:rsidRDefault="00414CDC" w:rsidP="00414CDC">
      <w:pPr>
        <w:pStyle w:val="PRIMERAPLANA"/>
        <w:spacing w:line="360" w:lineRule="auto"/>
        <w:rPr>
          <w:rFonts w:ascii="Times New Roman" w:hAnsi="Times New Roman"/>
          <w:bCs/>
          <w:lang w:val="es-ES"/>
        </w:rPr>
      </w:pPr>
    </w:p>
    <w:p w14:paraId="0AAE1ED2"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En cuanto a la inflación, esta continuó acelerándose desde el segundo trimestre de 2021. En junio de 2022 alcanzó una tasa anual de 9.1%, su mayor cifra observada desde 1981, para después bajar a 8.5% en julio. Las presiones inflacionarias se explicaron principalmente por la contribución de energía y precios de renta de vivienda que en julio aportaron 2.4 y 1.8 pp a la variación anual del índice general en julio, respectivamente. Se prevé que en lo que resta del año las presiones inflacionarias se reduzcan en línea con un mercado laboral menos apretado, menores niveles en los precios de energéticos como el petróleo y gasolinas, y la disolución de los problemas logísticos que presionan las cadenas globales de valor.</w:t>
      </w:r>
    </w:p>
    <w:p w14:paraId="54E10E2B" w14:textId="77777777" w:rsidR="00414CDC" w:rsidRPr="00414CDC" w:rsidRDefault="00414CDC" w:rsidP="00414CDC">
      <w:pPr>
        <w:pStyle w:val="PRIMERAPLANA"/>
        <w:spacing w:line="360" w:lineRule="auto"/>
        <w:rPr>
          <w:rFonts w:ascii="Times New Roman" w:hAnsi="Times New Roman"/>
          <w:bCs/>
          <w:lang w:val="es-ES"/>
        </w:rPr>
      </w:pPr>
    </w:p>
    <w:p w14:paraId="58E96415"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La actividad económica en Europa se desaceleró en la primera mitad de 2022 debido a las consecuencias económicas generadas por la guerra en Ucrania, así como por las sanciones impuestas a Rusia para disuadir la amenaza militar. Desde el inicio de la guerra al cierre de junio, la Unión Europea ha implementado seis paquetes de sanciones a la economía rusa a través de distintos canales de transmisión como el sector energético, tecnológico, comercial, financiero y de transporte, principalmente. Las presiones inflacionarias para la zona euro continuaron desde la segunda mitad del 2021 pasando de una tasa anual de 5.1% en enero a 9.1% en agosto de 2022, su cifra más alta registrada desde el inicio de la serie en 1997. El Reino Unido, por su parte, registró en julio una tasa de 10.1%, no vista desde 1982. Junto con los alimentos, el rubro de energéticos es el que más ha incidido sobre la inflación general con un aumento de 38.3% anual para la zona del euro en agosto de 2022.  </w:t>
      </w:r>
    </w:p>
    <w:p w14:paraId="0CB15904" w14:textId="77777777" w:rsidR="00414CDC" w:rsidRPr="00414CDC" w:rsidRDefault="00414CDC" w:rsidP="00414CDC">
      <w:pPr>
        <w:pStyle w:val="PRIMERAPLANA"/>
        <w:spacing w:line="360" w:lineRule="auto"/>
        <w:rPr>
          <w:rFonts w:ascii="Times New Roman" w:hAnsi="Times New Roman"/>
          <w:bCs/>
          <w:lang w:val="es-ES"/>
        </w:rPr>
      </w:pPr>
    </w:p>
    <w:p w14:paraId="0AB0AAB3"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Los altos costos de la electricidad, la incertidumbre por la guerra en Ucrania y el corte de suministro de gas natural hacia Europa, así como la presión por una mayor demanda de gas a medida que se acerca el invierno aumentan la probabilidad de una mayor desaceleración en la región para el cierre del año. Ante ello, el FMI estima un bajo crecimiento para 2022 y 2023 de 2.6 y 1.2% para la zona euro, </w:t>
      </w:r>
      <w:r w:rsidRPr="00414CDC">
        <w:rPr>
          <w:rFonts w:ascii="Times New Roman" w:hAnsi="Times New Roman"/>
          <w:bCs/>
          <w:lang w:val="es-ES"/>
        </w:rPr>
        <w:lastRenderedPageBreak/>
        <w:t>mientras que para el Reino Unido de 3.2 y 0.5%, en el mismo orden; junto con una elevada inflación en ambos países en 7.3 y 7.4%, respectivamente, en promedio para 2022.</w:t>
      </w:r>
    </w:p>
    <w:p w14:paraId="36914A01" w14:textId="77777777" w:rsidR="00414CDC" w:rsidRPr="00414CDC" w:rsidRDefault="00414CDC" w:rsidP="00414CDC">
      <w:pPr>
        <w:pStyle w:val="PRIMERAPLANA"/>
        <w:spacing w:line="360" w:lineRule="auto"/>
        <w:rPr>
          <w:rFonts w:ascii="Times New Roman" w:hAnsi="Times New Roman"/>
          <w:bCs/>
          <w:lang w:val="es-ES"/>
        </w:rPr>
      </w:pPr>
    </w:p>
    <w:p w14:paraId="7ED0CBF2" w14:textId="0F5F575F"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Durante el segundo trimestre de 2022 el PIB de China se contrajo 2.6% trimestral, después de un aumento de 1.4% en el primer trimestre. Esto como resultado de la política de tolerancia cero a</w:t>
      </w:r>
      <w:r w:rsidR="009B6B72">
        <w:rPr>
          <w:rFonts w:ascii="Times New Roman" w:hAnsi="Times New Roman"/>
          <w:bCs/>
          <w:lang w:val="es-ES"/>
        </w:rPr>
        <w:t xml:space="preserve"> </w:t>
      </w:r>
      <w:r w:rsidRPr="00414CDC">
        <w:rPr>
          <w:rFonts w:ascii="Times New Roman" w:hAnsi="Times New Roman"/>
          <w:bCs/>
          <w:lang w:val="es-ES"/>
        </w:rPr>
        <w:t>l</w:t>
      </w:r>
      <w:r w:rsidR="009B6B72">
        <w:rPr>
          <w:rFonts w:ascii="Times New Roman" w:hAnsi="Times New Roman"/>
          <w:bCs/>
          <w:lang w:val="es-ES"/>
        </w:rPr>
        <w:t>a</w:t>
      </w:r>
      <w:r w:rsidRPr="00414CDC">
        <w:rPr>
          <w:rFonts w:ascii="Times New Roman" w:hAnsi="Times New Roman"/>
          <w:bCs/>
          <w:lang w:val="es-ES"/>
        </w:rPr>
        <w:t xml:space="preserve"> COVID-19 y el menor dinamismo de la inversión fija bruta que se explica principalmente por una contracción en el sector inmobiliario. De este modo, el FMI en julio revisó a la baja su expectativa de crecimiento del PIB para 2022 y 2023 a 3.3 y 4.6%, respectivamente, lo cual es 1.5 y 0.6 pp menor con respecto a la estimación de enero. </w:t>
      </w:r>
    </w:p>
    <w:p w14:paraId="2B2CFCF9" w14:textId="77777777" w:rsidR="00414CDC" w:rsidRPr="00414CDC" w:rsidRDefault="00414CDC" w:rsidP="00414CDC">
      <w:pPr>
        <w:pStyle w:val="PRIMERAPLANA"/>
        <w:spacing w:line="360" w:lineRule="auto"/>
        <w:rPr>
          <w:rFonts w:ascii="Times New Roman" w:hAnsi="Times New Roman"/>
          <w:bCs/>
          <w:lang w:val="es-ES"/>
        </w:rPr>
      </w:pPr>
    </w:p>
    <w:p w14:paraId="77F1B23F"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Con respecto a la actividad económica en Latinoamérica y el Caribe, ésta ha sido más dinámica que la anticipada a principios de año debido a una recuperación más robusta en Brasil, México, Colombia y Chile. Esto como resultado de términos de intercambio favorables ante la depreciación de sus monedas, liquidez residual de los apoyos fiscales, remesas, así como el crecimiento del empleo que apoyan al consumo, además del alto precio de materias primas que generó ingresos excedentes en sus finanzas públicas. Con base en ello, el FMI revisó al alza su estimación de crecimiento del PIB para 2022 de la región a 3.0% desde 2.4% en enero, mientras que para 2023, el pronóstico se redujo a 2.0% desde 2.6%, en el mismo periodo.</w:t>
      </w:r>
    </w:p>
    <w:p w14:paraId="0E501A45" w14:textId="77777777" w:rsidR="00414CDC" w:rsidRPr="00414CDC" w:rsidRDefault="00414CDC" w:rsidP="00414CDC">
      <w:pPr>
        <w:pStyle w:val="PRIMERAPLANA"/>
        <w:spacing w:line="360" w:lineRule="auto"/>
        <w:rPr>
          <w:rFonts w:ascii="Times New Roman" w:hAnsi="Times New Roman"/>
          <w:bCs/>
          <w:lang w:val="es-ES"/>
        </w:rPr>
      </w:pPr>
    </w:p>
    <w:p w14:paraId="320C7473" w14:textId="5277BFA9"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Después de la caída en los precios de petróleo de referencia internacional en diciembre de 2021 ante la cuarta ola de</w:t>
      </w:r>
      <w:r w:rsidR="0041572B">
        <w:rPr>
          <w:rFonts w:ascii="Times New Roman" w:hAnsi="Times New Roman"/>
          <w:bCs/>
          <w:lang w:val="es-ES"/>
        </w:rPr>
        <w:t xml:space="preserve"> la</w:t>
      </w:r>
      <w:r w:rsidRPr="00414CDC">
        <w:rPr>
          <w:rFonts w:ascii="Times New Roman" w:hAnsi="Times New Roman"/>
          <w:bCs/>
          <w:lang w:val="es-ES"/>
        </w:rPr>
        <w:t xml:space="preserve"> COVID-19, los precios aceleraron su trayectoria ascendente hasta alcanzar nuevos máximos tras la invasión a Ucrania y como producto de las sanciones impuestas a Rusia. En particular, el 8 de marzo, los precios del petróleo alcanzaron sus niveles máximos desde 2008, con valores de 133.9, 123.7 y 119.6 dpb para el Brent, el WTI y la mezcla mexicana, respectivamente, al 31 de agosto los precios del Brent, el WTI y la MME se ubicaron en 95.7, 89.6 y 86.0 dpb, menores en 28.5, 27.6 y 28.1% respecto al pico de marzo, y niveles cercanos a los observados en febrero de 2022, previos a la invasión a Ucrania. Asimismo, los futuros prevén para el mes de diciembre de 2022 un precio promedio de 94.2 y 88.3 dpb para el Brent y el WTI, respectivamente.  </w:t>
      </w:r>
    </w:p>
    <w:p w14:paraId="22DC4023" w14:textId="77777777" w:rsidR="00414CDC" w:rsidRPr="00414CDC" w:rsidRDefault="00414CDC" w:rsidP="00414CDC">
      <w:pPr>
        <w:pStyle w:val="PRIMERAPLANA"/>
        <w:spacing w:line="360" w:lineRule="auto"/>
        <w:rPr>
          <w:rFonts w:ascii="Times New Roman" w:hAnsi="Times New Roman"/>
          <w:bCs/>
          <w:lang w:val="es-ES"/>
        </w:rPr>
      </w:pPr>
    </w:p>
    <w:p w14:paraId="769548D1"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En el caso del precio del gas natural, la volatilidad aumentó por el menor suministro de Rusia hacia Europa, cuyo principal gasoducto, Nord Stream 1, al 15 de agosto operaba al 20% de su capacidad con una interrupción total por tiempo indefinido a partir del 31 de agosto, así como por otros factores tales como el incendio en la planta de licuefacción de gas natural Freeport LNG en EE.UU. Por tales motivos, al 31 de agosto los precios se ubicaron en 71.0 y 9.1 dólares por Millón de Unidad Térmica </w:t>
      </w:r>
      <w:r w:rsidRPr="00414CDC">
        <w:rPr>
          <w:rFonts w:ascii="Times New Roman" w:hAnsi="Times New Roman"/>
          <w:bCs/>
          <w:lang w:val="es-ES"/>
        </w:rPr>
        <w:lastRenderedPageBreak/>
        <w:t>Británica (MMBtu) para la referencia europea (TTF) y la estadounidense (Henry Hub), respectivamente.</w:t>
      </w:r>
    </w:p>
    <w:p w14:paraId="58176C6A" w14:textId="77777777" w:rsidR="00414CDC" w:rsidRPr="00414CDC" w:rsidRDefault="00414CDC" w:rsidP="00414CDC">
      <w:pPr>
        <w:pStyle w:val="PRIMERAPLANA"/>
        <w:spacing w:line="360" w:lineRule="auto"/>
        <w:rPr>
          <w:rFonts w:ascii="Times New Roman" w:hAnsi="Times New Roman"/>
          <w:bCs/>
          <w:lang w:val="es-ES"/>
        </w:rPr>
      </w:pPr>
    </w:p>
    <w:p w14:paraId="15A70D54" w14:textId="60211399"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Con base en el mercado de futuros hacia el cierre 2022, para el trigo y el maíz, no se anticipan mayores cambios con respecto a los precios observados al 31 de agosto, de 8.3 y 6.7 dólares por bushel, mientras que para 2023, no se descartan afectaciones en las cosechas debido a los aún elevados precios de los fertilizantes y de gas natural, ante la incertidumbre ocasionada por las sanciones a Rusia y la guerra. el precio de importación de semiconductores para EE.UU. redujo su ritmo de crecimiento anual entre mayo y julio, mientras que los contenedores en espera como reflejo de problemas logísticos para el comercio mantienen una tendencia a la baja desde mayo en puertos importantes como Los Ángeles, aunque persisten en China, particularmente en Shanghái y Zhejiang, debido a las medidas estrictas</w:t>
      </w:r>
      <w:r w:rsidR="009B6B72">
        <w:rPr>
          <w:rFonts w:ascii="Times New Roman" w:hAnsi="Times New Roman"/>
          <w:bCs/>
          <w:lang w:val="es-ES"/>
        </w:rPr>
        <w:t xml:space="preserve"> de distanciamiento social por </w:t>
      </w:r>
      <w:r w:rsidRPr="00414CDC">
        <w:rPr>
          <w:rFonts w:ascii="Times New Roman" w:hAnsi="Times New Roman"/>
          <w:bCs/>
          <w:lang w:val="es-ES"/>
        </w:rPr>
        <w:t>l</w:t>
      </w:r>
      <w:r w:rsidR="009B6B72">
        <w:rPr>
          <w:rFonts w:ascii="Times New Roman" w:hAnsi="Times New Roman"/>
          <w:bCs/>
          <w:lang w:val="es-ES"/>
        </w:rPr>
        <w:t>a</w:t>
      </w:r>
      <w:r w:rsidRPr="00414CDC">
        <w:rPr>
          <w:rFonts w:ascii="Times New Roman" w:hAnsi="Times New Roman"/>
          <w:bCs/>
          <w:lang w:val="es-ES"/>
        </w:rPr>
        <w:t xml:space="preserve"> COVID-19.</w:t>
      </w:r>
    </w:p>
    <w:p w14:paraId="44B71BCB" w14:textId="77777777" w:rsidR="00414CDC" w:rsidRPr="00414CDC" w:rsidRDefault="00414CDC" w:rsidP="00414CDC">
      <w:pPr>
        <w:pStyle w:val="PRIMERAPLANA"/>
        <w:spacing w:line="360" w:lineRule="auto"/>
        <w:rPr>
          <w:rFonts w:ascii="Times New Roman" w:hAnsi="Times New Roman"/>
          <w:bCs/>
          <w:lang w:val="es-ES"/>
        </w:rPr>
      </w:pPr>
    </w:p>
    <w:p w14:paraId="3FB21124"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Ante un panorama de desaceleración económica y alta inflación, los bancos centrales han adoptado posturas monetarias más restrictivas con magnitudes de ajuste en tasas no vistas en décadas. Destacan los países avanzados por su política monetaria tardía, a diferencia de los emergentes, lo que los indujo a acelerar la normalización de sus tasas desde el primer trimestre de 2022 con el fin de contener las presiones inflacionarias y el riesgo de desanclaje de expectativas. La FED, en particular, dio un giro en su última reunión de 2021, que se celebró el 15 de diciembre, al retirar el término transitorio de sus comunicados para referirse a los factores que afectan la inflación dada su alta persistencia y acordó duplicar el ritmo de reducción de las compras netas de activos a partir de enero y hasta marzo de 2022 en 20 mil millones de dólares para bonos del tesoro y 10 mil millones de dólares de activos respaldados por hipotecas. Posteriormente, en la reunión del 16 de marzo de 2022, con aprobación de la mayoría, la FED decidió aumentar la tasa de referencia en 25 pb, terminar la compra de activos y propuso la reducción de 60 mil millones de dólares en bonos del tesoro y 35 mil millones de dólares en hipotecas en su hoja de balance partiendo de un saldo total de 8.9 billones de dólares.</w:t>
      </w:r>
    </w:p>
    <w:p w14:paraId="2D48561D" w14:textId="77777777" w:rsidR="00414CDC" w:rsidRPr="00414CDC" w:rsidRDefault="00414CDC" w:rsidP="00414CDC">
      <w:pPr>
        <w:pStyle w:val="PRIMERAPLANA"/>
        <w:spacing w:line="360" w:lineRule="auto"/>
        <w:rPr>
          <w:rFonts w:ascii="Times New Roman" w:hAnsi="Times New Roman"/>
          <w:bCs/>
          <w:lang w:val="es-ES"/>
        </w:rPr>
      </w:pPr>
    </w:p>
    <w:p w14:paraId="4B1C6DAD"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Si bien se esperan más incrementos para las próximas reuniones, al mes de agosto el mercado anticipa un incremento de 50 pb en septiembre, seguido de dos alzas adicionales en 25 pb con lo cual el mercado de futuros anticipa en agosto esperaría una tasa terminal de 3.50% para 2022, en línea con las últimas proyecciones de la FED en junio. El Banco Central Europeo (BCE), por su parte, elevó sus tres tasas principales de interés por primera vez desde 2011 en 50 pb en su reunión del 21 de julio de 2022, por encima del consenso (25 puntos) y, al igual que la FED, con el fin de contener las presiones inflacionarias y mantener ancladas las expectativas ante los fuertes aumentos en los precios de los </w:t>
      </w:r>
      <w:r w:rsidRPr="00414CDC">
        <w:rPr>
          <w:rFonts w:ascii="Times New Roman" w:hAnsi="Times New Roman"/>
          <w:bCs/>
          <w:lang w:val="es-ES"/>
        </w:rPr>
        <w:lastRenderedPageBreak/>
        <w:t>energéticos. Asimismo, se aprobó un nuevo instrumento financiero para estabilizar el mercado de bonos, y así detener el riesgo de fragmentación financiera en países como Italia, cuyos diferenciales de tasa con respecto a Alemania se han incrementado.</w:t>
      </w:r>
    </w:p>
    <w:p w14:paraId="1CA86934" w14:textId="77777777" w:rsidR="00414CDC" w:rsidRPr="00414CDC" w:rsidRDefault="00414CDC" w:rsidP="00414CDC">
      <w:pPr>
        <w:pStyle w:val="PRIMERAPLANA"/>
        <w:spacing w:line="360" w:lineRule="auto"/>
        <w:rPr>
          <w:rFonts w:ascii="Times New Roman" w:hAnsi="Times New Roman"/>
          <w:bCs/>
          <w:lang w:val="es-ES"/>
        </w:rPr>
      </w:pPr>
    </w:p>
    <w:p w14:paraId="03D8C430"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Los mercados financieros en economías emergentes han tenido un comportamiento volátil. En particular el Indicador de Bonos de Mercados Emergentes (EMBI+), que mide el riesgo soberano para países emergentes, después de la invasión a Ucrania alcanzó un máximo el 8 de marzo de 2022 en 631.2 puntos muy por encima del promedio de 2021 en 364.1 puntos. Posteriormente, la aversión al riesgo se redujo ligeramente, pero se volvió a incrementar como resultado de las posturas monetarias más restrictivas en economías avanzadas y expectativas de menor crecimiento global. Así, tras un mínimo de 357.9 puntos el 5 de abril, el EMBI+ se incrementó 74.9 puntos hasta el cierre de agosto, cuando registró 432.8 puntos, menor a los 457.8 puntos del 23 de febrero de 2022.   </w:t>
      </w:r>
    </w:p>
    <w:p w14:paraId="2DEB262D" w14:textId="77777777" w:rsidR="00414CDC" w:rsidRPr="00414CDC" w:rsidRDefault="00414CDC" w:rsidP="00414CDC">
      <w:pPr>
        <w:pStyle w:val="PRIMERAPLANA"/>
        <w:spacing w:line="360" w:lineRule="auto"/>
        <w:rPr>
          <w:rFonts w:ascii="Times New Roman" w:hAnsi="Times New Roman"/>
          <w:bCs/>
          <w:lang w:val="es-ES"/>
        </w:rPr>
      </w:pPr>
    </w:p>
    <w:p w14:paraId="312463CA"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Adicionalmente, esta mayor aversión también se ha visto reflejada en salidas de capitales en línea con el conflicto geopolítico y el dinamismo de aumento de tasas de la FED. No obstante, la salida de capitales en países emergentes en 2022 ha sido mucho menor que en otros episodios de estrés. Desde inicios de enero al 31 de agosto cayó en 9.6%, mientras que durante 2008 disminuyó 46.7%. Acorde con el panorama adverso que se presenta a nivel global y la postura monetaria restrictiva en los bancos centrales de economías avanzadas, no se descarta que en lo que resta de 2022 continúen los episodios de volatilidad en los mercados financieros, derivado del ambiente de incertidumbre y una mayor aversión al riesgo que impliquen una reconfiguración de portafolios y salida de capitales en la región.</w:t>
      </w:r>
    </w:p>
    <w:p w14:paraId="5C15153F" w14:textId="77777777" w:rsidR="00414CDC" w:rsidRPr="00414CDC" w:rsidRDefault="00414CDC" w:rsidP="00414CDC">
      <w:pPr>
        <w:pStyle w:val="PRIMERAPLANA"/>
        <w:spacing w:line="360" w:lineRule="auto"/>
        <w:rPr>
          <w:rFonts w:ascii="Times New Roman" w:hAnsi="Times New Roman"/>
          <w:bCs/>
          <w:lang w:val="es-ES"/>
        </w:rPr>
      </w:pPr>
    </w:p>
    <w:p w14:paraId="2FDCFC10" w14:textId="7CFA18E5"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De acuerdo </w:t>
      </w:r>
      <w:r w:rsidR="00B23788">
        <w:rPr>
          <w:rFonts w:ascii="Times New Roman" w:hAnsi="Times New Roman"/>
          <w:bCs/>
          <w:lang w:val="es-ES"/>
        </w:rPr>
        <w:t>con</w:t>
      </w:r>
      <w:r w:rsidRPr="00414CDC">
        <w:rPr>
          <w:rFonts w:ascii="Times New Roman" w:hAnsi="Times New Roman"/>
          <w:bCs/>
          <w:lang w:val="es-ES"/>
        </w:rPr>
        <w:t xml:space="preserve"> la actualización del mes de julio de 2022 del Informe de Perspectivas de la Economía Mundial (Informe WEO, por sus siglas en inglés) del Fondo Monetario Internacional, durante el segundo trimestre de este año, el producto mundial se contrajo, debido a la desaceleración de China y Rusia, mientras que el gasto de los hogares en Estados Unidos no alcanzó las expectativas. Varios shocks han sacudido una economía mundial ya debilitada por la pandemia: una inflación superior a lo previsto en todo el mundo, sobre todo en Estados Unidos y las principales economías europeas, que ha provocado el endurecimiento de las condiciones financieras; una desaceleración peor de lo previsto en China, consecuencia de los brotes de</w:t>
      </w:r>
      <w:r w:rsidR="007D331C">
        <w:rPr>
          <w:rFonts w:ascii="Times New Roman" w:hAnsi="Times New Roman"/>
          <w:bCs/>
          <w:lang w:val="es-ES"/>
        </w:rPr>
        <w:t xml:space="preserve"> la</w:t>
      </w:r>
      <w:r w:rsidRPr="00414CDC">
        <w:rPr>
          <w:rFonts w:ascii="Times New Roman" w:hAnsi="Times New Roman"/>
          <w:bCs/>
          <w:lang w:val="es-ES"/>
        </w:rPr>
        <w:t xml:space="preserve"> COVID-19 y los confinamientos, y las nuevas repercusiones negativas de la guerra en Ucrania.</w:t>
      </w:r>
    </w:p>
    <w:p w14:paraId="4BBEB40C" w14:textId="77777777" w:rsidR="00414CDC" w:rsidRPr="00414CDC" w:rsidRDefault="00414CDC" w:rsidP="00414CDC">
      <w:pPr>
        <w:pStyle w:val="PRIMERAPLANA"/>
        <w:spacing w:line="360" w:lineRule="auto"/>
        <w:rPr>
          <w:rFonts w:ascii="Times New Roman" w:hAnsi="Times New Roman"/>
          <w:bCs/>
          <w:lang w:val="es-ES"/>
        </w:rPr>
      </w:pPr>
    </w:p>
    <w:p w14:paraId="6E0E2013"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Según el pronóstico de base, el crecimiento se reducirá de 6.1% del año pasado a 3.2% en 2022, un descenso de 0.4 pp con respecto a la edición de abril de 2022 de Perspectivas de la Economía Mundial </w:t>
      </w:r>
      <w:r w:rsidRPr="00414CDC">
        <w:rPr>
          <w:rFonts w:ascii="Times New Roman" w:hAnsi="Times New Roman"/>
          <w:bCs/>
          <w:lang w:val="es-ES"/>
        </w:rPr>
        <w:lastRenderedPageBreak/>
        <w:t>(informe WEO). El crecimiento inferior registrado a principios del año, la pérdida de poder adquisitivo de los hogares y una política monetaria más restrictiva provocaron una revisión a la baja de 1.4 puntos porcentuales en Estados Unidos. En China, los nuevos confinamientos y el agravamiento de la crisis del sector inmobiliario han obligado a revisar a la baja el crecimiento en 1.1 pp, con importantes repercusiones a escala mundial. Por su parte, en Europa, las significativas rebajas son un reflejo de las repercusiones de la guerra en Ucrania y el endurecimiento de la política monetaria. La inflación mundial se ha revisado al alza debido a los precios de los alimentos y la energía y los persistentes desequilibrios entre la oferta y la demanda, y se prevé que este año se sitúe en 6.6% en las economías avanzadas y 9.5% en las economías de mercados emergentes y en desarrollo, es decir, revisiones al alza de 0.9 y 0.8 puntos porcentuales, respectivamente. En 2023, se espera que la política monetaria desinflacionaria comience a hacer mella y el crecimiento del producto mundial sea de tan solo 2.9%.</w:t>
      </w:r>
    </w:p>
    <w:p w14:paraId="2EF17270" w14:textId="77777777" w:rsidR="00414CDC" w:rsidRPr="00414CDC" w:rsidRDefault="00414CDC" w:rsidP="00414CDC">
      <w:pPr>
        <w:pStyle w:val="PRIMERAPLANA"/>
        <w:spacing w:line="360" w:lineRule="auto"/>
        <w:rPr>
          <w:rFonts w:ascii="Times New Roman" w:hAnsi="Times New Roman"/>
          <w:bCs/>
          <w:lang w:val="es-ES"/>
        </w:rPr>
      </w:pPr>
    </w:p>
    <w:p w14:paraId="7FBFFE23" w14:textId="219A02CD"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En su inmensa mayoría, los riesgos para las perspectivas apuntan a la baja. La guerra en Ucrania podría paralizar las importaciones de gas ruso en Europa; la inflación podría ser más difícil de reducir de lo que se esperaba, ya sea porque la rigidez de los mercados de trabajo es mayor de lo previsto, o porque se desanclan las expectativas de inflación; el endurecimiento de las condiciones financieras mundiales podría causar sobreendeudamiento en economías de mercados emergentes y en desarrollo; los nuevos brotes de </w:t>
      </w:r>
      <w:r w:rsidR="007D331C">
        <w:rPr>
          <w:rFonts w:ascii="Times New Roman" w:hAnsi="Times New Roman"/>
          <w:bCs/>
          <w:lang w:val="es-ES"/>
        </w:rPr>
        <w:t xml:space="preserve">la </w:t>
      </w:r>
      <w:r w:rsidRPr="00414CDC">
        <w:rPr>
          <w:rFonts w:ascii="Times New Roman" w:hAnsi="Times New Roman"/>
          <w:bCs/>
          <w:lang w:val="es-ES"/>
        </w:rPr>
        <w:t>COVID-19 y confinamientos, así como un empeoramiento de la crisis en el sector inmobiliario, podrían inhibir aún más el crecimiento en China, y la fragmentación geopolítica podría obstaculizar el comercio y la cooperación mundiales. Un posible escenario alternativo, en el cual los riesgos se materialicen, la inflación aumente todavía más y el crecimiento mundial se reduzca hasta 2.6% y 2.0% en 2022 y 2023, respectivamente, situaría el crecimiento en el 10% inferior de los resultados registrados desde 1970.</w:t>
      </w:r>
    </w:p>
    <w:p w14:paraId="0385818D" w14:textId="77777777" w:rsidR="00414CDC" w:rsidRPr="00414CDC" w:rsidRDefault="00414CDC" w:rsidP="00414CDC">
      <w:pPr>
        <w:pStyle w:val="PRIMERAPLANA"/>
        <w:spacing w:line="360" w:lineRule="auto"/>
        <w:rPr>
          <w:rFonts w:ascii="Times New Roman" w:hAnsi="Times New Roman"/>
          <w:bCs/>
          <w:lang w:val="es-ES"/>
        </w:rPr>
      </w:pPr>
    </w:p>
    <w:p w14:paraId="33C7A303"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Mientras el aumento de precios sigue reduciendo el nivel de vida en todo el mundo, la máxima prioridad de las autoridades económicas debería ser el control de la inflación. El endurecimiento de la política monetaria tendrá sin duda costos económicos reales, pero retrasarlo no hará sino exacerbarlos. Recurrir a un apoyo fiscal focalizado puede ayudar a amortiguar el impacto sobre las personas más vulnerables, pero ante las tensiones presupuestarias que los gobiernos enfrentan por la pandemia y la necesidad de que la orientación general de la política macroeconómica sea desinflacionaria, tales políticas deberán compensarse con una subida de impuestos o una reducción del gasto público. La mayor austeridad monetaria también afectará la estabilidad financiera, obligando a usar de forma racional las herramientas macroprudenciales y haciendo aún más necesaria la reforma de los marcos de resolución de la deuda. Las políticas dirigidas a hacer frente a repercusiones concretas de los precios de la energía </w:t>
      </w:r>
      <w:r w:rsidRPr="00414CDC">
        <w:rPr>
          <w:rFonts w:ascii="Times New Roman" w:hAnsi="Times New Roman"/>
          <w:bCs/>
          <w:lang w:val="es-ES"/>
        </w:rPr>
        <w:lastRenderedPageBreak/>
        <w:t>y los alimentos deben centrarse en quienes se han visto más afectados, sin distorsionar los precios. Además, en una pandemia que se mantiene, las tasas de vacunación deben subir para ofrecer protección ante nuevas variantes. Por último, la mitigación del cambio climático sigue requiriendo medidas multilaterales urgentes para limitar las emisiones y aumentar las inversiones dirigidas a acelerar la transición verde.</w:t>
      </w:r>
    </w:p>
    <w:p w14:paraId="0CC58B0D" w14:textId="77777777" w:rsidR="00414CDC" w:rsidRPr="00414CDC" w:rsidRDefault="00414CDC" w:rsidP="00414CDC">
      <w:pPr>
        <w:pStyle w:val="PRIMERAPLANA"/>
        <w:spacing w:line="360" w:lineRule="auto"/>
        <w:rPr>
          <w:rFonts w:ascii="Times New Roman" w:hAnsi="Times New Roman"/>
          <w:bCs/>
          <w:lang w:val="es-ES"/>
        </w:rPr>
      </w:pPr>
    </w:p>
    <w:p w14:paraId="117426DA" w14:textId="3142E28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Si bien en la mayoría de las economías avanzadas las expectativas de inflación a largo plazo se han mantenido estables, algunas medidas indican que han comenzado a aumentar, también en Estados Unidos. En respuesta a los últimos datos, los bancos centrales de las principales economías avanzadas están retirando de forma más categórica el apoyo monetario y están subiendo las tasas de interés de intervención a un ritmo superior al previsto en la edición de abril de 2022 del informe WEO. Los bancos centrales de varias economías de mercados emergentes y en desarrollo han optado por subidas de tasas de interés más enérgicas que las aplicadas en ciclos anteriores de austeridad en las economías avanzadas. El consiguiente aumento de los costos de endeudamiento a más largo plazo, como las tasas de interés de los préstamos hipotecarios, unido al endurecimiento de las condiciones financieras mundiales ha provocado la caída precipitada de los precios de las acciones, lastrando el crecimiento. Al mismo tiempo, se ha puesto fin a los paquetes de ayuda pública para hacer frente a</w:t>
      </w:r>
      <w:r w:rsidR="00B23788">
        <w:rPr>
          <w:rFonts w:ascii="Times New Roman" w:hAnsi="Times New Roman"/>
          <w:bCs/>
          <w:lang w:val="es-ES"/>
        </w:rPr>
        <w:t xml:space="preserve"> </w:t>
      </w:r>
      <w:r w:rsidRPr="00414CDC">
        <w:rPr>
          <w:rFonts w:ascii="Times New Roman" w:hAnsi="Times New Roman"/>
          <w:bCs/>
          <w:lang w:val="es-ES"/>
        </w:rPr>
        <w:t>l</w:t>
      </w:r>
      <w:r w:rsidR="00B23788">
        <w:rPr>
          <w:rFonts w:ascii="Times New Roman" w:hAnsi="Times New Roman"/>
          <w:bCs/>
          <w:lang w:val="es-ES"/>
        </w:rPr>
        <w:t>a</w:t>
      </w:r>
      <w:r w:rsidRPr="00414CDC">
        <w:rPr>
          <w:rFonts w:ascii="Times New Roman" w:hAnsi="Times New Roman"/>
          <w:bCs/>
          <w:lang w:val="es-ES"/>
        </w:rPr>
        <w:t xml:space="preserve"> COVID-19.</w:t>
      </w:r>
    </w:p>
    <w:p w14:paraId="3003245B" w14:textId="77777777" w:rsidR="00414CDC" w:rsidRPr="00414CDC" w:rsidRDefault="00414CDC" w:rsidP="00414CDC">
      <w:pPr>
        <w:pStyle w:val="PRIMERAPLANA"/>
        <w:spacing w:line="360" w:lineRule="auto"/>
        <w:rPr>
          <w:rFonts w:ascii="Times New Roman" w:hAnsi="Times New Roman"/>
          <w:bCs/>
          <w:lang w:val="es-ES"/>
        </w:rPr>
      </w:pPr>
    </w:p>
    <w:p w14:paraId="03968284"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Las revisiones de crecimiento para las principales economías avanzadas en 2022–2023 son en general negativas. El crecimiento de base en Estados Unidos se revisa a la baja en 1.4 y 1.3 pp en 2022 y 2023, respectivamente, lo que indica un crecimiento más débil de lo esperado en los dos primeros trimestres de 2022, con un ímpetu bastante menor del consumo privado, debido en parte a la erosión del poder adquisitivo de los hogares y el impacto previsto de un endurecimiento más marcado de la política monetaria. El crecimiento en la zona del euro también se revisa a la baja: 0.2 pp en 2022, año en que las mejores perspectivas para el turismo y la actividad industrial en Italia se ven neutralizadas con creces por importantes rebajas en Francia, Alemania y España; y 1.1 pp en 2023. Esta revisión refleja los efectos secundarios de la guerra en Ucrania, así como el supuesto de que las condiciones financieras se tornen más restrictivas, cuando el Banco Central Europeo ponga fin a las compras netas de activos y eleve las tasas en julio de 2022, por primera vez desde 2011. En varias economías europeas, los fondos NextGenerationEU están respaldando la actividad económica.</w:t>
      </w:r>
    </w:p>
    <w:p w14:paraId="4019B20F" w14:textId="77777777" w:rsidR="00414CDC" w:rsidRPr="00414CDC" w:rsidRDefault="00414CDC" w:rsidP="00414CDC">
      <w:pPr>
        <w:pStyle w:val="PRIMERAPLANA"/>
        <w:spacing w:line="360" w:lineRule="auto"/>
        <w:rPr>
          <w:rFonts w:ascii="Times New Roman" w:hAnsi="Times New Roman"/>
          <w:bCs/>
          <w:lang w:val="es-ES"/>
        </w:rPr>
      </w:pPr>
    </w:p>
    <w:p w14:paraId="26888112" w14:textId="723D386C" w:rsidR="00916798" w:rsidRDefault="00414CDC" w:rsidP="00414CDC">
      <w:pPr>
        <w:pStyle w:val="PRIMERAPLANA"/>
        <w:spacing w:line="360" w:lineRule="auto"/>
        <w:rPr>
          <w:rFonts w:cs="Arial"/>
          <w:b/>
          <w:bCs/>
          <w:sz w:val="18"/>
          <w:szCs w:val="24"/>
          <w:lang w:val="es-ES"/>
        </w:rPr>
      </w:pPr>
      <w:r w:rsidRPr="00414CDC">
        <w:rPr>
          <w:rFonts w:ascii="Times New Roman" w:hAnsi="Times New Roman"/>
          <w:bCs/>
          <w:lang w:val="es-ES"/>
        </w:rPr>
        <w:t xml:space="preserve">En las economías de mercados emergentes y en desarrollo, las revisiones negativas del crecimiento en 2022–2023 obedecen principalmente a la fuerte desaceleración de la economía de China y la moderación del crecimiento económico de India. En consecuencia, la revisión en las economías </w:t>
      </w:r>
      <w:r w:rsidRPr="00414CDC">
        <w:rPr>
          <w:rFonts w:ascii="Times New Roman" w:hAnsi="Times New Roman"/>
          <w:bCs/>
          <w:lang w:val="es-ES"/>
        </w:rPr>
        <w:lastRenderedPageBreak/>
        <w:t>emergentes y en desarrollo de Asia es importante, de 0.8 pp en el escenario base para 2022. Esta revisión incluye una revisión a la baja del crecimiento en China de 1.1 pp, a 3.3% (la cifra más baja en más de cuatro décadas, sin incluir la crisis inicial</w:t>
      </w:r>
      <w:r w:rsidR="007D331C">
        <w:rPr>
          <w:rFonts w:ascii="Times New Roman" w:hAnsi="Times New Roman"/>
          <w:bCs/>
          <w:lang w:val="es-ES"/>
        </w:rPr>
        <w:t xml:space="preserve"> de la</w:t>
      </w:r>
      <w:r w:rsidRPr="00414CDC">
        <w:rPr>
          <w:rFonts w:ascii="Times New Roman" w:hAnsi="Times New Roman"/>
          <w:bCs/>
          <w:lang w:val="es-ES"/>
        </w:rPr>
        <w:t xml:space="preserve"> COVID-19 en 2020), debido principalmente a los brotes de </w:t>
      </w:r>
      <w:r w:rsidR="007D331C">
        <w:rPr>
          <w:rFonts w:ascii="Times New Roman" w:hAnsi="Times New Roman"/>
          <w:bCs/>
          <w:lang w:val="es-ES"/>
        </w:rPr>
        <w:t xml:space="preserve">la </w:t>
      </w:r>
      <w:r w:rsidRPr="00414CDC">
        <w:rPr>
          <w:rFonts w:ascii="Times New Roman" w:hAnsi="Times New Roman"/>
          <w:bCs/>
          <w:lang w:val="es-ES"/>
        </w:rPr>
        <w:t>COVID-19 y los confinamientos antes citados. Igualmente, las perspectivas para India se han revisado a la baja en 0.8 puntos porcentuales, a 7.4%. Para India, la revisión se debe ante todo a las condiciones externas menos favorables y un endurecimiento más rápido de la política. En otros lugares, las revisiones de crecimiento en el escenario base han sido en su mayoría al alza. Se prevé que en 2022 el PIB real de las economías emergentes y en desarrollo de Europa se contraiga 1.5 pp menos de lo previsto en el informe WEO de abril de 2022, pero que en 2023 crezca 0.4 pp menos, como resultado de un crecimiento de las exportaciones rusas mayor de lo esperado en 2022 y de las nuevas sanciones a Rusia en 2023, anunciadas recientemente. La revisión en América Latina y el Caribe también es al alza, de 0.5 pp en 2022, gracias a una recuperación más vigorosa en las principales economías (Brasil, México, Colombia, Chile). En promedio, las perspectivas para los países de Oriente Medio, Asia Central y África subsahariana no cambian o son positivas, en razón de los efectos de los elevados precios de los metales y los combustibles fósiles en algunos países exportadores de materias primas</w:t>
      </w:r>
      <w:r w:rsidR="00627A64" w:rsidRPr="00627A64">
        <w:rPr>
          <w:rFonts w:ascii="Times New Roman" w:hAnsi="Times New Roman"/>
          <w:bCs/>
          <w:lang w:val="es-ES"/>
        </w:rPr>
        <w:t>.</w:t>
      </w:r>
    </w:p>
    <w:p w14:paraId="5DCC493B" w14:textId="77777777" w:rsidR="00916798" w:rsidRDefault="00916798" w:rsidP="00916798">
      <w:pPr>
        <w:pStyle w:val="PRIMERAPLANA"/>
        <w:spacing w:line="360" w:lineRule="auto"/>
        <w:jc w:val="center"/>
        <w:rPr>
          <w:rFonts w:cs="Arial"/>
          <w:b/>
          <w:bCs/>
          <w:sz w:val="18"/>
          <w:szCs w:val="24"/>
          <w:lang w:val="es-ES"/>
        </w:rPr>
      </w:pPr>
    </w:p>
    <w:p w14:paraId="01225765" w14:textId="15637696" w:rsidR="00916798" w:rsidRPr="00FB1EE0" w:rsidRDefault="00916798" w:rsidP="00916798">
      <w:pPr>
        <w:pStyle w:val="PRIMERAPLANA"/>
        <w:spacing w:line="360" w:lineRule="auto"/>
        <w:jc w:val="center"/>
        <w:rPr>
          <w:rFonts w:ascii="Times New Roman" w:hAnsi="Times New Roman"/>
          <w:b/>
          <w:bCs/>
          <w:sz w:val="14"/>
          <w:szCs w:val="14"/>
          <w:lang w:val="es-ES"/>
        </w:rPr>
      </w:pPr>
      <w:r w:rsidRPr="00FB1EE0">
        <w:rPr>
          <w:rFonts w:ascii="Times New Roman" w:hAnsi="Times New Roman"/>
          <w:b/>
          <w:bCs/>
          <w:sz w:val="14"/>
          <w:szCs w:val="14"/>
          <w:lang w:val="es-ES"/>
        </w:rPr>
        <w:t>Cuadro 1. ACTUALIZACIÓN DE LAS PERSPECTIVAS DE LA ECONOMÍA MUNDIAL, JULIO DE 202</w:t>
      </w:r>
      <w:r w:rsidR="00627A64">
        <w:rPr>
          <w:rFonts w:ascii="Times New Roman" w:hAnsi="Times New Roman"/>
          <w:b/>
          <w:bCs/>
          <w:sz w:val="14"/>
          <w:szCs w:val="14"/>
          <w:lang w:val="es-ES"/>
        </w:rPr>
        <w:t>2</w:t>
      </w:r>
      <w:r w:rsidRPr="00FB1EE0">
        <w:rPr>
          <w:rFonts w:ascii="Times New Roman" w:hAnsi="Times New Roman"/>
          <w:b/>
          <w:bCs/>
          <w:sz w:val="14"/>
          <w:szCs w:val="14"/>
          <w:lang w:val="es-ES"/>
        </w:rPr>
        <w:t xml:space="preserve"> </w:t>
      </w:r>
    </w:p>
    <w:p w14:paraId="1D7F73F1" w14:textId="77777777" w:rsidR="00916798" w:rsidRPr="00FB1EE0" w:rsidRDefault="00916798" w:rsidP="00916798">
      <w:pPr>
        <w:pStyle w:val="PRIMERAPLANA"/>
        <w:spacing w:line="360" w:lineRule="auto"/>
        <w:jc w:val="center"/>
        <w:rPr>
          <w:rFonts w:ascii="Times New Roman" w:hAnsi="Times New Roman"/>
          <w:b/>
          <w:bCs/>
          <w:sz w:val="14"/>
          <w:szCs w:val="14"/>
          <w:lang w:val="es-ES"/>
        </w:rPr>
      </w:pPr>
      <w:r w:rsidRPr="00FB1EE0">
        <w:rPr>
          <w:rFonts w:ascii="Times New Roman" w:hAnsi="Times New Roman"/>
          <w:b/>
          <w:bCs/>
          <w:sz w:val="14"/>
          <w:szCs w:val="14"/>
          <w:lang w:val="es-ES"/>
        </w:rPr>
        <w:t>(Cambio porcentual, a menos que se indique lo contrario)</w:t>
      </w:r>
    </w:p>
    <w:p w14:paraId="3D8FAB82" w14:textId="77777777" w:rsidR="00916798" w:rsidRDefault="00916798" w:rsidP="00916798">
      <w:pPr>
        <w:pStyle w:val="PRIMERAPLANA"/>
        <w:spacing w:line="360" w:lineRule="auto"/>
        <w:jc w:val="center"/>
        <w:rPr>
          <w:rFonts w:cs="Arial"/>
          <w:b/>
          <w:bCs/>
          <w:sz w:val="16"/>
          <w:szCs w:val="24"/>
          <w:lang w:val="es-ES"/>
        </w:rPr>
      </w:pPr>
    </w:p>
    <w:p w14:paraId="4BB38017" w14:textId="76C82114" w:rsidR="00916798" w:rsidRDefault="00627A64" w:rsidP="00916798">
      <w:pPr>
        <w:pStyle w:val="PRIMERAPLANA"/>
        <w:spacing w:line="360" w:lineRule="auto"/>
        <w:jc w:val="center"/>
        <w:rPr>
          <w:rFonts w:cs="Arial"/>
          <w:b/>
          <w:bCs/>
          <w:sz w:val="16"/>
          <w:szCs w:val="24"/>
          <w:lang w:val="es-ES"/>
        </w:rPr>
      </w:pPr>
      <w:r>
        <w:rPr>
          <w:noProof/>
          <w:lang w:val="es-MX" w:eastAsia="es-MX"/>
        </w:rPr>
        <w:lastRenderedPageBreak/>
        <mc:AlternateContent>
          <mc:Choice Requires="wps">
            <w:drawing>
              <wp:anchor distT="0" distB="0" distL="114300" distR="114300" simplePos="0" relativeHeight="251711488" behindDoc="0" locked="0" layoutInCell="1" allowOverlap="1" wp14:anchorId="76AA047B" wp14:editId="4C2C4AC9">
                <wp:simplePos x="0" y="0"/>
                <wp:positionH relativeFrom="margin">
                  <wp:posOffset>643255</wp:posOffset>
                </wp:positionH>
                <wp:positionV relativeFrom="paragraph">
                  <wp:posOffset>2102485</wp:posOffset>
                </wp:positionV>
                <wp:extent cx="3876675" cy="104775"/>
                <wp:effectExtent l="0" t="0" r="28575" b="28575"/>
                <wp:wrapNone/>
                <wp:docPr id="37" name="Rectángulo 37"/>
                <wp:cNvGraphicFramePr/>
                <a:graphic xmlns:a="http://schemas.openxmlformats.org/drawingml/2006/main">
                  <a:graphicData uri="http://schemas.microsoft.com/office/word/2010/wordprocessingShape">
                    <wps:wsp>
                      <wps:cNvSpPr/>
                      <wps:spPr>
                        <a:xfrm>
                          <a:off x="0" y="0"/>
                          <a:ext cx="3876675" cy="104775"/>
                        </a:xfrm>
                        <a:prstGeom prst="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ED5473" id="Rectángulo 37" o:spid="_x0000_s1026" style="position:absolute;margin-left:50.65pt;margin-top:165.55pt;width:305.25pt;height:8.2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" filled="f" strokecolor="red" strokeweight="1.25pt">
                <w10:wrap anchorx="margin"/>
              </v:rect>
            </w:pict>
          </mc:Fallback>
        </mc:AlternateContent>
      </w:r>
      <w:r>
        <w:rPr>
          <w:rFonts w:cs="Arial"/>
          <w:b/>
          <w:bCs/>
          <w:noProof/>
          <w:sz w:val="16"/>
          <w:szCs w:val="24"/>
          <w:lang w:val="es-MX" w:eastAsia="es-MX"/>
        </w:rPr>
        <w:drawing>
          <wp:inline distT="0" distB="0" distL="0" distR="0" wp14:anchorId="25D61B7C" wp14:editId="4D3A28BA">
            <wp:extent cx="3906973" cy="513397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19387" cy="5150288"/>
                    </a:xfrm>
                    <a:prstGeom prst="rect">
                      <a:avLst/>
                    </a:prstGeom>
                    <a:noFill/>
                  </pic:spPr>
                </pic:pic>
              </a:graphicData>
            </a:graphic>
          </wp:inline>
        </w:drawing>
      </w:r>
    </w:p>
    <w:p w14:paraId="4045DD0E" w14:textId="77777777" w:rsidR="00916798" w:rsidRPr="0096089D" w:rsidRDefault="00916798" w:rsidP="00916798">
      <w:pPr>
        <w:pStyle w:val="PRIMERAPLANA"/>
        <w:spacing w:line="360" w:lineRule="auto"/>
        <w:rPr>
          <w:rFonts w:ascii="Times New Roman" w:hAnsi="Times New Roman"/>
          <w:b/>
          <w:bCs/>
          <w:sz w:val="10"/>
          <w:szCs w:val="24"/>
          <w:lang w:val="es-ES"/>
        </w:rPr>
      </w:pPr>
      <w:r w:rsidRPr="0096089D">
        <w:rPr>
          <w:rFonts w:ascii="Times New Roman" w:hAnsi="Times New Roman"/>
          <w:b/>
          <w:bCs/>
          <w:sz w:val="10"/>
          <w:szCs w:val="24"/>
          <w:lang w:val="es-ES"/>
        </w:rPr>
        <w:t>Fuente: Fondo Monetario Internacional</w:t>
      </w:r>
    </w:p>
    <w:p w14:paraId="0F6E2D67" w14:textId="77777777" w:rsidR="00627A64" w:rsidRDefault="00627A64" w:rsidP="00916798">
      <w:pPr>
        <w:spacing w:line="360" w:lineRule="auto"/>
        <w:jc w:val="both"/>
        <w:rPr>
          <w:b/>
          <w:bCs/>
          <w:sz w:val="20"/>
          <w:szCs w:val="20"/>
        </w:rPr>
      </w:pPr>
    </w:p>
    <w:p w14:paraId="18CD8243" w14:textId="77777777" w:rsidR="00916798" w:rsidRPr="0096089D" w:rsidRDefault="00916798" w:rsidP="00916798">
      <w:pPr>
        <w:spacing w:line="360" w:lineRule="auto"/>
        <w:jc w:val="both"/>
        <w:rPr>
          <w:b/>
          <w:bCs/>
          <w:sz w:val="20"/>
          <w:szCs w:val="20"/>
        </w:rPr>
      </w:pPr>
      <w:r w:rsidRPr="0096089D">
        <w:rPr>
          <w:b/>
          <w:bCs/>
          <w:sz w:val="20"/>
          <w:szCs w:val="20"/>
        </w:rPr>
        <w:t>ENTORNO NACIONAL</w:t>
      </w:r>
    </w:p>
    <w:p w14:paraId="1F0B0EAC" w14:textId="77777777" w:rsidR="00916798" w:rsidRPr="0096089D" w:rsidRDefault="00916798" w:rsidP="00916798">
      <w:pPr>
        <w:pStyle w:val="PRIMERAPLANA"/>
        <w:spacing w:line="360" w:lineRule="auto"/>
        <w:rPr>
          <w:rFonts w:ascii="Times New Roman" w:hAnsi="Times New Roman"/>
          <w:bCs/>
          <w:lang w:val="es-ES"/>
        </w:rPr>
      </w:pPr>
    </w:p>
    <w:p w14:paraId="685B0872"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Durante el primer semestre del año, el desempeño de la actividad económica en México sorprendió al alza al aumentar 1.8% respecto al semestre previo, ligando así tres trimestres consecutivos de expansiones. Lo anterior, deriva, en parte, de la fortaleza del mercado interno, el cual fue impulsado por el dinamismo del empleo, la recuperación del turismo a nivel nacional y los avances observados en la inversión fija bruta y en el consumo privado.  </w:t>
      </w:r>
    </w:p>
    <w:p w14:paraId="075FFC92" w14:textId="77777777" w:rsidR="00414CDC" w:rsidRPr="00414CDC" w:rsidRDefault="00414CDC" w:rsidP="00414CDC">
      <w:pPr>
        <w:pStyle w:val="PRIMERAPLANA"/>
        <w:spacing w:line="360" w:lineRule="auto"/>
        <w:rPr>
          <w:rFonts w:ascii="Times New Roman" w:hAnsi="Times New Roman"/>
          <w:bCs/>
          <w:lang w:val="es-ES"/>
        </w:rPr>
      </w:pPr>
    </w:p>
    <w:p w14:paraId="086929E2"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lastRenderedPageBreak/>
        <w:t xml:space="preserve">A su vez, la implementación de acciones oportunas por parte del Gobierno de México influyó en esta tendencia, principalmente aquellas relacionadas con la inversión en infraestructura estratégica, el fortalecimiento del consumo a través de los apoyos sociales y los esfuerzos de contención de la inflación, principalmente a través del Paquete Contra la Inflación y la Carestía (PACIC). Este desempeño resalta en el entorno económico global complejo descrito anteriormente. </w:t>
      </w:r>
    </w:p>
    <w:p w14:paraId="45788976" w14:textId="77777777" w:rsidR="00414CDC" w:rsidRPr="00414CDC" w:rsidRDefault="00414CDC" w:rsidP="00414CDC">
      <w:pPr>
        <w:pStyle w:val="PRIMERAPLANA"/>
        <w:spacing w:line="360" w:lineRule="auto"/>
        <w:rPr>
          <w:rFonts w:ascii="Times New Roman" w:hAnsi="Times New Roman"/>
          <w:bCs/>
          <w:lang w:val="es-ES"/>
        </w:rPr>
      </w:pPr>
    </w:p>
    <w:p w14:paraId="3C3E3CD9"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En términos sectoriales, en el primer semestre del año se registró un avance en las actividades secundarias y terciarias de 2.2 y 1.7%, respectivamente, en comparación con el semestre previo. Con respecto a las primeras, se registraron expansiones por cinco trimestres consecutivos, principalmente por el buen dinamismo de los sectores de las manufacturas de alimentos y bebidas, la fabricación de equipo de computación y otros aparatos electrónicos, así como la fortaleza de la fabricación de equipo de transporte y la minería. </w:t>
      </w:r>
    </w:p>
    <w:p w14:paraId="3AB12786" w14:textId="77777777" w:rsidR="00414CDC" w:rsidRPr="00414CDC" w:rsidRDefault="00414CDC" w:rsidP="00414CDC">
      <w:pPr>
        <w:pStyle w:val="PRIMERAPLANA"/>
        <w:spacing w:line="360" w:lineRule="auto"/>
        <w:rPr>
          <w:rFonts w:ascii="Times New Roman" w:hAnsi="Times New Roman"/>
          <w:bCs/>
          <w:lang w:val="es-ES"/>
        </w:rPr>
      </w:pPr>
    </w:p>
    <w:p w14:paraId="39461F97"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Por su parte, las actividades terciarias tuvieron un desempeño heterogéneo al interior de los rubros que las conforman. Por un lado, los servicios de esparcimiento, culturales y deportivos crecieron en 35.1% semestral, registrando expansiones consecutivas de ocho trimestres y superando su nivel pre-pandemia. Asimismo, algunos de los servicios ya completamente recuperados de la pandemia han continuado contribuyendo al crecimiento del PIB, al expandirse por arriba de sus variaciones históricas como el comercio al por menor y por mayor, así como los servicios de transporte y de salud que presentaron un avance de 1.7, 3.8, 8.0, y 4.3% respectivamente en el semestre.</w:t>
      </w:r>
    </w:p>
    <w:p w14:paraId="5236AA83" w14:textId="77777777" w:rsidR="00414CDC" w:rsidRPr="00414CDC" w:rsidRDefault="00414CDC" w:rsidP="00414CDC">
      <w:pPr>
        <w:pStyle w:val="PRIMERAPLANA"/>
        <w:spacing w:line="360" w:lineRule="auto"/>
        <w:rPr>
          <w:rFonts w:ascii="Times New Roman" w:hAnsi="Times New Roman"/>
          <w:bCs/>
          <w:lang w:val="es-ES"/>
        </w:rPr>
      </w:pPr>
    </w:p>
    <w:p w14:paraId="16384872"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Por el lado de la demanda agregada, los niveles de consumo privado mostraron solidez al crecer en la mayoría de los meses del primer semestre y sobrepasando su nivel pre-pandemia. Así, en los primeros seis meses del año, el consumo privado acumuló un crecimiento de 2.8%. En cuanto al desempeño estimado para la segunda mitad del año, se anticipa que el consumo continúe contribuyendo a la actividad económica, sobre todo ante la normalización del consumo de servicios intensivos en contacto personal, la recuperación de la cartera de crédito a los hogares y el incremento de la masa salarial en términos reales que, en el periodo enero a junio, aumentaron en 3.6 y 3.0% anual, respectivamente. </w:t>
      </w:r>
    </w:p>
    <w:p w14:paraId="084003A0" w14:textId="77777777" w:rsidR="00414CDC" w:rsidRPr="00414CDC" w:rsidRDefault="00414CDC" w:rsidP="00414CDC">
      <w:pPr>
        <w:pStyle w:val="PRIMERAPLANA"/>
        <w:spacing w:line="360" w:lineRule="auto"/>
        <w:rPr>
          <w:rFonts w:ascii="Times New Roman" w:hAnsi="Times New Roman"/>
          <w:bCs/>
          <w:lang w:val="es-ES"/>
        </w:rPr>
      </w:pPr>
    </w:p>
    <w:p w14:paraId="1AD7CC2C"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Asimismo, la inversión fija bruta registró un crecimiento de 4.5% en el acumulado entre enero y junio, tendencia que le permitió superar su nivel pre-pandemia desde marzo. Hacia el segundo semestre de 2022, se espera que el desempeño de este indicador continúe dados los volúmenes observados de las importaciones de capital, así como por la relocalización de empresas, el crecimiento del comercio electrónico, los productos agroindustriales y la minería no petrolera. Aunado a lo anterior, la inversión </w:t>
      </w:r>
      <w:r w:rsidRPr="00414CDC">
        <w:rPr>
          <w:rFonts w:ascii="Times New Roman" w:hAnsi="Times New Roman"/>
          <w:bCs/>
          <w:lang w:val="es-ES"/>
        </w:rPr>
        <w:lastRenderedPageBreak/>
        <w:t>pública en infraestructura seguirá influyendo positivamente en el componente de construcción no residencial, principalmente en las entidades del sur de nuestro país.</w:t>
      </w:r>
    </w:p>
    <w:p w14:paraId="63C06C8E" w14:textId="77777777" w:rsidR="00414CDC" w:rsidRPr="00414CDC" w:rsidRDefault="00414CDC" w:rsidP="00414CDC">
      <w:pPr>
        <w:pStyle w:val="PRIMERAPLANA"/>
        <w:spacing w:line="360" w:lineRule="auto"/>
        <w:rPr>
          <w:rFonts w:ascii="Times New Roman" w:hAnsi="Times New Roman"/>
          <w:bCs/>
          <w:lang w:val="es-ES"/>
        </w:rPr>
      </w:pPr>
    </w:p>
    <w:p w14:paraId="681162BE"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En materia de empleo, durante el primer semestre del año, los principales indicadores continuaron mostrando solidez, alcanzando niveles máximos desde que se tiene registro. Con cifras de la Encuesta Nacional de Ocupación y Empleo (ENOE), de enero a julio de 2022, la población ocupada aumentó en 2.6 millones respecto al mismo periodo del año previo, incremento mayor al promedio de 916 mil empleos registrados en el periodo de 2011 a 2019. Con relación a los salarios, éstos han registrado revisiones al alza en lo que va del año, lo que ha permitido mantener el poder adquisitivo real de los hogares a pesar de los niveles de inflación. Específicamente, al mes de julio los salarios registrados en el IMSS tuvieron un aumento anual de 11.5% por lo que, descontando la inflación, presentaron un crecimiento de 3.1% real.</w:t>
      </w:r>
    </w:p>
    <w:p w14:paraId="7E060715" w14:textId="77777777" w:rsidR="00414CDC" w:rsidRPr="00414CDC" w:rsidRDefault="00414CDC" w:rsidP="00414CDC">
      <w:pPr>
        <w:pStyle w:val="PRIMERAPLANA"/>
        <w:spacing w:line="360" w:lineRule="auto"/>
        <w:rPr>
          <w:rFonts w:ascii="Times New Roman" w:hAnsi="Times New Roman"/>
          <w:bCs/>
          <w:lang w:val="es-ES"/>
        </w:rPr>
      </w:pPr>
    </w:p>
    <w:p w14:paraId="484ABEB1"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La demanda interna seguirá fortalecida por el consumo privado, el empleo y la inversión, factores que se han visto beneficiados por las políticas públicas implementadas desde el inicio de la administración, tales como la recuperación del salario mínimo en 63.9% desde diciembre de 2018 a julio de 2022, la reforma laboral en materia de subcontratación, que permitió la migración de tres millones de trabajadores a un esquema con seguridad social, y la recuperación del derecho de reparto de utilidades con lo cual aumentaron los ingresos de los trabajadores en 100 mil millones de pesos en 2022.</w:t>
      </w:r>
    </w:p>
    <w:p w14:paraId="7682751F" w14:textId="77777777" w:rsidR="00414CDC" w:rsidRPr="00414CDC" w:rsidRDefault="00414CDC" w:rsidP="00414CDC">
      <w:pPr>
        <w:pStyle w:val="PRIMERAPLANA"/>
        <w:spacing w:line="360" w:lineRule="auto"/>
        <w:rPr>
          <w:rFonts w:ascii="Times New Roman" w:hAnsi="Times New Roman"/>
          <w:bCs/>
          <w:lang w:val="es-ES"/>
        </w:rPr>
      </w:pPr>
    </w:p>
    <w:p w14:paraId="05D42AE4"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El sector externo presentó resultados positivos durante los primeros siete meses del año, impulsado por el fortalecimiento del mercado doméstico y por la dinámica de la producción industrial de EE.UU. El valor de las exportaciones totales registró un incremento anual de 18.0% como resultado del avance del valor de las exportaciones petroleras (55.5%) y las manufactureras no automotrices (18.9%). A su vez, las exportaciones agropecuarias aumentaron en 9.8%. Aunado a lo anterior, el valor de las importaciones totales tuvo un crecimiento de 23.7% respecto al mismo periodo del año anterior, por la recuperación de la demanda interna y los mayores precios de las materias primas. </w:t>
      </w:r>
    </w:p>
    <w:p w14:paraId="377E0D6C" w14:textId="77777777" w:rsidR="00414CDC" w:rsidRPr="00414CDC" w:rsidRDefault="00414CDC" w:rsidP="00414CDC">
      <w:pPr>
        <w:pStyle w:val="PRIMERAPLANA"/>
        <w:spacing w:line="360" w:lineRule="auto"/>
        <w:rPr>
          <w:rFonts w:ascii="Times New Roman" w:hAnsi="Times New Roman"/>
          <w:bCs/>
          <w:lang w:val="es-ES"/>
        </w:rPr>
      </w:pPr>
    </w:p>
    <w:p w14:paraId="79D5C298"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Respecto a la inversión extranjera directa (IED), en el primer semestre de 2022 y como reflejo de la confianza de los inversionistas extranjeros por invertir en el país, hubo un incremento de la IED de 12.0% equivalente a 2.2 mil millones de dólares (cifras preliminares sin considerar la reestructura de Aeroméxico y la fusión de Televisa y Univisión). Destacó también que las nuevas inversiones alcanzaron máximos históricos durante el mismo periodo, lo cual es un indicio de que continúa fortaleciéndose el apetito por invertir en México.</w:t>
      </w:r>
    </w:p>
    <w:p w14:paraId="189743AC" w14:textId="77777777" w:rsidR="00414CDC" w:rsidRPr="00414CDC" w:rsidRDefault="00414CDC" w:rsidP="00414CDC">
      <w:pPr>
        <w:pStyle w:val="PRIMERAPLANA"/>
        <w:spacing w:line="360" w:lineRule="auto"/>
        <w:rPr>
          <w:rFonts w:ascii="Times New Roman" w:hAnsi="Times New Roman"/>
          <w:bCs/>
          <w:lang w:val="es-ES"/>
        </w:rPr>
      </w:pPr>
    </w:p>
    <w:p w14:paraId="7E0BDA19"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En materia de precios, México ha tenido un mejor desempeño que otros países de América Latina y de la OCDE. En línea con lo que sucede en el resto del mundo, la inflación se mantuvo presionada y por arriba de la meta del Banco de México. Sin embargo, los niveles de inflación son menores a los del promedio de los países de la OCDE, la Unión Europea y EE.UU. El Gobierno de México es consciente de la situación que viven las familias mexicanas, sobre todo las de más bajos ingresos, por lo que se implementó un programa de contención de la inflación en apoyo a las familias mexicanas y seguirá proponiendo políticas públicas en apoyo a los hogares.</w:t>
      </w:r>
    </w:p>
    <w:p w14:paraId="27BAEF43" w14:textId="77777777" w:rsidR="00414CDC" w:rsidRPr="00414CDC" w:rsidRDefault="00414CDC" w:rsidP="00414CDC">
      <w:pPr>
        <w:pStyle w:val="PRIMERAPLANA"/>
        <w:spacing w:line="360" w:lineRule="auto"/>
        <w:rPr>
          <w:rFonts w:ascii="Times New Roman" w:hAnsi="Times New Roman"/>
          <w:bCs/>
          <w:lang w:val="es-ES"/>
        </w:rPr>
      </w:pPr>
    </w:p>
    <w:p w14:paraId="4979B2AF"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El sistema financiero mexicano mantiene una posición sólida. En materia de crédito, con un alto índice de capitalización por encima de los estándares internacionales y un bajo índice de morosidad, la banca comercial, en julio, registró una tasa real anual positiva de 2.2% en el crédito otorgado al sector privado no financiero, su segundo aumento en 22 meses. Asimismo, el tipo de cambio con respecto al dólar registró una apreciación de 1.9% con respecto al promedio de 2021 y el promedio observado durante el primer semestre de la volatilidad implícita a un mes fue de 11.3%, equivalente a 2.6 pp por debajo de lo observado en el mismo periodo del año previo.</w:t>
      </w:r>
    </w:p>
    <w:p w14:paraId="5CC8B924" w14:textId="77777777" w:rsidR="00414CDC" w:rsidRPr="00414CDC" w:rsidRDefault="00414CDC" w:rsidP="00414CDC">
      <w:pPr>
        <w:pStyle w:val="PRIMERAPLANA"/>
        <w:spacing w:line="360" w:lineRule="auto"/>
        <w:rPr>
          <w:rFonts w:ascii="Times New Roman" w:hAnsi="Times New Roman"/>
          <w:bCs/>
          <w:lang w:val="es-ES"/>
        </w:rPr>
      </w:pPr>
    </w:p>
    <w:p w14:paraId="1B73848E"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Hacia 2023, México seguirá creciendo y consolidando su transformación económica. El crecimiento del país estará basado en la inversión estratégica en infraestructura que se ha estado llevando a cabo en la región sur-sureste del país desde 2019, con lo cual se espera incrementar el crecimiento económico promedio de la región, lo cual a su vez abona a la contabilidad de crecimiento nacional. Los proyectos insignia se encuentran ya iniciando su fase de conclusión y han empezado a generar efectos positivos sobre el empleo, el crecimiento regional y el combate a la pobreza. En este sentido, se estima que, mediante los proyectos del Corredor Interoceánico del Istmo de Tehuantepec y el Tren Maya, casi 6 millones de habitantes del sur-sureste del país se verán beneficiados directamente mediante la transformación económica regional que generarán dichos proyectos en sus comunidades. Estos proyectos permitirán conectar el nuevo enclave industrial y turístico del sureste con el resto de la República ya que actualmente, la relocalización de empresas se está materializando en los enclaves manufactureros y logísticos del norte y centro del país. Para potenciar estas inversiones, se está negociando y movilizando un paquete de financiamiento para facilitar la inversión privada en el sureste. De esta forma, más de 1.3 millones de empresas podrán, por primera vez, tener acceso a la red comercial nacional e internacional, que incluye el fortalecimiento de la red portuaria, así como de la infraestructura de carreteras, fibra óptica y caminos rurales.  </w:t>
      </w:r>
    </w:p>
    <w:p w14:paraId="39B0F355" w14:textId="77777777" w:rsidR="00414CDC" w:rsidRPr="00414CDC" w:rsidRDefault="00414CDC" w:rsidP="00414CDC">
      <w:pPr>
        <w:pStyle w:val="PRIMERAPLANA"/>
        <w:spacing w:line="360" w:lineRule="auto"/>
        <w:rPr>
          <w:rFonts w:ascii="Times New Roman" w:hAnsi="Times New Roman"/>
          <w:bCs/>
          <w:lang w:val="es-ES"/>
        </w:rPr>
      </w:pPr>
    </w:p>
    <w:p w14:paraId="5473E31D"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lastRenderedPageBreak/>
        <w:t xml:space="preserve">Un elemento que continuará contribuyendo de manera activa al crecimiento de la economía nacional son las perspectivas de relocalización de cadenas de valor de Asia hacia América, lo cual impulsará la inversión y el sector exportador del país. La economía mexicana, mediante su robusta red de tratados comerciales y sus múltiples ventajas comparativas geográficas, demográficas y económicas, será el mayor beneficiado de la región de América Latina y el Caribe.  </w:t>
      </w:r>
    </w:p>
    <w:p w14:paraId="7CDCA433" w14:textId="77777777" w:rsidR="00414CDC" w:rsidRPr="00414CDC" w:rsidRDefault="00414CDC" w:rsidP="00414CDC">
      <w:pPr>
        <w:pStyle w:val="PRIMERAPLANA"/>
        <w:spacing w:line="360" w:lineRule="auto"/>
        <w:rPr>
          <w:rFonts w:ascii="Times New Roman" w:hAnsi="Times New Roman"/>
          <w:bCs/>
          <w:lang w:val="es-ES"/>
        </w:rPr>
      </w:pPr>
    </w:p>
    <w:p w14:paraId="37944279" w14:textId="7C9E7A04"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En este contexto, dentro de las variables clave del marco macroeconómico, se prevé que la inflación convergerá al objetivo del banco central como resultado de las distintas medidas en materia fiscal y monetaria, como son el PACIC y los incrementos de tasa de interés realizados por el banco central. Se prevé además la reducción de las presiones internacionales, particularmente en los precios de materias primas como el trigo, el maíz y el petróleo. De este modo, se espera que la inflación cierre 2023 en 3.2%, en línea con lo estimado por el banco central.  Dentro de las variables clave del marco macroeconómico, se prevé que la inflación convergerá al objetivo del banco central como resultado de las distintas medidas en materia fiscal y monetaria, como son el PACIC y los incrementos de tasa de inte</w:t>
      </w:r>
      <w:r w:rsidR="004B5116">
        <w:rPr>
          <w:rFonts w:ascii="Times New Roman" w:hAnsi="Times New Roman"/>
          <w:bCs/>
          <w:lang w:val="es-ES"/>
        </w:rPr>
        <w:t>rés hechos por el banco central,</w:t>
      </w:r>
      <w:r w:rsidRPr="00414CDC">
        <w:rPr>
          <w:rFonts w:ascii="Times New Roman" w:hAnsi="Times New Roman"/>
          <w:bCs/>
          <w:lang w:val="es-ES"/>
        </w:rPr>
        <w:t xml:space="preserve"> la tasa de interés alcance un nivel de 8.5% al cierre de 2023, el cual contrasta con lo estimado previamente en los CGPE 2022, donde se preveía una tasa de 5.3%. En el caso del tipo de cambio, se estima que alcance un nivel de 20.6 pesos por dólar al cierre del año. Se estima un precio de la mezcla mexicana de crudo de exportación de 68.7 dpb, en línea con la metodología establecida en los artículos 31 de la Ley Federal de Presupuesto y Responsabilidad Hacendaria (LFPRH) y 15 de su Reglamento. En cuanto a la producción del hidrocarburo, se prevé que la plataforma para el próximo ejercicio fiscal ascienda a 1,872 mbd. El pronóstico se basa en un escenario conservador de la producción de Pemex y las proyecciones de las empresas privadas. el PIB y la producción industrial de los EE.UU; en particular esta última es la variable que está más correlacionada con el PIB de México. Respecto a la producción industrial, se anticipa un crecimiento de 2.3% anual, del PIB se prevé un crecimiento de 1.8% anual, inferior en 0.3 pp a lo previsto en el Paquete Económico de 2022.</w:t>
      </w:r>
    </w:p>
    <w:p w14:paraId="4DC6DEDE" w14:textId="77777777" w:rsidR="00414CDC" w:rsidRPr="00414CDC" w:rsidRDefault="00414CDC" w:rsidP="00414CDC">
      <w:pPr>
        <w:pStyle w:val="PRIMERAPLANA"/>
        <w:spacing w:line="360" w:lineRule="auto"/>
        <w:rPr>
          <w:rFonts w:ascii="Times New Roman" w:hAnsi="Times New Roman"/>
          <w:bCs/>
          <w:lang w:val="es-ES"/>
        </w:rPr>
      </w:pPr>
    </w:p>
    <w:p w14:paraId="6160CC5A"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En 2023, el Gobierno de México continuará manteniendo la solidez en su posición financiera a través de una política que busca mantener estables los niveles de deuda sin comprometer los recursos destinados a fomentar una economía más justa, social y equitativa. Para mantener este objetivo, el Paquete Económico 2023 está en línea con un nivel de deuda como proporción del PIB de 49.4%. Se estima que el costo financiero del Sector Público para 2023 se incremente 36.3% con respecto al monto aprobado para 2022. Por lo anterior, en los CGPE 2023 se propone un nivel del balance público de </w:t>
      </w:r>
      <w:r w:rsidRPr="00414CDC">
        <w:rPr>
          <w:rFonts w:ascii="Times New Roman" w:hAnsi="Times New Roman"/>
          <w:bCs/>
          <w:lang w:val="es-ES"/>
        </w:rPr>
        <w:lastRenderedPageBreak/>
        <w:t>3.6% del PIB, dato que respalda la estimación de los RFSP se ubique en 4.1% del PIB y, por su parte, el balance primario alcance un déficit de 0.2% del PIB.</w:t>
      </w:r>
    </w:p>
    <w:p w14:paraId="598C9380" w14:textId="77777777" w:rsidR="00414CDC" w:rsidRPr="00414CDC" w:rsidRDefault="00414CDC" w:rsidP="00414CDC">
      <w:pPr>
        <w:pStyle w:val="PRIMERAPLANA"/>
        <w:spacing w:line="360" w:lineRule="auto"/>
        <w:rPr>
          <w:rFonts w:ascii="Times New Roman" w:hAnsi="Times New Roman"/>
          <w:bCs/>
          <w:lang w:val="es-ES"/>
        </w:rPr>
      </w:pPr>
    </w:p>
    <w:p w14:paraId="01038A8B"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Para el presupuesto de 2023 los ingresos tributarios del Gobierno Federal se ubicarán en 4.6 billones de pesos, lo que representa un aumento en los ingresos de 1.7 pp del PIB en relación con lo observado en 2018.</w:t>
      </w:r>
    </w:p>
    <w:p w14:paraId="7FE69F54" w14:textId="77777777" w:rsidR="00414CDC" w:rsidRPr="00414CDC" w:rsidRDefault="00414CDC" w:rsidP="00414CDC">
      <w:pPr>
        <w:pStyle w:val="PRIMERAPLANA"/>
        <w:spacing w:line="360" w:lineRule="auto"/>
        <w:rPr>
          <w:rFonts w:ascii="Times New Roman" w:hAnsi="Times New Roman"/>
          <w:bCs/>
          <w:lang w:val="es-ES"/>
        </w:rPr>
      </w:pPr>
    </w:p>
    <w:p w14:paraId="4D7B597E"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En cuanto a la política de gasto, el PPEF 2023 continuará otorgando suficiencia presupuestaria a los proyectos y programas de bienestar que el Gobierno de México ha impulsado con el objetivo de mejorar la situación económica de la población más pobre del país, ya sea a través de apoyos directos a los sectores vulnerables o también vía mayor gasto en inversión productiva que estimule la actividad económica de las regiones más rezagadas.</w:t>
      </w:r>
    </w:p>
    <w:p w14:paraId="10252572" w14:textId="77777777" w:rsidR="00414CDC" w:rsidRPr="00414CDC" w:rsidRDefault="00414CDC" w:rsidP="00414CDC">
      <w:pPr>
        <w:pStyle w:val="PRIMERAPLANA"/>
        <w:spacing w:line="360" w:lineRule="auto"/>
        <w:rPr>
          <w:rFonts w:ascii="Times New Roman" w:hAnsi="Times New Roman"/>
          <w:bCs/>
          <w:lang w:val="es-ES"/>
        </w:rPr>
      </w:pPr>
    </w:p>
    <w:p w14:paraId="7C1A44C0"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El PPEF 2023 propone un gasto en desarrollo social de 3.9 billones de pesos, lo que implica un crecimiento real de 9.1% con relación al monto aprobado para 2022. Al interior, destaca un incremento de 4.0% en el gasto propuesto en salud, así como un aumento anual de 12.7% en el gasto en protección social, con lo cual este rubro seguirá alcanzando máximos históricos en beneficio de las mayorías. En materia de infraestructura, destaca el aumento propuesto de 15.6% real en el gasto de inversión con relación al monto aprobado para 2022. De manera específica, se proponen incrementos de 21.7 y 9.9% con relación al presupuesto aprobado en 2022 en inversión física y subsidios de inversión para entidades federativas, respectivamente. Con esto, se busca consolidar el avance y la conclusión oportuna de los proyectos de infraestructura estratégica en aquellas zonas del país con mayor potencial o, en su caso, con necesidades más apremiantes. El principal objetivo de la política de deuda será mantener el porcentaje de la deuda respecto al PIB estabilizado alrededor del 50% y mantener el estricto apego a los techos de endeudamiento autorizados por el H. Congreso de la Unión.</w:t>
      </w:r>
    </w:p>
    <w:p w14:paraId="16CC7EC0" w14:textId="77777777" w:rsidR="00414CDC" w:rsidRPr="00414CDC" w:rsidRDefault="00414CDC" w:rsidP="00414CDC">
      <w:pPr>
        <w:pStyle w:val="PRIMERAPLANA"/>
        <w:spacing w:line="360" w:lineRule="auto"/>
        <w:rPr>
          <w:rFonts w:ascii="Times New Roman" w:hAnsi="Times New Roman"/>
          <w:bCs/>
          <w:lang w:val="es-ES"/>
        </w:rPr>
      </w:pPr>
    </w:p>
    <w:p w14:paraId="6A98432F" w14:textId="3E274F1C" w:rsidR="00916798"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A continuación, se muestran las estimaciones de finanzas públicas para el periodo 2022-2023</w:t>
      </w:r>
      <w:r w:rsidR="00B15570" w:rsidRPr="00B15570">
        <w:rPr>
          <w:rFonts w:ascii="Times New Roman" w:hAnsi="Times New Roman"/>
          <w:bCs/>
          <w:lang w:val="es-ES"/>
        </w:rPr>
        <w:t>.</w:t>
      </w:r>
    </w:p>
    <w:p w14:paraId="2F21B95A" w14:textId="3BD0785A" w:rsidR="00B15570" w:rsidRDefault="00B15570" w:rsidP="00B15570">
      <w:pPr>
        <w:pStyle w:val="PRIMERAPLANA"/>
        <w:spacing w:line="360" w:lineRule="auto"/>
        <w:jc w:val="center"/>
        <w:rPr>
          <w:rFonts w:ascii="Times New Roman" w:hAnsi="Times New Roman"/>
          <w:bCs/>
          <w:lang w:val="es-ES"/>
        </w:rPr>
      </w:pPr>
      <w:r w:rsidRPr="00122114">
        <w:rPr>
          <w:rFonts w:cs="Arial"/>
          <w:bCs/>
          <w:noProof/>
          <w:sz w:val="24"/>
          <w:szCs w:val="24"/>
          <w:lang w:val="es-MX" w:eastAsia="es-MX"/>
        </w:rPr>
        <w:lastRenderedPageBreak/>
        <w:drawing>
          <wp:inline distT="0" distB="0" distL="0" distR="0" wp14:anchorId="47A5F98C" wp14:editId="6156ECDA">
            <wp:extent cx="3985019" cy="2962275"/>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BEBA8EAE-BF5A-486C-A8C5-ECC9F3942E4B}">
                          <a14:imgProps xmlns:a14="http://schemas.microsoft.com/office/drawing/2010/main">
                            <a14:imgLayer r:embed="rId10">
                              <a14:imgEffect>
                                <a14:sharpenSoften amount="25000"/>
                              </a14:imgEffect>
                            </a14:imgLayer>
                          </a14:imgProps>
                        </a:ext>
                      </a:extLst>
                    </a:blip>
                    <a:srcRect l="26554" t="27369" r="25561" b="9345"/>
                    <a:stretch/>
                  </pic:blipFill>
                  <pic:spPr bwMode="auto">
                    <a:xfrm>
                      <a:off x="0" y="0"/>
                      <a:ext cx="4015874" cy="2985211"/>
                    </a:xfrm>
                    <a:prstGeom prst="rect">
                      <a:avLst/>
                    </a:prstGeom>
                    <a:ln>
                      <a:noFill/>
                    </a:ln>
                    <a:extLst>
                      <a:ext uri="{53640926-AAD7-44D8-BBD7-CCE9431645EC}">
                        <a14:shadowObscured xmlns:a14="http://schemas.microsoft.com/office/drawing/2010/main"/>
                      </a:ext>
                    </a:extLst>
                  </pic:spPr>
                </pic:pic>
              </a:graphicData>
            </a:graphic>
          </wp:inline>
        </w:drawing>
      </w:r>
    </w:p>
    <w:p w14:paraId="564D63AD" w14:textId="77777777" w:rsidR="00B15570" w:rsidRDefault="00B15570" w:rsidP="00B15570">
      <w:pPr>
        <w:pStyle w:val="PRIMERAPLANA"/>
        <w:spacing w:line="360" w:lineRule="auto"/>
        <w:rPr>
          <w:rFonts w:ascii="Times New Roman" w:hAnsi="Times New Roman"/>
          <w:bCs/>
          <w:lang w:val="es-ES"/>
        </w:rPr>
      </w:pPr>
    </w:p>
    <w:p w14:paraId="282DB7F7" w14:textId="6E20CE27" w:rsidR="00B15570" w:rsidRDefault="00414CDC" w:rsidP="00B15570">
      <w:pPr>
        <w:pStyle w:val="PRIMERAPLANA"/>
        <w:spacing w:line="360" w:lineRule="auto"/>
        <w:rPr>
          <w:rFonts w:ascii="Times New Roman" w:hAnsi="Times New Roman"/>
          <w:bCs/>
          <w:lang w:val="es-ES"/>
        </w:rPr>
      </w:pPr>
      <w:r w:rsidRPr="00414CDC">
        <w:rPr>
          <w:rFonts w:ascii="Times New Roman" w:hAnsi="Times New Roman"/>
          <w:bCs/>
          <w:lang w:val="es-ES"/>
        </w:rPr>
        <w:t>El PPEF 2023 es un proyecto que promueve el federalismo hacendario. En efecto, los recursos destinados a las haciendas locales se estiman en 2,432.8 mil millones de pesos, lo que representa un incremento real de 9.9% con relación a lo aprobado en 2022. También vale la pena mencionar que, del total de recursos para los gobiernos de las entidades federativas, 50.2% corresponde a participaciones, 41.0% a aportaciones federales y el 8.8% restante se destina a otros conceptos. De esta forma, el proyecto de presupuesto para 2023 contribuye al fortalecimiento de las capacidades de los estados de la república para atender sus obligaciones institucionales, tales como impulsar acciones relacionadas con la educación, la salud, la infraestructura social, la seguridad pública y el fortalecimiento financiero de las entidades federativas y de los municipios y alcaldías, entre otros destinos</w:t>
      </w:r>
      <w:r w:rsidR="00B15570" w:rsidRPr="00B15570">
        <w:rPr>
          <w:rFonts w:ascii="Times New Roman" w:hAnsi="Times New Roman"/>
          <w:bCs/>
          <w:lang w:val="es-ES"/>
        </w:rPr>
        <w:t>.</w:t>
      </w:r>
    </w:p>
    <w:p w14:paraId="6EB01241" w14:textId="73B94916" w:rsidR="00B15570" w:rsidRPr="0096089D" w:rsidRDefault="00B15570" w:rsidP="00B15570">
      <w:pPr>
        <w:pStyle w:val="PRIMERAPLANA"/>
        <w:spacing w:line="360" w:lineRule="auto"/>
        <w:jc w:val="center"/>
        <w:rPr>
          <w:rFonts w:ascii="Times New Roman" w:hAnsi="Times New Roman"/>
          <w:bCs/>
          <w:lang w:val="es-ES"/>
        </w:rPr>
      </w:pPr>
      <w:r>
        <w:rPr>
          <w:noProof/>
          <w:lang w:val="es-MX" w:eastAsia="es-MX"/>
        </w:rPr>
        <w:drawing>
          <wp:inline distT="0" distB="0" distL="0" distR="0" wp14:anchorId="2635CC67" wp14:editId="23463E2B">
            <wp:extent cx="4391025" cy="1790671"/>
            <wp:effectExtent l="0" t="0" r="0" b="63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BEBA8EAE-BF5A-486C-A8C5-ECC9F3942E4B}">
                          <a14:imgProps xmlns:a14="http://schemas.microsoft.com/office/drawing/2010/main">
                            <a14:imgLayer r:embed="rId12">
                              <a14:imgEffect>
                                <a14:sharpenSoften amount="25000"/>
                              </a14:imgEffect>
                            </a14:imgLayer>
                          </a14:imgProps>
                        </a:ext>
                      </a:extLst>
                    </a:blip>
                    <a:srcRect l="30728" t="36277" r="29345" b="34774"/>
                    <a:stretch/>
                  </pic:blipFill>
                  <pic:spPr bwMode="auto">
                    <a:xfrm>
                      <a:off x="0" y="0"/>
                      <a:ext cx="4425899" cy="1804893"/>
                    </a:xfrm>
                    <a:prstGeom prst="rect">
                      <a:avLst/>
                    </a:prstGeom>
                    <a:ln>
                      <a:noFill/>
                    </a:ln>
                    <a:extLst>
                      <a:ext uri="{53640926-AAD7-44D8-BBD7-CCE9431645EC}">
                        <a14:shadowObscured xmlns:a14="http://schemas.microsoft.com/office/drawing/2010/main"/>
                      </a:ext>
                    </a:extLst>
                  </pic:spPr>
                </pic:pic>
              </a:graphicData>
            </a:graphic>
          </wp:inline>
        </w:drawing>
      </w:r>
    </w:p>
    <w:p w14:paraId="4FADE46E"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Se estima que en el periodo 2024-2028, el PIB de México registrará un crecimiento real anual de entre 1.9 y 2.9%. De manera puntual, se proyecta una expansión de 2.4% para el periodo en cuestión. Estas </w:t>
      </w:r>
      <w:r w:rsidRPr="00414CDC">
        <w:rPr>
          <w:rFonts w:ascii="Times New Roman" w:hAnsi="Times New Roman"/>
          <w:bCs/>
          <w:lang w:val="es-ES"/>
        </w:rPr>
        <w:lastRenderedPageBreak/>
        <w:t>estimaciones se encuentran en línea con las estimaciones del PIB potencial establecidas en el art. 11C del Reglamento de la LFPRH, aunque ligeramente por arriba de lo publicado en la encuesta de expectativas del sector privado del 1 de julio de 2022 que realizó el Banco de México, en donde la mediana del pronóstico del PIB para los próximos diez años es de 2.0%. En materia de precios se estima que la inflación se ubicará en la meta establecida por el Banco de México de 3.0% durante el periodo 2024-2028. Al considerar dichas proyecciones, se asume que continuará la disminución gradual de la tasa de Cetes a 28 días hasta situarse en 5.5% en 2026.</w:t>
      </w:r>
    </w:p>
    <w:p w14:paraId="5D2133C4" w14:textId="77777777" w:rsidR="00414CDC" w:rsidRPr="00414CDC" w:rsidRDefault="00414CDC" w:rsidP="00414CDC">
      <w:pPr>
        <w:pStyle w:val="PRIMERAPLANA"/>
        <w:spacing w:line="360" w:lineRule="auto"/>
        <w:rPr>
          <w:rFonts w:ascii="Times New Roman" w:hAnsi="Times New Roman"/>
          <w:bCs/>
          <w:lang w:val="es-ES"/>
        </w:rPr>
      </w:pPr>
    </w:p>
    <w:p w14:paraId="5DCBBDF1"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En el periodo 2024-2028, el déficit de la cuenta corriente de la balanza de pagos se mantendrá por debajo del promedio histórico al ubicarse en un nivel promedio de 1.0% del PIB derivado de un desempeño positivo de las remesas, y acorde al crecimiento previsto para EE.UU., así como por la evolución esperada de la balanza comercial petrolera y de servicios en donde México podría continuar registrando un déficit. En cuanto a los precios de la mezcla mexicana, se prevé un precio promedio de 56.9 dpb en el periodo 2024-2028, el cual es consistente con la dinámica que muestra la curva de futuros al mes de agosto. Para la plataforma de producción de crudo, se asume una trayectoria conservadora con respecto a las proyecciones de PEMEX y de las empresas privadas.</w:t>
      </w:r>
    </w:p>
    <w:p w14:paraId="6C42BB49" w14:textId="77777777" w:rsidR="00414CDC" w:rsidRPr="00414CDC" w:rsidRDefault="00414CDC" w:rsidP="00414CDC">
      <w:pPr>
        <w:pStyle w:val="PRIMERAPLANA"/>
        <w:spacing w:line="360" w:lineRule="auto"/>
        <w:rPr>
          <w:rFonts w:ascii="Times New Roman" w:hAnsi="Times New Roman"/>
          <w:bCs/>
          <w:lang w:val="es-ES"/>
        </w:rPr>
      </w:pPr>
    </w:p>
    <w:p w14:paraId="6E566259" w14:textId="5717DF92" w:rsidR="00916798"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El marco macroeconómico descrito se encuentra sujeto a riesgos que podrían modificar las trayectorias estimadas. Los riesgos a la baja y al alza se presentan a continuación</w:t>
      </w:r>
      <w:r w:rsidR="00B15570" w:rsidRPr="00B15570">
        <w:rPr>
          <w:rFonts w:ascii="Times New Roman" w:hAnsi="Times New Roman"/>
          <w:bCs/>
          <w:lang w:val="es-ES"/>
        </w:rPr>
        <w:t>:</w:t>
      </w:r>
    </w:p>
    <w:p w14:paraId="5A9CE492" w14:textId="2D1FCDFF" w:rsidR="00B15570" w:rsidRDefault="00B15570" w:rsidP="00B15570">
      <w:pPr>
        <w:pStyle w:val="PRIMERAPLANA"/>
        <w:spacing w:line="360" w:lineRule="auto"/>
        <w:jc w:val="center"/>
        <w:rPr>
          <w:rFonts w:ascii="Times New Roman" w:hAnsi="Times New Roman"/>
          <w:bCs/>
          <w:lang w:val="es-ES"/>
        </w:rPr>
      </w:pPr>
      <w:r>
        <w:rPr>
          <w:noProof/>
          <w:lang w:val="es-MX" w:eastAsia="es-MX"/>
        </w:rPr>
        <w:drawing>
          <wp:inline distT="0" distB="0" distL="0" distR="0" wp14:anchorId="382E7B64" wp14:editId="2ABC3231">
            <wp:extent cx="4229100" cy="280797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BEBA8EAE-BF5A-486C-A8C5-ECC9F3942E4B}">
                          <a14:imgProps xmlns:a14="http://schemas.microsoft.com/office/drawing/2010/main">
                            <a14:imgLayer r:embed="rId14">
                              <a14:imgEffect>
                                <a14:sharpenSoften amount="25000"/>
                              </a14:imgEffect>
                            </a14:imgLayer>
                          </a14:imgProps>
                        </a:ext>
                      </a:extLst>
                    </a:blip>
                    <a:srcRect l="25915" t="28532" r="25009" b="12737"/>
                    <a:stretch/>
                  </pic:blipFill>
                  <pic:spPr bwMode="auto">
                    <a:xfrm>
                      <a:off x="0" y="0"/>
                      <a:ext cx="4243164" cy="2817308"/>
                    </a:xfrm>
                    <a:prstGeom prst="rect">
                      <a:avLst/>
                    </a:prstGeom>
                    <a:ln>
                      <a:noFill/>
                    </a:ln>
                    <a:extLst>
                      <a:ext uri="{53640926-AAD7-44D8-BBD7-CCE9431645EC}">
                        <a14:shadowObscured xmlns:a14="http://schemas.microsoft.com/office/drawing/2010/main"/>
                      </a:ext>
                    </a:extLst>
                  </pic:spPr>
                </pic:pic>
              </a:graphicData>
            </a:graphic>
          </wp:inline>
        </w:drawing>
      </w:r>
    </w:p>
    <w:p w14:paraId="10DE5187" w14:textId="063B97DD" w:rsidR="00B15570" w:rsidRDefault="00B15570" w:rsidP="00B15570">
      <w:pPr>
        <w:pStyle w:val="PRIMERAPLANA"/>
        <w:spacing w:line="360" w:lineRule="auto"/>
        <w:jc w:val="center"/>
        <w:rPr>
          <w:rFonts w:ascii="Times New Roman" w:hAnsi="Times New Roman"/>
          <w:bCs/>
          <w:lang w:val="es-ES"/>
        </w:rPr>
      </w:pPr>
      <w:r>
        <w:rPr>
          <w:noProof/>
          <w:lang w:val="es-MX" w:eastAsia="es-MX"/>
        </w:rPr>
        <w:lastRenderedPageBreak/>
        <w:drawing>
          <wp:inline distT="0" distB="0" distL="0" distR="0" wp14:anchorId="373D9F93" wp14:editId="2E0FDE99">
            <wp:extent cx="3809365" cy="2762250"/>
            <wp:effectExtent l="0" t="0" r="63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BEBA8EAE-BF5A-486C-A8C5-ECC9F3942E4B}">
                          <a14:imgProps xmlns:a14="http://schemas.microsoft.com/office/drawing/2010/main">
                            <a14:imgLayer r:embed="rId16">
                              <a14:imgEffect>
                                <a14:sharpenSoften amount="25000"/>
                              </a14:imgEffect>
                            </a14:imgLayer>
                          </a14:imgProps>
                        </a:ext>
                      </a:extLst>
                    </a:blip>
                    <a:srcRect l="29541" t="29956" r="28855" b="17761"/>
                    <a:stretch/>
                  </pic:blipFill>
                  <pic:spPr bwMode="auto">
                    <a:xfrm>
                      <a:off x="0" y="0"/>
                      <a:ext cx="3870436" cy="2806534"/>
                    </a:xfrm>
                    <a:prstGeom prst="rect">
                      <a:avLst/>
                    </a:prstGeom>
                    <a:ln>
                      <a:noFill/>
                    </a:ln>
                    <a:extLst>
                      <a:ext uri="{53640926-AAD7-44D8-BBD7-CCE9431645EC}">
                        <a14:shadowObscured xmlns:a14="http://schemas.microsoft.com/office/drawing/2010/main"/>
                      </a:ext>
                    </a:extLst>
                  </pic:spPr>
                </pic:pic>
              </a:graphicData>
            </a:graphic>
          </wp:inline>
        </w:drawing>
      </w:r>
    </w:p>
    <w:p w14:paraId="2114419C" w14:textId="77777777" w:rsidR="00B15570" w:rsidRDefault="00B15570" w:rsidP="00B15570">
      <w:pPr>
        <w:pStyle w:val="PRIMERAPLANA"/>
        <w:spacing w:line="360" w:lineRule="auto"/>
        <w:rPr>
          <w:rFonts w:ascii="Times New Roman" w:hAnsi="Times New Roman"/>
          <w:bCs/>
          <w:lang w:val="es-ES"/>
        </w:rPr>
      </w:pPr>
    </w:p>
    <w:p w14:paraId="70B5D638" w14:textId="3FA4D418" w:rsidR="00B15570" w:rsidRDefault="00414CDC" w:rsidP="00B15570">
      <w:pPr>
        <w:pStyle w:val="PRIMERAPLANA"/>
        <w:spacing w:line="360" w:lineRule="auto"/>
        <w:rPr>
          <w:rFonts w:ascii="Times New Roman" w:hAnsi="Times New Roman"/>
          <w:bCs/>
          <w:lang w:val="es-ES"/>
        </w:rPr>
      </w:pPr>
      <w:r w:rsidRPr="00414CDC">
        <w:rPr>
          <w:rFonts w:ascii="Times New Roman" w:hAnsi="Times New Roman"/>
          <w:bCs/>
          <w:lang w:val="es-ES"/>
        </w:rPr>
        <w:t>Las estimaciones de finanzas públicas para 2023 consideran un marco macroeconómico prudente que incorpora las perspectivas de crecimiento para el año. No obstante, es importante considerar que durante el ejercicio fiscal se pueden presentar desviaciones con respecto a lo esperado en el momento de elaborar y aprobar el Paquete Económico derivado de choques macroeconómicos no previsibles y otros factores. A continuación, se presenta un análisis de sensibilidad que estima el impacto que pudieran tener las desviaciones de las principales variables del marco macroeconómico sobre las estimaciones de ingresos y gasto presentadas en el Paquete Económico 2023. Es importante destacar que el análisis considera desviaciones individuales y no estima el impacto de desviaciones simultáneas</w:t>
      </w:r>
      <w:r w:rsidR="00B15570" w:rsidRPr="00B15570">
        <w:rPr>
          <w:rFonts w:ascii="Times New Roman" w:hAnsi="Times New Roman"/>
          <w:bCs/>
          <w:lang w:val="es-ES"/>
        </w:rPr>
        <w:t>.</w:t>
      </w:r>
    </w:p>
    <w:p w14:paraId="2125BB6A" w14:textId="2E337A46" w:rsidR="00B15570" w:rsidRDefault="00B15570" w:rsidP="00B15570">
      <w:pPr>
        <w:pStyle w:val="PRIMERAPLANA"/>
        <w:spacing w:line="360" w:lineRule="auto"/>
        <w:jc w:val="center"/>
        <w:rPr>
          <w:rFonts w:ascii="Times New Roman" w:hAnsi="Times New Roman"/>
          <w:bCs/>
          <w:lang w:val="es-ES"/>
        </w:rPr>
      </w:pPr>
      <w:r>
        <w:rPr>
          <w:noProof/>
          <w:lang w:val="es-MX" w:eastAsia="es-MX"/>
        </w:rPr>
        <w:drawing>
          <wp:inline distT="0" distB="0" distL="0" distR="0" wp14:anchorId="07E6AB5F" wp14:editId="1B935453">
            <wp:extent cx="4046220" cy="2505075"/>
            <wp:effectExtent l="0" t="0" r="0"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BEBA8EAE-BF5A-486C-A8C5-ECC9F3942E4B}">
                          <a14:imgProps xmlns:a14="http://schemas.microsoft.com/office/drawing/2010/main">
                            <a14:imgLayer r:embed="rId18">
                              <a14:imgEffect>
                                <a14:sharpenSoften amount="25000"/>
                              </a14:imgEffect>
                            </a14:imgLayer>
                          </a14:imgProps>
                        </a:ext>
                      </a:extLst>
                    </a:blip>
                    <a:srcRect l="24997" t="25272" r="24560" b="12743"/>
                    <a:stretch/>
                  </pic:blipFill>
                  <pic:spPr bwMode="auto">
                    <a:xfrm>
                      <a:off x="0" y="0"/>
                      <a:ext cx="4054933" cy="2510469"/>
                    </a:xfrm>
                    <a:prstGeom prst="rect">
                      <a:avLst/>
                    </a:prstGeom>
                    <a:ln>
                      <a:noFill/>
                    </a:ln>
                    <a:extLst>
                      <a:ext uri="{53640926-AAD7-44D8-BBD7-CCE9431645EC}">
                        <a14:shadowObscured xmlns:a14="http://schemas.microsoft.com/office/drawing/2010/main"/>
                      </a:ext>
                    </a:extLst>
                  </pic:spPr>
                </pic:pic>
              </a:graphicData>
            </a:graphic>
          </wp:inline>
        </w:drawing>
      </w:r>
    </w:p>
    <w:p w14:paraId="4F725816"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lastRenderedPageBreak/>
        <w:t>El Gobierno Federal diseña e implementa las políticas económica y fiscal bajo un esquema de prevención de riesgos de corto y largo plazo con la finalidad de garantizar la estabilidad macroeconómica y la sostenibilidad de las finanzas públicas, incluso ante la presencia de escenarios con baja probabilidad de ocurrencia o de cambios estructurales que puedan generar presiones fiscales en el futuro. Entre estos riesgos se encuentran las presiones de gasto asociadas a cambios demográficos de la población que impactan los sistemas de salud y el sistema pensionario de México, así como la materialización de desastres naturales y la transición a una economía con menores emisiones de carbono. Dichos factores tienen el potencial de generar desajustes fiscales en un año determinado y podrían requerir cambios de política o medidas para enfrentarlos.</w:t>
      </w:r>
    </w:p>
    <w:p w14:paraId="70AA270B" w14:textId="77777777" w:rsidR="00414CDC" w:rsidRPr="00414CDC" w:rsidRDefault="00414CDC" w:rsidP="00414CDC">
      <w:pPr>
        <w:pStyle w:val="PRIMERAPLANA"/>
        <w:spacing w:line="360" w:lineRule="auto"/>
        <w:rPr>
          <w:rFonts w:ascii="Times New Roman" w:hAnsi="Times New Roman"/>
          <w:bCs/>
          <w:lang w:val="es-ES"/>
        </w:rPr>
      </w:pPr>
    </w:p>
    <w:p w14:paraId="4AA8D625"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Acorde con un escenario conservador, en la ILIF 2023 se estiman mayores ingresos petroleros por 176.6 mil millones de pesos respecto a los presupuestados en la LIF 2022, principalmente por el efecto del mayor precio y producción del petróleo utilizados para el próximo año. Sin embargo, respecto a los ingresos petroleros estimados para el cierre de 2022, los estimados para 2023 son menores en 241.0 mil millones de pesos, lo que implica una disminución anual de 15.5%. Lo anterior se debe, fundamentalmente, a que el precio del petróleo para 2023 que se obtiene a partir de la fórmula del precio de referencia, según lo establecido en los artículos 31 de la LFPRH y 15 de su reglamento, es 26.6% menor al precio promedio esperado para 2022. Dicha reducción en el precio se compensa parcialmente con un aumento en la plataforma de producción para 2023 de 2.0% respecto a la esperada para el cierre del presente año.</w:t>
      </w:r>
    </w:p>
    <w:p w14:paraId="4A2C1ABD" w14:textId="77777777" w:rsidR="00414CDC" w:rsidRPr="00414CDC" w:rsidRDefault="00414CDC" w:rsidP="00414CDC">
      <w:pPr>
        <w:pStyle w:val="PRIMERAPLANA"/>
        <w:spacing w:line="360" w:lineRule="auto"/>
        <w:rPr>
          <w:rFonts w:ascii="Times New Roman" w:hAnsi="Times New Roman"/>
          <w:bCs/>
          <w:lang w:val="es-ES"/>
        </w:rPr>
      </w:pPr>
    </w:p>
    <w:p w14:paraId="190AA193" w14:textId="77777777" w:rsid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Se estima que los ingresos tributarios totales en 2023 se ubicarán en 4,620.2 mil millones de pesos y tendrán un crecimiento anual de 9.9%. Excluyendo el IEPS de gasolinas sumarán 4,341.8 mil millones pesos, con un crecimiento anual de 1.3%. Destaca que para el cierre de 2022 la estimación de crecimiento de los ingresos tributarios excluyendo el IEPS de gasolinas es de 13.2%. Este incremento en los ingresos tributarios asociados a la actividad económica está considerablemente por encima del estimado de crecimiento del PIB para este año. Esos ingresos presentan un comportamiento notable, el cual se explica por la materialización de una serie de medidas tributarias establecidas desde 2019, y mejoras en la eficiencia recaudatoria.</w:t>
      </w:r>
    </w:p>
    <w:p w14:paraId="66BBF671" w14:textId="77777777" w:rsidR="004B5116" w:rsidRPr="00414CDC" w:rsidRDefault="004B5116" w:rsidP="00414CDC">
      <w:pPr>
        <w:pStyle w:val="PRIMERAPLANA"/>
        <w:spacing w:line="360" w:lineRule="auto"/>
        <w:rPr>
          <w:rFonts w:ascii="Times New Roman" w:hAnsi="Times New Roman"/>
          <w:bCs/>
          <w:lang w:val="es-ES"/>
        </w:rPr>
      </w:pPr>
    </w:p>
    <w:p w14:paraId="47E540DF"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El ritmo de crecimiento de los ingresos tributarios en 2023 se explica en parte por ingresos no recurrentes materializados en 2022 derivados de la declaración anual de impuestos que realizaron las empresas en el segundo bimestre del presente año. Esos recursos excedentes fueron de 30 mil millones de pesos. Adicionalmente, en las proyecciones de 2023 se incorpora el impacto recaudatorio en el ISR </w:t>
      </w:r>
      <w:r w:rsidRPr="00414CDC">
        <w:rPr>
          <w:rFonts w:ascii="Times New Roman" w:hAnsi="Times New Roman"/>
          <w:bCs/>
          <w:lang w:val="es-ES"/>
        </w:rPr>
        <w:lastRenderedPageBreak/>
        <w:t>de la actualización por inflación de los tramos de ingreso de las tarifas de ISR de personas físicas. La actualización por inflación es una transferencia de ingreso en favor de los hogares y que opera eliminando el impuesto adicional que genera la inflación en el ingreso laboral neto. Esta transferencia se estima en 29 mil millones de pesos.</w:t>
      </w:r>
    </w:p>
    <w:p w14:paraId="40F674E4" w14:textId="77777777" w:rsidR="00414CDC" w:rsidRPr="00414CDC" w:rsidRDefault="00414CDC" w:rsidP="00414CDC">
      <w:pPr>
        <w:pStyle w:val="PRIMERAPLANA"/>
        <w:spacing w:line="360" w:lineRule="auto"/>
        <w:rPr>
          <w:rFonts w:ascii="Times New Roman" w:hAnsi="Times New Roman"/>
          <w:bCs/>
          <w:lang w:val="es-ES"/>
        </w:rPr>
      </w:pPr>
    </w:p>
    <w:p w14:paraId="49EF2C6A"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En la ILIF 2023 se presupuestan ingresos no tributarios del Gobierno Federal por un monto de 237.3 mil millones de pesos lo que implica una reducción de 25.8% en términos reales con respecto al cierre estimado del año, esto debido, principalmente, a que en 2022 se incluyeron ingresos excedentes con destino específico. Finalmente, con respecto a los ingresos de organismos y empresas distintos de Pemex se estima prácticamente el mismo nivel real respecto a lo aprobado en 2022.</w:t>
      </w:r>
    </w:p>
    <w:p w14:paraId="7787B353" w14:textId="77777777" w:rsidR="00414CDC" w:rsidRPr="00414CDC" w:rsidRDefault="00414CDC" w:rsidP="00414CDC">
      <w:pPr>
        <w:pStyle w:val="PRIMERAPLANA"/>
        <w:spacing w:line="360" w:lineRule="auto"/>
        <w:rPr>
          <w:rFonts w:ascii="Times New Roman" w:hAnsi="Times New Roman"/>
          <w:bCs/>
          <w:lang w:val="es-ES"/>
        </w:rPr>
      </w:pPr>
    </w:p>
    <w:p w14:paraId="2BF768AC"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Paralelamente, la política de gasto se alinea con las prioridades establecidas en los tres Ejes del PND 2019-2024: Política y Gobierno, Política Social y Economía, por lo que el proyecto de presupuesto para el ejercicio fiscal 2023, propone una asignación de recursos orientada al fortalecimiento del Estado de derecho y la seguridad ciudadana; refuerza la vocación social del Estado; e impulsa un crecimiento y desarrollo inclusivos, procurando un ejercicio del gasto austero, eficiente, directo y transparente. Como un sello distintivo de la gestión gubernamental sustentada en el presupuesto público, el PPEF 2023 pone especial énfasis en la promoción de las acciones encaminadas a superar las condiciones de pobreza y marginación que afectan a un sector importante de la población. Así, se propone un gasto en desarrollo social de 3,900.7 mil millones de pesos, que representa el 65.5% del gasto programable total y crece a una tasa real de 9.1% con relación al aprobado de 2022. En línea con este perfil que privilegia la atención de las prioridades de la población, se propone un gasto para la función Protección Social de 1,750.9 mil millones de pesos, superior en 12.7% real comparado con el monto establecido en el PEF 2022.</w:t>
      </w:r>
    </w:p>
    <w:p w14:paraId="4D774927" w14:textId="77777777" w:rsidR="00414CDC" w:rsidRPr="00414CDC" w:rsidRDefault="00414CDC" w:rsidP="00414CDC">
      <w:pPr>
        <w:pStyle w:val="PRIMERAPLANA"/>
        <w:spacing w:line="360" w:lineRule="auto"/>
        <w:rPr>
          <w:rFonts w:ascii="Times New Roman" w:hAnsi="Times New Roman"/>
          <w:bCs/>
          <w:lang w:val="es-ES"/>
        </w:rPr>
      </w:pPr>
    </w:p>
    <w:p w14:paraId="743E3F9F"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 xml:space="preserve">Para los ramos administrativos se prevén 1,848.3 mil millones de pesos, que representa un incremento de 16.3% real respecto al PEF 2022. El 69.1% del total de los ramos administrativos se concentra en cinco ramos: Bienestar, Educación, Salud, Turismo y Defensa. Para el ramo Bienestar, se propone un gasto de 408.3 mil millones de pesos, lo que representa un importante incremento de 30.0% real respecto al aprobado para 2022. Para el ramo Educación, se prevé un gasto de 402.3 mil millones de pesos, 5.1% más en términos reales que el aprobado para 2022. Para el ramo Salud, se estima un gasto de 209.6 mil millones de pesos, 3.0% más que para aprobado de 2022. Para Turismo se proponen 145.6 mil millones de pesos, 111.2% más en términos reales que el aprobado de 2022. Para Defensa, se proponen 111.9 mil millones de pesos, 2.4% real más que en 2022. Se propone un gasto para los Ramos </w:t>
      </w:r>
      <w:r w:rsidRPr="00414CDC">
        <w:rPr>
          <w:rFonts w:ascii="Times New Roman" w:hAnsi="Times New Roman"/>
          <w:bCs/>
          <w:lang w:val="es-ES"/>
        </w:rPr>
        <w:lastRenderedPageBreak/>
        <w:t>Generales de 2,394.9 mil millones de pesos, lo que significa 7.8% más en términos reales que el aprobado de 2022. El gasto programable de las entidades de control presupuestario directo para 2023 se estima en 1,604.7 mil millones de pesos, es decir, 8.6% más en términos reales que el aprobado para el ejercicio fiscal de 2022.</w:t>
      </w:r>
    </w:p>
    <w:p w14:paraId="131BAA87" w14:textId="77777777" w:rsidR="00414CDC" w:rsidRPr="00414CDC" w:rsidRDefault="00414CDC" w:rsidP="00414CDC">
      <w:pPr>
        <w:pStyle w:val="PRIMERAPLANA"/>
        <w:spacing w:line="360" w:lineRule="auto"/>
        <w:rPr>
          <w:rFonts w:ascii="Times New Roman" w:hAnsi="Times New Roman"/>
          <w:bCs/>
          <w:lang w:val="es-ES"/>
        </w:rPr>
      </w:pPr>
    </w:p>
    <w:p w14:paraId="2769C8F2"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Para 2023 el nivel de deuda, medido por el SHRFSP, permanecerá en un nivel de 49.4% del PIB. La sostenibilidad de la deuda es resultado de una política fiscal prudente del Gobierno de México, centrada en déficits controlados y moderados, una política activa de refinanciamiento de la deuda externa y la constante búsqueda y diversificación de la base de inversionistas. Estas características continuarán a lo largo de esta administración y permitirán mantener una trayectoria estable y sostenida de la deuda hacia el final de la administración.</w:t>
      </w:r>
    </w:p>
    <w:p w14:paraId="204EC5D5" w14:textId="77777777" w:rsidR="00414CDC" w:rsidRPr="00414CDC" w:rsidRDefault="00414CDC" w:rsidP="00414CDC">
      <w:pPr>
        <w:pStyle w:val="PRIMERAPLANA"/>
        <w:spacing w:line="360" w:lineRule="auto"/>
        <w:rPr>
          <w:rFonts w:ascii="Times New Roman" w:hAnsi="Times New Roman"/>
          <w:bCs/>
          <w:lang w:val="es-ES"/>
        </w:rPr>
      </w:pPr>
    </w:p>
    <w:p w14:paraId="09082EA9"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La política de endeudamiento durante 2023 se mantendrá en estricto apego a los techos de endeudamiento autorizados por el H. Congreso de la Unión y tendrá como eje principal el fortalecimiento de la emisión de bonos soberanos como una medida para obtener liquidez, incluyendo los bonos sostenibles cuyo objetivo es construir un sistema de financiamiento encaminado a combatir el cambio climático y a cerrar brechas sociales en el país al más bajo costo. Se continuará privilegiando la adquisición de deuda en el mercado local a través de instrumentos a tasa fija, con lo cual se reduce el riesgo asociado a una revaluación de la deuda debido a una depreciación del tipo de cambio o a movimientos en las tasas de interés.</w:t>
      </w:r>
    </w:p>
    <w:p w14:paraId="19F2B84D" w14:textId="77777777" w:rsidR="00414CDC" w:rsidRPr="00414CDC" w:rsidRDefault="00414CDC" w:rsidP="00414CDC">
      <w:pPr>
        <w:pStyle w:val="PRIMERAPLANA"/>
        <w:spacing w:line="360" w:lineRule="auto"/>
        <w:rPr>
          <w:rFonts w:ascii="Times New Roman" w:hAnsi="Times New Roman"/>
          <w:bCs/>
          <w:lang w:val="es-ES"/>
        </w:rPr>
      </w:pPr>
    </w:p>
    <w:p w14:paraId="0F953093"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Para 2023, la política de deuda interna estará alineada con una participación activa en el mercado de deuda local, buscando oportunidades para ejecutar operaciones estratégicas que resulten en una mejora en el perfil de vencimientos y en una reducción del riesgo asociado al refinanciamiento del portafolio de deuda. Estas operaciones buscarán proveer de una mayor liquidez y profundidad al mercado de deuda local, al tiempo que le permiten seguir con un buen funcionamiento.</w:t>
      </w:r>
    </w:p>
    <w:p w14:paraId="53EA4B27" w14:textId="77777777" w:rsidR="004B5116" w:rsidRDefault="004B5116" w:rsidP="00414CDC">
      <w:pPr>
        <w:pStyle w:val="PRIMERAPLANA"/>
        <w:spacing w:line="360" w:lineRule="auto"/>
        <w:rPr>
          <w:rFonts w:ascii="Times New Roman" w:hAnsi="Times New Roman"/>
          <w:bCs/>
          <w:lang w:val="es-ES"/>
        </w:rPr>
      </w:pPr>
    </w:p>
    <w:p w14:paraId="69753FA2" w14:textId="77777777" w:rsidR="00414CDC" w:rsidRPr="00414CDC"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t>En este contexto, se estima que en 2023 la deuda interna de valores gubernamentales será en un 47.7% a tasa nominal fija y de largo plazo, un 79.1% a tasa fija y de largo plazo, mientras que el plazo promedio y la duración de la deuda interna serán de 7.9 y 4.5 años, respectivamente. Para 2023 la política de crédito externo tendrá como objetivo mantener el adecuado funcionamiento de los mercados líquidos en los que opera México, incluyendo los mercados sostenibles.</w:t>
      </w:r>
    </w:p>
    <w:p w14:paraId="52170796" w14:textId="77777777" w:rsidR="00414CDC" w:rsidRPr="00414CDC" w:rsidRDefault="00414CDC" w:rsidP="00414CDC">
      <w:pPr>
        <w:pStyle w:val="PRIMERAPLANA"/>
        <w:spacing w:line="360" w:lineRule="auto"/>
        <w:rPr>
          <w:rFonts w:ascii="Times New Roman" w:hAnsi="Times New Roman"/>
          <w:bCs/>
          <w:lang w:val="es-ES"/>
        </w:rPr>
      </w:pPr>
    </w:p>
    <w:p w14:paraId="31DB5BF7" w14:textId="588AE83F" w:rsidR="00B15570" w:rsidRPr="00A26891" w:rsidRDefault="00414CDC" w:rsidP="00414CDC">
      <w:pPr>
        <w:pStyle w:val="PRIMERAPLANA"/>
        <w:spacing w:line="360" w:lineRule="auto"/>
        <w:rPr>
          <w:rFonts w:ascii="Times New Roman" w:hAnsi="Times New Roman"/>
          <w:bCs/>
          <w:lang w:val="es-ES"/>
        </w:rPr>
      </w:pPr>
      <w:r w:rsidRPr="00414CDC">
        <w:rPr>
          <w:rFonts w:ascii="Times New Roman" w:hAnsi="Times New Roman"/>
          <w:bCs/>
          <w:lang w:val="es-ES"/>
        </w:rPr>
        <w:lastRenderedPageBreak/>
        <w:t>Para el ejercicio fiscal 2023, el Gobierno Federal continuará impulsando el desarrollo sostenible, la inclusión, la competencia y la profundización del sistema financiero en favor del bienestar de la población y de la asignación eficiente de los recursos. Asimismo, en estrecha colaboración con autoridades financieras, se mantendrán las acciones orientadas a consolidar el marco regulatorio y eficientar procesos administrativos, de tal manera que se asegure el sano desarrollo del sector, salvaguardando la estabilidad del propio sistema</w:t>
      </w:r>
      <w:r w:rsidR="00B15570" w:rsidRPr="00B15570">
        <w:rPr>
          <w:rFonts w:ascii="Times New Roman" w:hAnsi="Times New Roman"/>
          <w:bCs/>
          <w:lang w:val="es-ES"/>
        </w:rPr>
        <w:t>.</w:t>
      </w:r>
    </w:p>
    <w:p w14:paraId="237E0F11" w14:textId="77777777" w:rsidR="00916798" w:rsidRPr="0096089D" w:rsidRDefault="00916798" w:rsidP="00916798">
      <w:pPr>
        <w:pStyle w:val="PRIMERAPLANA"/>
        <w:spacing w:line="360" w:lineRule="auto"/>
        <w:rPr>
          <w:rFonts w:ascii="Times New Roman" w:hAnsi="Times New Roman"/>
          <w:bCs/>
          <w:lang w:val="es-ES"/>
        </w:rPr>
      </w:pPr>
    </w:p>
    <w:p w14:paraId="3614B3DA" w14:textId="77777777" w:rsidR="00916798" w:rsidRPr="0096089D" w:rsidRDefault="00916798" w:rsidP="00916798">
      <w:pPr>
        <w:spacing w:line="360" w:lineRule="auto"/>
        <w:jc w:val="both"/>
        <w:rPr>
          <w:b/>
          <w:bCs/>
          <w:sz w:val="20"/>
          <w:szCs w:val="20"/>
        </w:rPr>
      </w:pPr>
      <w:r w:rsidRPr="0096089D">
        <w:rPr>
          <w:b/>
          <w:bCs/>
          <w:sz w:val="20"/>
          <w:szCs w:val="20"/>
        </w:rPr>
        <w:t>ENTORNO LOCAL</w:t>
      </w:r>
    </w:p>
    <w:p w14:paraId="53448045" w14:textId="77777777" w:rsidR="00916798" w:rsidRPr="0096089D" w:rsidRDefault="00916798" w:rsidP="00916798">
      <w:pPr>
        <w:pStyle w:val="PRIMERAPLANA"/>
        <w:spacing w:line="360" w:lineRule="auto"/>
        <w:rPr>
          <w:rFonts w:ascii="Times New Roman" w:hAnsi="Times New Roman"/>
          <w:lang w:val="es-ES"/>
        </w:rPr>
      </w:pPr>
    </w:p>
    <w:p w14:paraId="16932E69" w14:textId="77777777" w:rsidR="00414CDC" w:rsidRPr="00414CDC" w:rsidRDefault="00414CDC" w:rsidP="00414CDC">
      <w:pPr>
        <w:spacing w:line="360" w:lineRule="auto"/>
        <w:jc w:val="both"/>
        <w:rPr>
          <w:iCs/>
          <w:sz w:val="20"/>
          <w:szCs w:val="20"/>
        </w:rPr>
      </w:pPr>
      <w:r w:rsidRPr="00414CDC">
        <w:rPr>
          <w:iCs/>
          <w:sz w:val="20"/>
          <w:szCs w:val="20"/>
        </w:rPr>
        <w:t xml:space="preserve">El Estado de Tlaxcala cuenta con una población cercana a 1.3 millones de habitantes, siendo el Estado más pequeño del país en términos de producción económica. La economía del Estado es débil en relación con otras Entidades Federativas, lo que limita su capacidad de generación de ingresos de la base fiscal regional. </w:t>
      </w:r>
    </w:p>
    <w:p w14:paraId="27682CC7" w14:textId="77777777" w:rsidR="00414CDC" w:rsidRPr="00414CDC" w:rsidRDefault="00414CDC" w:rsidP="00414CDC">
      <w:pPr>
        <w:spacing w:line="360" w:lineRule="auto"/>
        <w:jc w:val="both"/>
        <w:rPr>
          <w:iCs/>
          <w:sz w:val="20"/>
          <w:szCs w:val="20"/>
        </w:rPr>
      </w:pPr>
    </w:p>
    <w:p w14:paraId="6440DACF" w14:textId="0741370D" w:rsidR="00916798" w:rsidRDefault="00414CDC" w:rsidP="00414CDC">
      <w:pPr>
        <w:spacing w:line="360" w:lineRule="auto"/>
        <w:jc w:val="both"/>
        <w:rPr>
          <w:iCs/>
          <w:sz w:val="20"/>
          <w:szCs w:val="20"/>
        </w:rPr>
      </w:pPr>
      <w:r w:rsidRPr="00414CDC">
        <w:rPr>
          <w:iCs/>
          <w:sz w:val="20"/>
          <w:szCs w:val="20"/>
        </w:rPr>
        <w:t>El impacto económico derivado de</w:t>
      </w:r>
      <w:r w:rsidR="00B23788">
        <w:rPr>
          <w:iCs/>
          <w:sz w:val="20"/>
          <w:szCs w:val="20"/>
        </w:rPr>
        <w:t xml:space="preserve"> </w:t>
      </w:r>
      <w:r w:rsidRPr="00414CDC">
        <w:rPr>
          <w:iCs/>
          <w:sz w:val="20"/>
          <w:szCs w:val="20"/>
        </w:rPr>
        <w:t>l</w:t>
      </w:r>
      <w:r w:rsidR="00B23788">
        <w:rPr>
          <w:iCs/>
          <w:sz w:val="20"/>
          <w:szCs w:val="20"/>
        </w:rPr>
        <w:t>a</w:t>
      </w:r>
      <w:r w:rsidRPr="00414CDC">
        <w:rPr>
          <w:iCs/>
          <w:sz w:val="20"/>
          <w:szCs w:val="20"/>
        </w:rPr>
        <w:t xml:space="preserve"> COVID-19 se dio principalmente a través del cierre de actividades no esenciales que se implementaron con el objetivo de reducir los contagios. Un indicador que da cuenta sobre la actividad económica es el Indicador Trimestral de la Actividad Económica Estatal (ITAEE) reportado por el INEGI, en el que se aprecia el impacto del cierre de actividades en la economía de Tlaxcala, ya que principios de 2019 se había logrado un crecimiento esperanzador en este indicador, pero en el segundo trimestre de 2020, se tuvo una caída de 21.6 % en términos anuales y; para el tercer trimestre la caída fue del 14.3 %. Los datos para el cuarto trimestre presentan una ligera recuperación; sin embargo, ésta no logrará superar los niveles del año previo. En enero-marzo de 2022, a tasa trimestral y con cifras ajustadas estacionalmente, las entidades federativas que mostraron los aumentos más pronunciados en su actividad económica fueron: Hidalgo, Aguascalientes, San Luis Potosí y Chihuahua. En el primer trimestre de 2022, a tasa anual y con cifras desestacionalizadas, los estados que reportaron los avances más significativos fueron: Baja California Sur, Tabasco, Quintana Roo, Hidalgo, Guerrero y Morelos. Durante el primer trimestre de 2022, la actividad económica de Tlaxcala mostró un crecimiento anual de 2.7 %, que resultó de la evolución de las Actividades Secundarias y Terciarias de 5.2 y 1.5 %, respectivamente, y del retroceso de las Primarias de 0.4%, principalmente por el comportamiento de la agricultura</w:t>
      </w:r>
      <w:r w:rsidR="00B15570" w:rsidRPr="00B15570">
        <w:rPr>
          <w:iCs/>
          <w:sz w:val="20"/>
          <w:szCs w:val="20"/>
        </w:rPr>
        <w:t>.</w:t>
      </w:r>
    </w:p>
    <w:p w14:paraId="5B13AD36" w14:textId="77777777" w:rsidR="00B15570" w:rsidRPr="0096089D" w:rsidRDefault="00B15570" w:rsidP="00B15570">
      <w:pPr>
        <w:spacing w:line="360" w:lineRule="auto"/>
        <w:jc w:val="both"/>
        <w:rPr>
          <w:sz w:val="20"/>
          <w:szCs w:val="20"/>
        </w:rPr>
      </w:pPr>
    </w:p>
    <w:p w14:paraId="3BE3CA85" w14:textId="77777777" w:rsidR="00B15570" w:rsidRDefault="00B15570" w:rsidP="00916798">
      <w:pPr>
        <w:spacing w:line="360" w:lineRule="auto"/>
        <w:jc w:val="center"/>
        <w:rPr>
          <w:b/>
          <w:sz w:val="20"/>
          <w:szCs w:val="20"/>
        </w:rPr>
      </w:pPr>
    </w:p>
    <w:p w14:paraId="2CDD1913" w14:textId="77777777" w:rsidR="00B15570" w:rsidRDefault="00B15570" w:rsidP="00916798">
      <w:pPr>
        <w:spacing w:line="360" w:lineRule="auto"/>
        <w:jc w:val="center"/>
        <w:rPr>
          <w:b/>
          <w:sz w:val="20"/>
          <w:szCs w:val="20"/>
        </w:rPr>
      </w:pPr>
    </w:p>
    <w:p w14:paraId="3917AFB1" w14:textId="77777777" w:rsidR="00B15570" w:rsidRDefault="00B15570" w:rsidP="00916798">
      <w:pPr>
        <w:spacing w:line="360" w:lineRule="auto"/>
        <w:jc w:val="center"/>
        <w:rPr>
          <w:b/>
          <w:sz w:val="20"/>
          <w:szCs w:val="20"/>
        </w:rPr>
      </w:pPr>
    </w:p>
    <w:p w14:paraId="5CBBDF35" w14:textId="77777777" w:rsidR="00B15570" w:rsidRDefault="00B15570" w:rsidP="00916798">
      <w:pPr>
        <w:spacing w:line="360" w:lineRule="auto"/>
        <w:jc w:val="center"/>
        <w:rPr>
          <w:b/>
          <w:sz w:val="20"/>
          <w:szCs w:val="20"/>
        </w:rPr>
      </w:pPr>
    </w:p>
    <w:p w14:paraId="2E6EE027" w14:textId="77777777" w:rsidR="00B15570" w:rsidRDefault="00B15570" w:rsidP="00916798">
      <w:pPr>
        <w:spacing w:line="360" w:lineRule="auto"/>
        <w:jc w:val="center"/>
        <w:rPr>
          <w:b/>
          <w:sz w:val="20"/>
          <w:szCs w:val="20"/>
        </w:rPr>
      </w:pPr>
    </w:p>
    <w:p w14:paraId="6E9A0138" w14:textId="77777777" w:rsidR="00B15570" w:rsidRDefault="00B15570" w:rsidP="00916798">
      <w:pPr>
        <w:spacing w:line="360" w:lineRule="auto"/>
        <w:jc w:val="center"/>
        <w:rPr>
          <w:b/>
          <w:sz w:val="20"/>
          <w:szCs w:val="20"/>
        </w:rPr>
      </w:pPr>
    </w:p>
    <w:p w14:paraId="2717329C" w14:textId="12E37114" w:rsidR="00916798" w:rsidRDefault="00B15570" w:rsidP="00916798">
      <w:pPr>
        <w:spacing w:line="360" w:lineRule="auto"/>
        <w:jc w:val="center"/>
        <w:rPr>
          <w:b/>
          <w:sz w:val="20"/>
          <w:szCs w:val="20"/>
        </w:rPr>
      </w:pPr>
      <w:r>
        <w:rPr>
          <w:b/>
          <w:sz w:val="20"/>
          <w:szCs w:val="20"/>
        </w:rPr>
        <w:t>TASA DE CRECIMIENTO ANUAL</w:t>
      </w:r>
    </w:p>
    <w:p w14:paraId="4118ACC6" w14:textId="6AA90284" w:rsidR="00B15570" w:rsidRDefault="00B15570" w:rsidP="00916798">
      <w:pPr>
        <w:spacing w:line="360" w:lineRule="auto"/>
        <w:jc w:val="center"/>
        <w:rPr>
          <w:b/>
          <w:sz w:val="20"/>
          <w:szCs w:val="20"/>
        </w:rPr>
      </w:pPr>
      <w:r>
        <w:rPr>
          <w:noProof/>
          <w:lang w:val="es-MX" w:eastAsia="es-MX"/>
        </w:rPr>
        <w:drawing>
          <wp:inline distT="0" distB="0" distL="0" distR="0" wp14:anchorId="70D272F1" wp14:editId="7B2F6DAA">
            <wp:extent cx="4162425" cy="2001456"/>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6013" t="26611" r="19062" b="13324"/>
                    <a:stretch/>
                  </pic:blipFill>
                  <pic:spPr bwMode="auto">
                    <a:xfrm>
                      <a:off x="0" y="0"/>
                      <a:ext cx="4162425" cy="2001456"/>
                    </a:xfrm>
                    <a:prstGeom prst="rect">
                      <a:avLst/>
                    </a:prstGeom>
                    <a:ln>
                      <a:noFill/>
                    </a:ln>
                    <a:extLst>
                      <a:ext uri="{53640926-AAD7-44D8-BBD7-CCE9431645EC}">
                        <a14:shadowObscured xmlns:a14="http://schemas.microsoft.com/office/drawing/2010/main"/>
                      </a:ext>
                    </a:extLst>
                  </pic:spPr>
                </pic:pic>
              </a:graphicData>
            </a:graphic>
          </wp:inline>
        </w:drawing>
      </w:r>
    </w:p>
    <w:p w14:paraId="1B85CF24" w14:textId="63083E01" w:rsidR="00B75220" w:rsidRPr="00B75220" w:rsidRDefault="00B75220" w:rsidP="00916798">
      <w:pPr>
        <w:spacing w:line="360" w:lineRule="auto"/>
        <w:jc w:val="center"/>
        <w:rPr>
          <w:b/>
          <w:sz w:val="12"/>
          <w:szCs w:val="12"/>
        </w:rPr>
      </w:pPr>
      <w:r w:rsidRPr="00B75220">
        <w:rPr>
          <w:b/>
          <w:sz w:val="12"/>
          <w:szCs w:val="12"/>
        </w:rPr>
        <w:t>Fuente: Elaborado por México, ¿cómo vamos? con datos del ITAEE, serie ajustada, del Banco de Información Económica del INEGI</w:t>
      </w:r>
    </w:p>
    <w:p w14:paraId="3FFD445E" w14:textId="77777777" w:rsidR="00916798" w:rsidRDefault="00916798" w:rsidP="00916798">
      <w:pPr>
        <w:spacing w:line="360" w:lineRule="auto"/>
        <w:jc w:val="both"/>
        <w:rPr>
          <w:rFonts w:ascii="Arial" w:hAnsi="Arial" w:cs="Arial"/>
          <w:b/>
          <w:sz w:val="10"/>
        </w:rPr>
      </w:pPr>
    </w:p>
    <w:p w14:paraId="72349EBD" w14:textId="47EA5643" w:rsidR="00916798" w:rsidRDefault="00B75220" w:rsidP="00916798">
      <w:pPr>
        <w:spacing w:line="360" w:lineRule="auto"/>
        <w:jc w:val="center"/>
        <w:rPr>
          <w:rFonts w:ascii="Arial" w:hAnsi="Arial" w:cs="Arial"/>
          <w:b/>
          <w:sz w:val="10"/>
        </w:rPr>
      </w:pPr>
      <w:r>
        <w:rPr>
          <w:rFonts w:ascii="Arial" w:hAnsi="Arial" w:cs="Arial"/>
          <w:b/>
          <w:noProof/>
          <w:sz w:val="10"/>
          <w:lang w:val="es-MX" w:eastAsia="es-MX"/>
        </w:rPr>
        <w:drawing>
          <wp:inline distT="0" distB="0" distL="0" distR="0" wp14:anchorId="4C83ADAC" wp14:editId="510B6139">
            <wp:extent cx="4884078" cy="264795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84078" cy="2647950"/>
                    </a:xfrm>
                    <a:prstGeom prst="rect">
                      <a:avLst/>
                    </a:prstGeom>
                    <a:noFill/>
                  </pic:spPr>
                </pic:pic>
              </a:graphicData>
            </a:graphic>
          </wp:inline>
        </w:drawing>
      </w:r>
    </w:p>
    <w:p w14:paraId="716E176B" w14:textId="76CCE1E5" w:rsidR="00916798" w:rsidRDefault="00916798" w:rsidP="00916798">
      <w:pPr>
        <w:spacing w:line="360" w:lineRule="auto"/>
        <w:jc w:val="center"/>
        <w:rPr>
          <w:rFonts w:ascii="Arial" w:hAnsi="Arial" w:cs="Arial"/>
          <w:b/>
          <w:sz w:val="10"/>
        </w:rPr>
      </w:pPr>
    </w:p>
    <w:p w14:paraId="30334294" w14:textId="31599D10" w:rsidR="00916798" w:rsidRDefault="00414CDC" w:rsidP="00916798">
      <w:pPr>
        <w:pStyle w:val="PRIMERAPLANA"/>
        <w:spacing w:line="360" w:lineRule="auto"/>
        <w:rPr>
          <w:rFonts w:ascii="Times New Roman" w:hAnsi="Times New Roman"/>
          <w:lang w:val="es-ES"/>
        </w:rPr>
      </w:pPr>
      <w:r w:rsidRPr="00414CDC">
        <w:rPr>
          <w:rFonts w:ascii="Times New Roman" w:hAnsi="Times New Roman"/>
          <w:lang w:val="es-ES"/>
        </w:rPr>
        <w:t>El total de la economía en la Región Centro-Sur del país ascendió 3.6 % con respecto al mismo periodo del año anterior. Las Actividades Secundarias y Terciarias crecieron y tuvieron una variación anual de 4.3 y 3.9 %, respectivamente; por su parte, las Primarias disminuyeron 2.5 por ciento</w:t>
      </w:r>
      <w:r w:rsidR="00B75220" w:rsidRPr="00B75220">
        <w:rPr>
          <w:rFonts w:ascii="Times New Roman" w:hAnsi="Times New Roman"/>
          <w:lang w:val="es-ES"/>
        </w:rPr>
        <w:t>.</w:t>
      </w:r>
    </w:p>
    <w:p w14:paraId="50EE19F0" w14:textId="5965FE14" w:rsidR="00B75220" w:rsidRDefault="00B75220" w:rsidP="00916798">
      <w:pPr>
        <w:pStyle w:val="PRIMERAPLANA"/>
        <w:spacing w:line="360" w:lineRule="auto"/>
        <w:rPr>
          <w:rFonts w:ascii="Times New Roman" w:hAnsi="Times New Roman"/>
          <w:lang w:val="es-ES"/>
        </w:rPr>
      </w:pPr>
      <w:r>
        <w:rPr>
          <w:noProof/>
          <w:lang w:val="es-MX" w:eastAsia="es-MX"/>
        </w:rPr>
        <w:lastRenderedPageBreak/>
        <w:drawing>
          <wp:inline distT="0" distB="0" distL="0" distR="0" wp14:anchorId="38D122B4" wp14:editId="2C6A3673">
            <wp:extent cx="4108261" cy="2314575"/>
            <wp:effectExtent l="0" t="0" r="698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2592" t="31998" r="23860" b="14367"/>
                    <a:stretch/>
                  </pic:blipFill>
                  <pic:spPr bwMode="auto">
                    <a:xfrm>
                      <a:off x="0" y="0"/>
                      <a:ext cx="4108261" cy="2314575"/>
                    </a:xfrm>
                    <a:prstGeom prst="rect">
                      <a:avLst/>
                    </a:prstGeom>
                    <a:ln>
                      <a:noFill/>
                    </a:ln>
                    <a:extLst>
                      <a:ext uri="{53640926-AAD7-44D8-BBD7-CCE9431645EC}">
                        <a14:shadowObscured xmlns:a14="http://schemas.microsoft.com/office/drawing/2010/main"/>
                      </a:ext>
                    </a:extLst>
                  </pic:spPr>
                </pic:pic>
              </a:graphicData>
            </a:graphic>
          </wp:inline>
        </w:drawing>
      </w:r>
    </w:p>
    <w:p w14:paraId="4E2F9CA8" w14:textId="77777777" w:rsidR="00B75220" w:rsidRPr="0096089D" w:rsidRDefault="00B75220" w:rsidP="00916798">
      <w:pPr>
        <w:pStyle w:val="PRIMERAPLANA"/>
        <w:spacing w:line="360" w:lineRule="auto"/>
        <w:rPr>
          <w:rFonts w:ascii="Times New Roman" w:hAnsi="Times New Roman"/>
          <w:lang w:val="es-ES"/>
        </w:rPr>
      </w:pPr>
    </w:p>
    <w:p w14:paraId="3559E291" w14:textId="151C8DF5" w:rsidR="00916798" w:rsidRDefault="00414CDC" w:rsidP="00916798">
      <w:pPr>
        <w:pStyle w:val="PRIMERAPLANA"/>
        <w:spacing w:line="360" w:lineRule="auto"/>
        <w:rPr>
          <w:rFonts w:ascii="Times New Roman" w:hAnsi="Times New Roman"/>
          <w:lang w:val="es-ES"/>
        </w:rPr>
      </w:pPr>
      <w:r w:rsidRPr="00414CDC">
        <w:rPr>
          <w:rFonts w:ascii="Times New Roman" w:hAnsi="Times New Roman"/>
          <w:lang w:val="es-ES"/>
        </w:rPr>
        <w:t>En el primer trimestre de 2022, las entidades que influyeron, en mayor medida, a la variación del total de la economía de la región fueron Hidalgo y Guerrero</w:t>
      </w:r>
      <w:r w:rsidR="00B75220" w:rsidRPr="00B75220">
        <w:rPr>
          <w:rFonts w:ascii="Times New Roman" w:hAnsi="Times New Roman"/>
          <w:lang w:val="es-ES"/>
        </w:rPr>
        <w:t>.</w:t>
      </w:r>
    </w:p>
    <w:p w14:paraId="7DF01ECA" w14:textId="58BBC026" w:rsidR="00B75220" w:rsidRPr="0096089D" w:rsidRDefault="00B75220" w:rsidP="00B75220">
      <w:pPr>
        <w:pStyle w:val="PRIMERAPLANA"/>
        <w:spacing w:line="360" w:lineRule="auto"/>
        <w:jc w:val="center"/>
        <w:rPr>
          <w:rFonts w:ascii="Times New Roman" w:hAnsi="Times New Roman"/>
          <w:lang w:val="es-ES"/>
        </w:rPr>
      </w:pPr>
      <w:r>
        <w:rPr>
          <w:noProof/>
          <w:lang w:val="es-MX" w:eastAsia="es-MX"/>
        </w:rPr>
        <w:drawing>
          <wp:inline distT="0" distB="0" distL="0" distR="0" wp14:anchorId="35C745F3" wp14:editId="58F3722D">
            <wp:extent cx="4394104" cy="3124200"/>
            <wp:effectExtent l="0" t="0" r="698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5911" t="19565" r="27316" b="21309"/>
                    <a:stretch/>
                  </pic:blipFill>
                  <pic:spPr bwMode="auto">
                    <a:xfrm>
                      <a:off x="0" y="0"/>
                      <a:ext cx="4394104" cy="3124200"/>
                    </a:xfrm>
                    <a:prstGeom prst="rect">
                      <a:avLst/>
                    </a:prstGeom>
                    <a:ln>
                      <a:noFill/>
                    </a:ln>
                    <a:extLst>
                      <a:ext uri="{53640926-AAD7-44D8-BBD7-CCE9431645EC}">
                        <a14:shadowObscured xmlns:a14="http://schemas.microsoft.com/office/drawing/2010/main"/>
                      </a:ext>
                    </a:extLst>
                  </pic:spPr>
                </pic:pic>
              </a:graphicData>
            </a:graphic>
          </wp:inline>
        </w:drawing>
      </w:r>
    </w:p>
    <w:p w14:paraId="02765C27" w14:textId="7C6138A1" w:rsidR="00414CDC" w:rsidRPr="00414CDC" w:rsidRDefault="00414CDC" w:rsidP="00414CDC">
      <w:pPr>
        <w:pStyle w:val="PRIMERAPLANA"/>
        <w:spacing w:line="360" w:lineRule="auto"/>
        <w:rPr>
          <w:rFonts w:ascii="Times New Roman" w:hAnsi="Times New Roman"/>
          <w:lang w:val="es-ES"/>
        </w:rPr>
      </w:pPr>
      <w:r w:rsidRPr="00414CDC">
        <w:rPr>
          <w:rFonts w:ascii="Times New Roman" w:hAnsi="Times New Roman"/>
          <w:lang w:val="es-ES"/>
        </w:rPr>
        <w:t>La industria automotriz es una de las principales actividades en el Estado, debiéndose en buena medida su dinamismo a que las empresas instaladas son proveedoras o distribuidoras de Volkswagen de México. En el ejercicio 2021 a pesar de las dificultades impuestas a nivel internacional por la cri</w:t>
      </w:r>
      <w:r w:rsidR="00B23788">
        <w:rPr>
          <w:rFonts w:ascii="Times New Roman" w:hAnsi="Times New Roman"/>
          <w:lang w:val="es-ES"/>
        </w:rPr>
        <w:t>sis de salud iniciada en 2020, e</w:t>
      </w:r>
      <w:r w:rsidRPr="00414CDC">
        <w:rPr>
          <w:rFonts w:ascii="Times New Roman" w:hAnsi="Times New Roman"/>
          <w:lang w:val="es-ES"/>
        </w:rPr>
        <w:t xml:space="preserve">sta observó un crecimiento del 1% respecto a 2020 con una producción de </w:t>
      </w:r>
      <w:r w:rsidRPr="00414CDC">
        <w:rPr>
          <w:rFonts w:ascii="Times New Roman" w:hAnsi="Times New Roman"/>
          <w:lang w:val="es-ES"/>
        </w:rPr>
        <w:lastRenderedPageBreak/>
        <w:t>95,800 unidades, por lo que se espera que ésta industria, continúe con su dinamismo en el mediano plazo.</w:t>
      </w:r>
    </w:p>
    <w:p w14:paraId="11B9FB65" w14:textId="77777777" w:rsidR="00414CDC" w:rsidRPr="00414CDC" w:rsidRDefault="00414CDC" w:rsidP="00414CDC">
      <w:pPr>
        <w:pStyle w:val="PRIMERAPLANA"/>
        <w:spacing w:line="360" w:lineRule="auto"/>
        <w:rPr>
          <w:rFonts w:ascii="Times New Roman" w:hAnsi="Times New Roman"/>
          <w:lang w:val="es-ES"/>
        </w:rPr>
      </w:pPr>
    </w:p>
    <w:p w14:paraId="26EE0027" w14:textId="1CEE8EED" w:rsidR="00414CDC" w:rsidRPr="00414CDC" w:rsidRDefault="00414CDC" w:rsidP="00414CDC">
      <w:pPr>
        <w:pStyle w:val="PRIMERAPLANA"/>
        <w:spacing w:line="360" w:lineRule="auto"/>
        <w:rPr>
          <w:rFonts w:ascii="Times New Roman" w:hAnsi="Times New Roman"/>
          <w:lang w:val="es-ES"/>
        </w:rPr>
      </w:pPr>
      <w:r w:rsidRPr="00414CDC">
        <w:rPr>
          <w:rFonts w:ascii="Times New Roman" w:hAnsi="Times New Roman"/>
          <w:lang w:val="es-ES"/>
        </w:rPr>
        <w:t xml:space="preserve">Se estima que durante el ejercicio 2022, los ingresos propios observen una tendencia positiva, como resultado del menor dinamismo económico, originado por el brote epidémico del virus </w:t>
      </w:r>
      <w:r w:rsidR="00B23788">
        <w:rPr>
          <w:rFonts w:ascii="Times New Roman" w:hAnsi="Times New Roman"/>
          <w:lang w:val="es-ES"/>
        </w:rPr>
        <w:t>SARS-CoV-2</w:t>
      </w:r>
      <w:r w:rsidRPr="00414CDC">
        <w:rPr>
          <w:rFonts w:ascii="Times New Roman" w:hAnsi="Times New Roman"/>
          <w:lang w:val="es-ES"/>
        </w:rPr>
        <w:t>, mismos que representan alrededor de un 6% de los ingresos operativos. Para 2023, se estima que los ingresos propios se recuperen parcialmente y representen entre un 5 a un 6% de los ingresos operativos, lo que estará en función de las metas de recaudación a nivel estatal.</w:t>
      </w:r>
    </w:p>
    <w:p w14:paraId="138893F7" w14:textId="77777777" w:rsidR="00414CDC" w:rsidRPr="00414CDC" w:rsidRDefault="00414CDC" w:rsidP="00414CDC">
      <w:pPr>
        <w:pStyle w:val="PRIMERAPLANA"/>
        <w:spacing w:line="360" w:lineRule="auto"/>
        <w:rPr>
          <w:rFonts w:ascii="Times New Roman" w:hAnsi="Times New Roman"/>
          <w:lang w:val="es-ES"/>
        </w:rPr>
      </w:pPr>
    </w:p>
    <w:p w14:paraId="79A11C41" w14:textId="06EDD538" w:rsidR="00414CDC" w:rsidRPr="00414CDC" w:rsidRDefault="00414CDC" w:rsidP="00414CDC">
      <w:pPr>
        <w:pStyle w:val="PRIMERAPLANA"/>
        <w:spacing w:line="360" w:lineRule="auto"/>
        <w:rPr>
          <w:rFonts w:ascii="Times New Roman" w:hAnsi="Times New Roman"/>
          <w:lang w:val="es-ES"/>
        </w:rPr>
      </w:pPr>
      <w:r w:rsidRPr="00414CDC">
        <w:rPr>
          <w:rFonts w:ascii="Times New Roman" w:hAnsi="Times New Roman"/>
          <w:lang w:val="es-ES"/>
        </w:rPr>
        <w:t>La política fiscal que se implementará en el ejercicio 2023, tendrá como finalidad mantener un balance presupuestario positivo, procurando que las fuentes de ingreso financien el gasto corriente del ejercicio, por lo que se estima que se sigan registrando márgenes operativos positivos en 2022 y 2023, aunque ligeramente menores a los observados en ejercicios anteriores. Los resultados financieros balanceados y la política de deuda conservadora han permitido que desde el ejercicio 2008 el Estado de Tlaxcala haya registrado una posición libre de endeudamiento.</w:t>
      </w:r>
    </w:p>
    <w:p w14:paraId="34C5EC4A" w14:textId="77777777" w:rsidR="00414CDC" w:rsidRPr="00414CDC" w:rsidRDefault="00414CDC" w:rsidP="00414CDC">
      <w:pPr>
        <w:pStyle w:val="PRIMERAPLANA"/>
        <w:spacing w:line="360" w:lineRule="auto"/>
        <w:rPr>
          <w:rFonts w:ascii="Times New Roman" w:hAnsi="Times New Roman"/>
          <w:lang w:val="es-ES"/>
        </w:rPr>
      </w:pPr>
    </w:p>
    <w:p w14:paraId="2806A455" w14:textId="77777777" w:rsidR="00414CDC" w:rsidRPr="00414CDC" w:rsidRDefault="00414CDC" w:rsidP="00414CDC">
      <w:pPr>
        <w:pStyle w:val="PRIMERAPLANA"/>
        <w:spacing w:line="360" w:lineRule="auto"/>
        <w:rPr>
          <w:rFonts w:ascii="Times New Roman" w:hAnsi="Times New Roman"/>
          <w:lang w:val="es-ES"/>
        </w:rPr>
      </w:pPr>
      <w:r w:rsidRPr="00414CDC">
        <w:rPr>
          <w:rFonts w:ascii="Times New Roman" w:hAnsi="Times New Roman"/>
          <w:lang w:val="es-ES"/>
        </w:rPr>
        <w:t>Esperamos que Tlaxcala siga registrando márgenes operativos positivos en 2022 y 2023 aunque menores a los observados en años previos a la pandemia, debido principalmente a la disminución en las transferencias federales no etiquetadas (participaciones) en 2022, las cuales son equivalentes al 44% de los ingresos operativos. Para hacer frente a las presiones observadas sobre los ingresos, se implementó un plan de austeridad en el mes de febrero de 2022 con la finalidad de controlar el crecimiento del gasto, se implementó el Acuerdo que Establece los Lineamientos y Políticas Generales del Ejercicio del Presupuesto, las Medidas de Mejora y Modernización, así como de Austeridad del Gasto Público de la Gestión Administrativa, destacando entre otras medidas para limitar el crecimiento del presupuesto, el establecimiento de topes a ciertos rubros del gasto y el congelamiento de plazas vacantes no prioritarias.</w:t>
      </w:r>
    </w:p>
    <w:p w14:paraId="21DB155E" w14:textId="77777777" w:rsidR="00414CDC" w:rsidRPr="00414CDC" w:rsidRDefault="00414CDC" w:rsidP="00414CDC">
      <w:pPr>
        <w:pStyle w:val="PRIMERAPLANA"/>
        <w:spacing w:line="360" w:lineRule="auto"/>
        <w:rPr>
          <w:rFonts w:ascii="Times New Roman" w:hAnsi="Times New Roman"/>
          <w:lang w:val="es-ES"/>
        </w:rPr>
      </w:pPr>
    </w:p>
    <w:p w14:paraId="6CCF6B5F" w14:textId="77777777" w:rsidR="00414CDC" w:rsidRPr="00414CDC" w:rsidRDefault="00414CDC" w:rsidP="00414CDC">
      <w:pPr>
        <w:pStyle w:val="PRIMERAPLANA"/>
        <w:spacing w:line="360" w:lineRule="auto"/>
        <w:rPr>
          <w:rFonts w:ascii="Times New Roman" w:hAnsi="Times New Roman"/>
          <w:lang w:val="es-ES"/>
        </w:rPr>
      </w:pPr>
      <w:r w:rsidRPr="00414CDC">
        <w:rPr>
          <w:rFonts w:ascii="Times New Roman" w:hAnsi="Times New Roman"/>
          <w:lang w:val="es-ES"/>
        </w:rPr>
        <w:t>Derivado del buen manejo del gasto, se estima un margen operativo positivo cercano al 0.4% en 2021 y del 2.4% en 2022. El estado ha registrado resultados financieros positivos durante los últimos cinco años, ya que los ingresos totales crecieron a una tasa compuesta anual del 3.2%, similar a la tasa de gastos totales de 3.3%. Se espera que durante 2021 y 2022 Tlaxcala registre superávits financieros del 0.7% y 2.1% respectivamente, se prevé un menor gasto de capital para el periodo 2021-2022.</w:t>
      </w:r>
    </w:p>
    <w:p w14:paraId="6C570C80" w14:textId="77777777" w:rsidR="00414CDC" w:rsidRPr="00414CDC" w:rsidRDefault="00414CDC" w:rsidP="00414CDC">
      <w:pPr>
        <w:pStyle w:val="PRIMERAPLANA"/>
        <w:spacing w:line="360" w:lineRule="auto"/>
        <w:rPr>
          <w:rFonts w:ascii="Times New Roman" w:hAnsi="Times New Roman"/>
          <w:lang w:val="es-ES"/>
        </w:rPr>
      </w:pPr>
    </w:p>
    <w:p w14:paraId="62878767" w14:textId="77777777" w:rsidR="00414CDC" w:rsidRPr="00414CDC" w:rsidRDefault="00414CDC" w:rsidP="00414CDC">
      <w:pPr>
        <w:pStyle w:val="PRIMERAPLANA"/>
        <w:spacing w:line="360" w:lineRule="auto"/>
        <w:rPr>
          <w:rFonts w:ascii="Times New Roman" w:hAnsi="Times New Roman"/>
          <w:lang w:val="es-ES"/>
        </w:rPr>
      </w:pPr>
      <w:r w:rsidRPr="00414CDC">
        <w:rPr>
          <w:rFonts w:ascii="Times New Roman" w:hAnsi="Times New Roman"/>
          <w:lang w:val="es-ES"/>
        </w:rPr>
        <w:lastRenderedPageBreak/>
        <w:t>Se estima que para 2023, los ingresos propios se mantengan en niveles estables similares a los de 2022, en línea con la recuperación lenta de la economía regional. El mayor impacto en los ingresos propios durante la pandemia se vio reflejado en el rubro de derechos, el cual presentó una tasa compuesta anual de crecimiento de -9% para el periodo 2018-2020; sin embargo, se espera una recuperación en 2023 de entre el 3 y 5%, originada principalmente por el incremento de la recaudación de fuentes locales y del otorgamiento de diversos beneficios fiscales.</w:t>
      </w:r>
    </w:p>
    <w:p w14:paraId="046272D5" w14:textId="77777777" w:rsidR="00414CDC" w:rsidRPr="00414CDC" w:rsidRDefault="00414CDC" w:rsidP="00414CDC">
      <w:pPr>
        <w:pStyle w:val="PRIMERAPLANA"/>
        <w:spacing w:line="360" w:lineRule="auto"/>
        <w:rPr>
          <w:rFonts w:ascii="Times New Roman" w:hAnsi="Times New Roman"/>
          <w:lang w:val="es-ES"/>
        </w:rPr>
      </w:pPr>
    </w:p>
    <w:p w14:paraId="4FDC04E2" w14:textId="77777777" w:rsidR="00414CDC" w:rsidRPr="00414CDC" w:rsidRDefault="00414CDC" w:rsidP="00414CDC">
      <w:pPr>
        <w:pStyle w:val="PRIMERAPLANA"/>
        <w:spacing w:line="360" w:lineRule="auto"/>
        <w:rPr>
          <w:rFonts w:ascii="Times New Roman" w:hAnsi="Times New Roman"/>
          <w:lang w:val="es-ES"/>
        </w:rPr>
      </w:pPr>
      <w:r w:rsidRPr="00414CDC">
        <w:rPr>
          <w:rFonts w:ascii="Times New Roman" w:hAnsi="Times New Roman"/>
          <w:lang w:val="es-ES"/>
        </w:rPr>
        <w:t>La liquidez del Estado de Tlaxcala es un factor que permite enfrentar choques externos imprevistos, por lo que se espera que el efectivo del Estado cubra al menos el 3% de los pasivos promedio para 2021 y 2022, como resultado del buen manejo del presupuesto.</w:t>
      </w:r>
    </w:p>
    <w:p w14:paraId="46B43216" w14:textId="77777777" w:rsidR="00414CDC" w:rsidRPr="00414CDC" w:rsidRDefault="00414CDC" w:rsidP="00414CDC">
      <w:pPr>
        <w:pStyle w:val="PRIMERAPLANA"/>
        <w:spacing w:line="360" w:lineRule="auto"/>
        <w:rPr>
          <w:rFonts w:ascii="Times New Roman" w:hAnsi="Times New Roman"/>
          <w:lang w:val="es-ES"/>
        </w:rPr>
      </w:pPr>
    </w:p>
    <w:p w14:paraId="09F2439F" w14:textId="77777777" w:rsidR="00414CDC" w:rsidRPr="00414CDC" w:rsidRDefault="00414CDC" w:rsidP="00414CDC">
      <w:pPr>
        <w:pStyle w:val="PRIMERAPLANA"/>
        <w:spacing w:line="360" w:lineRule="auto"/>
        <w:rPr>
          <w:rFonts w:ascii="Times New Roman" w:hAnsi="Times New Roman"/>
          <w:lang w:val="es-ES"/>
        </w:rPr>
      </w:pPr>
      <w:r w:rsidRPr="00414CDC">
        <w:rPr>
          <w:rFonts w:ascii="Times New Roman" w:hAnsi="Times New Roman"/>
          <w:lang w:val="es-ES"/>
        </w:rPr>
        <w:t>La Iniciativa de Ley Ingresos del Estado de Tlaxcala para el Ejercicio Fiscal 2023, presentada ante ese Congreso del Estado, establece una estimación con base en las cifras anunciadas por la Secretaría de Hacienda y Crédito Público para el ejercicio 2023, correspondientes a los conceptos por los cuales el Gobierno del Estado obtendrá los recursos económicos que requiere para la realización de sus funciones.</w:t>
      </w:r>
    </w:p>
    <w:p w14:paraId="7431E559" w14:textId="65FE0C3A" w:rsidR="00916798" w:rsidRPr="0096089D" w:rsidRDefault="00414CDC" w:rsidP="00414CDC">
      <w:pPr>
        <w:pStyle w:val="PRIMERAPLANA"/>
        <w:spacing w:line="360" w:lineRule="auto"/>
        <w:rPr>
          <w:rFonts w:ascii="Times New Roman" w:hAnsi="Times New Roman"/>
          <w:lang w:val="es-ES"/>
        </w:rPr>
      </w:pPr>
      <w:r w:rsidRPr="00414CDC">
        <w:rPr>
          <w:rFonts w:ascii="Times New Roman" w:hAnsi="Times New Roman"/>
          <w:lang w:val="es-ES"/>
        </w:rPr>
        <w:t>El comportamiento de los ingresos derivados de fuentes locales en los últimos 5 años ha presentado un comportamiento creciente, derivado de las acciones implementadas y enfocadas a la simplificación administrativa y a la mejora en la prestación de servicios a la ciudadanía; sin embargo, durante el ejercicio 2020 esta estabilidad se vio severamente afectada por los efectos</w:t>
      </w:r>
      <w:r>
        <w:rPr>
          <w:rFonts w:ascii="Times New Roman" w:hAnsi="Times New Roman"/>
          <w:lang w:val="es-ES"/>
        </w:rPr>
        <w:t xml:space="preserve"> de la pandemia ocasionada por </w:t>
      </w:r>
      <w:r w:rsidRPr="00414CDC">
        <w:rPr>
          <w:rFonts w:ascii="Times New Roman" w:hAnsi="Times New Roman"/>
          <w:lang w:val="es-ES"/>
        </w:rPr>
        <w:t>l</w:t>
      </w:r>
      <w:r>
        <w:rPr>
          <w:rFonts w:ascii="Times New Roman" w:hAnsi="Times New Roman"/>
          <w:lang w:val="es-ES"/>
        </w:rPr>
        <w:t>a</w:t>
      </w:r>
      <w:r w:rsidRPr="00414CDC">
        <w:rPr>
          <w:rFonts w:ascii="Times New Roman" w:hAnsi="Times New Roman"/>
          <w:lang w:val="es-ES"/>
        </w:rPr>
        <w:t xml:space="preserve"> COVID-19</w:t>
      </w:r>
      <w:r w:rsidR="00B75220" w:rsidRPr="00B75220">
        <w:rPr>
          <w:rFonts w:ascii="Times New Roman" w:hAnsi="Times New Roman"/>
          <w:lang w:val="es-ES"/>
        </w:rPr>
        <w:t>.</w:t>
      </w:r>
    </w:p>
    <w:p w14:paraId="393888E2" w14:textId="023BDE83" w:rsidR="00916798" w:rsidRDefault="00916798" w:rsidP="00916798">
      <w:pPr>
        <w:pStyle w:val="PRIMERAPLANA"/>
        <w:spacing w:line="360" w:lineRule="auto"/>
        <w:jc w:val="center"/>
        <w:rPr>
          <w:rFonts w:ascii="Times New Roman" w:hAnsi="Times New Roman"/>
          <w:b/>
          <w:noProof/>
          <w:lang w:val="es-MX" w:eastAsia="es-MX"/>
        </w:rPr>
      </w:pPr>
      <w:r>
        <w:rPr>
          <w:noProof/>
          <w:lang w:val="es-MX" w:eastAsia="es-MX"/>
        </w:rPr>
        <mc:AlternateContent>
          <mc:Choice Requires="wps">
            <w:drawing>
              <wp:anchor distT="0" distB="0" distL="114300" distR="114300" simplePos="0" relativeHeight="251701248" behindDoc="0" locked="0" layoutInCell="1" allowOverlap="1" wp14:anchorId="11975DF8" wp14:editId="76FCA01F">
                <wp:simplePos x="0" y="0"/>
                <wp:positionH relativeFrom="margin">
                  <wp:posOffset>541835</wp:posOffset>
                </wp:positionH>
                <wp:positionV relativeFrom="paragraph">
                  <wp:posOffset>4635872</wp:posOffset>
                </wp:positionV>
                <wp:extent cx="147995" cy="52855"/>
                <wp:effectExtent l="19050" t="38100" r="61595" b="61595"/>
                <wp:wrapNone/>
                <wp:docPr id="43"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995" cy="52855"/>
                        </a:xfrm>
                        <a:prstGeom prst="rightArrow">
                          <a:avLst>
                            <a:gd name="adj1" fmla="val 50000"/>
                            <a:gd name="adj2" fmla="val 109250"/>
                          </a:avLst>
                        </a:prstGeom>
                        <a:solidFill>
                          <a:srgbClr val="FF0000"/>
                        </a:solidFill>
                        <a:ln w="38100">
                          <a:solidFill>
                            <a:srgbClr val="FF0000"/>
                          </a:solidFill>
                          <a:miter lim="800000"/>
                          <a:headEnd/>
                          <a:tailEnd/>
                        </a:ln>
                        <a:effectLst>
                          <a:outerShdw dist="28398" dir="3806097" algn="ctr" rotWithShape="0">
                            <a:srgbClr val="823B0B">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type w14:anchorId="2FBE799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86" o:spid="_x0000_s1026" type="#_x0000_t13" style="position:absolute;margin-left:42.65pt;margin-top:365.05pt;width:11.65pt;height:4.1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" adj="13172" fillcolor="red" strokecolor="red" strokeweight="3pt">
                <v:shadow on="t" color="#823b0b" opacity=".5" offset="1pt"/>
                <w10:wrap anchorx="margin"/>
              </v:shape>
            </w:pict>
          </mc:Fallback>
        </mc:AlternateContent>
      </w:r>
      <w:r w:rsidRPr="00040A49">
        <w:rPr>
          <w:noProof/>
          <w:lang w:val="es-MX" w:eastAsia="es-MX"/>
        </w:rPr>
        <w:t xml:space="preserve"> </w:t>
      </w:r>
      <w:r w:rsidR="00B75220" w:rsidRPr="00B75220">
        <w:rPr>
          <w:rFonts w:ascii="Times New Roman" w:hAnsi="Times New Roman"/>
          <w:b/>
          <w:noProof/>
          <w:lang w:val="es-MX" w:eastAsia="es-MX"/>
        </w:rPr>
        <w:t>RECAUDACIÓN DE IMPUESTOS PROPIOS 2018-2022* (Mdp)</w:t>
      </w:r>
    </w:p>
    <w:p w14:paraId="5141900C" w14:textId="75019A46" w:rsidR="00B75220" w:rsidRDefault="00927DEF" w:rsidP="00916798">
      <w:pPr>
        <w:pStyle w:val="PRIMERAPLANA"/>
        <w:spacing w:line="360" w:lineRule="auto"/>
        <w:jc w:val="center"/>
        <w:rPr>
          <w:rFonts w:ascii="Times New Roman" w:hAnsi="Times New Roman"/>
          <w:b/>
          <w:sz w:val="24"/>
          <w:szCs w:val="24"/>
          <w:lang w:val="es-ES"/>
        </w:rPr>
      </w:pPr>
      <w:r>
        <w:rPr>
          <w:rFonts w:cs="Arial"/>
          <w:b/>
          <w:noProof/>
          <w:sz w:val="22"/>
          <w:lang w:val="es-MX" w:eastAsia="es-MX"/>
        </w:rPr>
        <w:drawing>
          <wp:inline distT="0" distB="0" distL="0" distR="0" wp14:anchorId="5988739A" wp14:editId="62C7C4AB">
            <wp:extent cx="5143500" cy="150523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143500" cy="1505230"/>
                    </a:xfrm>
                    <a:prstGeom prst="rect">
                      <a:avLst/>
                    </a:prstGeom>
                    <a:noFill/>
                  </pic:spPr>
                </pic:pic>
              </a:graphicData>
            </a:graphic>
          </wp:inline>
        </w:drawing>
      </w:r>
    </w:p>
    <w:p w14:paraId="6F6CB4E6" w14:textId="77777777" w:rsidR="00B75220" w:rsidRPr="00B75220" w:rsidRDefault="00B75220" w:rsidP="00B75220">
      <w:pPr>
        <w:pStyle w:val="PRIMERAPLANA"/>
        <w:spacing w:line="360" w:lineRule="auto"/>
        <w:jc w:val="left"/>
        <w:rPr>
          <w:rFonts w:ascii="Times New Roman" w:hAnsi="Times New Roman"/>
          <w:b/>
          <w:sz w:val="12"/>
          <w:szCs w:val="12"/>
          <w:lang w:val="es-ES"/>
        </w:rPr>
      </w:pPr>
      <w:r w:rsidRPr="00B75220">
        <w:rPr>
          <w:rFonts w:ascii="Times New Roman" w:hAnsi="Times New Roman"/>
          <w:b/>
          <w:sz w:val="12"/>
          <w:szCs w:val="12"/>
          <w:lang w:val="es-ES"/>
        </w:rPr>
        <w:t xml:space="preserve">Fuente: Dirección de Contabilidad Gubernamental y Coordinación Hacendaria </w:t>
      </w:r>
    </w:p>
    <w:p w14:paraId="09B8D261" w14:textId="3864CF52" w:rsidR="00B75220" w:rsidRPr="00B75220" w:rsidRDefault="00B75220" w:rsidP="00B75220">
      <w:pPr>
        <w:pStyle w:val="PRIMERAPLANA"/>
        <w:spacing w:line="360" w:lineRule="auto"/>
        <w:jc w:val="left"/>
        <w:rPr>
          <w:rFonts w:ascii="Times New Roman" w:hAnsi="Times New Roman"/>
          <w:b/>
          <w:sz w:val="12"/>
          <w:szCs w:val="12"/>
          <w:lang w:val="es-ES"/>
        </w:rPr>
      </w:pPr>
      <w:r w:rsidRPr="00B75220">
        <w:rPr>
          <w:rFonts w:ascii="Times New Roman" w:hAnsi="Times New Roman"/>
          <w:b/>
          <w:sz w:val="12"/>
          <w:szCs w:val="12"/>
          <w:lang w:val="es-ES"/>
        </w:rPr>
        <w:t>* Estimaciones al Cierre de 2022.</w:t>
      </w:r>
    </w:p>
    <w:p w14:paraId="48E82230" w14:textId="7F576F07" w:rsidR="00916798" w:rsidRDefault="00916798" w:rsidP="00916798">
      <w:pPr>
        <w:pStyle w:val="PRIMERAPLANA"/>
        <w:spacing w:line="360" w:lineRule="auto"/>
        <w:jc w:val="center"/>
        <w:rPr>
          <w:noProof/>
          <w:lang w:val="es-MX" w:eastAsia="es-MX"/>
        </w:rPr>
      </w:pPr>
      <w:r>
        <w:rPr>
          <w:noProof/>
          <w:lang w:val="es-MX" w:eastAsia="es-MX"/>
        </w:rPr>
        <mc:AlternateContent>
          <mc:Choice Requires="wps">
            <w:drawing>
              <wp:anchor distT="0" distB="0" distL="114300" distR="114300" simplePos="0" relativeHeight="251698176" behindDoc="0" locked="0" layoutInCell="1" allowOverlap="1" wp14:anchorId="11F19B04" wp14:editId="7CD4B028">
                <wp:simplePos x="0" y="0"/>
                <wp:positionH relativeFrom="leftMargin">
                  <wp:posOffset>3094848</wp:posOffset>
                </wp:positionH>
                <wp:positionV relativeFrom="paragraph">
                  <wp:posOffset>3993676</wp:posOffset>
                </wp:positionV>
                <wp:extent cx="189865" cy="45720"/>
                <wp:effectExtent l="19050" t="38100" r="57785" b="49530"/>
                <wp:wrapNone/>
                <wp:docPr id="24"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89865" cy="45720"/>
                        </a:xfrm>
                        <a:prstGeom prst="rightArrow">
                          <a:avLst>
                            <a:gd name="adj1" fmla="val 50000"/>
                            <a:gd name="adj2" fmla="val 109250"/>
                          </a:avLst>
                        </a:prstGeom>
                        <a:solidFill>
                          <a:srgbClr val="FF0000"/>
                        </a:solidFill>
                        <a:ln w="38100">
                          <a:solidFill>
                            <a:srgbClr val="FF0000"/>
                          </a:solidFill>
                          <a:miter lim="800000"/>
                          <a:headEnd/>
                          <a:tailEnd/>
                        </a:ln>
                        <a:effectLst>
                          <a:outerShdw dist="28398" dir="3806097" algn="ctr" rotWithShape="0">
                            <a:srgbClr val="823B0B">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3EC98B23" id="AutoShape 86" o:spid="_x0000_s1026" type="#_x0000_t13" style="position:absolute;margin-left:243.7pt;margin-top:314.45pt;width:14.95pt;height:3.6pt;flip:y;z-index:2516981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" adj="15918" fillcolor="red" strokecolor="red" strokeweight="3pt">
                <v:shadow on="t" color="#823b0b" opacity=".5" offset="1pt"/>
                <w10:wrap anchorx="margin"/>
              </v:shape>
            </w:pict>
          </mc:Fallback>
        </mc:AlternateContent>
      </w:r>
      <w:r>
        <w:rPr>
          <w:noProof/>
          <w:lang w:val="es-MX" w:eastAsia="es-MX"/>
        </w:rPr>
        <mc:AlternateContent>
          <mc:Choice Requires="wps">
            <w:drawing>
              <wp:anchor distT="0" distB="0" distL="114300" distR="114300" simplePos="0" relativeHeight="251699200" behindDoc="0" locked="0" layoutInCell="1" allowOverlap="1" wp14:anchorId="0676E838" wp14:editId="1AB75F39">
                <wp:simplePos x="0" y="0"/>
                <wp:positionH relativeFrom="margin">
                  <wp:posOffset>2960351</wp:posOffset>
                </wp:positionH>
                <wp:positionV relativeFrom="paragraph">
                  <wp:posOffset>4316550</wp:posOffset>
                </wp:positionV>
                <wp:extent cx="147995" cy="52855"/>
                <wp:effectExtent l="19050" t="38100" r="61595" b="61595"/>
                <wp:wrapNone/>
                <wp:docPr id="20"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995" cy="52855"/>
                        </a:xfrm>
                        <a:prstGeom prst="rightArrow">
                          <a:avLst>
                            <a:gd name="adj1" fmla="val 50000"/>
                            <a:gd name="adj2" fmla="val 109250"/>
                          </a:avLst>
                        </a:prstGeom>
                        <a:solidFill>
                          <a:srgbClr val="FF0000"/>
                        </a:solidFill>
                        <a:ln w="38100">
                          <a:solidFill>
                            <a:srgbClr val="FF0000"/>
                          </a:solidFill>
                          <a:miter lim="800000"/>
                          <a:headEnd/>
                          <a:tailEnd/>
                        </a:ln>
                        <a:effectLst>
                          <a:outerShdw dist="28398" dir="3806097" algn="ctr" rotWithShape="0">
                            <a:srgbClr val="823B0B">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4A91C016" id="AutoShape 86" o:spid="_x0000_s1026" type="#_x0000_t13" style="position:absolute;margin-left:233.1pt;margin-top:339.9pt;width:11.65pt;height:4.1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" adj="13172" fillcolor="red" strokecolor="red" strokeweight="3pt">
                <v:shadow on="t" color="#823b0b" opacity=".5" offset="1pt"/>
                <w10:wrap anchorx="margin"/>
              </v:shape>
            </w:pict>
          </mc:Fallback>
        </mc:AlternateContent>
      </w:r>
    </w:p>
    <w:p w14:paraId="584B5481" w14:textId="2D6989FD" w:rsidR="00B75220" w:rsidRDefault="00B75220" w:rsidP="00916798">
      <w:pPr>
        <w:pStyle w:val="PRIMERAPLANA"/>
        <w:spacing w:line="360" w:lineRule="auto"/>
        <w:jc w:val="center"/>
        <w:rPr>
          <w:rFonts w:cs="Arial"/>
          <w:sz w:val="24"/>
          <w:szCs w:val="24"/>
          <w:lang w:val="es-ES"/>
        </w:rPr>
      </w:pPr>
      <w:r>
        <w:rPr>
          <w:rFonts w:cs="Arial"/>
          <w:noProof/>
          <w:sz w:val="24"/>
          <w:szCs w:val="24"/>
          <w:lang w:val="es-MX" w:eastAsia="es-MX"/>
        </w:rPr>
        <w:lastRenderedPageBreak/>
        <w:drawing>
          <wp:inline distT="0" distB="0" distL="0" distR="0" wp14:anchorId="69D1717C" wp14:editId="19D9C71C">
            <wp:extent cx="3362325" cy="1930808"/>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67772" cy="1933936"/>
                    </a:xfrm>
                    <a:prstGeom prst="rect">
                      <a:avLst/>
                    </a:prstGeom>
                    <a:noFill/>
                  </pic:spPr>
                </pic:pic>
              </a:graphicData>
            </a:graphic>
          </wp:inline>
        </w:drawing>
      </w:r>
    </w:p>
    <w:p w14:paraId="7608DCFE" w14:textId="567D2B7F" w:rsidR="00B75220" w:rsidRPr="00B75220" w:rsidRDefault="00B75220" w:rsidP="00B75220">
      <w:pPr>
        <w:pStyle w:val="PRIMERAPLANA"/>
        <w:spacing w:line="360" w:lineRule="auto"/>
        <w:jc w:val="left"/>
        <w:rPr>
          <w:rFonts w:ascii="Times New Roman" w:hAnsi="Times New Roman"/>
          <w:b/>
          <w:sz w:val="12"/>
          <w:szCs w:val="12"/>
          <w:lang w:val="es-ES"/>
        </w:rPr>
      </w:pPr>
      <w:r>
        <w:rPr>
          <w:rFonts w:ascii="Times New Roman" w:hAnsi="Times New Roman"/>
          <w:b/>
          <w:sz w:val="12"/>
          <w:szCs w:val="12"/>
          <w:lang w:val="es-ES"/>
        </w:rPr>
        <w:t xml:space="preserve">                                                   </w:t>
      </w:r>
      <w:r w:rsidRPr="00B75220">
        <w:rPr>
          <w:rFonts w:ascii="Times New Roman" w:hAnsi="Times New Roman"/>
          <w:b/>
          <w:sz w:val="12"/>
          <w:szCs w:val="12"/>
          <w:lang w:val="es-ES"/>
        </w:rPr>
        <w:t xml:space="preserve">Fuente: Dirección de Contabilidad Gubernamental y Coordinación Hacendaria </w:t>
      </w:r>
    </w:p>
    <w:p w14:paraId="431326F9" w14:textId="19B3CBA8" w:rsidR="00B75220" w:rsidRPr="00B75220" w:rsidRDefault="00B75220" w:rsidP="00B75220">
      <w:pPr>
        <w:pStyle w:val="PRIMERAPLANA"/>
        <w:spacing w:line="360" w:lineRule="auto"/>
        <w:jc w:val="left"/>
        <w:rPr>
          <w:rFonts w:ascii="Times New Roman" w:hAnsi="Times New Roman"/>
          <w:b/>
          <w:sz w:val="12"/>
          <w:szCs w:val="12"/>
          <w:lang w:val="es-ES"/>
        </w:rPr>
      </w:pPr>
      <w:r>
        <w:rPr>
          <w:rFonts w:ascii="Times New Roman" w:hAnsi="Times New Roman"/>
          <w:b/>
          <w:sz w:val="12"/>
          <w:szCs w:val="12"/>
          <w:lang w:val="es-ES"/>
        </w:rPr>
        <w:t xml:space="preserve">                                                   </w:t>
      </w:r>
      <w:r w:rsidRPr="00B75220">
        <w:rPr>
          <w:rFonts w:ascii="Times New Roman" w:hAnsi="Times New Roman"/>
          <w:b/>
          <w:sz w:val="12"/>
          <w:szCs w:val="12"/>
          <w:lang w:val="es-ES"/>
        </w:rPr>
        <w:t>* Estimaciones al Cierre de 2022.</w:t>
      </w:r>
    </w:p>
    <w:p w14:paraId="3BAE3B24" w14:textId="77777777" w:rsidR="004E18FC" w:rsidRPr="004E18FC" w:rsidRDefault="004E18FC" w:rsidP="004E18FC">
      <w:pPr>
        <w:spacing w:line="360" w:lineRule="auto"/>
        <w:jc w:val="both"/>
        <w:rPr>
          <w:sz w:val="20"/>
          <w:szCs w:val="20"/>
        </w:rPr>
      </w:pPr>
      <w:r w:rsidRPr="004E18FC">
        <w:rPr>
          <w:sz w:val="20"/>
          <w:szCs w:val="20"/>
        </w:rPr>
        <w:t>En materia de incentivos fiscales estatales, se han propuesto políticas de fomento económico para impulsar la creación de nuevos empleos y generar cadenas productivas en el ámbito rural e industrial, que permitan atraer la atención de inversionistas al Estado.</w:t>
      </w:r>
    </w:p>
    <w:p w14:paraId="261FABE5" w14:textId="77777777" w:rsidR="004E18FC" w:rsidRPr="004E18FC" w:rsidRDefault="004E18FC" w:rsidP="004E18FC">
      <w:pPr>
        <w:spacing w:line="360" w:lineRule="auto"/>
        <w:jc w:val="both"/>
        <w:rPr>
          <w:sz w:val="20"/>
          <w:szCs w:val="20"/>
        </w:rPr>
      </w:pPr>
    </w:p>
    <w:p w14:paraId="28124589" w14:textId="77777777" w:rsidR="004E18FC" w:rsidRPr="004E18FC" w:rsidRDefault="004E18FC" w:rsidP="004E18FC">
      <w:pPr>
        <w:spacing w:line="360" w:lineRule="auto"/>
        <w:jc w:val="both"/>
        <w:rPr>
          <w:sz w:val="20"/>
          <w:szCs w:val="20"/>
        </w:rPr>
      </w:pPr>
      <w:r w:rsidRPr="004E18FC">
        <w:rPr>
          <w:sz w:val="20"/>
          <w:szCs w:val="20"/>
        </w:rPr>
        <w:t>Observando el principio de justicia tributaria, se prevé otorgar estímulos en materia del Impuesto Sobre Nóminas a empresas que ya se encuentren instaladas y a las de nueva creación con domicilio fiscal en el Estado, que contraten adultos mayores y a personas con alguna discapacidad; por otra parte, se continuará subsidiando el pago del Impuesto Estatal Sobre Tenencia o Uso de Vehículos. Se otorgan beneficios a los propietarios, tenedores o usuarios de vehículos automotores híbridos que circulen en la Entidad, otorgándoles una exención del 100% en el pago del Impuesto Estatal Sobre Tenencia o Uso de Vehículos y de los Derechos por Registro y Control Vehicular.</w:t>
      </w:r>
    </w:p>
    <w:p w14:paraId="60026E56" w14:textId="77777777" w:rsidR="004E18FC" w:rsidRPr="004E18FC" w:rsidRDefault="004E18FC" w:rsidP="004E18FC">
      <w:pPr>
        <w:spacing w:line="360" w:lineRule="auto"/>
        <w:jc w:val="both"/>
        <w:rPr>
          <w:sz w:val="20"/>
          <w:szCs w:val="20"/>
        </w:rPr>
      </w:pPr>
    </w:p>
    <w:p w14:paraId="584FC3B7" w14:textId="77777777" w:rsidR="004E18FC" w:rsidRPr="004E18FC" w:rsidRDefault="004E18FC" w:rsidP="004E18FC">
      <w:pPr>
        <w:spacing w:line="360" w:lineRule="auto"/>
        <w:jc w:val="both"/>
        <w:rPr>
          <w:sz w:val="20"/>
          <w:szCs w:val="20"/>
        </w:rPr>
      </w:pPr>
      <w:r w:rsidRPr="004E18FC">
        <w:rPr>
          <w:sz w:val="20"/>
          <w:szCs w:val="20"/>
        </w:rPr>
        <w:t>Con el propósito de que los vehículos automotores que circulan dentro del territorio del Estado se encuentren debidamente identificados y se compruebe la posesión legal de los mismos, a través de la Secretaría de Movilidad y Transporte en coordinación con la Secretaría de Finanzas, se implementará el Programa Estatal de Reemplacamiento obligatorio 2023, de conformidad con lo estipulado en la Norma Oficial Mexicana NOM-001-SCT-2-2016, misma que establece que los vehículos automotores deberán contar con placas metálicas y calcomanías que faciliten su reconocimiento, a fin de mantener actualizado el registro público vehicular, así como otorgar seguridad jurídica a los actos que se realicen con vehículos que transiten en la Entidad, coadyuvando a mejorar la vigilancia e identificación de vehículos que intervienen en delitos como robos, secuestros, narcotráfico, y accidentes que provoquen pérdidas de vidas humanas, acción que contribuye a fortalecer la seguridad pública del Estado.</w:t>
      </w:r>
    </w:p>
    <w:p w14:paraId="07142198" w14:textId="77777777" w:rsidR="004E18FC" w:rsidRPr="004E18FC" w:rsidRDefault="004E18FC" w:rsidP="004E18FC">
      <w:pPr>
        <w:spacing w:line="360" w:lineRule="auto"/>
        <w:jc w:val="both"/>
        <w:rPr>
          <w:sz w:val="20"/>
          <w:szCs w:val="20"/>
        </w:rPr>
      </w:pPr>
    </w:p>
    <w:p w14:paraId="2A597D17" w14:textId="77777777" w:rsidR="004E18FC" w:rsidRPr="004E18FC" w:rsidRDefault="004E18FC" w:rsidP="004E18FC">
      <w:pPr>
        <w:spacing w:line="360" w:lineRule="auto"/>
        <w:jc w:val="both"/>
        <w:rPr>
          <w:sz w:val="20"/>
          <w:szCs w:val="20"/>
        </w:rPr>
      </w:pPr>
      <w:r w:rsidRPr="004E18FC">
        <w:rPr>
          <w:sz w:val="20"/>
          <w:szCs w:val="20"/>
        </w:rPr>
        <w:lastRenderedPageBreak/>
        <w:t>Con la finalidad de no afectar la economía de las familias tlaxcaltecas, se establece en la Iniciativa de mérito el canje de placas del servicio público y privado al costo, para cumplir con la normativa federal vigente y actualizar el padrón estatal vehicular.</w:t>
      </w:r>
    </w:p>
    <w:p w14:paraId="6F0DB9C2" w14:textId="77777777" w:rsidR="004E18FC" w:rsidRPr="004E18FC" w:rsidRDefault="004E18FC" w:rsidP="004E18FC">
      <w:pPr>
        <w:spacing w:line="360" w:lineRule="auto"/>
        <w:jc w:val="both"/>
        <w:rPr>
          <w:sz w:val="20"/>
          <w:szCs w:val="20"/>
        </w:rPr>
      </w:pPr>
    </w:p>
    <w:p w14:paraId="7C9C30AC" w14:textId="0F036B90" w:rsidR="004E18FC" w:rsidRPr="004E18FC" w:rsidRDefault="004E18FC" w:rsidP="004E18FC">
      <w:pPr>
        <w:spacing w:line="360" w:lineRule="auto"/>
        <w:jc w:val="both"/>
        <w:rPr>
          <w:sz w:val="20"/>
          <w:szCs w:val="20"/>
        </w:rPr>
      </w:pPr>
      <w:r w:rsidRPr="004E18FC">
        <w:rPr>
          <w:sz w:val="20"/>
          <w:szCs w:val="20"/>
        </w:rPr>
        <w:t xml:space="preserve">Durante el primer trimestre de 2022, el Indicador Trimestral de la Actividad Económica Estatal (ITAEE), muestra que el Estado de Tlaxcala ha tenido un </w:t>
      </w:r>
      <w:r w:rsidR="0018070B">
        <w:rPr>
          <w:sz w:val="20"/>
          <w:szCs w:val="20"/>
        </w:rPr>
        <w:t>crecimiento mixto, en relación con el</w:t>
      </w:r>
      <w:r w:rsidRPr="004E18FC">
        <w:rPr>
          <w:sz w:val="20"/>
          <w:szCs w:val="20"/>
        </w:rPr>
        <w:t xml:space="preserve"> trimestre anterior y al mismo periodo de 2021; con variaciones del -0.2% y 2.7% respectivamente, destacándose la aportación del sector secundario con un 5.2% a tasa anualizada.</w:t>
      </w:r>
    </w:p>
    <w:p w14:paraId="0F043797" w14:textId="77777777" w:rsidR="004E18FC" w:rsidRPr="004E18FC" w:rsidRDefault="004E18FC" w:rsidP="004E18FC">
      <w:pPr>
        <w:spacing w:line="360" w:lineRule="auto"/>
        <w:jc w:val="both"/>
        <w:rPr>
          <w:sz w:val="20"/>
          <w:szCs w:val="20"/>
        </w:rPr>
      </w:pPr>
    </w:p>
    <w:p w14:paraId="75157B69" w14:textId="5B517ED7" w:rsidR="00916798" w:rsidRDefault="004E18FC" w:rsidP="004E18FC">
      <w:pPr>
        <w:spacing w:line="360" w:lineRule="auto"/>
        <w:jc w:val="both"/>
        <w:rPr>
          <w:rFonts w:ascii="Arial" w:hAnsi="Arial" w:cs="Arial"/>
        </w:rPr>
      </w:pPr>
      <w:r w:rsidRPr="004E18FC">
        <w:rPr>
          <w:sz w:val="20"/>
          <w:szCs w:val="20"/>
        </w:rPr>
        <w:t>En enero-marzo de 2022, a tasa trimestral y con cifras ajustadas estacionalmente, las entidades federativas que mostraron los aumentos más pronunciados en su actividad económica fueron: Hidalgo, Aguascalientes, San Luis Potosí y Chihuahua. En el primer trimestre de 2022, a tasa anual y con cifras desestacionalizadas, los estados que reportaron los avances más significativos fueron: Baja California Sur, Tabasco, Quintana Roo, Hidalgo, Guerrero y Morelos</w:t>
      </w:r>
      <w:r>
        <w:rPr>
          <w:sz w:val="20"/>
          <w:szCs w:val="20"/>
        </w:rPr>
        <w:t>.</w:t>
      </w:r>
    </w:p>
    <w:p w14:paraId="542C6EDE" w14:textId="31136B1D" w:rsidR="00916798" w:rsidRDefault="00B75220" w:rsidP="00916798">
      <w:pPr>
        <w:spacing w:line="360" w:lineRule="auto"/>
        <w:jc w:val="center"/>
        <w:rPr>
          <w:rFonts w:ascii="Arial" w:hAnsi="Arial" w:cs="Arial"/>
        </w:rPr>
      </w:pPr>
      <w:r>
        <w:rPr>
          <w:noProof/>
          <w:lang w:val="es-MX" w:eastAsia="es-MX"/>
        </w:rPr>
        <mc:AlternateContent>
          <mc:Choice Requires="wps">
            <w:drawing>
              <wp:anchor distT="0" distB="0" distL="114300" distR="114300" simplePos="0" relativeHeight="251713536" behindDoc="0" locked="0" layoutInCell="1" allowOverlap="1" wp14:anchorId="390528B7" wp14:editId="220C28A2">
                <wp:simplePos x="0" y="0"/>
                <wp:positionH relativeFrom="margin">
                  <wp:posOffset>767080</wp:posOffset>
                </wp:positionH>
                <wp:positionV relativeFrom="paragraph">
                  <wp:posOffset>3676650</wp:posOffset>
                </wp:positionV>
                <wp:extent cx="347980" cy="45719"/>
                <wp:effectExtent l="19050" t="38100" r="52070" b="50165"/>
                <wp:wrapNone/>
                <wp:docPr id="57"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980" cy="45719"/>
                        </a:xfrm>
                        <a:prstGeom prst="rightArrow">
                          <a:avLst>
                            <a:gd name="adj1" fmla="val 50000"/>
                            <a:gd name="adj2" fmla="val 109250"/>
                          </a:avLst>
                        </a:prstGeom>
                        <a:solidFill>
                          <a:srgbClr val="FF0000"/>
                        </a:solidFill>
                        <a:ln w="38100">
                          <a:solidFill>
                            <a:srgbClr val="FF0000"/>
                          </a:solidFill>
                          <a:miter lim="800000"/>
                          <a:headEnd/>
                          <a:tailEnd/>
                        </a:ln>
                        <a:effectLst>
                          <a:outerShdw dist="28398" dir="3806097" algn="ctr" rotWithShape="0">
                            <a:srgbClr val="823B0B">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CFD7B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86" o:spid="_x0000_s1026" type="#_x0000_t13" style="position:absolute;margin-left:60.4pt;margin-top:289.5pt;width:27.4pt;height:3.6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" adj="18500" fillcolor="red" strokecolor="red" strokeweight="3pt">
                <v:shadow on="t" color="#823b0b" opacity=".5" offset="1pt"/>
                <w10:wrap anchorx="margin"/>
              </v:shape>
            </w:pict>
          </mc:Fallback>
        </mc:AlternateContent>
      </w:r>
      <w:r>
        <w:rPr>
          <w:rFonts w:ascii="Arial" w:hAnsi="Arial" w:cs="Arial"/>
          <w:noProof/>
          <w:lang w:val="es-MX" w:eastAsia="es-MX"/>
        </w:rPr>
        <w:drawing>
          <wp:inline distT="0" distB="0" distL="0" distR="0" wp14:anchorId="3CC97CF7" wp14:editId="5F1BEA5B">
            <wp:extent cx="3151505" cy="430530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70210" cy="4330853"/>
                    </a:xfrm>
                    <a:prstGeom prst="rect">
                      <a:avLst/>
                    </a:prstGeom>
                    <a:noFill/>
                  </pic:spPr>
                </pic:pic>
              </a:graphicData>
            </a:graphic>
          </wp:inline>
        </w:drawing>
      </w:r>
    </w:p>
    <w:p w14:paraId="4CC8FDEA" w14:textId="7D5E33B3" w:rsidR="00B75220" w:rsidRDefault="004B5116" w:rsidP="00916798">
      <w:pPr>
        <w:spacing w:line="360" w:lineRule="auto"/>
        <w:jc w:val="center"/>
        <w:rPr>
          <w:rFonts w:ascii="Arial" w:hAnsi="Arial" w:cs="Arial"/>
        </w:rPr>
      </w:pPr>
      <w:r>
        <w:rPr>
          <w:noProof/>
          <w:lang w:val="es-MX" w:eastAsia="es-MX"/>
        </w:rPr>
        <w:lastRenderedPageBreak/>
        <mc:AlternateContent>
          <mc:Choice Requires="wps">
            <w:drawing>
              <wp:anchor distT="0" distB="0" distL="114300" distR="114300" simplePos="0" relativeHeight="251717632" behindDoc="0" locked="0" layoutInCell="1" allowOverlap="1" wp14:anchorId="21037C23" wp14:editId="207C29DF">
                <wp:simplePos x="0" y="0"/>
                <wp:positionH relativeFrom="leftMargin">
                  <wp:posOffset>5003800</wp:posOffset>
                </wp:positionH>
                <wp:positionV relativeFrom="paragraph">
                  <wp:posOffset>3206750</wp:posOffset>
                </wp:positionV>
                <wp:extent cx="189865" cy="45720"/>
                <wp:effectExtent l="19050" t="38100" r="57785" b="49530"/>
                <wp:wrapNone/>
                <wp:docPr id="61"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89865" cy="45720"/>
                        </a:xfrm>
                        <a:prstGeom prst="rightArrow">
                          <a:avLst>
                            <a:gd name="adj1" fmla="val 50000"/>
                            <a:gd name="adj2" fmla="val 109250"/>
                          </a:avLst>
                        </a:prstGeom>
                        <a:solidFill>
                          <a:srgbClr val="FF0000"/>
                        </a:solidFill>
                        <a:ln w="38100">
                          <a:solidFill>
                            <a:srgbClr val="FF0000"/>
                          </a:solidFill>
                          <a:miter lim="800000"/>
                          <a:headEnd/>
                          <a:tailEnd/>
                        </a:ln>
                        <a:effectLst>
                          <a:outerShdw dist="28398" dir="3806097" algn="ctr" rotWithShape="0">
                            <a:srgbClr val="823B0B">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58C0B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86" o:spid="_x0000_s1026" type="#_x0000_t13" style="position:absolute;margin-left:394pt;margin-top:252.5pt;width:14.95pt;height:3.6pt;flip:y;z-index:2517176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" adj="15918" fillcolor="red" strokecolor="red" strokeweight="3pt">
                <v:shadow on="t" color="#823b0b" opacity=".5" offset="1pt"/>
                <w10:wrap anchorx="margin"/>
              </v:shape>
            </w:pict>
          </mc:Fallback>
        </mc:AlternateContent>
      </w:r>
      <w:r w:rsidR="00B75220">
        <w:rPr>
          <w:noProof/>
          <w:lang w:val="es-MX" w:eastAsia="es-MX"/>
        </w:rPr>
        <mc:AlternateContent>
          <mc:Choice Requires="wps">
            <w:drawing>
              <wp:anchor distT="0" distB="0" distL="114300" distR="114300" simplePos="0" relativeHeight="251715584" behindDoc="0" locked="0" layoutInCell="1" allowOverlap="1" wp14:anchorId="0F6A44EF" wp14:editId="21F2548A">
                <wp:simplePos x="0" y="0"/>
                <wp:positionH relativeFrom="leftMargin">
                  <wp:posOffset>3228975</wp:posOffset>
                </wp:positionH>
                <wp:positionV relativeFrom="paragraph">
                  <wp:posOffset>2101850</wp:posOffset>
                </wp:positionV>
                <wp:extent cx="189865" cy="45720"/>
                <wp:effectExtent l="19050" t="38100" r="57785" b="49530"/>
                <wp:wrapNone/>
                <wp:docPr id="59"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89865" cy="45720"/>
                        </a:xfrm>
                        <a:prstGeom prst="rightArrow">
                          <a:avLst>
                            <a:gd name="adj1" fmla="val 50000"/>
                            <a:gd name="adj2" fmla="val 109250"/>
                          </a:avLst>
                        </a:prstGeom>
                        <a:solidFill>
                          <a:srgbClr val="FF0000"/>
                        </a:solidFill>
                        <a:ln w="38100">
                          <a:solidFill>
                            <a:srgbClr val="FF0000"/>
                          </a:solidFill>
                          <a:miter lim="800000"/>
                          <a:headEnd/>
                          <a:tailEnd/>
                        </a:ln>
                        <a:effectLst>
                          <a:outerShdw dist="28398" dir="3806097" algn="ctr" rotWithShape="0">
                            <a:srgbClr val="823B0B">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FE530A" id="AutoShape 86" o:spid="_x0000_s1026" type="#_x0000_t13" style="position:absolute;margin-left:254.25pt;margin-top:165.5pt;width:14.95pt;height:3.6pt;flip:y;z-index:2517155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" adj="15918" fillcolor="red" strokecolor="red" strokeweight="3pt">
                <v:shadow on="t" color="#823b0b" opacity=".5" offset="1pt"/>
                <w10:wrap anchorx="margin"/>
              </v:shape>
            </w:pict>
          </mc:Fallback>
        </mc:AlternateContent>
      </w:r>
      <w:r w:rsidR="00B75220">
        <w:rPr>
          <w:noProof/>
          <w:lang w:val="es-MX" w:eastAsia="es-MX"/>
        </w:rPr>
        <w:drawing>
          <wp:inline distT="0" distB="0" distL="0" distR="0" wp14:anchorId="7B205C84" wp14:editId="25017145">
            <wp:extent cx="3491224" cy="502920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9537" t="22106" r="30931" b="6353"/>
                    <a:stretch/>
                  </pic:blipFill>
                  <pic:spPr bwMode="auto">
                    <a:xfrm>
                      <a:off x="0" y="0"/>
                      <a:ext cx="3591413" cy="5173525"/>
                    </a:xfrm>
                    <a:prstGeom prst="rect">
                      <a:avLst/>
                    </a:prstGeom>
                    <a:ln>
                      <a:noFill/>
                    </a:ln>
                    <a:extLst>
                      <a:ext uri="{53640926-AAD7-44D8-BBD7-CCE9431645EC}">
                        <a14:shadowObscured xmlns:a14="http://schemas.microsoft.com/office/drawing/2010/main"/>
                      </a:ext>
                    </a:extLst>
                  </pic:spPr>
                </pic:pic>
              </a:graphicData>
            </a:graphic>
          </wp:inline>
        </w:drawing>
      </w:r>
    </w:p>
    <w:p w14:paraId="6DBC5A4B" w14:textId="77777777" w:rsidR="004E18FC" w:rsidRPr="004E18FC" w:rsidRDefault="004E18FC" w:rsidP="004E18FC">
      <w:pPr>
        <w:spacing w:line="360" w:lineRule="auto"/>
        <w:jc w:val="both"/>
        <w:rPr>
          <w:sz w:val="20"/>
          <w:szCs w:val="20"/>
        </w:rPr>
      </w:pPr>
      <w:r w:rsidRPr="004E18FC">
        <w:rPr>
          <w:sz w:val="20"/>
          <w:szCs w:val="20"/>
        </w:rPr>
        <w:t>El Gobierno del Estado considera prioritaria una estrategia de inclusión social con perspectiva de género, por lo que la atención de los derechos de las niñas, niños y adolescentes de 0 a 5 años y adolescentes hasta los 18 años es fundamental, pues con estas acciones se previenen posibles rezagos y desigualdades en este sector de la población, para lo cual se incorporarán propuestas y estrategias de desarrollo con perspectiva de género.</w:t>
      </w:r>
    </w:p>
    <w:p w14:paraId="6DE0D7FE" w14:textId="77777777" w:rsidR="004E18FC" w:rsidRPr="004E18FC" w:rsidRDefault="004E18FC" w:rsidP="004E18FC">
      <w:pPr>
        <w:spacing w:line="360" w:lineRule="auto"/>
        <w:jc w:val="both"/>
        <w:rPr>
          <w:sz w:val="20"/>
          <w:szCs w:val="20"/>
        </w:rPr>
      </w:pPr>
    </w:p>
    <w:p w14:paraId="47A62113" w14:textId="65CB2913" w:rsidR="00916798" w:rsidRPr="0096089D" w:rsidRDefault="004E18FC" w:rsidP="004E18FC">
      <w:pPr>
        <w:spacing w:line="360" w:lineRule="auto"/>
        <w:jc w:val="both"/>
        <w:rPr>
          <w:sz w:val="20"/>
          <w:szCs w:val="20"/>
        </w:rPr>
      </w:pPr>
      <w:r w:rsidRPr="004E18FC">
        <w:rPr>
          <w:sz w:val="20"/>
          <w:szCs w:val="20"/>
        </w:rPr>
        <w:t>Al mes de septiembre de 2022 la tasa de ocupación reflejó una participación del 1% al total nacional, presentando un incremento de 6,983, puestos de trabajo permanentes respecto a diciembre de 2021. Al mes de agosto de 2022, se tienen registrados 110,420 trabajadores asegurados en el IMSS, tal y como se muestra en los cuadros siguientes</w:t>
      </w:r>
      <w:r w:rsidR="00B75220" w:rsidRPr="00B75220">
        <w:rPr>
          <w:sz w:val="20"/>
          <w:szCs w:val="20"/>
        </w:rPr>
        <w:t>:</w:t>
      </w:r>
    </w:p>
    <w:p w14:paraId="4B4FBB5B" w14:textId="6F1495CD" w:rsidR="00916798" w:rsidRDefault="00B75220" w:rsidP="00916798">
      <w:pPr>
        <w:spacing w:line="360" w:lineRule="auto"/>
        <w:jc w:val="center"/>
        <w:rPr>
          <w:rFonts w:ascii="Arial" w:hAnsi="Arial" w:cs="Arial"/>
          <w:b/>
          <w:sz w:val="12"/>
        </w:rPr>
      </w:pPr>
      <w:r>
        <w:rPr>
          <w:noProof/>
          <w:lang w:val="es-MX" w:eastAsia="es-MX"/>
        </w:rPr>
        <w:lastRenderedPageBreak/>
        <w:drawing>
          <wp:inline distT="0" distB="0" distL="0" distR="0" wp14:anchorId="03C3C9F2" wp14:editId="24AAF622">
            <wp:extent cx="3878216" cy="3162300"/>
            <wp:effectExtent l="0" t="0" r="825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BEBA8EAE-BF5A-486C-A8C5-ECC9F3942E4B}">
                          <a14:imgProps xmlns:a14="http://schemas.microsoft.com/office/drawing/2010/main">
                            <a14:imgLayer r:embed="rId29">
                              <a14:imgEffect>
                                <a14:sharpenSoften amount="25000"/>
                              </a14:imgEffect>
                            </a14:imgLayer>
                          </a14:imgProps>
                        </a:ext>
                      </a:extLst>
                    </a:blip>
                    <a:srcRect l="25003" t="18831" r="22170" b="4585"/>
                    <a:stretch/>
                  </pic:blipFill>
                  <pic:spPr bwMode="auto">
                    <a:xfrm>
                      <a:off x="0" y="0"/>
                      <a:ext cx="3906094" cy="3185032"/>
                    </a:xfrm>
                    <a:prstGeom prst="rect">
                      <a:avLst/>
                    </a:prstGeom>
                    <a:ln>
                      <a:noFill/>
                    </a:ln>
                    <a:extLst>
                      <a:ext uri="{53640926-AAD7-44D8-BBD7-CCE9431645EC}">
                        <a14:shadowObscured xmlns:a14="http://schemas.microsoft.com/office/drawing/2010/main"/>
                      </a:ext>
                    </a:extLst>
                  </pic:spPr>
                </pic:pic>
              </a:graphicData>
            </a:graphic>
          </wp:inline>
        </w:drawing>
      </w:r>
    </w:p>
    <w:p w14:paraId="6588EC1B" w14:textId="552140A2" w:rsidR="00916798" w:rsidRDefault="00B75220" w:rsidP="00B75220">
      <w:pPr>
        <w:spacing w:line="360" w:lineRule="auto"/>
        <w:jc w:val="center"/>
        <w:rPr>
          <w:sz w:val="20"/>
          <w:szCs w:val="20"/>
        </w:rPr>
      </w:pPr>
      <w:r>
        <w:rPr>
          <w:noProof/>
          <w:lang w:val="es-MX" w:eastAsia="es-MX"/>
        </w:rPr>
        <w:drawing>
          <wp:inline distT="0" distB="0" distL="0" distR="0" wp14:anchorId="77B9572C" wp14:editId="3FD5BA32">
            <wp:extent cx="4560829" cy="302895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BEBA8EAE-BF5A-486C-A8C5-ECC9F3942E4B}">
                          <a14:imgProps xmlns:a14="http://schemas.microsoft.com/office/drawing/2010/main">
                            <a14:imgLayer r:embed="rId31">
                              <a14:imgEffect>
                                <a14:brightnessContrast contrast="-20000"/>
                              </a14:imgEffect>
                            </a14:imgLayer>
                          </a14:imgProps>
                        </a:ext>
                      </a:extLst>
                    </a:blip>
                    <a:srcRect l="22319" t="21343" r="23719" b="7312"/>
                    <a:stretch/>
                  </pic:blipFill>
                  <pic:spPr bwMode="auto">
                    <a:xfrm>
                      <a:off x="0" y="0"/>
                      <a:ext cx="4642475" cy="3083173"/>
                    </a:xfrm>
                    <a:prstGeom prst="rect">
                      <a:avLst/>
                    </a:prstGeom>
                    <a:ln>
                      <a:noFill/>
                    </a:ln>
                    <a:extLst>
                      <a:ext uri="{53640926-AAD7-44D8-BBD7-CCE9431645EC}">
                        <a14:shadowObscured xmlns:a14="http://schemas.microsoft.com/office/drawing/2010/main"/>
                      </a:ext>
                    </a:extLst>
                  </pic:spPr>
                </pic:pic>
              </a:graphicData>
            </a:graphic>
          </wp:inline>
        </w:drawing>
      </w:r>
    </w:p>
    <w:p w14:paraId="507877EA" w14:textId="77777777" w:rsidR="00B75220" w:rsidRDefault="00B75220" w:rsidP="00916798">
      <w:pPr>
        <w:spacing w:line="360" w:lineRule="auto"/>
        <w:jc w:val="both"/>
        <w:rPr>
          <w:sz w:val="20"/>
          <w:szCs w:val="20"/>
        </w:rPr>
      </w:pPr>
    </w:p>
    <w:p w14:paraId="736E183F" w14:textId="29211056" w:rsidR="00B75220" w:rsidRDefault="00B75220" w:rsidP="00B75220">
      <w:pPr>
        <w:spacing w:line="360" w:lineRule="auto"/>
        <w:jc w:val="both"/>
        <w:rPr>
          <w:sz w:val="20"/>
          <w:szCs w:val="20"/>
        </w:rPr>
      </w:pPr>
      <w:r w:rsidRPr="00B75220">
        <w:rPr>
          <w:sz w:val="20"/>
          <w:szCs w:val="20"/>
        </w:rPr>
        <w:t xml:space="preserve">De acuerdo </w:t>
      </w:r>
      <w:r w:rsidR="00DD7091">
        <w:rPr>
          <w:sz w:val="20"/>
          <w:szCs w:val="20"/>
        </w:rPr>
        <w:t>con e</w:t>
      </w:r>
      <w:r w:rsidRPr="00B75220">
        <w:rPr>
          <w:sz w:val="20"/>
          <w:szCs w:val="20"/>
        </w:rPr>
        <w:t>l Directorio Estadístico Nacional de Unidades Económicas, Tlaxcala cuenta con 82,492 Unidades Económicas al mes de septiembre de 2022, en los rubros siguientes:</w:t>
      </w:r>
    </w:p>
    <w:p w14:paraId="563AA102" w14:textId="1700F64C" w:rsidR="00916798" w:rsidRDefault="00916798" w:rsidP="00B75220">
      <w:pPr>
        <w:spacing w:line="360" w:lineRule="auto"/>
        <w:jc w:val="both"/>
        <w:rPr>
          <w:rFonts w:ascii="Arial" w:hAnsi="Arial" w:cs="Arial"/>
        </w:rPr>
      </w:pPr>
    </w:p>
    <w:p w14:paraId="223FB267" w14:textId="516B6EA5" w:rsidR="00916798" w:rsidRDefault="00B75220" w:rsidP="00916798">
      <w:pPr>
        <w:spacing w:line="360" w:lineRule="auto"/>
        <w:jc w:val="center"/>
        <w:rPr>
          <w:rFonts w:ascii="Arial" w:hAnsi="Arial" w:cs="Arial"/>
        </w:rPr>
      </w:pPr>
      <w:r w:rsidRPr="00787655">
        <w:rPr>
          <w:noProof/>
          <w:lang w:val="es-MX" w:eastAsia="es-MX"/>
        </w:rPr>
        <w:lastRenderedPageBreak/>
        <w:drawing>
          <wp:inline distT="0" distB="0" distL="0" distR="0" wp14:anchorId="21808AD5" wp14:editId="5B5ACD84">
            <wp:extent cx="2943578" cy="2997200"/>
            <wp:effectExtent l="0" t="0" r="952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75554" cy="3131580"/>
                    </a:xfrm>
                    <a:prstGeom prst="rect">
                      <a:avLst/>
                    </a:prstGeom>
                    <a:noFill/>
                    <a:ln>
                      <a:noFill/>
                    </a:ln>
                  </pic:spPr>
                </pic:pic>
              </a:graphicData>
            </a:graphic>
          </wp:inline>
        </w:drawing>
      </w:r>
    </w:p>
    <w:p w14:paraId="00ABE9BF" w14:textId="77777777" w:rsidR="00916798" w:rsidRDefault="00916798" w:rsidP="00916798">
      <w:pPr>
        <w:spacing w:line="360" w:lineRule="auto"/>
        <w:jc w:val="both"/>
        <w:rPr>
          <w:sz w:val="20"/>
          <w:szCs w:val="20"/>
        </w:rPr>
      </w:pPr>
    </w:p>
    <w:p w14:paraId="5CEDD4BE" w14:textId="3DC92621" w:rsidR="00B75220" w:rsidRDefault="004E18FC" w:rsidP="00916798">
      <w:pPr>
        <w:spacing w:line="360" w:lineRule="auto"/>
        <w:jc w:val="both"/>
        <w:rPr>
          <w:sz w:val="20"/>
          <w:szCs w:val="20"/>
        </w:rPr>
      </w:pPr>
      <w:r w:rsidRPr="004E18FC">
        <w:rPr>
          <w:sz w:val="20"/>
          <w:szCs w:val="20"/>
        </w:rPr>
        <w:t>Lo que representa una participación del 1.4% del Estado en el total nacional. Al segundo trimestre de 2022 la Población Económicamente Activa (PEA) ascendió a 630,978 personas, representando el 61% de la población en edad de trabajar. Del total de la PEA, el 96% está ocupada y el 4% se encuentra desocupada</w:t>
      </w:r>
      <w:r w:rsidR="00B75220" w:rsidRPr="00B75220">
        <w:rPr>
          <w:sz w:val="20"/>
          <w:szCs w:val="20"/>
        </w:rPr>
        <w:t>.</w:t>
      </w:r>
    </w:p>
    <w:p w14:paraId="7E3E6131" w14:textId="3A2382CC" w:rsidR="00B75220" w:rsidRDefault="00B75220" w:rsidP="00B75220">
      <w:pPr>
        <w:spacing w:line="360" w:lineRule="auto"/>
        <w:jc w:val="center"/>
        <w:rPr>
          <w:sz w:val="20"/>
          <w:szCs w:val="20"/>
        </w:rPr>
      </w:pPr>
      <w:r>
        <w:rPr>
          <w:noProof/>
          <w:lang w:val="es-MX" w:eastAsia="es-MX"/>
        </w:rPr>
        <w:drawing>
          <wp:inline distT="0" distB="0" distL="0" distR="0" wp14:anchorId="7F5D9875" wp14:editId="150BD7BD">
            <wp:extent cx="3590925" cy="3285561"/>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4104" t="24836" r="25370" b="8006"/>
                    <a:stretch/>
                  </pic:blipFill>
                  <pic:spPr bwMode="auto">
                    <a:xfrm>
                      <a:off x="0" y="0"/>
                      <a:ext cx="3599371" cy="3293289"/>
                    </a:xfrm>
                    <a:prstGeom prst="rect">
                      <a:avLst/>
                    </a:prstGeom>
                    <a:ln>
                      <a:noFill/>
                    </a:ln>
                    <a:extLst>
                      <a:ext uri="{53640926-AAD7-44D8-BBD7-CCE9431645EC}">
                        <a14:shadowObscured xmlns:a14="http://schemas.microsoft.com/office/drawing/2010/main"/>
                      </a:ext>
                    </a:extLst>
                  </pic:spPr>
                </pic:pic>
              </a:graphicData>
            </a:graphic>
          </wp:inline>
        </w:drawing>
      </w:r>
    </w:p>
    <w:p w14:paraId="0B5DAE01" w14:textId="6CC45312" w:rsidR="00916798" w:rsidRDefault="00B75220" w:rsidP="00B75220">
      <w:pPr>
        <w:spacing w:line="360" w:lineRule="auto"/>
        <w:jc w:val="center"/>
        <w:rPr>
          <w:rFonts w:ascii="Arial" w:hAnsi="Arial" w:cs="Arial"/>
        </w:rPr>
      </w:pPr>
      <w:r>
        <w:rPr>
          <w:noProof/>
          <w:lang w:val="es-MX" w:eastAsia="es-MX"/>
        </w:rPr>
        <w:lastRenderedPageBreak/>
        <w:drawing>
          <wp:inline distT="0" distB="0" distL="0" distR="0" wp14:anchorId="42B3D565" wp14:editId="523D7CBE">
            <wp:extent cx="3533775" cy="2725852"/>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7061" t="26495" r="26167" b="8055"/>
                    <a:stretch/>
                  </pic:blipFill>
                  <pic:spPr bwMode="auto">
                    <a:xfrm>
                      <a:off x="0" y="0"/>
                      <a:ext cx="3577747" cy="2759770"/>
                    </a:xfrm>
                    <a:prstGeom prst="rect">
                      <a:avLst/>
                    </a:prstGeom>
                    <a:ln>
                      <a:noFill/>
                    </a:ln>
                    <a:extLst>
                      <a:ext uri="{53640926-AAD7-44D8-BBD7-CCE9431645EC}">
                        <a14:shadowObscured xmlns:a14="http://schemas.microsoft.com/office/drawing/2010/main"/>
                      </a:ext>
                    </a:extLst>
                  </pic:spPr>
                </pic:pic>
              </a:graphicData>
            </a:graphic>
          </wp:inline>
        </w:drawing>
      </w:r>
    </w:p>
    <w:p w14:paraId="23E90487" w14:textId="77777777" w:rsidR="00916798" w:rsidRDefault="00916798" w:rsidP="00916798">
      <w:pPr>
        <w:spacing w:line="360" w:lineRule="auto"/>
        <w:jc w:val="both"/>
        <w:rPr>
          <w:rFonts w:ascii="Arial" w:hAnsi="Arial" w:cs="Arial"/>
        </w:rPr>
      </w:pPr>
    </w:p>
    <w:p w14:paraId="4DC20D74" w14:textId="6F12FC6F" w:rsidR="004E18FC" w:rsidRPr="004E18FC" w:rsidRDefault="004E18FC" w:rsidP="004E18FC">
      <w:pPr>
        <w:spacing w:line="360" w:lineRule="auto"/>
        <w:jc w:val="both"/>
        <w:rPr>
          <w:sz w:val="20"/>
          <w:szCs w:val="20"/>
        </w:rPr>
      </w:pPr>
      <w:r w:rsidRPr="004E18FC">
        <w:rPr>
          <w:sz w:val="20"/>
          <w:szCs w:val="20"/>
        </w:rPr>
        <w:t xml:space="preserve">Los Objetivos de Desarrollo Sostenible (ODS), constituyen un llamado universal a la acción, para poner fin a la pobreza, proteger el planeta y mejorar la vida y la perspectiva de las personas en todo el mundo. El plan para alcanzar los objetivos planteados en el documento es de 15 años. La ONU considera que se está progresando en muchos lugares, pero en general, las medidas encaminadas a lograr los propósitos todavía no avanzan a la velocidad, ni escalas necesarias. </w:t>
      </w:r>
    </w:p>
    <w:p w14:paraId="288AEE17" w14:textId="77777777" w:rsidR="004E18FC" w:rsidRPr="004E18FC" w:rsidRDefault="004E18FC" w:rsidP="004E18FC">
      <w:pPr>
        <w:spacing w:line="360" w:lineRule="auto"/>
        <w:jc w:val="both"/>
        <w:rPr>
          <w:sz w:val="20"/>
          <w:szCs w:val="20"/>
        </w:rPr>
      </w:pPr>
    </w:p>
    <w:p w14:paraId="74DC9EC0" w14:textId="77777777" w:rsidR="004E18FC" w:rsidRPr="004E18FC" w:rsidRDefault="004E18FC" w:rsidP="004E18FC">
      <w:pPr>
        <w:spacing w:line="360" w:lineRule="auto"/>
        <w:jc w:val="both"/>
        <w:rPr>
          <w:sz w:val="20"/>
          <w:szCs w:val="20"/>
        </w:rPr>
      </w:pPr>
      <w:r w:rsidRPr="004E18FC">
        <w:rPr>
          <w:sz w:val="20"/>
          <w:szCs w:val="20"/>
        </w:rPr>
        <w:t>El año 2020 marcó el inicio de una década de acción ambiciosa a fin de alcanzar los objetivos para el 2030, por lo que en nuestro Estado conscientes de la necesidad de integración en un entorno globalizado y observando los compromisos internacionales que nuestro país asumió en materia de desarrollo humano, cuidado del ambiente y responsabilidad con el planeta, hemos buscado insertar los productos tlaxcaltecas en los mercados nacional e internacional identificando las oportunidades de una economía globalizada y aprovecharlas, dado que se presentan mayores complejidades.</w:t>
      </w:r>
    </w:p>
    <w:p w14:paraId="4EC32702" w14:textId="77777777" w:rsidR="004E18FC" w:rsidRPr="004E18FC" w:rsidRDefault="004E18FC" w:rsidP="004E18FC">
      <w:pPr>
        <w:spacing w:line="360" w:lineRule="auto"/>
        <w:jc w:val="both"/>
        <w:rPr>
          <w:sz w:val="20"/>
          <w:szCs w:val="20"/>
        </w:rPr>
      </w:pPr>
    </w:p>
    <w:p w14:paraId="11644232" w14:textId="2FBC49ED" w:rsidR="00916798" w:rsidRDefault="004E18FC" w:rsidP="004E18FC">
      <w:pPr>
        <w:spacing w:line="360" w:lineRule="auto"/>
        <w:jc w:val="both"/>
        <w:rPr>
          <w:sz w:val="20"/>
          <w:szCs w:val="20"/>
        </w:rPr>
      </w:pPr>
      <w:r w:rsidRPr="004E18FC">
        <w:rPr>
          <w:sz w:val="20"/>
          <w:szCs w:val="20"/>
        </w:rPr>
        <w:t>Al primer trimestre de 2022, la Inversión Extranjera Directa Acumulada del año 1999 al mes de marzo de 2022 en el Estado de Tlaxcala fue de 3,710.4 millones de dólares, lo que representó un aporte del 0.6 % al total nacional, instalándose empresas de diversas nacionalidades, tal y como se observa en el cuadro comparativo siguiente</w:t>
      </w:r>
      <w:r w:rsidR="00B75220" w:rsidRPr="00B75220">
        <w:rPr>
          <w:sz w:val="20"/>
          <w:szCs w:val="20"/>
        </w:rPr>
        <w:t>:</w:t>
      </w:r>
    </w:p>
    <w:p w14:paraId="231EDEE6" w14:textId="40B1126F" w:rsidR="00B75220" w:rsidRDefault="004E18FC" w:rsidP="00B75220">
      <w:pPr>
        <w:spacing w:line="360" w:lineRule="auto"/>
        <w:jc w:val="center"/>
        <w:rPr>
          <w:rFonts w:ascii="Arial" w:hAnsi="Arial" w:cs="Arial"/>
        </w:rPr>
      </w:pPr>
      <w:r>
        <w:rPr>
          <w:noProof/>
          <w:lang w:val="es-MX" w:eastAsia="es-MX"/>
        </w:rPr>
        <w:lastRenderedPageBreak/>
        <mc:AlternateContent>
          <mc:Choice Requires="wps">
            <w:drawing>
              <wp:anchor distT="0" distB="0" distL="114300" distR="114300" simplePos="0" relativeHeight="251719680" behindDoc="0" locked="0" layoutInCell="1" allowOverlap="1" wp14:anchorId="641D143F" wp14:editId="7F9A395E">
                <wp:simplePos x="0" y="0"/>
                <wp:positionH relativeFrom="margin">
                  <wp:posOffset>601980</wp:posOffset>
                </wp:positionH>
                <wp:positionV relativeFrom="paragraph">
                  <wp:posOffset>2333625</wp:posOffset>
                </wp:positionV>
                <wp:extent cx="3971925" cy="85725"/>
                <wp:effectExtent l="0" t="0" r="28575" b="28575"/>
                <wp:wrapNone/>
                <wp:docPr id="3" name="Rectángulo 3"/>
                <wp:cNvGraphicFramePr/>
                <a:graphic xmlns:a="http://schemas.openxmlformats.org/drawingml/2006/main">
                  <a:graphicData uri="http://schemas.microsoft.com/office/word/2010/wordprocessingShape">
                    <wps:wsp>
                      <wps:cNvSpPr/>
                      <wps:spPr>
                        <a:xfrm>
                          <a:off x="0" y="0"/>
                          <a:ext cx="3971925" cy="85725"/>
                        </a:xfrm>
                        <a:prstGeom prst="rect">
                          <a:avLst/>
                        </a:prstGeom>
                        <a:noFill/>
                        <a:ln w="190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D912C3" id="Rectángulo 3" o:spid="_x0000_s1026" style="position:absolute;margin-left:47.4pt;margin-top:183.75pt;width:312.75pt;height:6.7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" filled="f" strokecolor="#7030a0" strokeweight="1.5pt">
                <w10:wrap anchorx="margin"/>
              </v:rect>
            </w:pict>
          </mc:Fallback>
        </mc:AlternateContent>
      </w:r>
      <w:r w:rsidR="00B75220" w:rsidRPr="009E7212">
        <w:rPr>
          <w:noProof/>
          <w:lang w:val="es-MX" w:eastAsia="es-MX"/>
        </w:rPr>
        <w:drawing>
          <wp:inline distT="0" distB="0" distL="0" distR="0" wp14:anchorId="7FF914EC" wp14:editId="75110CB1">
            <wp:extent cx="3952256" cy="2886075"/>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35">
                      <a:extLst>
                        <a:ext uri="{BEBA8EAE-BF5A-486C-A8C5-ECC9F3942E4B}">
                          <a14:imgProps xmlns:a14="http://schemas.microsoft.com/office/drawing/2010/main">
                            <a14:imgLayer r:embed="rId36">
                              <a14:imgEffect>
                                <a14:sharpenSoften amount="25000"/>
                              </a14:imgEffect>
                              <a14:imgEffect>
                                <a14:saturation sat="66000"/>
                              </a14:imgEffect>
                              <a14:imgEffect>
                                <a14:brightnessContrast contrast="20000"/>
                              </a14:imgEffect>
                            </a14:imgLayer>
                          </a14:imgProps>
                        </a:ext>
                        <a:ext uri="{28A0092B-C50C-407E-A947-70E740481C1C}">
                          <a14:useLocalDpi xmlns:a14="http://schemas.microsoft.com/office/drawing/2010/main" val="0"/>
                        </a:ext>
                      </a:extLst>
                    </a:blip>
                    <a:srcRect l="5403" t="20442" r="6622" b="8546"/>
                    <a:stretch/>
                  </pic:blipFill>
                  <pic:spPr bwMode="auto">
                    <a:xfrm>
                      <a:off x="0" y="0"/>
                      <a:ext cx="3957373" cy="2889812"/>
                    </a:xfrm>
                    <a:prstGeom prst="rect">
                      <a:avLst/>
                    </a:prstGeom>
                    <a:noFill/>
                    <a:ln>
                      <a:noFill/>
                    </a:ln>
                    <a:extLst>
                      <a:ext uri="{53640926-AAD7-44D8-BBD7-CCE9431645EC}">
                        <a14:shadowObscured xmlns:a14="http://schemas.microsoft.com/office/drawing/2010/main"/>
                      </a:ext>
                    </a:extLst>
                  </pic:spPr>
                </pic:pic>
              </a:graphicData>
            </a:graphic>
          </wp:inline>
        </w:drawing>
      </w:r>
    </w:p>
    <w:p w14:paraId="4C32D3A7" w14:textId="406E9AE8" w:rsidR="00916798" w:rsidRDefault="004E18FC" w:rsidP="00916798">
      <w:pPr>
        <w:shd w:val="clear" w:color="auto" w:fill="FFFFFF" w:themeFill="background1"/>
        <w:spacing w:line="360" w:lineRule="auto"/>
        <w:jc w:val="both"/>
        <w:rPr>
          <w:sz w:val="20"/>
          <w:szCs w:val="20"/>
        </w:rPr>
      </w:pPr>
      <w:r w:rsidRPr="004E18FC">
        <w:rPr>
          <w:sz w:val="20"/>
          <w:szCs w:val="20"/>
        </w:rPr>
        <w:t>La transparencia en la formulación del presupuesto reviste una especial relevancia en la consolidación de una sociedad democrática, y en la política de este Gobierno el ejercicio del gasto público es un elemento fundamental por lo que, la eficacia y la eficiencia en su ejercicio contribuirá a la identificación de posibles casos de corrupción. El Instituto Mexicano para la Competitividad A.C. elaboró el Índice de Información Presupuestal Estatal (IIPE); actual Barómetro de Información Presupuestal Estatal (BIPE), que evalúa la calidad del reporte de la información presupuestal de las 32 entidades federativas. El BIPE tiene como propósito eliminar las condiciones de opacidad en el manejo de los recursos públicos y fomentar buenas prácticas presupuestales. Desde 2008, el IMCO evalúa la calidad de la información presupuestal de los estados sobre la base de un catálogo de buenas prácticas y las normas de contabilidad gubernamental. El BIPE ubica al Estado de Tlaxcala entre las 20 entidades mejor evaluadas en esta materia</w:t>
      </w:r>
      <w:r w:rsidR="00B75220" w:rsidRPr="00B75220">
        <w:rPr>
          <w:sz w:val="20"/>
          <w:szCs w:val="20"/>
        </w:rPr>
        <w:t>.</w:t>
      </w:r>
    </w:p>
    <w:p w14:paraId="4DA0E323" w14:textId="30369241" w:rsidR="00B75220" w:rsidRDefault="00B75220" w:rsidP="00B75220">
      <w:pPr>
        <w:shd w:val="clear" w:color="auto" w:fill="FFFFFF" w:themeFill="background1"/>
        <w:spacing w:line="360" w:lineRule="auto"/>
        <w:jc w:val="center"/>
        <w:rPr>
          <w:sz w:val="20"/>
          <w:szCs w:val="20"/>
        </w:rPr>
      </w:pPr>
      <w:r>
        <w:rPr>
          <w:noProof/>
          <w:lang w:val="es-MX" w:eastAsia="es-MX"/>
        </w:rPr>
        <w:drawing>
          <wp:inline distT="0" distB="0" distL="0" distR="0" wp14:anchorId="3895879A" wp14:editId="2F6B165E">
            <wp:extent cx="3500317" cy="1733550"/>
            <wp:effectExtent l="0" t="0" r="508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9701" t="18280" r="10754" b="11680"/>
                    <a:stretch/>
                  </pic:blipFill>
                  <pic:spPr bwMode="auto">
                    <a:xfrm>
                      <a:off x="0" y="0"/>
                      <a:ext cx="3504709" cy="1735725"/>
                    </a:xfrm>
                    <a:prstGeom prst="rect">
                      <a:avLst/>
                    </a:prstGeom>
                    <a:ln>
                      <a:noFill/>
                    </a:ln>
                    <a:extLst>
                      <a:ext uri="{53640926-AAD7-44D8-BBD7-CCE9431645EC}">
                        <a14:shadowObscured xmlns:a14="http://schemas.microsoft.com/office/drawing/2010/main"/>
                      </a:ext>
                    </a:extLst>
                  </pic:spPr>
                </pic:pic>
              </a:graphicData>
            </a:graphic>
          </wp:inline>
        </w:drawing>
      </w:r>
    </w:p>
    <w:p w14:paraId="3029CF30" w14:textId="67456FC7" w:rsidR="00B75220" w:rsidRPr="00BF377A" w:rsidRDefault="00B75220" w:rsidP="00B75220">
      <w:pPr>
        <w:shd w:val="clear" w:color="auto" w:fill="FFFFFF" w:themeFill="background1"/>
        <w:spacing w:line="360" w:lineRule="auto"/>
        <w:jc w:val="center"/>
        <w:rPr>
          <w:sz w:val="20"/>
          <w:szCs w:val="20"/>
        </w:rPr>
      </w:pPr>
      <w:r>
        <w:rPr>
          <w:noProof/>
          <w:lang w:val="es-MX" w:eastAsia="es-MX"/>
        </w:rPr>
        <w:lastRenderedPageBreak/>
        <w:drawing>
          <wp:inline distT="0" distB="0" distL="0" distR="0" wp14:anchorId="6DDE0FEA" wp14:editId="1CFB569B">
            <wp:extent cx="3816890" cy="16002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grayscl/>
                    </a:blip>
                    <a:srcRect l="9605" t="31560" r="10744" b="12392"/>
                    <a:stretch/>
                  </pic:blipFill>
                  <pic:spPr bwMode="auto">
                    <a:xfrm>
                      <a:off x="0" y="0"/>
                      <a:ext cx="3823803" cy="1603098"/>
                    </a:xfrm>
                    <a:prstGeom prst="rect">
                      <a:avLst/>
                    </a:prstGeom>
                    <a:ln>
                      <a:noFill/>
                    </a:ln>
                    <a:extLst>
                      <a:ext uri="{53640926-AAD7-44D8-BBD7-CCE9431645EC}">
                        <a14:shadowObscured xmlns:a14="http://schemas.microsoft.com/office/drawing/2010/main"/>
                      </a:ext>
                    </a:extLst>
                  </pic:spPr>
                </pic:pic>
              </a:graphicData>
            </a:graphic>
          </wp:inline>
        </w:drawing>
      </w:r>
    </w:p>
    <w:p w14:paraId="602CFCBD" w14:textId="476E3565" w:rsidR="00916798" w:rsidRPr="00797B9A" w:rsidRDefault="00916798" w:rsidP="00916798">
      <w:pPr>
        <w:spacing w:line="360" w:lineRule="auto"/>
        <w:jc w:val="center"/>
        <w:rPr>
          <w:rFonts w:ascii="Arial" w:hAnsi="Arial" w:cs="Arial"/>
        </w:rPr>
      </w:pPr>
    </w:p>
    <w:p w14:paraId="1F7F0330" w14:textId="3AE47B52" w:rsidR="004E18FC" w:rsidRPr="004E18FC" w:rsidRDefault="004E18FC" w:rsidP="004E18FC">
      <w:pPr>
        <w:spacing w:line="360" w:lineRule="auto"/>
        <w:jc w:val="both"/>
        <w:rPr>
          <w:sz w:val="20"/>
          <w:szCs w:val="20"/>
        </w:rPr>
      </w:pPr>
      <w:r w:rsidRPr="004E18FC">
        <w:rPr>
          <w:sz w:val="20"/>
          <w:szCs w:val="20"/>
        </w:rPr>
        <w:t>Las estimaciones de ingresos que se prevén en la presente Iniciativa consideran proyecciones congruentes a los Criterios Generales de Política Económica para la Iniciativa de Ley de Ingresos y el Proyecto de Presupuesto de Egresos de la Federación correspondientes al Ejercicio Fiscal 2023, en apego a las disposiciones establecidas en la Ley de Disciplina Financiera de las Entidades Federativas y los Municipios.</w:t>
      </w:r>
    </w:p>
    <w:p w14:paraId="66A9FE75" w14:textId="77777777" w:rsidR="004E18FC" w:rsidRPr="004E18FC" w:rsidRDefault="004E18FC" w:rsidP="004E18FC">
      <w:pPr>
        <w:spacing w:line="360" w:lineRule="auto"/>
        <w:jc w:val="both"/>
        <w:rPr>
          <w:sz w:val="20"/>
          <w:szCs w:val="20"/>
        </w:rPr>
      </w:pPr>
    </w:p>
    <w:p w14:paraId="3AC78461" w14:textId="2293CD49" w:rsidR="00916798" w:rsidRDefault="004E18FC" w:rsidP="004E18FC">
      <w:pPr>
        <w:spacing w:line="360" w:lineRule="auto"/>
        <w:jc w:val="both"/>
        <w:rPr>
          <w:sz w:val="20"/>
          <w:szCs w:val="20"/>
        </w:rPr>
      </w:pPr>
      <w:r w:rsidRPr="004E18FC">
        <w:rPr>
          <w:sz w:val="20"/>
          <w:szCs w:val="20"/>
        </w:rPr>
        <w:t>En materia de ingresos provenientes de fuentes locales y considerando una recuperación económica al cierre del ejercicio 2022, se estima que, para el ejercicio fiscal de 2023, se tenga una variación del 18.42% con relación a la Ley de Ingresos aprobada para el ejercicio fiscal de 2022, tal como se muestra en el gráfico siguiente</w:t>
      </w:r>
      <w:r w:rsidR="0088157F" w:rsidRPr="0088157F">
        <w:rPr>
          <w:sz w:val="20"/>
          <w:szCs w:val="20"/>
        </w:rPr>
        <w:t>:</w:t>
      </w:r>
    </w:p>
    <w:p w14:paraId="330A7702" w14:textId="33844458" w:rsidR="0088157F" w:rsidRPr="000F49DD" w:rsidRDefault="0088157F" w:rsidP="0088157F">
      <w:pPr>
        <w:spacing w:line="360" w:lineRule="auto"/>
        <w:jc w:val="center"/>
        <w:rPr>
          <w:rFonts w:ascii="Arial" w:hAnsi="Arial" w:cs="Arial"/>
        </w:rPr>
      </w:pPr>
      <w:r>
        <w:rPr>
          <w:rFonts w:ascii="Arial" w:hAnsi="Arial" w:cs="Arial"/>
          <w:noProof/>
          <w:lang w:val="es-MX" w:eastAsia="es-MX"/>
        </w:rPr>
        <w:drawing>
          <wp:inline distT="0" distB="0" distL="0" distR="0" wp14:anchorId="743EBBC8" wp14:editId="11AAB657">
            <wp:extent cx="4030011" cy="2600325"/>
            <wp:effectExtent l="0" t="0" r="889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62541" cy="2621315"/>
                    </a:xfrm>
                    <a:prstGeom prst="rect">
                      <a:avLst/>
                    </a:prstGeom>
                    <a:noFill/>
                  </pic:spPr>
                </pic:pic>
              </a:graphicData>
            </a:graphic>
          </wp:inline>
        </w:drawing>
      </w:r>
    </w:p>
    <w:p w14:paraId="6F53572C" w14:textId="77777777" w:rsidR="0088157F" w:rsidRPr="0088157F" w:rsidRDefault="0088157F" w:rsidP="0088157F">
      <w:pPr>
        <w:spacing w:line="360" w:lineRule="auto"/>
        <w:ind w:left="567"/>
        <w:rPr>
          <w:sz w:val="12"/>
          <w:szCs w:val="12"/>
        </w:rPr>
      </w:pPr>
      <w:r w:rsidRPr="0088157F">
        <w:rPr>
          <w:b/>
          <w:sz w:val="12"/>
          <w:szCs w:val="12"/>
        </w:rPr>
        <w:t xml:space="preserve">Fuente: </w:t>
      </w:r>
      <w:r w:rsidRPr="0088157F">
        <w:rPr>
          <w:sz w:val="12"/>
          <w:szCs w:val="12"/>
        </w:rPr>
        <w:t>Dirección de Ingresos y Fiscalización.</w:t>
      </w:r>
    </w:p>
    <w:p w14:paraId="6756274E" w14:textId="77777777" w:rsidR="004E18FC" w:rsidRPr="004E18FC" w:rsidRDefault="004E18FC" w:rsidP="004E18FC">
      <w:pPr>
        <w:spacing w:line="360" w:lineRule="auto"/>
        <w:jc w:val="both"/>
        <w:rPr>
          <w:sz w:val="20"/>
          <w:szCs w:val="20"/>
        </w:rPr>
      </w:pPr>
      <w:r w:rsidRPr="004E18FC">
        <w:rPr>
          <w:sz w:val="20"/>
          <w:szCs w:val="20"/>
        </w:rPr>
        <w:lastRenderedPageBreak/>
        <w:t>Se incluyen los ingresos que se esperan captar por parte de los Organismos Públicos Descentralizados, por la prestación de servicios inherentes a sus funciones, mismos que serán recaudados a través de la Secretaría de Finanzas.</w:t>
      </w:r>
    </w:p>
    <w:p w14:paraId="6F2EC402" w14:textId="77777777" w:rsidR="004E18FC" w:rsidRPr="004E18FC" w:rsidRDefault="004E18FC" w:rsidP="004E18FC">
      <w:pPr>
        <w:spacing w:line="360" w:lineRule="auto"/>
        <w:jc w:val="both"/>
        <w:rPr>
          <w:sz w:val="20"/>
          <w:szCs w:val="20"/>
        </w:rPr>
      </w:pPr>
    </w:p>
    <w:p w14:paraId="132E42ED" w14:textId="3F49C6E1" w:rsidR="00916798" w:rsidRPr="0088157F" w:rsidRDefault="004E18FC" w:rsidP="004E18FC">
      <w:pPr>
        <w:spacing w:line="360" w:lineRule="auto"/>
        <w:jc w:val="both"/>
        <w:rPr>
          <w:sz w:val="20"/>
          <w:szCs w:val="20"/>
          <w:highlight w:val="yellow"/>
        </w:rPr>
      </w:pPr>
      <w:r w:rsidRPr="004E18FC">
        <w:rPr>
          <w:sz w:val="20"/>
          <w:szCs w:val="20"/>
        </w:rPr>
        <w:t>En lo que corresponde a participaciones federales referenciadas a la Recaudación Federal Participable en el presente ejercicio (al mes de septiembre de 2022), la distribución por Entidad Federativa muestra un crecimiento promedio de 4.18%; Tlaxcala se sitúa con un -0.21%, esto derivado de la baja eficiencia en la recaudación de los impuestos y derechos locales (incluye predial y agua municipal) en los periodos 2020-2021 tal como se aprecia en el gráfico siguiente</w:t>
      </w:r>
      <w:r w:rsidR="0088157F" w:rsidRPr="0088157F">
        <w:rPr>
          <w:sz w:val="20"/>
          <w:szCs w:val="20"/>
        </w:rPr>
        <w:t>:</w:t>
      </w:r>
    </w:p>
    <w:p w14:paraId="70CA2EB9" w14:textId="785B284F" w:rsidR="00916798" w:rsidRPr="00797B9A" w:rsidRDefault="00916798" w:rsidP="0088157F">
      <w:pPr>
        <w:spacing w:line="360" w:lineRule="auto"/>
        <w:jc w:val="center"/>
        <w:rPr>
          <w:rFonts w:ascii="Arial" w:hAnsi="Arial" w:cs="Arial"/>
        </w:rPr>
      </w:pPr>
      <w:r w:rsidRPr="00797B9A">
        <w:rPr>
          <w:rFonts w:ascii="Arial" w:hAnsi="Arial" w:cs="Arial"/>
          <w:noProof/>
          <w:lang w:val="es-MX" w:eastAsia="es-MX"/>
        </w:rPr>
        <mc:AlternateContent>
          <mc:Choice Requires="wps">
            <w:drawing>
              <wp:anchor distT="0" distB="0" distL="114300" distR="114300" simplePos="0" relativeHeight="251703296" behindDoc="0" locked="0" layoutInCell="1" allowOverlap="1" wp14:anchorId="494DCFAE" wp14:editId="2A719530">
                <wp:simplePos x="0" y="0"/>
                <wp:positionH relativeFrom="column">
                  <wp:posOffset>4486910</wp:posOffset>
                </wp:positionH>
                <wp:positionV relativeFrom="paragraph">
                  <wp:posOffset>1252855</wp:posOffset>
                </wp:positionV>
                <wp:extent cx="72044" cy="215091"/>
                <wp:effectExtent l="19050" t="0" r="42545" b="33020"/>
                <wp:wrapNone/>
                <wp:docPr id="2" name="Flecha abajo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044" cy="215091"/>
                        </a:xfrm>
                        <a:prstGeom prst="downArrow">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B586B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4" o:spid="_x0000_s1026" type="#_x0000_t67" style="position:absolute;margin-left:353.3pt;margin-top:98.65pt;width:5.65pt;height:16.9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" adj="17983" fillcolor="#c00000" strokecolor="#c00000" strokeweight="1pt">
                <v:path arrowok="t"/>
              </v:shape>
            </w:pict>
          </mc:Fallback>
        </mc:AlternateContent>
      </w:r>
      <w:r w:rsidR="0088157F">
        <w:rPr>
          <w:rFonts w:ascii="Arial" w:hAnsi="Arial" w:cs="Arial"/>
          <w:noProof/>
          <w:lang w:val="es-MX" w:eastAsia="es-MX"/>
        </w:rPr>
        <w:drawing>
          <wp:inline distT="0" distB="0" distL="0" distR="0" wp14:anchorId="09BB8F10" wp14:editId="63F28971">
            <wp:extent cx="4276725" cy="2959090"/>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87133" cy="2966292"/>
                    </a:xfrm>
                    <a:prstGeom prst="rect">
                      <a:avLst/>
                    </a:prstGeom>
                    <a:noFill/>
                  </pic:spPr>
                </pic:pic>
              </a:graphicData>
            </a:graphic>
          </wp:inline>
        </w:drawing>
      </w:r>
    </w:p>
    <w:p w14:paraId="28684873" w14:textId="77777777" w:rsidR="00916798" w:rsidRPr="00BF377A" w:rsidRDefault="00916798" w:rsidP="00916798">
      <w:pPr>
        <w:spacing w:line="360" w:lineRule="auto"/>
        <w:jc w:val="both"/>
        <w:rPr>
          <w:b/>
          <w:sz w:val="14"/>
        </w:rPr>
      </w:pPr>
      <w:r w:rsidRPr="00BF377A">
        <w:rPr>
          <w:b/>
          <w:sz w:val="14"/>
        </w:rPr>
        <w:t>Fuente: Elaboración propia DCGCH.</w:t>
      </w:r>
    </w:p>
    <w:p w14:paraId="43B023C4" w14:textId="77777777" w:rsidR="00916798" w:rsidRPr="003C5726" w:rsidRDefault="00916798" w:rsidP="00916798">
      <w:pPr>
        <w:spacing w:line="360" w:lineRule="auto"/>
        <w:jc w:val="both"/>
        <w:rPr>
          <w:rFonts w:ascii="Arial" w:hAnsi="Arial" w:cs="Arial"/>
          <w:highlight w:val="yellow"/>
        </w:rPr>
      </w:pPr>
    </w:p>
    <w:p w14:paraId="28DCF1D0" w14:textId="2224859A" w:rsidR="0088157F" w:rsidRDefault="009B78D5" w:rsidP="0088157F">
      <w:pPr>
        <w:spacing w:line="360" w:lineRule="auto"/>
        <w:jc w:val="both"/>
        <w:rPr>
          <w:sz w:val="20"/>
          <w:szCs w:val="20"/>
        </w:rPr>
      </w:pPr>
      <w:r w:rsidRPr="009B78D5">
        <w:rPr>
          <w:sz w:val="20"/>
          <w:szCs w:val="20"/>
        </w:rPr>
        <w:t>Para el ejercicio fiscal 2023, se prevé una variación del 13.53% en las participaciones federales, respecto de las cifras autorizadas en la Ley de Ingresos del Estado de Tlaxcala para el Ejercicio Fiscal 2022, tal y como se muestra en la gráfica siguiente</w:t>
      </w:r>
      <w:r w:rsidR="0088157F" w:rsidRPr="0088157F">
        <w:rPr>
          <w:sz w:val="20"/>
          <w:szCs w:val="20"/>
        </w:rPr>
        <w:t>:</w:t>
      </w:r>
    </w:p>
    <w:p w14:paraId="0AAFDFA7" w14:textId="4AE41B9F" w:rsidR="00916798" w:rsidRPr="00797B9A" w:rsidRDefault="0088157F" w:rsidP="0088157F">
      <w:pPr>
        <w:spacing w:line="360" w:lineRule="auto"/>
        <w:jc w:val="both"/>
        <w:rPr>
          <w:rFonts w:ascii="Arial" w:hAnsi="Arial" w:cs="Arial"/>
        </w:rPr>
      </w:pPr>
      <w:r>
        <w:rPr>
          <w:rFonts w:ascii="Arial" w:hAnsi="Arial" w:cs="Arial"/>
          <w:noProof/>
          <w:lang w:val="es-MX" w:eastAsia="es-MX"/>
        </w:rPr>
        <w:lastRenderedPageBreak/>
        <w:drawing>
          <wp:inline distT="0" distB="0" distL="0" distR="0" wp14:anchorId="2C0490FC" wp14:editId="59C3FACE">
            <wp:extent cx="3848100" cy="2098338"/>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924285" cy="2139881"/>
                    </a:xfrm>
                    <a:prstGeom prst="rect">
                      <a:avLst/>
                    </a:prstGeom>
                    <a:noFill/>
                  </pic:spPr>
                </pic:pic>
              </a:graphicData>
            </a:graphic>
          </wp:inline>
        </w:drawing>
      </w:r>
    </w:p>
    <w:p w14:paraId="1823C9BC" w14:textId="77777777" w:rsidR="00916798" w:rsidRDefault="00916798" w:rsidP="00916798">
      <w:pPr>
        <w:spacing w:line="360" w:lineRule="auto"/>
        <w:jc w:val="both"/>
        <w:rPr>
          <w:b/>
          <w:sz w:val="14"/>
        </w:rPr>
      </w:pPr>
      <w:r w:rsidRPr="00BF377A">
        <w:rPr>
          <w:b/>
          <w:sz w:val="14"/>
        </w:rPr>
        <w:t>Fuente: Elaboración propia DCGCH.</w:t>
      </w:r>
    </w:p>
    <w:p w14:paraId="4E79A9FF" w14:textId="77777777" w:rsidR="0088157F" w:rsidRPr="00BF377A" w:rsidRDefault="0088157F" w:rsidP="00916798">
      <w:pPr>
        <w:spacing w:line="360" w:lineRule="auto"/>
        <w:jc w:val="both"/>
        <w:rPr>
          <w:b/>
          <w:sz w:val="14"/>
        </w:rPr>
      </w:pPr>
    </w:p>
    <w:p w14:paraId="2FFEF063" w14:textId="76A9B81E" w:rsidR="00916798" w:rsidRPr="00BF377A" w:rsidRDefault="009B78D5" w:rsidP="00916798">
      <w:pPr>
        <w:spacing w:line="360" w:lineRule="auto"/>
        <w:jc w:val="both"/>
        <w:rPr>
          <w:sz w:val="20"/>
          <w:szCs w:val="20"/>
        </w:rPr>
      </w:pPr>
      <w:r w:rsidRPr="009B78D5">
        <w:rPr>
          <w:sz w:val="20"/>
          <w:szCs w:val="20"/>
        </w:rPr>
        <w:t>En el caso de las aportaciones federales, se espera un comportamiento al alza, dado que son recursos etiquetados, se estima una variación positiva del 12.00% con relación a las cifras aprobadas en el ejercicio fiscal 2022, como se ejemplifica a continuación</w:t>
      </w:r>
      <w:r w:rsidR="0088157F" w:rsidRPr="0088157F">
        <w:rPr>
          <w:sz w:val="20"/>
          <w:szCs w:val="20"/>
        </w:rPr>
        <w:t>:</w:t>
      </w:r>
      <w:r w:rsidR="00916798" w:rsidRPr="00BF377A">
        <w:rPr>
          <w:sz w:val="20"/>
          <w:szCs w:val="20"/>
        </w:rPr>
        <w:t xml:space="preserve"> </w:t>
      </w:r>
    </w:p>
    <w:p w14:paraId="6258DD8E" w14:textId="4446FCF1" w:rsidR="00916798" w:rsidRPr="00797B9A" w:rsidRDefault="0088157F" w:rsidP="00916798">
      <w:pPr>
        <w:spacing w:line="360" w:lineRule="auto"/>
        <w:jc w:val="center"/>
      </w:pPr>
      <w:r>
        <w:rPr>
          <w:noProof/>
          <w:lang w:val="es-MX" w:eastAsia="es-MX"/>
        </w:rPr>
        <w:drawing>
          <wp:inline distT="0" distB="0" distL="0" distR="0" wp14:anchorId="5598C54C" wp14:editId="507FB8D4">
            <wp:extent cx="3478327" cy="1885950"/>
            <wp:effectExtent l="0" t="0" r="8255"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83117" cy="1888547"/>
                    </a:xfrm>
                    <a:prstGeom prst="rect">
                      <a:avLst/>
                    </a:prstGeom>
                    <a:noFill/>
                  </pic:spPr>
                </pic:pic>
              </a:graphicData>
            </a:graphic>
          </wp:inline>
        </w:drawing>
      </w:r>
    </w:p>
    <w:p w14:paraId="06387764" w14:textId="77777777" w:rsidR="00916798" w:rsidRPr="0088157F" w:rsidRDefault="00916798" w:rsidP="00916798">
      <w:pPr>
        <w:spacing w:line="360" w:lineRule="auto"/>
        <w:ind w:left="1418"/>
        <w:jc w:val="both"/>
        <w:rPr>
          <w:b/>
          <w:sz w:val="14"/>
        </w:rPr>
      </w:pPr>
      <w:r w:rsidRPr="0088157F">
        <w:rPr>
          <w:b/>
          <w:sz w:val="14"/>
        </w:rPr>
        <w:t>Fuente: Elaboración propia DCGCH.</w:t>
      </w:r>
    </w:p>
    <w:p w14:paraId="3F48F2E6" w14:textId="77777777" w:rsidR="00916798" w:rsidRPr="00FD0C88" w:rsidRDefault="00916798" w:rsidP="00916798">
      <w:pPr>
        <w:spacing w:line="360" w:lineRule="auto"/>
        <w:jc w:val="both"/>
        <w:rPr>
          <w:rFonts w:ascii="Arial" w:hAnsi="Arial" w:cs="Arial"/>
          <w:sz w:val="12"/>
          <w:highlight w:val="yellow"/>
        </w:rPr>
      </w:pPr>
    </w:p>
    <w:p w14:paraId="16D5AACF" w14:textId="67AB12D9" w:rsidR="00916798" w:rsidRPr="00FD0C88" w:rsidRDefault="0088157F" w:rsidP="00916798">
      <w:pPr>
        <w:spacing w:line="360" w:lineRule="auto"/>
        <w:jc w:val="both"/>
        <w:rPr>
          <w:rFonts w:ascii="Arial" w:hAnsi="Arial" w:cs="Arial"/>
          <w:sz w:val="18"/>
          <w:highlight w:val="yellow"/>
        </w:rPr>
      </w:pPr>
      <w:r w:rsidRPr="0088157F">
        <w:rPr>
          <w:sz w:val="20"/>
          <w:szCs w:val="20"/>
        </w:rPr>
        <w:t xml:space="preserve">Para el ejercicio fiscal 2023, se prevé obtener un total de ingresos para el Estado de Tlaxcala por </w:t>
      </w:r>
      <w:r w:rsidRPr="009B78D5">
        <w:rPr>
          <w:sz w:val="20"/>
          <w:szCs w:val="20"/>
        </w:rPr>
        <w:t>$25,571,563,376.00,</w:t>
      </w:r>
      <w:r w:rsidRPr="0088157F">
        <w:rPr>
          <w:sz w:val="20"/>
          <w:szCs w:val="20"/>
        </w:rPr>
        <w:t xml:space="preserve"> provenientes de fuentes locales, participaciones e incentivos económicos, aportaciones federales, convenios suscritos con el Gobierno Federal y extraordinarios, lo que representa una variación del 13.05% respecto de las cifras autorizadas en la Ley de Ingresos del Estado de Tlaxcala, para el Ejercicio Fiscal 2022, tal y como se observa en la gráfica siguiente:</w:t>
      </w:r>
    </w:p>
    <w:p w14:paraId="1E06979A" w14:textId="2E62F6FA" w:rsidR="00916798" w:rsidRPr="005178C5" w:rsidRDefault="0088157F" w:rsidP="00916798">
      <w:pPr>
        <w:spacing w:line="360" w:lineRule="auto"/>
        <w:jc w:val="center"/>
        <w:rPr>
          <w:rFonts w:ascii="Arial" w:hAnsi="Arial" w:cs="Arial"/>
        </w:rPr>
      </w:pPr>
      <w:r>
        <w:rPr>
          <w:rFonts w:ascii="Arial" w:hAnsi="Arial" w:cs="Arial"/>
          <w:noProof/>
          <w:lang w:val="es-MX" w:eastAsia="es-MX"/>
        </w:rPr>
        <w:lastRenderedPageBreak/>
        <w:drawing>
          <wp:inline distT="0" distB="0" distL="0" distR="0" wp14:anchorId="25A9A525" wp14:editId="78133BBF">
            <wp:extent cx="4343271" cy="2409825"/>
            <wp:effectExtent l="0" t="0" r="63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49285" cy="2413162"/>
                    </a:xfrm>
                    <a:prstGeom prst="rect">
                      <a:avLst/>
                    </a:prstGeom>
                    <a:noFill/>
                  </pic:spPr>
                </pic:pic>
              </a:graphicData>
            </a:graphic>
          </wp:inline>
        </w:drawing>
      </w:r>
    </w:p>
    <w:p w14:paraId="7DF29E99" w14:textId="77777777" w:rsidR="00916798" w:rsidRDefault="00916798" w:rsidP="00916798">
      <w:pPr>
        <w:spacing w:line="360" w:lineRule="auto"/>
        <w:ind w:left="851"/>
        <w:jc w:val="both"/>
        <w:rPr>
          <w:b/>
          <w:sz w:val="14"/>
        </w:rPr>
      </w:pPr>
      <w:r w:rsidRPr="00BF377A">
        <w:rPr>
          <w:b/>
          <w:sz w:val="14"/>
        </w:rPr>
        <w:t>Fuente: Elaboración propia DCGCH.</w:t>
      </w:r>
    </w:p>
    <w:p w14:paraId="14E80D05" w14:textId="77777777" w:rsidR="0088157F" w:rsidRPr="00BF377A" w:rsidRDefault="0088157F" w:rsidP="00916798">
      <w:pPr>
        <w:spacing w:line="360" w:lineRule="auto"/>
        <w:ind w:left="851"/>
        <w:jc w:val="both"/>
        <w:rPr>
          <w:b/>
          <w:sz w:val="14"/>
        </w:rPr>
      </w:pPr>
    </w:p>
    <w:p w14:paraId="2DCCB753" w14:textId="09FE49AF" w:rsidR="00916798" w:rsidRDefault="0088157F" w:rsidP="00916798">
      <w:pPr>
        <w:spacing w:line="360" w:lineRule="auto"/>
        <w:jc w:val="both"/>
        <w:rPr>
          <w:sz w:val="20"/>
          <w:szCs w:val="20"/>
        </w:rPr>
      </w:pPr>
      <w:r w:rsidRPr="0088157F">
        <w:rPr>
          <w:sz w:val="20"/>
          <w:szCs w:val="20"/>
        </w:rPr>
        <w:t>La presente Iniciativa, garantiza que las fuentes de financiamiento de los programas y proyectos previstos en la Iniciativa de Decreto de Presupuesto de Egresos del Estado de Tlaxcala, para el Ejercicio Fiscal 2023, observando los principios de eficiencia, economía, austeridad y eficacia.</w:t>
      </w:r>
    </w:p>
    <w:p w14:paraId="7B5D7A5D" w14:textId="77777777" w:rsidR="0088157F" w:rsidRPr="00BF377A" w:rsidRDefault="0088157F" w:rsidP="00916798">
      <w:pPr>
        <w:spacing w:line="360" w:lineRule="auto"/>
        <w:jc w:val="both"/>
        <w:rPr>
          <w:sz w:val="20"/>
          <w:szCs w:val="20"/>
        </w:rPr>
      </w:pPr>
    </w:p>
    <w:p w14:paraId="21A1AD3E" w14:textId="3EA57229" w:rsidR="00916798" w:rsidRPr="00BF377A" w:rsidRDefault="00916798" w:rsidP="00916798">
      <w:pPr>
        <w:spacing w:line="360" w:lineRule="auto"/>
        <w:jc w:val="both"/>
        <w:rPr>
          <w:b/>
          <w:bCs/>
          <w:sz w:val="20"/>
          <w:szCs w:val="20"/>
        </w:rPr>
      </w:pPr>
      <w:r w:rsidRPr="00BF377A">
        <w:rPr>
          <w:b/>
          <w:bCs/>
          <w:sz w:val="20"/>
          <w:szCs w:val="20"/>
        </w:rPr>
        <w:t>PERSPECTIVAS ECONÓMICAS Y FISCALES DEL ESTADO DE TLAXCALA 202</w:t>
      </w:r>
      <w:r w:rsidR="0088157F">
        <w:rPr>
          <w:b/>
          <w:bCs/>
          <w:sz w:val="20"/>
          <w:szCs w:val="20"/>
        </w:rPr>
        <w:t>3</w:t>
      </w:r>
      <w:r w:rsidRPr="00BF377A">
        <w:rPr>
          <w:b/>
          <w:bCs/>
          <w:sz w:val="20"/>
          <w:szCs w:val="20"/>
        </w:rPr>
        <w:t>-202</w:t>
      </w:r>
      <w:r w:rsidR="0088157F">
        <w:rPr>
          <w:b/>
          <w:bCs/>
          <w:sz w:val="20"/>
          <w:szCs w:val="20"/>
        </w:rPr>
        <w:t>8</w:t>
      </w:r>
      <w:r w:rsidRPr="00BF377A">
        <w:rPr>
          <w:b/>
          <w:bCs/>
          <w:sz w:val="20"/>
          <w:szCs w:val="20"/>
        </w:rPr>
        <w:t>.</w:t>
      </w:r>
    </w:p>
    <w:p w14:paraId="527FDEF1" w14:textId="77777777" w:rsidR="00916798" w:rsidRPr="00BF377A" w:rsidRDefault="00916798" w:rsidP="00916798">
      <w:pPr>
        <w:spacing w:line="360" w:lineRule="auto"/>
        <w:jc w:val="both"/>
        <w:rPr>
          <w:sz w:val="20"/>
          <w:szCs w:val="20"/>
        </w:rPr>
      </w:pPr>
    </w:p>
    <w:p w14:paraId="2CD01065" w14:textId="77777777" w:rsidR="009B78D5" w:rsidRPr="009B78D5" w:rsidRDefault="009B78D5" w:rsidP="009B78D5">
      <w:pPr>
        <w:spacing w:line="360" w:lineRule="auto"/>
        <w:jc w:val="both"/>
        <w:rPr>
          <w:sz w:val="20"/>
          <w:szCs w:val="20"/>
        </w:rPr>
      </w:pPr>
      <w:r w:rsidRPr="009B78D5">
        <w:rPr>
          <w:sz w:val="20"/>
          <w:szCs w:val="20"/>
        </w:rPr>
        <w:t>El Paquete Económico Estatal para el ejercicio fiscal 2023 que se somete a consideración del Congreso del Estado, refleja el compromiso de esta Administración de manejar responsablemente y con transparencia las finanzas públicas, considerando los impactos que tendrán las políticas y programas que se implementen en el tejido social, en el entorno y en los horizontes de corto y largo plazo, siguiendo la idea de que el desarrollo subsane las injusticias sociales e impulse el crecimiento económico sin provocar afectaciones a la convivencia de los ciudadanos, sin menoscabo de los riesgos que pueden afectar a la economía mundial y que repercuten en nuestro país y la Entidad.</w:t>
      </w:r>
    </w:p>
    <w:p w14:paraId="4511CF9A" w14:textId="77777777" w:rsidR="009B78D5" w:rsidRPr="009B78D5" w:rsidRDefault="009B78D5" w:rsidP="009B78D5">
      <w:pPr>
        <w:spacing w:line="360" w:lineRule="auto"/>
        <w:jc w:val="both"/>
        <w:rPr>
          <w:sz w:val="20"/>
          <w:szCs w:val="20"/>
        </w:rPr>
      </w:pPr>
    </w:p>
    <w:p w14:paraId="575629C6" w14:textId="702BC3D8" w:rsidR="009B78D5" w:rsidRPr="009B78D5" w:rsidRDefault="009B78D5" w:rsidP="009B78D5">
      <w:pPr>
        <w:spacing w:line="360" w:lineRule="auto"/>
        <w:jc w:val="both"/>
        <w:rPr>
          <w:sz w:val="20"/>
          <w:szCs w:val="20"/>
        </w:rPr>
      </w:pPr>
      <w:r w:rsidRPr="009B78D5">
        <w:rPr>
          <w:sz w:val="20"/>
          <w:szCs w:val="20"/>
        </w:rPr>
        <w:t xml:space="preserve">El escenario de finanzas públicas de mediano plazo, para los años 2023-2028, se prevé que la mayoría de los países logren un crecimiento económico estable cercano a su PIB potencial en ausencia de nuevos choques por factores políticos, climatológicos o sanitarios. Si bien algunos países han aumentado su nivel de endeudamiento de forma notable particularmente desde 2020 a raíz de la pandemia de </w:t>
      </w:r>
      <w:r w:rsidR="004C4021">
        <w:rPr>
          <w:sz w:val="20"/>
          <w:szCs w:val="20"/>
        </w:rPr>
        <w:t xml:space="preserve">la </w:t>
      </w:r>
      <w:r w:rsidRPr="009B78D5">
        <w:rPr>
          <w:sz w:val="20"/>
          <w:szCs w:val="20"/>
        </w:rPr>
        <w:t xml:space="preserve">COVID-19, no se pueden anticipar problemas estructurales que lleven a un crecimiento menor de la economía global o un riesgo sistémico en el sistema financiero internacional. </w:t>
      </w:r>
    </w:p>
    <w:p w14:paraId="1F8D812D" w14:textId="77777777" w:rsidR="009B78D5" w:rsidRPr="009B78D5" w:rsidRDefault="009B78D5" w:rsidP="009B78D5">
      <w:pPr>
        <w:spacing w:line="360" w:lineRule="auto"/>
        <w:jc w:val="both"/>
        <w:rPr>
          <w:sz w:val="20"/>
          <w:szCs w:val="20"/>
        </w:rPr>
      </w:pPr>
    </w:p>
    <w:p w14:paraId="12A15293" w14:textId="77777777" w:rsidR="009B78D5" w:rsidRPr="009B78D5" w:rsidRDefault="009B78D5" w:rsidP="009B78D5">
      <w:pPr>
        <w:spacing w:line="360" w:lineRule="auto"/>
        <w:jc w:val="both"/>
        <w:rPr>
          <w:sz w:val="20"/>
          <w:szCs w:val="20"/>
        </w:rPr>
      </w:pPr>
      <w:r w:rsidRPr="009B78D5">
        <w:rPr>
          <w:sz w:val="20"/>
          <w:szCs w:val="20"/>
        </w:rPr>
        <w:lastRenderedPageBreak/>
        <w:t xml:space="preserve">En lo que corresponde al PIB de EE.UU., el escenario central indica que la senda de crecimiento regresará a la trayectoria de tendencia previa a la pandemia. En esa línea, los analistas encuestados por Blue Chip, en la edición de marzo de 2022, pronosticaron que entre 2024 y 2028 el PIB real del país se expandirá a un ritmo anual promedio de 2.0%. De acuerdo con la misma encuesta, la tasa de desempleo promedio en este país se ubicará en 2.8%, mientras que la inflación se situaría en 2.2% y los rendimientos de los bonos del Tesoro a tres meses y diez años en promedio alcanzarán niveles de 2.1 y 3.0%, respectivamente. </w:t>
      </w:r>
    </w:p>
    <w:p w14:paraId="51E97FDB" w14:textId="77777777" w:rsidR="009B78D5" w:rsidRPr="009B78D5" w:rsidRDefault="009B78D5" w:rsidP="009B78D5">
      <w:pPr>
        <w:spacing w:line="360" w:lineRule="auto"/>
        <w:jc w:val="both"/>
        <w:rPr>
          <w:sz w:val="20"/>
          <w:szCs w:val="20"/>
        </w:rPr>
      </w:pPr>
    </w:p>
    <w:p w14:paraId="39B947DC" w14:textId="695113E7" w:rsidR="009B78D5" w:rsidRPr="009B78D5" w:rsidRDefault="009B78D5" w:rsidP="009B78D5">
      <w:pPr>
        <w:spacing w:line="360" w:lineRule="auto"/>
        <w:jc w:val="both"/>
        <w:rPr>
          <w:sz w:val="20"/>
          <w:szCs w:val="20"/>
        </w:rPr>
      </w:pPr>
      <w:r w:rsidRPr="009B78D5">
        <w:rPr>
          <w:sz w:val="20"/>
          <w:szCs w:val="20"/>
        </w:rPr>
        <w:t>En este contexto, México se verá favorecido por factores externos dada la estrecha integración comercial que existe con la economía global y con EE.UU. Por ende, se prevé un desempeño positivo para las exportaciones, en equipo de transporte, aparatos electrónicos, minería no petrolera, alimentos procesados y comercio electrónico. Las recientes inversiones de diversas empresas para localizarse en México sustentan la mayor capacidad del país para aumentar dicha exportación. Asimismo, un buen desempeño de la economía estadounidense apoyará a la inversión extranjera, el turismo y el flujo de remesas. Respecto a la demanda interna, se prevé que la economía mexicana mantenga un sólido dinamismo principalmente como resultado de las reformas al mercado laboral que se han implementado en beneficio de mayores ingresos y mejores condiciones para los trabajadores; un mayor crecimiento económico en la región sur-sureste que aumentará el mercado interno, la conectividad entre regiones, así como la reducción de la pobreza y de la desigualdad en esta</w:t>
      </w:r>
      <w:r w:rsidR="004C4021">
        <w:rPr>
          <w:sz w:val="20"/>
          <w:szCs w:val="20"/>
        </w:rPr>
        <w:t xml:space="preserve"> </w:t>
      </w:r>
      <w:r w:rsidRPr="009B78D5">
        <w:rPr>
          <w:sz w:val="20"/>
          <w:szCs w:val="20"/>
        </w:rPr>
        <w:t xml:space="preserve">región; y finalmente, una mayor profundidad del sistema financiero derivado de las acciones impulsadas para fortalecer el ahorro y la inclusión financiera, cuyo principal resultado es que más personas y empresas tengan acceso a crédito y a otros servicios bancarios. </w:t>
      </w:r>
    </w:p>
    <w:p w14:paraId="14069E6A" w14:textId="77777777" w:rsidR="009B78D5" w:rsidRPr="009B78D5" w:rsidRDefault="009B78D5" w:rsidP="009B78D5">
      <w:pPr>
        <w:spacing w:line="360" w:lineRule="auto"/>
        <w:jc w:val="both"/>
        <w:rPr>
          <w:sz w:val="20"/>
          <w:szCs w:val="20"/>
        </w:rPr>
      </w:pPr>
    </w:p>
    <w:p w14:paraId="5CF7F3AA" w14:textId="4527018C" w:rsidR="009B78D5" w:rsidRPr="009B78D5" w:rsidRDefault="009B78D5" w:rsidP="009B78D5">
      <w:pPr>
        <w:spacing w:line="360" w:lineRule="auto"/>
        <w:jc w:val="both"/>
        <w:rPr>
          <w:sz w:val="20"/>
          <w:szCs w:val="20"/>
        </w:rPr>
      </w:pPr>
      <w:r w:rsidRPr="009B78D5">
        <w:rPr>
          <w:sz w:val="20"/>
          <w:szCs w:val="20"/>
        </w:rPr>
        <w:t>Se estima que en el periodo 2024-2028 el PIB de México registrará un crecimiento real anual de entre 1.9 y 2.9%. De manera puntual, se proyecta una expansión de 2.4% para el periodo en cuestión. Para 2023, se estima un crecimiento real anual de entre 1.2 y 3.0%. y de manera puntual, se proyecta una expansión de 3.0%</w:t>
      </w:r>
      <w:r w:rsidR="00364F81">
        <w:rPr>
          <w:sz w:val="20"/>
          <w:szCs w:val="20"/>
        </w:rPr>
        <w:t>.</w:t>
      </w:r>
      <w:r w:rsidRPr="009B78D5">
        <w:rPr>
          <w:sz w:val="20"/>
          <w:szCs w:val="20"/>
        </w:rPr>
        <w:t xml:space="preserve"> Estas estimaciones se encuentran en línea con las estimaciones del PIB potencial establecidas en el art. 11C del Reglamento de la LFPRH, aunque ligeramente por arriba de lo publicado en la encuesta de expectativas del sector privado del 1 de julio de 2022 que realizó el Banco de México, en donde la mediana del pronóstico del PIB para los próximos diez años es de 2.0%. </w:t>
      </w:r>
    </w:p>
    <w:p w14:paraId="2F4BB293" w14:textId="77777777" w:rsidR="009B78D5" w:rsidRPr="009B78D5" w:rsidRDefault="009B78D5" w:rsidP="009B78D5">
      <w:pPr>
        <w:spacing w:line="360" w:lineRule="auto"/>
        <w:jc w:val="both"/>
        <w:rPr>
          <w:sz w:val="20"/>
          <w:szCs w:val="20"/>
        </w:rPr>
      </w:pPr>
    </w:p>
    <w:p w14:paraId="060E87E0" w14:textId="77777777" w:rsidR="009B78D5" w:rsidRPr="009B78D5" w:rsidRDefault="009B78D5" w:rsidP="009B78D5">
      <w:pPr>
        <w:spacing w:line="360" w:lineRule="auto"/>
        <w:jc w:val="both"/>
        <w:rPr>
          <w:sz w:val="20"/>
          <w:szCs w:val="20"/>
        </w:rPr>
      </w:pPr>
      <w:r w:rsidRPr="009B78D5">
        <w:rPr>
          <w:sz w:val="20"/>
          <w:szCs w:val="20"/>
        </w:rPr>
        <w:t xml:space="preserve">Consistente con el escenario de crecimiento de tendencia, en materia de precios se estima que la inflación se ubicará en la meta establecida por el Banco de México de 3.0% durante el periodo 2024-2028 y ligeramente arriba en el ejercicio 2023, con un 3.2%. Asimismo, para el tipo de cambio nominal, </w:t>
      </w:r>
      <w:r w:rsidRPr="009B78D5">
        <w:rPr>
          <w:sz w:val="20"/>
          <w:szCs w:val="20"/>
        </w:rPr>
        <w:lastRenderedPageBreak/>
        <w:t xml:space="preserve">se prevé una ligera depreciación en el horizonte de pronóstico, congruente con una trayectoria constante del tipo de cambio real y tomando en cuenta el comportamiento esperado de mediano plazo para la inflación de EE.UU. Al considerar dichas proyecciones, se asume que continuará la disminución gradual de la tasa de Cetes a 28 días hasta situarse en 5.5% en 2026. Lo anterior es consistente con una postura monetaria neutral de equilibrio y resultaría que el diferencial entre la tasa de interés de México y EE.UU. se reduzca desde 2025 y logre estabilizarse posteriormente. </w:t>
      </w:r>
    </w:p>
    <w:p w14:paraId="767F4103" w14:textId="77777777" w:rsidR="009B78D5" w:rsidRPr="009B78D5" w:rsidRDefault="009B78D5" w:rsidP="009B78D5">
      <w:pPr>
        <w:spacing w:line="360" w:lineRule="auto"/>
        <w:jc w:val="both"/>
        <w:rPr>
          <w:sz w:val="20"/>
          <w:szCs w:val="20"/>
        </w:rPr>
      </w:pPr>
    </w:p>
    <w:p w14:paraId="0AEE097A" w14:textId="77777777" w:rsidR="009B78D5" w:rsidRPr="009B78D5" w:rsidRDefault="009B78D5" w:rsidP="009B78D5">
      <w:pPr>
        <w:spacing w:line="360" w:lineRule="auto"/>
        <w:jc w:val="both"/>
        <w:rPr>
          <w:sz w:val="20"/>
          <w:szCs w:val="20"/>
        </w:rPr>
      </w:pPr>
      <w:r w:rsidRPr="009B78D5">
        <w:rPr>
          <w:sz w:val="20"/>
          <w:szCs w:val="20"/>
        </w:rPr>
        <w:t xml:space="preserve">En el periodo 2024-2028, el déficit de la cuenta corriente de la balanza de pagos se mantendrá por debajo del promedio histórico al ubicarse en un nivel promedio de 1.0% del PIB derivado de un desempeño positivo de las remesas, y acorde al crecimiento previsto para EE.UU., así como por la evolución esperada de la balanza comercial petrolera y de servicios en donde México podría continuar registrando un déficit. En cuanto a los precios de la mezcla mexicana, se prevé un precio promedio de 56.9 dpb en el periodo 2024-2028, el cual es consistente con la dinámica que muestra la curva de futuros al mes de agosto. Para la plataforma de producción de crudo, se asume una trayectoria conservadora con respecto a las proyecciones de PEMEX y de las empresas privadas. </w:t>
      </w:r>
    </w:p>
    <w:p w14:paraId="68EE4AAF" w14:textId="77777777" w:rsidR="009B78D5" w:rsidRPr="009B78D5" w:rsidRDefault="009B78D5" w:rsidP="009B78D5">
      <w:pPr>
        <w:spacing w:line="360" w:lineRule="auto"/>
        <w:jc w:val="both"/>
        <w:rPr>
          <w:sz w:val="20"/>
          <w:szCs w:val="20"/>
        </w:rPr>
      </w:pPr>
    </w:p>
    <w:p w14:paraId="4B0D6ACF" w14:textId="18B412B7" w:rsidR="0088157F" w:rsidRDefault="009B78D5" w:rsidP="009B78D5">
      <w:pPr>
        <w:spacing w:line="360" w:lineRule="auto"/>
        <w:jc w:val="both"/>
        <w:rPr>
          <w:sz w:val="20"/>
          <w:szCs w:val="20"/>
        </w:rPr>
      </w:pPr>
      <w:r w:rsidRPr="009B78D5">
        <w:rPr>
          <w:sz w:val="20"/>
          <w:szCs w:val="20"/>
        </w:rPr>
        <w:t>El marco macroeconómico descrito se encuentra sujeto a riesgos que podrían modificar las trayectorias estimadas. Los riesgos a la baja se presentan a continuación</w:t>
      </w:r>
      <w:r w:rsidR="0088157F" w:rsidRPr="0088157F">
        <w:rPr>
          <w:sz w:val="20"/>
          <w:szCs w:val="20"/>
        </w:rPr>
        <w:t xml:space="preserve">: </w:t>
      </w:r>
    </w:p>
    <w:p w14:paraId="03E5E7B5" w14:textId="77777777" w:rsidR="003E7CAB" w:rsidRPr="0088157F" w:rsidRDefault="003E7CAB" w:rsidP="009B78D5">
      <w:pPr>
        <w:spacing w:line="360" w:lineRule="auto"/>
        <w:jc w:val="both"/>
        <w:rPr>
          <w:sz w:val="20"/>
          <w:szCs w:val="20"/>
        </w:rPr>
      </w:pPr>
    </w:p>
    <w:p w14:paraId="5CC75833" w14:textId="77777777" w:rsidR="0088157F" w:rsidRPr="0088157F" w:rsidRDefault="0088157F" w:rsidP="00126CF7">
      <w:pPr>
        <w:pStyle w:val="Prrafodelista"/>
        <w:numPr>
          <w:ilvl w:val="0"/>
          <w:numId w:val="21"/>
        </w:numPr>
        <w:spacing w:line="360" w:lineRule="auto"/>
        <w:jc w:val="both"/>
        <w:rPr>
          <w:sz w:val="20"/>
          <w:szCs w:val="20"/>
        </w:rPr>
      </w:pPr>
      <w:r w:rsidRPr="0088157F">
        <w:rPr>
          <w:sz w:val="20"/>
          <w:szCs w:val="20"/>
        </w:rPr>
        <w:t>Prolongación de conflictos geopolíticos y creación de bloques comerciales entre países, así como sanciones económicas hacia Rusia o China. Lo anterior podría aumentar la volatilidad y el nivel de precios de algunas materias primas y alimentos, al tiempo que disminuiría el comercio internacional y los flujos financieros internacionales.</w:t>
      </w:r>
    </w:p>
    <w:p w14:paraId="1663F54E" w14:textId="2124A948" w:rsidR="0088157F" w:rsidRPr="0088157F" w:rsidRDefault="0088157F" w:rsidP="00126CF7">
      <w:pPr>
        <w:pStyle w:val="Prrafodelista"/>
        <w:numPr>
          <w:ilvl w:val="0"/>
          <w:numId w:val="21"/>
        </w:numPr>
        <w:spacing w:line="360" w:lineRule="auto"/>
        <w:jc w:val="both"/>
        <w:rPr>
          <w:sz w:val="20"/>
          <w:szCs w:val="20"/>
        </w:rPr>
      </w:pPr>
      <w:r w:rsidRPr="0088157F">
        <w:rPr>
          <w:sz w:val="20"/>
          <w:szCs w:val="20"/>
        </w:rPr>
        <w:t>Una política monetaria restrictiva prolongada, que presione las condiciones financieras y contribuya a un crecimiento global por abajo del promedio histórico.</w:t>
      </w:r>
    </w:p>
    <w:p w14:paraId="13C67693" w14:textId="77777777" w:rsidR="0088157F" w:rsidRPr="0088157F" w:rsidRDefault="0088157F" w:rsidP="00126CF7">
      <w:pPr>
        <w:pStyle w:val="Prrafodelista"/>
        <w:numPr>
          <w:ilvl w:val="0"/>
          <w:numId w:val="21"/>
        </w:numPr>
        <w:spacing w:line="360" w:lineRule="auto"/>
        <w:jc w:val="both"/>
        <w:rPr>
          <w:sz w:val="20"/>
          <w:szCs w:val="20"/>
        </w:rPr>
      </w:pPr>
      <w:r w:rsidRPr="0088157F">
        <w:rPr>
          <w:sz w:val="20"/>
          <w:szCs w:val="20"/>
        </w:rPr>
        <w:t>Escenario de impago de la deuda por las alzas en las tasas de interés a nivel mundial en un contexto donde los niveles de endeudamiento han alcanzado máximos históricos, particularmente de algunas economías que aumentaron su deuda para enfrentar la crisis sanitaria.</w:t>
      </w:r>
    </w:p>
    <w:p w14:paraId="33674C46" w14:textId="77777777" w:rsidR="0088157F" w:rsidRPr="0088157F" w:rsidRDefault="0088157F" w:rsidP="00126CF7">
      <w:pPr>
        <w:pStyle w:val="Prrafodelista"/>
        <w:numPr>
          <w:ilvl w:val="0"/>
          <w:numId w:val="21"/>
        </w:numPr>
        <w:spacing w:line="360" w:lineRule="auto"/>
        <w:jc w:val="both"/>
        <w:rPr>
          <w:sz w:val="20"/>
          <w:szCs w:val="20"/>
        </w:rPr>
      </w:pPr>
      <w:r w:rsidRPr="0088157F">
        <w:rPr>
          <w:sz w:val="20"/>
          <w:szCs w:val="20"/>
        </w:rPr>
        <w:t>Desaceleración económica de China por problemas políticos al interior y estructurales de su economía, en particular por una menor inversión en el sector inmobiliario y la acumulación de deuda que reduciría su demanda de las materias primas y aumentaría el riesgo de enfrentar problemas financieros.</w:t>
      </w:r>
    </w:p>
    <w:p w14:paraId="1CE5F3B9" w14:textId="77777777" w:rsidR="0088157F" w:rsidRPr="0088157F" w:rsidRDefault="0088157F" w:rsidP="0088157F">
      <w:pPr>
        <w:spacing w:line="360" w:lineRule="auto"/>
        <w:jc w:val="both"/>
        <w:rPr>
          <w:sz w:val="20"/>
          <w:szCs w:val="20"/>
        </w:rPr>
      </w:pPr>
    </w:p>
    <w:p w14:paraId="3A1BFA65" w14:textId="56D97AD0" w:rsidR="0088157F" w:rsidRDefault="0088157F" w:rsidP="0088157F">
      <w:pPr>
        <w:spacing w:line="360" w:lineRule="auto"/>
        <w:jc w:val="both"/>
        <w:rPr>
          <w:sz w:val="20"/>
          <w:szCs w:val="20"/>
        </w:rPr>
      </w:pPr>
      <w:r w:rsidRPr="0088157F">
        <w:rPr>
          <w:sz w:val="20"/>
          <w:szCs w:val="20"/>
        </w:rPr>
        <w:lastRenderedPageBreak/>
        <w:t>Los riesgos al alza a considerar, son los siguientes:</w:t>
      </w:r>
    </w:p>
    <w:p w14:paraId="25F6B431" w14:textId="77777777" w:rsidR="003E7CAB" w:rsidRPr="0088157F" w:rsidRDefault="003E7CAB" w:rsidP="0088157F">
      <w:pPr>
        <w:spacing w:line="360" w:lineRule="auto"/>
        <w:jc w:val="both"/>
        <w:rPr>
          <w:sz w:val="20"/>
          <w:szCs w:val="20"/>
        </w:rPr>
      </w:pPr>
    </w:p>
    <w:p w14:paraId="67D5B93E" w14:textId="732CFDDF" w:rsidR="0088157F" w:rsidRPr="0088157F" w:rsidRDefault="0088157F" w:rsidP="00126CF7">
      <w:pPr>
        <w:pStyle w:val="Prrafodelista"/>
        <w:numPr>
          <w:ilvl w:val="0"/>
          <w:numId w:val="22"/>
        </w:numPr>
        <w:spacing w:line="360" w:lineRule="auto"/>
        <w:jc w:val="both"/>
        <w:rPr>
          <w:sz w:val="20"/>
          <w:szCs w:val="20"/>
        </w:rPr>
      </w:pPr>
      <w:r w:rsidRPr="0088157F">
        <w:rPr>
          <w:sz w:val="20"/>
          <w:szCs w:val="20"/>
        </w:rPr>
        <w:t>Mejoras importantes en las condiciones de informalidad derivado de las reformas en materia laboral implementadas desde el inicio de la administración, las cuales beneficiarían al consumo, la productividad y a la recaudación tributaria.</w:t>
      </w:r>
    </w:p>
    <w:p w14:paraId="15455AEA" w14:textId="4784F5FD" w:rsidR="0088157F" w:rsidRPr="0088157F" w:rsidRDefault="0088157F" w:rsidP="00126CF7">
      <w:pPr>
        <w:pStyle w:val="Prrafodelista"/>
        <w:numPr>
          <w:ilvl w:val="0"/>
          <w:numId w:val="22"/>
        </w:numPr>
        <w:spacing w:line="360" w:lineRule="auto"/>
        <w:jc w:val="both"/>
        <w:rPr>
          <w:sz w:val="20"/>
          <w:szCs w:val="20"/>
        </w:rPr>
      </w:pPr>
      <w:r w:rsidRPr="0088157F">
        <w:rPr>
          <w:sz w:val="20"/>
          <w:szCs w:val="20"/>
        </w:rPr>
        <w:t>Aumentos en la productividad de factores por una mayor innovación, que permitiría una distribución más eficiente del empleo y el capital.</w:t>
      </w:r>
    </w:p>
    <w:p w14:paraId="20BD7A9B" w14:textId="77777777" w:rsidR="0088157F" w:rsidRPr="0088157F" w:rsidRDefault="0088157F" w:rsidP="00126CF7">
      <w:pPr>
        <w:pStyle w:val="Prrafodelista"/>
        <w:numPr>
          <w:ilvl w:val="0"/>
          <w:numId w:val="22"/>
        </w:numPr>
        <w:spacing w:line="360" w:lineRule="auto"/>
        <w:jc w:val="both"/>
        <w:rPr>
          <w:sz w:val="20"/>
          <w:szCs w:val="20"/>
        </w:rPr>
      </w:pPr>
      <w:r w:rsidRPr="0088157F">
        <w:rPr>
          <w:sz w:val="20"/>
          <w:szCs w:val="20"/>
        </w:rPr>
        <w:t>Una mayor competencia económica que contribuya a la disminución de las presiones inflacionarias, fomente la mayor disponibilidad de productos y, mejore la calidad de los servicios y la competitividad de México en el ámbito internacional.</w:t>
      </w:r>
    </w:p>
    <w:p w14:paraId="490D0F4B" w14:textId="126F5457" w:rsidR="00916798" w:rsidRDefault="0088157F" w:rsidP="0088157F">
      <w:pPr>
        <w:spacing w:line="360" w:lineRule="auto"/>
        <w:jc w:val="center"/>
        <w:rPr>
          <w:rFonts w:ascii="Arial" w:hAnsi="Arial" w:cs="Arial"/>
        </w:rPr>
      </w:pPr>
      <w:r>
        <w:rPr>
          <w:noProof/>
          <w:lang w:val="es-MX" w:eastAsia="es-MX"/>
        </w:rPr>
        <w:drawing>
          <wp:inline distT="0" distB="0" distL="0" distR="0" wp14:anchorId="5403462D" wp14:editId="5145845D">
            <wp:extent cx="3981450" cy="341628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BEBA8EAE-BF5A-486C-A8C5-ECC9F3942E4B}">
                          <a14:imgProps xmlns:a14="http://schemas.microsoft.com/office/drawing/2010/main">
                            <a14:imgLayer r:embed="rId45">
                              <a14:imgEffect>
                                <a14:brightnessContrast contrast="20000"/>
                              </a14:imgEffect>
                            </a14:imgLayer>
                          </a14:imgProps>
                        </a:ext>
                      </a:extLst>
                    </a:blip>
                    <a:srcRect l="24584" t="22599" r="23996" b="11361"/>
                    <a:stretch/>
                  </pic:blipFill>
                  <pic:spPr bwMode="auto">
                    <a:xfrm>
                      <a:off x="0" y="0"/>
                      <a:ext cx="3991406" cy="3424828"/>
                    </a:xfrm>
                    <a:prstGeom prst="rect">
                      <a:avLst/>
                    </a:prstGeom>
                    <a:ln>
                      <a:noFill/>
                    </a:ln>
                    <a:extLst>
                      <a:ext uri="{53640926-AAD7-44D8-BBD7-CCE9431645EC}">
                        <a14:shadowObscured xmlns:a14="http://schemas.microsoft.com/office/drawing/2010/main"/>
                      </a:ext>
                    </a:extLst>
                  </pic:spPr>
                </pic:pic>
              </a:graphicData>
            </a:graphic>
          </wp:inline>
        </w:drawing>
      </w:r>
    </w:p>
    <w:p w14:paraId="15108884" w14:textId="77777777" w:rsidR="00916798" w:rsidRDefault="00916798" w:rsidP="00916798">
      <w:pPr>
        <w:spacing w:line="360" w:lineRule="auto"/>
        <w:jc w:val="both"/>
        <w:rPr>
          <w:rFonts w:ascii="Arial" w:hAnsi="Arial" w:cs="Arial"/>
        </w:rPr>
      </w:pPr>
    </w:p>
    <w:p w14:paraId="16173ED7" w14:textId="6D0FA1AB" w:rsidR="0088157F" w:rsidRDefault="009B78D5" w:rsidP="0088157F">
      <w:pPr>
        <w:spacing w:line="360" w:lineRule="auto"/>
        <w:jc w:val="both"/>
        <w:rPr>
          <w:sz w:val="20"/>
          <w:szCs w:val="20"/>
        </w:rPr>
      </w:pPr>
      <w:r w:rsidRPr="009B78D5">
        <w:rPr>
          <w:sz w:val="20"/>
          <w:szCs w:val="20"/>
        </w:rPr>
        <w:t>En el siguiente cuadro se presentan las perspectivas de finanzas públicas de mediano plazo para el Estado de Tlaxcala, tomando como referencia los Criterios Generales de Política Económica para la Iniciativa de Ley de Ingresos y el Proyecto de Presupuesto de Egresos de la Federación correspondientes al Ejercicio Fiscal 2023</w:t>
      </w:r>
      <w:r w:rsidR="0088157F" w:rsidRPr="0088157F">
        <w:rPr>
          <w:sz w:val="20"/>
          <w:szCs w:val="20"/>
        </w:rPr>
        <w:t>.</w:t>
      </w:r>
    </w:p>
    <w:p w14:paraId="7E668671" w14:textId="467FB08C" w:rsidR="00916798" w:rsidRDefault="00927DEF" w:rsidP="0088157F">
      <w:pPr>
        <w:spacing w:line="360" w:lineRule="auto"/>
        <w:jc w:val="both"/>
        <w:rPr>
          <w:rFonts w:ascii="Arial" w:hAnsi="Arial" w:cs="Arial"/>
        </w:rPr>
      </w:pPr>
      <w:r w:rsidRPr="006A3317">
        <w:rPr>
          <w:noProof/>
          <w:lang w:val="es-MX" w:eastAsia="es-MX"/>
        </w:rPr>
        <w:lastRenderedPageBreak/>
        <w:drawing>
          <wp:inline distT="0" distB="0" distL="0" distR="0" wp14:anchorId="2BA4CDB1" wp14:editId="6C73C92D">
            <wp:extent cx="5143500" cy="4506001"/>
            <wp:effectExtent l="0" t="0" r="0" b="889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43500" cy="4506001"/>
                    </a:xfrm>
                    <a:prstGeom prst="rect">
                      <a:avLst/>
                    </a:prstGeom>
                    <a:noFill/>
                    <a:ln>
                      <a:noFill/>
                    </a:ln>
                  </pic:spPr>
                </pic:pic>
              </a:graphicData>
            </a:graphic>
          </wp:inline>
        </w:drawing>
      </w:r>
    </w:p>
    <w:p w14:paraId="3E4089C6" w14:textId="77777777" w:rsidR="00916798" w:rsidRDefault="00916798" w:rsidP="00916798">
      <w:pPr>
        <w:spacing w:line="360" w:lineRule="auto"/>
        <w:jc w:val="center"/>
        <w:rPr>
          <w:rFonts w:ascii="Arial" w:hAnsi="Arial" w:cs="Arial"/>
        </w:rPr>
      </w:pPr>
    </w:p>
    <w:tbl>
      <w:tblPr>
        <w:tblW w:w="822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5846"/>
      </w:tblGrid>
      <w:tr w:rsidR="0088157F" w:rsidRPr="0088157F" w14:paraId="28E9E777" w14:textId="77777777" w:rsidTr="00BF7D12">
        <w:tc>
          <w:tcPr>
            <w:tcW w:w="8222" w:type="dxa"/>
            <w:gridSpan w:val="2"/>
            <w:shd w:val="clear" w:color="auto" w:fill="A8D08D" w:themeFill="accent6" w:themeFillTint="99"/>
          </w:tcPr>
          <w:p w14:paraId="6AD4709D" w14:textId="77777777" w:rsidR="0088157F" w:rsidRPr="0088157F" w:rsidRDefault="0088157F" w:rsidP="00BF7D12">
            <w:pPr>
              <w:spacing w:line="360" w:lineRule="auto"/>
              <w:jc w:val="center"/>
              <w:rPr>
                <w:b/>
                <w:sz w:val="20"/>
                <w:szCs w:val="20"/>
              </w:rPr>
            </w:pPr>
            <w:r w:rsidRPr="0088157F">
              <w:rPr>
                <w:b/>
                <w:sz w:val="20"/>
                <w:szCs w:val="20"/>
              </w:rPr>
              <w:t>GOBIERNO DEL ESTADO DE TLAXCALA</w:t>
            </w:r>
          </w:p>
          <w:p w14:paraId="72F12A1F" w14:textId="77777777" w:rsidR="0088157F" w:rsidRPr="0088157F" w:rsidRDefault="0088157F" w:rsidP="00BF7D12">
            <w:pPr>
              <w:spacing w:line="360" w:lineRule="auto"/>
              <w:jc w:val="center"/>
              <w:rPr>
                <w:b/>
                <w:sz w:val="20"/>
                <w:szCs w:val="20"/>
              </w:rPr>
            </w:pPr>
            <w:r w:rsidRPr="0088157F">
              <w:rPr>
                <w:b/>
                <w:sz w:val="20"/>
                <w:szCs w:val="20"/>
              </w:rPr>
              <w:t>SUPUESTOS DE FINANZAS PÚBLICAS DE MEDIANO PLAZO 2023-2028</w:t>
            </w:r>
          </w:p>
        </w:tc>
      </w:tr>
      <w:tr w:rsidR="0088157F" w:rsidRPr="0088157F" w14:paraId="28EF22D1" w14:textId="77777777" w:rsidTr="00BF7D12">
        <w:tc>
          <w:tcPr>
            <w:tcW w:w="2376" w:type="dxa"/>
            <w:vMerge w:val="restart"/>
          </w:tcPr>
          <w:p w14:paraId="306191FA" w14:textId="77777777" w:rsidR="0088157F" w:rsidRPr="0088157F" w:rsidRDefault="0088157F" w:rsidP="00BF7D12">
            <w:pPr>
              <w:spacing w:line="360" w:lineRule="auto"/>
              <w:jc w:val="center"/>
              <w:rPr>
                <w:b/>
                <w:sz w:val="20"/>
                <w:szCs w:val="20"/>
              </w:rPr>
            </w:pPr>
            <w:r w:rsidRPr="0088157F">
              <w:rPr>
                <w:b/>
                <w:sz w:val="20"/>
                <w:szCs w:val="20"/>
              </w:rPr>
              <w:t>Concepto</w:t>
            </w:r>
          </w:p>
        </w:tc>
        <w:tc>
          <w:tcPr>
            <w:tcW w:w="5846" w:type="dxa"/>
          </w:tcPr>
          <w:p w14:paraId="2A2A042E" w14:textId="77777777" w:rsidR="0088157F" w:rsidRPr="0088157F" w:rsidRDefault="0088157F" w:rsidP="00BF7D12">
            <w:pPr>
              <w:spacing w:line="360" w:lineRule="auto"/>
              <w:jc w:val="center"/>
              <w:rPr>
                <w:b/>
                <w:sz w:val="20"/>
                <w:szCs w:val="20"/>
              </w:rPr>
            </w:pPr>
            <w:r w:rsidRPr="0088157F">
              <w:rPr>
                <w:b/>
                <w:sz w:val="20"/>
                <w:szCs w:val="20"/>
              </w:rPr>
              <w:t>Supuestos</w:t>
            </w:r>
          </w:p>
        </w:tc>
      </w:tr>
      <w:tr w:rsidR="0088157F" w:rsidRPr="0088157F" w14:paraId="13F495DA" w14:textId="77777777" w:rsidTr="00BF7D12">
        <w:tc>
          <w:tcPr>
            <w:tcW w:w="2376" w:type="dxa"/>
            <w:vMerge/>
          </w:tcPr>
          <w:p w14:paraId="7917780D" w14:textId="77777777" w:rsidR="0088157F" w:rsidRPr="0088157F" w:rsidRDefault="0088157F" w:rsidP="00BF7D12">
            <w:pPr>
              <w:spacing w:line="360" w:lineRule="auto"/>
              <w:jc w:val="both"/>
              <w:rPr>
                <w:b/>
                <w:sz w:val="20"/>
                <w:szCs w:val="20"/>
              </w:rPr>
            </w:pPr>
          </w:p>
        </w:tc>
        <w:tc>
          <w:tcPr>
            <w:tcW w:w="5846" w:type="dxa"/>
          </w:tcPr>
          <w:p w14:paraId="1465798B" w14:textId="77777777" w:rsidR="0088157F" w:rsidRPr="0088157F" w:rsidRDefault="0088157F" w:rsidP="00BF7D12">
            <w:pPr>
              <w:spacing w:line="360" w:lineRule="auto"/>
              <w:jc w:val="center"/>
              <w:rPr>
                <w:b/>
                <w:sz w:val="20"/>
                <w:szCs w:val="20"/>
              </w:rPr>
            </w:pPr>
            <w:r w:rsidRPr="0088157F">
              <w:rPr>
                <w:b/>
                <w:sz w:val="20"/>
                <w:szCs w:val="20"/>
              </w:rPr>
              <w:t>Fuente de recursos</w:t>
            </w:r>
          </w:p>
        </w:tc>
      </w:tr>
      <w:tr w:rsidR="0088157F" w:rsidRPr="0088157F" w14:paraId="556DD37D" w14:textId="77777777" w:rsidTr="0088157F">
        <w:trPr>
          <w:trHeight w:val="520"/>
        </w:trPr>
        <w:tc>
          <w:tcPr>
            <w:tcW w:w="2376" w:type="dxa"/>
          </w:tcPr>
          <w:p w14:paraId="29258332" w14:textId="77777777" w:rsidR="0088157F" w:rsidRPr="0088157F" w:rsidRDefault="0088157F" w:rsidP="00BF7D12">
            <w:pPr>
              <w:spacing w:line="360" w:lineRule="auto"/>
              <w:jc w:val="both"/>
              <w:rPr>
                <w:sz w:val="20"/>
                <w:szCs w:val="20"/>
              </w:rPr>
            </w:pPr>
            <w:r w:rsidRPr="0088157F">
              <w:rPr>
                <w:sz w:val="20"/>
                <w:szCs w:val="20"/>
              </w:rPr>
              <w:t>Impuestos</w:t>
            </w:r>
          </w:p>
        </w:tc>
        <w:tc>
          <w:tcPr>
            <w:tcW w:w="5846" w:type="dxa"/>
          </w:tcPr>
          <w:p w14:paraId="2FC937C8" w14:textId="351B8795" w:rsidR="0088157F" w:rsidRPr="0088157F" w:rsidRDefault="0088157F" w:rsidP="0088157F">
            <w:pPr>
              <w:spacing w:line="360" w:lineRule="auto"/>
              <w:jc w:val="both"/>
              <w:rPr>
                <w:sz w:val="20"/>
                <w:szCs w:val="20"/>
              </w:rPr>
            </w:pPr>
            <w:r w:rsidRPr="0088157F">
              <w:rPr>
                <w:sz w:val="20"/>
                <w:szCs w:val="20"/>
              </w:rPr>
              <w:t>La recaudación aumenta a una tasa anual promedio de 3%, ligeramente mayor a lo estimado.</w:t>
            </w:r>
          </w:p>
        </w:tc>
      </w:tr>
      <w:tr w:rsidR="0088157F" w:rsidRPr="0088157F" w14:paraId="764D59C5" w14:textId="77777777" w:rsidTr="00BF7D12">
        <w:tc>
          <w:tcPr>
            <w:tcW w:w="2376" w:type="dxa"/>
          </w:tcPr>
          <w:p w14:paraId="71574876" w14:textId="77777777" w:rsidR="0088157F" w:rsidRPr="0088157F" w:rsidRDefault="0088157F" w:rsidP="00BF7D12">
            <w:pPr>
              <w:spacing w:line="360" w:lineRule="auto"/>
              <w:jc w:val="both"/>
              <w:rPr>
                <w:sz w:val="20"/>
                <w:szCs w:val="20"/>
              </w:rPr>
            </w:pPr>
            <w:r w:rsidRPr="0088157F">
              <w:rPr>
                <w:sz w:val="20"/>
                <w:szCs w:val="20"/>
              </w:rPr>
              <w:t>Derechos</w:t>
            </w:r>
          </w:p>
        </w:tc>
        <w:tc>
          <w:tcPr>
            <w:tcW w:w="5846" w:type="dxa"/>
          </w:tcPr>
          <w:p w14:paraId="25638761" w14:textId="7C2D3A03" w:rsidR="0088157F" w:rsidRPr="0088157F" w:rsidRDefault="0088157F" w:rsidP="0088157F">
            <w:pPr>
              <w:spacing w:line="360" w:lineRule="auto"/>
              <w:jc w:val="both"/>
              <w:rPr>
                <w:sz w:val="20"/>
                <w:szCs w:val="20"/>
              </w:rPr>
            </w:pPr>
            <w:r w:rsidRPr="0088157F">
              <w:rPr>
                <w:sz w:val="20"/>
                <w:szCs w:val="20"/>
              </w:rPr>
              <w:t>La recaudación aumenta a una tasa anual promedio de 3%, ligeramente mayor a lo estimado, derivado de los servicios prestados por Dependencias del Poder Ejecutivo.</w:t>
            </w:r>
          </w:p>
        </w:tc>
      </w:tr>
      <w:tr w:rsidR="0088157F" w:rsidRPr="0088157F" w14:paraId="7357A5EA" w14:textId="77777777" w:rsidTr="00BF7D12">
        <w:tc>
          <w:tcPr>
            <w:tcW w:w="2376" w:type="dxa"/>
          </w:tcPr>
          <w:p w14:paraId="1079C9FD" w14:textId="77777777" w:rsidR="0088157F" w:rsidRPr="0088157F" w:rsidRDefault="0088157F" w:rsidP="00BF7D12">
            <w:pPr>
              <w:spacing w:line="360" w:lineRule="auto"/>
              <w:jc w:val="both"/>
              <w:rPr>
                <w:sz w:val="20"/>
                <w:szCs w:val="20"/>
              </w:rPr>
            </w:pPr>
            <w:r w:rsidRPr="0088157F">
              <w:rPr>
                <w:sz w:val="20"/>
                <w:szCs w:val="20"/>
              </w:rPr>
              <w:t>Productos</w:t>
            </w:r>
          </w:p>
        </w:tc>
        <w:tc>
          <w:tcPr>
            <w:tcW w:w="5846" w:type="dxa"/>
          </w:tcPr>
          <w:p w14:paraId="5065FAE9" w14:textId="6E1791F4" w:rsidR="0088157F" w:rsidRPr="0088157F" w:rsidRDefault="0088157F" w:rsidP="0088157F">
            <w:pPr>
              <w:spacing w:line="360" w:lineRule="auto"/>
              <w:jc w:val="both"/>
              <w:rPr>
                <w:sz w:val="20"/>
                <w:szCs w:val="20"/>
              </w:rPr>
            </w:pPr>
            <w:r w:rsidRPr="0088157F">
              <w:rPr>
                <w:sz w:val="20"/>
                <w:szCs w:val="20"/>
              </w:rPr>
              <w:t>Aumentan a una tasa similar al crecimiento real de la recaudación de contribuciones.</w:t>
            </w:r>
          </w:p>
        </w:tc>
      </w:tr>
      <w:tr w:rsidR="0088157F" w:rsidRPr="0088157F" w14:paraId="041095CC" w14:textId="77777777" w:rsidTr="00BF7D12">
        <w:tc>
          <w:tcPr>
            <w:tcW w:w="2376" w:type="dxa"/>
          </w:tcPr>
          <w:p w14:paraId="04850A15" w14:textId="77777777" w:rsidR="0088157F" w:rsidRPr="0088157F" w:rsidRDefault="0088157F" w:rsidP="00BF7D12">
            <w:pPr>
              <w:spacing w:line="360" w:lineRule="auto"/>
              <w:jc w:val="both"/>
              <w:rPr>
                <w:sz w:val="20"/>
                <w:szCs w:val="20"/>
              </w:rPr>
            </w:pPr>
            <w:r w:rsidRPr="0088157F">
              <w:rPr>
                <w:sz w:val="20"/>
                <w:szCs w:val="20"/>
              </w:rPr>
              <w:lastRenderedPageBreak/>
              <w:t>Aprovechamientos</w:t>
            </w:r>
          </w:p>
        </w:tc>
        <w:tc>
          <w:tcPr>
            <w:tcW w:w="5846" w:type="dxa"/>
          </w:tcPr>
          <w:p w14:paraId="7EE075B5" w14:textId="77777777" w:rsidR="0088157F" w:rsidRPr="0088157F" w:rsidRDefault="0088157F" w:rsidP="00BF7D12">
            <w:pPr>
              <w:spacing w:line="360" w:lineRule="auto"/>
              <w:jc w:val="both"/>
              <w:rPr>
                <w:sz w:val="20"/>
                <w:szCs w:val="20"/>
              </w:rPr>
            </w:pPr>
            <w:r w:rsidRPr="0088157F">
              <w:rPr>
                <w:sz w:val="20"/>
                <w:szCs w:val="20"/>
              </w:rPr>
              <w:t>Aumentan en función de la recaudación esperada en contribuciones.</w:t>
            </w:r>
          </w:p>
        </w:tc>
      </w:tr>
      <w:tr w:rsidR="0088157F" w:rsidRPr="0088157F" w14:paraId="5EC59037" w14:textId="77777777" w:rsidTr="00BF7D12">
        <w:tc>
          <w:tcPr>
            <w:tcW w:w="2376" w:type="dxa"/>
          </w:tcPr>
          <w:p w14:paraId="0B4F5C19" w14:textId="77777777" w:rsidR="0088157F" w:rsidRPr="0088157F" w:rsidRDefault="0088157F" w:rsidP="00BF7D12">
            <w:pPr>
              <w:spacing w:line="360" w:lineRule="auto"/>
              <w:jc w:val="both"/>
              <w:rPr>
                <w:sz w:val="20"/>
                <w:szCs w:val="20"/>
              </w:rPr>
            </w:pPr>
            <w:r w:rsidRPr="0088157F">
              <w:rPr>
                <w:sz w:val="20"/>
                <w:szCs w:val="20"/>
              </w:rPr>
              <w:t>Participaciones</w:t>
            </w:r>
          </w:p>
        </w:tc>
        <w:tc>
          <w:tcPr>
            <w:tcW w:w="5846" w:type="dxa"/>
          </w:tcPr>
          <w:p w14:paraId="7F50EDF3" w14:textId="19472A11" w:rsidR="0088157F" w:rsidRPr="0088157F" w:rsidRDefault="0088157F" w:rsidP="0088157F">
            <w:pPr>
              <w:spacing w:line="360" w:lineRule="auto"/>
              <w:jc w:val="both"/>
              <w:rPr>
                <w:sz w:val="20"/>
                <w:szCs w:val="20"/>
              </w:rPr>
            </w:pPr>
            <w:r w:rsidRPr="0088157F">
              <w:rPr>
                <w:sz w:val="20"/>
                <w:szCs w:val="20"/>
              </w:rPr>
              <w:t>Consideran un incremento en función de la recaudación federal participable, tomando como base la recaudación de ingresos tributarios, no tributarios e ingresos petroleros.</w:t>
            </w:r>
          </w:p>
        </w:tc>
      </w:tr>
      <w:tr w:rsidR="0088157F" w:rsidRPr="0088157F" w14:paraId="1676780D" w14:textId="77777777" w:rsidTr="00BF7D12">
        <w:tc>
          <w:tcPr>
            <w:tcW w:w="2376" w:type="dxa"/>
          </w:tcPr>
          <w:p w14:paraId="5C3A8172" w14:textId="77777777" w:rsidR="0088157F" w:rsidRPr="0088157F" w:rsidRDefault="0088157F" w:rsidP="00BF7D12">
            <w:pPr>
              <w:spacing w:line="360" w:lineRule="auto"/>
              <w:jc w:val="both"/>
              <w:rPr>
                <w:sz w:val="20"/>
                <w:szCs w:val="20"/>
              </w:rPr>
            </w:pPr>
            <w:r w:rsidRPr="0088157F">
              <w:rPr>
                <w:sz w:val="20"/>
                <w:szCs w:val="20"/>
              </w:rPr>
              <w:t>Incentivos Económicos</w:t>
            </w:r>
          </w:p>
        </w:tc>
        <w:tc>
          <w:tcPr>
            <w:tcW w:w="5846" w:type="dxa"/>
          </w:tcPr>
          <w:p w14:paraId="4015915D" w14:textId="5A257B5B" w:rsidR="0088157F" w:rsidRPr="0088157F" w:rsidRDefault="0088157F" w:rsidP="0088157F">
            <w:pPr>
              <w:spacing w:line="360" w:lineRule="auto"/>
              <w:jc w:val="both"/>
              <w:rPr>
                <w:sz w:val="20"/>
                <w:szCs w:val="20"/>
              </w:rPr>
            </w:pPr>
            <w:r w:rsidRPr="0088157F">
              <w:rPr>
                <w:sz w:val="20"/>
                <w:szCs w:val="20"/>
              </w:rPr>
              <w:t>Aumentan en función de las acciones de fiscalización concurrentes y de los incentivos otorgados a través del Convenio de Colaboración Administrativa en Materia Fiscal Federal.</w:t>
            </w:r>
          </w:p>
        </w:tc>
      </w:tr>
      <w:tr w:rsidR="0088157F" w:rsidRPr="0088157F" w14:paraId="42B58355" w14:textId="77777777" w:rsidTr="00BF7D12">
        <w:tc>
          <w:tcPr>
            <w:tcW w:w="2376" w:type="dxa"/>
          </w:tcPr>
          <w:p w14:paraId="59E84757" w14:textId="77777777" w:rsidR="0088157F" w:rsidRPr="0088157F" w:rsidRDefault="0088157F" w:rsidP="00BF7D12">
            <w:pPr>
              <w:spacing w:line="360" w:lineRule="auto"/>
              <w:jc w:val="both"/>
              <w:rPr>
                <w:sz w:val="20"/>
                <w:szCs w:val="20"/>
              </w:rPr>
            </w:pPr>
            <w:r w:rsidRPr="0088157F">
              <w:rPr>
                <w:sz w:val="20"/>
                <w:szCs w:val="20"/>
              </w:rPr>
              <w:t>Aportaciones</w:t>
            </w:r>
          </w:p>
        </w:tc>
        <w:tc>
          <w:tcPr>
            <w:tcW w:w="5846" w:type="dxa"/>
          </w:tcPr>
          <w:p w14:paraId="57B48094" w14:textId="6AFA4033" w:rsidR="0088157F" w:rsidRPr="0088157F" w:rsidRDefault="0088157F" w:rsidP="0088157F">
            <w:pPr>
              <w:spacing w:line="360" w:lineRule="auto"/>
              <w:jc w:val="both"/>
              <w:rPr>
                <w:sz w:val="20"/>
                <w:szCs w:val="20"/>
              </w:rPr>
            </w:pPr>
            <w:r w:rsidRPr="0088157F">
              <w:rPr>
                <w:sz w:val="20"/>
                <w:szCs w:val="20"/>
              </w:rPr>
              <w:t>Se incrementan a una tasa de crecimiento promedio del 3%.</w:t>
            </w:r>
          </w:p>
        </w:tc>
      </w:tr>
      <w:tr w:rsidR="0088157F" w:rsidRPr="0088157F" w14:paraId="426D1E12" w14:textId="77777777" w:rsidTr="00BF7D12">
        <w:tc>
          <w:tcPr>
            <w:tcW w:w="2376" w:type="dxa"/>
          </w:tcPr>
          <w:p w14:paraId="487C3E5A" w14:textId="77777777" w:rsidR="0088157F" w:rsidRPr="0088157F" w:rsidRDefault="0088157F" w:rsidP="00BF7D12">
            <w:pPr>
              <w:spacing w:line="360" w:lineRule="auto"/>
              <w:jc w:val="both"/>
              <w:rPr>
                <w:sz w:val="20"/>
                <w:szCs w:val="20"/>
              </w:rPr>
            </w:pPr>
            <w:r w:rsidRPr="0088157F">
              <w:rPr>
                <w:sz w:val="20"/>
                <w:szCs w:val="20"/>
              </w:rPr>
              <w:t>Convenios</w:t>
            </w:r>
          </w:p>
        </w:tc>
        <w:tc>
          <w:tcPr>
            <w:tcW w:w="5846" w:type="dxa"/>
          </w:tcPr>
          <w:p w14:paraId="6170E0CE" w14:textId="77777777" w:rsidR="0088157F" w:rsidRPr="0088157F" w:rsidRDefault="0088157F" w:rsidP="00BF7D12">
            <w:pPr>
              <w:spacing w:line="360" w:lineRule="auto"/>
              <w:jc w:val="both"/>
              <w:rPr>
                <w:sz w:val="20"/>
                <w:szCs w:val="20"/>
              </w:rPr>
            </w:pPr>
            <w:r w:rsidRPr="0088157F">
              <w:rPr>
                <w:sz w:val="20"/>
                <w:szCs w:val="20"/>
              </w:rPr>
              <w:t>Considera una alta variabilidad ya que la obtención de recursos por este concepto está en función de las negociaciones del presupuesto que se efectúen.</w:t>
            </w:r>
          </w:p>
        </w:tc>
      </w:tr>
    </w:tbl>
    <w:p w14:paraId="0E1B20EA" w14:textId="77777777" w:rsidR="00916798" w:rsidRDefault="00916798" w:rsidP="00916798">
      <w:pPr>
        <w:spacing w:line="360" w:lineRule="auto"/>
        <w:jc w:val="both"/>
        <w:rPr>
          <w:rFonts w:ascii="Arial" w:hAnsi="Arial" w:cs="Arial"/>
        </w:rPr>
      </w:pPr>
    </w:p>
    <w:p w14:paraId="41CA6A84" w14:textId="77777777" w:rsidR="00916798" w:rsidRPr="00BF377A" w:rsidRDefault="00916798" w:rsidP="00916798">
      <w:pPr>
        <w:spacing w:line="360" w:lineRule="auto"/>
        <w:jc w:val="both"/>
        <w:rPr>
          <w:b/>
          <w:bCs/>
          <w:sz w:val="20"/>
          <w:szCs w:val="20"/>
        </w:rPr>
      </w:pPr>
      <w:r w:rsidRPr="00BF377A">
        <w:rPr>
          <w:b/>
          <w:bCs/>
          <w:sz w:val="20"/>
          <w:szCs w:val="20"/>
        </w:rPr>
        <w:t>RIESGOS FISCALES</w:t>
      </w:r>
    </w:p>
    <w:p w14:paraId="0D652050" w14:textId="77777777" w:rsidR="00916798" w:rsidRPr="00BF377A" w:rsidRDefault="00916798" w:rsidP="00916798">
      <w:pPr>
        <w:spacing w:line="360" w:lineRule="auto"/>
        <w:jc w:val="both"/>
        <w:rPr>
          <w:sz w:val="20"/>
          <w:szCs w:val="20"/>
        </w:rPr>
      </w:pPr>
    </w:p>
    <w:p w14:paraId="3D8AA69F" w14:textId="26189EAB" w:rsidR="0088157F" w:rsidRPr="0088157F" w:rsidRDefault="009B78D5" w:rsidP="0088157F">
      <w:pPr>
        <w:spacing w:line="360" w:lineRule="auto"/>
        <w:jc w:val="both"/>
        <w:rPr>
          <w:sz w:val="20"/>
          <w:szCs w:val="20"/>
        </w:rPr>
      </w:pPr>
      <w:r w:rsidRPr="009B78D5">
        <w:rPr>
          <w:sz w:val="20"/>
          <w:szCs w:val="20"/>
        </w:rPr>
        <w:t>El marco macroeconómico descrito se encuentra sujeto a riesgos que podrían modificar las trayectorias estimadas. Entre los factores que pueden generar un entorno más benéfico al alza se encuentran</w:t>
      </w:r>
      <w:r w:rsidR="0088157F" w:rsidRPr="0088157F">
        <w:rPr>
          <w:sz w:val="20"/>
          <w:szCs w:val="20"/>
        </w:rPr>
        <w:t xml:space="preserve">: </w:t>
      </w:r>
    </w:p>
    <w:p w14:paraId="72EDC4D6" w14:textId="4D174FD7" w:rsidR="0088157F" w:rsidRPr="0088157F" w:rsidRDefault="0088157F" w:rsidP="00126CF7">
      <w:pPr>
        <w:pStyle w:val="Prrafodelista"/>
        <w:numPr>
          <w:ilvl w:val="0"/>
          <w:numId w:val="23"/>
        </w:numPr>
        <w:spacing w:line="360" w:lineRule="auto"/>
        <w:jc w:val="both"/>
        <w:rPr>
          <w:sz w:val="20"/>
          <w:szCs w:val="20"/>
        </w:rPr>
      </w:pPr>
      <w:r w:rsidRPr="0088157F">
        <w:rPr>
          <w:sz w:val="20"/>
          <w:szCs w:val="20"/>
        </w:rPr>
        <w:t>Mejoras importantes en las condiciones de informalidad derivado de las reformas en materia laboral implementadas desde el inicio de la administración, las cuales beneficiarían al consumo, la productividad y a la recaudación tributaria</w:t>
      </w:r>
    </w:p>
    <w:p w14:paraId="2CCCAE6C" w14:textId="39E3C7D9" w:rsidR="0088157F" w:rsidRPr="0088157F" w:rsidRDefault="0088157F" w:rsidP="00126CF7">
      <w:pPr>
        <w:pStyle w:val="Prrafodelista"/>
        <w:numPr>
          <w:ilvl w:val="0"/>
          <w:numId w:val="23"/>
        </w:numPr>
        <w:spacing w:line="360" w:lineRule="auto"/>
        <w:jc w:val="both"/>
        <w:rPr>
          <w:sz w:val="20"/>
          <w:szCs w:val="20"/>
        </w:rPr>
      </w:pPr>
      <w:r w:rsidRPr="0088157F">
        <w:rPr>
          <w:sz w:val="20"/>
          <w:szCs w:val="20"/>
        </w:rPr>
        <w:t>Aumentos en la productividad de factores por una mayor innovación, que permitiría una distribución más eficiente del empleo y el capital.</w:t>
      </w:r>
    </w:p>
    <w:p w14:paraId="434C3050" w14:textId="2B2B0ADA" w:rsidR="0088157F" w:rsidRPr="0088157F" w:rsidRDefault="0088157F" w:rsidP="00126CF7">
      <w:pPr>
        <w:pStyle w:val="Prrafodelista"/>
        <w:numPr>
          <w:ilvl w:val="0"/>
          <w:numId w:val="23"/>
        </w:numPr>
        <w:spacing w:line="360" w:lineRule="auto"/>
        <w:jc w:val="both"/>
        <w:rPr>
          <w:sz w:val="20"/>
          <w:szCs w:val="20"/>
        </w:rPr>
      </w:pPr>
      <w:r w:rsidRPr="0088157F">
        <w:rPr>
          <w:sz w:val="20"/>
          <w:szCs w:val="20"/>
        </w:rPr>
        <w:t>Una mayor competencia económica que contribuya a la disminución de las presiones inflacionarias, fomente la mayor disponibilidad de productos, mejore la calidad de los servicios y la competitividad de México en el ámbito internacional.</w:t>
      </w:r>
    </w:p>
    <w:p w14:paraId="5CE6470D" w14:textId="77777777" w:rsidR="0088157F" w:rsidRPr="0088157F" w:rsidRDefault="0088157F" w:rsidP="0088157F">
      <w:pPr>
        <w:spacing w:line="360" w:lineRule="auto"/>
        <w:jc w:val="both"/>
        <w:rPr>
          <w:sz w:val="20"/>
          <w:szCs w:val="20"/>
        </w:rPr>
      </w:pPr>
    </w:p>
    <w:p w14:paraId="0EE09708" w14:textId="2FFDE668" w:rsidR="0088157F" w:rsidRDefault="0088157F" w:rsidP="0088157F">
      <w:pPr>
        <w:spacing w:line="360" w:lineRule="auto"/>
        <w:jc w:val="both"/>
        <w:rPr>
          <w:sz w:val="20"/>
          <w:szCs w:val="20"/>
        </w:rPr>
      </w:pPr>
      <w:r w:rsidRPr="0088157F">
        <w:rPr>
          <w:sz w:val="20"/>
          <w:szCs w:val="20"/>
        </w:rPr>
        <w:t xml:space="preserve">Dentro de los riesgos a la baja destacan los siguientes: </w:t>
      </w:r>
    </w:p>
    <w:p w14:paraId="2D4C0F95" w14:textId="77777777" w:rsidR="003E7CAB" w:rsidRPr="0088157F" w:rsidRDefault="003E7CAB" w:rsidP="0088157F">
      <w:pPr>
        <w:spacing w:line="360" w:lineRule="auto"/>
        <w:jc w:val="both"/>
        <w:rPr>
          <w:sz w:val="20"/>
          <w:szCs w:val="20"/>
        </w:rPr>
      </w:pPr>
    </w:p>
    <w:p w14:paraId="247CD107" w14:textId="19F9A64A" w:rsidR="0088157F" w:rsidRPr="0088157F" w:rsidRDefault="0088157F" w:rsidP="00126CF7">
      <w:pPr>
        <w:pStyle w:val="Prrafodelista"/>
        <w:numPr>
          <w:ilvl w:val="0"/>
          <w:numId w:val="24"/>
        </w:numPr>
        <w:spacing w:line="360" w:lineRule="auto"/>
        <w:jc w:val="both"/>
        <w:rPr>
          <w:sz w:val="20"/>
          <w:szCs w:val="20"/>
        </w:rPr>
      </w:pPr>
      <w:r w:rsidRPr="0088157F">
        <w:rPr>
          <w:sz w:val="20"/>
          <w:szCs w:val="20"/>
        </w:rPr>
        <w:t>Prolongación de conflictos geopolíticos y creación de bloques comerciales entre países, así como sanciones económicas hacia Rusia o China. Lo anterior podría aumentar la volatilidad y el nivel de precios de algunas materias primas y alimentos, al tiempo que disminuiría el comercio internacional y los flujos financieros internacionales.</w:t>
      </w:r>
    </w:p>
    <w:p w14:paraId="3818251D" w14:textId="17436ACF" w:rsidR="0088157F" w:rsidRPr="0088157F" w:rsidRDefault="0088157F" w:rsidP="00126CF7">
      <w:pPr>
        <w:pStyle w:val="Prrafodelista"/>
        <w:numPr>
          <w:ilvl w:val="0"/>
          <w:numId w:val="24"/>
        </w:numPr>
        <w:spacing w:line="360" w:lineRule="auto"/>
        <w:jc w:val="both"/>
        <w:rPr>
          <w:sz w:val="20"/>
          <w:szCs w:val="20"/>
        </w:rPr>
      </w:pPr>
      <w:r w:rsidRPr="0088157F">
        <w:rPr>
          <w:sz w:val="20"/>
          <w:szCs w:val="20"/>
        </w:rPr>
        <w:t>Una política monetaria restrictiva prolongada, que presione las condiciones financieras y contribuya a un crecimiento global por abajo del promedio histórico.</w:t>
      </w:r>
    </w:p>
    <w:p w14:paraId="76B90F4B" w14:textId="5685B598" w:rsidR="0088157F" w:rsidRPr="0088157F" w:rsidRDefault="0088157F" w:rsidP="00126CF7">
      <w:pPr>
        <w:pStyle w:val="Prrafodelista"/>
        <w:numPr>
          <w:ilvl w:val="0"/>
          <w:numId w:val="24"/>
        </w:numPr>
        <w:spacing w:line="360" w:lineRule="auto"/>
        <w:jc w:val="both"/>
        <w:rPr>
          <w:sz w:val="20"/>
          <w:szCs w:val="20"/>
        </w:rPr>
      </w:pPr>
      <w:r w:rsidRPr="0088157F">
        <w:rPr>
          <w:sz w:val="20"/>
          <w:szCs w:val="20"/>
        </w:rPr>
        <w:lastRenderedPageBreak/>
        <w:t>Escenario de impago de la deuda por las alzas en las tasas de interés a nivel mundial en un contexto donde los niveles de endeudamiento han alcanzado máximos históricos, particularmente de algunas economías que aumentaron su deuda para enfrentar la crisis sanitaria.</w:t>
      </w:r>
    </w:p>
    <w:p w14:paraId="348CB46C" w14:textId="77777777" w:rsidR="0088157F" w:rsidRPr="0088157F" w:rsidRDefault="0088157F" w:rsidP="00126CF7">
      <w:pPr>
        <w:pStyle w:val="Prrafodelista"/>
        <w:numPr>
          <w:ilvl w:val="0"/>
          <w:numId w:val="24"/>
        </w:numPr>
        <w:spacing w:line="360" w:lineRule="auto"/>
        <w:jc w:val="both"/>
        <w:rPr>
          <w:sz w:val="20"/>
          <w:szCs w:val="20"/>
        </w:rPr>
      </w:pPr>
      <w:r w:rsidRPr="0088157F">
        <w:rPr>
          <w:sz w:val="20"/>
          <w:szCs w:val="20"/>
        </w:rPr>
        <w:t>Desaceleración económica de China por problemas políticos al interior y estructurales de su economía, en particular por una menor inversión en el sector inmobiliario y la acumulación de deuda que reduciría su demanda de las materias primas y aumentaría el riesgo de enfrentar problemas financieros.</w:t>
      </w:r>
    </w:p>
    <w:p w14:paraId="14F25699" w14:textId="77777777" w:rsidR="0088157F" w:rsidRPr="0088157F" w:rsidRDefault="0088157F" w:rsidP="0088157F">
      <w:pPr>
        <w:spacing w:line="360" w:lineRule="auto"/>
        <w:jc w:val="both"/>
        <w:rPr>
          <w:sz w:val="20"/>
          <w:szCs w:val="20"/>
        </w:rPr>
      </w:pPr>
    </w:p>
    <w:p w14:paraId="5CFFA551" w14:textId="0B533AC5" w:rsidR="00916798" w:rsidRPr="00BF377A" w:rsidRDefault="009B78D5" w:rsidP="0088157F">
      <w:pPr>
        <w:spacing w:line="360" w:lineRule="auto"/>
        <w:jc w:val="both"/>
        <w:rPr>
          <w:sz w:val="20"/>
          <w:szCs w:val="20"/>
        </w:rPr>
      </w:pPr>
      <w:r w:rsidRPr="009B78D5">
        <w:rPr>
          <w:sz w:val="20"/>
          <w:szCs w:val="20"/>
        </w:rPr>
        <w:t>Por lo anterior, el diseño e implementación de la política fiscal del Estado debe considerar los riesgos de mediano y largo plazos. A continuación, se presentan los principales factores estatales que podrían tener un impacto en las finanzas públicas y las acciones que se han tomado para evitar que se conviertan en un riesgo para las finanzas públicas del Estado</w:t>
      </w:r>
      <w:r w:rsidR="0088157F" w:rsidRPr="0088157F">
        <w:rPr>
          <w:sz w:val="20"/>
          <w:szCs w:val="20"/>
        </w:rPr>
        <w:t>.</w:t>
      </w:r>
    </w:p>
    <w:p w14:paraId="5675F827" w14:textId="77777777" w:rsidR="00916798" w:rsidRPr="00BF377A" w:rsidRDefault="00916798" w:rsidP="00916798">
      <w:pPr>
        <w:spacing w:line="360" w:lineRule="auto"/>
        <w:jc w:val="both"/>
        <w:rPr>
          <w:b/>
          <w:sz w:val="20"/>
          <w:szCs w:val="20"/>
        </w:rPr>
      </w:pPr>
    </w:p>
    <w:p w14:paraId="06BDE74F" w14:textId="77777777" w:rsidR="00916798" w:rsidRPr="00BF377A" w:rsidRDefault="00916798" w:rsidP="00916798">
      <w:pPr>
        <w:spacing w:line="360" w:lineRule="auto"/>
        <w:jc w:val="both"/>
        <w:rPr>
          <w:b/>
          <w:sz w:val="20"/>
          <w:szCs w:val="20"/>
        </w:rPr>
      </w:pPr>
      <w:r w:rsidRPr="00BF377A">
        <w:rPr>
          <w:b/>
          <w:sz w:val="20"/>
          <w:szCs w:val="20"/>
        </w:rPr>
        <w:t>1. Pensiones y Jubilaciones</w:t>
      </w:r>
    </w:p>
    <w:p w14:paraId="3E5F6DD5" w14:textId="77777777" w:rsidR="00916798" w:rsidRPr="00BF377A" w:rsidRDefault="00916798" w:rsidP="00916798">
      <w:pPr>
        <w:spacing w:line="360" w:lineRule="auto"/>
        <w:jc w:val="both"/>
        <w:rPr>
          <w:sz w:val="20"/>
          <w:szCs w:val="20"/>
        </w:rPr>
      </w:pPr>
    </w:p>
    <w:p w14:paraId="568B0C55" w14:textId="0F3404CC" w:rsidR="009B78D5" w:rsidRPr="009B78D5" w:rsidRDefault="009B78D5" w:rsidP="009B78D5">
      <w:pPr>
        <w:spacing w:line="360" w:lineRule="auto"/>
        <w:jc w:val="both"/>
        <w:rPr>
          <w:sz w:val="20"/>
          <w:szCs w:val="20"/>
        </w:rPr>
      </w:pPr>
      <w:r w:rsidRPr="009B78D5">
        <w:rPr>
          <w:sz w:val="20"/>
          <w:szCs w:val="20"/>
        </w:rPr>
        <w:t xml:space="preserve">El flujo de ingresos presente o futuro de una familia puede verse interrumpido por la materialización de los riesgos siguientes: la edad avanzada, la cesantía en edad avanzada, la muerte prematura, los accidentes y las enfermedades que causan la invalidez o incapacidad </w:t>
      </w:r>
      <w:r w:rsidR="00DE2F8D">
        <w:rPr>
          <w:sz w:val="20"/>
          <w:szCs w:val="20"/>
        </w:rPr>
        <w:t>para</w:t>
      </w:r>
      <w:r w:rsidRPr="009B78D5">
        <w:rPr>
          <w:sz w:val="20"/>
          <w:szCs w:val="20"/>
        </w:rPr>
        <w:t xml:space="preserve"> seguir trabajando. Los sistemas de pensiones tienen como objetivo proteger el flujo de ingresos de un trabajador y su familia. El Sistema de Pensiones del Estado, desarrolló un esquema de reforma a las pensiones que permitirá, en el largo plazo, g</w:t>
      </w:r>
      <w:r w:rsidR="00764509">
        <w:rPr>
          <w:sz w:val="20"/>
          <w:szCs w:val="20"/>
        </w:rPr>
        <w:t>arantizar el pago de las mismas</w:t>
      </w:r>
      <w:r w:rsidRPr="009B78D5">
        <w:rPr>
          <w:sz w:val="20"/>
          <w:szCs w:val="20"/>
        </w:rPr>
        <w:t xml:space="preserve"> respetando los plazos para las jubilaciones.</w:t>
      </w:r>
    </w:p>
    <w:p w14:paraId="2F64F4D1" w14:textId="77777777" w:rsidR="009B78D5" w:rsidRPr="009B78D5" w:rsidRDefault="009B78D5" w:rsidP="009B78D5">
      <w:pPr>
        <w:spacing w:line="360" w:lineRule="auto"/>
        <w:jc w:val="both"/>
        <w:rPr>
          <w:sz w:val="20"/>
          <w:szCs w:val="20"/>
        </w:rPr>
      </w:pPr>
    </w:p>
    <w:p w14:paraId="0C299E96" w14:textId="4F10CAE5" w:rsidR="0088157F" w:rsidRDefault="009B78D5" w:rsidP="009B78D5">
      <w:pPr>
        <w:spacing w:line="360" w:lineRule="auto"/>
        <w:jc w:val="both"/>
        <w:rPr>
          <w:sz w:val="20"/>
          <w:szCs w:val="20"/>
        </w:rPr>
      </w:pPr>
      <w:r w:rsidRPr="009B78D5">
        <w:rPr>
          <w:sz w:val="20"/>
          <w:szCs w:val="20"/>
        </w:rPr>
        <w:t>Con las reformas estructurales efectuadas, se garantiza a los jubilados y pensionados el pago puntual de sus pensiones, otorgándoles seguridad económica, y conservar sus derechos de la Ley anterior. Entre las principales reformas efectuadas, tenemos</w:t>
      </w:r>
      <w:r w:rsidR="0088157F" w:rsidRPr="0088157F">
        <w:rPr>
          <w:sz w:val="20"/>
          <w:szCs w:val="20"/>
        </w:rPr>
        <w:t>:</w:t>
      </w:r>
    </w:p>
    <w:p w14:paraId="59FE9E6B" w14:textId="77777777" w:rsidR="003E7CAB" w:rsidRPr="0088157F" w:rsidRDefault="003E7CAB" w:rsidP="009B78D5">
      <w:pPr>
        <w:spacing w:line="360" w:lineRule="auto"/>
        <w:jc w:val="both"/>
        <w:rPr>
          <w:sz w:val="20"/>
          <w:szCs w:val="20"/>
        </w:rPr>
      </w:pPr>
    </w:p>
    <w:p w14:paraId="5B027FD9" w14:textId="2C0BC77C" w:rsidR="0088157F" w:rsidRPr="0088157F" w:rsidRDefault="0088157F" w:rsidP="00126CF7">
      <w:pPr>
        <w:pStyle w:val="Prrafodelista"/>
        <w:numPr>
          <w:ilvl w:val="0"/>
          <w:numId w:val="25"/>
        </w:numPr>
        <w:spacing w:line="360" w:lineRule="auto"/>
        <w:jc w:val="both"/>
        <w:rPr>
          <w:sz w:val="20"/>
          <w:szCs w:val="20"/>
        </w:rPr>
      </w:pPr>
      <w:r w:rsidRPr="0088157F">
        <w:rPr>
          <w:sz w:val="20"/>
          <w:szCs w:val="20"/>
        </w:rPr>
        <w:t xml:space="preserve">Se aumentaron las aportaciones, ya que estas hubiesen sido suficientes para financiar las jubilaciones de los inactivos, pero no para pagar a los nuevos jubilados; </w:t>
      </w:r>
    </w:p>
    <w:p w14:paraId="44377631" w14:textId="52C532A2" w:rsidR="0088157F" w:rsidRPr="0088157F" w:rsidRDefault="0088157F" w:rsidP="00126CF7">
      <w:pPr>
        <w:pStyle w:val="Prrafodelista"/>
        <w:numPr>
          <w:ilvl w:val="0"/>
          <w:numId w:val="25"/>
        </w:numPr>
        <w:spacing w:line="360" w:lineRule="auto"/>
        <w:jc w:val="both"/>
        <w:rPr>
          <w:sz w:val="20"/>
          <w:szCs w:val="20"/>
        </w:rPr>
      </w:pPr>
      <w:r w:rsidRPr="0088157F">
        <w:rPr>
          <w:sz w:val="20"/>
          <w:szCs w:val="20"/>
        </w:rPr>
        <w:t>Se aumenta la edad promedio de jubilación para hombres y mujeres, y</w:t>
      </w:r>
    </w:p>
    <w:p w14:paraId="1EBE09CC" w14:textId="77777777" w:rsidR="0088157F" w:rsidRPr="0088157F" w:rsidRDefault="0088157F" w:rsidP="00126CF7">
      <w:pPr>
        <w:pStyle w:val="Prrafodelista"/>
        <w:numPr>
          <w:ilvl w:val="0"/>
          <w:numId w:val="25"/>
        </w:numPr>
        <w:spacing w:line="360" w:lineRule="auto"/>
        <w:jc w:val="both"/>
        <w:rPr>
          <w:sz w:val="20"/>
          <w:szCs w:val="20"/>
        </w:rPr>
      </w:pPr>
      <w:r w:rsidRPr="0088157F">
        <w:rPr>
          <w:sz w:val="20"/>
          <w:szCs w:val="20"/>
        </w:rPr>
        <w:t>Se establecen cuentas individuales para los nuevos afiliados.</w:t>
      </w:r>
    </w:p>
    <w:p w14:paraId="7B8AA256" w14:textId="77777777" w:rsidR="0088157F" w:rsidRPr="0088157F" w:rsidRDefault="0088157F" w:rsidP="0088157F">
      <w:pPr>
        <w:spacing w:line="360" w:lineRule="auto"/>
        <w:jc w:val="both"/>
        <w:rPr>
          <w:sz w:val="20"/>
          <w:szCs w:val="20"/>
        </w:rPr>
      </w:pPr>
    </w:p>
    <w:p w14:paraId="1082A52C" w14:textId="448A7E24" w:rsidR="0088157F" w:rsidRPr="0088157F" w:rsidRDefault="009B78D5" w:rsidP="0088157F">
      <w:pPr>
        <w:spacing w:line="360" w:lineRule="auto"/>
        <w:jc w:val="both"/>
        <w:rPr>
          <w:sz w:val="20"/>
          <w:szCs w:val="20"/>
        </w:rPr>
      </w:pPr>
      <w:r w:rsidRPr="009B78D5">
        <w:rPr>
          <w:sz w:val="20"/>
          <w:szCs w:val="20"/>
        </w:rPr>
        <w:t xml:space="preserve">Con estas reformas al Sistema Estatal de Pensiones y a los servicios médicos se buscó impulsar mecanismos que incentivaran su capitalización, adicionalmente, se establecieron nuevos esquemas </w:t>
      </w:r>
      <w:r w:rsidRPr="009B78D5">
        <w:rPr>
          <w:sz w:val="20"/>
          <w:szCs w:val="20"/>
        </w:rPr>
        <w:lastRenderedPageBreak/>
        <w:t>para el otorgamiento de créditos, fortaleciendo el régimen de inversión de los recursos pensionarios de los trabajadores. Por último, se buscó la consolidación del sistema de cuentas individuales de aportación, siendo obligatoria para los trabajadores de nuevo ingreso</w:t>
      </w:r>
      <w:r w:rsidR="0088157F" w:rsidRPr="0088157F">
        <w:rPr>
          <w:sz w:val="20"/>
          <w:szCs w:val="20"/>
        </w:rPr>
        <w:t>.</w:t>
      </w:r>
    </w:p>
    <w:p w14:paraId="00EF9D17" w14:textId="4C273EE9" w:rsidR="00916798" w:rsidRPr="00BF377A" w:rsidRDefault="00916798" w:rsidP="00916798">
      <w:pPr>
        <w:spacing w:line="360" w:lineRule="auto"/>
        <w:jc w:val="both"/>
        <w:rPr>
          <w:sz w:val="20"/>
          <w:szCs w:val="20"/>
        </w:rPr>
      </w:pPr>
    </w:p>
    <w:p w14:paraId="036A2C83" w14:textId="77777777" w:rsidR="00916798" w:rsidRPr="00BF377A" w:rsidRDefault="00916798" w:rsidP="00916798">
      <w:pPr>
        <w:spacing w:line="360" w:lineRule="auto"/>
        <w:jc w:val="both"/>
        <w:rPr>
          <w:sz w:val="20"/>
          <w:szCs w:val="20"/>
        </w:rPr>
      </w:pPr>
    </w:p>
    <w:p w14:paraId="1B3A5710" w14:textId="77777777" w:rsidR="00916798" w:rsidRPr="00BF377A" w:rsidRDefault="00916798" w:rsidP="00916798">
      <w:pPr>
        <w:spacing w:line="360" w:lineRule="auto"/>
        <w:jc w:val="both"/>
        <w:rPr>
          <w:b/>
          <w:sz w:val="20"/>
          <w:szCs w:val="20"/>
        </w:rPr>
      </w:pPr>
      <w:r w:rsidRPr="00BF377A">
        <w:rPr>
          <w:b/>
          <w:sz w:val="20"/>
          <w:szCs w:val="20"/>
        </w:rPr>
        <w:t>2. Deuda Pública</w:t>
      </w:r>
    </w:p>
    <w:p w14:paraId="282ACC00" w14:textId="77777777" w:rsidR="00916798" w:rsidRPr="00BF377A" w:rsidRDefault="00916798" w:rsidP="00916798">
      <w:pPr>
        <w:spacing w:line="360" w:lineRule="auto"/>
        <w:jc w:val="both"/>
        <w:rPr>
          <w:sz w:val="20"/>
          <w:szCs w:val="20"/>
        </w:rPr>
      </w:pPr>
    </w:p>
    <w:p w14:paraId="2AD5B6C7" w14:textId="56D050F7" w:rsidR="00916798" w:rsidRDefault="009B78D5" w:rsidP="00916798">
      <w:pPr>
        <w:spacing w:line="360" w:lineRule="auto"/>
        <w:jc w:val="both"/>
        <w:rPr>
          <w:sz w:val="20"/>
          <w:szCs w:val="20"/>
        </w:rPr>
      </w:pPr>
      <w:r w:rsidRPr="009B78D5">
        <w:rPr>
          <w:sz w:val="20"/>
          <w:szCs w:val="20"/>
        </w:rPr>
        <w:t>El Estado de Tlaxcala ha sido ejemplo a nivel nacional, al implementar una  Política de Deuda en la que los principios de disciplina y responsabilidad presupuestaria, han permitido ubicar a Tlaxcala con un 0% como porcentaje del PIB Estatal en nivel de endeudamiento; sin embargo, considerando el deterioro de los resultados fiscales a nivel nacional podría conducir al requerimiento de recursos para mejorar los niveles de liquidez para promover la inversión pública productiva, por lo que no se desestima en el mediano plazo, la posibilidad de la contratación de deuda para el financiamiento del gasto de inversión; de igual manera se cuenta con la asesoría de la banca de desarrollo, para tener información que nos permita tomar las mejores decisiones en cuestiones de contratación de financiamientos</w:t>
      </w:r>
      <w:r w:rsidR="0088157F" w:rsidRPr="0088157F">
        <w:rPr>
          <w:sz w:val="20"/>
          <w:szCs w:val="20"/>
        </w:rPr>
        <w:t>.</w:t>
      </w:r>
    </w:p>
    <w:p w14:paraId="718C5FD4" w14:textId="77777777" w:rsidR="0088157F" w:rsidRPr="00BF377A" w:rsidRDefault="0088157F" w:rsidP="00916798">
      <w:pPr>
        <w:spacing w:line="360" w:lineRule="auto"/>
        <w:jc w:val="both"/>
        <w:rPr>
          <w:sz w:val="20"/>
          <w:szCs w:val="20"/>
        </w:rPr>
      </w:pPr>
    </w:p>
    <w:p w14:paraId="63D1C05A" w14:textId="77777777" w:rsidR="00916798" w:rsidRPr="00BF377A" w:rsidRDefault="00916798" w:rsidP="00916798">
      <w:pPr>
        <w:spacing w:line="360" w:lineRule="auto"/>
        <w:jc w:val="both"/>
        <w:rPr>
          <w:b/>
          <w:sz w:val="20"/>
          <w:szCs w:val="20"/>
        </w:rPr>
      </w:pPr>
      <w:r w:rsidRPr="00BF377A">
        <w:rPr>
          <w:b/>
          <w:sz w:val="20"/>
          <w:szCs w:val="20"/>
        </w:rPr>
        <w:t>3. Menor crecimiento económico</w:t>
      </w:r>
    </w:p>
    <w:p w14:paraId="00CD2CE8" w14:textId="77777777" w:rsidR="00916798" w:rsidRPr="00BF377A" w:rsidRDefault="00916798" w:rsidP="00916798">
      <w:pPr>
        <w:spacing w:line="360" w:lineRule="auto"/>
        <w:jc w:val="both"/>
        <w:rPr>
          <w:sz w:val="20"/>
          <w:szCs w:val="20"/>
        </w:rPr>
      </w:pPr>
    </w:p>
    <w:p w14:paraId="1D1AB696" w14:textId="77777777" w:rsidR="009B78D5" w:rsidRPr="009B78D5" w:rsidRDefault="009B78D5" w:rsidP="009B78D5">
      <w:pPr>
        <w:pStyle w:val="PRIMERAPLANA"/>
        <w:spacing w:line="360" w:lineRule="auto"/>
        <w:rPr>
          <w:rFonts w:ascii="Times New Roman" w:hAnsi="Times New Roman"/>
          <w:iCs/>
          <w:lang w:val="es-ES"/>
        </w:rPr>
      </w:pPr>
      <w:r w:rsidRPr="009B78D5">
        <w:rPr>
          <w:rFonts w:ascii="Times New Roman" w:hAnsi="Times New Roman"/>
          <w:iCs/>
          <w:lang w:val="es-ES"/>
        </w:rPr>
        <w:t>El Estado de Tlaxcala cuenta con una población cercana a 1.3 millones de habitantes, siendo el Estado más pequeño del país en términos de producción económica. La economía del Estado es débil en relación con otras Entidades Federativas, lo que limita su capacidad de generación de ingresos de la base fiscal regional.</w:t>
      </w:r>
    </w:p>
    <w:p w14:paraId="24DB54D0" w14:textId="77777777" w:rsidR="009B78D5" w:rsidRPr="009B78D5" w:rsidRDefault="009B78D5" w:rsidP="009B78D5">
      <w:pPr>
        <w:pStyle w:val="PRIMERAPLANA"/>
        <w:spacing w:line="360" w:lineRule="auto"/>
        <w:rPr>
          <w:rFonts w:ascii="Times New Roman" w:hAnsi="Times New Roman"/>
          <w:iCs/>
          <w:lang w:val="es-ES"/>
        </w:rPr>
      </w:pPr>
    </w:p>
    <w:p w14:paraId="740D0F51" w14:textId="0D516B82" w:rsidR="00916798" w:rsidRPr="00BF377A" w:rsidRDefault="009B78D5" w:rsidP="009B78D5">
      <w:pPr>
        <w:pStyle w:val="PRIMERAPLANA"/>
        <w:spacing w:line="360" w:lineRule="auto"/>
        <w:rPr>
          <w:rFonts w:ascii="Times New Roman" w:hAnsi="Times New Roman"/>
          <w:iCs/>
          <w:lang w:val="es-ES"/>
        </w:rPr>
      </w:pPr>
      <w:r w:rsidRPr="009B78D5">
        <w:rPr>
          <w:rFonts w:ascii="Times New Roman" w:hAnsi="Times New Roman"/>
          <w:iCs/>
          <w:lang w:val="es-ES"/>
        </w:rPr>
        <w:t>Para contener este riesgo, el Gobierno del Estado ha llevado a cabo una serie de acciones, entre las que encontramos una mayor promoción en el ámbito local e internacional de la inversión pública y privada, así como de las actividades turísticas, la incorporación de contribuyentes informales a la formalidad, intensificar las acciones de fiscalización y la recaudación de contribuciones locales, para incentivar la actividad económica; sin embargo, el confinamiento y las restricciones establecidas por el Consejo Estatal de Salud enfocadas a diversos sectores de la economía estatal, han determinado su comportamiento</w:t>
      </w:r>
      <w:r w:rsidR="0088157F" w:rsidRPr="0088157F">
        <w:rPr>
          <w:rFonts w:ascii="Times New Roman" w:hAnsi="Times New Roman"/>
          <w:iCs/>
          <w:lang w:val="es-ES"/>
        </w:rPr>
        <w:t>.</w:t>
      </w:r>
    </w:p>
    <w:p w14:paraId="34119761" w14:textId="77777777" w:rsidR="00916798" w:rsidRPr="00BF377A" w:rsidRDefault="00916798" w:rsidP="00916798">
      <w:pPr>
        <w:spacing w:line="360" w:lineRule="auto"/>
        <w:jc w:val="both"/>
        <w:rPr>
          <w:sz w:val="20"/>
          <w:szCs w:val="20"/>
        </w:rPr>
      </w:pPr>
    </w:p>
    <w:p w14:paraId="21E92EF2" w14:textId="55A59471" w:rsidR="00916798" w:rsidRPr="00BF377A" w:rsidRDefault="00916798" w:rsidP="00916798">
      <w:pPr>
        <w:spacing w:line="360" w:lineRule="auto"/>
        <w:jc w:val="both"/>
        <w:rPr>
          <w:b/>
          <w:bCs/>
          <w:sz w:val="20"/>
          <w:szCs w:val="20"/>
        </w:rPr>
      </w:pPr>
      <w:r w:rsidRPr="00BF377A">
        <w:rPr>
          <w:b/>
          <w:bCs/>
          <w:sz w:val="20"/>
          <w:szCs w:val="20"/>
        </w:rPr>
        <w:t>EVOLUCIÓN DE LAS FINANZAS PÚBLICAS 201</w:t>
      </w:r>
      <w:r w:rsidR="0088157F">
        <w:rPr>
          <w:b/>
          <w:bCs/>
          <w:sz w:val="20"/>
          <w:szCs w:val="20"/>
        </w:rPr>
        <w:t>7</w:t>
      </w:r>
      <w:r w:rsidRPr="00BF377A">
        <w:rPr>
          <w:b/>
          <w:bCs/>
          <w:sz w:val="20"/>
          <w:szCs w:val="20"/>
        </w:rPr>
        <w:t>-202</w:t>
      </w:r>
      <w:r w:rsidR="0088157F">
        <w:rPr>
          <w:b/>
          <w:bCs/>
          <w:sz w:val="20"/>
          <w:szCs w:val="20"/>
        </w:rPr>
        <w:t>3</w:t>
      </w:r>
      <w:r w:rsidRPr="00BF377A">
        <w:rPr>
          <w:b/>
          <w:bCs/>
          <w:sz w:val="20"/>
          <w:szCs w:val="20"/>
        </w:rPr>
        <w:t>.</w:t>
      </w:r>
    </w:p>
    <w:p w14:paraId="09BAB111" w14:textId="77777777" w:rsidR="00916798" w:rsidRPr="00BF377A" w:rsidRDefault="00916798" w:rsidP="00916798">
      <w:pPr>
        <w:spacing w:line="360" w:lineRule="auto"/>
        <w:jc w:val="both"/>
        <w:rPr>
          <w:sz w:val="20"/>
          <w:szCs w:val="20"/>
        </w:rPr>
      </w:pPr>
    </w:p>
    <w:p w14:paraId="15199EA3" w14:textId="3F666EA2" w:rsidR="0088157F" w:rsidRDefault="0075653B" w:rsidP="00916798">
      <w:pPr>
        <w:spacing w:line="360" w:lineRule="auto"/>
        <w:jc w:val="both"/>
        <w:rPr>
          <w:sz w:val="20"/>
          <w:szCs w:val="20"/>
        </w:rPr>
      </w:pPr>
      <w:r w:rsidRPr="0075653B">
        <w:rPr>
          <w:sz w:val="20"/>
          <w:szCs w:val="20"/>
        </w:rPr>
        <w:lastRenderedPageBreak/>
        <w:t>La evolución de las finanzas públicas del Estado obedece a la dinámica recaudatoria de los ingresos estatales totales y de las transferencias federales, las que a su vez son determinados por el comportamiento de la Recaudación Federal Participable (RFP); representado una dependencia significativa de los ingresos federales. Esta situación no es privativa del Estado de Tlaxcala, sino que se presenta en la gran mayoría de las Entidades Federativas, pues tienen potestades tributarias limitadas y otro tanto se encuentran reguladas en los Convenios de Coordinación Fiscal para evitar la doble tributación, por lo que las finanzas estatales son muy sensibles al comportamiento de la economía nacional y de los choques externos, tal y como se observa en la gráfica siguiente</w:t>
      </w:r>
      <w:r w:rsidR="0088157F" w:rsidRPr="0088157F">
        <w:rPr>
          <w:sz w:val="20"/>
          <w:szCs w:val="20"/>
        </w:rPr>
        <w:t>:</w:t>
      </w:r>
    </w:p>
    <w:p w14:paraId="387FC908" w14:textId="14513462" w:rsidR="00916798" w:rsidRDefault="0088157F" w:rsidP="00916798">
      <w:pPr>
        <w:spacing w:line="360" w:lineRule="auto"/>
        <w:jc w:val="both"/>
        <w:rPr>
          <w:rFonts w:ascii="Arial" w:hAnsi="Arial" w:cs="Arial"/>
        </w:rPr>
      </w:pPr>
      <w:r>
        <w:rPr>
          <w:rFonts w:ascii="Arial" w:hAnsi="Arial" w:cs="Arial"/>
          <w:noProof/>
          <w:lang w:val="es-MX" w:eastAsia="es-MX"/>
        </w:rPr>
        <w:drawing>
          <wp:inline distT="0" distB="0" distL="0" distR="0" wp14:anchorId="0A536055" wp14:editId="27502B93">
            <wp:extent cx="4467225" cy="2811132"/>
            <wp:effectExtent l="0" t="0" r="0" b="889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75789" cy="2816521"/>
                    </a:xfrm>
                    <a:prstGeom prst="rect">
                      <a:avLst/>
                    </a:prstGeom>
                    <a:noFill/>
                  </pic:spPr>
                </pic:pic>
              </a:graphicData>
            </a:graphic>
          </wp:inline>
        </w:drawing>
      </w:r>
    </w:p>
    <w:p w14:paraId="1950187E" w14:textId="77777777" w:rsidR="00916798" w:rsidRDefault="00916798" w:rsidP="00916798">
      <w:pPr>
        <w:spacing w:line="360" w:lineRule="auto"/>
        <w:jc w:val="both"/>
        <w:rPr>
          <w:rFonts w:ascii="Arial" w:hAnsi="Arial" w:cs="Arial"/>
          <w:sz w:val="12"/>
        </w:rPr>
      </w:pPr>
      <w:r>
        <w:rPr>
          <w:rFonts w:ascii="Arial" w:hAnsi="Arial" w:cs="Arial"/>
          <w:b/>
          <w:sz w:val="14"/>
        </w:rPr>
        <w:t xml:space="preserve">Fuente: </w:t>
      </w:r>
      <w:r w:rsidRPr="006E0DD3">
        <w:rPr>
          <w:rFonts w:ascii="Arial" w:hAnsi="Arial" w:cs="Arial"/>
          <w:sz w:val="12"/>
        </w:rPr>
        <w:t>www.DOF.gob.mx</w:t>
      </w:r>
      <w:r w:rsidRPr="00907A5A">
        <w:rPr>
          <w:rFonts w:ascii="Arial" w:hAnsi="Arial" w:cs="Arial"/>
          <w:sz w:val="12"/>
        </w:rPr>
        <w:t xml:space="preserve"> Ley de Ingresos de la Federac</w:t>
      </w:r>
      <w:r>
        <w:rPr>
          <w:rFonts w:ascii="Arial" w:hAnsi="Arial" w:cs="Arial"/>
          <w:sz w:val="12"/>
        </w:rPr>
        <w:t>ión Ejercicios Fiscales 2012-2021*, Criterios Generales de Política Económica 2020.</w:t>
      </w:r>
      <w:r w:rsidRPr="00907A5A">
        <w:rPr>
          <w:rFonts w:ascii="Arial" w:hAnsi="Arial" w:cs="Arial"/>
          <w:sz w:val="12"/>
        </w:rPr>
        <w:t xml:space="preserve"> </w:t>
      </w:r>
    </w:p>
    <w:p w14:paraId="30C8526C" w14:textId="77777777" w:rsidR="00916798" w:rsidRPr="00907A5A" w:rsidRDefault="00916798" w:rsidP="00916798">
      <w:pPr>
        <w:spacing w:line="360" w:lineRule="auto"/>
        <w:jc w:val="both"/>
        <w:rPr>
          <w:rFonts w:ascii="Arial" w:hAnsi="Arial" w:cs="Arial"/>
          <w:sz w:val="12"/>
        </w:rPr>
      </w:pPr>
    </w:p>
    <w:p w14:paraId="3B5761F6" w14:textId="77777777" w:rsidR="0075653B" w:rsidRPr="0075653B" w:rsidRDefault="0075653B" w:rsidP="0075653B">
      <w:pPr>
        <w:spacing w:line="360" w:lineRule="auto"/>
        <w:jc w:val="both"/>
        <w:rPr>
          <w:sz w:val="20"/>
          <w:szCs w:val="20"/>
        </w:rPr>
      </w:pPr>
      <w:r w:rsidRPr="0075653B">
        <w:rPr>
          <w:sz w:val="20"/>
          <w:szCs w:val="20"/>
        </w:rPr>
        <w:t xml:space="preserve">Durante el periodo 2018-2022, respecto al desenvolvimiento histórico del Estado en los últimos años, este ha presentado altibajos; entre los años 2010 y 2020 se presentaron cuatro años en los que la tasa de crecimiento anual del PIB en términos reales fue negativa (en 2011 fue de -3.13%, en 2013 de -2.51%, en 2017 de -1.32% y -12.13% en 2020). Aunque en los dos años previos a la pandemia la economía creció más que el agregado nacional, el efecto de la COVID-19 fue demoledor para nuestro desempeño económico, al presentarse el máximo decrecimiento en el periodo considerado. </w:t>
      </w:r>
    </w:p>
    <w:p w14:paraId="1810602A" w14:textId="77777777" w:rsidR="003E7CAB" w:rsidRDefault="003E7CAB" w:rsidP="0075653B">
      <w:pPr>
        <w:spacing w:line="360" w:lineRule="auto"/>
        <w:jc w:val="both"/>
        <w:rPr>
          <w:sz w:val="20"/>
          <w:szCs w:val="20"/>
        </w:rPr>
      </w:pPr>
    </w:p>
    <w:p w14:paraId="2256006C" w14:textId="77777777" w:rsidR="0075653B" w:rsidRPr="0075653B" w:rsidRDefault="0075653B" w:rsidP="0075653B">
      <w:pPr>
        <w:spacing w:line="360" w:lineRule="auto"/>
        <w:jc w:val="both"/>
        <w:rPr>
          <w:sz w:val="20"/>
          <w:szCs w:val="20"/>
        </w:rPr>
      </w:pPr>
      <w:r w:rsidRPr="0075653B">
        <w:rPr>
          <w:sz w:val="20"/>
          <w:szCs w:val="20"/>
        </w:rPr>
        <w:t xml:space="preserve">En general, en el ámbito de las decisiones estratégicas de política económica y social, Tlaxcala no ha conformado un patrón propio de crecimiento interno estatal, que permita contribuir al incremento sostenido de la riqueza material y transformarlo en mejores condiciones de bienestar. Esta tendencia se expresa en la tasa de crecimiento medio anual, observada en el periodo 2010 al 2020, la que fue para </w:t>
      </w:r>
      <w:r w:rsidRPr="0075653B">
        <w:rPr>
          <w:sz w:val="20"/>
          <w:szCs w:val="20"/>
        </w:rPr>
        <w:lastRenderedPageBreak/>
        <w:t xml:space="preserve">el país del 1.26% y para Tlaxcala del 0.24%. De conformidad a las cifras presentadas por el INEGI en 2020, Tlaxcala ocupó la posición número 32 en el contexto nacional por el tamaño de su PIB, que en el último registro anual con cifras preliminares, reportó 91 mil 005 millones de pesos a precios constantes del 2013, aportando a la producción nacional el 0.56%. </w:t>
      </w:r>
    </w:p>
    <w:p w14:paraId="585AF1D8" w14:textId="77777777" w:rsidR="0075653B" w:rsidRPr="0075653B" w:rsidRDefault="0075653B" w:rsidP="0075653B">
      <w:pPr>
        <w:spacing w:line="360" w:lineRule="auto"/>
        <w:jc w:val="both"/>
        <w:rPr>
          <w:sz w:val="20"/>
          <w:szCs w:val="20"/>
        </w:rPr>
      </w:pPr>
    </w:p>
    <w:p w14:paraId="33FCD7AB" w14:textId="77777777" w:rsidR="0075653B" w:rsidRPr="0075653B" w:rsidRDefault="0075653B" w:rsidP="0075653B">
      <w:pPr>
        <w:spacing w:line="360" w:lineRule="auto"/>
        <w:jc w:val="both"/>
        <w:rPr>
          <w:sz w:val="20"/>
          <w:szCs w:val="20"/>
        </w:rPr>
      </w:pPr>
      <w:r w:rsidRPr="0075653B">
        <w:rPr>
          <w:sz w:val="20"/>
          <w:szCs w:val="20"/>
        </w:rPr>
        <w:t>Durante el 2020 el PIB total nacional registró una reducción anual del 7.93% en términos reales, con relación al 2019; solo en Tabasco se registró una variación positiva del PIB del 3.48% en términos reales, mientras que Tlaxcala tuvo una caída del 12.13% en términos reales, siendo una de las tres entidades federativas con mayor decrecimiento, junto con Baja California Sur y Quintana Roo, donde se redujo el PIB en 23.51% y 24.11%, respectivamente.</w:t>
      </w:r>
    </w:p>
    <w:p w14:paraId="05EA79B1" w14:textId="77777777" w:rsidR="0075653B" w:rsidRPr="0075653B" w:rsidRDefault="0075653B" w:rsidP="0075653B">
      <w:pPr>
        <w:spacing w:line="360" w:lineRule="auto"/>
        <w:jc w:val="both"/>
        <w:rPr>
          <w:sz w:val="20"/>
          <w:szCs w:val="20"/>
        </w:rPr>
      </w:pPr>
    </w:p>
    <w:p w14:paraId="55C25BD7" w14:textId="0F4B221E" w:rsidR="00916798" w:rsidRDefault="0075653B" w:rsidP="0075653B">
      <w:pPr>
        <w:spacing w:line="360" w:lineRule="auto"/>
        <w:jc w:val="both"/>
        <w:rPr>
          <w:sz w:val="20"/>
          <w:szCs w:val="20"/>
        </w:rPr>
      </w:pPr>
      <w:r w:rsidRPr="0075653B">
        <w:rPr>
          <w:sz w:val="20"/>
          <w:szCs w:val="20"/>
        </w:rPr>
        <w:t>La variación anual del PIB experimentada entre el 2019 y el 2020, se explica por una reducción del orden del 10.7% en la producción de las actividades primarias, una caída del 21.2% en las actividades secundarias, y una disminución del 6.3% en las terciarias</w:t>
      </w:r>
      <w:r w:rsidR="00CE4A6A" w:rsidRPr="00CE4A6A">
        <w:rPr>
          <w:sz w:val="20"/>
          <w:szCs w:val="20"/>
        </w:rPr>
        <w:t>.</w:t>
      </w:r>
    </w:p>
    <w:p w14:paraId="35E96FCC" w14:textId="3114E943" w:rsidR="00CE4A6A" w:rsidRPr="00CE4A6A" w:rsidRDefault="00CE4A6A" w:rsidP="00CE4A6A">
      <w:pPr>
        <w:spacing w:line="360" w:lineRule="auto"/>
        <w:jc w:val="center"/>
        <w:rPr>
          <w:b/>
          <w:sz w:val="18"/>
          <w:szCs w:val="18"/>
        </w:rPr>
      </w:pPr>
      <w:r w:rsidRPr="00CE4A6A">
        <w:rPr>
          <w:b/>
          <w:sz w:val="18"/>
          <w:szCs w:val="18"/>
        </w:rPr>
        <w:t>Variación porcentual anual del PIB nacional y de Tlaxcala, en valores constantes año base=2013, Serie de 2010 a 2020 preliminar.</w:t>
      </w:r>
    </w:p>
    <w:p w14:paraId="1C4A2C69" w14:textId="7102B57E" w:rsidR="00916798" w:rsidRDefault="00CE4A6A" w:rsidP="00916798">
      <w:pPr>
        <w:spacing w:line="360" w:lineRule="auto"/>
        <w:jc w:val="center"/>
        <w:rPr>
          <w:rFonts w:ascii="Arial" w:hAnsi="Arial" w:cs="Arial"/>
          <w:b/>
          <w:sz w:val="14"/>
        </w:rPr>
      </w:pPr>
      <w:r w:rsidRPr="00017BE6">
        <w:rPr>
          <w:noProof/>
          <w:lang w:val="es-MX" w:eastAsia="es-MX"/>
        </w:rPr>
        <w:drawing>
          <wp:inline distT="0" distB="0" distL="0" distR="0" wp14:anchorId="0FF98ED3" wp14:editId="0A7D8185">
            <wp:extent cx="4219575" cy="1985379"/>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BEBA8EAE-BF5A-486C-A8C5-ECC9F3942E4B}">
                          <a14:imgProps xmlns:a14="http://schemas.microsoft.com/office/drawing/2010/main">
                            <a14:imgLayer r:embed="rId49">
                              <a14:imgEffect>
                                <a14:saturation sat="200000"/>
                              </a14:imgEffect>
                            </a14:imgLayer>
                          </a14:imgProps>
                        </a:ext>
                      </a:extLst>
                    </a:blip>
                    <a:srcRect t="9011"/>
                    <a:stretch/>
                  </pic:blipFill>
                  <pic:spPr bwMode="auto">
                    <a:xfrm>
                      <a:off x="0" y="0"/>
                      <a:ext cx="4239380" cy="1994698"/>
                    </a:xfrm>
                    <a:prstGeom prst="rect">
                      <a:avLst/>
                    </a:prstGeom>
                    <a:ln>
                      <a:noFill/>
                    </a:ln>
                    <a:extLst>
                      <a:ext uri="{53640926-AAD7-44D8-BBD7-CCE9431645EC}">
                        <a14:shadowObscured xmlns:a14="http://schemas.microsoft.com/office/drawing/2010/main"/>
                      </a:ext>
                    </a:extLst>
                  </pic:spPr>
                </pic:pic>
              </a:graphicData>
            </a:graphic>
          </wp:inline>
        </w:drawing>
      </w:r>
    </w:p>
    <w:p w14:paraId="649681CC" w14:textId="406D19C7" w:rsidR="00916798" w:rsidRPr="00CE4A6A" w:rsidRDefault="00916798" w:rsidP="00916798">
      <w:pPr>
        <w:spacing w:line="360" w:lineRule="auto"/>
        <w:rPr>
          <w:b/>
          <w:sz w:val="12"/>
          <w:szCs w:val="12"/>
        </w:rPr>
      </w:pPr>
      <w:r w:rsidRPr="00CE4A6A">
        <w:rPr>
          <w:b/>
          <w:sz w:val="12"/>
          <w:szCs w:val="12"/>
        </w:rPr>
        <w:t xml:space="preserve">Fuente: </w:t>
      </w:r>
      <w:r w:rsidR="00CE4A6A" w:rsidRPr="00CE4A6A">
        <w:rPr>
          <w:b/>
          <w:sz w:val="12"/>
          <w:szCs w:val="12"/>
        </w:rPr>
        <w:t>PED 2021-2027</w:t>
      </w:r>
    </w:p>
    <w:p w14:paraId="7CFE5E26" w14:textId="77777777" w:rsidR="00916798" w:rsidRPr="00CE4A6A" w:rsidRDefault="00916798" w:rsidP="00916798">
      <w:pPr>
        <w:spacing w:line="360" w:lineRule="auto"/>
        <w:rPr>
          <w:b/>
          <w:sz w:val="10"/>
          <w:szCs w:val="10"/>
        </w:rPr>
      </w:pPr>
    </w:p>
    <w:p w14:paraId="497B49CD" w14:textId="1B308F4B" w:rsidR="00916798" w:rsidRDefault="0075653B" w:rsidP="00916798">
      <w:pPr>
        <w:spacing w:line="360" w:lineRule="auto"/>
        <w:jc w:val="both"/>
        <w:rPr>
          <w:sz w:val="20"/>
          <w:szCs w:val="20"/>
        </w:rPr>
      </w:pPr>
      <w:r w:rsidRPr="0075653B">
        <w:rPr>
          <w:sz w:val="20"/>
          <w:szCs w:val="20"/>
        </w:rPr>
        <w:t>Durante el primer trimestre de 2022, la actividad económica de Tlaxcala mostró un crecimiento anual de 2.7 %, que resultó de la evolución de las Actividades Secundarias y Terciarias de 5.2 y 1.5 %, respectivamente, y del re</w:t>
      </w:r>
      <w:r w:rsidR="003E7CAB">
        <w:rPr>
          <w:sz w:val="20"/>
          <w:szCs w:val="20"/>
        </w:rPr>
        <w:t>troceso de las Primarias de 0.4%</w:t>
      </w:r>
      <w:r w:rsidR="00CE4A6A" w:rsidRPr="00CE4A6A">
        <w:rPr>
          <w:sz w:val="20"/>
          <w:szCs w:val="20"/>
        </w:rPr>
        <w:t>.</w:t>
      </w:r>
    </w:p>
    <w:p w14:paraId="347FE707" w14:textId="29CECED6" w:rsidR="00CE4A6A" w:rsidRDefault="00CE4A6A" w:rsidP="00CE4A6A">
      <w:pPr>
        <w:spacing w:line="360" w:lineRule="auto"/>
        <w:jc w:val="center"/>
        <w:rPr>
          <w:rFonts w:ascii="Arial" w:hAnsi="Arial" w:cs="Arial"/>
        </w:rPr>
      </w:pPr>
      <w:r>
        <w:rPr>
          <w:noProof/>
          <w:lang w:val="es-MX" w:eastAsia="es-MX"/>
        </w:rPr>
        <w:lastRenderedPageBreak/>
        <w:drawing>
          <wp:inline distT="0" distB="0" distL="0" distR="0" wp14:anchorId="7DE1B2AB" wp14:editId="1D62901B">
            <wp:extent cx="3467100" cy="1884308"/>
            <wp:effectExtent l="0" t="0" r="0" b="190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4096" t="1987" r="6214" b="2310"/>
                    <a:stretch/>
                  </pic:blipFill>
                  <pic:spPr bwMode="auto">
                    <a:xfrm>
                      <a:off x="0" y="0"/>
                      <a:ext cx="3603237" cy="1958296"/>
                    </a:xfrm>
                    <a:prstGeom prst="rect">
                      <a:avLst/>
                    </a:prstGeom>
                    <a:ln>
                      <a:noFill/>
                    </a:ln>
                    <a:extLst>
                      <a:ext uri="{53640926-AAD7-44D8-BBD7-CCE9431645EC}">
                        <a14:shadowObscured xmlns:a14="http://schemas.microsoft.com/office/drawing/2010/main"/>
                      </a:ext>
                    </a:extLst>
                  </pic:spPr>
                </pic:pic>
              </a:graphicData>
            </a:graphic>
          </wp:inline>
        </w:drawing>
      </w:r>
    </w:p>
    <w:p w14:paraId="27EA676E" w14:textId="45E290E8" w:rsidR="0075653B" w:rsidRPr="0075653B" w:rsidRDefault="0075653B" w:rsidP="0075653B">
      <w:pPr>
        <w:spacing w:line="360" w:lineRule="auto"/>
        <w:jc w:val="both"/>
        <w:rPr>
          <w:sz w:val="20"/>
          <w:szCs w:val="20"/>
        </w:rPr>
      </w:pPr>
      <w:r w:rsidRPr="0075653B">
        <w:rPr>
          <w:sz w:val="20"/>
          <w:szCs w:val="20"/>
        </w:rPr>
        <w:t>En el periodo observado, los ingresos provenientes de la Federación registraron un incremento promedio moderado, debido principalmente a los resultados positivos de la economía nacional; sin embargo, la c</w:t>
      </w:r>
      <w:r w:rsidR="00CF7D85">
        <w:rPr>
          <w:sz w:val="20"/>
          <w:szCs w:val="20"/>
        </w:rPr>
        <w:t xml:space="preserve">risis sanitaria ocasionada por </w:t>
      </w:r>
      <w:r w:rsidRPr="0075653B">
        <w:rPr>
          <w:sz w:val="20"/>
          <w:szCs w:val="20"/>
        </w:rPr>
        <w:t>l</w:t>
      </w:r>
      <w:r w:rsidR="00CF7D85">
        <w:rPr>
          <w:sz w:val="20"/>
          <w:szCs w:val="20"/>
        </w:rPr>
        <w:t>a</w:t>
      </w:r>
      <w:r w:rsidRPr="0075653B">
        <w:rPr>
          <w:sz w:val="20"/>
          <w:szCs w:val="20"/>
        </w:rPr>
        <w:t xml:space="preserve"> COVID-19, implicó altos costos en materia de salud y bienestar para la población, aunado a un precio fluctuante en los precios internacionales del petróleo en años recientes y los conflictos bélicos internacionales y a una creciente inflación a nivel mundial, son factores que han aumentado la volatilidad de capitales.</w:t>
      </w:r>
    </w:p>
    <w:p w14:paraId="668EBCD4" w14:textId="77777777" w:rsidR="0075653B" w:rsidRPr="0075653B" w:rsidRDefault="0075653B" w:rsidP="0075653B">
      <w:pPr>
        <w:spacing w:line="360" w:lineRule="auto"/>
        <w:jc w:val="both"/>
        <w:rPr>
          <w:sz w:val="20"/>
          <w:szCs w:val="20"/>
        </w:rPr>
      </w:pPr>
    </w:p>
    <w:p w14:paraId="0CEEF101" w14:textId="77777777" w:rsidR="0075653B" w:rsidRPr="0075653B" w:rsidRDefault="0075653B" w:rsidP="0075653B">
      <w:pPr>
        <w:spacing w:line="360" w:lineRule="auto"/>
        <w:jc w:val="both"/>
        <w:rPr>
          <w:sz w:val="20"/>
          <w:szCs w:val="20"/>
        </w:rPr>
      </w:pPr>
      <w:r w:rsidRPr="0075653B">
        <w:rPr>
          <w:sz w:val="20"/>
          <w:szCs w:val="20"/>
        </w:rPr>
        <w:t>En concordancia con las políticas aplicadas por el Gobierno Federal, el Ejecutivo del Estado ha implementado una política fiscal para la contención del gasto, limitando el crecimiento del presupuesto, el establecimiento de topes a ciertos rubros del gasto, el congelamiento de plazas vacantes no prioritarias y la aplicación del Acuerdo que establece los Lineamientos y Políticas Generales del Ejercicio del Presupuesto, las Medidas de Mejora y Modernización, así como de Austeridad del Gasto Público de la Gestión Administrativa por parte de las Dependencias y Entidades del Ejecutivo, a fin de optimizar el uso de recursos materiales y financieros en el sector público.</w:t>
      </w:r>
    </w:p>
    <w:p w14:paraId="45A05AA0" w14:textId="77777777" w:rsidR="0075653B" w:rsidRPr="0075653B" w:rsidRDefault="0075653B" w:rsidP="0075653B">
      <w:pPr>
        <w:spacing w:line="360" w:lineRule="auto"/>
        <w:jc w:val="both"/>
        <w:rPr>
          <w:sz w:val="20"/>
          <w:szCs w:val="20"/>
        </w:rPr>
      </w:pPr>
    </w:p>
    <w:p w14:paraId="33C18CDC" w14:textId="77777777" w:rsidR="0075653B" w:rsidRPr="0075653B" w:rsidRDefault="0075653B" w:rsidP="0075653B">
      <w:pPr>
        <w:spacing w:line="360" w:lineRule="auto"/>
        <w:jc w:val="both"/>
        <w:rPr>
          <w:sz w:val="20"/>
          <w:szCs w:val="20"/>
        </w:rPr>
      </w:pPr>
      <w:r w:rsidRPr="0075653B">
        <w:rPr>
          <w:sz w:val="20"/>
          <w:szCs w:val="20"/>
        </w:rPr>
        <w:t>El fortalecimiento de la hacienda pública estatal a través de la modernización de la administración pública y de los medios disponibles para el pago de contribuciones vía internet a la ciudadanía para el cumplimiento de sus obligaciones fiscales, tiene un papel fundamental, por lo que se han implementado mejoras administrativas, para la consolidación de sistemas recaudatorios y de fiscalización más eficientes.</w:t>
      </w:r>
    </w:p>
    <w:p w14:paraId="23459A82" w14:textId="77777777" w:rsidR="0075653B" w:rsidRPr="0075653B" w:rsidRDefault="0075653B" w:rsidP="0075653B">
      <w:pPr>
        <w:spacing w:line="360" w:lineRule="auto"/>
        <w:jc w:val="both"/>
        <w:rPr>
          <w:sz w:val="20"/>
          <w:szCs w:val="20"/>
        </w:rPr>
      </w:pPr>
    </w:p>
    <w:p w14:paraId="19CB099A" w14:textId="404524C0" w:rsidR="00916798" w:rsidRDefault="0075653B" w:rsidP="0075653B">
      <w:pPr>
        <w:spacing w:line="360" w:lineRule="auto"/>
        <w:jc w:val="both"/>
        <w:rPr>
          <w:sz w:val="20"/>
          <w:szCs w:val="20"/>
        </w:rPr>
      </w:pPr>
      <w:r w:rsidRPr="0075653B">
        <w:rPr>
          <w:sz w:val="20"/>
          <w:szCs w:val="20"/>
        </w:rPr>
        <w:t>A continuación, se presentan los resultados obtenidos en la recaudación de contribuciones locales, así como de recursos federales etiquetados y de libre disposición en los últimos cinco años y el pronóstico de cierre 2022</w:t>
      </w:r>
      <w:r w:rsidR="00CE4A6A">
        <w:rPr>
          <w:sz w:val="20"/>
          <w:szCs w:val="20"/>
        </w:rPr>
        <w:t>.</w:t>
      </w:r>
    </w:p>
    <w:p w14:paraId="29083964" w14:textId="3B8E84E0" w:rsidR="00CE4A6A" w:rsidRDefault="00CE4A6A" w:rsidP="00CE4A6A">
      <w:pPr>
        <w:spacing w:line="360" w:lineRule="auto"/>
        <w:jc w:val="center"/>
        <w:rPr>
          <w:rFonts w:ascii="Arial" w:hAnsi="Arial" w:cs="Arial"/>
        </w:rPr>
      </w:pPr>
      <w:r w:rsidRPr="008913B3">
        <w:rPr>
          <w:noProof/>
          <w:lang w:val="es-MX" w:eastAsia="es-MX"/>
        </w:rPr>
        <w:lastRenderedPageBreak/>
        <w:drawing>
          <wp:inline distT="0" distB="0" distL="0" distR="0" wp14:anchorId="658C4D28" wp14:editId="47182733">
            <wp:extent cx="4886301" cy="431482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88710" cy="4316953"/>
                    </a:xfrm>
                    <a:prstGeom prst="rect">
                      <a:avLst/>
                    </a:prstGeom>
                    <a:noFill/>
                    <a:ln>
                      <a:noFill/>
                    </a:ln>
                  </pic:spPr>
                </pic:pic>
              </a:graphicData>
            </a:graphic>
          </wp:inline>
        </w:drawing>
      </w:r>
    </w:p>
    <w:p w14:paraId="1D3C2167" w14:textId="77777777" w:rsidR="00916798" w:rsidRDefault="00916798" w:rsidP="00916798">
      <w:pPr>
        <w:spacing w:line="360" w:lineRule="auto"/>
        <w:jc w:val="both"/>
        <w:rPr>
          <w:b/>
          <w:bCs/>
          <w:sz w:val="20"/>
          <w:szCs w:val="20"/>
        </w:rPr>
      </w:pPr>
    </w:p>
    <w:p w14:paraId="26DA38B2" w14:textId="77777777" w:rsidR="00916798" w:rsidRDefault="00916798" w:rsidP="00916798">
      <w:pPr>
        <w:spacing w:line="360" w:lineRule="auto"/>
        <w:jc w:val="both"/>
        <w:rPr>
          <w:b/>
          <w:bCs/>
          <w:sz w:val="20"/>
          <w:szCs w:val="20"/>
        </w:rPr>
      </w:pPr>
      <w:r w:rsidRPr="00BF377A">
        <w:rPr>
          <w:b/>
          <w:bCs/>
          <w:sz w:val="20"/>
          <w:szCs w:val="20"/>
        </w:rPr>
        <w:t>SISTEMA ESTATAL DE PENSIONES</w:t>
      </w:r>
    </w:p>
    <w:p w14:paraId="1CBDDB0F" w14:textId="77777777" w:rsidR="00916798" w:rsidRPr="00BF377A" w:rsidRDefault="00916798" w:rsidP="00916798">
      <w:pPr>
        <w:spacing w:line="360" w:lineRule="auto"/>
        <w:jc w:val="both"/>
        <w:rPr>
          <w:b/>
          <w:bCs/>
          <w:sz w:val="20"/>
          <w:szCs w:val="20"/>
        </w:rPr>
      </w:pPr>
    </w:p>
    <w:p w14:paraId="3A89927C" w14:textId="0266744D" w:rsidR="00916798" w:rsidRPr="00BF377A" w:rsidRDefault="00916798" w:rsidP="00916798">
      <w:pPr>
        <w:spacing w:line="360" w:lineRule="auto"/>
        <w:jc w:val="both"/>
        <w:rPr>
          <w:sz w:val="20"/>
          <w:szCs w:val="20"/>
        </w:rPr>
      </w:pPr>
      <w:r>
        <w:rPr>
          <w:sz w:val="20"/>
          <w:szCs w:val="20"/>
        </w:rPr>
        <w:t>D</w:t>
      </w:r>
      <w:r w:rsidRPr="00BF377A">
        <w:rPr>
          <w:sz w:val="20"/>
          <w:szCs w:val="20"/>
        </w:rPr>
        <w:t xml:space="preserve">e acuerdo </w:t>
      </w:r>
      <w:r w:rsidR="00DD7091">
        <w:rPr>
          <w:sz w:val="20"/>
          <w:szCs w:val="20"/>
        </w:rPr>
        <w:t>con el</w:t>
      </w:r>
      <w:r w:rsidRPr="00BF377A">
        <w:rPr>
          <w:sz w:val="20"/>
          <w:szCs w:val="20"/>
        </w:rPr>
        <w:t xml:space="preserve"> último estudio actuarial de las pensiones del Estado de Tlaxcala</w:t>
      </w:r>
      <w:r w:rsidRPr="00BF377A">
        <w:rPr>
          <w:b/>
          <w:sz w:val="20"/>
          <w:szCs w:val="20"/>
          <w:vertAlign w:val="superscript"/>
        </w:rPr>
        <w:footnoteReference w:id="1"/>
      </w:r>
      <w:r w:rsidRPr="00BF377A">
        <w:rPr>
          <w:sz w:val="20"/>
          <w:szCs w:val="20"/>
        </w:rPr>
        <w:t>, correspondiente al ejercicio fiscal 202</w:t>
      </w:r>
      <w:r w:rsidR="0075653B">
        <w:rPr>
          <w:sz w:val="20"/>
          <w:szCs w:val="20"/>
        </w:rPr>
        <w:t>1</w:t>
      </w:r>
      <w:r w:rsidRPr="00BF377A">
        <w:rPr>
          <w:sz w:val="20"/>
          <w:szCs w:val="20"/>
        </w:rPr>
        <w:t xml:space="preserve"> y con una vigencia al ejercicio 2023 se tiene una reserva actuarial de 382.55 Mdp, con una población afiliada activa de 8,567 trabajadores y 2,237 pensionados, como a continuación se presenta:</w:t>
      </w:r>
    </w:p>
    <w:p w14:paraId="4AC57630" w14:textId="77777777" w:rsidR="00916798" w:rsidRDefault="00916798" w:rsidP="00916798">
      <w:pPr>
        <w:spacing w:line="360" w:lineRule="auto"/>
        <w:jc w:val="center"/>
        <w:rPr>
          <w:rFonts w:ascii="Arial" w:hAnsi="Arial" w:cs="Arial"/>
          <w:b/>
        </w:rPr>
      </w:pPr>
    </w:p>
    <w:p w14:paraId="1453F2CC" w14:textId="77777777" w:rsidR="00916798" w:rsidRPr="00BF377A" w:rsidRDefault="00916798" w:rsidP="00916798">
      <w:pPr>
        <w:spacing w:line="360" w:lineRule="auto"/>
        <w:jc w:val="center"/>
        <w:rPr>
          <w:b/>
          <w:sz w:val="20"/>
          <w:szCs w:val="20"/>
        </w:rPr>
      </w:pPr>
      <w:r w:rsidRPr="00BF377A">
        <w:rPr>
          <w:b/>
          <w:sz w:val="20"/>
          <w:szCs w:val="20"/>
        </w:rPr>
        <w:t>Estudio Actuarial de Pensiones</w:t>
      </w:r>
    </w:p>
    <w:p w14:paraId="73962A0A" w14:textId="77777777" w:rsidR="00916798" w:rsidRDefault="00916798" w:rsidP="00916798">
      <w:pPr>
        <w:spacing w:line="360" w:lineRule="auto"/>
        <w:jc w:val="center"/>
        <w:rPr>
          <w:rFonts w:ascii="Arial" w:hAnsi="Arial" w:cs="Arial"/>
          <w:b/>
        </w:rPr>
      </w:pPr>
    </w:p>
    <w:p w14:paraId="62D7A8BB" w14:textId="77777777" w:rsidR="00916798" w:rsidRDefault="00916798" w:rsidP="00916798">
      <w:pPr>
        <w:spacing w:line="360" w:lineRule="auto"/>
        <w:jc w:val="center"/>
        <w:rPr>
          <w:rFonts w:ascii="Arial" w:hAnsi="Arial" w:cs="Arial"/>
          <w:b/>
        </w:rPr>
      </w:pPr>
      <w:r>
        <w:rPr>
          <w:noProof/>
          <w:lang w:val="es-MX" w:eastAsia="es-MX"/>
        </w:rPr>
        <w:lastRenderedPageBreak/>
        <w:drawing>
          <wp:inline distT="0" distB="0" distL="0" distR="0" wp14:anchorId="62D657A4" wp14:editId="53ED112F">
            <wp:extent cx="5137511" cy="3328416"/>
            <wp:effectExtent l="0" t="0" r="6350" b="571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4155" t="27369" r="30933" b="20899"/>
                    <a:stretch/>
                  </pic:blipFill>
                  <pic:spPr bwMode="auto">
                    <a:xfrm>
                      <a:off x="0" y="0"/>
                      <a:ext cx="5180574" cy="3356315"/>
                    </a:xfrm>
                    <a:prstGeom prst="rect">
                      <a:avLst/>
                    </a:prstGeom>
                    <a:ln>
                      <a:noFill/>
                    </a:ln>
                    <a:extLst>
                      <a:ext uri="{53640926-AAD7-44D8-BBD7-CCE9431645EC}">
                        <a14:shadowObscured xmlns:a14="http://schemas.microsoft.com/office/drawing/2010/main"/>
                      </a:ext>
                    </a:extLst>
                  </pic:spPr>
                </pic:pic>
              </a:graphicData>
            </a:graphic>
          </wp:inline>
        </w:drawing>
      </w:r>
    </w:p>
    <w:p w14:paraId="06710BBE" w14:textId="77777777" w:rsidR="00916798" w:rsidRDefault="00916798" w:rsidP="00916798">
      <w:pPr>
        <w:spacing w:line="360" w:lineRule="auto"/>
        <w:jc w:val="both"/>
        <w:rPr>
          <w:rFonts w:ascii="Arial" w:hAnsi="Arial" w:cs="Arial"/>
        </w:rPr>
      </w:pPr>
    </w:p>
    <w:p w14:paraId="39DC2A87" w14:textId="77777777" w:rsidR="00916798" w:rsidRDefault="00916798" w:rsidP="00916798">
      <w:pPr>
        <w:spacing w:line="360" w:lineRule="auto"/>
        <w:jc w:val="both"/>
        <w:rPr>
          <w:rFonts w:ascii="Arial" w:hAnsi="Arial" w:cs="Arial"/>
        </w:rPr>
      </w:pPr>
    </w:p>
    <w:p w14:paraId="4E5840DA" w14:textId="77777777" w:rsidR="00916798" w:rsidRDefault="00916798" w:rsidP="00916798">
      <w:pPr>
        <w:spacing w:line="360" w:lineRule="auto"/>
        <w:jc w:val="both"/>
        <w:rPr>
          <w:rFonts w:ascii="Arial" w:hAnsi="Arial" w:cs="Arial"/>
        </w:rPr>
      </w:pPr>
      <w:r>
        <w:rPr>
          <w:noProof/>
          <w:lang w:val="es-MX" w:eastAsia="es-MX"/>
        </w:rPr>
        <w:drawing>
          <wp:inline distT="0" distB="0" distL="0" distR="0" wp14:anchorId="48B91369" wp14:editId="7F2A8D17">
            <wp:extent cx="5270069" cy="2743200"/>
            <wp:effectExtent l="0" t="0" r="6985"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7540" t="24862" r="25573" b="29420"/>
                    <a:stretch/>
                  </pic:blipFill>
                  <pic:spPr bwMode="auto">
                    <a:xfrm>
                      <a:off x="0" y="0"/>
                      <a:ext cx="5383376" cy="2802179"/>
                    </a:xfrm>
                    <a:prstGeom prst="rect">
                      <a:avLst/>
                    </a:prstGeom>
                    <a:ln>
                      <a:noFill/>
                    </a:ln>
                    <a:extLst>
                      <a:ext uri="{53640926-AAD7-44D8-BBD7-CCE9431645EC}">
                        <a14:shadowObscured xmlns:a14="http://schemas.microsoft.com/office/drawing/2010/main"/>
                      </a:ext>
                    </a:extLst>
                  </pic:spPr>
                </pic:pic>
              </a:graphicData>
            </a:graphic>
          </wp:inline>
        </w:drawing>
      </w:r>
    </w:p>
    <w:p w14:paraId="2ABCD3CC" w14:textId="77777777" w:rsidR="00916798" w:rsidRDefault="00916798" w:rsidP="00916798">
      <w:pPr>
        <w:spacing w:line="360" w:lineRule="auto"/>
        <w:jc w:val="both"/>
        <w:rPr>
          <w:rFonts w:ascii="Arial" w:hAnsi="Arial" w:cs="Arial"/>
        </w:rPr>
      </w:pPr>
      <w:r>
        <w:rPr>
          <w:noProof/>
          <w:lang w:val="es-MX" w:eastAsia="es-MX"/>
        </w:rPr>
        <w:lastRenderedPageBreak/>
        <w:drawing>
          <wp:inline distT="0" distB="0" distL="0" distR="0" wp14:anchorId="1E73A56B" wp14:editId="559DA94D">
            <wp:extent cx="4868883" cy="2137410"/>
            <wp:effectExtent l="0" t="0" r="8255"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4295" t="37664" r="30516" b="30185"/>
                    <a:stretch/>
                  </pic:blipFill>
                  <pic:spPr bwMode="auto">
                    <a:xfrm>
                      <a:off x="0" y="0"/>
                      <a:ext cx="4929537" cy="2164037"/>
                    </a:xfrm>
                    <a:prstGeom prst="rect">
                      <a:avLst/>
                    </a:prstGeom>
                    <a:ln>
                      <a:noFill/>
                    </a:ln>
                    <a:extLst>
                      <a:ext uri="{53640926-AAD7-44D8-BBD7-CCE9431645EC}">
                        <a14:shadowObscured xmlns:a14="http://schemas.microsoft.com/office/drawing/2010/main"/>
                      </a:ext>
                    </a:extLst>
                  </pic:spPr>
                </pic:pic>
              </a:graphicData>
            </a:graphic>
          </wp:inline>
        </w:drawing>
      </w:r>
    </w:p>
    <w:p w14:paraId="29160277" w14:textId="77777777" w:rsidR="00916798" w:rsidRDefault="00916798" w:rsidP="00916798">
      <w:pPr>
        <w:spacing w:line="360" w:lineRule="auto"/>
        <w:jc w:val="both"/>
        <w:rPr>
          <w:rFonts w:ascii="Arial" w:hAnsi="Arial" w:cs="Arial"/>
        </w:rPr>
      </w:pPr>
      <w:r>
        <w:rPr>
          <w:noProof/>
          <w:lang w:val="es-MX" w:eastAsia="es-MX"/>
        </w:rPr>
        <w:drawing>
          <wp:inline distT="0" distB="0" distL="0" distR="0" wp14:anchorId="1C74C7FD" wp14:editId="472906A8">
            <wp:extent cx="4746410" cy="1567543"/>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4169" t="45698" r="42471" b="34714"/>
                    <a:stretch/>
                  </pic:blipFill>
                  <pic:spPr bwMode="auto">
                    <a:xfrm>
                      <a:off x="0" y="0"/>
                      <a:ext cx="4853381" cy="1602871"/>
                    </a:xfrm>
                    <a:prstGeom prst="rect">
                      <a:avLst/>
                    </a:prstGeom>
                    <a:ln>
                      <a:noFill/>
                    </a:ln>
                    <a:extLst>
                      <a:ext uri="{53640926-AAD7-44D8-BBD7-CCE9431645EC}">
                        <a14:shadowObscured xmlns:a14="http://schemas.microsoft.com/office/drawing/2010/main"/>
                      </a:ext>
                    </a:extLst>
                  </pic:spPr>
                </pic:pic>
              </a:graphicData>
            </a:graphic>
          </wp:inline>
        </w:drawing>
      </w:r>
    </w:p>
    <w:p w14:paraId="4C696267" w14:textId="77777777" w:rsidR="00916798" w:rsidRDefault="00916798" w:rsidP="00916798">
      <w:pPr>
        <w:spacing w:line="360" w:lineRule="auto"/>
        <w:jc w:val="both"/>
        <w:rPr>
          <w:rFonts w:ascii="Arial" w:hAnsi="Arial" w:cs="Arial"/>
        </w:rPr>
      </w:pPr>
    </w:p>
    <w:p w14:paraId="0F1D85BE" w14:textId="1CB13328" w:rsidR="00916798" w:rsidRDefault="00E72221" w:rsidP="00916798">
      <w:pPr>
        <w:spacing w:line="360" w:lineRule="auto"/>
        <w:jc w:val="both"/>
        <w:rPr>
          <w:rFonts w:ascii="Arial" w:hAnsi="Arial" w:cs="Arial"/>
        </w:rPr>
      </w:pPr>
      <w:r w:rsidRPr="00E72221">
        <w:rPr>
          <w:sz w:val="20"/>
          <w:szCs w:val="20"/>
        </w:rPr>
        <w:t>Con la finalidad de coadyuvar en el saneamiento de las Pensiones Civiles del Estado de Tlaxcala, el Ejecutivo del Estado ha otorgado a la fecha aportaciones extraordinarias a Pensiones Civiles del Estado por un importe estimado de 781.3 Mdp al cierre de 2022, considerándose a su vez, dentro de la presente Iniciativa una aportación extraordinaria por hasta 35 Mdp</w:t>
      </w:r>
      <w:r>
        <w:rPr>
          <w:sz w:val="20"/>
          <w:szCs w:val="20"/>
        </w:rPr>
        <w:t>.</w:t>
      </w:r>
    </w:p>
    <w:tbl>
      <w:tblPr>
        <w:tblW w:w="3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60"/>
        <w:gridCol w:w="2080"/>
      </w:tblGrid>
      <w:tr w:rsidR="00916798" w:rsidRPr="00BF377A" w14:paraId="583CA85E" w14:textId="77777777" w:rsidTr="00412187">
        <w:trPr>
          <w:trHeight w:val="701"/>
          <w:jc w:val="center"/>
        </w:trPr>
        <w:tc>
          <w:tcPr>
            <w:tcW w:w="1560" w:type="dxa"/>
            <w:shd w:val="clear" w:color="auto" w:fill="A8D08D" w:themeFill="accent6" w:themeFillTint="99"/>
            <w:noWrap/>
            <w:vAlign w:val="center"/>
            <w:hideMark/>
          </w:tcPr>
          <w:p w14:paraId="7AA076E8" w14:textId="77777777" w:rsidR="00916798" w:rsidRPr="00BF377A" w:rsidRDefault="00916798" w:rsidP="00E979C7">
            <w:pPr>
              <w:spacing w:line="360" w:lineRule="auto"/>
              <w:jc w:val="center"/>
              <w:rPr>
                <w:b/>
                <w:bCs/>
                <w:color w:val="000000"/>
                <w:sz w:val="20"/>
                <w:szCs w:val="20"/>
                <w:lang w:eastAsia="es-MX"/>
              </w:rPr>
            </w:pPr>
            <w:r w:rsidRPr="00BF377A">
              <w:rPr>
                <w:b/>
                <w:bCs/>
                <w:color w:val="000000"/>
                <w:sz w:val="20"/>
                <w:szCs w:val="20"/>
                <w:lang w:eastAsia="es-MX"/>
              </w:rPr>
              <w:t>AÑO</w:t>
            </w:r>
          </w:p>
        </w:tc>
        <w:tc>
          <w:tcPr>
            <w:tcW w:w="2080" w:type="dxa"/>
            <w:shd w:val="clear" w:color="auto" w:fill="A8D08D" w:themeFill="accent6" w:themeFillTint="99"/>
            <w:vAlign w:val="center"/>
            <w:hideMark/>
          </w:tcPr>
          <w:p w14:paraId="78FE8B8D" w14:textId="77777777" w:rsidR="00916798" w:rsidRPr="00BF377A" w:rsidRDefault="00916798" w:rsidP="00E979C7">
            <w:pPr>
              <w:spacing w:line="360" w:lineRule="auto"/>
              <w:jc w:val="center"/>
              <w:rPr>
                <w:b/>
                <w:bCs/>
                <w:color w:val="000000"/>
                <w:sz w:val="20"/>
                <w:szCs w:val="20"/>
                <w:lang w:eastAsia="es-MX"/>
              </w:rPr>
            </w:pPr>
            <w:r w:rsidRPr="00BF377A">
              <w:rPr>
                <w:b/>
                <w:bCs/>
                <w:color w:val="000000"/>
                <w:sz w:val="20"/>
                <w:szCs w:val="20"/>
                <w:lang w:eastAsia="es-MX"/>
              </w:rPr>
              <w:t>APOYO ESTATAL EXTRAORDINARIO (MDP)</w:t>
            </w:r>
          </w:p>
        </w:tc>
      </w:tr>
      <w:tr w:rsidR="00916798" w:rsidRPr="00BF377A" w14:paraId="0E68251E" w14:textId="77777777" w:rsidTr="00412187">
        <w:trPr>
          <w:trHeight w:val="274"/>
          <w:jc w:val="center"/>
        </w:trPr>
        <w:tc>
          <w:tcPr>
            <w:tcW w:w="1560" w:type="dxa"/>
            <w:shd w:val="clear" w:color="auto" w:fill="auto"/>
            <w:noWrap/>
            <w:vAlign w:val="center"/>
            <w:hideMark/>
          </w:tcPr>
          <w:p w14:paraId="2A13F9A3" w14:textId="77777777" w:rsidR="00916798" w:rsidRPr="00BF377A" w:rsidRDefault="00916798" w:rsidP="00E979C7">
            <w:pPr>
              <w:spacing w:line="360" w:lineRule="auto"/>
              <w:rPr>
                <w:b/>
                <w:bCs/>
                <w:color w:val="000000"/>
                <w:sz w:val="20"/>
                <w:szCs w:val="20"/>
                <w:lang w:eastAsia="es-MX"/>
              </w:rPr>
            </w:pPr>
            <w:r w:rsidRPr="00BF377A">
              <w:rPr>
                <w:b/>
                <w:bCs/>
                <w:color w:val="000000"/>
                <w:sz w:val="20"/>
                <w:szCs w:val="20"/>
                <w:lang w:eastAsia="es-MX"/>
              </w:rPr>
              <w:t>Ejercicio 2011</w:t>
            </w:r>
          </w:p>
        </w:tc>
        <w:tc>
          <w:tcPr>
            <w:tcW w:w="2080" w:type="dxa"/>
            <w:shd w:val="clear" w:color="auto" w:fill="auto"/>
            <w:noWrap/>
            <w:vAlign w:val="center"/>
            <w:hideMark/>
          </w:tcPr>
          <w:p w14:paraId="5B5CB3BC" w14:textId="77777777" w:rsidR="00916798" w:rsidRPr="00BF377A" w:rsidRDefault="00916798" w:rsidP="00E979C7">
            <w:pPr>
              <w:spacing w:line="360" w:lineRule="auto"/>
              <w:jc w:val="right"/>
              <w:rPr>
                <w:color w:val="000000"/>
                <w:sz w:val="20"/>
                <w:szCs w:val="20"/>
                <w:lang w:eastAsia="es-MX"/>
              </w:rPr>
            </w:pPr>
            <w:r w:rsidRPr="00BF377A">
              <w:rPr>
                <w:color w:val="000000"/>
                <w:sz w:val="20"/>
                <w:szCs w:val="20"/>
                <w:lang w:eastAsia="es-MX"/>
              </w:rPr>
              <w:t>140.0</w:t>
            </w:r>
          </w:p>
        </w:tc>
      </w:tr>
      <w:tr w:rsidR="00916798" w:rsidRPr="00BF377A" w14:paraId="7FB6162A" w14:textId="77777777" w:rsidTr="00412187">
        <w:trPr>
          <w:trHeight w:val="153"/>
          <w:jc w:val="center"/>
        </w:trPr>
        <w:tc>
          <w:tcPr>
            <w:tcW w:w="1560" w:type="dxa"/>
            <w:shd w:val="clear" w:color="auto" w:fill="auto"/>
            <w:noWrap/>
            <w:vAlign w:val="center"/>
            <w:hideMark/>
          </w:tcPr>
          <w:p w14:paraId="4C64A001" w14:textId="77777777" w:rsidR="00916798" w:rsidRPr="00BF377A" w:rsidRDefault="00916798" w:rsidP="00E979C7">
            <w:pPr>
              <w:spacing w:line="360" w:lineRule="auto"/>
              <w:rPr>
                <w:b/>
                <w:bCs/>
                <w:color w:val="000000"/>
                <w:sz w:val="20"/>
                <w:szCs w:val="20"/>
                <w:lang w:eastAsia="es-MX"/>
              </w:rPr>
            </w:pPr>
            <w:r w:rsidRPr="00BF377A">
              <w:rPr>
                <w:b/>
                <w:bCs/>
                <w:color w:val="000000"/>
                <w:sz w:val="20"/>
                <w:szCs w:val="20"/>
                <w:lang w:eastAsia="es-MX"/>
              </w:rPr>
              <w:t>Ejercicio 2012</w:t>
            </w:r>
          </w:p>
        </w:tc>
        <w:tc>
          <w:tcPr>
            <w:tcW w:w="2080" w:type="dxa"/>
            <w:shd w:val="clear" w:color="auto" w:fill="auto"/>
            <w:noWrap/>
            <w:vAlign w:val="center"/>
            <w:hideMark/>
          </w:tcPr>
          <w:p w14:paraId="4B5B115E" w14:textId="77777777" w:rsidR="00916798" w:rsidRPr="00BF377A" w:rsidRDefault="00916798" w:rsidP="00E979C7">
            <w:pPr>
              <w:spacing w:line="360" w:lineRule="auto"/>
              <w:jc w:val="right"/>
              <w:rPr>
                <w:color w:val="000000"/>
                <w:sz w:val="20"/>
                <w:szCs w:val="20"/>
                <w:lang w:eastAsia="es-MX"/>
              </w:rPr>
            </w:pPr>
            <w:r w:rsidRPr="00BF377A">
              <w:rPr>
                <w:color w:val="000000"/>
                <w:sz w:val="20"/>
                <w:szCs w:val="20"/>
                <w:lang w:eastAsia="es-MX"/>
              </w:rPr>
              <w:t>118.2</w:t>
            </w:r>
          </w:p>
        </w:tc>
      </w:tr>
      <w:tr w:rsidR="00916798" w:rsidRPr="00BF377A" w14:paraId="2FCAD1F6" w14:textId="77777777" w:rsidTr="00412187">
        <w:trPr>
          <w:trHeight w:val="300"/>
          <w:jc w:val="center"/>
        </w:trPr>
        <w:tc>
          <w:tcPr>
            <w:tcW w:w="1560" w:type="dxa"/>
            <w:shd w:val="clear" w:color="auto" w:fill="auto"/>
            <w:noWrap/>
            <w:vAlign w:val="center"/>
            <w:hideMark/>
          </w:tcPr>
          <w:p w14:paraId="077D535B" w14:textId="77777777" w:rsidR="00916798" w:rsidRPr="00BF377A" w:rsidRDefault="00916798" w:rsidP="00E979C7">
            <w:pPr>
              <w:spacing w:line="360" w:lineRule="auto"/>
              <w:rPr>
                <w:b/>
                <w:bCs/>
                <w:color w:val="000000"/>
                <w:sz w:val="20"/>
                <w:szCs w:val="20"/>
                <w:lang w:eastAsia="es-MX"/>
              </w:rPr>
            </w:pPr>
            <w:r w:rsidRPr="00BF377A">
              <w:rPr>
                <w:b/>
                <w:bCs/>
                <w:color w:val="000000"/>
                <w:sz w:val="20"/>
                <w:szCs w:val="20"/>
                <w:lang w:eastAsia="es-MX"/>
              </w:rPr>
              <w:t>Ejercicio 2013</w:t>
            </w:r>
          </w:p>
        </w:tc>
        <w:tc>
          <w:tcPr>
            <w:tcW w:w="2080" w:type="dxa"/>
            <w:shd w:val="clear" w:color="auto" w:fill="auto"/>
            <w:noWrap/>
            <w:vAlign w:val="center"/>
            <w:hideMark/>
          </w:tcPr>
          <w:p w14:paraId="6DF3748A" w14:textId="77777777" w:rsidR="00916798" w:rsidRPr="00BF377A" w:rsidRDefault="00916798" w:rsidP="00E979C7">
            <w:pPr>
              <w:spacing w:line="360" w:lineRule="auto"/>
              <w:jc w:val="right"/>
              <w:rPr>
                <w:color w:val="000000"/>
                <w:sz w:val="20"/>
                <w:szCs w:val="20"/>
                <w:lang w:eastAsia="es-MX"/>
              </w:rPr>
            </w:pPr>
            <w:r w:rsidRPr="00BF377A">
              <w:rPr>
                <w:color w:val="000000"/>
                <w:sz w:val="20"/>
                <w:szCs w:val="20"/>
                <w:lang w:eastAsia="es-MX"/>
              </w:rPr>
              <w:t>16.5</w:t>
            </w:r>
          </w:p>
        </w:tc>
      </w:tr>
      <w:tr w:rsidR="00916798" w:rsidRPr="00BF377A" w14:paraId="6A67CA0C" w14:textId="77777777" w:rsidTr="00412187">
        <w:trPr>
          <w:trHeight w:val="320"/>
          <w:jc w:val="center"/>
        </w:trPr>
        <w:tc>
          <w:tcPr>
            <w:tcW w:w="1560" w:type="dxa"/>
            <w:shd w:val="clear" w:color="auto" w:fill="auto"/>
            <w:noWrap/>
            <w:vAlign w:val="center"/>
            <w:hideMark/>
          </w:tcPr>
          <w:p w14:paraId="12E59FB7" w14:textId="77777777" w:rsidR="00916798" w:rsidRPr="00BF377A" w:rsidRDefault="00916798" w:rsidP="00E979C7">
            <w:pPr>
              <w:spacing w:line="360" w:lineRule="auto"/>
              <w:rPr>
                <w:b/>
                <w:bCs/>
                <w:color w:val="000000"/>
                <w:sz w:val="20"/>
                <w:szCs w:val="20"/>
                <w:lang w:eastAsia="es-MX"/>
              </w:rPr>
            </w:pPr>
            <w:r w:rsidRPr="00BF377A">
              <w:rPr>
                <w:b/>
                <w:bCs/>
                <w:color w:val="000000"/>
                <w:sz w:val="20"/>
                <w:szCs w:val="20"/>
                <w:lang w:eastAsia="es-MX"/>
              </w:rPr>
              <w:t>Ejercicio 2014</w:t>
            </w:r>
          </w:p>
        </w:tc>
        <w:tc>
          <w:tcPr>
            <w:tcW w:w="2080" w:type="dxa"/>
            <w:shd w:val="clear" w:color="auto" w:fill="auto"/>
            <w:noWrap/>
            <w:vAlign w:val="center"/>
            <w:hideMark/>
          </w:tcPr>
          <w:p w14:paraId="0E2CDEB0" w14:textId="77777777" w:rsidR="00916798" w:rsidRPr="00BF377A" w:rsidRDefault="00916798" w:rsidP="00E979C7">
            <w:pPr>
              <w:spacing w:line="360" w:lineRule="auto"/>
              <w:jc w:val="right"/>
              <w:rPr>
                <w:color w:val="000000"/>
                <w:sz w:val="20"/>
                <w:szCs w:val="20"/>
                <w:lang w:eastAsia="es-MX"/>
              </w:rPr>
            </w:pPr>
            <w:r w:rsidRPr="00BF377A">
              <w:rPr>
                <w:color w:val="000000"/>
                <w:sz w:val="20"/>
                <w:szCs w:val="20"/>
                <w:lang w:eastAsia="es-MX"/>
              </w:rPr>
              <w:t>29.0</w:t>
            </w:r>
          </w:p>
        </w:tc>
      </w:tr>
      <w:tr w:rsidR="00916798" w:rsidRPr="00BF377A" w14:paraId="199A37B0" w14:textId="77777777" w:rsidTr="00412187">
        <w:trPr>
          <w:trHeight w:val="326"/>
          <w:jc w:val="center"/>
        </w:trPr>
        <w:tc>
          <w:tcPr>
            <w:tcW w:w="1560" w:type="dxa"/>
            <w:shd w:val="clear" w:color="auto" w:fill="auto"/>
            <w:noWrap/>
            <w:vAlign w:val="center"/>
            <w:hideMark/>
          </w:tcPr>
          <w:p w14:paraId="2ABF0C79" w14:textId="77777777" w:rsidR="00916798" w:rsidRPr="00BF377A" w:rsidRDefault="00916798" w:rsidP="00E979C7">
            <w:pPr>
              <w:spacing w:line="360" w:lineRule="auto"/>
              <w:rPr>
                <w:b/>
                <w:bCs/>
                <w:color w:val="000000"/>
                <w:sz w:val="20"/>
                <w:szCs w:val="20"/>
                <w:lang w:eastAsia="es-MX"/>
              </w:rPr>
            </w:pPr>
            <w:r w:rsidRPr="00BF377A">
              <w:rPr>
                <w:b/>
                <w:bCs/>
                <w:color w:val="000000"/>
                <w:sz w:val="20"/>
                <w:szCs w:val="20"/>
                <w:lang w:eastAsia="es-MX"/>
              </w:rPr>
              <w:t>Ejercicio 2015</w:t>
            </w:r>
          </w:p>
        </w:tc>
        <w:tc>
          <w:tcPr>
            <w:tcW w:w="2080" w:type="dxa"/>
            <w:shd w:val="clear" w:color="auto" w:fill="auto"/>
            <w:noWrap/>
            <w:vAlign w:val="center"/>
            <w:hideMark/>
          </w:tcPr>
          <w:p w14:paraId="7E4E36D3" w14:textId="77777777" w:rsidR="00916798" w:rsidRPr="00BF377A" w:rsidRDefault="00916798" w:rsidP="00E979C7">
            <w:pPr>
              <w:spacing w:line="360" w:lineRule="auto"/>
              <w:jc w:val="right"/>
              <w:rPr>
                <w:color w:val="000000"/>
                <w:sz w:val="20"/>
                <w:szCs w:val="20"/>
                <w:lang w:eastAsia="es-MX"/>
              </w:rPr>
            </w:pPr>
            <w:r w:rsidRPr="00BF377A">
              <w:rPr>
                <w:color w:val="000000"/>
                <w:sz w:val="20"/>
                <w:szCs w:val="20"/>
                <w:lang w:eastAsia="es-MX"/>
              </w:rPr>
              <w:t>34.6</w:t>
            </w:r>
          </w:p>
        </w:tc>
      </w:tr>
      <w:tr w:rsidR="00916798" w:rsidRPr="00BF377A" w14:paraId="3B37B9AB" w14:textId="77777777" w:rsidTr="00412187">
        <w:trPr>
          <w:trHeight w:val="332"/>
          <w:jc w:val="center"/>
        </w:trPr>
        <w:tc>
          <w:tcPr>
            <w:tcW w:w="1560" w:type="dxa"/>
            <w:shd w:val="clear" w:color="auto" w:fill="auto"/>
            <w:noWrap/>
            <w:vAlign w:val="center"/>
            <w:hideMark/>
          </w:tcPr>
          <w:p w14:paraId="4C57184E" w14:textId="77777777" w:rsidR="00916798" w:rsidRPr="00BF377A" w:rsidRDefault="00916798" w:rsidP="00E979C7">
            <w:pPr>
              <w:spacing w:line="360" w:lineRule="auto"/>
              <w:rPr>
                <w:b/>
                <w:bCs/>
                <w:color w:val="000000"/>
                <w:sz w:val="20"/>
                <w:szCs w:val="20"/>
                <w:lang w:eastAsia="es-MX"/>
              </w:rPr>
            </w:pPr>
            <w:r w:rsidRPr="00BF377A">
              <w:rPr>
                <w:b/>
                <w:bCs/>
                <w:color w:val="000000"/>
                <w:sz w:val="20"/>
                <w:szCs w:val="20"/>
                <w:lang w:eastAsia="es-MX"/>
              </w:rPr>
              <w:t>Ejercicio 2016</w:t>
            </w:r>
          </w:p>
        </w:tc>
        <w:tc>
          <w:tcPr>
            <w:tcW w:w="2080" w:type="dxa"/>
            <w:shd w:val="clear" w:color="auto" w:fill="auto"/>
            <w:noWrap/>
            <w:vAlign w:val="center"/>
            <w:hideMark/>
          </w:tcPr>
          <w:p w14:paraId="444C391C" w14:textId="77777777" w:rsidR="00916798" w:rsidRPr="00BF377A" w:rsidRDefault="00916798" w:rsidP="00E979C7">
            <w:pPr>
              <w:spacing w:line="360" w:lineRule="auto"/>
              <w:jc w:val="right"/>
              <w:rPr>
                <w:color w:val="000000"/>
                <w:sz w:val="20"/>
                <w:szCs w:val="20"/>
                <w:lang w:eastAsia="es-MX"/>
              </w:rPr>
            </w:pPr>
            <w:r w:rsidRPr="00BF377A">
              <w:rPr>
                <w:color w:val="000000"/>
                <w:sz w:val="20"/>
                <w:szCs w:val="20"/>
                <w:lang w:eastAsia="es-MX"/>
              </w:rPr>
              <w:t>165.3</w:t>
            </w:r>
          </w:p>
        </w:tc>
      </w:tr>
      <w:tr w:rsidR="00916798" w:rsidRPr="00BF377A" w14:paraId="0350A4CB" w14:textId="77777777" w:rsidTr="00412187">
        <w:trPr>
          <w:trHeight w:val="209"/>
          <w:jc w:val="center"/>
        </w:trPr>
        <w:tc>
          <w:tcPr>
            <w:tcW w:w="1560" w:type="dxa"/>
            <w:shd w:val="clear" w:color="auto" w:fill="auto"/>
            <w:noWrap/>
            <w:vAlign w:val="center"/>
          </w:tcPr>
          <w:p w14:paraId="63DAAE6F" w14:textId="77777777" w:rsidR="00916798" w:rsidRPr="00BF377A" w:rsidRDefault="00916798" w:rsidP="00E979C7">
            <w:pPr>
              <w:spacing w:line="360" w:lineRule="auto"/>
              <w:rPr>
                <w:b/>
                <w:bCs/>
                <w:color w:val="000000"/>
                <w:sz w:val="20"/>
                <w:szCs w:val="20"/>
                <w:lang w:eastAsia="es-MX"/>
              </w:rPr>
            </w:pPr>
            <w:r w:rsidRPr="00BF377A">
              <w:rPr>
                <w:b/>
                <w:bCs/>
                <w:color w:val="000000"/>
                <w:sz w:val="20"/>
                <w:szCs w:val="20"/>
                <w:lang w:eastAsia="es-MX"/>
              </w:rPr>
              <w:t>Ejercicio 2017</w:t>
            </w:r>
          </w:p>
        </w:tc>
        <w:tc>
          <w:tcPr>
            <w:tcW w:w="2080" w:type="dxa"/>
            <w:shd w:val="clear" w:color="auto" w:fill="auto"/>
            <w:noWrap/>
            <w:vAlign w:val="center"/>
          </w:tcPr>
          <w:p w14:paraId="5762C5F1" w14:textId="77777777" w:rsidR="00916798" w:rsidRPr="00BF377A" w:rsidRDefault="00916798" w:rsidP="00E979C7">
            <w:pPr>
              <w:spacing w:line="360" w:lineRule="auto"/>
              <w:jc w:val="right"/>
              <w:rPr>
                <w:bCs/>
                <w:color w:val="000000"/>
                <w:sz w:val="20"/>
                <w:szCs w:val="20"/>
                <w:highlight w:val="yellow"/>
                <w:lang w:eastAsia="es-MX"/>
              </w:rPr>
            </w:pPr>
            <w:r w:rsidRPr="00BF377A">
              <w:rPr>
                <w:bCs/>
                <w:color w:val="000000"/>
                <w:sz w:val="20"/>
                <w:szCs w:val="20"/>
                <w:lang w:eastAsia="es-MX"/>
              </w:rPr>
              <w:t>26.6</w:t>
            </w:r>
          </w:p>
        </w:tc>
      </w:tr>
      <w:tr w:rsidR="00916798" w:rsidRPr="00BF377A" w14:paraId="4DB4D967" w14:textId="77777777" w:rsidTr="00412187">
        <w:trPr>
          <w:trHeight w:val="257"/>
          <w:jc w:val="center"/>
        </w:trPr>
        <w:tc>
          <w:tcPr>
            <w:tcW w:w="1560" w:type="dxa"/>
            <w:shd w:val="clear" w:color="auto" w:fill="auto"/>
            <w:noWrap/>
            <w:vAlign w:val="center"/>
          </w:tcPr>
          <w:p w14:paraId="47CEA4FC" w14:textId="77777777" w:rsidR="00916798" w:rsidRPr="00BF377A" w:rsidRDefault="00916798" w:rsidP="00E979C7">
            <w:pPr>
              <w:spacing w:line="360" w:lineRule="auto"/>
              <w:rPr>
                <w:b/>
                <w:bCs/>
                <w:color w:val="000000"/>
                <w:sz w:val="20"/>
                <w:szCs w:val="20"/>
                <w:lang w:eastAsia="es-MX"/>
              </w:rPr>
            </w:pPr>
            <w:r w:rsidRPr="00BF377A">
              <w:rPr>
                <w:b/>
                <w:bCs/>
                <w:color w:val="000000"/>
                <w:sz w:val="20"/>
                <w:szCs w:val="20"/>
                <w:lang w:eastAsia="es-MX"/>
              </w:rPr>
              <w:lastRenderedPageBreak/>
              <w:t>Ejercicio 2018</w:t>
            </w:r>
          </w:p>
        </w:tc>
        <w:tc>
          <w:tcPr>
            <w:tcW w:w="2080" w:type="dxa"/>
            <w:shd w:val="clear" w:color="auto" w:fill="auto"/>
            <w:noWrap/>
            <w:vAlign w:val="center"/>
          </w:tcPr>
          <w:p w14:paraId="5D9C3BF4" w14:textId="77777777" w:rsidR="00916798" w:rsidRPr="00BF377A" w:rsidRDefault="00916798" w:rsidP="00E979C7">
            <w:pPr>
              <w:spacing w:line="360" w:lineRule="auto"/>
              <w:jc w:val="right"/>
              <w:rPr>
                <w:bCs/>
                <w:color w:val="000000"/>
                <w:sz w:val="20"/>
                <w:szCs w:val="20"/>
                <w:lang w:eastAsia="es-MX"/>
              </w:rPr>
            </w:pPr>
            <w:r w:rsidRPr="00BF377A">
              <w:rPr>
                <w:bCs/>
                <w:color w:val="000000"/>
                <w:sz w:val="20"/>
                <w:szCs w:val="20"/>
                <w:lang w:eastAsia="es-MX"/>
              </w:rPr>
              <w:t>31.0</w:t>
            </w:r>
          </w:p>
        </w:tc>
      </w:tr>
      <w:tr w:rsidR="00916798" w:rsidRPr="00BF377A" w14:paraId="25B242CD" w14:textId="77777777" w:rsidTr="00412187">
        <w:trPr>
          <w:trHeight w:val="278"/>
          <w:jc w:val="center"/>
        </w:trPr>
        <w:tc>
          <w:tcPr>
            <w:tcW w:w="1560" w:type="dxa"/>
            <w:shd w:val="clear" w:color="auto" w:fill="auto"/>
            <w:noWrap/>
            <w:vAlign w:val="center"/>
          </w:tcPr>
          <w:p w14:paraId="2E05357C" w14:textId="77777777" w:rsidR="00916798" w:rsidRPr="00BF377A" w:rsidRDefault="00916798" w:rsidP="00E979C7">
            <w:pPr>
              <w:spacing w:line="360" w:lineRule="auto"/>
              <w:rPr>
                <w:b/>
                <w:bCs/>
                <w:color w:val="000000"/>
                <w:sz w:val="20"/>
                <w:szCs w:val="20"/>
                <w:lang w:eastAsia="es-MX"/>
              </w:rPr>
            </w:pPr>
            <w:r w:rsidRPr="00BF377A">
              <w:rPr>
                <w:b/>
                <w:bCs/>
                <w:color w:val="000000"/>
                <w:sz w:val="20"/>
                <w:szCs w:val="20"/>
                <w:lang w:eastAsia="es-MX"/>
              </w:rPr>
              <w:t>Ejercicio 2019</w:t>
            </w:r>
          </w:p>
        </w:tc>
        <w:tc>
          <w:tcPr>
            <w:tcW w:w="2080" w:type="dxa"/>
            <w:shd w:val="clear" w:color="auto" w:fill="auto"/>
            <w:noWrap/>
            <w:vAlign w:val="center"/>
          </w:tcPr>
          <w:p w14:paraId="18E1B38F" w14:textId="77777777" w:rsidR="00916798" w:rsidRPr="00BF377A" w:rsidRDefault="00916798" w:rsidP="00E979C7">
            <w:pPr>
              <w:spacing w:line="360" w:lineRule="auto"/>
              <w:jc w:val="right"/>
              <w:rPr>
                <w:bCs/>
                <w:color w:val="000000"/>
                <w:sz w:val="20"/>
                <w:szCs w:val="20"/>
                <w:lang w:eastAsia="es-MX"/>
              </w:rPr>
            </w:pPr>
            <w:r w:rsidRPr="00BF377A">
              <w:rPr>
                <w:bCs/>
                <w:color w:val="000000"/>
                <w:sz w:val="20"/>
                <w:szCs w:val="20"/>
                <w:lang w:eastAsia="es-MX"/>
              </w:rPr>
              <w:t>55.0</w:t>
            </w:r>
          </w:p>
        </w:tc>
      </w:tr>
      <w:tr w:rsidR="00CE4A6A" w:rsidRPr="00BF377A" w14:paraId="3902751B" w14:textId="77777777" w:rsidTr="00412187">
        <w:trPr>
          <w:trHeight w:val="283"/>
          <w:jc w:val="center"/>
        </w:trPr>
        <w:tc>
          <w:tcPr>
            <w:tcW w:w="1560" w:type="dxa"/>
            <w:shd w:val="clear" w:color="auto" w:fill="auto"/>
            <w:noWrap/>
            <w:vAlign w:val="center"/>
          </w:tcPr>
          <w:p w14:paraId="42B981BF" w14:textId="6D5F9AA9" w:rsidR="00CE4A6A" w:rsidRPr="00CE4A6A" w:rsidRDefault="00CE4A6A" w:rsidP="00CE4A6A">
            <w:pPr>
              <w:spacing w:line="360" w:lineRule="auto"/>
              <w:rPr>
                <w:b/>
                <w:bCs/>
                <w:color w:val="000000"/>
                <w:sz w:val="20"/>
                <w:szCs w:val="20"/>
                <w:lang w:eastAsia="es-MX"/>
              </w:rPr>
            </w:pPr>
            <w:r w:rsidRPr="00CE4A6A">
              <w:rPr>
                <w:b/>
                <w:bCs/>
                <w:color w:val="000000"/>
                <w:sz w:val="20"/>
                <w:szCs w:val="20"/>
                <w:lang w:eastAsia="es-MX"/>
              </w:rPr>
              <w:t>Ejercicio 2020</w:t>
            </w:r>
          </w:p>
        </w:tc>
        <w:tc>
          <w:tcPr>
            <w:tcW w:w="2080" w:type="dxa"/>
            <w:shd w:val="clear" w:color="auto" w:fill="auto"/>
            <w:noWrap/>
            <w:vAlign w:val="center"/>
          </w:tcPr>
          <w:p w14:paraId="61B35CF8" w14:textId="7EABC3CC" w:rsidR="00CE4A6A" w:rsidRPr="00CE4A6A" w:rsidRDefault="00CE4A6A" w:rsidP="00CE4A6A">
            <w:pPr>
              <w:spacing w:line="360" w:lineRule="auto"/>
              <w:jc w:val="right"/>
              <w:rPr>
                <w:bCs/>
                <w:color w:val="000000"/>
                <w:sz w:val="20"/>
                <w:szCs w:val="20"/>
                <w:lang w:eastAsia="es-MX"/>
              </w:rPr>
            </w:pPr>
            <w:r w:rsidRPr="00CE4A6A">
              <w:rPr>
                <w:bCs/>
                <w:color w:val="000000"/>
                <w:sz w:val="20"/>
                <w:szCs w:val="20"/>
                <w:lang w:eastAsia="es-MX"/>
              </w:rPr>
              <w:t>80.5</w:t>
            </w:r>
          </w:p>
        </w:tc>
      </w:tr>
      <w:tr w:rsidR="00CE4A6A" w:rsidRPr="00BF377A" w14:paraId="343AC143" w14:textId="77777777" w:rsidTr="00412187">
        <w:trPr>
          <w:trHeight w:val="283"/>
          <w:jc w:val="center"/>
        </w:trPr>
        <w:tc>
          <w:tcPr>
            <w:tcW w:w="1560" w:type="dxa"/>
            <w:shd w:val="clear" w:color="auto" w:fill="auto"/>
            <w:noWrap/>
            <w:vAlign w:val="center"/>
          </w:tcPr>
          <w:p w14:paraId="2E534C93" w14:textId="31FBD8C7" w:rsidR="00CE4A6A" w:rsidRPr="00CE4A6A" w:rsidRDefault="00CE4A6A" w:rsidP="00CE4A6A">
            <w:pPr>
              <w:spacing w:line="360" w:lineRule="auto"/>
              <w:rPr>
                <w:b/>
                <w:bCs/>
                <w:color w:val="000000"/>
                <w:sz w:val="20"/>
                <w:szCs w:val="20"/>
                <w:lang w:eastAsia="es-MX"/>
              </w:rPr>
            </w:pPr>
            <w:r w:rsidRPr="00CE4A6A">
              <w:rPr>
                <w:b/>
                <w:bCs/>
                <w:color w:val="000000"/>
                <w:sz w:val="20"/>
                <w:szCs w:val="20"/>
                <w:lang w:eastAsia="es-MX"/>
              </w:rPr>
              <w:t>Ejercicio 2021</w:t>
            </w:r>
          </w:p>
        </w:tc>
        <w:tc>
          <w:tcPr>
            <w:tcW w:w="2080" w:type="dxa"/>
            <w:shd w:val="clear" w:color="auto" w:fill="auto"/>
            <w:noWrap/>
            <w:vAlign w:val="center"/>
          </w:tcPr>
          <w:p w14:paraId="4CAD6CFB" w14:textId="25549242" w:rsidR="00CE4A6A" w:rsidRPr="00CE4A6A" w:rsidRDefault="00CE4A6A" w:rsidP="00CE4A6A">
            <w:pPr>
              <w:spacing w:line="360" w:lineRule="auto"/>
              <w:jc w:val="right"/>
              <w:rPr>
                <w:b/>
                <w:bCs/>
                <w:color w:val="000000"/>
                <w:sz w:val="20"/>
                <w:szCs w:val="20"/>
                <w:lang w:eastAsia="es-MX"/>
              </w:rPr>
            </w:pPr>
            <w:r w:rsidRPr="00CE4A6A">
              <w:rPr>
                <w:bCs/>
                <w:color w:val="000000"/>
                <w:sz w:val="20"/>
                <w:szCs w:val="20"/>
                <w:lang w:eastAsia="es-MX"/>
              </w:rPr>
              <w:t>49.6</w:t>
            </w:r>
          </w:p>
        </w:tc>
      </w:tr>
      <w:tr w:rsidR="00CE4A6A" w:rsidRPr="00BF377A" w14:paraId="662FEACF" w14:textId="77777777" w:rsidTr="00412187">
        <w:trPr>
          <w:trHeight w:val="283"/>
          <w:jc w:val="center"/>
        </w:trPr>
        <w:tc>
          <w:tcPr>
            <w:tcW w:w="1560" w:type="dxa"/>
            <w:shd w:val="clear" w:color="auto" w:fill="auto"/>
            <w:noWrap/>
            <w:vAlign w:val="center"/>
          </w:tcPr>
          <w:p w14:paraId="39E1E47A" w14:textId="387BA99F" w:rsidR="00CE4A6A" w:rsidRPr="00CE4A6A" w:rsidRDefault="00CE4A6A" w:rsidP="00CE4A6A">
            <w:pPr>
              <w:spacing w:line="360" w:lineRule="auto"/>
              <w:rPr>
                <w:b/>
                <w:bCs/>
                <w:color w:val="000000"/>
                <w:sz w:val="20"/>
                <w:szCs w:val="20"/>
                <w:lang w:eastAsia="es-MX"/>
              </w:rPr>
            </w:pPr>
            <w:r w:rsidRPr="00CE4A6A">
              <w:rPr>
                <w:b/>
                <w:bCs/>
                <w:color w:val="000000"/>
                <w:sz w:val="20"/>
                <w:szCs w:val="20"/>
                <w:lang w:eastAsia="es-MX"/>
              </w:rPr>
              <w:t>*Ejercicio 2022</w:t>
            </w:r>
          </w:p>
        </w:tc>
        <w:tc>
          <w:tcPr>
            <w:tcW w:w="2080" w:type="dxa"/>
            <w:shd w:val="clear" w:color="auto" w:fill="auto"/>
            <w:noWrap/>
            <w:vAlign w:val="center"/>
          </w:tcPr>
          <w:p w14:paraId="2A06E946" w14:textId="7B2702B6" w:rsidR="00CE4A6A" w:rsidRPr="00CE4A6A" w:rsidRDefault="00CE4A6A" w:rsidP="00CE4A6A">
            <w:pPr>
              <w:spacing w:line="360" w:lineRule="auto"/>
              <w:jc w:val="right"/>
              <w:rPr>
                <w:bCs/>
                <w:color w:val="000000"/>
                <w:sz w:val="20"/>
                <w:szCs w:val="20"/>
                <w:lang w:eastAsia="es-MX"/>
              </w:rPr>
            </w:pPr>
            <w:r w:rsidRPr="00CE4A6A">
              <w:rPr>
                <w:b/>
                <w:bCs/>
                <w:color w:val="000000"/>
                <w:sz w:val="20"/>
                <w:szCs w:val="20"/>
                <w:lang w:eastAsia="es-MX"/>
              </w:rPr>
              <w:t>35.0</w:t>
            </w:r>
          </w:p>
        </w:tc>
      </w:tr>
      <w:tr w:rsidR="00CE4A6A" w:rsidRPr="00BF377A" w14:paraId="7FC4F13D" w14:textId="77777777" w:rsidTr="00412187">
        <w:trPr>
          <w:trHeight w:val="283"/>
          <w:jc w:val="center"/>
        </w:trPr>
        <w:tc>
          <w:tcPr>
            <w:tcW w:w="1560" w:type="dxa"/>
            <w:shd w:val="clear" w:color="auto" w:fill="auto"/>
            <w:noWrap/>
            <w:vAlign w:val="center"/>
            <w:hideMark/>
          </w:tcPr>
          <w:p w14:paraId="4D14E647" w14:textId="70D4291D" w:rsidR="00CE4A6A" w:rsidRPr="00CE4A6A" w:rsidRDefault="00CE4A6A" w:rsidP="00CE4A6A">
            <w:pPr>
              <w:spacing w:line="360" w:lineRule="auto"/>
              <w:jc w:val="center"/>
              <w:rPr>
                <w:b/>
                <w:bCs/>
                <w:color w:val="000000"/>
                <w:sz w:val="20"/>
                <w:szCs w:val="20"/>
                <w:lang w:eastAsia="es-MX"/>
              </w:rPr>
            </w:pPr>
            <w:r w:rsidRPr="00CE4A6A">
              <w:rPr>
                <w:b/>
                <w:bCs/>
                <w:color w:val="000000"/>
                <w:sz w:val="20"/>
                <w:szCs w:val="20"/>
                <w:lang w:eastAsia="es-MX"/>
              </w:rPr>
              <w:t>SUMA</w:t>
            </w:r>
          </w:p>
        </w:tc>
        <w:tc>
          <w:tcPr>
            <w:tcW w:w="2080" w:type="dxa"/>
            <w:shd w:val="clear" w:color="auto" w:fill="auto"/>
            <w:noWrap/>
            <w:vAlign w:val="center"/>
            <w:hideMark/>
          </w:tcPr>
          <w:p w14:paraId="35D321D0" w14:textId="5350EE21" w:rsidR="00CE4A6A" w:rsidRPr="00CE4A6A" w:rsidRDefault="00CE4A6A" w:rsidP="00CE4A6A">
            <w:pPr>
              <w:spacing w:line="360" w:lineRule="auto"/>
              <w:jc w:val="right"/>
              <w:rPr>
                <w:b/>
                <w:bCs/>
                <w:color w:val="000000"/>
                <w:sz w:val="20"/>
                <w:szCs w:val="20"/>
                <w:lang w:eastAsia="es-MX"/>
              </w:rPr>
            </w:pPr>
            <w:r w:rsidRPr="00CE4A6A">
              <w:rPr>
                <w:b/>
                <w:bCs/>
                <w:color w:val="000000"/>
                <w:sz w:val="20"/>
                <w:szCs w:val="20"/>
                <w:lang w:eastAsia="es-MX"/>
              </w:rPr>
              <w:t>781.3</w:t>
            </w:r>
          </w:p>
        </w:tc>
      </w:tr>
    </w:tbl>
    <w:p w14:paraId="4167B8B5" w14:textId="68B8C986" w:rsidR="00916798" w:rsidRPr="00BF377A" w:rsidRDefault="00916798" w:rsidP="00916798">
      <w:pPr>
        <w:spacing w:line="360" w:lineRule="auto"/>
        <w:ind w:left="2268"/>
        <w:rPr>
          <w:b/>
          <w:sz w:val="16"/>
        </w:rPr>
      </w:pPr>
      <w:r w:rsidRPr="00BF377A">
        <w:rPr>
          <w:b/>
          <w:sz w:val="16"/>
        </w:rPr>
        <w:t>* Cifra Estimada al Cierre</w:t>
      </w:r>
      <w:r>
        <w:rPr>
          <w:b/>
          <w:sz w:val="16"/>
        </w:rPr>
        <w:t xml:space="preserve"> de septiembre</w:t>
      </w:r>
      <w:r w:rsidRPr="00BF377A">
        <w:rPr>
          <w:b/>
          <w:sz w:val="16"/>
        </w:rPr>
        <w:t xml:space="preserve"> de</w:t>
      </w:r>
      <w:r>
        <w:rPr>
          <w:b/>
          <w:sz w:val="16"/>
        </w:rPr>
        <w:t xml:space="preserve"> </w:t>
      </w:r>
      <w:r w:rsidRPr="00BF377A">
        <w:rPr>
          <w:b/>
          <w:sz w:val="16"/>
        </w:rPr>
        <w:t>202</w:t>
      </w:r>
      <w:r w:rsidR="00CE4A6A">
        <w:rPr>
          <w:b/>
          <w:sz w:val="16"/>
        </w:rPr>
        <w:t>2</w:t>
      </w:r>
      <w:r w:rsidRPr="00BF377A">
        <w:rPr>
          <w:b/>
          <w:sz w:val="16"/>
        </w:rPr>
        <w:t>.</w:t>
      </w:r>
    </w:p>
    <w:p w14:paraId="4325C1DC" w14:textId="77777777" w:rsidR="00916798" w:rsidRPr="00385149" w:rsidRDefault="00916798" w:rsidP="00916798">
      <w:pPr>
        <w:spacing w:line="360" w:lineRule="auto"/>
        <w:jc w:val="both"/>
        <w:rPr>
          <w:rFonts w:ascii="Arial" w:hAnsi="Arial" w:cs="Arial"/>
          <w:sz w:val="14"/>
        </w:rPr>
      </w:pPr>
    </w:p>
    <w:p w14:paraId="1A8AE10D" w14:textId="5FF6D41D" w:rsidR="00916798" w:rsidRDefault="00CE4A6A" w:rsidP="00916798">
      <w:pPr>
        <w:spacing w:line="360" w:lineRule="auto"/>
        <w:jc w:val="both"/>
        <w:rPr>
          <w:sz w:val="20"/>
          <w:szCs w:val="20"/>
        </w:rPr>
      </w:pPr>
      <w:r w:rsidRPr="00CE4A6A">
        <w:rPr>
          <w:sz w:val="20"/>
          <w:szCs w:val="20"/>
        </w:rPr>
        <w:t>Los ingresos propios de Pensiones Civiles del Estado de Tlaxcala se han visto incrementados, a partir de la reforma, como a continuación se observa:</w:t>
      </w:r>
    </w:p>
    <w:p w14:paraId="7897E84D" w14:textId="77777777" w:rsidR="00916798" w:rsidRPr="006E7218" w:rsidRDefault="00916798" w:rsidP="00916798">
      <w:pPr>
        <w:spacing w:line="360" w:lineRule="auto"/>
        <w:jc w:val="both"/>
        <w:rPr>
          <w:rFonts w:ascii="Arial" w:hAnsi="Arial" w:cs="Arial"/>
          <w:sz w:val="12"/>
        </w:rPr>
      </w:pPr>
    </w:p>
    <w:tbl>
      <w:tblPr>
        <w:tblpPr w:leftFromText="141" w:rightFromText="141" w:vertAnchor="text" w:tblpXSpec="center" w:tblpY="1"/>
        <w:tblOverlap w:val="never"/>
        <w:tblW w:w="3440" w:type="dxa"/>
        <w:tblCellMar>
          <w:left w:w="70" w:type="dxa"/>
          <w:right w:w="70" w:type="dxa"/>
        </w:tblCellMar>
        <w:tblLook w:val="04A0" w:firstRow="1" w:lastRow="0" w:firstColumn="1" w:lastColumn="0" w:noHBand="0" w:noVBand="1"/>
      </w:tblPr>
      <w:tblGrid>
        <w:gridCol w:w="1540"/>
        <w:gridCol w:w="1900"/>
      </w:tblGrid>
      <w:tr w:rsidR="00916798" w:rsidRPr="00BF377A" w14:paraId="18DC6D1A" w14:textId="77777777" w:rsidTr="00E979C7">
        <w:trPr>
          <w:trHeight w:val="777"/>
        </w:trPr>
        <w:tc>
          <w:tcPr>
            <w:tcW w:w="1540" w:type="dxa"/>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center"/>
            <w:hideMark/>
          </w:tcPr>
          <w:p w14:paraId="76B7BC5E" w14:textId="77777777" w:rsidR="00916798" w:rsidRPr="00BF377A" w:rsidRDefault="00916798" w:rsidP="00E979C7">
            <w:pPr>
              <w:spacing w:line="360" w:lineRule="auto"/>
              <w:jc w:val="center"/>
              <w:rPr>
                <w:b/>
                <w:bCs/>
                <w:color w:val="000000"/>
                <w:sz w:val="20"/>
                <w:szCs w:val="20"/>
                <w:lang w:eastAsia="es-MX"/>
              </w:rPr>
            </w:pPr>
            <w:r w:rsidRPr="00BF377A">
              <w:rPr>
                <w:b/>
                <w:bCs/>
                <w:color w:val="000000"/>
                <w:sz w:val="20"/>
                <w:szCs w:val="20"/>
                <w:lang w:eastAsia="es-MX"/>
              </w:rPr>
              <w:t>AÑO</w:t>
            </w:r>
          </w:p>
        </w:tc>
        <w:tc>
          <w:tcPr>
            <w:tcW w:w="1900" w:type="dxa"/>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01C25FA8" w14:textId="77777777" w:rsidR="00916798" w:rsidRPr="00BF377A" w:rsidRDefault="00916798" w:rsidP="00E979C7">
            <w:pPr>
              <w:spacing w:line="360" w:lineRule="auto"/>
              <w:jc w:val="center"/>
              <w:rPr>
                <w:b/>
                <w:bCs/>
                <w:color w:val="000000"/>
                <w:sz w:val="20"/>
                <w:szCs w:val="20"/>
                <w:lang w:eastAsia="es-MX"/>
              </w:rPr>
            </w:pPr>
            <w:r w:rsidRPr="00BF377A">
              <w:rPr>
                <w:b/>
                <w:bCs/>
                <w:color w:val="000000"/>
                <w:sz w:val="20"/>
                <w:szCs w:val="20"/>
                <w:lang w:eastAsia="es-MX"/>
              </w:rPr>
              <w:t>APORTACIONES Y RETENCIONES (MDP)</w:t>
            </w:r>
          </w:p>
        </w:tc>
      </w:tr>
      <w:tr w:rsidR="00916798" w:rsidRPr="00BF377A" w14:paraId="45F94F64" w14:textId="77777777" w:rsidTr="00E979C7">
        <w:trPr>
          <w:trHeight w:val="391"/>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5B523358" w14:textId="77777777" w:rsidR="00916798" w:rsidRPr="00BF377A" w:rsidRDefault="00916798" w:rsidP="00E979C7">
            <w:pPr>
              <w:spacing w:line="360" w:lineRule="auto"/>
              <w:rPr>
                <w:b/>
                <w:bCs/>
                <w:color w:val="000000"/>
                <w:sz w:val="20"/>
                <w:szCs w:val="20"/>
                <w:lang w:eastAsia="es-MX"/>
              </w:rPr>
            </w:pPr>
            <w:r w:rsidRPr="00BF377A">
              <w:rPr>
                <w:b/>
                <w:bCs/>
                <w:color w:val="000000"/>
                <w:sz w:val="20"/>
                <w:szCs w:val="20"/>
                <w:lang w:eastAsia="es-MX"/>
              </w:rPr>
              <w:t>Ejercicio 2011</w:t>
            </w:r>
          </w:p>
        </w:tc>
        <w:tc>
          <w:tcPr>
            <w:tcW w:w="1900" w:type="dxa"/>
            <w:tcBorders>
              <w:top w:val="nil"/>
              <w:left w:val="nil"/>
              <w:bottom w:val="single" w:sz="4" w:space="0" w:color="auto"/>
              <w:right w:val="single" w:sz="4" w:space="0" w:color="auto"/>
            </w:tcBorders>
            <w:shd w:val="clear" w:color="auto" w:fill="auto"/>
            <w:noWrap/>
            <w:vAlign w:val="center"/>
            <w:hideMark/>
          </w:tcPr>
          <w:p w14:paraId="7B88B0F3" w14:textId="77777777" w:rsidR="00916798" w:rsidRPr="00BF377A" w:rsidRDefault="00916798" w:rsidP="00E979C7">
            <w:pPr>
              <w:spacing w:line="360" w:lineRule="auto"/>
              <w:jc w:val="right"/>
              <w:rPr>
                <w:color w:val="000000"/>
                <w:sz w:val="20"/>
                <w:szCs w:val="20"/>
                <w:lang w:eastAsia="es-MX"/>
              </w:rPr>
            </w:pPr>
            <w:r w:rsidRPr="00BF377A">
              <w:rPr>
                <w:color w:val="000000"/>
                <w:sz w:val="20"/>
                <w:szCs w:val="20"/>
                <w:lang w:eastAsia="es-MX"/>
              </w:rPr>
              <w:t xml:space="preserve">100.9 </w:t>
            </w:r>
          </w:p>
        </w:tc>
      </w:tr>
      <w:tr w:rsidR="00916798" w:rsidRPr="00BF377A" w14:paraId="604523E2" w14:textId="77777777" w:rsidTr="00E979C7">
        <w:trPr>
          <w:trHeight w:val="398"/>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08678593" w14:textId="77777777" w:rsidR="00916798" w:rsidRPr="00BF377A" w:rsidRDefault="00916798" w:rsidP="00E979C7">
            <w:pPr>
              <w:spacing w:line="360" w:lineRule="auto"/>
              <w:rPr>
                <w:b/>
                <w:bCs/>
                <w:color w:val="000000"/>
                <w:sz w:val="20"/>
                <w:szCs w:val="20"/>
                <w:lang w:eastAsia="es-MX"/>
              </w:rPr>
            </w:pPr>
            <w:r w:rsidRPr="00BF377A">
              <w:rPr>
                <w:b/>
                <w:bCs/>
                <w:color w:val="000000"/>
                <w:sz w:val="20"/>
                <w:szCs w:val="20"/>
                <w:lang w:eastAsia="es-MX"/>
              </w:rPr>
              <w:t>Ejercicio 2012</w:t>
            </w:r>
          </w:p>
        </w:tc>
        <w:tc>
          <w:tcPr>
            <w:tcW w:w="1900" w:type="dxa"/>
            <w:tcBorders>
              <w:top w:val="nil"/>
              <w:left w:val="nil"/>
              <w:bottom w:val="single" w:sz="4" w:space="0" w:color="auto"/>
              <w:right w:val="single" w:sz="4" w:space="0" w:color="auto"/>
            </w:tcBorders>
            <w:shd w:val="clear" w:color="auto" w:fill="auto"/>
            <w:noWrap/>
            <w:vAlign w:val="center"/>
            <w:hideMark/>
          </w:tcPr>
          <w:p w14:paraId="067C0E81" w14:textId="77777777" w:rsidR="00916798" w:rsidRPr="00BF377A" w:rsidRDefault="00916798" w:rsidP="00E979C7">
            <w:pPr>
              <w:spacing w:line="360" w:lineRule="auto"/>
              <w:jc w:val="right"/>
              <w:rPr>
                <w:color w:val="000000"/>
                <w:sz w:val="20"/>
                <w:szCs w:val="20"/>
                <w:lang w:eastAsia="es-MX"/>
              </w:rPr>
            </w:pPr>
            <w:r w:rsidRPr="00BF377A">
              <w:rPr>
                <w:color w:val="000000"/>
                <w:sz w:val="20"/>
                <w:szCs w:val="20"/>
                <w:lang w:eastAsia="es-MX"/>
              </w:rPr>
              <w:t xml:space="preserve">103.3 </w:t>
            </w:r>
          </w:p>
        </w:tc>
      </w:tr>
      <w:tr w:rsidR="00916798" w:rsidRPr="00BF377A" w14:paraId="40FEFA4E" w14:textId="77777777" w:rsidTr="00E979C7">
        <w:trPr>
          <w:trHeight w:val="404"/>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577E77B5" w14:textId="77777777" w:rsidR="00916798" w:rsidRPr="00BF377A" w:rsidRDefault="00916798" w:rsidP="00E979C7">
            <w:pPr>
              <w:spacing w:line="360" w:lineRule="auto"/>
              <w:rPr>
                <w:b/>
                <w:bCs/>
                <w:color w:val="000000"/>
                <w:sz w:val="20"/>
                <w:szCs w:val="20"/>
                <w:lang w:eastAsia="es-MX"/>
              </w:rPr>
            </w:pPr>
            <w:r w:rsidRPr="00BF377A">
              <w:rPr>
                <w:b/>
                <w:bCs/>
                <w:color w:val="000000"/>
                <w:sz w:val="20"/>
                <w:szCs w:val="20"/>
                <w:lang w:eastAsia="es-MX"/>
              </w:rPr>
              <w:t>Ejercicio 2013</w:t>
            </w:r>
          </w:p>
        </w:tc>
        <w:tc>
          <w:tcPr>
            <w:tcW w:w="1900" w:type="dxa"/>
            <w:tcBorders>
              <w:top w:val="nil"/>
              <w:left w:val="nil"/>
              <w:bottom w:val="single" w:sz="4" w:space="0" w:color="auto"/>
              <w:right w:val="single" w:sz="4" w:space="0" w:color="auto"/>
            </w:tcBorders>
            <w:shd w:val="clear" w:color="auto" w:fill="auto"/>
            <w:noWrap/>
            <w:vAlign w:val="center"/>
            <w:hideMark/>
          </w:tcPr>
          <w:p w14:paraId="29C33618" w14:textId="77777777" w:rsidR="00916798" w:rsidRPr="00BF377A" w:rsidRDefault="00916798" w:rsidP="00E979C7">
            <w:pPr>
              <w:spacing w:line="360" w:lineRule="auto"/>
              <w:jc w:val="right"/>
              <w:rPr>
                <w:color w:val="000000"/>
                <w:sz w:val="20"/>
                <w:szCs w:val="20"/>
                <w:lang w:eastAsia="es-MX"/>
              </w:rPr>
            </w:pPr>
            <w:r w:rsidRPr="00BF377A">
              <w:rPr>
                <w:color w:val="000000"/>
                <w:sz w:val="20"/>
                <w:szCs w:val="20"/>
                <w:lang w:eastAsia="es-MX"/>
              </w:rPr>
              <w:t xml:space="preserve">205.9 </w:t>
            </w:r>
          </w:p>
        </w:tc>
      </w:tr>
      <w:tr w:rsidR="00916798" w:rsidRPr="00BF377A" w14:paraId="666C3A2B" w14:textId="77777777" w:rsidTr="00E979C7">
        <w:trPr>
          <w:trHeight w:val="423"/>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D55609" w14:textId="77777777" w:rsidR="00916798" w:rsidRPr="00BF377A" w:rsidRDefault="00916798" w:rsidP="00E979C7">
            <w:pPr>
              <w:spacing w:line="360" w:lineRule="auto"/>
              <w:rPr>
                <w:b/>
                <w:bCs/>
                <w:color w:val="000000"/>
                <w:sz w:val="20"/>
                <w:szCs w:val="20"/>
                <w:lang w:eastAsia="es-MX"/>
              </w:rPr>
            </w:pPr>
            <w:r w:rsidRPr="00BF377A">
              <w:rPr>
                <w:b/>
                <w:bCs/>
                <w:color w:val="000000"/>
                <w:sz w:val="20"/>
                <w:szCs w:val="20"/>
                <w:lang w:eastAsia="es-MX"/>
              </w:rPr>
              <w:t>Ejercicio 2014</w:t>
            </w:r>
          </w:p>
        </w:tc>
        <w:tc>
          <w:tcPr>
            <w:tcW w:w="1900" w:type="dxa"/>
            <w:tcBorders>
              <w:top w:val="single" w:sz="4" w:space="0" w:color="auto"/>
              <w:left w:val="nil"/>
              <w:bottom w:val="single" w:sz="4" w:space="0" w:color="auto"/>
              <w:right w:val="single" w:sz="4" w:space="0" w:color="auto"/>
            </w:tcBorders>
            <w:shd w:val="clear" w:color="auto" w:fill="auto"/>
            <w:noWrap/>
            <w:vAlign w:val="center"/>
            <w:hideMark/>
          </w:tcPr>
          <w:p w14:paraId="6352469F" w14:textId="77777777" w:rsidR="00916798" w:rsidRPr="00BF377A" w:rsidRDefault="00916798" w:rsidP="00E979C7">
            <w:pPr>
              <w:spacing w:line="360" w:lineRule="auto"/>
              <w:jc w:val="right"/>
              <w:rPr>
                <w:color w:val="000000"/>
                <w:sz w:val="20"/>
                <w:szCs w:val="20"/>
                <w:lang w:eastAsia="es-MX"/>
              </w:rPr>
            </w:pPr>
            <w:r w:rsidRPr="00BF377A">
              <w:rPr>
                <w:color w:val="000000"/>
                <w:sz w:val="20"/>
                <w:szCs w:val="20"/>
                <w:lang w:eastAsia="es-MX"/>
              </w:rPr>
              <w:t xml:space="preserve">221.2 </w:t>
            </w:r>
          </w:p>
        </w:tc>
      </w:tr>
      <w:tr w:rsidR="00916798" w:rsidRPr="00BF377A" w14:paraId="0567E857" w14:textId="77777777" w:rsidTr="00E979C7">
        <w:trPr>
          <w:trHeight w:val="415"/>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61007FDA" w14:textId="77777777" w:rsidR="00916798" w:rsidRPr="00BF377A" w:rsidRDefault="00916798" w:rsidP="00E979C7">
            <w:pPr>
              <w:spacing w:line="360" w:lineRule="auto"/>
              <w:rPr>
                <w:b/>
                <w:bCs/>
                <w:color w:val="000000"/>
                <w:sz w:val="20"/>
                <w:szCs w:val="20"/>
                <w:lang w:eastAsia="es-MX"/>
              </w:rPr>
            </w:pPr>
            <w:r w:rsidRPr="00BF377A">
              <w:rPr>
                <w:b/>
                <w:bCs/>
                <w:color w:val="000000"/>
                <w:sz w:val="20"/>
                <w:szCs w:val="20"/>
                <w:lang w:eastAsia="es-MX"/>
              </w:rPr>
              <w:t>Ejercicio 2015</w:t>
            </w:r>
          </w:p>
        </w:tc>
        <w:tc>
          <w:tcPr>
            <w:tcW w:w="1900" w:type="dxa"/>
            <w:tcBorders>
              <w:top w:val="nil"/>
              <w:left w:val="nil"/>
              <w:bottom w:val="single" w:sz="4" w:space="0" w:color="auto"/>
              <w:right w:val="single" w:sz="4" w:space="0" w:color="auto"/>
            </w:tcBorders>
            <w:shd w:val="clear" w:color="auto" w:fill="auto"/>
            <w:noWrap/>
            <w:vAlign w:val="center"/>
            <w:hideMark/>
          </w:tcPr>
          <w:p w14:paraId="6B35AE2D" w14:textId="77777777" w:rsidR="00916798" w:rsidRPr="00BF377A" w:rsidRDefault="00916798" w:rsidP="00E979C7">
            <w:pPr>
              <w:spacing w:line="360" w:lineRule="auto"/>
              <w:jc w:val="right"/>
              <w:rPr>
                <w:color w:val="000000"/>
                <w:sz w:val="20"/>
                <w:szCs w:val="20"/>
                <w:lang w:eastAsia="es-MX"/>
              </w:rPr>
            </w:pPr>
            <w:r w:rsidRPr="00BF377A">
              <w:rPr>
                <w:color w:val="000000"/>
                <w:sz w:val="20"/>
                <w:szCs w:val="20"/>
                <w:lang w:eastAsia="es-MX"/>
              </w:rPr>
              <w:t xml:space="preserve">223.9 </w:t>
            </w:r>
          </w:p>
        </w:tc>
      </w:tr>
      <w:tr w:rsidR="00916798" w:rsidRPr="00BF377A" w14:paraId="3AE31974" w14:textId="77777777" w:rsidTr="00E979C7">
        <w:trPr>
          <w:trHeight w:val="387"/>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7E490BF9" w14:textId="77777777" w:rsidR="00916798" w:rsidRPr="00BF377A" w:rsidRDefault="00916798" w:rsidP="00E979C7">
            <w:pPr>
              <w:spacing w:line="360" w:lineRule="auto"/>
              <w:rPr>
                <w:b/>
                <w:bCs/>
                <w:color w:val="000000"/>
                <w:sz w:val="20"/>
                <w:szCs w:val="20"/>
                <w:lang w:eastAsia="es-MX"/>
              </w:rPr>
            </w:pPr>
            <w:r w:rsidRPr="00BF377A">
              <w:rPr>
                <w:b/>
                <w:bCs/>
                <w:color w:val="000000"/>
                <w:sz w:val="20"/>
                <w:szCs w:val="20"/>
                <w:lang w:eastAsia="es-MX"/>
              </w:rPr>
              <w:t>Ejercicio 2016</w:t>
            </w:r>
          </w:p>
        </w:tc>
        <w:tc>
          <w:tcPr>
            <w:tcW w:w="1900" w:type="dxa"/>
            <w:tcBorders>
              <w:top w:val="nil"/>
              <w:left w:val="nil"/>
              <w:bottom w:val="single" w:sz="4" w:space="0" w:color="auto"/>
              <w:right w:val="single" w:sz="4" w:space="0" w:color="auto"/>
            </w:tcBorders>
            <w:shd w:val="clear" w:color="auto" w:fill="auto"/>
            <w:noWrap/>
            <w:vAlign w:val="center"/>
            <w:hideMark/>
          </w:tcPr>
          <w:p w14:paraId="535D3C67" w14:textId="77777777" w:rsidR="00916798" w:rsidRPr="00BF377A" w:rsidRDefault="00916798" w:rsidP="00E979C7">
            <w:pPr>
              <w:spacing w:line="360" w:lineRule="auto"/>
              <w:jc w:val="right"/>
              <w:rPr>
                <w:color w:val="000000"/>
                <w:sz w:val="20"/>
                <w:szCs w:val="20"/>
                <w:lang w:eastAsia="es-MX"/>
              </w:rPr>
            </w:pPr>
            <w:r w:rsidRPr="00BF377A">
              <w:rPr>
                <w:color w:val="000000"/>
                <w:sz w:val="20"/>
                <w:szCs w:val="20"/>
                <w:lang w:eastAsia="es-MX"/>
              </w:rPr>
              <w:t xml:space="preserve">248.9 </w:t>
            </w:r>
          </w:p>
        </w:tc>
      </w:tr>
      <w:tr w:rsidR="00916798" w:rsidRPr="00BF377A" w14:paraId="3B4FC13F" w14:textId="77777777" w:rsidTr="00E979C7">
        <w:trPr>
          <w:trHeight w:val="300"/>
        </w:trPr>
        <w:tc>
          <w:tcPr>
            <w:tcW w:w="1540" w:type="dxa"/>
            <w:tcBorders>
              <w:top w:val="nil"/>
              <w:left w:val="single" w:sz="4" w:space="0" w:color="auto"/>
              <w:bottom w:val="single" w:sz="4" w:space="0" w:color="auto"/>
              <w:right w:val="single" w:sz="4" w:space="0" w:color="auto"/>
            </w:tcBorders>
            <w:shd w:val="clear" w:color="auto" w:fill="auto"/>
            <w:noWrap/>
            <w:vAlign w:val="center"/>
          </w:tcPr>
          <w:p w14:paraId="35544F68" w14:textId="77777777" w:rsidR="00916798" w:rsidRPr="00BF377A" w:rsidRDefault="00916798" w:rsidP="00E979C7">
            <w:pPr>
              <w:spacing w:line="360" w:lineRule="auto"/>
              <w:rPr>
                <w:b/>
                <w:bCs/>
                <w:color w:val="000000"/>
                <w:sz w:val="20"/>
                <w:szCs w:val="20"/>
                <w:lang w:eastAsia="es-MX"/>
              </w:rPr>
            </w:pPr>
            <w:r w:rsidRPr="00BF377A">
              <w:rPr>
                <w:b/>
                <w:bCs/>
                <w:color w:val="000000"/>
                <w:sz w:val="20"/>
                <w:szCs w:val="20"/>
                <w:lang w:eastAsia="es-MX"/>
              </w:rPr>
              <w:t>Ejercicio 2017</w:t>
            </w:r>
          </w:p>
        </w:tc>
        <w:tc>
          <w:tcPr>
            <w:tcW w:w="1900" w:type="dxa"/>
            <w:tcBorders>
              <w:top w:val="nil"/>
              <w:left w:val="nil"/>
              <w:bottom w:val="single" w:sz="4" w:space="0" w:color="auto"/>
              <w:right w:val="single" w:sz="4" w:space="0" w:color="auto"/>
            </w:tcBorders>
            <w:shd w:val="clear" w:color="auto" w:fill="auto"/>
            <w:noWrap/>
            <w:vAlign w:val="bottom"/>
          </w:tcPr>
          <w:p w14:paraId="7E772191" w14:textId="77777777" w:rsidR="00916798" w:rsidRPr="00BF377A" w:rsidRDefault="00916798" w:rsidP="00E979C7">
            <w:pPr>
              <w:spacing w:line="360" w:lineRule="auto"/>
              <w:jc w:val="right"/>
              <w:rPr>
                <w:bCs/>
                <w:color w:val="000000"/>
                <w:sz w:val="20"/>
                <w:szCs w:val="20"/>
                <w:lang w:eastAsia="es-MX"/>
              </w:rPr>
            </w:pPr>
            <w:r w:rsidRPr="00BF377A">
              <w:rPr>
                <w:bCs/>
                <w:color w:val="000000"/>
                <w:sz w:val="20"/>
                <w:szCs w:val="20"/>
                <w:lang w:eastAsia="es-MX"/>
              </w:rPr>
              <w:t>275.2</w:t>
            </w:r>
          </w:p>
        </w:tc>
      </w:tr>
      <w:tr w:rsidR="00916798" w:rsidRPr="00BF377A" w14:paraId="7D19C47D" w14:textId="77777777" w:rsidTr="00E979C7">
        <w:trPr>
          <w:trHeight w:val="300"/>
        </w:trPr>
        <w:tc>
          <w:tcPr>
            <w:tcW w:w="1540" w:type="dxa"/>
            <w:tcBorders>
              <w:top w:val="nil"/>
              <w:left w:val="single" w:sz="4" w:space="0" w:color="auto"/>
              <w:bottom w:val="single" w:sz="4" w:space="0" w:color="auto"/>
              <w:right w:val="single" w:sz="4" w:space="0" w:color="auto"/>
            </w:tcBorders>
            <w:shd w:val="clear" w:color="auto" w:fill="auto"/>
            <w:noWrap/>
            <w:vAlign w:val="center"/>
          </w:tcPr>
          <w:p w14:paraId="7DB5543E" w14:textId="77777777" w:rsidR="00916798" w:rsidRPr="00BF377A" w:rsidRDefault="00916798" w:rsidP="00E979C7">
            <w:pPr>
              <w:spacing w:line="360" w:lineRule="auto"/>
              <w:rPr>
                <w:b/>
                <w:bCs/>
                <w:color w:val="000000"/>
                <w:sz w:val="20"/>
                <w:szCs w:val="20"/>
                <w:lang w:eastAsia="es-MX"/>
              </w:rPr>
            </w:pPr>
            <w:r w:rsidRPr="00BF377A">
              <w:rPr>
                <w:b/>
                <w:bCs/>
                <w:color w:val="000000"/>
                <w:sz w:val="20"/>
                <w:szCs w:val="20"/>
                <w:lang w:eastAsia="es-MX"/>
              </w:rPr>
              <w:t>Ejercicio 2018</w:t>
            </w:r>
          </w:p>
        </w:tc>
        <w:tc>
          <w:tcPr>
            <w:tcW w:w="1900" w:type="dxa"/>
            <w:tcBorders>
              <w:top w:val="nil"/>
              <w:left w:val="nil"/>
              <w:bottom w:val="single" w:sz="4" w:space="0" w:color="auto"/>
              <w:right w:val="single" w:sz="4" w:space="0" w:color="auto"/>
            </w:tcBorders>
            <w:shd w:val="clear" w:color="auto" w:fill="auto"/>
            <w:noWrap/>
            <w:vAlign w:val="bottom"/>
          </w:tcPr>
          <w:p w14:paraId="306DBDDE" w14:textId="77777777" w:rsidR="00916798" w:rsidRPr="00BF377A" w:rsidRDefault="00916798" w:rsidP="00E979C7">
            <w:pPr>
              <w:spacing w:line="360" w:lineRule="auto"/>
              <w:jc w:val="right"/>
              <w:rPr>
                <w:bCs/>
                <w:color w:val="000000"/>
                <w:sz w:val="20"/>
                <w:szCs w:val="20"/>
                <w:lang w:eastAsia="es-MX"/>
              </w:rPr>
            </w:pPr>
            <w:r w:rsidRPr="00BF377A">
              <w:rPr>
                <w:bCs/>
                <w:color w:val="000000"/>
                <w:sz w:val="20"/>
                <w:szCs w:val="20"/>
                <w:lang w:eastAsia="es-MX"/>
              </w:rPr>
              <w:t>267.1</w:t>
            </w:r>
          </w:p>
        </w:tc>
      </w:tr>
      <w:tr w:rsidR="00916798" w:rsidRPr="00BF377A" w14:paraId="2FA800AC" w14:textId="77777777" w:rsidTr="00E979C7">
        <w:trPr>
          <w:trHeight w:val="300"/>
        </w:trPr>
        <w:tc>
          <w:tcPr>
            <w:tcW w:w="1540" w:type="dxa"/>
            <w:tcBorders>
              <w:top w:val="nil"/>
              <w:left w:val="single" w:sz="4" w:space="0" w:color="auto"/>
              <w:bottom w:val="single" w:sz="4" w:space="0" w:color="auto"/>
              <w:right w:val="single" w:sz="4" w:space="0" w:color="auto"/>
            </w:tcBorders>
            <w:shd w:val="clear" w:color="auto" w:fill="auto"/>
            <w:noWrap/>
            <w:vAlign w:val="center"/>
          </w:tcPr>
          <w:p w14:paraId="6093DD41" w14:textId="77777777" w:rsidR="00916798" w:rsidRPr="00BF377A" w:rsidRDefault="00916798" w:rsidP="00E979C7">
            <w:pPr>
              <w:spacing w:line="360" w:lineRule="auto"/>
              <w:rPr>
                <w:b/>
                <w:bCs/>
                <w:color w:val="000000"/>
                <w:sz w:val="20"/>
                <w:szCs w:val="20"/>
                <w:lang w:eastAsia="es-MX"/>
              </w:rPr>
            </w:pPr>
            <w:r w:rsidRPr="00BF377A">
              <w:rPr>
                <w:b/>
                <w:bCs/>
                <w:color w:val="000000"/>
                <w:sz w:val="20"/>
                <w:szCs w:val="20"/>
                <w:lang w:eastAsia="es-MX"/>
              </w:rPr>
              <w:t>Ejercicio 2019</w:t>
            </w:r>
          </w:p>
        </w:tc>
        <w:tc>
          <w:tcPr>
            <w:tcW w:w="1900" w:type="dxa"/>
            <w:tcBorders>
              <w:top w:val="nil"/>
              <w:left w:val="nil"/>
              <w:bottom w:val="single" w:sz="4" w:space="0" w:color="auto"/>
              <w:right w:val="single" w:sz="4" w:space="0" w:color="auto"/>
            </w:tcBorders>
            <w:shd w:val="clear" w:color="auto" w:fill="auto"/>
            <w:noWrap/>
            <w:vAlign w:val="bottom"/>
          </w:tcPr>
          <w:p w14:paraId="239BEB8B" w14:textId="77777777" w:rsidR="00916798" w:rsidRPr="00BF377A" w:rsidRDefault="00916798" w:rsidP="00E979C7">
            <w:pPr>
              <w:spacing w:line="360" w:lineRule="auto"/>
              <w:jc w:val="right"/>
              <w:rPr>
                <w:bCs/>
                <w:color w:val="000000"/>
                <w:sz w:val="20"/>
                <w:szCs w:val="20"/>
                <w:lang w:eastAsia="es-MX"/>
              </w:rPr>
            </w:pPr>
            <w:r w:rsidRPr="00BF377A">
              <w:rPr>
                <w:bCs/>
                <w:color w:val="000000"/>
                <w:sz w:val="20"/>
                <w:szCs w:val="20"/>
                <w:lang w:eastAsia="es-MX"/>
              </w:rPr>
              <w:t>290.9</w:t>
            </w:r>
          </w:p>
        </w:tc>
      </w:tr>
      <w:tr w:rsidR="00916798" w:rsidRPr="00BF377A" w14:paraId="6761BC03" w14:textId="77777777" w:rsidTr="00E979C7">
        <w:trPr>
          <w:trHeight w:val="209"/>
        </w:trPr>
        <w:tc>
          <w:tcPr>
            <w:tcW w:w="1540" w:type="dxa"/>
            <w:tcBorders>
              <w:top w:val="nil"/>
              <w:left w:val="single" w:sz="4" w:space="0" w:color="auto"/>
              <w:bottom w:val="single" w:sz="4" w:space="0" w:color="auto"/>
              <w:right w:val="single" w:sz="4" w:space="0" w:color="auto"/>
            </w:tcBorders>
            <w:shd w:val="clear" w:color="auto" w:fill="auto"/>
            <w:noWrap/>
            <w:vAlign w:val="center"/>
          </w:tcPr>
          <w:p w14:paraId="5B2EA3C5" w14:textId="77777777" w:rsidR="00916798" w:rsidRPr="00BF377A" w:rsidRDefault="00916798" w:rsidP="00E979C7">
            <w:pPr>
              <w:spacing w:line="360" w:lineRule="auto"/>
              <w:rPr>
                <w:b/>
                <w:bCs/>
                <w:color w:val="000000"/>
                <w:sz w:val="20"/>
                <w:szCs w:val="20"/>
                <w:lang w:eastAsia="es-MX"/>
              </w:rPr>
            </w:pPr>
            <w:r w:rsidRPr="00BF377A">
              <w:rPr>
                <w:b/>
                <w:bCs/>
                <w:color w:val="000000"/>
                <w:sz w:val="20"/>
                <w:szCs w:val="20"/>
                <w:lang w:eastAsia="es-MX"/>
              </w:rPr>
              <w:t>Ejercicio 2020</w:t>
            </w:r>
          </w:p>
        </w:tc>
        <w:tc>
          <w:tcPr>
            <w:tcW w:w="1900" w:type="dxa"/>
            <w:tcBorders>
              <w:top w:val="nil"/>
              <w:left w:val="nil"/>
              <w:bottom w:val="single" w:sz="4" w:space="0" w:color="auto"/>
              <w:right w:val="single" w:sz="4" w:space="0" w:color="auto"/>
            </w:tcBorders>
            <w:shd w:val="clear" w:color="auto" w:fill="auto"/>
            <w:noWrap/>
            <w:vAlign w:val="bottom"/>
          </w:tcPr>
          <w:p w14:paraId="274D9BE1" w14:textId="77777777" w:rsidR="00916798" w:rsidRPr="00BF377A" w:rsidRDefault="00916798" w:rsidP="00E979C7">
            <w:pPr>
              <w:spacing w:line="360" w:lineRule="auto"/>
              <w:jc w:val="right"/>
              <w:rPr>
                <w:bCs/>
                <w:color w:val="000000"/>
                <w:sz w:val="20"/>
                <w:szCs w:val="20"/>
                <w:lang w:eastAsia="es-MX"/>
              </w:rPr>
            </w:pPr>
            <w:r w:rsidRPr="00BF377A">
              <w:rPr>
                <w:bCs/>
                <w:color w:val="000000"/>
                <w:sz w:val="20"/>
                <w:szCs w:val="20"/>
                <w:lang w:eastAsia="es-MX"/>
              </w:rPr>
              <w:t>364.16</w:t>
            </w:r>
          </w:p>
        </w:tc>
      </w:tr>
      <w:tr w:rsidR="00CE4A6A" w:rsidRPr="00BF377A" w14:paraId="130D5B8B" w14:textId="77777777" w:rsidTr="00E979C7">
        <w:trPr>
          <w:trHeight w:val="209"/>
        </w:trPr>
        <w:tc>
          <w:tcPr>
            <w:tcW w:w="1540" w:type="dxa"/>
            <w:tcBorders>
              <w:top w:val="nil"/>
              <w:left w:val="single" w:sz="4" w:space="0" w:color="auto"/>
              <w:bottom w:val="single" w:sz="4" w:space="0" w:color="auto"/>
              <w:right w:val="single" w:sz="4" w:space="0" w:color="auto"/>
            </w:tcBorders>
            <w:shd w:val="clear" w:color="auto" w:fill="auto"/>
            <w:noWrap/>
            <w:vAlign w:val="center"/>
          </w:tcPr>
          <w:p w14:paraId="2B769E8D" w14:textId="7194D7A3" w:rsidR="00CE4A6A" w:rsidRPr="00CE4A6A" w:rsidRDefault="00CE4A6A" w:rsidP="00CE4A6A">
            <w:pPr>
              <w:spacing w:line="360" w:lineRule="auto"/>
              <w:rPr>
                <w:b/>
                <w:bCs/>
                <w:color w:val="000000"/>
                <w:sz w:val="20"/>
                <w:szCs w:val="20"/>
                <w:lang w:eastAsia="es-MX"/>
              </w:rPr>
            </w:pPr>
            <w:r w:rsidRPr="00CE4A6A">
              <w:rPr>
                <w:b/>
                <w:bCs/>
                <w:color w:val="000000"/>
                <w:sz w:val="20"/>
                <w:szCs w:val="20"/>
                <w:lang w:eastAsia="es-MX"/>
              </w:rPr>
              <w:t>Ejercicio 2021</w:t>
            </w:r>
          </w:p>
        </w:tc>
        <w:tc>
          <w:tcPr>
            <w:tcW w:w="1900" w:type="dxa"/>
            <w:tcBorders>
              <w:top w:val="nil"/>
              <w:left w:val="nil"/>
              <w:bottom w:val="single" w:sz="4" w:space="0" w:color="auto"/>
              <w:right w:val="single" w:sz="4" w:space="0" w:color="auto"/>
            </w:tcBorders>
            <w:shd w:val="clear" w:color="auto" w:fill="auto"/>
            <w:noWrap/>
            <w:vAlign w:val="bottom"/>
          </w:tcPr>
          <w:p w14:paraId="00AD4A70" w14:textId="7E9DECA6" w:rsidR="00CE4A6A" w:rsidRPr="00CE4A6A" w:rsidRDefault="00CE4A6A" w:rsidP="00CE4A6A">
            <w:pPr>
              <w:spacing w:line="360" w:lineRule="auto"/>
              <w:jc w:val="right"/>
              <w:rPr>
                <w:b/>
                <w:bCs/>
                <w:color w:val="000000"/>
                <w:sz w:val="20"/>
                <w:szCs w:val="20"/>
                <w:lang w:eastAsia="es-MX"/>
              </w:rPr>
            </w:pPr>
            <w:r w:rsidRPr="00CE4A6A">
              <w:rPr>
                <w:bCs/>
                <w:color w:val="000000"/>
                <w:sz w:val="20"/>
                <w:szCs w:val="20"/>
                <w:lang w:eastAsia="es-MX"/>
              </w:rPr>
              <w:t>351.58</w:t>
            </w:r>
          </w:p>
        </w:tc>
      </w:tr>
      <w:tr w:rsidR="00CE4A6A" w:rsidRPr="00BF377A" w14:paraId="4B1611FD" w14:textId="77777777" w:rsidTr="00E979C7">
        <w:trPr>
          <w:trHeight w:val="209"/>
        </w:trPr>
        <w:tc>
          <w:tcPr>
            <w:tcW w:w="1540" w:type="dxa"/>
            <w:tcBorders>
              <w:top w:val="nil"/>
              <w:left w:val="single" w:sz="4" w:space="0" w:color="auto"/>
              <w:bottom w:val="single" w:sz="4" w:space="0" w:color="auto"/>
              <w:right w:val="single" w:sz="4" w:space="0" w:color="auto"/>
            </w:tcBorders>
            <w:shd w:val="clear" w:color="auto" w:fill="auto"/>
            <w:noWrap/>
            <w:vAlign w:val="center"/>
          </w:tcPr>
          <w:p w14:paraId="27BC52CB" w14:textId="0B8C8E20" w:rsidR="00CE4A6A" w:rsidRPr="00CE4A6A" w:rsidRDefault="00CE4A6A" w:rsidP="00CE4A6A">
            <w:pPr>
              <w:spacing w:line="360" w:lineRule="auto"/>
              <w:rPr>
                <w:b/>
                <w:bCs/>
                <w:color w:val="000000"/>
                <w:sz w:val="20"/>
                <w:szCs w:val="20"/>
                <w:lang w:eastAsia="es-MX"/>
              </w:rPr>
            </w:pPr>
            <w:r w:rsidRPr="00CE4A6A">
              <w:rPr>
                <w:b/>
                <w:bCs/>
                <w:color w:val="000000"/>
                <w:sz w:val="20"/>
                <w:szCs w:val="20"/>
                <w:lang w:eastAsia="es-MX"/>
              </w:rPr>
              <w:t>*Ejercicio 2022</w:t>
            </w:r>
          </w:p>
        </w:tc>
        <w:tc>
          <w:tcPr>
            <w:tcW w:w="1900" w:type="dxa"/>
            <w:tcBorders>
              <w:top w:val="nil"/>
              <w:left w:val="nil"/>
              <w:bottom w:val="single" w:sz="4" w:space="0" w:color="auto"/>
              <w:right w:val="single" w:sz="4" w:space="0" w:color="auto"/>
            </w:tcBorders>
            <w:shd w:val="clear" w:color="auto" w:fill="auto"/>
            <w:noWrap/>
            <w:vAlign w:val="bottom"/>
          </w:tcPr>
          <w:p w14:paraId="7EC0F223" w14:textId="2A3511CE" w:rsidR="00CE4A6A" w:rsidRPr="00CE4A6A" w:rsidRDefault="00CE4A6A" w:rsidP="00CE4A6A">
            <w:pPr>
              <w:spacing w:line="360" w:lineRule="auto"/>
              <w:jc w:val="right"/>
              <w:rPr>
                <w:b/>
                <w:bCs/>
                <w:color w:val="000000"/>
                <w:sz w:val="20"/>
                <w:szCs w:val="20"/>
                <w:lang w:eastAsia="es-MX"/>
              </w:rPr>
            </w:pPr>
            <w:r w:rsidRPr="00CE4A6A">
              <w:rPr>
                <w:b/>
                <w:bCs/>
                <w:color w:val="000000"/>
                <w:sz w:val="20"/>
                <w:szCs w:val="20"/>
                <w:lang w:eastAsia="es-MX"/>
              </w:rPr>
              <w:t>256.17</w:t>
            </w:r>
          </w:p>
        </w:tc>
      </w:tr>
      <w:tr w:rsidR="00CE4A6A" w:rsidRPr="00BF377A" w14:paraId="49E92779" w14:textId="77777777" w:rsidTr="00E979C7">
        <w:trPr>
          <w:trHeight w:val="209"/>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027DA776" w14:textId="76621D19" w:rsidR="00CE4A6A" w:rsidRPr="00CE4A6A" w:rsidRDefault="00CE4A6A" w:rsidP="00CE4A6A">
            <w:pPr>
              <w:spacing w:line="360" w:lineRule="auto"/>
              <w:jc w:val="center"/>
              <w:rPr>
                <w:b/>
                <w:bCs/>
                <w:color w:val="000000"/>
                <w:sz w:val="20"/>
                <w:szCs w:val="20"/>
                <w:lang w:eastAsia="es-MX"/>
              </w:rPr>
            </w:pPr>
            <w:r w:rsidRPr="00CE4A6A">
              <w:rPr>
                <w:b/>
                <w:bCs/>
                <w:color w:val="000000"/>
                <w:sz w:val="20"/>
                <w:szCs w:val="20"/>
                <w:lang w:eastAsia="es-MX"/>
              </w:rPr>
              <w:t>SUMA</w:t>
            </w:r>
          </w:p>
        </w:tc>
        <w:tc>
          <w:tcPr>
            <w:tcW w:w="1900" w:type="dxa"/>
            <w:tcBorders>
              <w:top w:val="nil"/>
              <w:left w:val="nil"/>
              <w:bottom w:val="single" w:sz="4" w:space="0" w:color="auto"/>
              <w:right w:val="single" w:sz="4" w:space="0" w:color="auto"/>
            </w:tcBorders>
            <w:shd w:val="clear" w:color="auto" w:fill="auto"/>
            <w:noWrap/>
            <w:vAlign w:val="bottom"/>
            <w:hideMark/>
          </w:tcPr>
          <w:p w14:paraId="298E0F2E" w14:textId="6DC2FAB0" w:rsidR="00CE4A6A" w:rsidRPr="00CE4A6A" w:rsidRDefault="00CE4A6A" w:rsidP="00CE4A6A">
            <w:pPr>
              <w:spacing w:line="360" w:lineRule="auto"/>
              <w:jc w:val="right"/>
              <w:rPr>
                <w:b/>
                <w:bCs/>
                <w:color w:val="000000"/>
                <w:sz w:val="20"/>
                <w:szCs w:val="20"/>
                <w:lang w:eastAsia="es-MX"/>
              </w:rPr>
            </w:pPr>
            <w:r w:rsidRPr="00CE4A6A">
              <w:rPr>
                <w:b/>
                <w:bCs/>
                <w:color w:val="000000"/>
                <w:sz w:val="20"/>
                <w:szCs w:val="20"/>
                <w:lang w:eastAsia="es-MX"/>
              </w:rPr>
              <w:t xml:space="preserve">2,909.21 </w:t>
            </w:r>
          </w:p>
        </w:tc>
      </w:tr>
    </w:tbl>
    <w:p w14:paraId="109C384C" w14:textId="6EE1D423" w:rsidR="00916798" w:rsidRPr="00BF377A" w:rsidRDefault="00916798" w:rsidP="00916798">
      <w:pPr>
        <w:spacing w:line="360" w:lineRule="auto"/>
        <w:jc w:val="center"/>
        <w:rPr>
          <w:b/>
          <w:sz w:val="16"/>
        </w:rPr>
      </w:pPr>
      <w:r>
        <w:rPr>
          <w:rFonts w:ascii="Arial" w:hAnsi="Arial" w:cs="Arial"/>
          <w:b/>
          <w:sz w:val="16"/>
        </w:rPr>
        <w:br w:type="textWrapping" w:clear="all"/>
      </w:r>
      <w:r>
        <w:rPr>
          <w:b/>
          <w:sz w:val="16"/>
        </w:rPr>
        <w:t xml:space="preserve">      </w:t>
      </w:r>
      <w:r w:rsidRPr="00BF377A">
        <w:rPr>
          <w:b/>
          <w:sz w:val="16"/>
        </w:rPr>
        <w:t>* Cifras al Cierre del mes de septiembre de 202</w:t>
      </w:r>
      <w:r w:rsidR="00CE4A6A">
        <w:rPr>
          <w:b/>
          <w:sz w:val="16"/>
        </w:rPr>
        <w:t>2</w:t>
      </w:r>
      <w:r w:rsidRPr="00BF377A">
        <w:rPr>
          <w:b/>
          <w:sz w:val="16"/>
        </w:rPr>
        <w:t>.</w:t>
      </w:r>
    </w:p>
    <w:p w14:paraId="5428639F" w14:textId="77777777" w:rsidR="00916798" w:rsidRPr="00032945" w:rsidRDefault="00916798" w:rsidP="00916798">
      <w:pPr>
        <w:spacing w:line="360" w:lineRule="auto"/>
        <w:jc w:val="center"/>
        <w:rPr>
          <w:rFonts w:ascii="Arial" w:hAnsi="Arial" w:cs="Arial"/>
          <w:b/>
          <w:sz w:val="16"/>
        </w:rPr>
      </w:pPr>
    </w:p>
    <w:p w14:paraId="2AEBB9E1" w14:textId="56737053" w:rsidR="00916798" w:rsidRDefault="00CE4A6A" w:rsidP="00916798">
      <w:pPr>
        <w:spacing w:line="360" w:lineRule="auto"/>
        <w:jc w:val="both"/>
        <w:rPr>
          <w:rFonts w:ascii="Arial" w:hAnsi="Arial" w:cs="Arial"/>
        </w:rPr>
      </w:pPr>
      <w:r w:rsidRPr="00CE4A6A">
        <w:rPr>
          <w:sz w:val="20"/>
          <w:szCs w:val="20"/>
        </w:rPr>
        <w:t>El Gobierno del Estado, tiene como prioridad sanear el Sistema Estatal de Pensiones garantizando la solvencia de la Institución e impulsando el otorgamiento y recuperación de créditos. En los últimos años se han realizado las aportaciones siguientes:</w:t>
      </w:r>
    </w:p>
    <w:tbl>
      <w:tblPr>
        <w:tblW w:w="4064" w:type="dxa"/>
        <w:jc w:val="center"/>
        <w:tblCellMar>
          <w:left w:w="70" w:type="dxa"/>
          <w:right w:w="70" w:type="dxa"/>
        </w:tblCellMar>
        <w:tblLook w:val="04A0" w:firstRow="1" w:lastRow="0" w:firstColumn="1" w:lastColumn="0" w:noHBand="0" w:noVBand="1"/>
      </w:tblPr>
      <w:tblGrid>
        <w:gridCol w:w="1560"/>
        <w:gridCol w:w="2504"/>
      </w:tblGrid>
      <w:tr w:rsidR="00916798" w:rsidRPr="00BF377A" w14:paraId="4A34F7B0" w14:textId="77777777" w:rsidTr="00E979C7">
        <w:trPr>
          <w:trHeight w:val="746"/>
          <w:jc w:val="center"/>
        </w:trPr>
        <w:tc>
          <w:tcPr>
            <w:tcW w:w="1560" w:type="dxa"/>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center"/>
            <w:hideMark/>
          </w:tcPr>
          <w:p w14:paraId="3046A802" w14:textId="77777777" w:rsidR="00916798" w:rsidRPr="00BF377A" w:rsidRDefault="00916798" w:rsidP="00E979C7">
            <w:pPr>
              <w:spacing w:line="360" w:lineRule="auto"/>
              <w:jc w:val="center"/>
              <w:rPr>
                <w:b/>
                <w:bCs/>
                <w:color w:val="000000"/>
                <w:sz w:val="20"/>
                <w:szCs w:val="20"/>
                <w:lang w:eastAsia="es-MX"/>
              </w:rPr>
            </w:pPr>
            <w:r w:rsidRPr="00BF377A">
              <w:rPr>
                <w:b/>
                <w:bCs/>
                <w:color w:val="000000"/>
                <w:sz w:val="20"/>
                <w:szCs w:val="20"/>
                <w:lang w:eastAsia="es-MX"/>
              </w:rPr>
              <w:lastRenderedPageBreak/>
              <w:t>AÑO</w:t>
            </w:r>
          </w:p>
        </w:tc>
        <w:tc>
          <w:tcPr>
            <w:tcW w:w="2504" w:type="dxa"/>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21A82234" w14:textId="77777777" w:rsidR="00916798" w:rsidRPr="00BF377A" w:rsidRDefault="00916798" w:rsidP="00E979C7">
            <w:pPr>
              <w:spacing w:line="360" w:lineRule="auto"/>
              <w:jc w:val="center"/>
              <w:rPr>
                <w:b/>
                <w:bCs/>
                <w:color w:val="000000"/>
                <w:sz w:val="20"/>
                <w:szCs w:val="20"/>
                <w:lang w:eastAsia="es-MX"/>
              </w:rPr>
            </w:pPr>
            <w:r w:rsidRPr="00BF377A">
              <w:rPr>
                <w:b/>
                <w:bCs/>
                <w:color w:val="000000"/>
                <w:sz w:val="20"/>
                <w:szCs w:val="20"/>
                <w:lang w:eastAsia="es-MX"/>
              </w:rPr>
              <w:t>FONDO DE CRÉDITOS (MDP)</w:t>
            </w:r>
          </w:p>
        </w:tc>
      </w:tr>
      <w:tr w:rsidR="00916798" w:rsidRPr="00BF377A" w14:paraId="3253DA45" w14:textId="77777777" w:rsidTr="00E979C7">
        <w:trPr>
          <w:trHeight w:val="474"/>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6D0EE9C2" w14:textId="77777777" w:rsidR="00916798" w:rsidRPr="00BF377A" w:rsidRDefault="00916798" w:rsidP="00E979C7">
            <w:pPr>
              <w:spacing w:line="360" w:lineRule="auto"/>
              <w:rPr>
                <w:b/>
                <w:bCs/>
                <w:color w:val="000000"/>
                <w:sz w:val="20"/>
                <w:szCs w:val="20"/>
                <w:lang w:eastAsia="es-MX"/>
              </w:rPr>
            </w:pPr>
            <w:r w:rsidRPr="00BF377A">
              <w:rPr>
                <w:b/>
                <w:bCs/>
                <w:color w:val="000000"/>
                <w:sz w:val="20"/>
                <w:szCs w:val="20"/>
                <w:lang w:eastAsia="es-MX"/>
              </w:rPr>
              <w:t>Ejercicio 2013</w:t>
            </w:r>
          </w:p>
        </w:tc>
        <w:tc>
          <w:tcPr>
            <w:tcW w:w="2504" w:type="dxa"/>
            <w:tcBorders>
              <w:top w:val="nil"/>
              <w:left w:val="nil"/>
              <w:bottom w:val="single" w:sz="4" w:space="0" w:color="auto"/>
              <w:right w:val="single" w:sz="4" w:space="0" w:color="auto"/>
            </w:tcBorders>
            <w:shd w:val="clear" w:color="auto" w:fill="auto"/>
            <w:noWrap/>
            <w:vAlign w:val="center"/>
            <w:hideMark/>
          </w:tcPr>
          <w:p w14:paraId="702ABAF9" w14:textId="77777777" w:rsidR="00916798" w:rsidRPr="00BF377A" w:rsidRDefault="00916798" w:rsidP="00E979C7">
            <w:pPr>
              <w:spacing w:line="360" w:lineRule="auto"/>
              <w:jc w:val="right"/>
              <w:rPr>
                <w:color w:val="000000"/>
                <w:sz w:val="20"/>
                <w:szCs w:val="20"/>
                <w:lang w:eastAsia="es-MX"/>
              </w:rPr>
            </w:pPr>
            <w:r w:rsidRPr="00BF377A">
              <w:rPr>
                <w:color w:val="000000"/>
                <w:sz w:val="20"/>
                <w:szCs w:val="20"/>
                <w:lang w:eastAsia="es-MX"/>
              </w:rPr>
              <w:t>70.0</w:t>
            </w:r>
          </w:p>
        </w:tc>
      </w:tr>
      <w:tr w:rsidR="00916798" w:rsidRPr="00BF377A" w14:paraId="15130416" w14:textId="77777777" w:rsidTr="00E979C7">
        <w:trPr>
          <w:trHeight w:val="51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55E94DA0" w14:textId="77777777" w:rsidR="00916798" w:rsidRPr="00BF377A" w:rsidRDefault="00916798" w:rsidP="00E979C7">
            <w:pPr>
              <w:spacing w:line="360" w:lineRule="auto"/>
              <w:rPr>
                <w:b/>
                <w:bCs/>
                <w:color w:val="000000"/>
                <w:sz w:val="20"/>
                <w:szCs w:val="20"/>
                <w:lang w:eastAsia="es-MX"/>
              </w:rPr>
            </w:pPr>
            <w:r w:rsidRPr="00BF377A">
              <w:rPr>
                <w:b/>
                <w:bCs/>
                <w:color w:val="000000"/>
                <w:sz w:val="20"/>
                <w:szCs w:val="20"/>
                <w:lang w:eastAsia="es-MX"/>
              </w:rPr>
              <w:t>Ejercicio 2014</w:t>
            </w:r>
          </w:p>
        </w:tc>
        <w:tc>
          <w:tcPr>
            <w:tcW w:w="2504" w:type="dxa"/>
            <w:tcBorders>
              <w:top w:val="nil"/>
              <w:left w:val="nil"/>
              <w:bottom w:val="single" w:sz="4" w:space="0" w:color="auto"/>
              <w:right w:val="single" w:sz="4" w:space="0" w:color="auto"/>
            </w:tcBorders>
            <w:shd w:val="clear" w:color="auto" w:fill="auto"/>
            <w:noWrap/>
            <w:vAlign w:val="center"/>
            <w:hideMark/>
          </w:tcPr>
          <w:p w14:paraId="7253D4AE" w14:textId="77777777" w:rsidR="00916798" w:rsidRPr="00BF377A" w:rsidRDefault="00916798" w:rsidP="00E979C7">
            <w:pPr>
              <w:spacing w:line="360" w:lineRule="auto"/>
              <w:jc w:val="right"/>
              <w:rPr>
                <w:color w:val="000000"/>
                <w:sz w:val="20"/>
                <w:szCs w:val="20"/>
                <w:lang w:eastAsia="es-MX"/>
              </w:rPr>
            </w:pPr>
            <w:r w:rsidRPr="00BF377A">
              <w:rPr>
                <w:color w:val="000000"/>
                <w:sz w:val="20"/>
                <w:szCs w:val="20"/>
                <w:lang w:eastAsia="es-MX"/>
              </w:rPr>
              <w:t>21.0</w:t>
            </w:r>
          </w:p>
        </w:tc>
      </w:tr>
      <w:tr w:rsidR="00916798" w:rsidRPr="00BF377A" w14:paraId="09931640" w14:textId="77777777" w:rsidTr="00E979C7">
        <w:trPr>
          <w:trHeight w:val="53"/>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159070A0" w14:textId="77777777" w:rsidR="00916798" w:rsidRPr="00BF377A" w:rsidRDefault="00916798" w:rsidP="00E979C7">
            <w:pPr>
              <w:spacing w:line="360" w:lineRule="auto"/>
              <w:rPr>
                <w:b/>
                <w:bCs/>
                <w:color w:val="000000"/>
                <w:sz w:val="20"/>
                <w:szCs w:val="20"/>
                <w:lang w:eastAsia="es-MX"/>
              </w:rPr>
            </w:pPr>
            <w:r w:rsidRPr="00BF377A">
              <w:rPr>
                <w:b/>
                <w:bCs/>
                <w:color w:val="000000"/>
                <w:sz w:val="20"/>
                <w:szCs w:val="20"/>
                <w:lang w:eastAsia="es-MX"/>
              </w:rPr>
              <w:t>Ejercicio 2016</w:t>
            </w:r>
          </w:p>
        </w:tc>
        <w:tc>
          <w:tcPr>
            <w:tcW w:w="2504" w:type="dxa"/>
            <w:tcBorders>
              <w:top w:val="nil"/>
              <w:left w:val="nil"/>
              <w:bottom w:val="single" w:sz="4" w:space="0" w:color="auto"/>
              <w:right w:val="single" w:sz="4" w:space="0" w:color="auto"/>
            </w:tcBorders>
            <w:shd w:val="clear" w:color="auto" w:fill="auto"/>
            <w:noWrap/>
            <w:vAlign w:val="center"/>
            <w:hideMark/>
          </w:tcPr>
          <w:p w14:paraId="613D592E" w14:textId="77777777" w:rsidR="00916798" w:rsidRPr="00BF377A" w:rsidRDefault="00916798" w:rsidP="00E979C7">
            <w:pPr>
              <w:spacing w:line="360" w:lineRule="auto"/>
              <w:jc w:val="right"/>
              <w:rPr>
                <w:bCs/>
                <w:color w:val="000000"/>
                <w:sz w:val="20"/>
                <w:szCs w:val="20"/>
                <w:lang w:eastAsia="es-MX"/>
              </w:rPr>
            </w:pPr>
            <w:r w:rsidRPr="00BF377A">
              <w:rPr>
                <w:bCs/>
                <w:color w:val="000000"/>
                <w:sz w:val="20"/>
                <w:szCs w:val="20"/>
                <w:lang w:eastAsia="es-MX"/>
              </w:rPr>
              <w:t>59.0</w:t>
            </w:r>
          </w:p>
        </w:tc>
      </w:tr>
      <w:tr w:rsidR="00916798" w:rsidRPr="00BF377A" w14:paraId="1D450CBB" w14:textId="77777777" w:rsidTr="00E979C7">
        <w:trPr>
          <w:trHeight w:val="53"/>
          <w:jc w:val="center"/>
        </w:trPr>
        <w:tc>
          <w:tcPr>
            <w:tcW w:w="1560" w:type="dxa"/>
            <w:tcBorders>
              <w:top w:val="nil"/>
              <w:left w:val="single" w:sz="4" w:space="0" w:color="auto"/>
              <w:bottom w:val="single" w:sz="4" w:space="0" w:color="auto"/>
              <w:right w:val="single" w:sz="4" w:space="0" w:color="auto"/>
            </w:tcBorders>
            <w:shd w:val="clear" w:color="auto" w:fill="auto"/>
            <w:noWrap/>
            <w:vAlign w:val="center"/>
          </w:tcPr>
          <w:p w14:paraId="6AC9553D" w14:textId="77777777" w:rsidR="00916798" w:rsidRPr="00BF377A" w:rsidRDefault="00916798" w:rsidP="00E979C7">
            <w:pPr>
              <w:spacing w:line="360" w:lineRule="auto"/>
              <w:rPr>
                <w:b/>
                <w:bCs/>
                <w:color w:val="000000"/>
                <w:sz w:val="20"/>
                <w:szCs w:val="20"/>
                <w:lang w:eastAsia="es-MX"/>
              </w:rPr>
            </w:pPr>
            <w:r w:rsidRPr="00BF377A">
              <w:rPr>
                <w:b/>
                <w:bCs/>
                <w:color w:val="000000"/>
                <w:sz w:val="20"/>
                <w:szCs w:val="20"/>
                <w:lang w:eastAsia="es-MX"/>
              </w:rPr>
              <w:t>Ejercicio 2017</w:t>
            </w:r>
          </w:p>
        </w:tc>
        <w:tc>
          <w:tcPr>
            <w:tcW w:w="2504" w:type="dxa"/>
            <w:tcBorders>
              <w:top w:val="nil"/>
              <w:left w:val="nil"/>
              <w:bottom w:val="single" w:sz="4" w:space="0" w:color="auto"/>
              <w:right w:val="single" w:sz="4" w:space="0" w:color="auto"/>
            </w:tcBorders>
            <w:shd w:val="clear" w:color="auto" w:fill="auto"/>
            <w:noWrap/>
            <w:vAlign w:val="center"/>
          </w:tcPr>
          <w:p w14:paraId="48D7E3A5" w14:textId="77777777" w:rsidR="00916798" w:rsidRPr="00BF377A" w:rsidRDefault="00916798" w:rsidP="00E979C7">
            <w:pPr>
              <w:spacing w:line="360" w:lineRule="auto"/>
              <w:jc w:val="right"/>
              <w:rPr>
                <w:bCs/>
                <w:color w:val="000000"/>
                <w:sz w:val="20"/>
                <w:szCs w:val="20"/>
                <w:lang w:eastAsia="es-MX"/>
              </w:rPr>
            </w:pPr>
            <w:r w:rsidRPr="00BF377A">
              <w:rPr>
                <w:bCs/>
                <w:color w:val="000000"/>
                <w:sz w:val="20"/>
                <w:szCs w:val="20"/>
                <w:lang w:eastAsia="es-MX"/>
              </w:rPr>
              <w:t>0.0</w:t>
            </w:r>
          </w:p>
        </w:tc>
      </w:tr>
      <w:tr w:rsidR="00916798" w:rsidRPr="00BF377A" w14:paraId="718AD6DA" w14:textId="77777777" w:rsidTr="00E979C7">
        <w:trPr>
          <w:trHeight w:val="53"/>
          <w:jc w:val="center"/>
        </w:trPr>
        <w:tc>
          <w:tcPr>
            <w:tcW w:w="1560" w:type="dxa"/>
            <w:tcBorders>
              <w:top w:val="nil"/>
              <w:left w:val="single" w:sz="4" w:space="0" w:color="auto"/>
              <w:bottom w:val="single" w:sz="4" w:space="0" w:color="auto"/>
              <w:right w:val="single" w:sz="4" w:space="0" w:color="auto"/>
            </w:tcBorders>
            <w:shd w:val="clear" w:color="auto" w:fill="auto"/>
            <w:noWrap/>
            <w:vAlign w:val="center"/>
          </w:tcPr>
          <w:p w14:paraId="7D0628F6" w14:textId="77777777" w:rsidR="00916798" w:rsidRPr="00BF377A" w:rsidRDefault="00916798" w:rsidP="00E979C7">
            <w:pPr>
              <w:spacing w:line="360" w:lineRule="auto"/>
              <w:rPr>
                <w:b/>
                <w:bCs/>
                <w:color w:val="000000"/>
                <w:sz w:val="20"/>
                <w:szCs w:val="20"/>
                <w:lang w:eastAsia="es-MX"/>
              </w:rPr>
            </w:pPr>
            <w:r w:rsidRPr="00BF377A">
              <w:rPr>
                <w:b/>
                <w:bCs/>
                <w:color w:val="000000"/>
                <w:sz w:val="20"/>
                <w:szCs w:val="20"/>
                <w:lang w:eastAsia="es-MX"/>
              </w:rPr>
              <w:t>Ejercicio 2018</w:t>
            </w:r>
          </w:p>
        </w:tc>
        <w:tc>
          <w:tcPr>
            <w:tcW w:w="2504" w:type="dxa"/>
            <w:tcBorders>
              <w:top w:val="nil"/>
              <w:left w:val="nil"/>
              <w:bottom w:val="single" w:sz="4" w:space="0" w:color="auto"/>
              <w:right w:val="single" w:sz="4" w:space="0" w:color="auto"/>
            </w:tcBorders>
            <w:shd w:val="clear" w:color="auto" w:fill="auto"/>
            <w:noWrap/>
            <w:vAlign w:val="center"/>
          </w:tcPr>
          <w:p w14:paraId="705E6D0F" w14:textId="77777777" w:rsidR="00916798" w:rsidRPr="00BF377A" w:rsidRDefault="00916798" w:rsidP="00E979C7">
            <w:pPr>
              <w:spacing w:line="360" w:lineRule="auto"/>
              <w:jc w:val="right"/>
              <w:rPr>
                <w:bCs/>
                <w:color w:val="000000"/>
                <w:sz w:val="20"/>
                <w:szCs w:val="20"/>
                <w:lang w:eastAsia="es-MX"/>
              </w:rPr>
            </w:pPr>
            <w:r w:rsidRPr="00BF377A">
              <w:rPr>
                <w:bCs/>
                <w:color w:val="000000"/>
                <w:sz w:val="20"/>
                <w:szCs w:val="20"/>
                <w:lang w:eastAsia="es-MX"/>
              </w:rPr>
              <w:t>0.0</w:t>
            </w:r>
          </w:p>
        </w:tc>
      </w:tr>
      <w:tr w:rsidR="00916798" w:rsidRPr="00BF377A" w14:paraId="0BECB3D6" w14:textId="77777777" w:rsidTr="00E979C7">
        <w:trPr>
          <w:trHeight w:val="53"/>
          <w:jc w:val="center"/>
        </w:trPr>
        <w:tc>
          <w:tcPr>
            <w:tcW w:w="1560" w:type="dxa"/>
            <w:tcBorders>
              <w:top w:val="nil"/>
              <w:left w:val="single" w:sz="4" w:space="0" w:color="auto"/>
              <w:bottom w:val="single" w:sz="4" w:space="0" w:color="auto"/>
              <w:right w:val="single" w:sz="4" w:space="0" w:color="auto"/>
            </w:tcBorders>
            <w:shd w:val="clear" w:color="auto" w:fill="auto"/>
            <w:noWrap/>
            <w:vAlign w:val="center"/>
          </w:tcPr>
          <w:p w14:paraId="76615384" w14:textId="77777777" w:rsidR="00916798" w:rsidRPr="00BF377A" w:rsidRDefault="00916798" w:rsidP="00E979C7">
            <w:pPr>
              <w:spacing w:line="360" w:lineRule="auto"/>
              <w:rPr>
                <w:b/>
                <w:bCs/>
                <w:color w:val="000000"/>
                <w:sz w:val="20"/>
                <w:szCs w:val="20"/>
                <w:lang w:eastAsia="es-MX"/>
              </w:rPr>
            </w:pPr>
            <w:r w:rsidRPr="00BF377A">
              <w:rPr>
                <w:b/>
                <w:bCs/>
                <w:color w:val="000000"/>
                <w:sz w:val="20"/>
                <w:szCs w:val="20"/>
                <w:lang w:eastAsia="es-MX"/>
              </w:rPr>
              <w:t>Ejercicio 2019</w:t>
            </w:r>
          </w:p>
        </w:tc>
        <w:tc>
          <w:tcPr>
            <w:tcW w:w="2504" w:type="dxa"/>
            <w:tcBorders>
              <w:top w:val="nil"/>
              <w:left w:val="nil"/>
              <w:bottom w:val="single" w:sz="4" w:space="0" w:color="auto"/>
              <w:right w:val="single" w:sz="4" w:space="0" w:color="auto"/>
            </w:tcBorders>
            <w:shd w:val="clear" w:color="auto" w:fill="auto"/>
            <w:noWrap/>
            <w:vAlign w:val="center"/>
          </w:tcPr>
          <w:p w14:paraId="0ECDE591" w14:textId="77777777" w:rsidR="00916798" w:rsidRPr="00BF377A" w:rsidRDefault="00916798" w:rsidP="00E979C7">
            <w:pPr>
              <w:spacing w:line="360" w:lineRule="auto"/>
              <w:jc w:val="right"/>
              <w:rPr>
                <w:bCs/>
                <w:color w:val="000000"/>
                <w:sz w:val="20"/>
                <w:szCs w:val="20"/>
                <w:lang w:eastAsia="es-MX"/>
              </w:rPr>
            </w:pPr>
            <w:r w:rsidRPr="00BF377A">
              <w:rPr>
                <w:bCs/>
                <w:color w:val="000000"/>
                <w:sz w:val="20"/>
                <w:szCs w:val="20"/>
                <w:lang w:eastAsia="es-MX"/>
              </w:rPr>
              <w:t>0.0</w:t>
            </w:r>
          </w:p>
        </w:tc>
      </w:tr>
      <w:tr w:rsidR="00916798" w:rsidRPr="00BF377A" w14:paraId="7D8E4752" w14:textId="77777777" w:rsidTr="00E979C7">
        <w:trPr>
          <w:trHeight w:val="53"/>
          <w:jc w:val="center"/>
        </w:trPr>
        <w:tc>
          <w:tcPr>
            <w:tcW w:w="1560" w:type="dxa"/>
            <w:tcBorders>
              <w:top w:val="nil"/>
              <w:left w:val="single" w:sz="4" w:space="0" w:color="auto"/>
              <w:bottom w:val="single" w:sz="4" w:space="0" w:color="auto"/>
              <w:right w:val="single" w:sz="4" w:space="0" w:color="auto"/>
            </w:tcBorders>
            <w:shd w:val="clear" w:color="auto" w:fill="auto"/>
            <w:noWrap/>
            <w:vAlign w:val="center"/>
          </w:tcPr>
          <w:p w14:paraId="12BBC926" w14:textId="77777777" w:rsidR="00916798" w:rsidRPr="00BF377A" w:rsidRDefault="00916798" w:rsidP="00E979C7">
            <w:pPr>
              <w:spacing w:line="360" w:lineRule="auto"/>
              <w:rPr>
                <w:b/>
                <w:bCs/>
                <w:color w:val="000000"/>
                <w:sz w:val="20"/>
                <w:szCs w:val="20"/>
                <w:lang w:eastAsia="es-MX"/>
              </w:rPr>
            </w:pPr>
            <w:r w:rsidRPr="00BF377A">
              <w:rPr>
                <w:b/>
                <w:bCs/>
                <w:color w:val="000000"/>
                <w:sz w:val="20"/>
                <w:szCs w:val="20"/>
                <w:lang w:eastAsia="es-MX"/>
              </w:rPr>
              <w:t>Ejercicio 2020</w:t>
            </w:r>
          </w:p>
        </w:tc>
        <w:tc>
          <w:tcPr>
            <w:tcW w:w="2504" w:type="dxa"/>
            <w:tcBorders>
              <w:top w:val="nil"/>
              <w:left w:val="nil"/>
              <w:bottom w:val="single" w:sz="4" w:space="0" w:color="auto"/>
              <w:right w:val="single" w:sz="4" w:space="0" w:color="auto"/>
            </w:tcBorders>
            <w:shd w:val="clear" w:color="auto" w:fill="auto"/>
            <w:noWrap/>
            <w:vAlign w:val="center"/>
          </w:tcPr>
          <w:p w14:paraId="49207751" w14:textId="77777777" w:rsidR="00916798" w:rsidRPr="00BF377A" w:rsidRDefault="00916798" w:rsidP="00E979C7">
            <w:pPr>
              <w:spacing w:line="360" w:lineRule="auto"/>
              <w:jc w:val="right"/>
              <w:rPr>
                <w:bCs/>
                <w:color w:val="000000"/>
                <w:sz w:val="20"/>
                <w:szCs w:val="20"/>
                <w:lang w:eastAsia="es-MX"/>
              </w:rPr>
            </w:pPr>
            <w:r w:rsidRPr="00BF377A">
              <w:rPr>
                <w:bCs/>
                <w:color w:val="000000"/>
                <w:sz w:val="20"/>
                <w:szCs w:val="20"/>
                <w:lang w:eastAsia="es-MX"/>
              </w:rPr>
              <w:t>0.0</w:t>
            </w:r>
          </w:p>
        </w:tc>
      </w:tr>
      <w:tr w:rsidR="00916798" w:rsidRPr="00BF377A" w14:paraId="0CE34D8F" w14:textId="77777777" w:rsidTr="00E979C7">
        <w:trPr>
          <w:trHeight w:val="53"/>
          <w:jc w:val="center"/>
        </w:trPr>
        <w:tc>
          <w:tcPr>
            <w:tcW w:w="1560" w:type="dxa"/>
            <w:tcBorders>
              <w:top w:val="nil"/>
              <w:left w:val="single" w:sz="4" w:space="0" w:color="auto"/>
              <w:bottom w:val="single" w:sz="4" w:space="0" w:color="auto"/>
              <w:right w:val="single" w:sz="4" w:space="0" w:color="auto"/>
            </w:tcBorders>
            <w:shd w:val="clear" w:color="auto" w:fill="auto"/>
            <w:noWrap/>
            <w:vAlign w:val="center"/>
          </w:tcPr>
          <w:p w14:paraId="56532061" w14:textId="25A8F7BF" w:rsidR="00916798" w:rsidRPr="00BF377A" w:rsidRDefault="00916798" w:rsidP="00CE4A6A">
            <w:pPr>
              <w:spacing w:line="360" w:lineRule="auto"/>
              <w:rPr>
                <w:b/>
                <w:bCs/>
                <w:color w:val="000000"/>
                <w:sz w:val="20"/>
                <w:szCs w:val="20"/>
                <w:lang w:eastAsia="es-MX"/>
              </w:rPr>
            </w:pPr>
            <w:r w:rsidRPr="00BF377A">
              <w:rPr>
                <w:b/>
                <w:bCs/>
                <w:color w:val="000000"/>
                <w:sz w:val="20"/>
                <w:szCs w:val="20"/>
                <w:lang w:eastAsia="es-MX"/>
              </w:rPr>
              <w:t>Ejercicio 2021</w:t>
            </w:r>
          </w:p>
        </w:tc>
        <w:tc>
          <w:tcPr>
            <w:tcW w:w="2504" w:type="dxa"/>
            <w:tcBorders>
              <w:top w:val="nil"/>
              <w:left w:val="nil"/>
              <w:bottom w:val="single" w:sz="4" w:space="0" w:color="auto"/>
              <w:right w:val="single" w:sz="4" w:space="0" w:color="auto"/>
            </w:tcBorders>
            <w:shd w:val="clear" w:color="auto" w:fill="auto"/>
            <w:noWrap/>
            <w:vAlign w:val="center"/>
          </w:tcPr>
          <w:p w14:paraId="4E0E125D" w14:textId="77777777" w:rsidR="00916798" w:rsidRPr="00BF377A" w:rsidRDefault="00916798" w:rsidP="00E979C7">
            <w:pPr>
              <w:spacing w:line="360" w:lineRule="auto"/>
              <w:jc w:val="right"/>
              <w:rPr>
                <w:bCs/>
                <w:color w:val="000000"/>
                <w:sz w:val="20"/>
                <w:szCs w:val="20"/>
                <w:lang w:eastAsia="es-MX"/>
              </w:rPr>
            </w:pPr>
            <w:r w:rsidRPr="00BF377A">
              <w:rPr>
                <w:bCs/>
                <w:color w:val="000000"/>
                <w:sz w:val="20"/>
                <w:szCs w:val="20"/>
                <w:lang w:eastAsia="es-MX"/>
              </w:rPr>
              <w:t>0.0</w:t>
            </w:r>
          </w:p>
        </w:tc>
      </w:tr>
      <w:tr w:rsidR="00CE4A6A" w:rsidRPr="00BF377A" w14:paraId="3F0A15F6" w14:textId="77777777" w:rsidTr="00E979C7">
        <w:trPr>
          <w:trHeight w:val="53"/>
          <w:jc w:val="center"/>
        </w:trPr>
        <w:tc>
          <w:tcPr>
            <w:tcW w:w="1560" w:type="dxa"/>
            <w:tcBorders>
              <w:top w:val="nil"/>
              <w:left w:val="single" w:sz="4" w:space="0" w:color="auto"/>
              <w:bottom w:val="single" w:sz="4" w:space="0" w:color="auto"/>
              <w:right w:val="single" w:sz="4" w:space="0" w:color="auto"/>
            </w:tcBorders>
            <w:shd w:val="clear" w:color="auto" w:fill="auto"/>
            <w:noWrap/>
            <w:vAlign w:val="center"/>
          </w:tcPr>
          <w:p w14:paraId="2731277B" w14:textId="208F418A" w:rsidR="00CE4A6A" w:rsidRPr="00BF377A" w:rsidRDefault="00CE4A6A" w:rsidP="00CE4A6A">
            <w:pPr>
              <w:spacing w:line="360" w:lineRule="auto"/>
              <w:rPr>
                <w:b/>
                <w:bCs/>
                <w:color w:val="000000"/>
                <w:sz w:val="20"/>
                <w:szCs w:val="20"/>
                <w:lang w:eastAsia="es-MX"/>
              </w:rPr>
            </w:pPr>
            <w:r>
              <w:rPr>
                <w:b/>
                <w:bCs/>
                <w:color w:val="000000"/>
                <w:sz w:val="20"/>
                <w:szCs w:val="20"/>
                <w:lang w:eastAsia="es-MX"/>
              </w:rPr>
              <w:t>*</w:t>
            </w:r>
            <w:r w:rsidRPr="00BF377A">
              <w:rPr>
                <w:b/>
                <w:bCs/>
                <w:color w:val="000000"/>
                <w:sz w:val="20"/>
                <w:szCs w:val="20"/>
                <w:lang w:eastAsia="es-MX"/>
              </w:rPr>
              <w:t>Ejercicio 202</w:t>
            </w:r>
            <w:r>
              <w:rPr>
                <w:b/>
                <w:bCs/>
                <w:color w:val="000000"/>
                <w:sz w:val="20"/>
                <w:szCs w:val="20"/>
                <w:lang w:eastAsia="es-MX"/>
              </w:rPr>
              <w:t>2</w:t>
            </w:r>
          </w:p>
        </w:tc>
        <w:tc>
          <w:tcPr>
            <w:tcW w:w="2504" w:type="dxa"/>
            <w:tcBorders>
              <w:top w:val="nil"/>
              <w:left w:val="nil"/>
              <w:bottom w:val="single" w:sz="4" w:space="0" w:color="auto"/>
              <w:right w:val="single" w:sz="4" w:space="0" w:color="auto"/>
            </w:tcBorders>
            <w:shd w:val="clear" w:color="auto" w:fill="auto"/>
            <w:noWrap/>
            <w:vAlign w:val="center"/>
          </w:tcPr>
          <w:p w14:paraId="23C45BFF" w14:textId="49F3C0DD" w:rsidR="00CE4A6A" w:rsidRPr="00BF377A" w:rsidRDefault="00CE4A6A" w:rsidP="00CE4A6A">
            <w:pPr>
              <w:spacing w:line="360" w:lineRule="auto"/>
              <w:jc w:val="right"/>
              <w:rPr>
                <w:bCs/>
                <w:color w:val="000000"/>
                <w:sz w:val="20"/>
                <w:szCs w:val="20"/>
                <w:lang w:eastAsia="es-MX"/>
              </w:rPr>
            </w:pPr>
            <w:r w:rsidRPr="00BF377A">
              <w:rPr>
                <w:bCs/>
                <w:color w:val="000000"/>
                <w:sz w:val="20"/>
                <w:szCs w:val="20"/>
                <w:lang w:eastAsia="es-MX"/>
              </w:rPr>
              <w:t>0.0</w:t>
            </w:r>
          </w:p>
        </w:tc>
      </w:tr>
      <w:tr w:rsidR="00916798" w:rsidRPr="00BF377A" w14:paraId="11AD7D4E" w14:textId="77777777" w:rsidTr="00E979C7">
        <w:trPr>
          <w:trHeight w:val="53"/>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07231D47" w14:textId="77777777" w:rsidR="00916798" w:rsidRPr="00BF377A" w:rsidRDefault="00916798" w:rsidP="00E979C7">
            <w:pPr>
              <w:spacing w:line="360" w:lineRule="auto"/>
              <w:jc w:val="center"/>
              <w:rPr>
                <w:b/>
                <w:bCs/>
                <w:color w:val="000000"/>
                <w:sz w:val="20"/>
                <w:szCs w:val="20"/>
                <w:lang w:eastAsia="es-MX"/>
              </w:rPr>
            </w:pPr>
            <w:r w:rsidRPr="00BF377A">
              <w:rPr>
                <w:b/>
                <w:bCs/>
                <w:color w:val="000000"/>
                <w:sz w:val="20"/>
                <w:szCs w:val="20"/>
                <w:lang w:eastAsia="es-MX"/>
              </w:rPr>
              <w:t>SUMA</w:t>
            </w:r>
          </w:p>
        </w:tc>
        <w:tc>
          <w:tcPr>
            <w:tcW w:w="2504" w:type="dxa"/>
            <w:tcBorders>
              <w:top w:val="nil"/>
              <w:left w:val="nil"/>
              <w:bottom w:val="single" w:sz="4" w:space="0" w:color="auto"/>
              <w:right w:val="single" w:sz="4" w:space="0" w:color="auto"/>
            </w:tcBorders>
            <w:shd w:val="clear" w:color="auto" w:fill="auto"/>
            <w:noWrap/>
            <w:vAlign w:val="center"/>
            <w:hideMark/>
          </w:tcPr>
          <w:p w14:paraId="6926D45A" w14:textId="77777777" w:rsidR="00916798" w:rsidRPr="00BF377A" w:rsidRDefault="00916798" w:rsidP="00E979C7">
            <w:pPr>
              <w:spacing w:line="360" w:lineRule="auto"/>
              <w:jc w:val="right"/>
              <w:rPr>
                <w:b/>
                <w:bCs/>
                <w:color w:val="000000"/>
                <w:sz w:val="20"/>
                <w:szCs w:val="20"/>
                <w:lang w:eastAsia="es-MX"/>
              </w:rPr>
            </w:pPr>
            <w:r w:rsidRPr="00BF377A">
              <w:rPr>
                <w:b/>
                <w:bCs/>
                <w:color w:val="000000"/>
                <w:sz w:val="20"/>
                <w:szCs w:val="20"/>
                <w:lang w:eastAsia="es-MX"/>
              </w:rPr>
              <w:t>150.0</w:t>
            </w:r>
          </w:p>
        </w:tc>
      </w:tr>
    </w:tbl>
    <w:p w14:paraId="47ACCF6F" w14:textId="4193C522" w:rsidR="00916798" w:rsidRPr="00BF377A" w:rsidRDefault="00916798" w:rsidP="00916798">
      <w:pPr>
        <w:spacing w:line="360" w:lineRule="auto"/>
        <w:jc w:val="center"/>
        <w:rPr>
          <w:b/>
          <w:sz w:val="14"/>
          <w:szCs w:val="14"/>
        </w:rPr>
      </w:pPr>
      <w:r w:rsidRPr="00BF377A">
        <w:rPr>
          <w:b/>
          <w:sz w:val="14"/>
          <w:szCs w:val="14"/>
        </w:rPr>
        <w:t>* Cifras al Cierre del mes de septiembre de 202</w:t>
      </w:r>
      <w:r w:rsidR="00CE4A6A">
        <w:rPr>
          <w:b/>
          <w:sz w:val="14"/>
          <w:szCs w:val="14"/>
        </w:rPr>
        <w:t>2</w:t>
      </w:r>
      <w:r w:rsidRPr="00BF377A">
        <w:rPr>
          <w:b/>
          <w:sz w:val="14"/>
          <w:szCs w:val="14"/>
        </w:rPr>
        <w:t>.</w:t>
      </w:r>
    </w:p>
    <w:p w14:paraId="4B9EB4B5" w14:textId="77777777" w:rsidR="00916798" w:rsidRPr="00032945" w:rsidRDefault="00916798" w:rsidP="00916798">
      <w:pPr>
        <w:spacing w:line="360" w:lineRule="auto"/>
        <w:jc w:val="center"/>
        <w:rPr>
          <w:rFonts w:ascii="Arial" w:hAnsi="Arial" w:cs="Arial"/>
          <w:b/>
          <w:sz w:val="16"/>
        </w:rPr>
      </w:pPr>
    </w:p>
    <w:p w14:paraId="2287665D" w14:textId="5D807B40" w:rsidR="00916798" w:rsidRDefault="00CE4A6A" w:rsidP="00916798">
      <w:pPr>
        <w:spacing w:line="360" w:lineRule="auto"/>
        <w:jc w:val="center"/>
        <w:rPr>
          <w:rFonts w:ascii="Arial" w:hAnsi="Arial" w:cs="Arial"/>
          <w:b/>
        </w:rPr>
      </w:pPr>
      <w:r>
        <w:rPr>
          <w:rFonts w:ascii="Arial" w:hAnsi="Arial" w:cs="Arial"/>
          <w:b/>
          <w:noProof/>
          <w:lang w:val="es-MX" w:eastAsia="es-MX"/>
        </w:rPr>
        <w:drawing>
          <wp:inline distT="0" distB="0" distL="0" distR="0" wp14:anchorId="25053D8A" wp14:editId="5EA76C17">
            <wp:extent cx="4057650" cy="2581815"/>
            <wp:effectExtent l="0" t="0" r="0" b="952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3317"/>
                    <a:stretch/>
                  </pic:blipFill>
                  <pic:spPr bwMode="auto">
                    <a:xfrm>
                      <a:off x="0" y="0"/>
                      <a:ext cx="4086859" cy="2600400"/>
                    </a:xfrm>
                    <a:prstGeom prst="rect">
                      <a:avLst/>
                    </a:prstGeom>
                    <a:noFill/>
                    <a:ln>
                      <a:noFill/>
                    </a:ln>
                    <a:extLst>
                      <a:ext uri="{53640926-AAD7-44D8-BBD7-CCE9431645EC}">
                        <a14:shadowObscured xmlns:a14="http://schemas.microsoft.com/office/drawing/2010/main"/>
                      </a:ext>
                    </a:extLst>
                  </pic:spPr>
                </pic:pic>
              </a:graphicData>
            </a:graphic>
          </wp:inline>
        </w:drawing>
      </w:r>
    </w:p>
    <w:p w14:paraId="4DCA9296" w14:textId="77777777" w:rsidR="00F30254" w:rsidRDefault="00F30254" w:rsidP="00916798">
      <w:pPr>
        <w:spacing w:line="360" w:lineRule="auto"/>
        <w:jc w:val="both"/>
        <w:rPr>
          <w:b/>
          <w:sz w:val="20"/>
          <w:szCs w:val="20"/>
        </w:rPr>
      </w:pPr>
    </w:p>
    <w:p w14:paraId="3F6EB2C3" w14:textId="3F5227B8" w:rsidR="00916798" w:rsidRPr="00BF377A" w:rsidRDefault="00916798" w:rsidP="00916798">
      <w:pPr>
        <w:spacing w:line="360" w:lineRule="auto"/>
        <w:jc w:val="both"/>
        <w:rPr>
          <w:b/>
          <w:sz w:val="20"/>
          <w:szCs w:val="20"/>
        </w:rPr>
      </w:pPr>
      <w:r w:rsidRPr="00BF377A">
        <w:rPr>
          <w:b/>
          <w:sz w:val="20"/>
          <w:szCs w:val="20"/>
        </w:rPr>
        <w:t>CONCLUSIÓN</w:t>
      </w:r>
    </w:p>
    <w:p w14:paraId="14CCA66E" w14:textId="77777777" w:rsidR="00916798" w:rsidRPr="00BF377A" w:rsidRDefault="00916798" w:rsidP="00916798">
      <w:pPr>
        <w:spacing w:line="360" w:lineRule="auto"/>
        <w:ind w:left="-11"/>
        <w:jc w:val="both"/>
        <w:rPr>
          <w:sz w:val="20"/>
          <w:szCs w:val="20"/>
        </w:rPr>
      </w:pPr>
    </w:p>
    <w:p w14:paraId="283D2684" w14:textId="77777777" w:rsidR="00412187" w:rsidRPr="00412187" w:rsidRDefault="00412187" w:rsidP="00412187">
      <w:pPr>
        <w:spacing w:line="360" w:lineRule="auto"/>
        <w:ind w:left="-11"/>
        <w:jc w:val="both"/>
        <w:rPr>
          <w:sz w:val="20"/>
          <w:szCs w:val="20"/>
        </w:rPr>
      </w:pPr>
      <w:r w:rsidRPr="00412187">
        <w:rPr>
          <w:sz w:val="20"/>
          <w:szCs w:val="20"/>
        </w:rPr>
        <w:t xml:space="preserve">El programa económico contenido en el Paquete Económico Federal 2023 asegura la continuidad de una transformación cuyo eje central es el bienestar de las personas. Los logros en materia de recaudación, eficiencia en el gasto y equidad han sentado las bases para un desarrollo económico incluyente con estabilidad macroeconómica y gobernabilidad, lo cual refrenda el objetivo del Plan </w:t>
      </w:r>
      <w:r w:rsidRPr="00412187">
        <w:rPr>
          <w:sz w:val="20"/>
          <w:szCs w:val="20"/>
        </w:rPr>
        <w:lastRenderedPageBreak/>
        <w:t>Nacional de Desarrollo (PND) 2019-2024 de lograr un entorno de seguridad y bienestar general para toda la población en México.</w:t>
      </w:r>
    </w:p>
    <w:p w14:paraId="4CFB6D65" w14:textId="77777777" w:rsidR="00412187" w:rsidRPr="00412187" w:rsidRDefault="00412187" w:rsidP="00412187">
      <w:pPr>
        <w:spacing w:line="360" w:lineRule="auto"/>
        <w:ind w:left="-11"/>
        <w:jc w:val="both"/>
        <w:rPr>
          <w:sz w:val="20"/>
          <w:szCs w:val="20"/>
        </w:rPr>
      </w:pPr>
    </w:p>
    <w:p w14:paraId="64A0948E" w14:textId="77777777" w:rsidR="00412187" w:rsidRPr="00412187" w:rsidRDefault="00412187" w:rsidP="00412187">
      <w:pPr>
        <w:spacing w:line="360" w:lineRule="auto"/>
        <w:ind w:left="-11"/>
        <w:jc w:val="both"/>
        <w:rPr>
          <w:sz w:val="20"/>
          <w:szCs w:val="20"/>
        </w:rPr>
      </w:pPr>
      <w:r w:rsidRPr="00412187">
        <w:rPr>
          <w:sz w:val="20"/>
          <w:szCs w:val="20"/>
        </w:rPr>
        <w:t xml:space="preserve">La Cuarta Transformación busca cambiar la vida pública de Tlaxcala, romper los añejos estilos y dañinas prácticas de corrupción, mentira y gasto sin sentido social. Se pretende conferir a la palabra “transformación” un contenido distinto, un sentido de gobierno con objetivos precisos, unos esquemas de acción con herramientas probadas, un cuerpo conceptual que movilice a las personas a partir del diálogo social. Construir, con los ciudadanos, sus causas y demandas, una ética pública diferente, con moralidad distinta, que oriente la transformación que buscamos. </w:t>
      </w:r>
    </w:p>
    <w:p w14:paraId="7F6FF5C1" w14:textId="77777777" w:rsidR="00412187" w:rsidRPr="00412187" w:rsidRDefault="00412187" w:rsidP="00412187">
      <w:pPr>
        <w:spacing w:line="360" w:lineRule="auto"/>
        <w:ind w:left="-11"/>
        <w:jc w:val="both"/>
        <w:rPr>
          <w:sz w:val="20"/>
          <w:szCs w:val="20"/>
        </w:rPr>
      </w:pPr>
    </w:p>
    <w:p w14:paraId="0533FC15" w14:textId="77777777" w:rsidR="00412187" w:rsidRPr="00412187" w:rsidRDefault="00412187" w:rsidP="00412187">
      <w:pPr>
        <w:spacing w:line="360" w:lineRule="auto"/>
        <w:ind w:left="-11"/>
        <w:jc w:val="both"/>
        <w:rPr>
          <w:sz w:val="20"/>
          <w:szCs w:val="20"/>
        </w:rPr>
      </w:pPr>
      <w:r w:rsidRPr="00412187">
        <w:rPr>
          <w:sz w:val="20"/>
          <w:szCs w:val="20"/>
        </w:rPr>
        <w:t>Esta administración, ha definido políticas públicas para impulsar el desarrollo del Estado de una forma más equitativa, entre las que destacan: Fomentar las inversiones productivas, promover el empleo, la competitividad sectorial y la productividad, así como otorgar facilidades en las regulaciones públicas que incentiven la modernización del sector productivo, mediante espacios de concertación y apoyo con los sectores empresariales, los productores del campo, los sectores artesanales y los emprendedores.</w:t>
      </w:r>
    </w:p>
    <w:p w14:paraId="365A549F" w14:textId="77777777" w:rsidR="00412187" w:rsidRPr="00412187" w:rsidRDefault="00412187" w:rsidP="00412187">
      <w:pPr>
        <w:spacing w:line="360" w:lineRule="auto"/>
        <w:ind w:left="-11"/>
        <w:jc w:val="both"/>
        <w:rPr>
          <w:sz w:val="20"/>
          <w:szCs w:val="20"/>
        </w:rPr>
      </w:pPr>
    </w:p>
    <w:p w14:paraId="426D2AEF" w14:textId="4BBFFFDC" w:rsidR="00412187" w:rsidRPr="00412187" w:rsidRDefault="00412187" w:rsidP="00412187">
      <w:pPr>
        <w:spacing w:line="360" w:lineRule="auto"/>
        <w:ind w:left="-11"/>
        <w:jc w:val="both"/>
        <w:rPr>
          <w:sz w:val="20"/>
          <w:szCs w:val="20"/>
        </w:rPr>
      </w:pPr>
      <w:r w:rsidRPr="00412187">
        <w:rPr>
          <w:sz w:val="20"/>
          <w:szCs w:val="20"/>
        </w:rPr>
        <w:t>Los objetivos planteados, tienen como finalidad atender a la población que se encuentra bajo la línea de pobreza, reducir la desigualdad, promover el empleo, incrementar el PIB per cápita y optimizar la recaudación fiscal de las diferentes fuentes de ingresos, a través de la obtención de mayores recursos fiscales, siendo el Sistema Nacional de Coordinación Fiscal un instrumento de gran r</w:t>
      </w:r>
      <w:r w:rsidR="00B96299">
        <w:rPr>
          <w:sz w:val="20"/>
          <w:szCs w:val="20"/>
        </w:rPr>
        <w:t>elevancia para la obtención de e</w:t>
      </w:r>
      <w:r w:rsidRPr="00412187">
        <w:rPr>
          <w:sz w:val="20"/>
          <w:szCs w:val="20"/>
        </w:rPr>
        <w:t>stos recursos vía transferencias federales.</w:t>
      </w:r>
    </w:p>
    <w:p w14:paraId="7114DE20" w14:textId="77777777" w:rsidR="00412187" w:rsidRPr="00412187" w:rsidRDefault="00412187" w:rsidP="00412187">
      <w:pPr>
        <w:spacing w:line="360" w:lineRule="auto"/>
        <w:ind w:left="-11"/>
        <w:jc w:val="both"/>
        <w:rPr>
          <w:sz w:val="20"/>
          <w:szCs w:val="20"/>
        </w:rPr>
      </w:pPr>
    </w:p>
    <w:p w14:paraId="489A6085" w14:textId="77777777" w:rsidR="00412187" w:rsidRPr="00412187" w:rsidRDefault="00412187" w:rsidP="00412187">
      <w:pPr>
        <w:spacing w:line="360" w:lineRule="auto"/>
        <w:ind w:left="-11"/>
        <w:jc w:val="both"/>
        <w:rPr>
          <w:sz w:val="20"/>
          <w:szCs w:val="20"/>
        </w:rPr>
      </w:pPr>
      <w:r w:rsidRPr="00412187">
        <w:rPr>
          <w:sz w:val="20"/>
          <w:szCs w:val="20"/>
        </w:rPr>
        <w:t>Los recursos destinados a financiar los programas sociales provendrán del ahorro logrado por medio del combate a la corrupción, la eliminación de gastos suntuarios y evitar el desperdicio de recursos, además de crear las condiciones normativas y operativas para una recaudación efectiva, justa y en apego a la ley, y sobre todo mejorar la calidad de la inversión.</w:t>
      </w:r>
    </w:p>
    <w:p w14:paraId="6575A18F" w14:textId="77777777" w:rsidR="00412187" w:rsidRPr="00412187" w:rsidRDefault="00412187" w:rsidP="00412187">
      <w:pPr>
        <w:spacing w:line="360" w:lineRule="auto"/>
        <w:ind w:left="-11"/>
        <w:jc w:val="both"/>
        <w:rPr>
          <w:sz w:val="20"/>
          <w:szCs w:val="20"/>
        </w:rPr>
      </w:pPr>
    </w:p>
    <w:p w14:paraId="3AF85BB7" w14:textId="2E5C0C00" w:rsidR="00CE4A6A" w:rsidRDefault="00412187" w:rsidP="00412187">
      <w:pPr>
        <w:spacing w:line="360" w:lineRule="auto"/>
        <w:ind w:left="-11"/>
        <w:jc w:val="both"/>
        <w:rPr>
          <w:sz w:val="20"/>
          <w:szCs w:val="20"/>
        </w:rPr>
      </w:pPr>
      <w:r w:rsidRPr="00412187">
        <w:rPr>
          <w:sz w:val="20"/>
          <w:szCs w:val="20"/>
        </w:rPr>
        <w:t>La política de</w:t>
      </w:r>
      <w:r w:rsidR="00B96299">
        <w:rPr>
          <w:sz w:val="20"/>
          <w:szCs w:val="20"/>
        </w:rPr>
        <w:t>l Estado en materia de ingresos</w:t>
      </w:r>
      <w:r w:rsidRPr="00412187">
        <w:rPr>
          <w:sz w:val="20"/>
          <w:szCs w:val="20"/>
        </w:rPr>
        <w:t xml:space="preserve"> contribuirá a mantener un Balance Presupuestario Sostenible y a soportar el f</w:t>
      </w:r>
      <w:r w:rsidR="00B96299">
        <w:rPr>
          <w:sz w:val="20"/>
          <w:szCs w:val="20"/>
        </w:rPr>
        <w:t>inanciamiento del gasto público</w:t>
      </w:r>
      <w:r w:rsidRPr="00412187">
        <w:rPr>
          <w:sz w:val="20"/>
          <w:szCs w:val="20"/>
        </w:rPr>
        <w:t xml:space="preserve"> dando impulso a los programas y proyectos estratégicos con mayor impacto social y económico, a fin de favorecer a la población más vulnerable, promoviendo el cumplimiento voluntario para aumentar la recaudación sin aumentar los impuestos teniendo como finalidad la obtención de los siguientes resultados en materia tributaria y de coordinación fiscal</w:t>
      </w:r>
      <w:r w:rsidR="00CE4A6A" w:rsidRPr="00CE4A6A">
        <w:rPr>
          <w:sz w:val="20"/>
          <w:szCs w:val="20"/>
        </w:rPr>
        <w:t>:</w:t>
      </w:r>
    </w:p>
    <w:p w14:paraId="6245AEE4" w14:textId="77777777" w:rsidR="00CE4A6A" w:rsidRPr="00CE4A6A" w:rsidRDefault="00CE4A6A" w:rsidP="00CE4A6A">
      <w:pPr>
        <w:spacing w:line="360" w:lineRule="auto"/>
        <w:ind w:left="-11"/>
        <w:jc w:val="both"/>
        <w:rPr>
          <w:sz w:val="20"/>
          <w:szCs w:val="20"/>
        </w:rPr>
      </w:pPr>
    </w:p>
    <w:p w14:paraId="013B9D32" w14:textId="0073A097" w:rsidR="00CE4A6A" w:rsidRPr="00CE4A6A" w:rsidRDefault="00CE4A6A" w:rsidP="00126CF7">
      <w:pPr>
        <w:pStyle w:val="Prrafodelista"/>
        <w:numPr>
          <w:ilvl w:val="0"/>
          <w:numId w:val="26"/>
        </w:numPr>
        <w:spacing w:line="360" w:lineRule="auto"/>
        <w:jc w:val="both"/>
        <w:rPr>
          <w:sz w:val="20"/>
          <w:szCs w:val="20"/>
        </w:rPr>
      </w:pPr>
      <w:r w:rsidRPr="00CE4A6A">
        <w:rPr>
          <w:sz w:val="20"/>
          <w:szCs w:val="20"/>
        </w:rPr>
        <w:lastRenderedPageBreak/>
        <w:t>Mejorar la eficiencia y eficacia de la Administración Tributaria, a través de la atención, orientación y asistencia a los contribuyentes, que les permita cumplir en tiempo y forma con sus obligaciones fiscales.</w:t>
      </w:r>
    </w:p>
    <w:p w14:paraId="0DAF404F" w14:textId="14409FE0" w:rsidR="00CE4A6A" w:rsidRPr="00CE4A6A" w:rsidRDefault="00CE4A6A" w:rsidP="00126CF7">
      <w:pPr>
        <w:pStyle w:val="Prrafodelista"/>
        <w:numPr>
          <w:ilvl w:val="0"/>
          <w:numId w:val="26"/>
        </w:numPr>
        <w:spacing w:line="360" w:lineRule="auto"/>
        <w:jc w:val="both"/>
        <w:rPr>
          <w:sz w:val="20"/>
          <w:szCs w:val="20"/>
        </w:rPr>
      </w:pPr>
      <w:r w:rsidRPr="00CE4A6A">
        <w:rPr>
          <w:sz w:val="20"/>
          <w:szCs w:val="20"/>
        </w:rPr>
        <w:t>Reforzar los esquemas de control recaudatorio, mediante la integración de una base de datos de obligaciones fiscales, que permita manejar de manera óptima y responsable la información de los contribuyentes.</w:t>
      </w:r>
    </w:p>
    <w:p w14:paraId="77365ED2" w14:textId="69CE35E9" w:rsidR="00CE4A6A" w:rsidRPr="00CE4A6A" w:rsidRDefault="00CE4A6A" w:rsidP="00126CF7">
      <w:pPr>
        <w:pStyle w:val="Prrafodelista"/>
        <w:numPr>
          <w:ilvl w:val="0"/>
          <w:numId w:val="26"/>
        </w:numPr>
        <w:spacing w:line="360" w:lineRule="auto"/>
        <w:jc w:val="both"/>
        <w:rPr>
          <w:sz w:val="20"/>
          <w:szCs w:val="20"/>
        </w:rPr>
      </w:pPr>
      <w:r w:rsidRPr="00CE4A6A">
        <w:rPr>
          <w:sz w:val="20"/>
          <w:szCs w:val="20"/>
        </w:rPr>
        <w:t xml:space="preserve">Implementar procesos tecnológicos en las áreas de recaudación, profesionalizando a los servidores públicos con el fin de brindar un mejor servicio a la ciudadanía. </w:t>
      </w:r>
    </w:p>
    <w:p w14:paraId="7102528D" w14:textId="0071E9BF" w:rsidR="00CE4A6A" w:rsidRPr="00CE4A6A" w:rsidRDefault="00CE4A6A" w:rsidP="00126CF7">
      <w:pPr>
        <w:pStyle w:val="Prrafodelista"/>
        <w:numPr>
          <w:ilvl w:val="0"/>
          <w:numId w:val="26"/>
        </w:numPr>
        <w:spacing w:line="360" w:lineRule="auto"/>
        <w:jc w:val="both"/>
        <w:rPr>
          <w:sz w:val="20"/>
          <w:szCs w:val="20"/>
        </w:rPr>
      </w:pPr>
      <w:r w:rsidRPr="00CE4A6A">
        <w:rPr>
          <w:sz w:val="20"/>
          <w:szCs w:val="20"/>
        </w:rPr>
        <w:t>Realizar acciones tendientes a incrementar la recaudación, fiscalización, control y vigilancia de las contribuciones estatales y federales coordinadas, mediante actos de ejemplaridad que inhiban la evasión y elusión fiscal.</w:t>
      </w:r>
    </w:p>
    <w:p w14:paraId="274400A8" w14:textId="354E7137" w:rsidR="00CE4A6A" w:rsidRPr="00CE4A6A" w:rsidRDefault="00CE4A6A" w:rsidP="00126CF7">
      <w:pPr>
        <w:pStyle w:val="Prrafodelista"/>
        <w:numPr>
          <w:ilvl w:val="0"/>
          <w:numId w:val="26"/>
        </w:numPr>
        <w:spacing w:line="360" w:lineRule="auto"/>
        <w:jc w:val="both"/>
        <w:rPr>
          <w:sz w:val="20"/>
          <w:szCs w:val="20"/>
        </w:rPr>
      </w:pPr>
      <w:r w:rsidRPr="00CE4A6A">
        <w:rPr>
          <w:sz w:val="20"/>
          <w:szCs w:val="20"/>
        </w:rPr>
        <w:t xml:space="preserve">Incrementar la recuperación de créditos fiscales, mediante el Procedimiento Administrativo de Ejecución </w:t>
      </w:r>
    </w:p>
    <w:p w14:paraId="22133B0C" w14:textId="354573FB" w:rsidR="00CE4A6A" w:rsidRPr="00D13037" w:rsidRDefault="00CE4A6A" w:rsidP="00126CF7">
      <w:pPr>
        <w:pStyle w:val="Prrafodelista"/>
        <w:numPr>
          <w:ilvl w:val="0"/>
          <w:numId w:val="26"/>
        </w:numPr>
        <w:spacing w:line="360" w:lineRule="auto"/>
        <w:jc w:val="both"/>
        <w:rPr>
          <w:sz w:val="20"/>
          <w:szCs w:val="20"/>
        </w:rPr>
      </w:pPr>
      <w:r w:rsidRPr="00D13037">
        <w:rPr>
          <w:sz w:val="20"/>
          <w:szCs w:val="20"/>
        </w:rPr>
        <w:t>Otorgar estímulos fiscales para incentivar la economía local, que permita además motivar el cumplimiento de las obligaciones fiscales.</w:t>
      </w:r>
    </w:p>
    <w:p w14:paraId="0EE21A31" w14:textId="52CAC975" w:rsidR="00CE4A6A" w:rsidRDefault="00CE4A6A" w:rsidP="00126CF7">
      <w:pPr>
        <w:pStyle w:val="Prrafodelista"/>
        <w:numPr>
          <w:ilvl w:val="0"/>
          <w:numId w:val="26"/>
        </w:numPr>
        <w:spacing w:line="360" w:lineRule="auto"/>
        <w:jc w:val="both"/>
        <w:rPr>
          <w:sz w:val="20"/>
          <w:szCs w:val="20"/>
        </w:rPr>
      </w:pPr>
      <w:r w:rsidRPr="00D13037">
        <w:rPr>
          <w:sz w:val="20"/>
          <w:szCs w:val="20"/>
        </w:rPr>
        <w:t>Concluir la reestructuración administrativa del Gobierno del Estado, para un control integral de la gestión financiera y del gasto público.</w:t>
      </w:r>
    </w:p>
    <w:p w14:paraId="63244BF8" w14:textId="77777777" w:rsidR="00D13037" w:rsidRPr="00D13037" w:rsidRDefault="00D13037" w:rsidP="00D13037">
      <w:pPr>
        <w:pStyle w:val="Prrafodelista"/>
        <w:spacing w:line="360" w:lineRule="auto"/>
        <w:ind w:left="720"/>
        <w:jc w:val="both"/>
        <w:rPr>
          <w:sz w:val="20"/>
          <w:szCs w:val="20"/>
        </w:rPr>
      </w:pPr>
    </w:p>
    <w:p w14:paraId="1313958E" w14:textId="40C5FC04" w:rsidR="00CE4A6A" w:rsidRPr="00CE4A6A" w:rsidRDefault="00412187" w:rsidP="00CE4A6A">
      <w:pPr>
        <w:spacing w:line="360" w:lineRule="auto"/>
        <w:ind w:left="-11"/>
        <w:jc w:val="both"/>
        <w:rPr>
          <w:sz w:val="20"/>
          <w:szCs w:val="20"/>
        </w:rPr>
      </w:pPr>
      <w:r w:rsidRPr="00412187">
        <w:rPr>
          <w:sz w:val="20"/>
          <w:szCs w:val="20"/>
        </w:rPr>
        <w:t>La Iniciativa de Ley de Ingresos del Estado de Tlaxcala para el Ejercicio Fiscal 2023, considera un pronóstico de ingresos prudente, al tomar como referencia el comportamiento de las finanzas estatales y los posibles riesgos que pudieran modificar las metas planteadas, así como las medidas para contener dichos riesgos; es por ello que esta administración, en las consideraciones que sustentan la presente Iniciativa, da cumplimiento a las disposiciones en materia de contabilidad gubernamental, coordinación fiscal, disciplina financiera, fortalecimiento a la fiscalización, responsabilidad hacendaria, transparencia y rendición de cuentas, tomando en consideración los Criterios Generales de Política Económica para la Iniciativa de Ley de Ingresos y el Proyecto de Presupuesto de Egresos de la Federación correspondientes al Ejercicio Fiscal 2023 y del Código Financiero para el Estado de Tlaxcala y sus Municipios</w:t>
      </w:r>
      <w:r w:rsidR="00CE4A6A" w:rsidRPr="00CE4A6A">
        <w:rPr>
          <w:sz w:val="20"/>
          <w:szCs w:val="20"/>
        </w:rPr>
        <w:t>.</w:t>
      </w:r>
    </w:p>
    <w:p w14:paraId="715D348F" w14:textId="77777777" w:rsidR="00CE4A6A" w:rsidRPr="00CE4A6A" w:rsidRDefault="00CE4A6A" w:rsidP="00CE4A6A">
      <w:pPr>
        <w:spacing w:line="360" w:lineRule="auto"/>
        <w:ind w:left="-11"/>
        <w:jc w:val="both"/>
        <w:rPr>
          <w:sz w:val="20"/>
          <w:szCs w:val="20"/>
        </w:rPr>
      </w:pPr>
    </w:p>
    <w:p w14:paraId="3188A7C2" w14:textId="3D8FF738" w:rsidR="00CE4A6A" w:rsidRDefault="00412187" w:rsidP="00CE4A6A">
      <w:pPr>
        <w:spacing w:line="360" w:lineRule="auto"/>
        <w:ind w:left="-11"/>
        <w:jc w:val="both"/>
        <w:rPr>
          <w:sz w:val="20"/>
          <w:szCs w:val="20"/>
        </w:rPr>
      </w:pPr>
      <w:r w:rsidRPr="00412187">
        <w:rPr>
          <w:sz w:val="20"/>
          <w:szCs w:val="20"/>
        </w:rPr>
        <w:t>Por lo que, las estrategias a seguir por el Gobierno del Estado son las siguientes</w:t>
      </w:r>
      <w:r w:rsidR="00CE4A6A" w:rsidRPr="00CE4A6A">
        <w:rPr>
          <w:sz w:val="20"/>
          <w:szCs w:val="20"/>
        </w:rPr>
        <w:t>:</w:t>
      </w:r>
    </w:p>
    <w:p w14:paraId="14CBB375" w14:textId="77777777" w:rsidR="00B019B6" w:rsidRPr="00CE4A6A" w:rsidRDefault="00B019B6" w:rsidP="00CE4A6A">
      <w:pPr>
        <w:spacing w:line="360" w:lineRule="auto"/>
        <w:ind w:left="-11"/>
        <w:jc w:val="both"/>
        <w:rPr>
          <w:sz w:val="20"/>
          <w:szCs w:val="20"/>
        </w:rPr>
      </w:pPr>
    </w:p>
    <w:p w14:paraId="62989A16" w14:textId="77777777" w:rsidR="00CE4A6A" w:rsidRPr="00CE4A6A" w:rsidRDefault="00CE4A6A" w:rsidP="00126CF7">
      <w:pPr>
        <w:pStyle w:val="Prrafodelista"/>
        <w:numPr>
          <w:ilvl w:val="0"/>
          <w:numId w:val="27"/>
        </w:numPr>
        <w:spacing w:line="360" w:lineRule="auto"/>
        <w:jc w:val="both"/>
        <w:rPr>
          <w:sz w:val="20"/>
          <w:szCs w:val="20"/>
        </w:rPr>
      </w:pPr>
      <w:r w:rsidRPr="00CE4A6A">
        <w:rPr>
          <w:sz w:val="20"/>
          <w:szCs w:val="20"/>
        </w:rPr>
        <w:t>Otorgar estímulos que permitan al contribuyente cumplir con sus obligaciones fiscales, buscando que éstos logren mayores beneficios disminuyendo rezagos e incumplimientos.</w:t>
      </w:r>
    </w:p>
    <w:p w14:paraId="135C2B51" w14:textId="77777777" w:rsidR="00CE4A6A" w:rsidRPr="00CE4A6A" w:rsidRDefault="00CE4A6A" w:rsidP="00CE4A6A">
      <w:pPr>
        <w:spacing w:line="360" w:lineRule="auto"/>
        <w:ind w:left="-11"/>
        <w:jc w:val="both"/>
        <w:rPr>
          <w:sz w:val="20"/>
          <w:szCs w:val="20"/>
        </w:rPr>
      </w:pPr>
    </w:p>
    <w:p w14:paraId="772A0FAE" w14:textId="1E3E6996" w:rsidR="00CE4A6A" w:rsidRPr="00D13037" w:rsidRDefault="00CE4A6A" w:rsidP="00126CF7">
      <w:pPr>
        <w:pStyle w:val="Prrafodelista"/>
        <w:numPr>
          <w:ilvl w:val="0"/>
          <w:numId w:val="27"/>
        </w:numPr>
        <w:spacing w:line="360" w:lineRule="auto"/>
        <w:jc w:val="both"/>
        <w:rPr>
          <w:sz w:val="20"/>
          <w:szCs w:val="20"/>
        </w:rPr>
      </w:pPr>
      <w:r w:rsidRPr="00D13037">
        <w:rPr>
          <w:sz w:val="20"/>
          <w:szCs w:val="20"/>
        </w:rPr>
        <w:lastRenderedPageBreak/>
        <w:t>Realizar campañas publicitarias que incentiven el cumplimiento de las obligaciones fiscales, logrando una mayor presencia fiscal.</w:t>
      </w:r>
    </w:p>
    <w:p w14:paraId="14953289" w14:textId="159C99FE" w:rsidR="00CE4A6A" w:rsidRPr="00D13037" w:rsidRDefault="00CE4A6A" w:rsidP="00126CF7">
      <w:pPr>
        <w:pStyle w:val="Prrafodelista"/>
        <w:numPr>
          <w:ilvl w:val="0"/>
          <w:numId w:val="27"/>
        </w:numPr>
        <w:spacing w:line="360" w:lineRule="auto"/>
        <w:jc w:val="both"/>
        <w:rPr>
          <w:sz w:val="20"/>
          <w:szCs w:val="20"/>
        </w:rPr>
      </w:pPr>
      <w:r w:rsidRPr="00D13037">
        <w:rPr>
          <w:sz w:val="20"/>
          <w:szCs w:val="20"/>
        </w:rPr>
        <w:t>Fortalecer las fuentes de ingresos federales y los esquemas de incentivos derivados del Convenio de Colaboración Administrativa en materia Fiscal Federal.</w:t>
      </w:r>
    </w:p>
    <w:p w14:paraId="01EA9436" w14:textId="51E5B734" w:rsidR="00CE4A6A" w:rsidRPr="00D13037" w:rsidRDefault="00CE4A6A" w:rsidP="00126CF7">
      <w:pPr>
        <w:pStyle w:val="Prrafodelista"/>
        <w:numPr>
          <w:ilvl w:val="0"/>
          <w:numId w:val="27"/>
        </w:numPr>
        <w:spacing w:line="360" w:lineRule="auto"/>
        <w:jc w:val="both"/>
        <w:rPr>
          <w:sz w:val="20"/>
          <w:szCs w:val="20"/>
        </w:rPr>
      </w:pPr>
      <w:r w:rsidRPr="00D13037">
        <w:rPr>
          <w:sz w:val="20"/>
          <w:szCs w:val="20"/>
        </w:rPr>
        <w:t>Mejorar las capacidades administrativas de los Organismos Descentralizados para el timbrado en tiempo y forma de la nómina de empleados estatales, para recibir las participaciones establecidas en el artículo 3-B de la Ley de Coordinación Fiscal.</w:t>
      </w:r>
    </w:p>
    <w:p w14:paraId="2177DCD2" w14:textId="45FDD8DF" w:rsidR="00CE4A6A" w:rsidRPr="00D13037" w:rsidRDefault="00CE4A6A" w:rsidP="00126CF7">
      <w:pPr>
        <w:pStyle w:val="Prrafodelista"/>
        <w:numPr>
          <w:ilvl w:val="0"/>
          <w:numId w:val="27"/>
        </w:numPr>
        <w:spacing w:line="360" w:lineRule="auto"/>
        <w:jc w:val="both"/>
        <w:rPr>
          <w:sz w:val="20"/>
          <w:szCs w:val="20"/>
        </w:rPr>
      </w:pPr>
      <w:r w:rsidRPr="00D13037">
        <w:rPr>
          <w:sz w:val="20"/>
          <w:szCs w:val="20"/>
        </w:rPr>
        <w:t>Promover entre la población realizar trámites y pagos vía internet, a través del portal oficial de la Secretaría de Finanzas.</w:t>
      </w:r>
    </w:p>
    <w:p w14:paraId="75191E17" w14:textId="349C3927" w:rsidR="00CE4A6A" w:rsidRPr="00D13037" w:rsidRDefault="00CE4A6A" w:rsidP="00126CF7">
      <w:pPr>
        <w:pStyle w:val="Prrafodelista"/>
        <w:numPr>
          <w:ilvl w:val="0"/>
          <w:numId w:val="27"/>
        </w:numPr>
        <w:spacing w:line="360" w:lineRule="auto"/>
        <w:jc w:val="both"/>
        <w:rPr>
          <w:sz w:val="20"/>
          <w:szCs w:val="20"/>
        </w:rPr>
      </w:pPr>
      <w:r w:rsidRPr="00D13037">
        <w:rPr>
          <w:sz w:val="20"/>
          <w:szCs w:val="20"/>
        </w:rPr>
        <w:t>Incrementar el número de lugares para el pago de contribuciones, realizando diversas alianzas con tiendas de conveniencia, supermerc</w:t>
      </w:r>
      <w:r w:rsidR="00B019B6">
        <w:rPr>
          <w:sz w:val="20"/>
          <w:szCs w:val="20"/>
        </w:rPr>
        <w:t>ados y tiendas de autoservicios.</w:t>
      </w:r>
    </w:p>
    <w:p w14:paraId="3EACBA48" w14:textId="08269FD0" w:rsidR="00CE4A6A" w:rsidRPr="00D13037" w:rsidRDefault="00CE4A6A" w:rsidP="00126CF7">
      <w:pPr>
        <w:pStyle w:val="Prrafodelista"/>
        <w:numPr>
          <w:ilvl w:val="0"/>
          <w:numId w:val="27"/>
        </w:numPr>
        <w:spacing w:line="360" w:lineRule="auto"/>
        <w:jc w:val="both"/>
        <w:rPr>
          <w:sz w:val="20"/>
          <w:szCs w:val="20"/>
        </w:rPr>
      </w:pPr>
      <w:r w:rsidRPr="00D13037">
        <w:rPr>
          <w:sz w:val="20"/>
          <w:szCs w:val="20"/>
        </w:rPr>
        <w:t>Enviar a través de correo electrónico, cartas invitación para invitar a los contribuyentes a regularizar su situación fiscal.</w:t>
      </w:r>
    </w:p>
    <w:p w14:paraId="77BFD43A" w14:textId="570BE1CE" w:rsidR="00CE4A6A" w:rsidRPr="00D13037" w:rsidRDefault="00CE4A6A" w:rsidP="00126CF7">
      <w:pPr>
        <w:pStyle w:val="Prrafodelista"/>
        <w:numPr>
          <w:ilvl w:val="0"/>
          <w:numId w:val="27"/>
        </w:numPr>
        <w:spacing w:line="360" w:lineRule="auto"/>
        <w:jc w:val="both"/>
        <w:rPr>
          <w:sz w:val="20"/>
          <w:szCs w:val="20"/>
        </w:rPr>
      </w:pPr>
      <w:r w:rsidRPr="00D13037">
        <w:rPr>
          <w:sz w:val="20"/>
          <w:szCs w:val="20"/>
        </w:rPr>
        <w:t>Bancarizar el pago de servicios prestados por Organismos Públicos Descentralizados, así como de las dependencias del sector central</w:t>
      </w:r>
      <w:r w:rsidR="00412187">
        <w:rPr>
          <w:sz w:val="20"/>
          <w:szCs w:val="20"/>
        </w:rPr>
        <w:t>.</w:t>
      </w:r>
    </w:p>
    <w:p w14:paraId="786092A1" w14:textId="664DB765" w:rsidR="00CE4A6A" w:rsidRPr="00D13037" w:rsidRDefault="00CE4A6A" w:rsidP="00126CF7">
      <w:pPr>
        <w:pStyle w:val="Prrafodelista"/>
        <w:numPr>
          <w:ilvl w:val="0"/>
          <w:numId w:val="27"/>
        </w:numPr>
        <w:spacing w:line="360" w:lineRule="auto"/>
        <w:jc w:val="both"/>
        <w:rPr>
          <w:sz w:val="20"/>
          <w:szCs w:val="20"/>
        </w:rPr>
      </w:pPr>
      <w:r w:rsidRPr="00D13037">
        <w:rPr>
          <w:sz w:val="20"/>
          <w:szCs w:val="20"/>
        </w:rPr>
        <w:t>No creación de nuevos impuestos.</w:t>
      </w:r>
    </w:p>
    <w:p w14:paraId="361ACFFB" w14:textId="79A1DD7E" w:rsidR="00CE4A6A" w:rsidRPr="00D13037" w:rsidRDefault="00CE4A6A" w:rsidP="00126CF7">
      <w:pPr>
        <w:pStyle w:val="Prrafodelista"/>
        <w:numPr>
          <w:ilvl w:val="0"/>
          <w:numId w:val="27"/>
        </w:numPr>
        <w:spacing w:line="360" w:lineRule="auto"/>
        <w:jc w:val="both"/>
        <w:rPr>
          <w:sz w:val="20"/>
          <w:szCs w:val="20"/>
        </w:rPr>
      </w:pPr>
      <w:r w:rsidRPr="00D13037">
        <w:rPr>
          <w:sz w:val="20"/>
          <w:szCs w:val="20"/>
        </w:rPr>
        <w:t>Ampliar el universo de contribuyentes y promover la formalidad.</w:t>
      </w:r>
    </w:p>
    <w:p w14:paraId="2E153A93" w14:textId="7EF5E037" w:rsidR="00CE4A6A" w:rsidRPr="00D13037" w:rsidRDefault="00CE4A6A" w:rsidP="00126CF7">
      <w:pPr>
        <w:pStyle w:val="Prrafodelista"/>
        <w:numPr>
          <w:ilvl w:val="0"/>
          <w:numId w:val="27"/>
        </w:numPr>
        <w:spacing w:line="360" w:lineRule="auto"/>
        <w:jc w:val="both"/>
        <w:rPr>
          <w:sz w:val="20"/>
          <w:szCs w:val="20"/>
        </w:rPr>
      </w:pPr>
      <w:r w:rsidRPr="00D13037">
        <w:rPr>
          <w:sz w:val="20"/>
          <w:szCs w:val="20"/>
        </w:rPr>
        <w:t>Cumplimiento de la normatividad emitida por el CONAC.</w:t>
      </w:r>
    </w:p>
    <w:p w14:paraId="3FD8FA6B" w14:textId="1C47F4EF" w:rsidR="00CE4A6A" w:rsidRPr="00D13037" w:rsidRDefault="00CE4A6A" w:rsidP="00126CF7">
      <w:pPr>
        <w:pStyle w:val="Prrafodelista"/>
        <w:numPr>
          <w:ilvl w:val="0"/>
          <w:numId w:val="27"/>
        </w:numPr>
        <w:spacing w:line="360" w:lineRule="auto"/>
        <w:jc w:val="both"/>
        <w:rPr>
          <w:sz w:val="20"/>
          <w:szCs w:val="20"/>
        </w:rPr>
      </w:pPr>
      <w:r w:rsidRPr="00D13037">
        <w:rPr>
          <w:sz w:val="20"/>
          <w:szCs w:val="20"/>
        </w:rPr>
        <w:t>Transparencia y Rendición de Cuentas.</w:t>
      </w:r>
    </w:p>
    <w:p w14:paraId="020BAF52" w14:textId="77777777" w:rsidR="00CE4A6A" w:rsidRPr="00CE4A6A" w:rsidRDefault="00CE4A6A" w:rsidP="00126CF7">
      <w:pPr>
        <w:pStyle w:val="Prrafodelista"/>
        <w:numPr>
          <w:ilvl w:val="0"/>
          <w:numId w:val="27"/>
        </w:numPr>
        <w:spacing w:line="360" w:lineRule="auto"/>
        <w:jc w:val="both"/>
        <w:rPr>
          <w:sz w:val="20"/>
          <w:szCs w:val="20"/>
        </w:rPr>
      </w:pPr>
      <w:r w:rsidRPr="00CE4A6A">
        <w:rPr>
          <w:sz w:val="20"/>
          <w:szCs w:val="20"/>
        </w:rPr>
        <w:t>Congruencia en los pronósticos de recaudación federal y estatal considerando riesgos fiscales, evolución y perspectivas económicas.</w:t>
      </w:r>
    </w:p>
    <w:p w14:paraId="12217B90" w14:textId="41B418BE" w:rsidR="00CE4A6A" w:rsidRPr="00D13037" w:rsidRDefault="00CE4A6A" w:rsidP="00126CF7">
      <w:pPr>
        <w:pStyle w:val="Prrafodelista"/>
        <w:numPr>
          <w:ilvl w:val="0"/>
          <w:numId w:val="27"/>
        </w:numPr>
        <w:spacing w:line="360" w:lineRule="auto"/>
        <w:jc w:val="both"/>
        <w:rPr>
          <w:sz w:val="20"/>
          <w:szCs w:val="20"/>
        </w:rPr>
      </w:pPr>
      <w:r w:rsidRPr="00D13037">
        <w:rPr>
          <w:sz w:val="20"/>
          <w:szCs w:val="20"/>
        </w:rPr>
        <w:t>Integración del Paquete Económico conforme a lo establecido en la Ley de Disciplina Financiera.</w:t>
      </w:r>
    </w:p>
    <w:p w14:paraId="464CF48A" w14:textId="3E3A8505" w:rsidR="00CE4A6A" w:rsidRDefault="00CE4A6A" w:rsidP="00126CF7">
      <w:pPr>
        <w:pStyle w:val="Prrafodelista"/>
        <w:numPr>
          <w:ilvl w:val="0"/>
          <w:numId w:val="27"/>
        </w:numPr>
        <w:spacing w:line="360" w:lineRule="auto"/>
        <w:jc w:val="both"/>
        <w:rPr>
          <w:sz w:val="20"/>
          <w:szCs w:val="20"/>
        </w:rPr>
      </w:pPr>
      <w:r w:rsidRPr="00D13037">
        <w:rPr>
          <w:sz w:val="20"/>
          <w:szCs w:val="20"/>
        </w:rPr>
        <w:t>Finanzas Estatales sanas.</w:t>
      </w:r>
    </w:p>
    <w:p w14:paraId="06BDFAE0" w14:textId="77777777" w:rsidR="00D13037" w:rsidRPr="00D13037" w:rsidRDefault="00D13037" w:rsidP="00D13037">
      <w:pPr>
        <w:pStyle w:val="Prrafodelista"/>
        <w:spacing w:line="360" w:lineRule="auto"/>
        <w:ind w:left="709"/>
        <w:jc w:val="both"/>
        <w:rPr>
          <w:sz w:val="20"/>
          <w:szCs w:val="20"/>
        </w:rPr>
      </w:pPr>
    </w:p>
    <w:p w14:paraId="114E1B0B" w14:textId="77777777" w:rsidR="00CE4A6A" w:rsidRPr="00CE4A6A" w:rsidRDefault="00CE4A6A" w:rsidP="00CE4A6A">
      <w:pPr>
        <w:spacing w:line="360" w:lineRule="auto"/>
        <w:ind w:left="-11"/>
        <w:jc w:val="both"/>
        <w:rPr>
          <w:sz w:val="20"/>
          <w:szCs w:val="20"/>
        </w:rPr>
      </w:pPr>
      <w:r w:rsidRPr="00CE4A6A">
        <w:rPr>
          <w:sz w:val="20"/>
          <w:szCs w:val="20"/>
        </w:rPr>
        <w:t xml:space="preserve">Con estas medidas, la presente Iniciativa garantiza que la hacienda estatal cuente con finanzas sanas; observando los principios de eficiencia, eficacia, economía, austeridad, honradez y transparencia. </w:t>
      </w:r>
    </w:p>
    <w:p w14:paraId="7C701E5A" w14:textId="77777777" w:rsidR="00CE4A6A" w:rsidRPr="00CE4A6A" w:rsidRDefault="00CE4A6A" w:rsidP="00CE4A6A">
      <w:pPr>
        <w:spacing w:line="360" w:lineRule="auto"/>
        <w:ind w:left="-11"/>
        <w:jc w:val="both"/>
        <w:rPr>
          <w:sz w:val="20"/>
          <w:szCs w:val="20"/>
        </w:rPr>
      </w:pPr>
    </w:p>
    <w:p w14:paraId="1922AE06" w14:textId="74496D16" w:rsidR="00FB1EE0" w:rsidRPr="00F87134" w:rsidRDefault="00CE4A6A" w:rsidP="00CE4A6A">
      <w:pPr>
        <w:spacing w:line="360" w:lineRule="auto"/>
        <w:ind w:left="-11"/>
        <w:jc w:val="both"/>
        <w:rPr>
          <w:rFonts w:ascii="Arial" w:hAnsi="Arial" w:cs="Arial"/>
        </w:rPr>
      </w:pPr>
      <w:r w:rsidRPr="00CE4A6A">
        <w:rPr>
          <w:sz w:val="20"/>
          <w:szCs w:val="20"/>
        </w:rPr>
        <w:t xml:space="preserve">Por lo antes expuesto y dando cumplimiento a lo establecido en la Constitución Política del Estado Libre y Soberano de Tlaxcala, me permito someter a consideración de ese Congreso la Iniciativa de Ley de Ingresos del Estado de Tlaxcala, para el Ejercicio Fiscal 2023; que prevé un monto total de ingresos por $ </w:t>
      </w:r>
      <w:r w:rsidRPr="00D13037">
        <w:rPr>
          <w:b/>
          <w:sz w:val="20"/>
          <w:szCs w:val="20"/>
        </w:rPr>
        <w:t>25,571,563,376.00,</w:t>
      </w:r>
      <w:r w:rsidRPr="00CE4A6A">
        <w:rPr>
          <w:sz w:val="20"/>
          <w:szCs w:val="20"/>
        </w:rPr>
        <w:t xml:space="preserve"> (Veinticinco mil quinientos setenta y un millones quinientos sesenta y tres mil trecientos setenta y seis pesos 00/100 M.N.).</w:t>
      </w:r>
    </w:p>
    <w:p w14:paraId="7B7812DA" w14:textId="77777777" w:rsidR="00FB1EE0" w:rsidRDefault="00FB1EE0" w:rsidP="00182E26">
      <w:pPr>
        <w:spacing w:line="360" w:lineRule="auto"/>
        <w:jc w:val="center"/>
        <w:rPr>
          <w:b/>
          <w:sz w:val="20"/>
          <w:szCs w:val="20"/>
        </w:rPr>
      </w:pPr>
    </w:p>
    <w:p w14:paraId="0F131DBD" w14:textId="77777777" w:rsidR="00560012" w:rsidRDefault="00560012" w:rsidP="00126CF7">
      <w:pPr>
        <w:pStyle w:val="Prrafodelista"/>
        <w:numPr>
          <w:ilvl w:val="0"/>
          <w:numId w:val="11"/>
        </w:numPr>
        <w:spacing w:line="360" w:lineRule="auto"/>
        <w:contextualSpacing/>
        <w:rPr>
          <w:b/>
          <w:sz w:val="20"/>
          <w:szCs w:val="20"/>
        </w:rPr>
      </w:pPr>
      <w:r>
        <w:rPr>
          <w:b/>
          <w:sz w:val="20"/>
          <w:szCs w:val="20"/>
        </w:rPr>
        <w:lastRenderedPageBreak/>
        <w:t>EN MATERIA DE EGRESOS</w:t>
      </w:r>
    </w:p>
    <w:p w14:paraId="414E2802" w14:textId="77777777" w:rsidR="00D13037" w:rsidRPr="00786327" w:rsidRDefault="00D13037" w:rsidP="00525B2B">
      <w:pPr>
        <w:spacing w:line="360" w:lineRule="auto"/>
        <w:jc w:val="both"/>
        <w:rPr>
          <w:rFonts w:eastAsia="Calibri"/>
          <w:color w:val="000000" w:themeColor="text1"/>
          <w:sz w:val="10"/>
          <w:szCs w:val="10"/>
        </w:rPr>
      </w:pPr>
    </w:p>
    <w:p w14:paraId="5D8279BB" w14:textId="77777777" w:rsidR="00786327" w:rsidRPr="00786327" w:rsidRDefault="00786327" w:rsidP="00786327">
      <w:pPr>
        <w:spacing w:line="360" w:lineRule="auto"/>
        <w:ind w:left="-11"/>
        <w:jc w:val="both"/>
        <w:rPr>
          <w:rFonts w:eastAsia="Calibri"/>
          <w:color w:val="000000" w:themeColor="text1"/>
          <w:sz w:val="20"/>
          <w:szCs w:val="20"/>
        </w:rPr>
      </w:pPr>
      <w:r w:rsidRPr="00786327">
        <w:rPr>
          <w:rFonts w:eastAsia="Calibri"/>
          <w:color w:val="000000" w:themeColor="text1"/>
          <w:sz w:val="20"/>
          <w:szCs w:val="20"/>
        </w:rPr>
        <w:t>El paquete económico para el ejercicio fiscal 2023, se elaboró en apego a los principios de austeridad, disciplina financiera, honestidad y combate a la corrupción, los cuales son la base fundamental que caracterizan a los compromisos, proyectos, metas y políticas del Gobierno del Estado de Tlaxcala, con el firme propósito de lograr el desarrollo económico, social, educativo, cultural y de seguridad a favor de los habitantes de la Entidad bajo un presupuesto balanceado y sostenible, a través del mejoramiento de procesos tendentes a la recaudación de ingresos y de gestión de recursos federales que fortalezcan las finanzas públicas e implementación de acciones efectivas para la recuperación de la economía, en una estrecha colaboración con el Gobierno Federal y los Municipios, es momento de impulsar, potencializar y posicionar al Estado de Tlaxcala en todos los sectores, es objetivo prioritario de la actual administración atender los aspectos de mayor demanda ciudadana como lo es elevar la calidad de vida y de servicios de las familias tlaxcaltecas, para garantizar a los individuos una vida plena, en paz y armonía, así como atacar las causas de la inseguridad de manera que incentive la participación y seguridad ciudadana, genere cohesión, prevenga los delitos y combata la violencia y la ilegalidad.</w:t>
      </w:r>
    </w:p>
    <w:p w14:paraId="7184DD3D" w14:textId="77777777" w:rsidR="00786327" w:rsidRPr="00786327" w:rsidRDefault="00786327" w:rsidP="00786327">
      <w:pPr>
        <w:spacing w:line="360" w:lineRule="auto"/>
        <w:ind w:left="-11"/>
        <w:jc w:val="both"/>
        <w:rPr>
          <w:rFonts w:eastAsia="Calibri"/>
          <w:color w:val="000000" w:themeColor="text1"/>
          <w:sz w:val="20"/>
          <w:szCs w:val="20"/>
        </w:rPr>
      </w:pPr>
    </w:p>
    <w:p w14:paraId="112852FE" w14:textId="4711EC51" w:rsidR="00786327" w:rsidRPr="00786327" w:rsidRDefault="00786327" w:rsidP="00786327">
      <w:pPr>
        <w:spacing w:line="360" w:lineRule="auto"/>
        <w:ind w:left="-11"/>
        <w:jc w:val="both"/>
        <w:rPr>
          <w:rFonts w:eastAsia="Calibri"/>
          <w:color w:val="000000" w:themeColor="text1"/>
          <w:sz w:val="20"/>
          <w:szCs w:val="20"/>
        </w:rPr>
      </w:pPr>
      <w:r w:rsidRPr="00786327">
        <w:rPr>
          <w:rFonts w:eastAsia="Calibri"/>
          <w:color w:val="000000" w:themeColor="text1"/>
          <w:sz w:val="20"/>
          <w:szCs w:val="20"/>
        </w:rPr>
        <w:t xml:space="preserve">En congruencia con las acciones implementadas por el Gobierno Federal se busca </w:t>
      </w:r>
      <w:r w:rsidR="00792DFD">
        <w:rPr>
          <w:rFonts w:eastAsia="Calibri"/>
          <w:color w:val="000000" w:themeColor="text1"/>
          <w:sz w:val="20"/>
          <w:szCs w:val="20"/>
        </w:rPr>
        <w:t>mitigar</w:t>
      </w:r>
      <w:r w:rsidRPr="00786327">
        <w:rPr>
          <w:rFonts w:eastAsia="Calibri"/>
          <w:color w:val="000000" w:themeColor="text1"/>
          <w:sz w:val="20"/>
          <w:szCs w:val="20"/>
        </w:rPr>
        <w:t xml:space="preserve"> las desigualdades y gestionar la lucha en contra de las inequidades mediante una política social incluyente, bajo el principio de la transformación en la unidad, atacar la pobreza salarial y contribuir a la creación de empleo, vía la modernización de los sectores económicos, que promueva una mayor productividad, competitividad e innovación, en el contexto de un medio ambiente sano y limpio. Así mismo, construir un gobierno al servicio del pueblo, que diseñe y dirija una transformación en la unidad, impulsando el cambio profundo, a través de la participación y las inversiones en áreas estratégicas y prioritarias, que impliquen beneficios para las personas, que transformen las estructuras económicas, sociales, culturales e institucionales desiguales, en estructuras iguales y justas para los hombres y las mujeres, con garantía de derechos y ejercicio libre de la ciudadanía en todas sus formas y de esta manera se generen las condiciones que permitan mejorar el bienestar integral de las personas, a partir de esquemas orientados a disminuir las brechas de desigualdad e inequidad espacial y territorial, en las regiones de la entidad.</w:t>
      </w:r>
    </w:p>
    <w:p w14:paraId="5304880E" w14:textId="77777777" w:rsidR="00786327" w:rsidRPr="00786327" w:rsidRDefault="00786327" w:rsidP="00786327">
      <w:pPr>
        <w:spacing w:line="360" w:lineRule="auto"/>
        <w:ind w:left="-11"/>
        <w:jc w:val="both"/>
        <w:rPr>
          <w:rFonts w:eastAsia="Calibri"/>
          <w:color w:val="000000" w:themeColor="text1"/>
          <w:sz w:val="20"/>
          <w:szCs w:val="20"/>
        </w:rPr>
      </w:pPr>
    </w:p>
    <w:p w14:paraId="6FE45A3F" w14:textId="2FF8FAA4" w:rsidR="00786327" w:rsidRPr="00786327" w:rsidRDefault="00786327" w:rsidP="00786327">
      <w:pPr>
        <w:spacing w:line="360" w:lineRule="auto"/>
        <w:ind w:left="-11"/>
        <w:jc w:val="both"/>
        <w:rPr>
          <w:rFonts w:eastAsia="Calibri"/>
          <w:color w:val="000000" w:themeColor="text1"/>
          <w:sz w:val="20"/>
          <w:szCs w:val="20"/>
        </w:rPr>
      </w:pPr>
      <w:r w:rsidRPr="00786327">
        <w:rPr>
          <w:rFonts w:eastAsia="Calibri"/>
          <w:color w:val="000000" w:themeColor="text1"/>
          <w:sz w:val="20"/>
          <w:szCs w:val="20"/>
        </w:rPr>
        <w:t>Mediante programas sociales efectivos para la atención de grupos vulnerables, entre ellos, mujeres, personas con discapacidad, adultos mayores y pueblos originarios; una mayor y mejor seguridad pública a través del equipamiento, capacitación y profesionalización de los elementos de los diversos cuerpos de seguridad</w:t>
      </w:r>
      <w:r w:rsidR="00DD3A49">
        <w:rPr>
          <w:rFonts w:eastAsia="Calibri"/>
          <w:color w:val="000000" w:themeColor="text1"/>
          <w:sz w:val="20"/>
          <w:szCs w:val="20"/>
        </w:rPr>
        <w:t>.</w:t>
      </w:r>
    </w:p>
    <w:p w14:paraId="266728EF" w14:textId="77777777" w:rsidR="00786327" w:rsidRPr="00786327" w:rsidRDefault="00786327" w:rsidP="00786327">
      <w:pPr>
        <w:spacing w:line="360" w:lineRule="auto"/>
        <w:ind w:left="-11"/>
        <w:jc w:val="both"/>
        <w:rPr>
          <w:rFonts w:eastAsia="Calibri"/>
          <w:color w:val="000000" w:themeColor="text1"/>
          <w:sz w:val="20"/>
          <w:szCs w:val="20"/>
        </w:rPr>
      </w:pPr>
    </w:p>
    <w:p w14:paraId="5E9A3103" w14:textId="6743F04E" w:rsidR="00786327" w:rsidRPr="00786327" w:rsidRDefault="00786327" w:rsidP="00786327">
      <w:pPr>
        <w:spacing w:line="360" w:lineRule="auto"/>
        <w:ind w:left="-11"/>
        <w:jc w:val="both"/>
        <w:rPr>
          <w:rFonts w:eastAsia="Calibri"/>
          <w:color w:val="000000" w:themeColor="text1"/>
          <w:sz w:val="20"/>
          <w:szCs w:val="20"/>
        </w:rPr>
      </w:pPr>
      <w:r w:rsidRPr="00786327">
        <w:rPr>
          <w:rFonts w:eastAsia="Calibri"/>
          <w:color w:val="000000" w:themeColor="text1"/>
          <w:sz w:val="20"/>
          <w:szCs w:val="20"/>
        </w:rPr>
        <w:lastRenderedPageBreak/>
        <w:t>Por su parte, el Gobierno Federal ha tomado acciones para enfrentar los impactos, económicos y financieros ocasionados por las secuelas económicas ocasionadas por la pandemia de</w:t>
      </w:r>
      <w:r w:rsidR="00051197">
        <w:rPr>
          <w:rFonts w:eastAsia="Calibri"/>
          <w:color w:val="000000" w:themeColor="text1"/>
          <w:sz w:val="20"/>
          <w:szCs w:val="20"/>
        </w:rPr>
        <w:t xml:space="preserve"> la</w:t>
      </w:r>
      <w:r w:rsidRPr="00786327">
        <w:rPr>
          <w:rFonts w:eastAsia="Calibri"/>
          <w:color w:val="000000" w:themeColor="text1"/>
          <w:sz w:val="20"/>
          <w:szCs w:val="20"/>
        </w:rPr>
        <w:t xml:space="preserve"> COVID-19 y la profundización de los riesgos geopolíticos y en apego al enfoque federal se consideran tres pilares fundamentales: 1. Los ap</w:t>
      </w:r>
      <w:r w:rsidR="00DD3A49">
        <w:rPr>
          <w:rFonts w:eastAsia="Calibri"/>
          <w:color w:val="000000" w:themeColor="text1"/>
          <w:sz w:val="20"/>
          <w:szCs w:val="20"/>
        </w:rPr>
        <w:t>oyos sociales para el bienestar;</w:t>
      </w:r>
      <w:r w:rsidRPr="00786327">
        <w:rPr>
          <w:rFonts w:eastAsia="Calibri"/>
          <w:color w:val="000000" w:themeColor="text1"/>
          <w:sz w:val="20"/>
          <w:szCs w:val="20"/>
        </w:rPr>
        <w:t xml:space="preserve"> 2. La estabilidad y solidez de las finanzas públicas y 3. El apoyo a proyectos regionales.</w:t>
      </w:r>
    </w:p>
    <w:p w14:paraId="5C573846" w14:textId="77777777" w:rsidR="00786327" w:rsidRPr="00786327" w:rsidRDefault="00786327" w:rsidP="00786327">
      <w:pPr>
        <w:spacing w:line="360" w:lineRule="auto"/>
        <w:ind w:left="-11"/>
        <w:jc w:val="both"/>
        <w:rPr>
          <w:rFonts w:eastAsia="Calibri"/>
          <w:color w:val="000000" w:themeColor="text1"/>
          <w:sz w:val="20"/>
          <w:szCs w:val="20"/>
        </w:rPr>
      </w:pPr>
    </w:p>
    <w:p w14:paraId="1916BCC2" w14:textId="3BAC1208" w:rsidR="00786327" w:rsidRPr="00786327" w:rsidRDefault="00786327" w:rsidP="00786327">
      <w:pPr>
        <w:spacing w:line="360" w:lineRule="auto"/>
        <w:ind w:left="-11"/>
        <w:jc w:val="both"/>
        <w:rPr>
          <w:rFonts w:eastAsia="Calibri"/>
          <w:color w:val="000000" w:themeColor="text1"/>
          <w:sz w:val="20"/>
          <w:szCs w:val="20"/>
        </w:rPr>
      </w:pPr>
      <w:r w:rsidRPr="00786327">
        <w:rPr>
          <w:rFonts w:eastAsia="Calibri"/>
          <w:color w:val="000000" w:themeColor="text1"/>
          <w:sz w:val="20"/>
          <w:szCs w:val="20"/>
        </w:rPr>
        <w:t>En razón a lo anterior</w:t>
      </w:r>
      <w:r w:rsidR="00DD3A49">
        <w:rPr>
          <w:rFonts w:eastAsia="Calibri"/>
          <w:color w:val="000000" w:themeColor="text1"/>
          <w:sz w:val="20"/>
          <w:szCs w:val="20"/>
        </w:rPr>
        <w:t>,</w:t>
      </w:r>
      <w:r w:rsidRPr="00786327">
        <w:rPr>
          <w:rFonts w:eastAsia="Calibri"/>
          <w:color w:val="000000" w:themeColor="text1"/>
          <w:sz w:val="20"/>
          <w:szCs w:val="20"/>
        </w:rPr>
        <w:t xml:space="preserve"> con base al Plan Nacional de Desarrollo 2019-2024 (PND), el Paquete Económico 2023, tiene como objetivo principal generar bienestar para la población, dirigiéndose al camino del crecimiento, con una disciplina fiscal para el fortalecimiento a la salud y a la educación.</w:t>
      </w:r>
    </w:p>
    <w:p w14:paraId="18542476" w14:textId="77777777" w:rsidR="00786327" w:rsidRPr="00786327" w:rsidRDefault="00786327" w:rsidP="00786327">
      <w:pPr>
        <w:spacing w:line="360" w:lineRule="auto"/>
        <w:ind w:left="-11"/>
        <w:jc w:val="both"/>
        <w:rPr>
          <w:rFonts w:eastAsia="Calibri"/>
          <w:color w:val="000000" w:themeColor="text1"/>
          <w:sz w:val="20"/>
          <w:szCs w:val="20"/>
        </w:rPr>
      </w:pPr>
    </w:p>
    <w:p w14:paraId="6F078F5E" w14:textId="77777777" w:rsidR="00786327" w:rsidRPr="00786327" w:rsidRDefault="00786327" w:rsidP="00786327">
      <w:pPr>
        <w:spacing w:line="360" w:lineRule="auto"/>
        <w:ind w:left="-11"/>
        <w:jc w:val="both"/>
        <w:rPr>
          <w:rFonts w:eastAsia="Calibri"/>
          <w:color w:val="000000" w:themeColor="text1"/>
          <w:sz w:val="20"/>
          <w:szCs w:val="20"/>
        </w:rPr>
      </w:pPr>
      <w:r w:rsidRPr="00786327">
        <w:rPr>
          <w:rFonts w:eastAsia="Calibri"/>
          <w:color w:val="000000" w:themeColor="text1"/>
          <w:sz w:val="20"/>
          <w:szCs w:val="20"/>
        </w:rPr>
        <w:t>Así mismo, los Criterios Generales de Política Económica para la Iniciativa de la Ley de Ingresos y el Proyecto de Presupuesto de Egresos de la Federación correspondientes al ejercicio fiscal 2023 (CGPE) contienen un análisis de los resultados de las políticas implementadas, los retos que quedan por superar y sobre las medidas de política que se proponen para lograrlo.</w:t>
      </w:r>
    </w:p>
    <w:p w14:paraId="1013F473" w14:textId="77777777" w:rsidR="00786327" w:rsidRPr="00786327" w:rsidRDefault="00786327" w:rsidP="00786327">
      <w:pPr>
        <w:spacing w:line="360" w:lineRule="auto"/>
        <w:ind w:left="-11"/>
        <w:jc w:val="both"/>
        <w:rPr>
          <w:rFonts w:eastAsia="Calibri"/>
          <w:color w:val="000000" w:themeColor="text1"/>
          <w:sz w:val="20"/>
          <w:szCs w:val="20"/>
        </w:rPr>
      </w:pPr>
    </w:p>
    <w:p w14:paraId="68959772" w14:textId="122CB450" w:rsidR="00786327" w:rsidRPr="00786327" w:rsidRDefault="00786327" w:rsidP="00786327">
      <w:pPr>
        <w:spacing w:line="360" w:lineRule="auto"/>
        <w:ind w:left="-11"/>
        <w:jc w:val="both"/>
        <w:rPr>
          <w:rFonts w:eastAsia="Calibri"/>
          <w:color w:val="000000" w:themeColor="text1"/>
          <w:sz w:val="20"/>
          <w:szCs w:val="20"/>
        </w:rPr>
      </w:pPr>
      <w:r w:rsidRPr="00786327">
        <w:rPr>
          <w:rFonts w:eastAsia="Calibri"/>
          <w:color w:val="000000" w:themeColor="text1"/>
          <w:sz w:val="20"/>
          <w:szCs w:val="20"/>
        </w:rPr>
        <w:t>Por ello</w:t>
      </w:r>
      <w:r w:rsidR="00DD3A49">
        <w:rPr>
          <w:rFonts w:eastAsia="Calibri"/>
          <w:color w:val="000000" w:themeColor="text1"/>
          <w:sz w:val="20"/>
          <w:szCs w:val="20"/>
        </w:rPr>
        <w:t>,</w:t>
      </w:r>
      <w:r w:rsidRPr="00786327">
        <w:rPr>
          <w:rFonts w:eastAsia="Calibri"/>
          <w:color w:val="000000" w:themeColor="text1"/>
          <w:sz w:val="20"/>
          <w:szCs w:val="20"/>
        </w:rPr>
        <w:t xml:space="preserve"> el Proyecto de Presupuesto de Egresos de la Federación 2023 (PPEF) plantea un aumento real respecto al Presupuesto de Egresos de la Federación 2022</w:t>
      </w:r>
      <w:r w:rsidR="00051197">
        <w:rPr>
          <w:rFonts w:eastAsia="Calibri"/>
          <w:color w:val="000000" w:themeColor="text1"/>
          <w:sz w:val="20"/>
          <w:szCs w:val="20"/>
        </w:rPr>
        <w:t xml:space="preserve"> del </w:t>
      </w:r>
      <w:r w:rsidRPr="00786327">
        <w:rPr>
          <w:rFonts w:eastAsia="Calibri"/>
          <w:color w:val="000000" w:themeColor="text1"/>
          <w:sz w:val="20"/>
          <w:szCs w:val="20"/>
        </w:rPr>
        <w:t>4.0% en el gasto propuesto en salud, así como un aumento anual de 12.7% en el gasto en protección social, con lo cual este rubro seguirá alcanzando máximos históricos en beneficio de las mayorías.</w:t>
      </w:r>
    </w:p>
    <w:p w14:paraId="4DDFEF0B" w14:textId="77777777" w:rsidR="00786327" w:rsidRPr="00786327" w:rsidRDefault="00786327" w:rsidP="00786327">
      <w:pPr>
        <w:spacing w:line="360" w:lineRule="auto"/>
        <w:ind w:left="-11"/>
        <w:jc w:val="both"/>
        <w:rPr>
          <w:rFonts w:eastAsia="Calibri"/>
          <w:color w:val="000000" w:themeColor="text1"/>
          <w:sz w:val="20"/>
          <w:szCs w:val="20"/>
        </w:rPr>
      </w:pPr>
    </w:p>
    <w:p w14:paraId="22E251CA" w14:textId="1C716CA4" w:rsidR="00786327" w:rsidRPr="00786327" w:rsidRDefault="00786327" w:rsidP="00786327">
      <w:pPr>
        <w:spacing w:line="360" w:lineRule="auto"/>
        <w:ind w:left="-11"/>
        <w:jc w:val="both"/>
        <w:rPr>
          <w:rFonts w:eastAsia="Calibri"/>
          <w:color w:val="000000" w:themeColor="text1"/>
          <w:sz w:val="20"/>
          <w:szCs w:val="20"/>
        </w:rPr>
      </w:pPr>
      <w:r w:rsidRPr="00786327">
        <w:rPr>
          <w:rFonts w:eastAsia="Calibri"/>
          <w:color w:val="000000" w:themeColor="text1"/>
          <w:sz w:val="20"/>
          <w:szCs w:val="20"/>
        </w:rPr>
        <w:t xml:space="preserve">La integración del Proyecto de Decreto de Presupuesto de Egresos del Estado de Tlaxcala para el Ejercicio Fiscal 2023, atiende el principio de equilibrio presupuestal entre los ingresos y egresos, tomando en cuenta los CGPE 2023 presentados por el Gobierno Federal, los cuales prevén un crecimiento real anual del PIB en 2022 del </w:t>
      </w:r>
      <w:r w:rsidR="00051197">
        <w:rPr>
          <w:rFonts w:eastAsia="Calibri"/>
          <w:color w:val="000000" w:themeColor="text1"/>
          <w:sz w:val="20"/>
          <w:szCs w:val="20"/>
        </w:rPr>
        <w:t>2.4</w:t>
      </w:r>
      <w:r w:rsidRPr="00786327">
        <w:rPr>
          <w:rFonts w:eastAsia="Calibri"/>
          <w:color w:val="000000" w:themeColor="text1"/>
          <w:sz w:val="20"/>
          <w:szCs w:val="20"/>
        </w:rPr>
        <w:t>%.</w:t>
      </w:r>
    </w:p>
    <w:p w14:paraId="5F686F39" w14:textId="77777777" w:rsidR="00786327" w:rsidRPr="00786327" w:rsidRDefault="00786327" w:rsidP="00786327">
      <w:pPr>
        <w:spacing w:line="360" w:lineRule="auto"/>
        <w:ind w:left="-11"/>
        <w:jc w:val="both"/>
        <w:rPr>
          <w:rFonts w:eastAsia="Calibri"/>
          <w:color w:val="000000" w:themeColor="text1"/>
          <w:sz w:val="20"/>
          <w:szCs w:val="20"/>
        </w:rPr>
      </w:pPr>
    </w:p>
    <w:p w14:paraId="447FCA6E" w14:textId="77777777" w:rsidR="00786327" w:rsidRPr="00786327" w:rsidRDefault="00786327" w:rsidP="00786327">
      <w:pPr>
        <w:spacing w:line="360" w:lineRule="auto"/>
        <w:ind w:left="-11"/>
        <w:jc w:val="both"/>
        <w:rPr>
          <w:rFonts w:eastAsia="Calibri"/>
          <w:color w:val="000000" w:themeColor="text1"/>
          <w:sz w:val="20"/>
          <w:szCs w:val="20"/>
        </w:rPr>
      </w:pPr>
      <w:r w:rsidRPr="00786327">
        <w:rPr>
          <w:rFonts w:eastAsia="Calibri"/>
          <w:color w:val="000000" w:themeColor="text1"/>
          <w:sz w:val="20"/>
          <w:szCs w:val="20"/>
        </w:rPr>
        <w:t>En apego a lo que establece la Ley General de Contabilidad Gubernamental, la Ley Federal de Presupuesto y Responsabilidad Hacendaria, la Ley de Coordinación Fiscal, la Ley Federal de Transparencia y Acceso a la Información Pública, la Ley de Disciplina Financiera de las Entidades Federativas y los Municipios, así como a las políticas públicas establecidas, se elaboró el Proyecto de Presupuesto de Egresos del Estado de Tlaxcala para el Ejercicio Fiscal 2023, mediante el modelo de Presupuesto basado en Resultados (PbR) y el Sistema de Evaluación del Desempeño (SED), que permitirá en el corto y mediano plazo la ejecución de los programas y proyectos, a fin de mejorar los productos y servicios públicos en beneficio de la población.</w:t>
      </w:r>
    </w:p>
    <w:p w14:paraId="7585A6F0" w14:textId="77777777" w:rsidR="00786327" w:rsidRPr="00786327" w:rsidRDefault="00786327" w:rsidP="00786327">
      <w:pPr>
        <w:spacing w:line="360" w:lineRule="auto"/>
        <w:ind w:left="-11"/>
        <w:jc w:val="both"/>
        <w:rPr>
          <w:rFonts w:eastAsia="Calibri"/>
          <w:color w:val="000000" w:themeColor="text1"/>
          <w:sz w:val="20"/>
          <w:szCs w:val="20"/>
        </w:rPr>
      </w:pPr>
    </w:p>
    <w:p w14:paraId="2362423F" w14:textId="7F1370BF" w:rsidR="00786327" w:rsidRPr="00786327" w:rsidRDefault="00786327" w:rsidP="00786327">
      <w:pPr>
        <w:spacing w:line="360" w:lineRule="auto"/>
        <w:ind w:left="-11"/>
        <w:jc w:val="both"/>
        <w:rPr>
          <w:rFonts w:eastAsia="Calibri"/>
          <w:color w:val="000000" w:themeColor="text1"/>
          <w:sz w:val="20"/>
          <w:szCs w:val="20"/>
        </w:rPr>
      </w:pPr>
      <w:r w:rsidRPr="00786327">
        <w:rPr>
          <w:rFonts w:eastAsia="Calibri"/>
          <w:color w:val="000000" w:themeColor="text1"/>
          <w:sz w:val="20"/>
          <w:szCs w:val="20"/>
        </w:rPr>
        <w:lastRenderedPageBreak/>
        <w:t xml:space="preserve">El Proyecto de </w:t>
      </w:r>
      <w:r w:rsidR="00051197">
        <w:rPr>
          <w:rFonts w:eastAsia="Calibri"/>
          <w:color w:val="000000" w:themeColor="text1"/>
          <w:sz w:val="20"/>
          <w:szCs w:val="20"/>
        </w:rPr>
        <w:t xml:space="preserve">Decreto de </w:t>
      </w:r>
      <w:r w:rsidRPr="00786327">
        <w:rPr>
          <w:rFonts w:eastAsia="Calibri"/>
          <w:color w:val="000000" w:themeColor="text1"/>
          <w:sz w:val="20"/>
          <w:szCs w:val="20"/>
        </w:rPr>
        <w:t xml:space="preserve">Presupuesto de Egresos del Estado de Tlaxcala para el Ejercicio Fiscal 2023 que se somete a la consideración de esta Legislatura, se estructura de acuerdo </w:t>
      </w:r>
      <w:r w:rsidR="00AF4034">
        <w:rPr>
          <w:rFonts w:eastAsia="Calibri"/>
          <w:color w:val="000000" w:themeColor="text1"/>
          <w:sz w:val="20"/>
          <w:szCs w:val="20"/>
        </w:rPr>
        <w:t>con</w:t>
      </w:r>
      <w:r w:rsidRPr="00786327">
        <w:rPr>
          <w:rFonts w:eastAsia="Calibri"/>
          <w:color w:val="000000" w:themeColor="text1"/>
          <w:sz w:val="20"/>
          <w:szCs w:val="20"/>
        </w:rPr>
        <w:t xml:space="preserve"> la Clasificación Administrativa, Clasificación Funcional del Gasto, Clasificación Programática, Clasificador por Tipo de Gasto, Clasificador por Objeto del Gasto y Clasificador por Fuentes de Financiamiento, y en la norma para armonizar la presentación de la información adicional del Proyecto de</w:t>
      </w:r>
      <w:r w:rsidR="00051197">
        <w:rPr>
          <w:rFonts w:eastAsia="Calibri"/>
          <w:color w:val="000000" w:themeColor="text1"/>
          <w:sz w:val="20"/>
          <w:szCs w:val="20"/>
        </w:rPr>
        <w:t xml:space="preserve"> Decreto de </w:t>
      </w:r>
      <w:r w:rsidRPr="00786327">
        <w:rPr>
          <w:rFonts w:eastAsia="Calibri"/>
          <w:color w:val="000000" w:themeColor="text1"/>
          <w:sz w:val="20"/>
          <w:szCs w:val="20"/>
        </w:rPr>
        <w:t xml:space="preserve"> Presupuesto de Egresos, aprobados por el Consejo Nacional de Armonización Contable (CONAC); por otra parte, y a efecto de dar cumplimiento a lo preceptuado en la Ley de Disciplina Financiera de las Entidades Federativas y los Municipios, se incluyen como anexos los formatos de información presupuestal, pensiones y de personal establecidos en el artículo 5 de esa Ley.</w:t>
      </w:r>
    </w:p>
    <w:p w14:paraId="0B942483" w14:textId="77777777" w:rsidR="00786327" w:rsidRPr="00786327" w:rsidRDefault="00786327" w:rsidP="00786327">
      <w:pPr>
        <w:spacing w:line="360" w:lineRule="auto"/>
        <w:ind w:left="-11"/>
        <w:jc w:val="both"/>
        <w:rPr>
          <w:rFonts w:eastAsia="Calibri"/>
          <w:color w:val="000000" w:themeColor="text1"/>
          <w:sz w:val="20"/>
          <w:szCs w:val="20"/>
        </w:rPr>
      </w:pPr>
    </w:p>
    <w:p w14:paraId="4D495CDA" w14:textId="58BD8F5B" w:rsidR="00786327" w:rsidRPr="00786327" w:rsidRDefault="00786327" w:rsidP="00786327">
      <w:pPr>
        <w:spacing w:line="360" w:lineRule="auto"/>
        <w:ind w:left="-11"/>
        <w:jc w:val="both"/>
        <w:rPr>
          <w:rFonts w:eastAsia="Calibri"/>
          <w:color w:val="000000" w:themeColor="text1"/>
          <w:sz w:val="20"/>
          <w:szCs w:val="20"/>
        </w:rPr>
      </w:pPr>
      <w:r w:rsidRPr="00786327">
        <w:rPr>
          <w:rFonts w:eastAsia="Calibri"/>
          <w:color w:val="000000" w:themeColor="text1"/>
          <w:sz w:val="20"/>
          <w:szCs w:val="20"/>
        </w:rPr>
        <w:t xml:space="preserve">Ahora bien, en este Proyecto de </w:t>
      </w:r>
      <w:r w:rsidR="00051197">
        <w:rPr>
          <w:rFonts w:eastAsia="Calibri"/>
          <w:color w:val="000000" w:themeColor="text1"/>
          <w:sz w:val="20"/>
          <w:szCs w:val="20"/>
        </w:rPr>
        <w:t xml:space="preserve">Decreto de </w:t>
      </w:r>
      <w:r w:rsidRPr="00786327">
        <w:rPr>
          <w:rFonts w:eastAsia="Calibri"/>
          <w:color w:val="000000" w:themeColor="text1"/>
          <w:sz w:val="20"/>
          <w:szCs w:val="20"/>
        </w:rPr>
        <w:t>Presupuesto de Egresos del Estado de Tlaxcala para el Ejercicio Fiscal 2023</w:t>
      </w:r>
      <w:r w:rsidR="0070420C">
        <w:rPr>
          <w:rFonts w:eastAsia="Calibri"/>
          <w:color w:val="000000" w:themeColor="text1"/>
          <w:sz w:val="20"/>
          <w:szCs w:val="20"/>
        </w:rPr>
        <w:t>,</w:t>
      </w:r>
      <w:r w:rsidRPr="00786327">
        <w:rPr>
          <w:rFonts w:eastAsia="Calibri"/>
          <w:color w:val="000000" w:themeColor="text1"/>
          <w:sz w:val="20"/>
          <w:szCs w:val="20"/>
        </w:rPr>
        <w:t xml:space="preserve"> destacan los objetivos </w:t>
      </w:r>
      <w:r w:rsidR="0070420C">
        <w:rPr>
          <w:rFonts w:eastAsia="Calibri"/>
          <w:color w:val="000000" w:themeColor="text1"/>
          <w:sz w:val="20"/>
          <w:szCs w:val="20"/>
        </w:rPr>
        <w:t>de atender la seguridad pública;</w:t>
      </w:r>
      <w:r w:rsidRPr="00786327">
        <w:rPr>
          <w:rFonts w:eastAsia="Calibri"/>
          <w:color w:val="000000" w:themeColor="text1"/>
          <w:sz w:val="20"/>
          <w:szCs w:val="20"/>
        </w:rPr>
        <w:t xml:space="preserve"> fortalecer las capacidades del sistema de salud orientados a la atenció</w:t>
      </w:r>
      <w:r w:rsidR="0070420C">
        <w:rPr>
          <w:rFonts w:eastAsia="Calibri"/>
          <w:color w:val="000000" w:themeColor="text1"/>
          <w:sz w:val="20"/>
          <w:szCs w:val="20"/>
        </w:rPr>
        <w:t>n de los grupos más vulnerables;</w:t>
      </w:r>
      <w:r w:rsidRPr="00786327">
        <w:rPr>
          <w:rFonts w:eastAsia="Calibri"/>
          <w:color w:val="000000" w:themeColor="text1"/>
          <w:sz w:val="20"/>
          <w:szCs w:val="20"/>
        </w:rPr>
        <w:t xml:space="preserve"> la lucha en contra </w:t>
      </w:r>
      <w:r w:rsidR="00DD3A49">
        <w:rPr>
          <w:rFonts w:eastAsia="Calibri"/>
          <w:color w:val="000000" w:themeColor="text1"/>
          <w:sz w:val="20"/>
          <w:szCs w:val="20"/>
        </w:rPr>
        <w:t>de la violencia y la impunidad o</w:t>
      </w:r>
      <w:r w:rsidR="0070420C">
        <w:rPr>
          <w:rFonts w:eastAsia="Calibri"/>
          <w:color w:val="000000" w:themeColor="text1"/>
          <w:sz w:val="20"/>
          <w:szCs w:val="20"/>
        </w:rPr>
        <w:t xml:space="preserve"> cualquier forma de corrupción;</w:t>
      </w:r>
      <w:r w:rsidRPr="00786327">
        <w:rPr>
          <w:rFonts w:eastAsia="Calibri"/>
          <w:color w:val="000000" w:themeColor="text1"/>
          <w:sz w:val="20"/>
          <w:szCs w:val="20"/>
        </w:rPr>
        <w:t xml:space="preserve"> fortalecer las bases del cre</w:t>
      </w:r>
      <w:r w:rsidR="0070420C">
        <w:rPr>
          <w:rFonts w:eastAsia="Calibri"/>
          <w:color w:val="000000" w:themeColor="text1"/>
          <w:sz w:val="20"/>
          <w:szCs w:val="20"/>
        </w:rPr>
        <w:t>cimiento y capacidad productiva;</w:t>
      </w:r>
      <w:r w:rsidRPr="00786327">
        <w:rPr>
          <w:rFonts w:eastAsia="Calibri"/>
          <w:color w:val="000000" w:themeColor="text1"/>
          <w:sz w:val="20"/>
          <w:szCs w:val="20"/>
        </w:rPr>
        <w:t xml:space="preserve"> promover la generación de empleo digno</w:t>
      </w:r>
      <w:r w:rsidR="0070420C">
        <w:rPr>
          <w:rFonts w:eastAsia="Calibri"/>
          <w:color w:val="000000" w:themeColor="text1"/>
          <w:sz w:val="20"/>
          <w:szCs w:val="20"/>
        </w:rPr>
        <w:t>;</w:t>
      </w:r>
      <w:r w:rsidRPr="00786327">
        <w:rPr>
          <w:rFonts w:eastAsia="Calibri"/>
          <w:color w:val="000000" w:themeColor="text1"/>
          <w:sz w:val="20"/>
          <w:szCs w:val="20"/>
        </w:rPr>
        <w:t xml:space="preserve"> elevar la calidad </w:t>
      </w:r>
      <w:r w:rsidR="0070420C">
        <w:rPr>
          <w:rFonts w:eastAsia="Calibri"/>
          <w:color w:val="000000" w:themeColor="text1"/>
          <w:sz w:val="20"/>
          <w:szCs w:val="20"/>
        </w:rPr>
        <w:t xml:space="preserve">y </w:t>
      </w:r>
      <w:r w:rsidRPr="00786327">
        <w:rPr>
          <w:rFonts w:eastAsia="Calibri"/>
          <w:color w:val="000000" w:themeColor="text1"/>
          <w:sz w:val="20"/>
          <w:szCs w:val="20"/>
        </w:rPr>
        <w:t>fortaleci</w:t>
      </w:r>
      <w:r w:rsidR="0070420C">
        <w:rPr>
          <w:rFonts w:eastAsia="Calibri"/>
          <w:color w:val="000000" w:themeColor="text1"/>
          <w:sz w:val="20"/>
          <w:szCs w:val="20"/>
        </w:rPr>
        <w:t>miento</w:t>
      </w:r>
      <w:r w:rsidRPr="00786327">
        <w:rPr>
          <w:rFonts w:eastAsia="Calibri"/>
          <w:color w:val="000000" w:themeColor="text1"/>
          <w:sz w:val="20"/>
          <w:szCs w:val="20"/>
        </w:rPr>
        <w:t xml:space="preserve"> </w:t>
      </w:r>
      <w:r w:rsidR="0070420C">
        <w:rPr>
          <w:rFonts w:eastAsia="Calibri"/>
          <w:color w:val="000000" w:themeColor="text1"/>
          <w:sz w:val="20"/>
          <w:szCs w:val="20"/>
        </w:rPr>
        <w:t>d</w:t>
      </w:r>
      <w:r w:rsidRPr="00786327">
        <w:rPr>
          <w:rFonts w:eastAsia="Calibri"/>
          <w:color w:val="000000" w:themeColor="text1"/>
          <w:sz w:val="20"/>
          <w:szCs w:val="20"/>
        </w:rPr>
        <w:t>el sistema educa</w:t>
      </w:r>
      <w:r w:rsidR="0070420C">
        <w:rPr>
          <w:rFonts w:eastAsia="Calibri"/>
          <w:color w:val="000000" w:themeColor="text1"/>
          <w:sz w:val="20"/>
          <w:szCs w:val="20"/>
        </w:rPr>
        <w:t>tivo</w:t>
      </w:r>
      <w:r w:rsidRPr="00786327">
        <w:rPr>
          <w:rFonts w:eastAsia="Calibri"/>
          <w:color w:val="000000" w:themeColor="text1"/>
          <w:sz w:val="20"/>
          <w:szCs w:val="20"/>
        </w:rPr>
        <w:t xml:space="preserve"> </w:t>
      </w:r>
      <w:r w:rsidR="0070420C">
        <w:rPr>
          <w:rFonts w:eastAsia="Calibri"/>
          <w:color w:val="000000" w:themeColor="text1"/>
          <w:sz w:val="20"/>
          <w:szCs w:val="20"/>
        </w:rPr>
        <w:t>aumentando</w:t>
      </w:r>
      <w:r w:rsidRPr="00786327">
        <w:rPr>
          <w:rFonts w:eastAsia="Calibri"/>
          <w:color w:val="000000" w:themeColor="text1"/>
          <w:sz w:val="20"/>
          <w:szCs w:val="20"/>
        </w:rPr>
        <w:t xml:space="preserve"> la eficiencia de su administración; proteger nuestro medio ambiente, particularmente nuestros recursos hídricos y forestales, en un contexto de sustentabilidad y sostenibilidad</w:t>
      </w:r>
      <w:r w:rsidR="0070420C">
        <w:rPr>
          <w:rFonts w:eastAsia="Calibri"/>
          <w:color w:val="000000" w:themeColor="text1"/>
          <w:sz w:val="20"/>
          <w:szCs w:val="20"/>
        </w:rPr>
        <w:t>; todo ello</w:t>
      </w:r>
      <w:r w:rsidRPr="00786327">
        <w:rPr>
          <w:rFonts w:eastAsia="Calibri"/>
          <w:color w:val="000000" w:themeColor="text1"/>
          <w:sz w:val="20"/>
          <w:szCs w:val="20"/>
        </w:rPr>
        <w:t xml:space="preserve"> con la aplicación de políticas de género en el marco de nuestra identidad histórica, la recuperación y la difusión de la cultura de nuestros pueblos indígenas y originarios.</w:t>
      </w:r>
    </w:p>
    <w:p w14:paraId="127BF7EE" w14:textId="77777777" w:rsidR="00786327" w:rsidRPr="00786327" w:rsidRDefault="00786327" w:rsidP="00786327">
      <w:pPr>
        <w:spacing w:line="360" w:lineRule="auto"/>
        <w:ind w:left="-11"/>
        <w:jc w:val="both"/>
        <w:rPr>
          <w:rFonts w:eastAsia="Calibri"/>
          <w:color w:val="000000" w:themeColor="text1"/>
          <w:sz w:val="20"/>
          <w:szCs w:val="20"/>
        </w:rPr>
      </w:pPr>
    </w:p>
    <w:p w14:paraId="63F6E929" w14:textId="784D2E06" w:rsidR="00525B2B" w:rsidRPr="00843D2D" w:rsidRDefault="00786327" w:rsidP="00786327">
      <w:pPr>
        <w:spacing w:line="360" w:lineRule="auto"/>
        <w:ind w:left="-11"/>
        <w:jc w:val="both"/>
        <w:rPr>
          <w:color w:val="000000" w:themeColor="text1"/>
          <w:sz w:val="20"/>
          <w:szCs w:val="20"/>
        </w:rPr>
      </w:pPr>
      <w:r w:rsidRPr="00786327">
        <w:rPr>
          <w:rFonts w:eastAsia="Calibri"/>
          <w:color w:val="000000" w:themeColor="text1"/>
          <w:sz w:val="20"/>
          <w:szCs w:val="20"/>
        </w:rPr>
        <w:t>Las bases de las estrategias de la Administración Pública Estatal</w:t>
      </w:r>
      <w:r w:rsidR="0070420C">
        <w:rPr>
          <w:rFonts w:eastAsia="Calibri"/>
          <w:color w:val="000000" w:themeColor="text1"/>
          <w:sz w:val="20"/>
          <w:szCs w:val="20"/>
        </w:rPr>
        <w:t>,</w:t>
      </w:r>
      <w:r w:rsidRPr="00786327">
        <w:rPr>
          <w:rFonts w:eastAsia="Calibri"/>
          <w:color w:val="000000" w:themeColor="text1"/>
          <w:sz w:val="20"/>
          <w:szCs w:val="20"/>
        </w:rPr>
        <w:t xml:space="preserve"> están basadas en un gasto racional y austero en las dependencias y entidades, que deberá propiciar en sus estructuras la eficiente y eficaz prestación de los servicios proporcionados a la sociedad</w:t>
      </w:r>
    </w:p>
    <w:p w14:paraId="125BA53C" w14:textId="77777777" w:rsidR="00525B2B" w:rsidRPr="009D62B3" w:rsidRDefault="00525B2B" w:rsidP="00525B2B">
      <w:pPr>
        <w:spacing w:line="360" w:lineRule="auto"/>
        <w:ind w:left="-11"/>
        <w:jc w:val="both"/>
        <w:rPr>
          <w:color w:val="FF0000"/>
          <w:sz w:val="20"/>
          <w:szCs w:val="20"/>
        </w:rPr>
      </w:pPr>
    </w:p>
    <w:p w14:paraId="60DEB261" w14:textId="77777777" w:rsidR="00525B2B" w:rsidRPr="00021B2A" w:rsidRDefault="00525B2B" w:rsidP="00126CF7">
      <w:pPr>
        <w:pStyle w:val="Prrafodelista"/>
        <w:numPr>
          <w:ilvl w:val="0"/>
          <w:numId w:val="15"/>
        </w:numPr>
        <w:spacing w:line="360" w:lineRule="auto"/>
        <w:jc w:val="both"/>
        <w:rPr>
          <w:rFonts w:eastAsia="Calibri"/>
          <w:b/>
          <w:color w:val="000000" w:themeColor="text1"/>
          <w:sz w:val="20"/>
          <w:szCs w:val="20"/>
        </w:rPr>
      </w:pPr>
      <w:r w:rsidRPr="00021B2A">
        <w:rPr>
          <w:rFonts w:eastAsia="Calibri"/>
          <w:b/>
          <w:color w:val="000000" w:themeColor="text1"/>
          <w:sz w:val="20"/>
          <w:szCs w:val="20"/>
        </w:rPr>
        <w:t>ENTORNO INTERNACIONAL</w:t>
      </w:r>
    </w:p>
    <w:p w14:paraId="5A6E2D4C" w14:textId="77777777" w:rsidR="00525B2B" w:rsidRPr="00786327" w:rsidRDefault="00525B2B" w:rsidP="00525B2B">
      <w:pPr>
        <w:spacing w:line="360" w:lineRule="auto"/>
        <w:jc w:val="both"/>
        <w:rPr>
          <w:iCs/>
          <w:color w:val="000000" w:themeColor="text1"/>
          <w:sz w:val="10"/>
          <w:szCs w:val="10"/>
        </w:rPr>
      </w:pPr>
    </w:p>
    <w:p w14:paraId="1AA7EB19" w14:textId="7B318A7E" w:rsidR="00786327" w:rsidRDefault="00786327" w:rsidP="00786327">
      <w:pPr>
        <w:spacing w:line="360" w:lineRule="auto"/>
        <w:jc w:val="both"/>
        <w:rPr>
          <w:iCs/>
          <w:color w:val="000000" w:themeColor="text1"/>
          <w:sz w:val="20"/>
          <w:szCs w:val="20"/>
        </w:rPr>
      </w:pPr>
      <w:r>
        <w:rPr>
          <w:iCs/>
          <w:color w:val="000000" w:themeColor="text1"/>
          <w:sz w:val="20"/>
          <w:szCs w:val="20"/>
        </w:rPr>
        <w:t>C</w:t>
      </w:r>
      <w:r w:rsidRPr="005A2DF4">
        <w:rPr>
          <w:iCs/>
          <w:color w:val="000000" w:themeColor="text1"/>
          <w:sz w:val="20"/>
          <w:szCs w:val="20"/>
        </w:rPr>
        <w:t>ada vez son más las economías en las que el crecimiento está desacelerándose o está sufriendo una contracción propiamente dicha. La salud futura de la economía mundial depende fundamentalmente de la adecuada calibración de la política monetaria, el curso de la guerra en Ucrania y la posibilidad de que surjan nuevas perturbaciones por el lado de la oferta relacionadas con la pandemia, como por ejemplo en China.</w:t>
      </w:r>
      <w:r>
        <w:rPr>
          <w:iCs/>
          <w:color w:val="000000" w:themeColor="text1"/>
          <w:sz w:val="20"/>
          <w:szCs w:val="20"/>
        </w:rPr>
        <w:t xml:space="preserve"> </w:t>
      </w:r>
      <w:r w:rsidRPr="00955A4C">
        <w:rPr>
          <w:iCs/>
          <w:color w:val="000000" w:themeColor="text1"/>
          <w:sz w:val="20"/>
          <w:szCs w:val="20"/>
        </w:rPr>
        <w:t xml:space="preserve">De acuerdo con el Fondo Monetario Internacional (FMI), </w:t>
      </w:r>
      <w:r>
        <w:rPr>
          <w:iCs/>
          <w:color w:val="000000" w:themeColor="text1"/>
          <w:sz w:val="20"/>
          <w:szCs w:val="20"/>
        </w:rPr>
        <w:t>s</w:t>
      </w:r>
      <w:r w:rsidRPr="005A2DF4">
        <w:rPr>
          <w:iCs/>
          <w:color w:val="000000" w:themeColor="text1"/>
          <w:sz w:val="20"/>
          <w:szCs w:val="20"/>
        </w:rPr>
        <w:t>e pronostica que el crecimiento mundial se</w:t>
      </w:r>
      <w:r>
        <w:rPr>
          <w:iCs/>
          <w:color w:val="000000" w:themeColor="text1"/>
          <w:sz w:val="20"/>
          <w:szCs w:val="20"/>
        </w:rPr>
        <w:t xml:space="preserve"> </w:t>
      </w:r>
      <w:r w:rsidRPr="005A2DF4">
        <w:rPr>
          <w:iCs/>
          <w:color w:val="000000" w:themeColor="text1"/>
          <w:sz w:val="20"/>
          <w:szCs w:val="20"/>
        </w:rPr>
        <w:t>desacelere de 6</w:t>
      </w:r>
      <w:r w:rsidR="00AF4034">
        <w:rPr>
          <w:iCs/>
          <w:color w:val="000000" w:themeColor="text1"/>
          <w:sz w:val="20"/>
          <w:szCs w:val="20"/>
        </w:rPr>
        <w:t>.</w:t>
      </w:r>
      <w:r w:rsidRPr="005A2DF4">
        <w:rPr>
          <w:iCs/>
          <w:color w:val="000000" w:themeColor="text1"/>
          <w:sz w:val="20"/>
          <w:szCs w:val="20"/>
        </w:rPr>
        <w:t>0% en 2021 a 3</w:t>
      </w:r>
      <w:r w:rsidR="00AF4034">
        <w:rPr>
          <w:iCs/>
          <w:color w:val="000000" w:themeColor="text1"/>
          <w:sz w:val="20"/>
          <w:szCs w:val="20"/>
        </w:rPr>
        <w:t>.</w:t>
      </w:r>
      <w:r w:rsidRPr="005A2DF4">
        <w:rPr>
          <w:iCs/>
          <w:color w:val="000000" w:themeColor="text1"/>
          <w:sz w:val="20"/>
          <w:szCs w:val="20"/>
        </w:rPr>
        <w:t>2% en 2022 y 2</w:t>
      </w:r>
      <w:r w:rsidR="00AF4034">
        <w:rPr>
          <w:iCs/>
          <w:color w:val="000000" w:themeColor="text1"/>
          <w:sz w:val="20"/>
          <w:szCs w:val="20"/>
        </w:rPr>
        <w:t>.</w:t>
      </w:r>
      <w:r w:rsidRPr="005A2DF4">
        <w:rPr>
          <w:iCs/>
          <w:color w:val="000000" w:themeColor="text1"/>
          <w:sz w:val="20"/>
          <w:szCs w:val="20"/>
        </w:rPr>
        <w:t>7%</w:t>
      </w:r>
      <w:r>
        <w:rPr>
          <w:iCs/>
          <w:color w:val="000000" w:themeColor="text1"/>
          <w:sz w:val="20"/>
          <w:szCs w:val="20"/>
        </w:rPr>
        <w:t xml:space="preserve"> </w:t>
      </w:r>
      <w:r w:rsidRPr="005A2DF4">
        <w:rPr>
          <w:iCs/>
          <w:color w:val="000000" w:themeColor="text1"/>
          <w:sz w:val="20"/>
          <w:szCs w:val="20"/>
        </w:rPr>
        <w:t>en 2023</w:t>
      </w:r>
      <w:r>
        <w:rPr>
          <w:iCs/>
          <w:color w:val="000000" w:themeColor="text1"/>
          <w:sz w:val="20"/>
          <w:szCs w:val="20"/>
        </w:rPr>
        <w:t>,</w:t>
      </w:r>
      <w:r w:rsidRPr="004F06DA">
        <w:t xml:space="preserve"> </w:t>
      </w:r>
      <w:r>
        <w:rPr>
          <w:iCs/>
          <w:color w:val="000000" w:themeColor="text1"/>
          <w:sz w:val="20"/>
          <w:szCs w:val="20"/>
        </w:rPr>
        <w:t>a</w:t>
      </w:r>
      <w:r w:rsidRPr="005A2DF4">
        <w:rPr>
          <w:iCs/>
          <w:color w:val="000000" w:themeColor="text1"/>
          <w:sz w:val="20"/>
          <w:szCs w:val="20"/>
        </w:rPr>
        <w:t>parte de la crisis financiera mundial y la</w:t>
      </w:r>
      <w:r>
        <w:rPr>
          <w:iCs/>
          <w:color w:val="000000" w:themeColor="text1"/>
          <w:sz w:val="20"/>
          <w:szCs w:val="20"/>
        </w:rPr>
        <w:t xml:space="preserve"> </w:t>
      </w:r>
      <w:r w:rsidRPr="005A2DF4">
        <w:rPr>
          <w:iCs/>
          <w:color w:val="000000" w:themeColor="text1"/>
          <w:sz w:val="20"/>
          <w:szCs w:val="20"/>
        </w:rPr>
        <w:t>fase aguda de la pandemia de</w:t>
      </w:r>
      <w:r w:rsidR="0070420C">
        <w:rPr>
          <w:iCs/>
          <w:color w:val="000000" w:themeColor="text1"/>
          <w:sz w:val="20"/>
          <w:szCs w:val="20"/>
        </w:rPr>
        <w:t xml:space="preserve"> la</w:t>
      </w:r>
      <w:r w:rsidRPr="005A2DF4">
        <w:rPr>
          <w:iCs/>
          <w:color w:val="000000" w:themeColor="text1"/>
          <w:sz w:val="20"/>
          <w:szCs w:val="20"/>
        </w:rPr>
        <w:t xml:space="preserve"> COVID-19, este es el</w:t>
      </w:r>
      <w:r>
        <w:rPr>
          <w:iCs/>
          <w:color w:val="000000" w:themeColor="text1"/>
          <w:sz w:val="20"/>
          <w:szCs w:val="20"/>
        </w:rPr>
        <w:t xml:space="preserve"> </w:t>
      </w:r>
      <w:r w:rsidRPr="005A2DF4">
        <w:rPr>
          <w:iCs/>
          <w:color w:val="000000" w:themeColor="text1"/>
          <w:sz w:val="20"/>
          <w:szCs w:val="20"/>
        </w:rPr>
        <w:t>perfil de crecimiento más débil desde</w:t>
      </w:r>
      <w:r w:rsidR="00051197">
        <w:rPr>
          <w:iCs/>
          <w:color w:val="000000" w:themeColor="text1"/>
          <w:sz w:val="20"/>
          <w:szCs w:val="20"/>
        </w:rPr>
        <w:t xml:space="preserve"> el</w:t>
      </w:r>
      <w:r w:rsidRPr="005A2DF4">
        <w:rPr>
          <w:iCs/>
          <w:color w:val="000000" w:themeColor="text1"/>
          <w:sz w:val="20"/>
          <w:szCs w:val="20"/>
        </w:rPr>
        <w:t xml:space="preserve"> 2001</w:t>
      </w:r>
      <w:r>
        <w:rPr>
          <w:iCs/>
          <w:color w:val="000000" w:themeColor="text1"/>
          <w:sz w:val="20"/>
          <w:szCs w:val="20"/>
        </w:rPr>
        <w:t xml:space="preserve">, </w:t>
      </w:r>
      <w:r w:rsidRPr="005A2DF4">
        <w:rPr>
          <w:iCs/>
          <w:color w:val="000000" w:themeColor="text1"/>
          <w:sz w:val="20"/>
          <w:szCs w:val="20"/>
        </w:rPr>
        <w:t>y refleja</w:t>
      </w:r>
      <w:r>
        <w:rPr>
          <w:iCs/>
          <w:color w:val="000000" w:themeColor="text1"/>
          <w:sz w:val="20"/>
          <w:szCs w:val="20"/>
        </w:rPr>
        <w:t xml:space="preserve"> </w:t>
      </w:r>
      <w:r w:rsidRPr="005A2DF4">
        <w:rPr>
          <w:iCs/>
          <w:color w:val="000000" w:themeColor="text1"/>
          <w:sz w:val="20"/>
          <w:szCs w:val="20"/>
        </w:rPr>
        <w:t xml:space="preserve">importantes desaceleraciones en las principales economías: una </w:t>
      </w:r>
      <w:r w:rsidRPr="005A2DF4">
        <w:rPr>
          <w:iCs/>
          <w:color w:val="000000" w:themeColor="text1"/>
          <w:sz w:val="20"/>
          <w:szCs w:val="20"/>
        </w:rPr>
        <w:lastRenderedPageBreak/>
        <w:t>contracción del PIB de Estados Unidos</w:t>
      </w:r>
      <w:r>
        <w:rPr>
          <w:iCs/>
          <w:color w:val="000000" w:themeColor="text1"/>
          <w:sz w:val="20"/>
          <w:szCs w:val="20"/>
        </w:rPr>
        <w:t xml:space="preserve"> </w:t>
      </w:r>
      <w:r w:rsidRPr="005A2DF4">
        <w:rPr>
          <w:iCs/>
          <w:color w:val="000000" w:themeColor="text1"/>
          <w:sz w:val="20"/>
          <w:szCs w:val="20"/>
        </w:rPr>
        <w:t>en el primer semestre de 2022, una contracción en la</w:t>
      </w:r>
      <w:r>
        <w:rPr>
          <w:iCs/>
          <w:color w:val="000000" w:themeColor="text1"/>
          <w:sz w:val="20"/>
          <w:szCs w:val="20"/>
        </w:rPr>
        <w:t xml:space="preserve"> </w:t>
      </w:r>
      <w:r w:rsidRPr="005A2DF4">
        <w:rPr>
          <w:iCs/>
          <w:color w:val="000000" w:themeColor="text1"/>
          <w:sz w:val="20"/>
          <w:szCs w:val="20"/>
        </w:rPr>
        <w:t>zona del euro durante el segundo semestre de 2022 y</w:t>
      </w:r>
      <w:r>
        <w:rPr>
          <w:iCs/>
          <w:color w:val="000000" w:themeColor="text1"/>
          <w:sz w:val="20"/>
          <w:szCs w:val="20"/>
        </w:rPr>
        <w:t xml:space="preserve"> </w:t>
      </w:r>
      <w:r w:rsidRPr="005A2DF4">
        <w:rPr>
          <w:iCs/>
          <w:color w:val="000000" w:themeColor="text1"/>
          <w:sz w:val="20"/>
          <w:szCs w:val="20"/>
        </w:rPr>
        <w:t xml:space="preserve">brotes de </w:t>
      </w:r>
      <w:r w:rsidR="0070420C">
        <w:rPr>
          <w:iCs/>
          <w:color w:val="000000" w:themeColor="text1"/>
          <w:sz w:val="20"/>
          <w:szCs w:val="20"/>
        </w:rPr>
        <w:t xml:space="preserve">la </w:t>
      </w:r>
      <w:r w:rsidRPr="005A2DF4">
        <w:rPr>
          <w:iCs/>
          <w:color w:val="000000" w:themeColor="text1"/>
          <w:sz w:val="20"/>
          <w:szCs w:val="20"/>
        </w:rPr>
        <w:t>COVID-19 y confinamientos prolongados</w:t>
      </w:r>
      <w:r>
        <w:rPr>
          <w:iCs/>
          <w:color w:val="000000" w:themeColor="text1"/>
          <w:sz w:val="20"/>
          <w:szCs w:val="20"/>
        </w:rPr>
        <w:t xml:space="preserve"> </w:t>
      </w:r>
      <w:r w:rsidRPr="005A2DF4">
        <w:rPr>
          <w:iCs/>
          <w:color w:val="000000" w:themeColor="text1"/>
          <w:sz w:val="20"/>
          <w:szCs w:val="20"/>
        </w:rPr>
        <w:t>en China, donde la crisis del sector inmobiliario va en</w:t>
      </w:r>
      <w:r>
        <w:rPr>
          <w:iCs/>
          <w:color w:val="000000" w:themeColor="text1"/>
          <w:sz w:val="20"/>
          <w:szCs w:val="20"/>
        </w:rPr>
        <w:t xml:space="preserve"> </w:t>
      </w:r>
      <w:r w:rsidRPr="005A2DF4">
        <w:rPr>
          <w:iCs/>
          <w:color w:val="000000" w:themeColor="text1"/>
          <w:sz w:val="20"/>
          <w:szCs w:val="20"/>
        </w:rPr>
        <w:t>aumento. Aproximadamente una tercera parte de la</w:t>
      </w:r>
      <w:r>
        <w:rPr>
          <w:iCs/>
          <w:color w:val="000000" w:themeColor="text1"/>
          <w:sz w:val="20"/>
          <w:szCs w:val="20"/>
        </w:rPr>
        <w:t xml:space="preserve"> </w:t>
      </w:r>
      <w:r w:rsidRPr="005A2DF4">
        <w:rPr>
          <w:iCs/>
          <w:color w:val="000000" w:themeColor="text1"/>
          <w:sz w:val="20"/>
          <w:szCs w:val="20"/>
        </w:rPr>
        <w:t>economía mundial afronta dos trimestres consecutivos</w:t>
      </w:r>
      <w:r>
        <w:rPr>
          <w:iCs/>
          <w:color w:val="000000" w:themeColor="text1"/>
          <w:sz w:val="20"/>
          <w:szCs w:val="20"/>
        </w:rPr>
        <w:t xml:space="preserve"> </w:t>
      </w:r>
      <w:r w:rsidRPr="005A2DF4">
        <w:rPr>
          <w:iCs/>
          <w:color w:val="000000" w:themeColor="text1"/>
          <w:sz w:val="20"/>
          <w:szCs w:val="20"/>
        </w:rPr>
        <w:t>de crecimiento negativo.</w:t>
      </w:r>
      <w:r>
        <w:rPr>
          <w:iCs/>
          <w:color w:val="000000" w:themeColor="text1"/>
          <w:sz w:val="20"/>
          <w:szCs w:val="20"/>
        </w:rPr>
        <w:t xml:space="preserve"> </w:t>
      </w:r>
    </w:p>
    <w:p w14:paraId="36F2EDBB" w14:textId="77777777" w:rsidR="00786327" w:rsidRDefault="00786327" w:rsidP="00786327">
      <w:pPr>
        <w:spacing w:line="360" w:lineRule="auto"/>
        <w:jc w:val="both"/>
        <w:rPr>
          <w:iCs/>
          <w:color w:val="000000" w:themeColor="text1"/>
          <w:sz w:val="20"/>
          <w:szCs w:val="20"/>
        </w:rPr>
      </w:pPr>
    </w:p>
    <w:p w14:paraId="2096FBFF" w14:textId="77777777" w:rsidR="00786327" w:rsidRDefault="00786327" w:rsidP="00786327">
      <w:pPr>
        <w:spacing w:line="360" w:lineRule="auto"/>
        <w:jc w:val="both"/>
        <w:rPr>
          <w:iCs/>
          <w:color w:val="000000" w:themeColor="text1"/>
          <w:sz w:val="20"/>
          <w:szCs w:val="20"/>
        </w:rPr>
      </w:pPr>
      <w:r w:rsidRPr="00BF2333">
        <w:rPr>
          <w:iCs/>
          <w:color w:val="000000" w:themeColor="text1"/>
          <w:sz w:val="20"/>
          <w:szCs w:val="20"/>
        </w:rPr>
        <w:t>Los riesgos a la baja para las perspectivas siguen</w:t>
      </w:r>
      <w:r>
        <w:rPr>
          <w:iCs/>
          <w:color w:val="000000" w:themeColor="text1"/>
          <w:sz w:val="20"/>
          <w:szCs w:val="20"/>
        </w:rPr>
        <w:t xml:space="preserve"> </w:t>
      </w:r>
      <w:r w:rsidRPr="00BF2333">
        <w:rPr>
          <w:iCs/>
          <w:color w:val="000000" w:themeColor="text1"/>
          <w:sz w:val="20"/>
          <w:szCs w:val="20"/>
        </w:rPr>
        <w:t>siendo elevados, en tanto que las disyuntivas que presentan las políticas para hacer frente a la crisis del costo</w:t>
      </w:r>
      <w:r>
        <w:rPr>
          <w:iCs/>
          <w:color w:val="000000" w:themeColor="text1"/>
          <w:sz w:val="20"/>
          <w:szCs w:val="20"/>
        </w:rPr>
        <w:t xml:space="preserve"> </w:t>
      </w:r>
      <w:r w:rsidRPr="00BF2333">
        <w:rPr>
          <w:iCs/>
          <w:color w:val="000000" w:themeColor="text1"/>
          <w:sz w:val="20"/>
          <w:szCs w:val="20"/>
        </w:rPr>
        <w:t>de la vida se han tornado sumamente complicadas. El</w:t>
      </w:r>
      <w:r>
        <w:rPr>
          <w:iCs/>
          <w:color w:val="000000" w:themeColor="text1"/>
          <w:sz w:val="20"/>
          <w:szCs w:val="20"/>
        </w:rPr>
        <w:t xml:space="preserve"> </w:t>
      </w:r>
      <w:r w:rsidRPr="00BF2333">
        <w:rPr>
          <w:iCs/>
          <w:color w:val="000000" w:themeColor="text1"/>
          <w:sz w:val="20"/>
          <w:szCs w:val="20"/>
        </w:rPr>
        <w:t>riesgo de una calibración errada de la política monetaria, fiscal o financiera ha aumentado drásticamente en</w:t>
      </w:r>
      <w:r>
        <w:rPr>
          <w:iCs/>
          <w:color w:val="000000" w:themeColor="text1"/>
          <w:sz w:val="20"/>
          <w:szCs w:val="20"/>
        </w:rPr>
        <w:t xml:space="preserve"> </w:t>
      </w:r>
      <w:r w:rsidRPr="00BF2333">
        <w:rPr>
          <w:iCs/>
          <w:color w:val="000000" w:themeColor="text1"/>
          <w:sz w:val="20"/>
          <w:szCs w:val="20"/>
        </w:rPr>
        <w:t>un momento en que la economía mundial permanece</w:t>
      </w:r>
      <w:r>
        <w:rPr>
          <w:iCs/>
          <w:color w:val="000000" w:themeColor="text1"/>
          <w:sz w:val="20"/>
          <w:szCs w:val="20"/>
        </w:rPr>
        <w:t xml:space="preserve"> </w:t>
      </w:r>
      <w:r w:rsidRPr="00BF2333">
        <w:rPr>
          <w:iCs/>
          <w:color w:val="000000" w:themeColor="text1"/>
          <w:sz w:val="20"/>
          <w:szCs w:val="20"/>
        </w:rPr>
        <w:t>en un estado históricamente frágil y en que los mercados financieros están dando señales de tensión.</w:t>
      </w:r>
    </w:p>
    <w:p w14:paraId="5B4E300A" w14:textId="77777777" w:rsidR="00786327" w:rsidRDefault="00786327" w:rsidP="00786327">
      <w:pPr>
        <w:spacing w:line="360" w:lineRule="auto"/>
        <w:jc w:val="both"/>
        <w:rPr>
          <w:iCs/>
          <w:color w:val="000000" w:themeColor="text1"/>
          <w:sz w:val="20"/>
          <w:szCs w:val="20"/>
        </w:rPr>
      </w:pPr>
    </w:p>
    <w:p w14:paraId="22713F37" w14:textId="6F71301C" w:rsidR="00786327" w:rsidRDefault="00786327" w:rsidP="00786327">
      <w:pPr>
        <w:spacing w:line="360" w:lineRule="auto"/>
        <w:jc w:val="both"/>
        <w:rPr>
          <w:iCs/>
          <w:color w:val="000000" w:themeColor="text1"/>
          <w:sz w:val="20"/>
          <w:szCs w:val="20"/>
        </w:rPr>
      </w:pPr>
      <w:r w:rsidRPr="00BF2333">
        <w:rPr>
          <w:iCs/>
          <w:color w:val="000000" w:themeColor="text1"/>
          <w:sz w:val="20"/>
          <w:szCs w:val="20"/>
        </w:rPr>
        <w:t>Se pronostica que la inflación</w:t>
      </w:r>
      <w:r>
        <w:rPr>
          <w:iCs/>
          <w:color w:val="000000" w:themeColor="text1"/>
          <w:sz w:val="20"/>
          <w:szCs w:val="20"/>
        </w:rPr>
        <w:t xml:space="preserve"> </w:t>
      </w:r>
      <w:r w:rsidRPr="00BF2333">
        <w:rPr>
          <w:iCs/>
          <w:color w:val="000000" w:themeColor="text1"/>
          <w:sz w:val="20"/>
          <w:szCs w:val="20"/>
        </w:rPr>
        <w:t>mundial aumente de 4</w:t>
      </w:r>
      <w:r w:rsidR="00AF4034">
        <w:rPr>
          <w:iCs/>
          <w:color w:val="000000" w:themeColor="text1"/>
          <w:sz w:val="20"/>
          <w:szCs w:val="20"/>
        </w:rPr>
        <w:t>.</w:t>
      </w:r>
      <w:r w:rsidRPr="00BF2333">
        <w:rPr>
          <w:iCs/>
          <w:color w:val="000000" w:themeColor="text1"/>
          <w:sz w:val="20"/>
          <w:szCs w:val="20"/>
        </w:rPr>
        <w:t>7% en 2021 a 8</w:t>
      </w:r>
      <w:r w:rsidR="00AF4034">
        <w:rPr>
          <w:iCs/>
          <w:color w:val="000000" w:themeColor="text1"/>
          <w:sz w:val="20"/>
          <w:szCs w:val="20"/>
        </w:rPr>
        <w:t>.</w:t>
      </w:r>
      <w:r w:rsidRPr="00BF2333">
        <w:rPr>
          <w:iCs/>
          <w:color w:val="000000" w:themeColor="text1"/>
          <w:sz w:val="20"/>
          <w:szCs w:val="20"/>
        </w:rPr>
        <w:t>8% en 2022,</w:t>
      </w:r>
      <w:r>
        <w:rPr>
          <w:iCs/>
          <w:color w:val="000000" w:themeColor="text1"/>
          <w:sz w:val="20"/>
          <w:szCs w:val="20"/>
        </w:rPr>
        <w:t xml:space="preserve"> </w:t>
      </w:r>
      <w:r w:rsidRPr="00BF2333">
        <w:rPr>
          <w:iCs/>
          <w:color w:val="000000" w:themeColor="text1"/>
          <w:sz w:val="20"/>
          <w:szCs w:val="20"/>
        </w:rPr>
        <w:t>para luego descender a 6</w:t>
      </w:r>
      <w:r w:rsidR="00AF4034">
        <w:rPr>
          <w:iCs/>
          <w:color w:val="000000" w:themeColor="text1"/>
          <w:sz w:val="20"/>
          <w:szCs w:val="20"/>
        </w:rPr>
        <w:t>.5% en 2023 y 4.</w:t>
      </w:r>
      <w:r w:rsidRPr="00BF2333">
        <w:rPr>
          <w:iCs/>
          <w:color w:val="000000" w:themeColor="text1"/>
          <w:sz w:val="20"/>
          <w:szCs w:val="20"/>
        </w:rPr>
        <w:t>1% en</w:t>
      </w:r>
      <w:r>
        <w:rPr>
          <w:iCs/>
          <w:color w:val="000000" w:themeColor="text1"/>
          <w:sz w:val="20"/>
          <w:szCs w:val="20"/>
        </w:rPr>
        <w:t xml:space="preserve"> </w:t>
      </w:r>
      <w:r w:rsidRPr="00BF2333">
        <w:rPr>
          <w:iCs/>
          <w:color w:val="000000" w:themeColor="text1"/>
          <w:sz w:val="20"/>
          <w:szCs w:val="20"/>
        </w:rPr>
        <w:t>2024. Las sorpresas al alza de la inflación han sido de</w:t>
      </w:r>
      <w:r>
        <w:rPr>
          <w:iCs/>
          <w:color w:val="000000" w:themeColor="text1"/>
          <w:sz w:val="20"/>
          <w:szCs w:val="20"/>
        </w:rPr>
        <w:t xml:space="preserve"> </w:t>
      </w:r>
      <w:r w:rsidRPr="00BF2333">
        <w:rPr>
          <w:iCs/>
          <w:color w:val="000000" w:themeColor="text1"/>
          <w:sz w:val="20"/>
          <w:szCs w:val="20"/>
        </w:rPr>
        <w:t>carácter más generalizado en las economías avanzadas,</w:t>
      </w:r>
      <w:r>
        <w:rPr>
          <w:iCs/>
          <w:color w:val="000000" w:themeColor="text1"/>
          <w:sz w:val="20"/>
          <w:szCs w:val="20"/>
        </w:rPr>
        <w:t xml:space="preserve"> </w:t>
      </w:r>
      <w:r w:rsidRPr="00BF2333">
        <w:rPr>
          <w:iCs/>
          <w:color w:val="000000" w:themeColor="text1"/>
          <w:sz w:val="20"/>
          <w:szCs w:val="20"/>
        </w:rPr>
        <w:t>y más variadas en las economías de mercados emergentes y en desarrollo.</w:t>
      </w:r>
    </w:p>
    <w:p w14:paraId="3FFE2566" w14:textId="02A9FEDD" w:rsidR="00525B2B" w:rsidRDefault="00525B2B" w:rsidP="00786327">
      <w:pPr>
        <w:spacing w:line="360" w:lineRule="auto"/>
        <w:jc w:val="center"/>
        <w:rPr>
          <w:b/>
          <w:iCs/>
          <w:color w:val="000000" w:themeColor="text1"/>
          <w:sz w:val="20"/>
          <w:szCs w:val="20"/>
        </w:rPr>
      </w:pPr>
      <w:r w:rsidRPr="00C44866">
        <w:rPr>
          <w:b/>
          <w:iCs/>
          <w:color w:val="000000" w:themeColor="text1"/>
          <w:sz w:val="20"/>
          <w:szCs w:val="20"/>
        </w:rPr>
        <w:t>Últimas Proyecciones de Crecimiento de Perspectivas de la Economía Mundial</w:t>
      </w:r>
    </w:p>
    <w:p w14:paraId="13ED8177" w14:textId="637C162B" w:rsidR="00525B2B" w:rsidRPr="00C44866" w:rsidRDefault="00786327" w:rsidP="00525B2B">
      <w:pPr>
        <w:spacing w:line="360" w:lineRule="auto"/>
        <w:jc w:val="center"/>
        <w:rPr>
          <w:b/>
          <w:iCs/>
          <w:color w:val="000000" w:themeColor="text1"/>
          <w:sz w:val="20"/>
          <w:szCs w:val="20"/>
        </w:rPr>
      </w:pPr>
      <w:r>
        <w:rPr>
          <w:b/>
          <w:iCs/>
          <w:color w:val="000000" w:themeColor="text1"/>
          <w:sz w:val="20"/>
          <w:szCs w:val="20"/>
        </w:rPr>
        <w:t>Octubre</w:t>
      </w:r>
      <w:r w:rsidR="00525B2B">
        <w:rPr>
          <w:b/>
          <w:iCs/>
          <w:color w:val="000000" w:themeColor="text1"/>
          <w:sz w:val="20"/>
          <w:szCs w:val="20"/>
        </w:rPr>
        <w:t xml:space="preserve"> 202</w:t>
      </w:r>
      <w:r>
        <w:rPr>
          <w:b/>
          <w:iCs/>
          <w:color w:val="000000" w:themeColor="text1"/>
          <w:sz w:val="20"/>
          <w:szCs w:val="20"/>
        </w:rPr>
        <w:t>2</w:t>
      </w:r>
    </w:p>
    <w:p w14:paraId="198C69AE" w14:textId="2DAD7F58" w:rsidR="00525B2B" w:rsidRDefault="00786327" w:rsidP="00525B2B">
      <w:pPr>
        <w:spacing w:line="360" w:lineRule="auto"/>
        <w:jc w:val="center"/>
        <w:rPr>
          <w:iCs/>
          <w:color w:val="000000" w:themeColor="text1"/>
          <w:sz w:val="20"/>
          <w:szCs w:val="20"/>
        </w:rPr>
      </w:pPr>
      <w:r>
        <w:rPr>
          <w:noProof/>
          <w:lang w:val="es-MX" w:eastAsia="es-MX"/>
        </w:rPr>
        <w:drawing>
          <wp:inline distT="0" distB="0" distL="0" distR="0" wp14:anchorId="73FB14C1" wp14:editId="44B3A395">
            <wp:extent cx="2533209" cy="3590925"/>
            <wp:effectExtent l="0" t="0" r="635" b="0"/>
            <wp:docPr id="8" name="Imagen 8" descr="https://www.imf.org/-/media/Images/IMF/Publications/WEO/2022/October/Spanish/weo-chart-oct-2022-spa.ashx?h=4720&amp;w=2600&amp;l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imf.org/-/media/Images/IMF/Publications/WEO/2022/October/Spanish/weo-chart-oct-2022-spa.ashx?h=4720&amp;w=2600&amp;la=es"/>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66761" cy="3638486"/>
                    </a:xfrm>
                    <a:prstGeom prst="rect">
                      <a:avLst/>
                    </a:prstGeom>
                    <a:noFill/>
                    <a:ln>
                      <a:noFill/>
                    </a:ln>
                  </pic:spPr>
                </pic:pic>
              </a:graphicData>
            </a:graphic>
          </wp:inline>
        </w:drawing>
      </w:r>
    </w:p>
    <w:p w14:paraId="3ABEFB92" w14:textId="77777777" w:rsidR="00525B2B" w:rsidRDefault="00525B2B" w:rsidP="00525B2B">
      <w:pPr>
        <w:spacing w:line="360" w:lineRule="auto"/>
        <w:jc w:val="both"/>
        <w:rPr>
          <w:iCs/>
          <w:color w:val="000000" w:themeColor="text1"/>
          <w:sz w:val="20"/>
          <w:szCs w:val="20"/>
        </w:rPr>
      </w:pPr>
    </w:p>
    <w:p w14:paraId="6F902BAF" w14:textId="465757C0" w:rsidR="00786327" w:rsidRDefault="00786327" w:rsidP="00786327">
      <w:pPr>
        <w:spacing w:line="360" w:lineRule="auto"/>
        <w:jc w:val="both"/>
        <w:rPr>
          <w:iCs/>
          <w:color w:val="000000" w:themeColor="text1"/>
          <w:sz w:val="20"/>
          <w:szCs w:val="20"/>
        </w:rPr>
      </w:pPr>
      <w:r w:rsidRPr="00E10488">
        <w:rPr>
          <w:iCs/>
          <w:color w:val="000000" w:themeColor="text1"/>
          <w:sz w:val="20"/>
          <w:szCs w:val="20"/>
        </w:rPr>
        <w:t>La</w:t>
      </w:r>
      <w:r>
        <w:rPr>
          <w:iCs/>
          <w:color w:val="000000" w:themeColor="text1"/>
          <w:sz w:val="20"/>
          <w:szCs w:val="20"/>
        </w:rPr>
        <w:t xml:space="preserve"> </w:t>
      </w:r>
      <w:r w:rsidRPr="00E10488">
        <w:rPr>
          <w:iCs/>
          <w:color w:val="000000" w:themeColor="text1"/>
          <w:sz w:val="20"/>
          <w:szCs w:val="20"/>
        </w:rPr>
        <w:t>política monetaria podría errar al determinar la</w:t>
      </w:r>
      <w:r>
        <w:rPr>
          <w:iCs/>
          <w:color w:val="000000" w:themeColor="text1"/>
          <w:sz w:val="20"/>
          <w:szCs w:val="20"/>
        </w:rPr>
        <w:t xml:space="preserve"> </w:t>
      </w:r>
      <w:r w:rsidRPr="00E10488">
        <w:rPr>
          <w:iCs/>
          <w:color w:val="000000" w:themeColor="text1"/>
          <w:sz w:val="20"/>
          <w:szCs w:val="20"/>
        </w:rPr>
        <w:t>orientación precisa para reducir la inflación. En las</w:t>
      </w:r>
      <w:r>
        <w:rPr>
          <w:iCs/>
          <w:color w:val="000000" w:themeColor="text1"/>
          <w:sz w:val="20"/>
          <w:szCs w:val="20"/>
        </w:rPr>
        <w:t xml:space="preserve"> </w:t>
      </w:r>
      <w:r w:rsidRPr="00E10488">
        <w:rPr>
          <w:iCs/>
          <w:color w:val="000000" w:themeColor="text1"/>
          <w:sz w:val="20"/>
          <w:szCs w:val="20"/>
        </w:rPr>
        <w:t>principales economías, las políticas podrían seguir</w:t>
      </w:r>
      <w:r>
        <w:rPr>
          <w:iCs/>
          <w:color w:val="000000" w:themeColor="text1"/>
          <w:sz w:val="20"/>
          <w:szCs w:val="20"/>
        </w:rPr>
        <w:t xml:space="preserve"> </w:t>
      </w:r>
      <w:r w:rsidRPr="00E10488">
        <w:rPr>
          <w:iCs/>
          <w:color w:val="000000" w:themeColor="text1"/>
          <w:sz w:val="20"/>
          <w:szCs w:val="20"/>
        </w:rPr>
        <w:t>avanzando por trayectorias divergentes, lo que provocaría una mayor apreciación del dólar de EE.UU.</w:t>
      </w:r>
      <w:r>
        <w:rPr>
          <w:iCs/>
          <w:color w:val="000000" w:themeColor="text1"/>
          <w:sz w:val="20"/>
          <w:szCs w:val="20"/>
        </w:rPr>
        <w:t xml:space="preserve"> </w:t>
      </w:r>
      <w:r w:rsidRPr="00E10488">
        <w:rPr>
          <w:iCs/>
          <w:color w:val="000000" w:themeColor="text1"/>
          <w:sz w:val="20"/>
          <w:szCs w:val="20"/>
        </w:rPr>
        <w:t>y tensiones transfronterizas. Nuevos shocks de los</w:t>
      </w:r>
      <w:r>
        <w:rPr>
          <w:iCs/>
          <w:color w:val="000000" w:themeColor="text1"/>
          <w:sz w:val="20"/>
          <w:szCs w:val="20"/>
        </w:rPr>
        <w:t xml:space="preserve"> </w:t>
      </w:r>
      <w:r w:rsidRPr="00E10488">
        <w:rPr>
          <w:iCs/>
          <w:color w:val="000000" w:themeColor="text1"/>
          <w:sz w:val="20"/>
          <w:szCs w:val="20"/>
        </w:rPr>
        <w:t>precios de la energía y los alimentos podrían prolongar la inflación persistente. El endurecimiento de las</w:t>
      </w:r>
      <w:r>
        <w:rPr>
          <w:iCs/>
          <w:color w:val="000000" w:themeColor="text1"/>
          <w:sz w:val="20"/>
          <w:szCs w:val="20"/>
        </w:rPr>
        <w:t xml:space="preserve"> </w:t>
      </w:r>
      <w:r w:rsidRPr="00E10488">
        <w:rPr>
          <w:iCs/>
          <w:color w:val="000000" w:themeColor="text1"/>
          <w:sz w:val="20"/>
          <w:szCs w:val="20"/>
        </w:rPr>
        <w:t>condiciones financieras mundiales podría dar lugar a</w:t>
      </w:r>
      <w:r>
        <w:rPr>
          <w:iCs/>
          <w:color w:val="000000" w:themeColor="text1"/>
          <w:sz w:val="20"/>
          <w:szCs w:val="20"/>
        </w:rPr>
        <w:t xml:space="preserve"> </w:t>
      </w:r>
      <w:r w:rsidRPr="00E10488">
        <w:rPr>
          <w:iCs/>
          <w:color w:val="000000" w:themeColor="text1"/>
          <w:sz w:val="20"/>
          <w:szCs w:val="20"/>
        </w:rPr>
        <w:t>un sobreendeudamiento generalizado en los mercados</w:t>
      </w:r>
      <w:r>
        <w:rPr>
          <w:iCs/>
          <w:color w:val="000000" w:themeColor="text1"/>
          <w:sz w:val="20"/>
          <w:szCs w:val="20"/>
        </w:rPr>
        <w:t xml:space="preserve"> </w:t>
      </w:r>
      <w:r w:rsidRPr="00E10488">
        <w:rPr>
          <w:iCs/>
          <w:color w:val="000000" w:themeColor="text1"/>
          <w:sz w:val="20"/>
          <w:szCs w:val="20"/>
        </w:rPr>
        <w:t>emergentes. La interrupción del suministro de gas por</w:t>
      </w:r>
      <w:r>
        <w:rPr>
          <w:iCs/>
          <w:color w:val="000000" w:themeColor="text1"/>
          <w:sz w:val="20"/>
          <w:szCs w:val="20"/>
        </w:rPr>
        <w:t xml:space="preserve"> </w:t>
      </w:r>
      <w:r w:rsidRPr="00E10488">
        <w:rPr>
          <w:iCs/>
          <w:color w:val="000000" w:themeColor="text1"/>
          <w:sz w:val="20"/>
          <w:szCs w:val="20"/>
        </w:rPr>
        <w:t>parte de Rusia podría deprimir el producto en Europa.</w:t>
      </w:r>
      <w:r>
        <w:rPr>
          <w:iCs/>
          <w:color w:val="000000" w:themeColor="text1"/>
          <w:sz w:val="20"/>
          <w:szCs w:val="20"/>
        </w:rPr>
        <w:t xml:space="preserve"> </w:t>
      </w:r>
      <w:r w:rsidRPr="00E10488">
        <w:rPr>
          <w:iCs/>
          <w:color w:val="000000" w:themeColor="text1"/>
          <w:sz w:val="20"/>
          <w:szCs w:val="20"/>
        </w:rPr>
        <w:t>Un resurgimiento de la COVID-19 o nuevas alertas</w:t>
      </w:r>
      <w:r>
        <w:rPr>
          <w:iCs/>
          <w:color w:val="000000" w:themeColor="text1"/>
          <w:sz w:val="20"/>
          <w:szCs w:val="20"/>
        </w:rPr>
        <w:t xml:space="preserve"> </w:t>
      </w:r>
      <w:r w:rsidRPr="00E10488">
        <w:rPr>
          <w:iCs/>
          <w:color w:val="000000" w:themeColor="text1"/>
          <w:sz w:val="20"/>
          <w:szCs w:val="20"/>
        </w:rPr>
        <w:t>sanitarias a escala mundial podrían frenar aún más el</w:t>
      </w:r>
      <w:r>
        <w:rPr>
          <w:iCs/>
          <w:color w:val="000000" w:themeColor="text1"/>
          <w:sz w:val="20"/>
          <w:szCs w:val="20"/>
        </w:rPr>
        <w:t xml:space="preserve"> </w:t>
      </w:r>
      <w:r w:rsidRPr="00E10488">
        <w:rPr>
          <w:iCs/>
          <w:color w:val="000000" w:themeColor="text1"/>
          <w:sz w:val="20"/>
          <w:szCs w:val="20"/>
        </w:rPr>
        <w:t>crecimiento. Un empeoramiento de la crisis del sector</w:t>
      </w:r>
      <w:r>
        <w:rPr>
          <w:iCs/>
          <w:color w:val="000000" w:themeColor="text1"/>
          <w:sz w:val="20"/>
          <w:szCs w:val="20"/>
        </w:rPr>
        <w:t xml:space="preserve"> </w:t>
      </w:r>
      <w:r w:rsidRPr="00E10488">
        <w:rPr>
          <w:iCs/>
          <w:color w:val="000000" w:themeColor="text1"/>
          <w:sz w:val="20"/>
          <w:szCs w:val="20"/>
        </w:rPr>
        <w:t>inmobiliario en China podría repercutir en el sector</w:t>
      </w:r>
      <w:r>
        <w:rPr>
          <w:iCs/>
          <w:color w:val="000000" w:themeColor="text1"/>
          <w:sz w:val="20"/>
          <w:szCs w:val="20"/>
        </w:rPr>
        <w:t xml:space="preserve"> </w:t>
      </w:r>
      <w:r w:rsidRPr="00E10488">
        <w:rPr>
          <w:iCs/>
          <w:color w:val="000000" w:themeColor="text1"/>
          <w:sz w:val="20"/>
          <w:szCs w:val="20"/>
        </w:rPr>
        <w:t>bancario interno y lastrar profundamente el crecimiento del país, con efectos transfronterizos negativos.</w:t>
      </w:r>
      <w:r>
        <w:rPr>
          <w:iCs/>
          <w:color w:val="000000" w:themeColor="text1"/>
          <w:sz w:val="20"/>
          <w:szCs w:val="20"/>
        </w:rPr>
        <w:t xml:space="preserve"> </w:t>
      </w:r>
      <w:r w:rsidR="0070420C">
        <w:rPr>
          <w:iCs/>
          <w:color w:val="000000" w:themeColor="text1"/>
          <w:sz w:val="20"/>
          <w:szCs w:val="20"/>
        </w:rPr>
        <w:t>L</w:t>
      </w:r>
      <w:r w:rsidRPr="00E10488">
        <w:rPr>
          <w:iCs/>
          <w:color w:val="000000" w:themeColor="text1"/>
          <w:sz w:val="20"/>
          <w:szCs w:val="20"/>
        </w:rPr>
        <w:t>a fragmentación geopolítica podría obstaculizar</w:t>
      </w:r>
      <w:r>
        <w:rPr>
          <w:iCs/>
          <w:color w:val="000000" w:themeColor="text1"/>
          <w:sz w:val="20"/>
          <w:szCs w:val="20"/>
        </w:rPr>
        <w:t xml:space="preserve"> </w:t>
      </w:r>
      <w:r w:rsidRPr="00E10488">
        <w:rPr>
          <w:iCs/>
          <w:color w:val="000000" w:themeColor="text1"/>
          <w:sz w:val="20"/>
          <w:szCs w:val="20"/>
        </w:rPr>
        <w:t>los flujos comerciales y de capital, dificultando aún</w:t>
      </w:r>
      <w:r>
        <w:rPr>
          <w:iCs/>
          <w:color w:val="000000" w:themeColor="text1"/>
          <w:sz w:val="20"/>
          <w:szCs w:val="20"/>
        </w:rPr>
        <w:t xml:space="preserve"> </w:t>
      </w:r>
      <w:r w:rsidRPr="00E10488">
        <w:rPr>
          <w:iCs/>
          <w:color w:val="000000" w:themeColor="text1"/>
          <w:sz w:val="20"/>
          <w:szCs w:val="20"/>
        </w:rPr>
        <w:t>más la cooperación en materia de política climática.</w:t>
      </w:r>
      <w:r>
        <w:rPr>
          <w:iCs/>
          <w:color w:val="000000" w:themeColor="text1"/>
          <w:sz w:val="20"/>
          <w:szCs w:val="20"/>
        </w:rPr>
        <w:t xml:space="preserve"> </w:t>
      </w:r>
      <w:r w:rsidRPr="00E10488">
        <w:rPr>
          <w:iCs/>
          <w:color w:val="000000" w:themeColor="text1"/>
          <w:sz w:val="20"/>
          <w:szCs w:val="20"/>
        </w:rPr>
        <w:t>La balanza de riesgos está fuertemente inclinada a la</w:t>
      </w:r>
      <w:r>
        <w:rPr>
          <w:iCs/>
          <w:color w:val="000000" w:themeColor="text1"/>
          <w:sz w:val="20"/>
          <w:szCs w:val="20"/>
        </w:rPr>
        <w:t xml:space="preserve"> </w:t>
      </w:r>
      <w:r w:rsidRPr="00E10488">
        <w:rPr>
          <w:iCs/>
          <w:color w:val="000000" w:themeColor="text1"/>
          <w:sz w:val="20"/>
          <w:szCs w:val="20"/>
        </w:rPr>
        <w:t>baja, con una probabilidad de aproximadamente 25%</w:t>
      </w:r>
      <w:r>
        <w:rPr>
          <w:iCs/>
          <w:color w:val="000000" w:themeColor="text1"/>
          <w:sz w:val="20"/>
          <w:szCs w:val="20"/>
        </w:rPr>
        <w:t xml:space="preserve"> </w:t>
      </w:r>
      <w:r w:rsidRPr="00E10488">
        <w:rPr>
          <w:iCs/>
          <w:color w:val="000000" w:themeColor="text1"/>
          <w:sz w:val="20"/>
          <w:szCs w:val="20"/>
        </w:rPr>
        <w:t>de que el crecimiento mundial a un año descienda</w:t>
      </w:r>
      <w:r>
        <w:rPr>
          <w:iCs/>
          <w:color w:val="000000" w:themeColor="text1"/>
          <w:sz w:val="20"/>
          <w:szCs w:val="20"/>
        </w:rPr>
        <w:t xml:space="preserve"> </w:t>
      </w:r>
      <w:r w:rsidRPr="00E10488">
        <w:rPr>
          <w:iCs/>
          <w:color w:val="000000" w:themeColor="text1"/>
          <w:sz w:val="20"/>
          <w:szCs w:val="20"/>
        </w:rPr>
        <w:t>por debajo de 2</w:t>
      </w:r>
      <w:r w:rsidR="00AF4034">
        <w:rPr>
          <w:iCs/>
          <w:color w:val="000000" w:themeColor="text1"/>
          <w:sz w:val="20"/>
          <w:szCs w:val="20"/>
        </w:rPr>
        <w:t>.</w:t>
      </w:r>
      <w:r w:rsidRPr="00E10488">
        <w:rPr>
          <w:iCs/>
          <w:color w:val="000000" w:themeColor="text1"/>
          <w:sz w:val="20"/>
          <w:szCs w:val="20"/>
        </w:rPr>
        <w:t>0%, es decir, en el percentil 10 de los</w:t>
      </w:r>
      <w:r>
        <w:rPr>
          <w:iCs/>
          <w:color w:val="000000" w:themeColor="text1"/>
          <w:sz w:val="20"/>
          <w:szCs w:val="20"/>
        </w:rPr>
        <w:t xml:space="preserve"> </w:t>
      </w:r>
      <w:r w:rsidRPr="00E10488">
        <w:rPr>
          <w:iCs/>
          <w:color w:val="000000" w:themeColor="text1"/>
          <w:sz w:val="20"/>
          <w:szCs w:val="20"/>
        </w:rPr>
        <w:t>resultados de crecimiento mundial registrados desde</w:t>
      </w:r>
      <w:r>
        <w:rPr>
          <w:iCs/>
          <w:color w:val="000000" w:themeColor="text1"/>
          <w:sz w:val="20"/>
          <w:szCs w:val="20"/>
        </w:rPr>
        <w:t xml:space="preserve"> </w:t>
      </w:r>
      <w:r w:rsidRPr="00E10488">
        <w:rPr>
          <w:iCs/>
          <w:color w:val="000000" w:themeColor="text1"/>
          <w:sz w:val="20"/>
          <w:szCs w:val="20"/>
        </w:rPr>
        <w:t>1970.</w:t>
      </w:r>
    </w:p>
    <w:p w14:paraId="08E8DEB3" w14:textId="77777777" w:rsidR="00786327" w:rsidRDefault="00786327" w:rsidP="00786327">
      <w:pPr>
        <w:spacing w:line="360" w:lineRule="auto"/>
        <w:jc w:val="both"/>
        <w:rPr>
          <w:iCs/>
          <w:color w:val="000000" w:themeColor="text1"/>
          <w:sz w:val="20"/>
          <w:szCs w:val="20"/>
        </w:rPr>
      </w:pPr>
    </w:p>
    <w:p w14:paraId="21B24B20" w14:textId="7D7A03C6" w:rsidR="00525B2B" w:rsidRDefault="00786327" w:rsidP="00786327">
      <w:pPr>
        <w:spacing w:line="360" w:lineRule="auto"/>
        <w:jc w:val="both"/>
        <w:rPr>
          <w:iCs/>
          <w:color w:val="000000" w:themeColor="text1"/>
          <w:sz w:val="20"/>
          <w:szCs w:val="20"/>
        </w:rPr>
      </w:pPr>
      <w:r w:rsidRPr="00E10488">
        <w:rPr>
          <w:iCs/>
          <w:color w:val="000000" w:themeColor="text1"/>
          <w:sz w:val="20"/>
          <w:szCs w:val="20"/>
        </w:rPr>
        <w:t>Lo primero que hay que hacer para conjurar estos</w:t>
      </w:r>
      <w:r>
        <w:rPr>
          <w:iCs/>
          <w:color w:val="000000" w:themeColor="text1"/>
          <w:sz w:val="20"/>
          <w:szCs w:val="20"/>
        </w:rPr>
        <w:t xml:space="preserve"> </w:t>
      </w:r>
      <w:r w:rsidRPr="00E10488">
        <w:rPr>
          <w:iCs/>
          <w:color w:val="000000" w:themeColor="text1"/>
          <w:sz w:val="20"/>
          <w:szCs w:val="20"/>
        </w:rPr>
        <w:t>riesgos es mantener el curso de la política monetaria</w:t>
      </w:r>
      <w:r>
        <w:rPr>
          <w:iCs/>
          <w:color w:val="000000" w:themeColor="text1"/>
          <w:sz w:val="20"/>
          <w:szCs w:val="20"/>
        </w:rPr>
        <w:t xml:space="preserve"> </w:t>
      </w:r>
      <w:r w:rsidRPr="00E10488">
        <w:rPr>
          <w:iCs/>
          <w:color w:val="000000" w:themeColor="text1"/>
          <w:sz w:val="20"/>
          <w:szCs w:val="20"/>
        </w:rPr>
        <w:t>para recuperar la</w:t>
      </w:r>
      <w:r w:rsidR="00051197">
        <w:rPr>
          <w:iCs/>
          <w:color w:val="000000" w:themeColor="text1"/>
          <w:sz w:val="20"/>
          <w:szCs w:val="20"/>
        </w:rPr>
        <w:t xml:space="preserve"> estabilidad de precios. U</w:t>
      </w:r>
      <w:r w:rsidRPr="00E10488">
        <w:rPr>
          <w:iCs/>
          <w:color w:val="000000" w:themeColor="text1"/>
          <w:sz w:val="20"/>
          <w:szCs w:val="20"/>
        </w:rPr>
        <w:t>n firme endurecimiento</w:t>
      </w:r>
      <w:r>
        <w:rPr>
          <w:iCs/>
          <w:color w:val="000000" w:themeColor="text1"/>
          <w:sz w:val="20"/>
          <w:szCs w:val="20"/>
        </w:rPr>
        <w:t xml:space="preserve"> </w:t>
      </w:r>
      <w:r w:rsidRPr="00E10488">
        <w:rPr>
          <w:iCs/>
          <w:color w:val="000000" w:themeColor="text1"/>
          <w:sz w:val="20"/>
          <w:szCs w:val="20"/>
        </w:rPr>
        <w:t>de la política monetaria concentrado en las etapas</w:t>
      </w:r>
      <w:r>
        <w:rPr>
          <w:iCs/>
          <w:color w:val="000000" w:themeColor="text1"/>
          <w:sz w:val="20"/>
          <w:szCs w:val="20"/>
        </w:rPr>
        <w:t xml:space="preserve"> </w:t>
      </w:r>
      <w:r w:rsidRPr="00E10488">
        <w:rPr>
          <w:iCs/>
          <w:color w:val="000000" w:themeColor="text1"/>
          <w:sz w:val="20"/>
          <w:szCs w:val="20"/>
        </w:rPr>
        <w:t>iniciales es esencial para evitar que la inflación se</w:t>
      </w:r>
      <w:r>
        <w:rPr>
          <w:iCs/>
          <w:color w:val="000000" w:themeColor="text1"/>
          <w:sz w:val="20"/>
          <w:szCs w:val="20"/>
        </w:rPr>
        <w:t xml:space="preserve"> </w:t>
      </w:r>
      <w:r w:rsidRPr="00E10488">
        <w:rPr>
          <w:iCs/>
          <w:color w:val="000000" w:themeColor="text1"/>
          <w:sz w:val="20"/>
          <w:szCs w:val="20"/>
        </w:rPr>
        <w:t>desancle como consec</w:t>
      </w:r>
      <w:r>
        <w:rPr>
          <w:iCs/>
          <w:color w:val="000000" w:themeColor="text1"/>
          <w:sz w:val="20"/>
          <w:szCs w:val="20"/>
        </w:rPr>
        <w:t xml:space="preserve">uencia de que los hogares y las </w:t>
      </w:r>
      <w:r w:rsidRPr="00E10488">
        <w:rPr>
          <w:iCs/>
          <w:color w:val="000000" w:themeColor="text1"/>
          <w:sz w:val="20"/>
          <w:szCs w:val="20"/>
        </w:rPr>
        <w:t>empresas basen sus expectativas de precios y salarios</w:t>
      </w:r>
      <w:r>
        <w:rPr>
          <w:iCs/>
          <w:color w:val="000000" w:themeColor="text1"/>
          <w:sz w:val="20"/>
          <w:szCs w:val="20"/>
        </w:rPr>
        <w:t xml:space="preserve"> </w:t>
      </w:r>
      <w:r w:rsidRPr="00E10488">
        <w:rPr>
          <w:iCs/>
          <w:color w:val="000000" w:themeColor="text1"/>
          <w:sz w:val="20"/>
          <w:szCs w:val="20"/>
        </w:rPr>
        <w:t>en sus experiencias recientes con la inflación. La</w:t>
      </w:r>
      <w:r>
        <w:rPr>
          <w:iCs/>
          <w:color w:val="000000" w:themeColor="text1"/>
          <w:sz w:val="20"/>
          <w:szCs w:val="20"/>
        </w:rPr>
        <w:t xml:space="preserve"> </w:t>
      </w:r>
      <w:r w:rsidRPr="00E10488">
        <w:rPr>
          <w:iCs/>
          <w:color w:val="000000" w:themeColor="text1"/>
          <w:sz w:val="20"/>
          <w:szCs w:val="20"/>
        </w:rPr>
        <w:t>prioridad de la política fiscal es proteger a los grupos vulnerables mediante ayudas focalizadas a corto</w:t>
      </w:r>
      <w:r>
        <w:rPr>
          <w:iCs/>
          <w:color w:val="000000" w:themeColor="text1"/>
          <w:sz w:val="20"/>
          <w:szCs w:val="20"/>
        </w:rPr>
        <w:t xml:space="preserve"> </w:t>
      </w:r>
      <w:r w:rsidRPr="00E10488">
        <w:rPr>
          <w:iCs/>
          <w:color w:val="000000" w:themeColor="text1"/>
          <w:sz w:val="20"/>
          <w:szCs w:val="20"/>
        </w:rPr>
        <w:t>plazo para aliviar la carga que la crisis del costo de</w:t>
      </w:r>
      <w:r>
        <w:rPr>
          <w:iCs/>
          <w:color w:val="000000" w:themeColor="text1"/>
          <w:sz w:val="20"/>
          <w:szCs w:val="20"/>
        </w:rPr>
        <w:t xml:space="preserve"> </w:t>
      </w:r>
      <w:r w:rsidRPr="00E10488">
        <w:rPr>
          <w:iCs/>
          <w:color w:val="000000" w:themeColor="text1"/>
          <w:sz w:val="20"/>
          <w:szCs w:val="20"/>
        </w:rPr>
        <w:t>vida está imponiendo en todo el mundo. Pero la</w:t>
      </w:r>
      <w:r>
        <w:rPr>
          <w:iCs/>
          <w:color w:val="000000" w:themeColor="text1"/>
          <w:sz w:val="20"/>
          <w:szCs w:val="20"/>
        </w:rPr>
        <w:t xml:space="preserve"> </w:t>
      </w:r>
      <w:r w:rsidRPr="00E10488">
        <w:rPr>
          <w:iCs/>
          <w:color w:val="000000" w:themeColor="text1"/>
          <w:sz w:val="20"/>
          <w:szCs w:val="20"/>
        </w:rPr>
        <w:t>orientación general debe seguir siendo lo suficientemente restrictiva como para que la política monetaria</w:t>
      </w:r>
      <w:r>
        <w:rPr>
          <w:iCs/>
          <w:color w:val="000000" w:themeColor="text1"/>
          <w:sz w:val="20"/>
          <w:szCs w:val="20"/>
        </w:rPr>
        <w:t xml:space="preserve"> </w:t>
      </w:r>
      <w:r w:rsidRPr="00E10488">
        <w:rPr>
          <w:iCs/>
          <w:color w:val="000000" w:themeColor="text1"/>
          <w:sz w:val="20"/>
          <w:szCs w:val="20"/>
        </w:rPr>
        <w:t>no se desvíe de su objetivo. Para abordar la creciente</w:t>
      </w:r>
      <w:r>
        <w:rPr>
          <w:iCs/>
          <w:color w:val="000000" w:themeColor="text1"/>
          <w:sz w:val="20"/>
          <w:szCs w:val="20"/>
        </w:rPr>
        <w:t xml:space="preserve"> </w:t>
      </w:r>
      <w:r w:rsidRPr="00E10488">
        <w:rPr>
          <w:iCs/>
          <w:color w:val="000000" w:themeColor="text1"/>
          <w:sz w:val="20"/>
          <w:szCs w:val="20"/>
        </w:rPr>
        <w:t>crisis de sobreendeudamiento público causada por la</w:t>
      </w:r>
      <w:r>
        <w:rPr>
          <w:iCs/>
          <w:color w:val="000000" w:themeColor="text1"/>
          <w:sz w:val="20"/>
          <w:szCs w:val="20"/>
        </w:rPr>
        <w:t xml:space="preserve"> </w:t>
      </w:r>
      <w:r w:rsidRPr="00E10488">
        <w:rPr>
          <w:iCs/>
          <w:color w:val="000000" w:themeColor="text1"/>
          <w:sz w:val="20"/>
          <w:szCs w:val="20"/>
        </w:rPr>
        <w:t>desaceleración del crecimiento y el aumento de los</w:t>
      </w:r>
      <w:r>
        <w:rPr>
          <w:iCs/>
          <w:color w:val="000000" w:themeColor="text1"/>
          <w:sz w:val="20"/>
          <w:szCs w:val="20"/>
        </w:rPr>
        <w:t xml:space="preserve"> </w:t>
      </w:r>
      <w:r w:rsidRPr="00E10488">
        <w:rPr>
          <w:iCs/>
          <w:color w:val="000000" w:themeColor="text1"/>
          <w:sz w:val="20"/>
          <w:szCs w:val="20"/>
        </w:rPr>
        <w:t>costos de financiamiento</w:t>
      </w:r>
      <w:r w:rsidR="0070420C">
        <w:rPr>
          <w:iCs/>
          <w:color w:val="000000" w:themeColor="text1"/>
          <w:sz w:val="20"/>
          <w:szCs w:val="20"/>
        </w:rPr>
        <w:t>,</w:t>
      </w:r>
      <w:r w:rsidRPr="00E10488">
        <w:rPr>
          <w:iCs/>
          <w:color w:val="000000" w:themeColor="text1"/>
          <w:sz w:val="20"/>
          <w:szCs w:val="20"/>
        </w:rPr>
        <w:t xml:space="preserve"> hay que mejorar significativamente los marcos de resolución de la deuda. Ante</w:t>
      </w:r>
      <w:r>
        <w:rPr>
          <w:iCs/>
          <w:color w:val="000000" w:themeColor="text1"/>
          <w:sz w:val="20"/>
          <w:szCs w:val="20"/>
        </w:rPr>
        <w:t xml:space="preserve"> </w:t>
      </w:r>
      <w:r w:rsidRPr="00E10488">
        <w:rPr>
          <w:iCs/>
          <w:color w:val="000000" w:themeColor="text1"/>
          <w:sz w:val="20"/>
          <w:szCs w:val="20"/>
        </w:rPr>
        <w:t>el endurecimiento de las condiciones financieras, las</w:t>
      </w:r>
      <w:r>
        <w:rPr>
          <w:iCs/>
          <w:color w:val="000000" w:themeColor="text1"/>
          <w:sz w:val="20"/>
          <w:szCs w:val="20"/>
        </w:rPr>
        <w:t xml:space="preserve"> </w:t>
      </w:r>
      <w:r w:rsidRPr="00E10488">
        <w:rPr>
          <w:iCs/>
          <w:color w:val="000000" w:themeColor="text1"/>
          <w:sz w:val="20"/>
          <w:szCs w:val="20"/>
        </w:rPr>
        <w:t>políticas macroprudenciales deben permanecer alerta a</w:t>
      </w:r>
      <w:r>
        <w:rPr>
          <w:iCs/>
          <w:color w:val="000000" w:themeColor="text1"/>
          <w:sz w:val="20"/>
          <w:szCs w:val="20"/>
        </w:rPr>
        <w:t xml:space="preserve"> </w:t>
      </w:r>
      <w:r w:rsidRPr="00E10488">
        <w:rPr>
          <w:iCs/>
          <w:color w:val="000000" w:themeColor="text1"/>
          <w:sz w:val="20"/>
          <w:szCs w:val="20"/>
        </w:rPr>
        <w:t>los riesgos sistémicos. Reimpulsar las reformas estructurales para mejorar la productividad y la capacidad</w:t>
      </w:r>
      <w:r>
        <w:rPr>
          <w:iCs/>
          <w:color w:val="000000" w:themeColor="text1"/>
          <w:sz w:val="20"/>
          <w:szCs w:val="20"/>
        </w:rPr>
        <w:t xml:space="preserve"> </w:t>
      </w:r>
      <w:r w:rsidRPr="00E10488">
        <w:rPr>
          <w:iCs/>
          <w:color w:val="000000" w:themeColor="text1"/>
          <w:sz w:val="20"/>
          <w:szCs w:val="20"/>
        </w:rPr>
        <w:t>económica aliviaría las restricciones de la oferta y, por</w:t>
      </w:r>
      <w:r>
        <w:rPr>
          <w:iCs/>
          <w:color w:val="000000" w:themeColor="text1"/>
          <w:sz w:val="20"/>
          <w:szCs w:val="20"/>
        </w:rPr>
        <w:t xml:space="preserve"> </w:t>
      </w:r>
      <w:r w:rsidRPr="00E10488">
        <w:rPr>
          <w:iCs/>
          <w:color w:val="000000" w:themeColor="text1"/>
          <w:sz w:val="20"/>
          <w:szCs w:val="20"/>
        </w:rPr>
        <w:t>ende, ayudaría a la política monetaria a combatir la</w:t>
      </w:r>
      <w:r>
        <w:rPr>
          <w:iCs/>
          <w:color w:val="000000" w:themeColor="text1"/>
          <w:sz w:val="20"/>
          <w:szCs w:val="20"/>
        </w:rPr>
        <w:t xml:space="preserve"> </w:t>
      </w:r>
      <w:r w:rsidRPr="00E10488">
        <w:rPr>
          <w:iCs/>
          <w:color w:val="000000" w:themeColor="text1"/>
          <w:sz w:val="20"/>
          <w:szCs w:val="20"/>
        </w:rPr>
        <w:t>inflación. Las políticas diseñadas para acelerar la transición a la energía verde reportarán beneficios a largo</w:t>
      </w:r>
      <w:r>
        <w:rPr>
          <w:iCs/>
          <w:color w:val="000000" w:themeColor="text1"/>
          <w:sz w:val="20"/>
          <w:szCs w:val="20"/>
        </w:rPr>
        <w:t xml:space="preserve"> </w:t>
      </w:r>
      <w:r w:rsidRPr="00E10488">
        <w:rPr>
          <w:iCs/>
          <w:color w:val="000000" w:themeColor="text1"/>
          <w:sz w:val="20"/>
          <w:szCs w:val="20"/>
        </w:rPr>
        <w:t>plazo en materia de seguridad energética y en cuanto</w:t>
      </w:r>
      <w:r>
        <w:rPr>
          <w:iCs/>
          <w:color w:val="000000" w:themeColor="text1"/>
          <w:sz w:val="20"/>
          <w:szCs w:val="20"/>
        </w:rPr>
        <w:t xml:space="preserve"> </w:t>
      </w:r>
      <w:r w:rsidRPr="00E10488">
        <w:rPr>
          <w:iCs/>
          <w:color w:val="000000" w:themeColor="text1"/>
          <w:sz w:val="20"/>
          <w:szCs w:val="20"/>
        </w:rPr>
        <w:t>a los costos que implica hacer frente al actual cambio</w:t>
      </w:r>
      <w:r>
        <w:rPr>
          <w:iCs/>
          <w:color w:val="000000" w:themeColor="text1"/>
          <w:sz w:val="20"/>
          <w:szCs w:val="20"/>
        </w:rPr>
        <w:t xml:space="preserve"> </w:t>
      </w:r>
      <w:r w:rsidRPr="00E10488">
        <w:rPr>
          <w:iCs/>
          <w:color w:val="000000" w:themeColor="text1"/>
          <w:sz w:val="20"/>
          <w:szCs w:val="20"/>
        </w:rPr>
        <w:t xml:space="preserve">climático. </w:t>
      </w:r>
      <w:r>
        <w:rPr>
          <w:iCs/>
          <w:color w:val="000000" w:themeColor="text1"/>
          <w:sz w:val="20"/>
          <w:szCs w:val="20"/>
        </w:rPr>
        <w:t>L</w:t>
      </w:r>
      <w:r w:rsidRPr="00E10488">
        <w:rPr>
          <w:iCs/>
          <w:color w:val="000000" w:themeColor="text1"/>
          <w:sz w:val="20"/>
          <w:szCs w:val="20"/>
        </w:rPr>
        <w:t>a adopción progresiva de medidas adecuadas en los próximos</w:t>
      </w:r>
      <w:r>
        <w:rPr>
          <w:iCs/>
          <w:color w:val="000000" w:themeColor="text1"/>
          <w:sz w:val="20"/>
          <w:szCs w:val="20"/>
        </w:rPr>
        <w:t xml:space="preserve"> </w:t>
      </w:r>
      <w:r w:rsidRPr="00E10488">
        <w:rPr>
          <w:iCs/>
          <w:color w:val="000000" w:themeColor="text1"/>
          <w:sz w:val="20"/>
          <w:szCs w:val="20"/>
        </w:rPr>
        <w:t>ocho años permitirá que los costos macroeconómicos</w:t>
      </w:r>
      <w:r>
        <w:rPr>
          <w:iCs/>
          <w:color w:val="000000" w:themeColor="text1"/>
          <w:sz w:val="20"/>
          <w:szCs w:val="20"/>
        </w:rPr>
        <w:t xml:space="preserve"> </w:t>
      </w:r>
      <w:r w:rsidRPr="00E10488">
        <w:rPr>
          <w:iCs/>
          <w:color w:val="000000" w:themeColor="text1"/>
          <w:sz w:val="20"/>
          <w:szCs w:val="20"/>
        </w:rPr>
        <w:t xml:space="preserve">sigan siendo razonables. Por último, una eficaz cooperación </w:t>
      </w:r>
      <w:r w:rsidRPr="00E10488">
        <w:rPr>
          <w:iCs/>
          <w:color w:val="000000" w:themeColor="text1"/>
          <w:sz w:val="20"/>
          <w:szCs w:val="20"/>
        </w:rPr>
        <w:lastRenderedPageBreak/>
        <w:t>multilateral evitará la fragmentación, que podría</w:t>
      </w:r>
      <w:r>
        <w:rPr>
          <w:iCs/>
          <w:color w:val="000000" w:themeColor="text1"/>
          <w:sz w:val="20"/>
          <w:szCs w:val="20"/>
        </w:rPr>
        <w:t xml:space="preserve"> </w:t>
      </w:r>
      <w:r w:rsidRPr="00E10488">
        <w:rPr>
          <w:iCs/>
          <w:color w:val="000000" w:themeColor="text1"/>
          <w:sz w:val="20"/>
          <w:szCs w:val="20"/>
        </w:rPr>
        <w:t>revertir los avances en materia de bienestar económico</w:t>
      </w:r>
      <w:r>
        <w:rPr>
          <w:iCs/>
          <w:color w:val="000000" w:themeColor="text1"/>
          <w:sz w:val="20"/>
          <w:szCs w:val="20"/>
        </w:rPr>
        <w:t xml:space="preserve"> </w:t>
      </w:r>
      <w:r w:rsidRPr="00E10488">
        <w:rPr>
          <w:iCs/>
          <w:color w:val="000000" w:themeColor="text1"/>
          <w:sz w:val="20"/>
          <w:szCs w:val="20"/>
        </w:rPr>
        <w:t>conseguidos tras 30 años de integración económica</w:t>
      </w:r>
      <w:r>
        <w:rPr>
          <w:iCs/>
          <w:color w:val="000000" w:themeColor="text1"/>
          <w:sz w:val="20"/>
          <w:szCs w:val="20"/>
        </w:rPr>
        <w:t>.</w:t>
      </w:r>
    </w:p>
    <w:p w14:paraId="4FF8DAA6" w14:textId="77777777" w:rsidR="00525B2B" w:rsidRDefault="00525B2B" w:rsidP="00525B2B">
      <w:pPr>
        <w:spacing w:line="360" w:lineRule="auto"/>
        <w:jc w:val="both"/>
        <w:rPr>
          <w:rFonts w:eastAsia="Calibri"/>
          <w:b/>
          <w:color w:val="000000" w:themeColor="text1"/>
          <w:sz w:val="20"/>
          <w:szCs w:val="20"/>
        </w:rPr>
      </w:pPr>
    </w:p>
    <w:p w14:paraId="18E8EBD9" w14:textId="77777777" w:rsidR="00525B2B" w:rsidRPr="00021B2A" w:rsidRDefault="00525B2B" w:rsidP="00126CF7">
      <w:pPr>
        <w:pStyle w:val="Prrafodelista"/>
        <w:numPr>
          <w:ilvl w:val="0"/>
          <w:numId w:val="15"/>
        </w:numPr>
        <w:spacing w:line="360" w:lineRule="auto"/>
        <w:jc w:val="both"/>
        <w:rPr>
          <w:rFonts w:eastAsia="Calibri"/>
          <w:b/>
          <w:color w:val="000000" w:themeColor="text1"/>
          <w:sz w:val="20"/>
          <w:szCs w:val="20"/>
        </w:rPr>
      </w:pPr>
      <w:r w:rsidRPr="00021B2A">
        <w:rPr>
          <w:rFonts w:eastAsia="Calibri"/>
          <w:b/>
          <w:color w:val="000000" w:themeColor="text1"/>
          <w:sz w:val="20"/>
          <w:szCs w:val="20"/>
        </w:rPr>
        <w:t>PANORAMA NACIONAL</w:t>
      </w:r>
    </w:p>
    <w:p w14:paraId="3AAC99A2" w14:textId="77777777" w:rsidR="00525B2B" w:rsidRPr="00955A4C" w:rsidRDefault="00525B2B" w:rsidP="00525B2B">
      <w:pPr>
        <w:spacing w:line="360" w:lineRule="auto"/>
        <w:jc w:val="both"/>
        <w:rPr>
          <w:color w:val="000000" w:themeColor="text1"/>
          <w:sz w:val="20"/>
          <w:szCs w:val="20"/>
        </w:rPr>
      </w:pPr>
    </w:p>
    <w:p w14:paraId="686A212F" w14:textId="77777777" w:rsidR="007E6C9D" w:rsidRPr="007E6C9D" w:rsidRDefault="007E6C9D" w:rsidP="007E6C9D">
      <w:pPr>
        <w:spacing w:line="360" w:lineRule="auto"/>
        <w:jc w:val="both"/>
        <w:rPr>
          <w:sz w:val="20"/>
          <w:szCs w:val="20"/>
        </w:rPr>
      </w:pPr>
      <w:r w:rsidRPr="007E6C9D">
        <w:rPr>
          <w:sz w:val="20"/>
          <w:szCs w:val="20"/>
        </w:rPr>
        <w:t>Los pronósticos de crecimiento económico reflejan avances en la inversión pública y privada, así como la recuperación de los sectores más rezagados por la pandemia que estarán impulsados por una mejoría de las condiciones epidemiológicas y del mercado laboral.</w:t>
      </w:r>
    </w:p>
    <w:p w14:paraId="4A87F29F" w14:textId="77777777" w:rsidR="007E6C9D" w:rsidRPr="007E6C9D" w:rsidRDefault="007E6C9D" w:rsidP="007E6C9D">
      <w:pPr>
        <w:spacing w:line="360" w:lineRule="auto"/>
        <w:jc w:val="both"/>
        <w:rPr>
          <w:sz w:val="20"/>
          <w:szCs w:val="20"/>
        </w:rPr>
      </w:pPr>
    </w:p>
    <w:p w14:paraId="5C73A2D7" w14:textId="77777777" w:rsidR="007E6C9D" w:rsidRPr="007E6C9D" w:rsidRDefault="007E6C9D" w:rsidP="007E6C9D">
      <w:pPr>
        <w:spacing w:line="360" w:lineRule="auto"/>
        <w:jc w:val="both"/>
        <w:rPr>
          <w:sz w:val="20"/>
          <w:szCs w:val="20"/>
        </w:rPr>
      </w:pPr>
      <w:r w:rsidRPr="007E6C9D">
        <w:rPr>
          <w:sz w:val="20"/>
          <w:szCs w:val="20"/>
        </w:rPr>
        <w:t xml:space="preserve">En particular, con base en las actualizaciones del marco macroeconómico para 2022 y 2023, se anticipa que el PIB registrará un crecimiento real anual de 2.4% en 2022; mientras que para 2023 se estima un crecimiento puntual de 3.0% anual. Los pronósticos de crecimiento para 2023 incorporan un aumento en la inversión pública por el avance de diversos proyectos de infraestructura que dinamizarán la región sur-sureste del país. Asimismo, incorporan los recientes anuncios de inversiones del sector privado, los cuales buscan aprovechar las ventajas comparativas de México, la estratégica geolocalización del país y los diversos tratados comerciales con los que cuenta, la manufactura y las exportaciones están recuperando los niveles observados antes de la pandemia, los servicios están reanudándose y el empleo está recuperándose. </w:t>
      </w:r>
    </w:p>
    <w:p w14:paraId="5B3AED38" w14:textId="77777777" w:rsidR="007E6C9D" w:rsidRPr="007E6C9D" w:rsidRDefault="007E6C9D" w:rsidP="007E6C9D">
      <w:pPr>
        <w:spacing w:line="360" w:lineRule="auto"/>
        <w:jc w:val="both"/>
        <w:rPr>
          <w:sz w:val="20"/>
          <w:szCs w:val="20"/>
        </w:rPr>
      </w:pPr>
    </w:p>
    <w:p w14:paraId="7EAB5262" w14:textId="77777777" w:rsidR="007E6C9D" w:rsidRPr="007E6C9D" w:rsidRDefault="007E6C9D" w:rsidP="007E6C9D">
      <w:pPr>
        <w:spacing w:line="360" w:lineRule="auto"/>
        <w:jc w:val="both"/>
        <w:rPr>
          <w:sz w:val="20"/>
          <w:szCs w:val="20"/>
        </w:rPr>
      </w:pPr>
      <w:r w:rsidRPr="007E6C9D">
        <w:rPr>
          <w:sz w:val="20"/>
          <w:szCs w:val="20"/>
        </w:rPr>
        <w:t>Adicionalmente, se prevé un aumento de los flujos financieros hacia la región de América Latina y en particular hacia México, así como una mayor demanda de insumos y manufactura mexicana derivado del aumento de la comercialización dentro de Norteamérica, que desde 2022 comenzará a sustituir una parte de la producción de Europa del Este y Asia. A la par, el consumo privado seguirá avanzando con el apoyo de los programas sociales, el flujo de remesas y por las recientes reformas que han mejorado las condiciones e ingresos laborales de la población.</w:t>
      </w:r>
    </w:p>
    <w:p w14:paraId="0D848007" w14:textId="77777777" w:rsidR="007E6C9D" w:rsidRPr="007E6C9D" w:rsidRDefault="007E6C9D" w:rsidP="007E6C9D">
      <w:pPr>
        <w:spacing w:line="360" w:lineRule="auto"/>
        <w:jc w:val="both"/>
        <w:rPr>
          <w:sz w:val="20"/>
          <w:szCs w:val="20"/>
        </w:rPr>
      </w:pPr>
    </w:p>
    <w:p w14:paraId="2F303AED" w14:textId="77777777" w:rsidR="007E6C9D" w:rsidRPr="007E6C9D" w:rsidRDefault="007E6C9D" w:rsidP="007E6C9D">
      <w:pPr>
        <w:spacing w:line="360" w:lineRule="auto"/>
        <w:jc w:val="both"/>
        <w:rPr>
          <w:sz w:val="20"/>
          <w:szCs w:val="20"/>
        </w:rPr>
      </w:pPr>
      <w:r w:rsidRPr="007E6C9D">
        <w:rPr>
          <w:sz w:val="20"/>
          <w:szCs w:val="20"/>
        </w:rPr>
        <w:t>Al igual que en el resto del mundo, la actividad económica de México seguirá siendo influida por la evolución de la pandemia de la COVID-19. Lo anterior se conjuntaría con la mayor escasez de insumos industriales por los cierres de algunas ciudades chinas ante los altos contagios de la enfermedad en los primeros meses de 2022 y la materialización de incrementos en las materias primas derivado del conflicto geopolítico entre Rusia y Ucrania.</w:t>
      </w:r>
    </w:p>
    <w:p w14:paraId="68515A48" w14:textId="77777777" w:rsidR="007E6C9D" w:rsidRPr="007E6C9D" w:rsidRDefault="007E6C9D" w:rsidP="007E6C9D">
      <w:pPr>
        <w:spacing w:line="360" w:lineRule="auto"/>
        <w:jc w:val="both"/>
        <w:rPr>
          <w:sz w:val="20"/>
          <w:szCs w:val="20"/>
        </w:rPr>
      </w:pPr>
    </w:p>
    <w:p w14:paraId="1401613D" w14:textId="77777777" w:rsidR="007E6C9D" w:rsidRPr="007E6C9D" w:rsidRDefault="007E6C9D" w:rsidP="007E6C9D">
      <w:pPr>
        <w:spacing w:line="360" w:lineRule="auto"/>
        <w:jc w:val="both"/>
        <w:rPr>
          <w:sz w:val="20"/>
          <w:szCs w:val="20"/>
        </w:rPr>
      </w:pPr>
      <w:r w:rsidRPr="007E6C9D">
        <w:rPr>
          <w:sz w:val="20"/>
          <w:szCs w:val="20"/>
        </w:rPr>
        <w:t xml:space="preserve">No obstante, las perspectivas sobre el crecimiento de la economía mexicana se mantienen positivas. En el primer trimestre del año, la actividad económica mostró resiliencia frente a retos epidemiológicos </w:t>
      </w:r>
      <w:r w:rsidRPr="007E6C9D">
        <w:rPr>
          <w:sz w:val="20"/>
          <w:szCs w:val="20"/>
        </w:rPr>
        <w:lastRenderedPageBreak/>
        <w:t>y la invasión militar en Europa Oriental. Para lo que resta del año, se espera que el mayor control de la pandemia y el avance de las campañas de vacunación al interior de México y de sus principales socios comerciales ayuden a que los sectores intensivos en contacto de personas se recuperen, al tiempo que también se anticipa una disminución en los problemas de logística y desabasto en las cadenas globales de suministro. En este contexto, la SHCP estima que el crecimiento del PIB sea de 3.0% real anual en 2023.</w:t>
      </w:r>
    </w:p>
    <w:p w14:paraId="13FC15EA" w14:textId="77777777" w:rsidR="007E6C9D" w:rsidRPr="007E6C9D" w:rsidRDefault="007E6C9D" w:rsidP="007E6C9D">
      <w:pPr>
        <w:spacing w:line="360" w:lineRule="auto"/>
        <w:jc w:val="both"/>
        <w:rPr>
          <w:sz w:val="20"/>
          <w:szCs w:val="20"/>
        </w:rPr>
      </w:pPr>
    </w:p>
    <w:p w14:paraId="48E160B0" w14:textId="77777777" w:rsidR="007E6C9D" w:rsidRPr="007E6C9D" w:rsidRDefault="007E6C9D" w:rsidP="007E6C9D">
      <w:pPr>
        <w:spacing w:line="360" w:lineRule="auto"/>
        <w:jc w:val="both"/>
        <w:rPr>
          <w:sz w:val="20"/>
          <w:szCs w:val="20"/>
        </w:rPr>
      </w:pPr>
      <w:r w:rsidRPr="007E6C9D">
        <w:rPr>
          <w:sz w:val="20"/>
          <w:szCs w:val="20"/>
        </w:rPr>
        <w:t>El mercado laboral tuvo un desempeño sólido y con avances acelerados, principalmente en el empleo formal. La población ocupada registró un máximo histórico en diciembre de 2021 al ubicarse en 56.9 millones de personas, lo que implica una completa recuperación de los empleos perdidos por la pandemia (102.7%). Además, las mujeres recuperaron completamente los empleos perdidos desde noviembre de 2021.</w:t>
      </w:r>
    </w:p>
    <w:p w14:paraId="09472000" w14:textId="77777777" w:rsidR="007E6C9D" w:rsidRPr="007E6C9D" w:rsidRDefault="007E6C9D" w:rsidP="007E6C9D">
      <w:pPr>
        <w:spacing w:line="360" w:lineRule="auto"/>
        <w:jc w:val="both"/>
        <w:rPr>
          <w:sz w:val="20"/>
          <w:szCs w:val="20"/>
        </w:rPr>
      </w:pPr>
    </w:p>
    <w:p w14:paraId="08A34E3C" w14:textId="77777777" w:rsidR="007E6C9D" w:rsidRPr="007E6C9D" w:rsidRDefault="007E6C9D" w:rsidP="007E6C9D">
      <w:pPr>
        <w:spacing w:line="360" w:lineRule="auto"/>
        <w:jc w:val="both"/>
        <w:rPr>
          <w:sz w:val="20"/>
          <w:szCs w:val="20"/>
        </w:rPr>
      </w:pPr>
      <w:r w:rsidRPr="007E6C9D">
        <w:rPr>
          <w:sz w:val="20"/>
          <w:szCs w:val="20"/>
        </w:rPr>
        <w:t>Sobre la inflación se espera que esta variable cierre 2022 en 7.7% y en 3.2% para 2023, lo que indica una convergencia más lenta hacia el objetivo del Banco de México derivado principalmente, a las continuas presiones inflacionarias provenientes del entorno externo. No obstante, dado que México tiene una cobertura natural al ser productor de petróleo y por el mecanismo de ajuste del IEPS, se espera que el traspaso de los precios de gasolina a la inflación esté contenido. Asimismo, la política de entrega de fertilizantes y la rehabilitación de plantas productoras de fertilizantes ayudarán a absorber el choque que podría derivar por la falta de producción o por la materialización de mayores precios de alimentos debido a los costos de los insumos agrícolas.</w:t>
      </w:r>
    </w:p>
    <w:p w14:paraId="7BFD0A0B" w14:textId="77777777" w:rsidR="007E6C9D" w:rsidRPr="007E6C9D" w:rsidRDefault="007E6C9D" w:rsidP="007E6C9D">
      <w:pPr>
        <w:spacing w:line="360" w:lineRule="auto"/>
        <w:jc w:val="both"/>
        <w:rPr>
          <w:sz w:val="20"/>
          <w:szCs w:val="20"/>
        </w:rPr>
      </w:pPr>
    </w:p>
    <w:p w14:paraId="35773551" w14:textId="77777777" w:rsidR="007E6C9D" w:rsidRPr="007E6C9D" w:rsidRDefault="007E6C9D" w:rsidP="007E6C9D">
      <w:pPr>
        <w:spacing w:line="360" w:lineRule="auto"/>
        <w:jc w:val="both"/>
        <w:rPr>
          <w:sz w:val="20"/>
          <w:szCs w:val="20"/>
        </w:rPr>
      </w:pPr>
      <w:r w:rsidRPr="007E6C9D">
        <w:rPr>
          <w:sz w:val="20"/>
          <w:szCs w:val="20"/>
        </w:rPr>
        <w:t>Derivado de la mayor persistencia inflacionaria a la prevista en CGPE 2022, se estima que el Banco de México continúe con los ajustes al alza en la tasa de interés para garantizar el anclaje de las expectativas, no obstante, que las presiones inflacionarias seguirán reflejando afectaciones y choques por factores externos. De esta manera, se anticipa que la tasa de interés (CETES 28 días) se ubicará, en promedio, en 7.48% y 8.95% para 2022 y 2023, respectivamente.</w:t>
      </w:r>
    </w:p>
    <w:p w14:paraId="39453EDD" w14:textId="77777777" w:rsidR="007E6C9D" w:rsidRPr="007E6C9D" w:rsidRDefault="007E6C9D" w:rsidP="007E6C9D">
      <w:pPr>
        <w:spacing w:line="360" w:lineRule="auto"/>
        <w:jc w:val="both"/>
        <w:rPr>
          <w:sz w:val="20"/>
          <w:szCs w:val="20"/>
        </w:rPr>
      </w:pPr>
    </w:p>
    <w:p w14:paraId="40E2B4E2" w14:textId="30898757" w:rsidR="00786327" w:rsidRPr="00A440FD" w:rsidRDefault="007E6C9D" w:rsidP="007E6C9D">
      <w:pPr>
        <w:spacing w:line="360" w:lineRule="auto"/>
        <w:jc w:val="both"/>
        <w:rPr>
          <w:sz w:val="20"/>
          <w:szCs w:val="20"/>
        </w:rPr>
      </w:pPr>
      <w:r w:rsidRPr="007E6C9D">
        <w:rPr>
          <w:sz w:val="20"/>
          <w:szCs w:val="20"/>
        </w:rPr>
        <w:t>Para el tipo de cambio que presentó a inicios de año volatilidad por el conflicto Rusia-Ucrania y las olas de contagio de la COVID-19, se prevé que la fortaleza de los fundamentales macroeconómicos, las condiciones financieras internacionales y una posición fiscal y monetaria menos acomodaticia incidan de forma positiva. Así, se estima que el tipo de cambio promedio se situé en 20.4 pesos por dólar en 2022 y en 20.6 pesos por dólar en 2023</w:t>
      </w:r>
      <w:r w:rsidR="00786327" w:rsidRPr="00A440FD">
        <w:rPr>
          <w:sz w:val="20"/>
          <w:szCs w:val="20"/>
        </w:rPr>
        <w:t>.</w:t>
      </w:r>
    </w:p>
    <w:p w14:paraId="54420C0E" w14:textId="77777777" w:rsidR="00786327" w:rsidRPr="00A440FD" w:rsidRDefault="00786327" w:rsidP="00786327">
      <w:pPr>
        <w:spacing w:line="360" w:lineRule="auto"/>
        <w:jc w:val="both"/>
        <w:rPr>
          <w:sz w:val="20"/>
          <w:szCs w:val="20"/>
        </w:rPr>
      </w:pPr>
    </w:p>
    <w:p w14:paraId="04D559A5" w14:textId="77777777" w:rsidR="00786327" w:rsidRPr="00A440FD" w:rsidRDefault="00786327" w:rsidP="00786327">
      <w:pPr>
        <w:spacing w:line="360" w:lineRule="auto"/>
        <w:jc w:val="both"/>
        <w:rPr>
          <w:sz w:val="20"/>
          <w:szCs w:val="20"/>
        </w:rPr>
      </w:pPr>
      <w:r w:rsidRPr="00A440FD">
        <w:rPr>
          <w:sz w:val="20"/>
          <w:szCs w:val="20"/>
        </w:rPr>
        <w:lastRenderedPageBreak/>
        <w:t>El mercado laboral tuvo un desempeño sólido y con avances acelerados, principalmente en el empleo formal. La población ocupada registró un máximo histórico en diciembre de 2021 al ubicarse en 56.9 millones de personas, lo que implica una completa recuperación de los empleos perdidos por la pandemia (102.7%). Además, las mujeres recuperaron completamente los empleos perdidos desde noviembre de 2021.</w:t>
      </w:r>
    </w:p>
    <w:p w14:paraId="07DCB948" w14:textId="77777777" w:rsidR="00786327" w:rsidRPr="00A440FD" w:rsidRDefault="00786327" w:rsidP="00786327">
      <w:pPr>
        <w:spacing w:line="360" w:lineRule="auto"/>
        <w:jc w:val="both"/>
        <w:rPr>
          <w:sz w:val="20"/>
          <w:szCs w:val="20"/>
        </w:rPr>
      </w:pPr>
    </w:p>
    <w:p w14:paraId="39BCA452" w14:textId="1B8B3337" w:rsidR="00786327" w:rsidRPr="00A440FD" w:rsidRDefault="00786327" w:rsidP="00786327">
      <w:pPr>
        <w:spacing w:line="360" w:lineRule="auto"/>
        <w:jc w:val="both"/>
        <w:rPr>
          <w:sz w:val="20"/>
          <w:szCs w:val="20"/>
        </w:rPr>
      </w:pPr>
      <w:r w:rsidRPr="00A440FD">
        <w:rPr>
          <w:sz w:val="20"/>
          <w:szCs w:val="20"/>
        </w:rPr>
        <w:t xml:space="preserve">Sobre la inflación se espera que esta variable cierre 2022 en </w:t>
      </w:r>
      <w:r w:rsidR="003072E3">
        <w:rPr>
          <w:sz w:val="20"/>
          <w:szCs w:val="20"/>
        </w:rPr>
        <w:t>7.7%</w:t>
      </w:r>
      <w:r w:rsidRPr="00A440FD">
        <w:rPr>
          <w:sz w:val="20"/>
          <w:szCs w:val="20"/>
        </w:rPr>
        <w:t xml:space="preserve"> y en 3.</w:t>
      </w:r>
      <w:r w:rsidR="003072E3">
        <w:rPr>
          <w:sz w:val="20"/>
          <w:szCs w:val="20"/>
        </w:rPr>
        <w:t>2</w:t>
      </w:r>
      <w:r w:rsidRPr="00A440FD">
        <w:rPr>
          <w:sz w:val="20"/>
          <w:szCs w:val="20"/>
        </w:rPr>
        <w:t>% para 2023, lo que indica una convergencia más lenta hacia el objetivo del Banco de México derivado principalmente, a las continuas presiones inflacionarias provenientes del entorno externo. No obstante, dado que México tiene una cobertura natural al ser productor de petróleo y por el mecanismo de ajuste del IEPS, se espera que el traspaso de los precios de gasolina a la inflación esté contenido. Asimismo, la política de entrega de fertilizantes y la rehabilitación de plantas productoras de fertilizantes ayudarán a absorber el choque que podría derivar por la falta de producción o por la materialización de mayores precios de alimentos debido a los costos de los insumos agrícolas.</w:t>
      </w:r>
    </w:p>
    <w:p w14:paraId="14F8BB3A" w14:textId="77777777" w:rsidR="00786327" w:rsidRPr="00A440FD" w:rsidRDefault="00786327" w:rsidP="00786327">
      <w:pPr>
        <w:spacing w:line="360" w:lineRule="auto"/>
        <w:jc w:val="both"/>
        <w:rPr>
          <w:sz w:val="20"/>
          <w:szCs w:val="20"/>
        </w:rPr>
      </w:pPr>
    </w:p>
    <w:p w14:paraId="253366F4" w14:textId="46319E73" w:rsidR="00786327" w:rsidRPr="00A440FD" w:rsidRDefault="00786327" w:rsidP="00786327">
      <w:pPr>
        <w:spacing w:line="360" w:lineRule="auto"/>
        <w:jc w:val="both"/>
        <w:rPr>
          <w:sz w:val="20"/>
          <w:szCs w:val="20"/>
        </w:rPr>
      </w:pPr>
      <w:r w:rsidRPr="00A440FD">
        <w:rPr>
          <w:sz w:val="20"/>
          <w:szCs w:val="20"/>
        </w:rPr>
        <w:t>Derivado de la mayor persistencia inflacionaria a la prevista en CGPE 2022, se estima que el Banco de México continúe con los ajustes al alza en la tasa de interés para garantizar el anclaje de las expectativas, no obstante</w:t>
      </w:r>
      <w:r w:rsidR="0070420C">
        <w:rPr>
          <w:sz w:val="20"/>
          <w:szCs w:val="20"/>
        </w:rPr>
        <w:t>,</w:t>
      </w:r>
      <w:r w:rsidRPr="00A440FD">
        <w:rPr>
          <w:sz w:val="20"/>
          <w:szCs w:val="20"/>
        </w:rPr>
        <w:t xml:space="preserve"> que las presiones inflacionarias seguirán reflejando afectaciones y choques por factores externos. De esta manera, se anticipa que la tasa de interés (CETES 28 días) se ubicará, en promedio, en 6.7% y 7.9% para 2022 y 2023, respectivamente.</w:t>
      </w:r>
    </w:p>
    <w:p w14:paraId="40017209" w14:textId="77777777" w:rsidR="00786327" w:rsidRPr="00A440FD" w:rsidRDefault="00786327" w:rsidP="00786327">
      <w:pPr>
        <w:spacing w:line="360" w:lineRule="auto"/>
        <w:jc w:val="both"/>
        <w:rPr>
          <w:sz w:val="20"/>
          <w:szCs w:val="20"/>
        </w:rPr>
      </w:pPr>
    </w:p>
    <w:p w14:paraId="387DE0FD" w14:textId="0F2C6F65" w:rsidR="00525B2B" w:rsidRDefault="00786327" w:rsidP="00786327">
      <w:pPr>
        <w:spacing w:line="360" w:lineRule="auto"/>
        <w:jc w:val="both"/>
        <w:rPr>
          <w:sz w:val="20"/>
          <w:szCs w:val="20"/>
        </w:rPr>
      </w:pPr>
      <w:r w:rsidRPr="00A440FD">
        <w:rPr>
          <w:sz w:val="20"/>
          <w:szCs w:val="20"/>
        </w:rPr>
        <w:t xml:space="preserve">Para el tipo de cambio que presentó a inicios de año volatilidad por el conflicto Rusia-Ucrania y las olas de contagio de </w:t>
      </w:r>
      <w:r w:rsidR="00970C71">
        <w:rPr>
          <w:sz w:val="20"/>
          <w:szCs w:val="20"/>
        </w:rPr>
        <w:t xml:space="preserve">la </w:t>
      </w:r>
      <w:r w:rsidRPr="00A440FD">
        <w:rPr>
          <w:sz w:val="20"/>
          <w:szCs w:val="20"/>
        </w:rPr>
        <w:t>COVID-19, se prevé que la fortaleza de los fundamentales macroeconómicos, las condiciones financieras internacionales y una posición fiscal y monetaria menos acomodaticia incidan de forma positiva. Así, se estima que el tipo de cambio promedio se situé en 20.6 pesos por dólar en 2022 y en 20.8 pesos por dólar en 2023.</w:t>
      </w:r>
    </w:p>
    <w:p w14:paraId="502D1E6E" w14:textId="77777777" w:rsidR="00525B2B" w:rsidRDefault="00525B2B" w:rsidP="00525B2B">
      <w:pPr>
        <w:spacing w:line="360" w:lineRule="auto"/>
        <w:jc w:val="both"/>
        <w:rPr>
          <w:rFonts w:eastAsia="Calibri"/>
          <w:b/>
          <w:color w:val="000000" w:themeColor="text1"/>
          <w:sz w:val="20"/>
          <w:szCs w:val="20"/>
        </w:rPr>
      </w:pPr>
    </w:p>
    <w:p w14:paraId="6DF5379A" w14:textId="77777777" w:rsidR="00525B2B" w:rsidRPr="00021B2A" w:rsidRDefault="00525B2B" w:rsidP="00126CF7">
      <w:pPr>
        <w:pStyle w:val="Prrafodelista"/>
        <w:numPr>
          <w:ilvl w:val="0"/>
          <w:numId w:val="15"/>
        </w:numPr>
        <w:spacing w:line="360" w:lineRule="auto"/>
        <w:jc w:val="both"/>
        <w:rPr>
          <w:rFonts w:eastAsia="Calibri"/>
          <w:b/>
          <w:color w:val="000000" w:themeColor="text1"/>
          <w:sz w:val="20"/>
          <w:szCs w:val="20"/>
        </w:rPr>
      </w:pPr>
      <w:r w:rsidRPr="00021B2A">
        <w:rPr>
          <w:rFonts w:eastAsia="Calibri"/>
          <w:b/>
          <w:color w:val="000000" w:themeColor="text1"/>
          <w:sz w:val="20"/>
          <w:szCs w:val="20"/>
        </w:rPr>
        <w:t>DISCIPLINA FINANCIERA</w:t>
      </w:r>
    </w:p>
    <w:p w14:paraId="73630062" w14:textId="77777777" w:rsidR="00525B2B" w:rsidRPr="00955A4C" w:rsidRDefault="00525B2B" w:rsidP="00525B2B">
      <w:pPr>
        <w:spacing w:line="360" w:lineRule="auto"/>
        <w:jc w:val="both"/>
        <w:rPr>
          <w:rFonts w:eastAsia="Calibri"/>
          <w:b/>
          <w:color w:val="000000" w:themeColor="text1"/>
          <w:sz w:val="20"/>
          <w:szCs w:val="20"/>
        </w:rPr>
      </w:pPr>
    </w:p>
    <w:p w14:paraId="16EC4A36" w14:textId="77777777" w:rsidR="00786327" w:rsidRPr="00955A4C" w:rsidRDefault="00786327" w:rsidP="00786327">
      <w:pPr>
        <w:spacing w:line="360" w:lineRule="auto"/>
        <w:jc w:val="both"/>
        <w:rPr>
          <w:rFonts w:eastAsia="Calibri"/>
          <w:color w:val="000000" w:themeColor="text1"/>
          <w:sz w:val="20"/>
          <w:szCs w:val="20"/>
        </w:rPr>
      </w:pPr>
      <w:r w:rsidRPr="00955A4C">
        <w:rPr>
          <w:rFonts w:eastAsia="Calibri"/>
          <w:color w:val="000000" w:themeColor="text1"/>
          <w:sz w:val="20"/>
          <w:szCs w:val="20"/>
        </w:rPr>
        <w:t>El objetivo de la Ley de Disciplina Financiera de las Entidades Federativas y los Municipios, es promover finanzas públicas locales sostenibles, a través de reglas de disciplina financiera, el uso responsable de la deuda pública, así como el fortalecimiento de la transparencia y rendición de cuentas, entre otras medidas.</w:t>
      </w:r>
    </w:p>
    <w:p w14:paraId="01E7C85F" w14:textId="77777777" w:rsidR="00786327" w:rsidRPr="00955A4C" w:rsidRDefault="00786327" w:rsidP="00786327">
      <w:pPr>
        <w:spacing w:line="360" w:lineRule="auto"/>
        <w:jc w:val="both"/>
        <w:rPr>
          <w:rFonts w:eastAsia="Calibri"/>
          <w:color w:val="000000" w:themeColor="text1"/>
          <w:sz w:val="20"/>
          <w:szCs w:val="20"/>
        </w:rPr>
      </w:pPr>
    </w:p>
    <w:p w14:paraId="33FE9451" w14:textId="77777777" w:rsidR="00786327" w:rsidRPr="00955A4C" w:rsidRDefault="00786327" w:rsidP="00786327">
      <w:pPr>
        <w:spacing w:line="360" w:lineRule="auto"/>
        <w:jc w:val="both"/>
        <w:rPr>
          <w:rFonts w:eastAsia="Calibri"/>
          <w:color w:val="000000" w:themeColor="text1"/>
          <w:sz w:val="20"/>
          <w:szCs w:val="20"/>
        </w:rPr>
      </w:pPr>
      <w:r w:rsidRPr="00955A4C">
        <w:rPr>
          <w:rFonts w:eastAsia="Calibri"/>
          <w:color w:val="000000" w:themeColor="text1"/>
          <w:sz w:val="20"/>
          <w:szCs w:val="20"/>
        </w:rPr>
        <w:lastRenderedPageBreak/>
        <w:t xml:space="preserve">El </w:t>
      </w:r>
      <w:r w:rsidRPr="00096094">
        <w:rPr>
          <w:rFonts w:eastAsia="Calibri"/>
          <w:sz w:val="20"/>
          <w:szCs w:val="20"/>
        </w:rPr>
        <w:t>Proyecto de Decreto de Presupuesto de Egresos del Estado de Tlaxcala para el Ejercicio Fiscal 202</w:t>
      </w:r>
      <w:r>
        <w:rPr>
          <w:rFonts w:eastAsia="Calibri"/>
          <w:sz w:val="20"/>
          <w:szCs w:val="20"/>
        </w:rPr>
        <w:t>3</w:t>
      </w:r>
      <w:r w:rsidRPr="00096094">
        <w:rPr>
          <w:rFonts w:eastAsia="Calibri"/>
          <w:sz w:val="20"/>
          <w:szCs w:val="20"/>
        </w:rPr>
        <w:t xml:space="preserve"> </w:t>
      </w:r>
      <w:r w:rsidRPr="00955A4C">
        <w:rPr>
          <w:rFonts w:eastAsia="Calibri"/>
          <w:color w:val="000000" w:themeColor="text1"/>
          <w:sz w:val="20"/>
          <w:szCs w:val="20"/>
        </w:rPr>
        <w:t>contiene en su estructura las diversas disposiciones establecidas en dicha Ley de Disciplina Financiera de las Entidades Federativas y los Municipios.</w:t>
      </w:r>
    </w:p>
    <w:p w14:paraId="488CBCEC" w14:textId="77777777" w:rsidR="00786327" w:rsidRPr="00955A4C" w:rsidRDefault="00786327" w:rsidP="00786327">
      <w:pPr>
        <w:spacing w:line="360" w:lineRule="auto"/>
        <w:jc w:val="both"/>
        <w:rPr>
          <w:rFonts w:eastAsia="Calibri"/>
          <w:color w:val="000000" w:themeColor="text1"/>
          <w:sz w:val="20"/>
          <w:szCs w:val="20"/>
        </w:rPr>
      </w:pPr>
    </w:p>
    <w:p w14:paraId="5A387DE1" w14:textId="26B5EEBC" w:rsidR="00786327" w:rsidRPr="00955A4C" w:rsidRDefault="00786327" w:rsidP="00786327">
      <w:pPr>
        <w:spacing w:line="360" w:lineRule="auto"/>
        <w:jc w:val="both"/>
        <w:rPr>
          <w:rFonts w:eastAsia="Calibri"/>
          <w:color w:val="000000" w:themeColor="text1"/>
          <w:sz w:val="20"/>
          <w:szCs w:val="20"/>
        </w:rPr>
      </w:pPr>
      <w:r w:rsidRPr="00955A4C">
        <w:rPr>
          <w:rFonts w:eastAsia="Calibri"/>
          <w:color w:val="000000" w:themeColor="text1"/>
          <w:sz w:val="20"/>
          <w:szCs w:val="20"/>
        </w:rPr>
        <w:t>En prim</w:t>
      </w:r>
      <w:r>
        <w:rPr>
          <w:rFonts w:eastAsia="Calibri"/>
          <w:color w:val="000000" w:themeColor="text1"/>
          <w:sz w:val="20"/>
          <w:szCs w:val="20"/>
        </w:rPr>
        <w:t xml:space="preserve">er lugar, tiene sustento en el Plan </w:t>
      </w:r>
      <w:r w:rsidR="00051197">
        <w:rPr>
          <w:rFonts w:eastAsia="Calibri"/>
          <w:color w:val="000000" w:themeColor="text1"/>
          <w:sz w:val="20"/>
          <w:szCs w:val="20"/>
        </w:rPr>
        <w:t>Estatal de Desarrollo 2021-2027</w:t>
      </w:r>
      <w:r w:rsidRPr="00955A4C">
        <w:rPr>
          <w:rFonts w:eastAsia="Calibri"/>
          <w:color w:val="000000" w:themeColor="text1"/>
          <w:sz w:val="20"/>
          <w:szCs w:val="20"/>
        </w:rPr>
        <w:t xml:space="preserve"> y en las políticas estatales fijando objetivos, estrategias e indicadores de desempeño cuantificables y o</w:t>
      </w:r>
      <w:r>
        <w:rPr>
          <w:rFonts w:eastAsia="Calibri"/>
          <w:color w:val="000000" w:themeColor="text1"/>
          <w:sz w:val="20"/>
          <w:szCs w:val="20"/>
        </w:rPr>
        <w:t xml:space="preserve">bservando en su elaboración los </w:t>
      </w:r>
      <w:r w:rsidRPr="007256C0">
        <w:rPr>
          <w:rFonts w:eastAsia="Calibri"/>
          <w:color w:val="000000" w:themeColor="text1"/>
          <w:sz w:val="20"/>
          <w:szCs w:val="20"/>
        </w:rPr>
        <w:t xml:space="preserve">Criterios Generales </w:t>
      </w:r>
      <w:r>
        <w:rPr>
          <w:rFonts w:eastAsia="Calibri"/>
          <w:color w:val="000000" w:themeColor="text1"/>
          <w:sz w:val="20"/>
          <w:szCs w:val="20"/>
        </w:rPr>
        <w:t>d</w:t>
      </w:r>
      <w:r w:rsidRPr="007256C0">
        <w:rPr>
          <w:rFonts w:eastAsia="Calibri"/>
          <w:color w:val="000000" w:themeColor="text1"/>
          <w:sz w:val="20"/>
          <w:szCs w:val="20"/>
        </w:rPr>
        <w:t xml:space="preserve">e Política Económica </w:t>
      </w:r>
      <w:r>
        <w:rPr>
          <w:rFonts w:eastAsia="Calibri"/>
          <w:color w:val="000000" w:themeColor="text1"/>
          <w:sz w:val="20"/>
          <w:szCs w:val="20"/>
        </w:rPr>
        <w:t>p</w:t>
      </w:r>
      <w:r w:rsidRPr="007256C0">
        <w:rPr>
          <w:rFonts w:eastAsia="Calibri"/>
          <w:color w:val="000000" w:themeColor="text1"/>
          <w:sz w:val="20"/>
          <w:szCs w:val="20"/>
        </w:rPr>
        <w:t xml:space="preserve">ara </w:t>
      </w:r>
      <w:r>
        <w:rPr>
          <w:rFonts w:eastAsia="Calibri"/>
          <w:color w:val="000000" w:themeColor="text1"/>
          <w:sz w:val="20"/>
          <w:szCs w:val="20"/>
        </w:rPr>
        <w:t>l</w:t>
      </w:r>
      <w:r w:rsidRPr="007256C0">
        <w:rPr>
          <w:rFonts w:eastAsia="Calibri"/>
          <w:color w:val="000000" w:themeColor="text1"/>
          <w:sz w:val="20"/>
          <w:szCs w:val="20"/>
        </w:rPr>
        <w:t xml:space="preserve">a Iniciativa </w:t>
      </w:r>
      <w:r>
        <w:rPr>
          <w:rFonts w:eastAsia="Calibri"/>
          <w:color w:val="000000" w:themeColor="text1"/>
          <w:sz w:val="20"/>
          <w:szCs w:val="20"/>
        </w:rPr>
        <w:t>d</w:t>
      </w:r>
      <w:r w:rsidRPr="007256C0">
        <w:rPr>
          <w:rFonts w:eastAsia="Calibri"/>
          <w:color w:val="000000" w:themeColor="text1"/>
          <w:sz w:val="20"/>
          <w:szCs w:val="20"/>
        </w:rPr>
        <w:t xml:space="preserve">e Ley </w:t>
      </w:r>
      <w:r>
        <w:rPr>
          <w:rFonts w:eastAsia="Calibri"/>
          <w:color w:val="000000" w:themeColor="text1"/>
          <w:sz w:val="20"/>
          <w:szCs w:val="20"/>
        </w:rPr>
        <w:t>d</w:t>
      </w:r>
      <w:r w:rsidRPr="007256C0">
        <w:rPr>
          <w:rFonts w:eastAsia="Calibri"/>
          <w:color w:val="000000" w:themeColor="text1"/>
          <w:sz w:val="20"/>
          <w:szCs w:val="20"/>
        </w:rPr>
        <w:t xml:space="preserve">e Ingresos </w:t>
      </w:r>
      <w:r>
        <w:rPr>
          <w:rFonts w:eastAsia="Calibri"/>
          <w:color w:val="000000" w:themeColor="text1"/>
          <w:sz w:val="20"/>
          <w:szCs w:val="20"/>
        </w:rPr>
        <w:t>y</w:t>
      </w:r>
      <w:r w:rsidRPr="007256C0">
        <w:rPr>
          <w:rFonts w:eastAsia="Calibri"/>
          <w:color w:val="000000" w:themeColor="text1"/>
          <w:sz w:val="20"/>
          <w:szCs w:val="20"/>
        </w:rPr>
        <w:t xml:space="preserve"> </w:t>
      </w:r>
      <w:r>
        <w:rPr>
          <w:rFonts w:eastAsia="Calibri"/>
          <w:color w:val="000000" w:themeColor="text1"/>
          <w:sz w:val="20"/>
          <w:szCs w:val="20"/>
        </w:rPr>
        <w:t>e</w:t>
      </w:r>
      <w:r w:rsidRPr="007256C0">
        <w:rPr>
          <w:rFonts w:eastAsia="Calibri"/>
          <w:color w:val="000000" w:themeColor="text1"/>
          <w:sz w:val="20"/>
          <w:szCs w:val="20"/>
        </w:rPr>
        <w:t xml:space="preserve">l Proyecto </w:t>
      </w:r>
      <w:r>
        <w:rPr>
          <w:rFonts w:eastAsia="Calibri"/>
          <w:color w:val="000000" w:themeColor="text1"/>
          <w:sz w:val="20"/>
          <w:szCs w:val="20"/>
        </w:rPr>
        <w:t>d</w:t>
      </w:r>
      <w:r w:rsidRPr="007256C0">
        <w:rPr>
          <w:rFonts w:eastAsia="Calibri"/>
          <w:color w:val="000000" w:themeColor="text1"/>
          <w:sz w:val="20"/>
          <w:szCs w:val="20"/>
        </w:rPr>
        <w:t xml:space="preserve">e Presupuesto </w:t>
      </w:r>
      <w:r>
        <w:rPr>
          <w:rFonts w:eastAsia="Calibri"/>
          <w:color w:val="000000" w:themeColor="text1"/>
          <w:sz w:val="20"/>
          <w:szCs w:val="20"/>
        </w:rPr>
        <w:t>d</w:t>
      </w:r>
      <w:r w:rsidRPr="007256C0">
        <w:rPr>
          <w:rFonts w:eastAsia="Calibri"/>
          <w:color w:val="000000" w:themeColor="text1"/>
          <w:sz w:val="20"/>
          <w:szCs w:val="20"/>
        </w:rPr>
        <w:t xml:space="preserve">e Egresos </w:t>
      </w:r>
      <w:r>
        <w:rPr>
          <w:rFonts w:eastAsia="Calibri"/>
          <w:color w:val="000000" w:themeColor="text1"/>
          <w:sz w:val="20"/>
          <w:szCs w:val="20"/>
        </w:rPr>
        <w:t>d</w:t>
      </w:r>
      <w:r w:rsidRPr="007256C0">
        <w:rPr>
          <w:rFonts w:eastAsia="Calibri"/>
          <w:color w:val="000000" w:themeColor="text1"/>
          <w:sz w:val="20"/>
          <w:szCs w:val="20"/>
        </w:rPr>
        <w:t xml:space="preserve">e </w:t>
      </w:r>
      <w:r>
        <w:rPr>
          <w:rFonts w:eastAsia="Calibri"/>
          <w:color w:val="000000" w:themeColor="text1"/>
          <w:sz w:val="20"/>
          <w:szCs w:val="20"/>
        </w:rPr>
        <w:t xml:space="preserve">la Federación </w:t>
      </w:r>
      <w:r w:rsidRPr="00955A4C">
        <w:rPr>
          <w:rFonts w:eastAsia="Calibri"/>
          <w:color w:val="000000" w:themeColor="text1"/>
          <w:sz w:val="20"/>
          <w:szCs w:val="20"/>
        </w:rPr>
        <w:t>(CGPE) que presentó la SHCP para el ejercicio</w:t>
      </w:r>
      <w:r>
        <w:rPr>
          <w:rFonts w:eastAsia="Calibri"/>
          <w:color w:val="000000" w:themeColor="text1"/>
          <w:sz w:val="20"/>
          <w:szCs w:val="20"/>
        </w:rPr>
        <w:t xml:space="preserve"> fiscal</w:t>
      </w:r>
      <w:r w:rsidRPr="00955A4C">
        <w:rPr>
          <w:rFonts w:eastAsia="Calibri"/>
          <w:color w:val="000000" w:themeColor="text1"/>
          <w:sz w:val="20"/>
          <w:szCs w:val="20"/>
        </w:rPr>
        <w:t xml:space="preserve"> 202</w:t>
      </w:r>
      <w:r>
        <w:rPr>
          <w:rFonts w:eastAsia="Calibri"/>
          <w:color w:val="000000" w:themeColor="text1"/>
          <w:sz w:val="20"/>
          <w:szCs w:val="20"/>
        </w:rPr>
        <w:t>3</w:t>
      </w:r>
      <w:r w:rsidRPr="00955A4C">
        <w:rPr>
          <w:rFonts w:eastAsia="Calibri"/>
          <w:color w:val="000000" w:themeColor="text1"/>
          <w:sz w:val="20"/>
          <w:szCs w:val="20"/>
        </w:rPr>
        <w:t>.</w:t>
      </w:r>
    </w:p>
    <w:p w14:paraId="4441F9E7" w14:textId="77777777" w:rsidR="00786327" w:rsidRPr="00955A4C" w:rsidRDefault="00786327" w:rsidP="00786327">
      <w:pPr>
        <w:spacing w:line="360" w:lineRule="auto"/>
        <w:jc w:val="both"/>
        <w:rPr>
          <w:rFonts w:eastAsia="Calibri"/>
          <w:color w:val="000000" w:themeColor="text1"/>
          <w:sz w:val="20"/>
          <w:szCs w:val="20"/>
        </w:rPr>
      </w:pPr>
    </w:p>
    <w:p w14:paraId="321CF29A" w14:textId="77777777" w:rsidR="00786327" w:rsidRDefault="00786327" w:rsidP="00786327">
      <w:pPr>
        <w:spacing w:line="360" w:lineRule="auto"/>
        <w:jc w:val="both"/>
        <w:rPr>
          <w:rFonts w:eastAsia="Calibri"/>
          <w:color w:val="000000" w:themeColor="text1"/>
          <w:sz w:val="20"/>
          <w:szCs w:val="20"/>
        </w:rPr>
      </w:pPr>
      <w:r w:rsidRPr="00955A4C">
        <w:rPr>
          <w:rFonts w:eastAsia="Calibri"/>
          <w:color w:val="000000" w:themeColor="text1"/>
          <w:sz w:val="20"/>
          <w:szCs w:val="20"/>
        </w:rPr>
        <w:t>En concordancia con el proyecto nacional, en esta iniciativa se consideraron:</w:t>
      </w:r>
    </w:p>
    <w:p w14:paraId="1B93D610" w14:textId="77777777" w:rsidR="00786327" w:rsidRPr="00955A4C" w:rsidRDefault="00786327" w:rsidP="00786327">
      <w:pPr>
        <w:spacing w:line="360" w:lineRule="auto"/>
        <w:jc w:val="both"/>
        <w:rPr>
          <w:rFonts w:eastAsia="Calibri"/>
          <w:color w:val="000000" w:themeColor="text1"/>
          <w:sz w:val="20"/>
          <w:szCs w:val="20"/>
        </w:rPr>
      </w:pPr>
    </w:p>
    <w:p w14:paraId="1187EEAB" w14:textId="77777777" w:rsidR="00786327" w:rsidRDefault="00786327" w:rsidP="00126CF7">
      <w:pPr>
        <w:pStyle w:val="Prrafodelista"/>
        <w:numPr>
          <w:ilvl w:val="0"/>
          <w:numId w:val="3"/>
        </w:numPr>
        <w:spacing w:line="360" w:lineRule="auto"/>
        <w:jc w:val="both"/>
        <w:rPr>
          <w:rFonts w:eastAsia="Calibri"/>
          <w:color w:val="000000" w:themeColor="text1"/>
          <w:sz w:val="20"/>
          <w:szCs w:val="20"/>
        </w:rPr>
      </w:pPr>
      <w:r>
        <w:rPr>
          <w:rFonts w:eastAsia="Calibri"/>
          <w:color w:val="000000" w:themeColor="text1"/>
          <w:sz w:val="20"/>
          <w:szCs w:val="20"/>
        </w:rPr>
        <w:t>Objetivos anuales, estrategias y metas.</w:t>
      </w:r>
    </w:p>
    <w:p w14:paraId="26DBDB35" w14:textId="77777777" w:rsidR="00786327" w:rsidRPr="002E0CC2" w:rsidRDefault="00786327" w:rsidP="00126CF7">
      <w:pPr>
        <w:pStyle w:val="Prrafodelista"/>
        <w:numPr>
          <w:ilvl w:val="0"/>
          <w:numId w:val="3"/>
        </w:numPr>
        <w:spacing w:line="360" w:lineRule="auto"/>
        <w:jc w:val="both"/>
        <w:rPr>
          <w:rFonts w:eastAsia="Calibri"/>
          <w:color w:val="000000" w:themeColor="text1"/>
          <w:sz w:val="20"/>
          <w:szCs w:val="20"/>
        </w:rPr>
      </w:pPr>
      <w:r w:rsidRPr="00955A4C">
        <w:rPr>
          <w:rFonts w:eastAsia="Calibri"/>
          <w:color w:val="000000" w:themeColor="text1"/>
          <w:sz w:val="20"/>
          <w:szCs w:val="20"/>
        </w:rPr>
        <w:t>Las proyecciones de egresos en materia presupuestal.</w:t>
      </w:r>
    </w:p>
    <w:p w14:paraId="5B7545DC" w14:textId="77777777" w:rsidR="00786327" w:rsidRPr="00955A4C" w:rsidRDefault="00786327" w:rsidP="00126CF7">
      <w:pPr>
        <w:pStyle w:val="Prrafodelista"/>
        <w:numPr>
          <w:ilvl w:val="0"/>
          <w:numId w:val="3"/>
        </w:numPr>
        <w:spacing w:line="360" w:lineRule="auto"/>
        <w:jc w:val="both"/>
        <w:rPr>
          <w:rFonts w:eastAsia="Calibri"/>
          <w:color w:val="000000" w:themeColor="text1"/>
          <w:sz w:val="20"/>
          <w:szCs w:val="20"/>
        </w:rPr>
      </w:pPr>
      <w:r w:rsidRPr="00955A4C">
        <w:rPr>
          <w:rFonts w:eastAsia="Calibri"/>
          <w:color w:val="000000" w:themeColor="text1"/>
          <w:sz w:val="20"/>
          <w:szCs w:val="20"/>
        </w:rPr>
        <w:t>Los riesgos para las finanzas públicas estatales.</w:t>
      </w:r>
    </w:p>
    <w:p w14:paraId="3D05FF4F" w14:textId="77777777" w:rsidR="00786327" w:rsidRDefault="00786327" w:rsidP="00126CF7">
      <w:pPr>
        <w:pStyle w:val="Prrafodelista"/>
        <w:numPr>
          <w:ilvl w:val="0"/>
          <w:numId w:val="3"/>
        </w:numPr>
        <w:spacing w:line="360" w:lineRule="auto"/>
        <w:jc w:val="both"/>
        <w:rPr>
          <w:rFonts w:eastAsia="Calibri"/>
          <w:color w:val="000000" w:themeColor="text1"/>
          <w:sz w:val="20"/>
          <w:szCs w:val="20"/>
        </w:rPr>
      </w:pPr>
      <w:r w:rsidRPr="00955A4C">
        <w:rPr>
          <w:rFonts w:eastAsia="Calibri"/>
          <w:color w:val="000000" w:themeColor="text1"/>
          <w:sz w:val="20"/>
          <w:szCs w:val="20"/>
        </w:rPr>
        <w:t>Los resultados presupuestarios de los últimos cinco años.</w:t>
      </w:r>
    </w:p>
    <w:p w14:paraId="2A20533D" w14:textId="77777777" w:rsidR="00786327" w:rsidRPr="002E0CC2" w:rsidRDefault="00786327" w:rsidP="00126CF7">
      <w:pPr>
        <w:pStyle w:val="Prrafodelista"/>
        <w:numPr>
          <w:ilvl w:val="0"/>
          <w:numId w:val="3"/>
        </w:numPr>
        <w:spacing w:line="360" w:lineRule="auto"/>
        <w:jc w:val="both"/>
        <w:rPr>
          <w:rFonts w:eastAsia="Calibri"/>
          <w:color w:val="000000" w:themeColor="text1"/>
          <w:sz w:val="20"/>
          <w:szCs w:val="20"/>
        </w:rPr>
      </w:pPr>
      <w:r w:rsidRPr="002E0CC2">
        <w:rPr>
          <w:rFonts w:eastAsia="Calibri"/>
          <w:color w:val="000000" w:themeColor="text1"/>
          <w:sz w:val="20"/>
          <w:szCs w:val="20"/>
        </w:rPr>
        <w:t>Un estudio Actuarial de Pensiones de sus trabajadores.</w:t>
      </w:r>
    </w:p>
    <w:p w14:paraId="35262753" w14:textId="77777777" w:rsidR="00786327" w:rsidRPr="00955A4C" w:rsidRDefault="00786327" w:rsidP="00786327">
      <w:pPr>
        <w:pStyle w:val="Prrafodelista"/>
        <w:spacing w:line="360" w:lineRule="auto"/>
        <w:ind w:left="720"/>
        <w:jc w:val="both"/>
        <w:rPr>
          <w:rFonts w:eastAsia="Calibri"/>
          <w:color w:val="000000" w:themeColor="text1"/>
          <w:sz w:val="20"/>
          <w:szCs w:val="20"/>
        </w:rPr>
      </w:pPr>
    </w:p>
    <w:p w14:paraId="13BF5EAA" w14:textId="1F474E09" w:rsidR="00786327" w:rsidRPr="00955A4C" w:rsidRDefault="00786327" w:rsidP="00786327">
      <w:pPr>
        <w:spacing w:line="360" w:lineRule="auto"/>
        <w:jc w:val="both"/>
        <w:rPr>
          <w:rFonts w:eastAsia="Calibri"/>
          <w:color w:val="000000" w:themeColor="text1"/>
          <w:sz w:val="20"/>
          <w:szCs w:val="20"/>
        </w:rPr>
      </w:pPr>
      <w:r>
        <w:rPr>
          <w:rFonts w:eastAsia="Calibri"/>
          <w:color w:val="000000" w:themeColor="text1"/>
          <w:sz w:val="20"/>
          <w:szCs w:val="20"/>
        </w:rPr>
        <w:t>Asimismo, en el</w:t>
      </w:r>
      <w:r w:rsidRPr="00955A4C">
        <w:rPr>
          <w:rFonts w:eastAsia="Calibri"/>
          <w:color w:val="000000" w:themeColor="text1"/>
          <w:sz w:val="20"/>
          <w:szCs w:val="20"/>
        </w:rPr>
        <w:t xml:space="preserve"> </w:t>
      </w:r>
      <w:r>
        <w:rPr>
          <w:rFonts w:eastAsia="Calibri"/>
          <w:color w:val="000000" w:themeColor="text1"/>
          <w:sz w:val="20"/>
          <w:szCs w:val="20"/>
        </w:rPr>
        <w:t xml:space="preserve">presente </w:t>
      </w:r>
      <w:r w:rsidRPr="00096094">
        <w:rPr>
          <w:rFonts w:eastAsia="Calibri"/>
          <w:sz w:val="20"/>
          <w:szCs w:val="20"/>
        </w:rPr>
        <w:t>Proyecto de Decreto de Presupuesto de Egresos del Estado de Tlaxcala para el Ejercicio Fiscal 202</w:t>
      </w:r>
      <w:r>
        <w:rPr>
          <w:rFonts w:eastAsia="Calibri"/>
          <w:sz w:val="20"/>
          <w:szCs w:val="20"/>
        </w:rPr>
        <w:t>3</w:t>
      </w:r>
      <w:r w:rsidR="00C0167B">
        <w:rPr>
          <w:rFonts w:eastAsia="Calibri"/>
          <w:sz w:val="20"/>
          <w:szCs w:val="20"/>
        </w:rPr>
        <w:t>,</w:t>
      </w:r>
      <w:r>
        <w:rPr>
          <w:rFonts w:eastAsia="Calibri"/>
          <w:sz w:val="20"/>
          <w:szCs w:val="20"/>
        </w:rPr>
        <w:t xml:space="preserve"> </w:t>
      </w:r>
      <w:r w:rsidRPr="00955A4C">
        <w:rPr>
          <w:rFonts w:eastAsia="Calibri"/>
          <w:color w:val="000000" w:themeColor="text1"/>
          <w:sz w:val="20"/>
          <w:szCs w:val="20"/>
        </w:rPr>
        <w:t>se prevén medidas y recursos para atender diversas situaciones que pudieran afectar las finanzas públicas, destacando las siguientes:</w:t>
      </w:r>
    </w:p>
    <w:p w14:paraId="2F9F6C7C" w14:textId="77777777" w:rsidR="00786327" w:rsidRPr="00955A4C" w:rsidRDefault="00786327" w:rsidP="00786327">
      <w:pPr>
        <w:spacing w:line="360" w:lineRule="auto"/>
        <w:jc w:val="both"/>
        <w:rPr>
          <w:rFonts w:eastAsia="Calibri"/>
          <w:color w:val="000000" w:themeColor="text1"/>
          <w:sz w:val="20"/>
          <w:szCs w:val="20"/>
        </w:rPr>
      </w:pPr>
    </w:p>
    <w:p w14:paraId="1211AAE4" w14:textId="77777777" w:rsidR="00786327" w:rsidRPr="00955A4C" w:rsidRDefault="00786327" w:rsidP="00126CF7">
      <w:pPr>
        <w:pStyle w:val="Prrafodelista"/>
        <w:numPr>
          <w:ilvl w:val="1"/>
          <w:numId w:val="4"/>
        </w:numPr>
        <w:spacing w:line="360" w:lineRule="auto"/>
        <w:jc w:val="both"/>
        <w:rPr>
          <w:rFonts w:eastAsia="Calibri"/>
          <w:color w:val="000000" w:themeColor="text1"/>
          <w:sz w:val="20"/>
          <w:szCs w:val="20"/>
        </w:rPr>
      </w:pPr>
      <w:r w:rsidRPr="00955A4C">
        <w:rPr>
          <w:rFonts w:eastAsia="Calibri"/>
          <w:b/>
          <w:color w:val="000000" w:themeColor="text1"/>
          <w:sz w:val="20"/>
          <w:szCs w:val="20"/>
        </w:rPr>
        <w:t>Pensiones</w:t>
      </w:r>
      <w:r w:rsidRPr="00955A4C">
        <w:rPr>
          <w:rFonts w:eastAsia="Calibri"/>
          <w:color w:val="000000" w:themeColor="text1"/>
          <w:sz w:val="20"/>
          <w:szCs w:val="20"/>
        </w:rPr>
        <w:t>.- Tema financiero que se desarrolla en el apartado de Riesgos Fiscales.</w:t>
      </w:r>
    </w:p>
    <w:p w14:paraId="4AD59823" w14:textId="0F2EF365" w:rsidR="00786327" w:rsidRPr="00955A4C" w:rsidRDefault="00786327" w:rsidP="00126CF7">
      <w:pPr>
        <w:pStyle w:val="Prrafodelista"/>
        <w:numPr>
          <w:ilvl w:val="1"/>
          <w:numId w:val="4"/>
        </w:numPr>
        <w:spacing w:line="360" w:lineRule="auto"/>
        <w:jc w:val="both"/>
        <w:rPr>
          <w:rFonts w:eastAsia="Calibri"/>
          <w:color w:val="000000" w:themeColor="text1"/>
          <w:sz w:val="20"/>
          <w:szCs w:val="20"/>
        </w:rPr>
      </w:pPr>
      <w:r w:rsidRPr="00955A4C">
        <w:rPr>
          <w:rFonts w:eastAsia="Calibri"/>
          <w:b/>
          <w:color w:val="000000" w:themeColor="text1"/>
          <w:sz w:val="20"/>
          <w:szCs w:val="20"/>
        </w:rPr>
        <w:t>Desastres naturales</w:t>
      </w:r>
      <w:r w:rsidRPr="00955A4C">
        <w:rPr>
          <w:rFonts w:eastAsia="Calibri"/>
          <w:color w:val="000000" w:themeColor="text1"/>
          <w:sz w:val="20"/>
          <w:szCs w:val="20"/>
        </w:rPr>
        <w:t xml:space="preserve">.- </w:t>
      </w:r>
      <w:r w:rsidR="009D6813">
        <w:rPr>
          <w:rFonts w:eastAsia="Calibri"/>
          <w:color w:val="000000" w:themeColor="text1"/>
          <w:sz w:val="20"/>
          <w:szCs w:val="20"/>
        </w:rPr>
        <w:t>Los</w:t>
      </w:r>
      <w:r w:rsidRPr="00955A4C">
        <w:rPr>
          <w:rFonts w:eastAsia="Calibri"/>
          <w:color w:val="000000" w:themeColor="text1"/>
          <w:sz w:val="20"/>
          <w:szCs w:val="20"/>
        </w:rPr>
        <w:t xml:space="preserve"> recursos</w:t>
      </w:r>
      <w:r>
        <w:rPr>
          <w:rFonts w:eastAsia="Calibri"/>
          <w:color w:val="000000" w:themeColor="text1"/>
          <w:sz w:val="20"/>
          <w:szCs w:val="20"/>
        </w:rPr>
        <w:t xml:space="preserve"> para</w:t>
      </w:r>
      <w:r w:rsidR="009D6813">
        <w:rPr>
          <w:rFonts w:eastAsia="Calibri"/>
          <w:color w:val="000000" w:themeColor="text1"/>
          <w:sz w:val="20"/>
          <w:szCs w:val="20"/>
        </w:rPr>
        <w:t xml:space="preserve"> la</w:t>
      </w:r>
      <w:r>
        <w:rPr>
          <w:rFonts w:eastAsia="Calibri"/>
          <w:color w:val="000000" w:themeColor="text1"/>
          <w:sz w:val="20"/>
          <w:szCs w:val="20"/>
        </w:rPr>
        <w:t xml:space="preserve"> aportación al </w:t>
      </w:r>
      <w:r w:rsidRPr="00955A4C">
        <w:rPr>
          <w:rFonts w:eastAsia="Calibri"/>
          <w:color w:val="000000" w:themeColor="text1"/>
          <w:sz w:val="20"/>
          <w:szCs w:val="20"/>
        </w:rPr>
        <w:t>fondo específico para desastres naturales,</w:t>
      </w:r>
      <w:r w:rsidR="009D6813">
        <w:rPr>
          <w:rFonts w:eastAsia="Calibri"/>
          <w:color w:val="000000" w:themeColor="text1"/>
          <w:sz w:val="20"/>
          <w:szCs w:val="20"/>
        </w:rPr>
        <w:t xml:space="preserve"> se realizarán durante el ejercicio con recursos excedentes como lo establece el Código Financiero para el Estado de Tlaxcala y sus Municipios</w:t>
      </w:r>
      <w:r w:rsidRPr="00C976E5">
        <w:rPr>
          <w:rFonts w:eastAsia="Calibri"/>
          <w:color w:val="000000" w:themeColor="text1"/>
          <w:sz w:val="20"/>
          <w:szCs w:val="20"/>
        </w:rPr>
        <w:t xml:space="preserve">, </w:t>
      </w:r>
      <w:r w:rsidRPr="00955A4C">
        <w:rPr>
          <w:rFonts w:eastAsia="Calibri"/>
          <w:color w:val="000000" w:themeColor="text1"/>
          <w:sz w:val="20"/>
          <w:szCs w:val="20"/>
        </w:rPr>
        <w:t>para cubrir el costo de daños en infraestructura pública y atender a la población afectada. Los re</w:t>
      </w:r>
      <w:r>
        <w:rPr>
          <w:rFonts w:eastAsia="Calibri"/>
          <w:color w:val="000000" w:themeColor="text1"/>
          <w:sz w:val="20"/>
          <w:szCs w:val="20"/>
        </w:rPr>
        <w:t>cursos se deberán depositar en el</w:t>
      </w:r>
      <w:r w:rsidRPr="00955A4C">
        <w:rPr>
          <w:rFonts w:eastAsia="Calibri"/>
          <w:color w:val="000000" w:themeColor="text1"/>
          <w:sz w:val="20"/>
          <w:szCs w:val="20"/>
        </w:rPr>
        <w:t xml:space="preserve"> fideicomiso de administración y pago</w:t>
      </w:r>
      <w:r>
        <w:rPr>
          <w:rFonts w:eastAsia="Calibri"/>
          <w:color w:val="000000" w:themeColor="text1"/>
          <w:sz w:val="20"/>
          <w:szCs w:val="20"/>
        </w:rPr>
        <w:t xml:space="preserve"> correspondiente</w:t>
      </w:r>
      <w:r w:rsidRPr="00955A4C">
        <w:rPr>
          <w:rFonts w:eastAsia="Calibri"/>
          <w:color w:val="000000" w:themeColor="text1"/>
          <w:sz w:val="20"/>
          <w:szCs w:val="20"/>
        </w:rPr>
        <w:t>.</w:t>
      </w:r>
    </w:p>
    <w:p w14:paraId="7F3A501A" w14:textId="77777777" w:rsidR="00786327" w:rsidRPr="002E0CC2" w:rsidRDefault="00786327" w:rsidP="00126CF7">
      <w:pPr>
        <w:pStyle w:val="Prrafodelista"/>
        <w:numPr>
          <w:ilvl w:val="1"/>
          <w:numId w:val="4"/>
        </w:numPr>
        <w:spacing w:line="360" w:lineRule="auto"/>
        <w:jc w:val="both"/>
        <w:rPr>
          <w:rFonts w:eastAsia="Calibri"/>
          <w:sz w:val="20"/>
          <w:szCs w:val="20"/>
        </w:rPr>
      </w:pPr>
      <w:r w:rsidRPr="002E0CC2">
        <w:rPr>
          <w:rFonts w:eastAsia="Calibri"/>
          <w:b/>
          <w:sz w:val="20"/>
          <w:szCs w:val="20"/>
        </w:rPr>
        <w:t>Servicios personales</w:t>
      </w:r>
      <w:r w:rsidRPr="002E0CC2">
        <w:rPr>
          <w:rFonts w:eastAsia="Calibri"/>
          <w:sz w:val="20"/>
          <w:szCs w:val="20"/>
        </w:rPr>
        <w:t>.- Se incluye una sección específica correspondiente al gasto en servicios personales, el cual comprende las remuneraciones de los servidores públicos, desglosando las percepciones ordinarias y extraordinarias, e incluyendo las erogaciones por concepto de obligaciones de carácter fiscal y de seguridad social inherentes a las mismas.</w:t>
      </w:r>
      <w:r>
        <w:rPr>
          <w:rFonts w:eastAsia="Calibri"/>
          <w:sz w:val="20"/>
          <w:szCs w:val="20"/>
        </w:rPr>
        <w:t xml:space="preserve"> </w:t>
      </w:r>
    </w:p>
    <w:p w14:paraId="7B1FEA08" w14:textId="77777777" w:rsidR="00786327" w:rsidRDefault="00786327" w:rsidP="00126CF7">
      <w:pPr>
        <w:pStyle w:val="Prrafodelista"/>
        <w:numPr>
          <w:ilvl w:val="1"/>
          <w:numId w:val="4"/>
        </w:numPr>
        <w:spacing w:line="360" w:lineRule="auto"/>
        <w:jc w:val="both"/>
        <w:rPr>
          <w:rFonts w:eastAsia="Calibri"/>
          <w:color w:val="000000" w:themeColor="text1"/>
          <w:sz w:val="20"/>
          <w:szCs w:val="20"/>
        </w:rPr>
      </w:pPr>
      <w:r w:rsidRPr="00955A4C">
        <w:rPr>
          <w:rFonts w:eastAsia="Calibri"/>
          <w:b/>
          <w:color w:val="000000" w:themeColor="text1"/>
          <w:sz w:val="20"/>
          <w:szCs w:val="20"/>
        </w:rPr>
        <w:lastRenderedPageBreak/>
        <w:t>Excedentes presupuestarios</w:t>
      </w:r>
      <w:r w:rsidRPr="00955A4C">
        <w:rPr>
          <w:rFonts w:eastAsia="Calibri"/>
          <w:color w:val="000000" w:themeColor="text1"/>
          <w:sz w:val="20"/>
          <w:szCs w:val="20"/>
        </w:rPr>
        <w:t>.- Por otro lado, en el proyecto se establece que, en caso de cumplirse o rebasarse las expectativas económicas previstas, los excedentes presupuestarios que se determinen, deberán aplicarse, de conformidad con lo establecido en el Código Financiero para el Estado de Tlaxcala y sus Municipios</w:t>
      </w:r>
      <w:r>
        <w:rPr>
          <w:rFonts w:eastAsia="Calibri"/>
          <w:color w:val="000000" w:themeColor="text1"/>
          <w:sz w:val="20"/>
          <w:szCs w:val="20"/>
        </w:rPr>
        <w:t xml:space="preserve"> </w:t>
      </w:r>
      <w:r w:rsidRPr="00955A4C">
        <w:rPr>
          <w:rFonts w:eastAsia="Calibri"/>
          <w:color w:val="000000" w:themeColor="text1"/>
          <w:sz w:val="20"/>
          <w:szCs w:val="20"/>
        </w:rPr>
        <w:t>como sigue:</w:t>
      </w:r>
    </w:p>
    <w:p w14:paraId="0D896359" w14:textId="77777777" w:rsidR="00C0167B" w:rsidRPr="00C0167B" w:rsidRDefault="00C0167B" w:rsidP="00C0167B">
      <w:pPr>
        <w:spacing w:line="360" w:lineRule="auto"/>
        <w:jc w:val="both"/>
        <w:rPr>
          <w:rFonts w:eastAsia="Calibri"/>
          <w:color w:val="000000" w:themeColor="text1"/>
          <w:sz w:val="20"/>
          <w:szCs w:val="20"/>
        </w:rPr>
      </w:pPr>
    </w:p>
    <w:p w14:paraId="12622706" w14:textId="77777777" w:rsidR="00786327" w:rsidRPr="00955A4C" w:rsidRDefault="00786327" w:rsidP="00126CF7">
      <w:pPr>
        <w:pStyle w:val="Prrafodelista"/>
        <w:numPr>
          <w:ilvl w:val="2"/>
          <w:numId w:val="12"/>
        </w:numPr>
        <w:spacing w:line="360" w:lineRule="auto"/>
        <w:jc w:val="both"/>
        <w:rPr>
          <w:rFonts w:eastAsia="Calibri"/>
          <w:color w:val="000000" w:themeColor="text1"/>
          <w:sz w:val="20"/>
          <w:szCs w:val="20"/>
        </w:rPr>
      </w:pPr>
      <w:r w:rsidRPr="00955A4C">
        <w:rPr>
          <w:rFonts w:eastAsia="Calibri"/>
          <w:color w:val="000000" w:themeColor="text1"/>
          <w:sz w:val="20"/>
          <w:szCs w:val="20"/>
        </w:rPr>
        <w:t>Por lo menos el 50 por ciento para la amortización anticipada de la Deuda Pública, el pago de adeudos de ejercicios fiscales anteriores, pasivos circulantes y otras obligaciones, en cuyos contratos se haya pactado el pago anticipado sin incurrir en penalidades y representen una disminución del saldo registrado en la cuenta pública del cierre del ejercicio inmediato anterior, así como el pago de sentencias definitivas emitidas por la autoridad competente, la aportación a fondos para la atención de desastres naturales y de pensiones, y</w:t>
      </w:r>
    </w:p>
    <w:p w14:paraId="5A7FDD3B" w14:textId="77777777" w:rsidR="00786327" w:rsidRPr="00955A4C" w:rsidRDefault="00786327" w:rsidP="00126CF7">
      <w:pPr>
        <w:pStyle w:val="Prrafodelista"/>
        <w:numPr>
          <w:ilvl w:val="2"/>
          <w:numId w:val="12"/>
        </w:numPr>
        <w:spacing w:line="360" w:lineRule="auto"/>
        <w:jc w:val="both"/>
        <w:rPr>
          <w:rFonts w:eastAsia="Calibri"/>
          <w:color w:val="000000" w:themeColor="text1"/>
          <w:sz w:val="20"/>
          <w:szCs w:val="20"/>
        </w:rPr>
      </w:pPr>
      <w:r w:rsidRPr="00955A4C">
        <w:rPr>
          <w:rFonts w:eastAsia="Calibri"/>
          <w:color w:val="000000" w:themeColor="text1"/>
          <w:sz w:val="20"/>
          <w:szCs w:val="20"/>
        </w:rPr>
        <w:t>En su caso, el remanente para: Inversión pública productiva, a través del Fondo de Inversión Pública Productiva Estatal o Municipal, según sea el caso, con el fin de que los recursos correspondientes se ejerzan a más tardar en el ejercicio inmediato siguiente y el Fondo de Compensación Estatal o Municipal, según sea el caso, que tiene por objeto compensar la caída de Ingresos de libre disposición de ejercicios subsecuentes.</w:t>
      </w:r>
    </w:p>
    <w:p w14:paraId="76570848" w14:textId="77777777" w:rsidR="00786327" w:rsidRPr="00955A4C" w:rsidRDefault="00786327" w:rsidP="00786327">
      <w:pPr>
        <w:pStyle w:val="Prrafodelista"/>
        <w:spacing w:line="360" w:lineRule="auto"/>
        <w:ind w:left="1440"/>
        <w:jc w:val="both"/>
        <w:rPr>
          <w:rFonts w:eastAsia="Calibri"/>
          <w:color w:val="000000" w:themeColor="text1"/>
          <w:sz w:val="20"/>
          <w:szCs w:val="20"/>
        </w:rPr>
      </w:pPr>
    </w:p>
    <w:p w14:paraId="03E5A8EC" w14:textId="5DFC064F" w:rsidR="00786327" w:rsidRDefault="00786327" w:rsidP="00786327">
      <w:pPr>
        <w:spacing w:line="360" w:lineRule="auto"/>
        <w:jc w:val="both"/>
        <w:rPr>
          <w:rFonts w:eastAsia="Calibri"/>
          <w:color w:val="000000" w:themeColor="text1"/>
          <w:sz w:val="20"/>
          <w:szCs w:val="20"/>
        </w:rPr>
      </w:pPr>
      <w:r w:rsidRPr="00267C93">
        <w:rPr>
          <w:rFonts w:eastAsia="Calibri"/>
          <w:color w:val="000000" w:themeColor="text1"/>
          <w:sz w:val="20"/>
          <w:szCs w:val="20"/>
        </w:rPr>
        <w:t>Los ingresos excedentes podrán destinarse a los rubros mencionados sin limitación alguna, siempre y cuando el Estado se clasifique en un nivel de endeudamiento sostenible d</w:t>
      </w:r>
      <w:r>
        <w:rPr>
          <w:rFonts w:eastAsia="Calibri"/>
          <w:color w:val="000000" w:themeColor="text1"/>
          <w:sz w:val="20"/>
          <w:szCs w:val="20"/>
        </w:rPr>
        <w:t xml:space="preserve">e acuerdo </w:t>
      </w:r>
      <w:r w:rsidR="00AF4034">
        <w:rPr>
          <w:rFonts w:eastAsia="Calibri"/>
          <w:color w:val="000000" w:themeColor="text1"/>
          <w:sz w:val="20"/>
          <w:szCs w:val="20"/>
        </w:rPr>
        <w:t>con e</w:t>
      </w:r>
      <w:r>
        <w:rPr>
          <w:rFonts w:eastAsia="Calibri"/>
          <w:color w:val="000000" w:themeColor="text1"/>
          <w:sz w:val="20"/>
          <w:szCs w:val="20"/>
        </w:rPr>
        <w:t>l Sistema de Alertas.</w:t>
      </w:r>
    </w:p>
    <w:p w14:paraId="1C8E1577" w14:textId="77777777" w:rsidR="00786327" w:rsidRDefault="00786327" w:rsidP="00786327">
      <w:pPr>
        <w:spacing w:line="360" w:lineRule="auto"/>
        <w:jc w:val="both"/>
        <w:rPr>
          <w:rFonts w:eastAsia="Calibri"/>
          <w:color w:val="000000" w:themeColor="text1"/>
          <w:sz w:val="20"/>
          <w:szCs w:val="20"/>
        </w:rPr>
      </w:pPr>
    </w:p>
    <w:p w14:paraId="11DA44C2" w14:textId="77777777" w:rsidR="00786327" w:rsidRDefault="00786327" w:rsidP="00786327">
      <w:pPr>
        <w:spacing w:line="360" w:lineRule="auto"/>
        <w:jc w:val="both"/>
        <w:rPr>
          <w:rFonts w:eastAsia="Calibri"/>
          <w:color w:val="000000" w:themeColor="text1"/>
          <w:sz w:val="20"/>
          <w:szCs w:val="20"/>
        </w:rPr>
      </w:pPr>
      <w:r>
        <w:rPr>
          <w:rFonts w:eastAsia="Calibri"/>
          <w:color w:val="000000" w:themeColor="text1"/>
          <w:sz w:val="20"/>
          <w:szCs w:val="20"/>
        </w:rPr>
        <w:t>Y por la Ley de Disciplina Financiera de las Entidades Federativas y los Municipios que enuncia lo siguiente:</w:t>
      </w:r>
    </w:p>
    <w:p w14:paraId="7D8C87BC" w14:textId="3DAFCF5B" w:rsidR="00786327" w:rsidRPr="001C6AC8" w:rsidRDefault="00786327" w:rsidP="00126CF7">
      <w:pPr>
        <w:pStyle w:val="Prrafodelista"/>
        <w:numPr>
          <w:ilvl w:val="0"/>
          <w:numId w:val="13"/>
        </w:numPr>
        <w:spacing w:line="360" w:lineRule="auto"/>
        <w:jc w:val="both"/>
        <w:rPr>
          <w:rFonts w:eastAsia="Calibri"/>
          <w:color w:val="000000" w:themeColor="text1"/>
          <w:sz w:val="20"/>
          <w:szCs w:val="20"/>
        </w:rPr>
      </w:pPr>
      <w:r w:rsidRPr="001C6AC8">
        <w:rPr>
          <w:sz w:val="20"/>
          <w:szCs w:val="20"/>
        </w:rPr>
        <w:t>Cuando la Entidad Federativa se clasifique en un nivel de endeudamiento sostenible de acuerdo</w:t>
      </w:r>
      <w:r w:rsidR="00AF4034">
        <w:rPr>
          <w:sz w:val="20"/>
          <w:szCs w:val="20"/>
        </w:rPr>
        <w:t xml:space="preserve"> con e</w:t>
      </w:r>
      <w:r w:rsidRPr="001C6AC8">
        <w:rPr>
          <w:sz w:val="20"/>
          <w:szCs w:val="20"/>
        </w:rPr>
        <w:t>l Sistema de Alertas, podrá utilizar hasta un 5 por ciento de los recursos a los que se refiere el prese</w:t>
      </w:r>
      <w:r>
        <w:rPr>
          <w:sz w:val="20"/>
          <w:szCs w:val="20"/>
        </w:rPr>
        <w:t>nte artículo para cubrir Gasto C</w:t>
      </w:r>
      <w:r w:rsidRPr="001C6AC8">
        <w:rPr>
          <w:sz w:val="20"/>
          <w:szCs w:val="20"/>
        </w:rPr>
        <w:t>orriente.</w:t>
      </w:r>
    </w:p>
    <w:p w14:paraId="13403F85" w14:textId="77777777" w:rsidR="00786327" w:rsidRPr="00CD4438" w:rsidRDefault="00786327" w:rsidP="00786327">
      <w:pPr>
        <w:spacing w:line="360" w:lineRule="auto"/>
        <w:jc w:val="both"/>
        <w:rPr>
          <w:rFonts w:eastAsia="Calibri"/>
          <w:color w:val="000000" w:themeColor="text1"/>
          <w:sz w:val="10"/>
          <w:szCs w:val="10"/>
        </w:rPr>
      </w:pPr>
    </w:p>
    <w:p w14:paraId="2F33DCD9" w14:textId="5C2DA26A" w:rsidR="00525B2B" w:rsidRPr="00955A4C" w:rsidRDefault="00786327" w:rsidP="00786327">
      <w:pPr>
        <w:spacing w:line="360" w:lineRule="auto"/>
        <w:jc w:val="both"/>
        <w:rPr>
          <w:rFonts w:eastAsia="Calibri"/>
          <w:color w:val="000000" w:themeColor="text1"/>
          <w:sz w:val="20"/>
          <w:szCs w:val="20"/>
        </w:rPr>
      </w:pPr>
      <w:r w:rsidRPr="00955A4C">
        <w:rPr>
          <w:rFonts w:eastAsia="Calibri"/>
          <w:color w:val="000000" w:themeColor="text1"/>
          <w:sz w:val="20"/>
          <w:szCs w:val="20"/>
        </w:rPr>
        <w:t xml:space="preserve">Los Municipios y demás entes públicos se apegarán a la misma regla, conforme lo previsto en </w:t>
      </w:r>
      <w:r>
        <w:rPr>
          <w:rFonts w:eastAsia="Calibri"/>
          <w:color w:val="000000" w:themeColor="text1"/>
          <w:sz w:val="20"/>
          <w:szCs w:val="20"/>
        </w:rPr>
        <w:t xml:space="preserve">el Código Financiero para el Estado </w:t>
      </w:r>
      <w:r w:rsidRPr="00955A4C">
        <w:rPr>
          <w:rFonts w:eastAsia="Calibri"/>
          <w:color w:val="000000" w:themeColor="text1"/>
          <w:sz w:val="20"/>
          <w:szCs w:val="20"/>
        </w:rPr>
        <w:t xml:space="preserve">Tlaxcala </w:t>
      </w:r>
      <w:r>
        <w:rPr>
          <w:rFonts w:eastAsia="Calibri"/>
          <w:color w:val="000000" w:themeColor="text1"/>
          <w:sz w:val="20"/>
          <w:szCs w:val="20"/>
        </w:rPr>
        <w:t>y</w:t>
      </w:r>
      <w:r w:rsidRPr="00955A4C">
        <w:rPr>
          <w:rFonts w:eastAsia="Calibri"/>
          <w:color w:val="000000" w:themeColor="text1"/>
          <w:sz w:val="20"/>
          <w:szCs w:val="20"/>
        </w:rPr>
        <w:t xml:space="preserve"> sus Municipios.</w:t>
      </w:r>
    </w:p>
    <w:p w14:paraId="73AC401A" w14:textId="77777777" w:rsidR="00525B2B" w:rsidRDefault="00525B2B" w:rsidP="00525B2B">
      <w:pPr>
        <w:spacing w:line="360" w:lineRule="auto"/>
        <w:jc w:val="both"/>
        <w:rPr>
          <w:rFonts w:eastAsia="Calibri"/>
          <w:b/>
          <w:bCs/>
          <w:sz w:val="20"/>
          <w:szCs w:val="20"/>
        </w:rPr>
      </w:pPr>
    </w:p>
    <w:p w14:paraId="32242C64" w14:textId="12294A17" w:rsidR="00525B2B" w:rsidRPr="00021B2A" w:rsidRDefault="00525B2B" w:rsidP="00126CF7">
      <w:pPr>
        <w:pStyle w:val="Prrafodelista"/>
        <w:numPr>
          <w:ilvl w:val="0"/>
          <w:numId w:val="15"/>
        </w:numPr>
        <w:spacing w:line="360" w:lineRule="auto"/>
        <w:jc w:val="both"/>
        <w:rPr>
          <w:b/>
          <w:sz w:val="20"/>
          <w:szCs w:val="20"/>
        </w:rPr>
      </w:pPr>
      <w:r w:rsidRPr="00021B2A">
        <w:rPr>
          <w:rFonts w:eastAsia="Calibri"/>
          <w:b/>
          <w:bCs/>
          <w:sz w:val="20"/>
          <w:szCs w:val="20"/>
        </w:rPr>
        <w:lastRenderedPageBreak/>
        <w:t>PERSPECTIVAS ECONÓMICAS Y FISCALES DEL ESTADO DE TLAXCALA 202</w:t>
      </w:r>
      <w:r w:rsidR="00786327">
        <w:rPr>
          <w:rFonts w:eastAsia="Calibri"/>
          <w:b/>
          <w:bCs/>
          <w:sz w:val="20"/>
          <w:szCs w:val="20"/>
        </w:rPr>
        <w:t>3</w:t>
      </w:r>
      <w:r w:rsidRPr="00021B2A">
        <w:rPr>
          <w:rFonts w:eastAsia="Calibri"/>
          <w:b/>
          <w:bCs/>
          <w:sz w:val="20"/>
          <w:szCs w:val="20"/>
        </w:rPr>
        <w:t>-202</w:t>
      </w:r>
      <w:r w:rsidR="00786327">
        <w:rPr>
          <w:rFonts w:eastAsia="Calibri"/>
          <w:b/>
          <w:bCs/>
          <w:sz w:val="20"/>
          <w:szCs w:val="20"/>
        </w:rPr>
        <w:t>8</w:t>
      </w:r>
      <w:r w:rsidRPr="00021B2A">
        <w:rPr>
          <w:rFonts w:eastAsia="Calibri"/>
          <w:b/>
          <w:bCs/>
          <w:sz w:val="20"/>
          <w:szCs w:val="20"/>
        </w:rPr>
        <w:t>.</w:t>
      </w:r>
    </w:p>
    <w:p w14:paraId="30C7D76A" w14:textId="77777777" w:rsidR="00525B2B" w:rsidRPr="00CD4438" w:rsidRDefault="00525B2B" w:rsidP="00525B2B">
      <w:pPr>
        <w:spacing w:line="360" w:lineRule="auto"/>
        <w:jc w:val="both"/>
        <w:rPr>
          <w:sz w:val="10"/>
          <w:szCs w:val="10"/>
        </w:rPr>
      </w:pPr>
    </w:p>
    <w:p w14:paraId="18A1B3C5" w14:textId="77777777" w:rsidR="00786327" w:rsidRDefault="00786327" w:rsidP="00786327">
      <w:pPr>
        <w:spacing w:line="360" w:lineRule="auto"/>
        <w:jc w:val="both"/>
        <w:rPr>
          <w:sz w:val="20"/>
          <w:szCs w:val="20"/>
        </w:rPr>
      </w:pPr>
      <w:r w:rsidRPr="00955A4C">
        <w:rPr>
          <w:sz w:val="20"/>
          <w:szCs w:val="20"/>
        </w:rPr>
        <w:t>El Paquete Económico para</w:t>
      </w:r>
      <w:r>
        <w:rPr>
          <w:sz w:val="20"/>
          <w:szCs w:val="20"/>
        </w:rPr>
        <w:t xml:space="preserve"> el Ejercicio Fiscal</w:t>
      </w:r>
      <w:r w:rsidRPr="00955A4C">
        <w:rPr>
          <w:sz w:val="20"/>
          <w:szCs w:val="20"/>
        </w:rPr>
        <w:t xml:space="preserve"> 202</w:t>
      </w:r>
      <w:r>
        <w:rPr>
          <w:sz w:val="20"/>
          <w:szCs w:val="20"/>
        </w:rPr>
        <w:t>3</w:t>
      </w:r>
      <w:r w:rsidRPr="00955A4C">
        <w:rPr>
          <w:sz w:val="20"/>
          <w:szCs w:val="20"/>
        </w:rPr>
        <w:t xml:space="preserve"> puesto a consideración de esta </w:t>
      </w:r>
      <w:r>
        <w:rPr>
          <w:sz w:val="20"/>
          <w:szCs w:val="20"/>
        </w:rPr>
        <w:t>Legislatura</w:t>
      </w:r>
      <w:r w:rsidRPr="00955A4C">
        <w:rPr>
          <w:sz w:val="20"/>
          <w:szCs w:val="20"/>
        </w:rPr>
        <w:t>, refleja el compromiso del Ejecutivo del Estado</w:t>
      </w:r>
      <w:r>
        <w:rPr>
          <w:sz w:val="20"/>
          <w:szCs w:val="20"/>
        </w:rPr>
        <w:t xml:space="preserve"> en cuatro bases que sostienen la reforma Administrativa:</w:t>
      </w:r>
    </w:p>
    <w:p w14:paraId="0E7A3DDF" w14:textId="77777777" w:rsidR="00786327" w:rsidRDefault="00786327" w:rsidP="00786327">
      <w:pPr>
        <w:spacing w:line="360" w:lineRule="auto"/>
        <w:jc w:val="both"/>
        <w:rPr>
          <w:sz w:val="20"/>
          <w:szCs w:val="20"/>
        </w:rPr>
      </w:pPr>
    </w:p>
    <w:p w14:paraId="02A45B6C" w14:textId="77777777" w:rsidR="00786327" w:rsidRDefault="00786327" w:rsidP="00126CF7">
      <w:pPr>
        <w:pStyle w:val="Prrafodelista"/>
        <w:numPr>
          <w:ilvl w:val="0"/>
          <w:numId w:val="8"/>
        </w:numPr>
        <w:spacing w:line="360" w:lineRule="auto"/>
        <w:jc w:val="both"/>
        <w:rPr>
          <w:sz w:val="20"/>
          <w:szCs w:val="20"/>
        </w:rPr>
      </w:pPr>
      <w:r>
        <w:rPr>
          <w:sz w:val="20"/>
          <w:szCs w:val="20"/>
        </w:rPr>
        <w:t>Adopción del valor de austeridad en el quehacer público por lo que ocasionará una reducción del gasto público.</w:t>
      </w:r>
    </w:p>
    <w:p w14:paraId="7653F5AE" w14:textId="77777777" w:rsidR="00786327" w:rsidRDefault="00786327" w:rsidP="00126CF7">
      <w:pPr>
        <w:pStyle w:val="Prrafodelista"/>
        <w:numPr>
          <w:ilvl w:val="0"/>
          <w:numId w:val="8"/>
        </w:numPr>
        <w:spacing w:line="360" w:lineRule="auto"/>
        <w:jc w:val="both"/>
        <w:rPr>
          <w:sz w:val="20"/>
          <w:szCs w:val="20"/>
        </w:rPr>
      </w:pPr>
      <w:r>
        <w:rPr>
          <w:sz w:val="20"/>
          <w:szCs w:val="20"/>
        </w:rPr>
        <w:t>Combate a la corrupción para promover el desarrollo de la entidad.</w:t>
      </w:r>
    </w:p>
    <w:p w14:paraId="0E04FDF1" w14:textId="77777777" w:rsidR="00786327" w:rsidRDefault="00786327" w:rsidP="00126CF7">
      <w:pPr>
        <w:pStyle w:val="Prrafodelista"/>
        <w:numPr>
          <w:ilvl w:val="0"/>
          <w:numId w:val="8"/>
        </w:numPr>
        <w:spacing w:line="360" w:lineRule="auto"/>
        <w:jc w:val="both"/>
        <w:rPr>
          <w:sz w:val="20"/>
          <w:szCs w:val="20"/>
        </w:rPr>
      </w:pPr>
      <w:r>
        <w:rPr>
          <w:sz w:val="20"/>
          <w:szCs w:val="20"/>
        </w:rPr>
        <w:t>Centralización de funciones para eficientar la Administración Pública.</w:t>
      </w:r>
    </w:p>
    <w:p w14:paraId="708EB5FA" w14:textId="77777777" w:rsidR="00786327" w:rsidRPr="00496013" w:rsidRDefault="00786327" w:rsidP="00126CF7">
      <w:pPr>
        <w:pStyle w:val="Prrafodelista"/>
        <w:numPr>
          <w:ilvl w:val="0"/>
          <w:numId w:val="8"/>
        </w:numPr>
        <w:spacing w:line="360" w:lineRule="auto"/>
        <w:jc w:val="both"/>
        <w:rPr>
          <w:sz w:val="20"/>
          <w:szCs w:val="20"/>
        </w:rPr>
      </w:pPr>
      <w:r>
        <w:rPr>
          <w:sz w:val="20"/>
          <w:szCs w:val="20"/>
        </w:rPr>
        <w:t>La administración pública ejercida sobre la base de los derechos humanos.</w:t>
      </w:r>
    </w:p>
    <w:p w14:paraId="2DE83733" w14:textId="77777777" w:rsidR="00786327" w:rsidRPr="00955A4C" w:rsidRDefault="00786327" w:rsidP="00786327">
      <w:pPr>
        <w:spacing w:line="360" w:lineRule="auto"/>
        <w:jc w:val="both"/>
        <w:rPr>
          <w:sz w:val="20"/>
          <w:szCs w:val="20"/>
        </w:rPr>
      </w:pPr>
    </w:p>
    <w:p w14:paraId="5111A43C" w14:textId="7FF86AC9" w:rsidR="00525B2B" w:rsidRDefault="00786327" w:rsidP="00786327">
      <w:pPr>
        <w:spacing w:line="360" w:lineRule="auto"/>
        <w:jc w:val="both"/>
        <w:rPr>
          <w:sz w:val="20"/>
          <w:szCs w:val="20"/>
        </w:rPr>
      </w:pPr>
      <w:r w:rsidRPr="00955A4C">
        <w:rPr>
          <w:sz w:val="20"/>
          <w:szCs w:val="20"/>
        </w:rPr>
        <w:t xml:space="preserve">La Secretaría de Hacienda y Crédito Público estima que durante </w:t>
      </w:r>
      <w:r>
        <w:rPr>
          <w:sz w:val="20"/>
          <w:szCs w:val="20"/>
        </w:rPr>
        <w:t xml:space="preserve">el ejercicio fiscal </w:t>
      </w:r>
      <w:r w:rsidRPr="00955A4C">
        <w:rPr>
          <w:sz w:val="20"/>
          <w:szCs w:val="20"/>
        </w:rPr>
        <w:t>202</w:t>
      </w:r>
      <w:r>
        <w:rPr>
          <w:sz w:val="20"/>
          <w:szCs w:val="20"/>
        </w:rPr>
        <w:t>3</w:t>
      </w:r>
      <w:r w:rsidRPr="00955A4C">
        <w:rPr>
          <w:sz w:val="20"/>
          <w:szCs w:val="20"/>
        </w:rPr>
        <w:t xml:space="preserve"> el PIB de México registrará un crecimi</w:t>
      </w:r>
      <w:r>
        <w:rPr>
          <w:sz w:val="20"/>
          <w:szCs w:val="20"/>
        </w:rPr>
        <w:t>ento real 3.0%</w:t>
      </w:r>
      <w:r w:rsidRPr="00955A4C">
        <w:rPr>
          <w:sz w:val="20"/>
          <w:szCs w:val="20"/>
        </w:rPr>
        <w:t>.</w:t>
      </w:r>
    </w:p>
    <w:p w14:paraId="782CEBD6" w14:textId="6E6057FE" w:rsidR="00786327" w:rsidRDefault="00786327" w:rsidP="00786327">
      <w:pPr>
        <w:spacing w:line="360" w:lineRule="auto"/>
        <w:jc w:val="center"/>
        <w:rPr>
          <w:sz w:val="20"/>
          <w:szCs w:val="20"/>
        </w:rPr>
      </w:pPr>
      <w:r>
        <w:rPr>
          <w:noProof/>
          <w:lang w:val="es-MX" w:eastAsia="es-MX"/>
        </w:rPr>
        <w:drawing>
          <wp:inline distT="0" distB="0" distL="0" distR="0" wp14:anchorId="011C90CE" wp14:editId="7E043727">
            <wp:extent cx="4010025" cy="2832478"/>
            <wp:effectExtent l="0" t="0" r="0" b="63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8004" t="25649" r="29226" b="20639"/>
                    <a:stretch/>
                  </pic:blipFill>
                  <pic:spPr bwMode="auto">
                    <a:xfrm>
                      <a:off x="0" y="0"/>
                      <a:ext cx="4024193" cy="2842485"/>
                    </a:xfrm>
                    <a:prstGeom prst="rect">
                      <a:avLst/>
                    </a:prstGeom>
                    <a:ln>
                      <a:noFill/>
                    </a:ln>
                    <a:extLst>
                      <a:ext uri="{53640926-AAD7-44D8-BBD7-CCE9431645EC}">
                        <a14:shadowObscured xmlns:a14="http://schemas.microsoft.com/office/drawing/2010/main"/>
                      </a:ext>
                    </a:extLst>
                  </pic:spPr>
                </pic:pic>
              </a:graphicData>
            </a:graphic>
          </wp:inline>
        </w:drawing>
      </w:r>
    </w:p>
    <w:p w14:paraId="30403B04" w14:textId="3DC6B7B8" w:rsidR="00786327" w:rsidRDefault="00786327" w:rsidP="00786327">
      <w:pPr>
        <w:spacing w:line="360" w:lineRule="auto"/>
        <w:jc w:val="both"/>
        <w:rPr>
          <w:sz w:val="20"/>
          <w:szCs w:val="20"/>
        </w:rPr>
      </w:pPr>
      <w:r>
        <w:rPr>
          <w:sz w:val="20"/>
          <w:szCs w:val="20"/>
        </w:rPr>
        <w:t xml:space="preserve">Con base </w:t>
      </w:r>
      <w:r w:rsidR="00CD4438">
        <w:rPr>
          <w:sz w:val="20"/>
          <w:szCs w:val="20"/>
        </w:rPr>
        <w:t>en el</w:t>
      </w:r>
      <w:r>
        <w:rPr>
          <w:sz w:val="20"/>
          <w:szCs w:val="20"/>
        </w:rPr>
        <w:t xml:space="preserve"> cuadro anterior, se puede observar que se </w:t>
      </w:r>
      <w:r w:rsidRPr="00164D97">
        <w:rPr>
          <w:sz w:val="20"/>
          <w:szCs w:val="20"/>
        </w:rPr>
        <w:t>estima que en el periodo 202</w:t>
      </w:r>
      <w:r>
        <w:rPr>
          <w:sz w:val="20"/>
          <w:szCs w:val="20"/>
        </w:rPr>
        <w:t>2</w:t>
      </w:r>
      <w:r w:rsidRPr="00164D97">
        <w:rPr>
          <w:sz w:val="20"/>
          <w:szCs w:val="20"/>
        </w:rPr>
        <w:t>-202</w:t>
      </w:r>
      <w:r>
        <w:rPr>
          <w:sz w:val="20"/>
          <w:szCs w:val="20"/>
        </w:rPr>
        <w:t>8</w:t>
      </w:r>
      <w:r w:rsidRPr="00164D97">
        <w:rPr>
          <w:sz w:val="20"/>
          <w:szCs w:val="20"/>
        </w:rPr>
        <w:t xml:space="preserve"> el PIB de México registre un crecimiento real anual de entre </w:t>
      </w:r>
      <w:r>
        <w:rPr>
          <w:sz w:val="20"/>
          <w:szCs w:val="20"/>
        </w:rPr>
        <w:t>1.9%</w:t>
      </w:r>
      <w:r w:rsidRPr="00164D97">
        <w:rPr>
          <w:sz w:val="20"/>
          <w:szCs w:val="20"/>
        </w:rPr>
        <w:t xml:space="preserve"> y </w:t>
      </w:r>
      <w:r>
        <w:rPr>
          <w:sz w:val="20"/>
          <w:szCs w:val="20"/>
        </w:rPr>
        <w:t>2.9%</w:t>
      </w:r>
      <w:r w:rsidRPr="00164D97">
        <w:rPr>
          <w:sz w:val="20"/>
          <w:szCs w:val="20"/>
        </w:rPr>
        <w:t>. Específicamente, la estimación puntual del crecimiento del PIB para 202</w:t>
      </w:r>
      <w:r>
        <w:rPr>
          <w:sz w:val="20"/>
          <w:szCs w:val="20"/>
        </w:rPr>
        <w:t>4 en adelante</w:t>
      </w:r>
      <w:r w:rsidRPr="00164D97">
        <w:rPr>
          <w:sz w:val="20"/>
          <w:szCs w:val="20"/>
        </w:rPr>
        <w:t xml:space="preserve"> se ubica en </w:t>
      </w:r>
      <w:r>
        <w:rPr>
          <w:sz w:val="20"/>
          <w:szCs w:val="20"/>
        </w:rPr>
        <w:t>2.4%</w:t>
      </w:r>
      <w:r w:rsidRPr="00164D97">
        <w:rPr>
          <w:sz w:val="20"/>
          <w:szCs w:val="20"/>
        </w:rPr>
        <w:t xml:space="preserve">. </w:t>
      </w:r>
    </w:p>
    <w:p w14:paraId="2B24D209" w14:textId="77777777" w:rsidR="00786327" w:rsidRPr="00CD4438" w:rsidRDefault="00786327" w:rsidP="00786327">
      <w:pPr>
        <w:spacing w:line="360" w:lineRule="auto"/>
        <w:jc w:val="both"/>
        <w:rPr>
          <w:sz w:val="10"/>
          <w:szCs w:val="10"/>
        </w:rPr>
      </w:pPr>
    </w:p>
    <w:p w14:paraId="37D0A76E" w14:textId="1CB2BD76" w:rsidR="00786327" w:rsidRDefault="00786327" w:rsidP="00786327">
      <w:pPr>
        <w:spacing w:line="360" w:lineRule="auto"/>
        <w:jc w:val="both"/>
        <w:rPr>
          <w:sz w:val="20"/>
          <w:szCs w:val="20"/>
        </w:rPr>
      </w:pPr>
      <w:r w:rsidRPr="00955A4C">
        <w:rPr>
          <w:sz w:val="20"/>
          <w:szCs w:val="20"/>
        </w:rPr>
        <w:t>En el siguiente cuadro se presentan las perspectivas de finanzas públicas de mediano plazo para el Estado de Tlaxcala.</w:t>
      </w:r>
    </w:p>
    <w:p w14:paraId="3CD885FC" w14:textId="45A73EBC" w:rsidR="009C2AB9" w:rsidRDefault="00786327" w:rsidP="00CD4438">
      <w:pPr>
        <w:spacing w:line="360" w:lineRule="auto"/>
        <w:jc w:val="both"/>
        <w:rPr>
          <w:rFonts w:eastAsia="Calibri"/>
          <w:b/>
          <w:bCs/>
          <w:sz w:val="20"/>
          <w:szCs w:val="20"/>
        </w:rPr>
      </w:pPr>
      <w:r w:rsidRPr="004E0EBD">
        <w:rPr>
          <w:noProof/>
          <w:lang w:val="es-MX" w:eastAsia="es-MX"/>
        </w:rPr>
        <w:lastRenderedPageBreak/>
        <w:drawing>
          <wp:inline distT="0" distB="0" distL="0" distR="0" wp14:anchorId="4E024E3F" wp14:editId="3A7F6DE2">
            <wp:extent cx="4583777" cy="6076950"/>
            <wp:effectExtent l="0" t="0" r="762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95838" cy="6092940"/>
                    </a:xfrm>
                    <a:prstGeom prst="rect">
                      <a:avLst/>
                    </a:prstGeom>
                    <a:noFill/>
                    <a:ln>
                      <a:noFill/>
                    </a:ln>
                  </pic:spPr>
                </pic:pic>
              </a:graphicData>
            </a:graphic>
          </wp:inline>
        </w:drawing>
      </w:r>
    </w:p>
    <w:p w14:paraId="3AFD0617" w14:textId="6BD74755" w:rsidR="00525B2B" w:rsidRPr="00021B2A" w:rsidRDefault="00525B2B" w:rsidP="00126CF7">
      <w:pPr>
        <w:pStyle w:val="Prrafodelista"/>
        <w:numPr>
          <w:ilvl w:val="0"/>
          <w:numId w:val="15"/>
        </w:numPr>
        <w:spacing w:line="360" w:lineRule="auto"/>
        <w:jc w:val="both"/>
        <w:rPr>
          <w:rFonts w:eastAsia="Calibri"/>
          <w:b/>
          <w:bCs/>
          <w:sz w:val="20"/>
          <w:szCs w:val="20"/>
        </w:rPr>
      </w:pPr>
      <w:r w:rsidRPr="00021B2A">
        <w:rPr>
          <w:rFonts w:eastAsia="Calibri"/>
          <w:b/>
          <w:bCs/>
          <w:sz w:val="20"/>
          <w:szCs w:val="20"/>
        </w:rPr>
        <w:t>RIESGOS FISCALES</w:t>
      </w:r>
    </w:p>
    <w:p w14:paraId="17DF82BD" w14:textId="77777777" w:rsidR="00525B2B" w:rsidRPr="00955A4C" w:rsidRDefault="00525B2B" w:rsidP="00525B2B">
      <w:pPr>
        <w:spacing w:line="360" w:lineRule="auto"/>
        <w:jc w:val="both"/>
        <w:rPr>
          <w:rFonts w:eastAsia="Calibri"/>
          <w:b/>
          <w:bCs/>
          <w:sz w:val="20"/>
          <w:szCs w:val="20"/>
        </w:rPr>
      </w:pPr>
    </w:p>
    <w:p w14:paraId="01D1DCA1" w14:textId="198DB269" w:rsidR="00836AD0" w:rsidRPr="00A440FD" w:rsidRDefault="00836AD0" w:rsidP="00836AD0">
      <w:pPr>
        <w:spacing w:line="360" w:lineRule="auto"/>
        <w:jc w:val="both"/>
        <w:rPr>
          <w:sz w:val="20"/>
          <w:szCs w:val="20"/>
        </w:rPr>
      </w:pPr>
      <w:r w:rsidRPr="00A440FD">
        <w:rPr>
          <w:sz w:val="20"/>
          <w:szCs w:val="20"/>
        </w:rPr>
        <w:t>Los riesgos fiscales de largo plazo para l</w:t>
      </w:r>
      <w:r w:rsidR="002A41F8">
        <w:rPr>
          <w:sz w:val="20"/>
          <w:szCs w:val="20"/>
        </w:rPr>
        <w:t>as finanzas públicas del Estado</w:t>
      </w:r>
      <w:r w:rsidRPr="00A440FD">
        <w:rPr>
          <w:sz w:val="20"/>
          <w:szCs w:val="20"/>
        </w:rPr>
        <w:t xml:space="preserve"> se pueden definir como obligaciones no transitorias, cuya dinámica depende, entre otros, del desempeño de las variables macroeconómicas en el corto plazo.</w:t>
      </w:r>
    </w:p>
    <w:p w14:paraId="6B09BA44" w14:textId="77777777" w:rsidR="00836AD0" w:rsidRPr="00A440FD" w:rsidRDefault="00836AD0" w:rsidP="00836AD0">
      <w:pPr>
        <w:spacing w:line="360" w:lineRule="auto"/>
        <w:jc w:val="both"/>
        <w:rPr>
          <w:sz w:val="20"/>
          <w:szCs w:val="20"/>
        </w:rPr>
      </w:pPr>
    </w:p>
    <w:p w14:paraId="6F3BC23B" w14:textId="77777777" w:rsidR="00836AD0" w:rsidRPr="00A440FD" w:rsidRDefault="00836AD0" w:rsidP="00836AD0">
      <w:pPr>
        <w:spacing w:line="360" w:lineRule="auto"/>
        <w:jc w:val="both"/>
        <w:rPr>
          <w:sz w:val="20"/>
          <w:szCs w:val="20"/>
        </w:rPr>
      </w:pPr>
      <w:r w:rsidRPr="00A440FD">
        <w:rPr>
          <w:sz w:val="20"/>
          <w:szCs w:val="20"/>
        </w:rPr>
        <w:lastRenderedPageBreak/>
        <w:t>Para poder garantizar la estabilidad macroeconómica y la sostenibilidad de las finanzas públicas, incluso en escenarios extremos con poca probabilidad de concurrencia, el Gobierno Estatal diseña e implementa la política económica y fiscal bajo un esquema de prevención de riesgos de corto plazo.</w:t>
      </w:r>
      <w:r w:rsidRPr="00A440FD">
        <w:rPr>
          <w:sz w:val="20"/>
          <w:szCs w:val="20"/>
        </w:rPr>
        <w:cr/>
      </w:r>
    </w:p>
    <w:p w14:paraId="62974831" w14:textId="77777777" w:rsidR="00836AD0" w:rsidRPr="00A440FD" w:rsidRDefault="00836AD0" w:rsidP="00836AD0">
      <w:pPr>
        <w:spacing w:line="360" w:lineRule="auto"/>
        <w:jc w:val="both"/>
        <w:rPr>
          <w:sz w:val="20"/>
          <w:szCs w:val="20"/>
        </w:rPr>
      </w:pPr>
      <w:r w:rsidRPr="00A440FD">
        <w:rPr>
          <w:sz w:val="20"/>
          <w:szCs w:val="20"/>
        </w:rPr>
        <w:t>Las estimaciones de finanzas públicas para el siguiente año se realizan con un marco macroeconómico prudente que incorpora la recuperación económica observada desde la tercera mitad de 2020, las perspectivas de crecimiento para 2022 y la evolución de la pandemia.</w:t>
      </w:r>
    </w:p>
    <w:p w14:paraId="60B97C41" w14:textId="77777777" w:rsidR="00836AD0" w:rsidRPr="00A440FD" w:rsidRDefault="00836AD0" w:rsidP="00836AD0">
      <w:pPr>
        <w:spacing w:line="360" w:lineRule="auto"/>
        <w:jc w:val="both"/>
        <w:rPr>
          <w:sz w:val="20"/>
          <w:szCs w:val="20"/>
        </w:rPr>
      </w:pPr>
    </w:p>
    <w:p w14:paraId="46E0BE80" w14:textId="77777777" w:rsidR="00836AD0" w:rsidRDefault="00836AD0" w:rsidP="00836AD0">
      <w:pPr>
        <w:spacing w:line="360" w:lineRule="auto"/>
        <w:jc w:val="both"/>
        <w:rPr>
          <w:sz w:val="20"/>
          <w:szCs w:val="20"/>
        </w:rPr>
      </w:pPr>
      <w:r w:rsidRPr="00A440FD">
        <w:rPr>
          <w:sz w:val="20"/>
          <w:szCs w:val="20"/>
        </w:rPr>
        <w:t>Existen factores que pudieran afectar las finanzas públicas y que, por su naturaleza, podrían ser difíciles de anticipar. Por ello, el Gobierno Federal cuenta con un conjunto de amortiguadores fiscales con la finalidad de disminuir el impacto que pudieran tener éstos sobre las finanzas públicas del país, entre los cuales destacan:</w:t>
      </w:r>
    </w:p>
    <w:p w14:paraId="7859DE21" w14:textId="77777777" w:rsidR="00C0167B" w:rsidRPr="00A440FD" w:rsidRDefault="00C0167B" w:rsidP="00836AD0">
      <w:pPr>
        <w:spacing w:line="360" w:lineRule="auto"/>
        <w:jc w:val="both"/>
        <w:rPr>
          <w:sz w:val="20"/>
          <w:szCs w:val="20"/>
        </w:rPr>
      </w:pPr>
    </w:p>
    <w:p w14:paraId="36F91C20" w14:textId="77777777" w:rsidR="00836AD0" w:rsidRPr="00A440FD" w:rsidRDefault="00836AD0" w:rsidP="00126CF7">
      <w:pPr>
        <w:pStyle w:val="Prrafodelista"/>
        <w:numPr>
          <w:ilvl w:val="0"/>
          <w:numId w:val="5"/>
        </w:numPr>
        <w:spacing w:line="360" w:lineRule="auto"/>
        <w:jc w:val="both"/>
        <w:rPr>
          <w:sz w:val="20"/>
          <w:szCs w:val="20"/>
        </w:rPr>
      </w:pPr>
      <w:r w:rsidRPr="00A440FD">
        <w:rPr>
          <w:sz w:val="20"/>
          <w:szCs w:val="20"/>
        </w:rPr>
        <w:t>Una estrategia de coberturas petroleras para cubrir al 100% la exposición de los ingresos del Gobierno Federal ante reducciones en los precios del crudo;</w:t>
      </w:r>
    </w:p>
    <w:p w14:paraId="0DB8D97C" w14:textId="77777777" w:rsidR="00836AD0" w:rsidRPr="00A440FD" w:rsidRDefault="00836AD0" w:rsidP="00126CF7">
      <w:pPr>
        <w:pStyle w:val="Prrafodelista"/>
        <w:numPr>
          <w:ilvl w:val="0"/>
          <w:numId w:val="5"/>
        </w:numPr>
        <w:spacing w:line="360" w:lineRule="auto"/>
        <w:jc w:val="both"/>
        <w:rPr>
          <w:sz w:val="20"/>
          <w:szCs w:val="20"/>
        </w:rPr>
      </w:pPr>
      <w:r w:rsidRPr="00A440FD">
        <w:rPr>
          <w:sz w:val="20"/>
          <w:szCs w:val="20"/>
        </w:rPr>
        <w:t>La Línea de Crédito Flexible aprobada por el FMI para hacer frente a un posible entorno económico adverso por un total de alrededor de 63.3 mmd (esto equivale a 44.5635 miles de millones de Derechos Especiales de Giro) para enfrentar un posible entorno económico adverso;</w:t>
      </w:r>
    </w:p>
    <w:p w14:paraId="077C2611" w14:textId="77777777" w:rsidR="00836AD0" w:rsidRPr="00A440FD" w:rsidRDefault="00836AD0" w:rsidP="00126CF7">
      <w:pPr>
        <w:pStyle w:val="Prrafodelista"/>
        <w:numPr>
          <w:ilvl w:val="0"/>
          <w:numId w:val="5"/>
        </w:numPr>
        <w:spacing w:line="360" w:lineRule="auto"/>
        <w:jc w:val="both"/>
        <w:rPr>
          <w:sz w:val="20"/>
          <w:szCs w:val="20"/>
        </w:rPr>
      </w:pPr>
      <w:r w:rsidRPr="00A440FD">
        <w:rPr>
          <w:sz w:val="20"/>
          <w:szCs w:val="20"/>
        </w:rPr>
        <w:t xml:space="preserve">Línea swap con la FED por 60 mmd; </w:t>
      </w:r>
    </w:p>
    <w:p w14:paraId="40CD209C" w14:textId="77777777" w:rsidR="00836AD0" w:rsidRPr="00A440FD" w:rsidRDefault="00836AD0" w:rsidP="00126CF7">
      <w:pPr>
        <w:pStyle w:val="Prrafodelista"/>
        <w:numPr>
          <w:ilvl w:val="0"/>
          <w:numId w:val="5"/>
        </w:numPr>
        <w:spacing w:line="360" w:lineRule="auto"/>
        <w:jc w:val="both"/>
        <w:rPr>
          <w:sz w:val="20"/>
          <w:szCs w:val="20"/>
        </w:rPr>
      </w:pPr>
      <w:r w:rsidRPr="00A440FD">
        <w:rPr>
          <w:sz w:val="20"/>
          <w:szCs w:val="20"/>
        </w:rPr>
        <w:t>Línea swap con el Tesoro de los EEUU por 9 mmd;</w:t>
      </w:r>
    </w:p>
    <w:p w14:paraId="1868D0A0" w14:textId="77777777" w:rsidR="00836AD0" w:rsidRPr="00A440FD" w:rsidRDefault="00836AD0" w:rsidP="00126CF7">
      <w:pPr>
        <w:pStyle w:val="Prrafodelista"/>
        <w:numPr>
          <w:ilvl w:val="0"/>
          <w:numId w:val="5"/>
        </w:numPr>
        <w:spacing w:line="360" w:lineRule="auto"/>
        <w:jc w:val="both"/>
        <w:rPr>
          <w:sz w:val="20"/>
          <w:szCs w:val="20"/>
        </w:rPr>
      </w:pPr>
      <w:r w:rsidRPr="00A440FD">
        <w:rPr>
          <w:sz w:val="20"/>
          <w:szCs w:val="20"/>
        </w:rPr>
        <w:t>Reservas internacionales por 199,314 mmd a agosto de 2021;</w:t>
      </w:r>
    </w:p>
    <w:p w14:paraId="08183656" w14:textId="77777777" w:rsidR="00836AD0" w:rsidRPr="00A440FD" w:rsidRDefault="00836AD0" w:rsidP="00126CF7">
      <w:pPr>
        <w:pStyle w:val="Prrafodelista"/>
        <w:numPr>
          <w:ilvl w:val="0"/>
          <w:numId w:val="5"/>
        </w:numPr>
        <w:spacing w:line="360" w:lineRule="auto"/>
        <w:jc w:val="both"/>
        <w:rPr>
          <w:sz w:val="20"/>
          <w:szCs w:val="20"/>
        </w:rPr>
      </w:pPr>
      <w:r w:rsidRPr="00A440FD">
        <w:rPr>
          <w:sz w:val="20"/>
          <w:szCs w:val="20"/>
        </w:rPr>
        <w:t>La flexibilidad cambiaria que permite absorber choques externos;</w:t>
      </w:r>
    </w:p>
    <w:p w14:paraId="23E93B2A" w14:textId="77777777" w:rsidR="00836AD0" w:rsidRPr="00A440FD" w:rsidRDefault="00836AD0" w:rsidP="00126CF7">
      <w:pPr>
        <w:pStyle w:val="Prrafodelista"/>
        <w:numPr>
          <w:ilvl w:val="0"/>
          <w:numId w:val="5"/>
        </w:numPr>
        <w:spacing w:line="360" w:lineRule="auto"/>
        <w:jc w:val="both"/>
        <w:rPr>
          <w:sz w:val="20"/>
          <w:szCs w:val="20"/>
        </w:rPr>
      </w:pPr>
      <w:r w:rsidRPr="00A440FD">
        <w:rPr>
          <w:sz w:val="20"/>
          <w:szCs w:val="20"/>
        </w:rPr>
        <w:t>Una composición de la deuda pública principalmente en moneda nacional y a tasa fija que permite hacer frente a riesgos de tipo de cambio, tasas de interés y refinanciamiento. Al cierre de julio, 77.1% de la deuda del Gobierno Federal se encontraba en moneda nacional y de esta el 81.0% de los valores gubernamentales se encuentra a tasa fija y largo plazo. En lo que respecta a la deuda externa el 100% se encuentra a tasa fija;</w:t>
      </w:r>
    </w:p>
    <w:p w14:paraId="458F7D65" w14:textId="77777777" w:rsidR="00836AD0" w:rsidRPr="00A440FD" w:rsidRDefault="00836AD0" w:rsidP="00126CF7">
      <w:pPr>
        <w:pStyle w:val="Prrafodelista"/>
        <w:numPr>
          <w:ilvl w:val="0"/>
          <w:numId w:val="5"/>
        </w:numPr>
        <w:spacing w:line="360" w:lineRule="auto"/>
        <w:jc w:val="both"/>
        <w:rPr>
          <w:sz w:val="20"/>
          <w:szCs w:val="20"/>
        </w:rPr>
      </w:pPr>
      <w:r w:rsidRPr="00A440FD">
        <w:rPr>
          <w:sz w:val="20"/>
          <w:szCs w:val="20"/>
        </w:rPr>
        <w:t>Un seguro catastrófico con cobertura de hasta por 5 mil millones de pesos, el cual se activa cuando el daño por desastres naturales supere los 275 millones de pesos y un acumulable de 750 millones de pesos. La vigencia del seguro es del 5 de julio de 2021 al 5 de julio de 2023;</w:t>
      </w:r>
    </w:p>
    <w:p w14:paraId="2CCA5BF1" w14:textId="77777777" w:rsidR="00836AD0" w:rsidRPr="00A440FD" w:rsidRDefault="00836AD0" w:rsidP="00126CF7">
      <w:pPr>
        <w:pStyle w:val="Prrafodelista"/>
        <w:numPr>
          <w:ilvl w:val="0"/>
          <w:numId w:val="5"/>
        </w:numPr>
        <w:spacing w:line="360" w:lineRule="auto"/>
        <w:jc w:val="both"/>
        <w:rPr>
          <w:sz w:val="20"/>
          <w:szCs w:val="20"/>
        </w:rPr>
      </w:pPr>
      <w:r w:rsidRPr="00A440FD">
        <w:rPr>
          <w:sz w:val="20"/>
          <w:szCs w:val="20"/>
        </w:rPr>
        <w:t>Un bono catastrófico vigente hasta marzo de 2024 por 485 millones de dólares con cobertura contra sismos de diferentes magnitudes y ciclones tropicales.</w:t>
      </w:r>
    </w:p>
    <w:p w14:paraId="6A35F4A1" w14:textId="77777777" w:rsidR="00836AD0" w:rsidRPr="00A440FD" w:rsidRDefault="00836AD0" w:rsidP="00836AD0">
      <w:pPr>
        <w:spacing w:line="360" w:lineRule="auto"/>
        <w:jc w:val="both"/>
        <w:rPr>
          <w:sz w:val="20"/>
          <w:szCs w:val="20"/>
        </w:rPr>
      </w:pPr>
    </w:p>
    <w:p w14:paraId="32F6BAA7" w14:textId="77777777" w:rsidR="00836AD0" w:rsidRPr="00A440FD" w:rsidRDefault="00836AD0" w:rsidP="00836AD0">
      <w:pPr>
        <w:spacing w:line="360" w:lineRule="auto"/>
        <w:jc w:val="both"/>
        <w:rPr>
          <w:rFonts w:eastAsia="Calibri"/>
          <w:sz w:val="20"/>
          <w:szCs w:val="20"/>
        </w:rPr>
      </w:pPr>
      <w:r w:rsidRPr="00A440FD">
        <w:rPr>
          <w:rFonts w:eastAsia="Calibri"/>
          <w:sz w:val="20"/>
          <w:szCs w:val="20"/>
        </w:rPr>
        <w:lastRenderedPageBreak/>
        <w:t>Sin embargo, el marco macroeconómico de mediano plazo está sujeto a riesgos que podrían modificar las trayectorias estimadas. Entre los factores que pueden generar un entorno más benéfico se encuentran: 1) aumentos en la productividad de factores y la formalidad por la implementación de políticas públicas; 2) mejoras en el marco regulatorio y la competencia económica en sectores con alta concentración; 3) la integración comercial como parte de la resolución favorable de acuerdos y el aumento en el contenido nacional de nuestras exportaciones.</w:t>
      </w:r>
    </w:p>
    <w:p w14:paraId="3E635D4D" w14:textId="77777777" w:rsidR="00836AD0" w:rsidRPr="00A440FD" w:rsidRDefault="00836AD0" w:rsidP="00836AD0">
      <w:pPr>
        <w:spacing w:line="360" w:lineRule="auto"/>
        <w:jc w:val="both"/>
        <w:rPr>
          <w:rFonts w:eastAsia="Calibri"/>
          <w:sz w:val="20"/>
          <w:szCs w:val="20"/>
        </w:rPr>
      </w:pPr>
    </w:p>
    <w:p w14:paraId="04FF3B80" w14:textId="77777777" w:rsidR="00836AD0" w:rsidRPr="00A440FD" w:rsidRDefault="00836AD0" w:rsidP="00836AD0">
      <w:pPr>
        <w:spacing w:line="360" w:lineRule="auto"/>
        <w:jc w:val="both"/>
        <w:rPr>
          <w:rFonts w:eastAsia="Calibri"/>
          <w:sz w:val="20"/>
          <w:szCs w:val="20"/>
        </w:rPr>
      </w:pPr>
      <w:r w:rsidRPr="00A440FD">
        <w:rPr>
          <w:rFonts w:eastAsia="Calibri"/>
          <w:sz w:val="20"/>
          <w:szCs w:val="20"/>
        </w:rPr>
        <w:t xml:space="preserve">En consecuencia, el diseño e implementación de la política fiscal debe considerar los riesgos de mediano y largo plazo. A continuación, se presentan los principales factores estatales que podrían tener un impacto en las </w:t>
      </w:r>
      <w:r w:rsidRPr="00A440FD">
        <w:rPr>
          <w:rFonts w:eastAsia="Calibri"/>
          <w:b/>
          <w:sz w:val="20"/>
          <w:szCs w:val="20"/>
        </w:rPr>
        <w:t>Finanzas Públicas</w:t>
      </w:r>
      <w:r w:rsidRPr="00A440FD">
        <w:rPr>
          <w:rFonts w:eastAsia="Calibri"/>
          <w:sz w:val="20"/>
          <w:szCs w:val="20"/>
        </w:rPr>
        <w:t xml:space="preserve"> y las acciones que se han tomado para evitar que se conviertan en un riesgo para las </w:t>
      </w:r>
      <w:r w:rsidRPr="00A440FD">
        <w:rPr>
          <w:rFonts w:eastAsia="Calibri"/>
          <w:b/>
          <w:sz w:val="20"/>
          <w:szCs w:val="20"/>
        </w:rPr>
        <w:t>Finanzas Públicas del Estado</w:t>
      </w:r>
      <w:r w:rsidRPr="00A440FD">
        <w:rPr>
          <w:rFonts w:eastAsia="Calibri"/>
          <w:sz w:val="20"/>
          <w:szCs w:val="20"/>
        </w:rPr>
        <w:t>.</w:t>
      </w:r>
    </w:p>
    <w:p w14:paraId="4E9A5FE3" w14:textId="77777777" w:rsidR="00836AD0" w:rsidRPr="00955A4C" w:rsidRDefault="00836AD0" w:rsidP="00836AD0">
      <w:pPr>
        <w:spacing w:line="360" w:lineRule="auto"/>
        <w:jc w:val="both"/>
        <w:rPr>
          <w:rFonts w:eastAsia="Calibri"/>
          <w:color w:val="000000" w:themeColor="text1"/>
          <w:sz w:val="20"/>
          <w:szCs w:val="20"/>
        </w:rPr>
      </w:pPr>
    </w:p>
    <w:p w14:paraId="135D5EC2" w14:textId="77777777" w:rsidR="00836AD0" w:rsidRPr="00955A4C" w:rsidRDefault="00836AD0" w:rsidP="00836AD0">
      <w:pPr>
        <w:spacing w:line="360" w:lineRule="auto"/>
        <w:jc w:val="both"/>
        <w:rPr>
          <w:b/>
          <w:sz w:val="20"/>
          <w:szCs w:val="20"/>
        </w:rPr>
      </w:pPr>
      <w:r w:rsidRPr="00955A4C">
        <w:rPr>
          <w:b/>
          <w:sz w:val="20"/>
          <w:szCs w:val="20"/>
        </w:rPr>
        <w:t>P</w:t>
      </w:r>
      <w:r>
        <w:rPr>
          <w:b/>
          <w:sz w:val="20"/>
          <w:szCs w:val="20"/>
        </w:rPr>
        <w:t>ensiones y Jubilaciones</w:t>
      </w:r>
    </w:p>
    <w:p w14:paraId="00090369" w14:textId="77777777" w:rsidR="00836AD0" w:rsidRPr="00955A4C" w:rsidRDefault="00836AD0" w:rsidP="00836AD0">
      <w:pPr>
        <w:spacing w:line="360" w:lineRule="auto"/>
        <w:jc w:val="both"/>
        <w:rPr>
          <w:b/>
          <w:sz w:val="20"/>
          <w:szCs w:val="20"/>
        </w:rPr>
      </w:pPr>
    </w:p>
    <w:p w14:paraId="74D478D5" w14:textId="77777777" w:rsidR="00836AD0" w:rsidRPr="00955A4C" w:rsidRDefault="00836AD0" w:rsidP="00836AD0">
      <w:pPr>
        <w:spacing w:line="360" w:lineRule="auto"/>
        <w:jc w:val="both"/>
        <w:rPr>
          <w:sz w:val="20"/>
          <w:szCs w:val="20"/>
        </w:rPr>
      </w:pPr>
      <w:r w:rsidRPr="00955A4C">
        <w:rPr>
          <w:sz w:val="20"/>
          <w:szCs w:val="20"/>
        </w:rPr>
        <w:t>Pensiones Civiles del Estado de Tlaxcala es un Organismo Público Descentralizado, con personalidad jurídica y patrimonio propio; su organización y funcionamiento se rigen por su propia Ley, y tiene por objeto, establecer un régimen de protección económica a los servidores públicos de los tres Poderes del Estado de Tlaxcala, los municipios y las entidades de la administración pública estatal que coticen a la Institución, así como, a los jubilados y pensionados.</w:t>
      </w:r>
    </w:p>
    <w:p w14:paraId="162C6B3C" w14:textId="77777777" w:rsidR="00836AD0" w:rsidRPr="00955A4C" w:rsidRDefault="00836AD0" w:rsidP="00836AD0">
      <w:pPr>
        <w:spacing w:line="360" w:lineRule="auto"/>
        <w:jc w:val="both"/>
        <w:rPr>
          <w:sz w:val="20"/>
          <w:szCs w:val="20"/>
        </w:rPr>
      </w:pPr>
    </w:p>
    <w:p w14:paraId="411A949E" w14:textId="77777777" w:rsidR="00836AD0" w:rsidRPr="00955A4C" w:rsidRDefault="00836AD0" w:rsidP="00836AD0">
      <w:pPr>
        <w:spacing w:line="360" w:lineRule="auto"/>
        <w:jc w:val="both"/>
        <w:rPr>
          <w:sz w:val="20"/>
          <w:szCs w:val="20"/>
        </w:rPr>
      </w:pPr>
      <w:r w:rsidRPr="00955A4C">
        <w:rPr>
          <w:sz w:val="20"/>
          <w:szCs w:val="20"/>
        </w:rPr>
        <w:t xml:space="preserve">En el año 1958 surge la Dirección de Pensiones Civiles del Estado de Tlaxcala, y se emitió la Ley de </w:t>
      </w:r>
      <w:r>
        <w:rPr>
          <w:sz w:val="20"/>
          <w:szCs w:val="20"/>
        </w:rPr>
        <w:t xml:space="preserve">la </w:t>
      </w:r>
      <w:r w:rsidRPr="00955A4C">
        <w:rPr>
          <w:sz w:val="20"/>
          <w:szCs w:val="20"/>
        </w:rPr>
        <w:t>materia, que contienen las prestaciones originales: Pensiones directas para los trabajadores, obtención de préstamos a corto plazo, obtención de préstamos hipotecarios, lograr en propiedad o arrendamiento casas o terrenos propiedad de la Dirección de Pensiones Civiles y devolución de los descuentos hechos a funcionarios o empleados comprometidos en la Ley de Pensiones Civiles cuando los mismos se separen del servicio.</w:t>
      </w:r>
    </w:p>
    <w:p w14:paraId="33C4579A" w14:textId="77777777" w:rsidR="00836AD0" w:rsidRPr="00955A4C" w:rsidRDefault="00836AD0" w:rsidP="00836AD0">
      <w:pPr>
        <w:spacing w:line="360" w:lineRule="auto"/>
        <w:jc w:val="both"/>
        <w:rPr>
          <w:sz w:val="20"/>
          <w:szCs w:val="20"/>
        </w:rPr>
      </w:pPr>
    </w:p>
    <w:p w14:paraId="0E617F7F" w14:textId="77777777" w:rsidR="00836AD0" w:rsidRPr="00955A4C" w:rsidRDefault="00836AD0" w:rsidP="00836AD0">
      <w:pPr>
        <w:spacing w:line="360" w:lineRule="auto"/>
        <w:jc w:val="both"/>
        <w:rPr>
          <w:sz w:val="20"/>
          <w:szCs w:val="20"/>
        </w:rPr>
      </w:pPr>
      <w:r w:rsidRPr="00955A4C">
        <w:rPr>
          <w:sz w:val="20"/>
          <w:szCs w:val="20"/>
        </w:rPr>
        <w:t>En el año 1974, se emitió una nueva Ley de Pensiones para el Estado de Tlaxcala, la cual adicionó a su contenido el Seguro de Vida.</w:t>
      </w:r>
    </w:p>
    <w:p w14:paraId="4D64E8BA" w14:textId="77777777" w:rsidR="00836AD0" w:rsidRPr="00955A4C" w:rsidRDefault="00836AD0" w:rsidP="00836AD0">
      <w:pPr>
        <w:spacing w:line="360" w:lineRule="auto"/>
        <w:jc w:val="both"/>
        <w:rPr>
          <w:sz w:val="20"/>
          <w:szCs w:val="20"/>
        </w:rPr>
      </w:pPr>
    </w:p>
    <w:p w14:paraId="33410D40" w14:textId="77777777" w:rsidR="00836AD0" w:rsidRPr="00955A4C" w:rsidRDefault="00836AD0" w:rsidP="00836AD0">
      <w:pPr>
        <w:spacing w:line="360" w:lineRule="auto"/>
        <w:jc w:val="both"/>
        <w:rPr>
          <w:sz w:val="20"/>
          <w:szCs w:val="20"/>
        </w:rPr>
      </w:pPr>
      <w:r w:rsidRPr="00955A4C">
        <w:rPr>
          <w:sz w:val="20"/>
          <w:szCs w:val="20"/>
        </w:rPr>
        <w:t xml:space="preserve">Posteriormente para el año de 1984, se emitió una Ley, la cual presenta cambios notables en cuanto a prestaciones siendo las siguientes: Jubilación, Seguro de Vida, Pensión de vejez, pensión por muerte, pago de póstumo a los servidores públicos, pensionados y jubilados, préstamo a corto plazo, préstamo </w:t>
      </w:r>
      <w:r w:rsidRPr="00955A4C">
        <w:rPr>
          <w:sz w:val="20"/>
          <w:szCs w:val="20"/>
        </w:rPr>
        <w:lastRenderedPageBreak/>
        <w:t>hipotecario, crédito para adquisición de casa o terreno para su construcción destinada a la habitación familiar del servi</w:t>
      </w:r>
      <w:r>
        <w:rPr>
          <w:sz w:val="20"/>
          <w:szCs w:val="20"/>
        </w:rPr>
        <w:t>dor</w:t>
      </w:r>
      <w:r w:rsidRPr="00955A4C">
        <w:rPr>
          <w:sz w:val="20"/>
          <w:szCs w:val="20"/>
        </w:rPr>
        <w:t xml:space="preserve"> público.</w:t>
      </w:r>
    </w:p>
    <w:p w14:paraId="61A61662" w14:textId="77777777" w:rsidR="00836AD0" w:rsidRPr="00955A4C" w:rsidRDefault="00836AD0" w:rsidP="00836AD0">
      <w:pPr>
        <w:spacing w:line="360" w:lineRule="auto"/>
        <w:jc w:val="both"/>
        <w:rPr>
          <w:sz w:val="20"/>
          <w:szCs w:val="20"/>
        </w:rPr>
      </w:pPr>
    </w:p>
    <w:p w14:paraId="3BB5880A" w14:textId="77777777" w:rsidR="00836AD0" w:rsidRPr="00955A4C" w:rsidRDefault="00836AD0" w:rsidP="00836AD0">
      <w:pPr>
        <w:spacing w:line="360" w:lineRule="auto"/>
        <w:jc w:val="both"/>
        <w:rPr>
          <w:sz w:val="20"/>
          <w:szCs w:val="20"/>
        </w:rPr>
      </w:pPr>
      <w:r w:rsidRPr="00955A4C">
        <w:rPr>
          <w:sz w:val="20"/>
          <w:szCs w:val="20"/>
        </w:rPr>
        <w:t xml:space="preserve">Después de algunas vicisitudes en el año 2013, entró en vigor la nueva Ley de Pensiones Civiles del Estado de Tlaxcala, producto de depurar las prestaciones y servicios que proporciona la Institución, establece un proyecto innovador el cual consiste en dos regímenes pensionarios debidamente limitados siendo los siguientes: </w:t>
      </w:r>
    </w:p>
    <w:p w14:paraId="3E30CAB0" w14:textId="77777777" w:rsidR="00836AD0" w:rsidRPr="00955A4C" w:rsidRDefault="00836AD0" w:rsidP="00836AD0">
      <w:pPr>
        <w:spacing w:line="360" w:lineRule="auto"/>
        <w:jc w:val="both"/>
        <w:rPr>
          <w:sz w:val="20"/>
          <w:szCs w:val="20"/>
        </w:rPr>
      </w:pPr>
    </w:p>
    <w:p w14:paraId="70DCA0B8" w14:textId="77777777" w:rsidR="00836AD0" w:rsidRPr="00955A4C" w:rsidRDefault="00836AD0" w:rsidP="00126CF7">
      <w:pPr>
        <w:pStyle w:val="Prrafodelista"/>
        <w:numPr>
          <w:ilvl w:val="0"/>
          <w:numId w:val="14"/>
        </w:numPr>
        <w:spacing w:line="360" w:lineRule="auto"/>
        <w:jc w:val="both"/>
        <w:rPr>
          <w:sz w:val="20"/>
          <w:szCs w:val="20"/>
        </w:rPr>
      </w:pPr>
      <w:r w:rsidRPr="00955A4C">
        <w:rPr>
          <w:sz w:val="20"/>
          <w:szCs w:val="20"/>
        </w:rPr>
        <w:t>Libro A: Régimen Temporal de Reparto</w:t>
      </w:r>
    </w:p>
    <w:p w14:paraId="5B0EAA6E" w14:textId="77777777" w:rsidR="00836AD0" w:rsidRPr="00955A4C" w:rsidRDefault="00836AD0" w:rsidP="00126CF7">
      <w:pPr>
        <w:pStyle w:val="Prrafodelista"/>
        <w:numPr>
          <w:ilvl w:val="0"/>
          <w:numId w:val="14"/>
        </w:numPr>
        <w:spacing w:line="360" w:lineRule="auto"/>
        <w:jc w:val="both"/>
        <w:rPr>
          <w:sz w:val="20"/>
          <w:szCs w:val="20"/>
        </w:rPr>
      </w:pPr>
      <w:r w:rsidRPr="00955A4C">
        <w:rPr>
          <w:sz w:val="20"/>
          <w:szCs w:val="20"/>
        </w:rPr>
        <w:t>Libro B: Régimen Permanente de Ahorro Personal</w:t>
      </w:r>
    </w:p>
    <w:p w14:paraId="5CAD13E7" w14:textId="77777777" w:rsidR="00836AD0" w:rsidRPr="00955A4C" w:rsidRDefault="00836AD0" w:rsidP="00836AD0">
      <w:pPr>
        <w:spacing w:line="360" w:lineRule="auto"/>
        <w:jc w:val="both"/>
        <w:rPr>
          <w:sz w:val="20"/>
          <w:szCs w:val="20"/>
        </w:rPr>
      </w:pPr>
    </w:p>
    <w:p w14:paraId="76E16BDE" w14:textId="77777777" w:rsidR="00836AD0" w:rsidRDefault="00836AD0" w:rsidP="00836AD0">
      <w:pPr>
        <w:spacing w:line="360" w:lineRule="auto"/>
        <w:jc w:val="both"/>
        <w:rPr>
          <w:sz w:val="20"/>
          <w:szCs w:val="20"/>
        </w:rPr>
      </w:pPr>
      <w:r w:rsidRPr="00955A4C">
        <w:rPr>
          <w:sz w:val="20"/>
          <w:szCs w:val="20"/>
        </w:rPr>
        <w:t>A pesar de las diferentes medidas de los anteriores gobiernos para que no se paralicen las funciones que le dan identidad a la Institución y los derechohabientes continúen siendo atendidos hasta en tanto las condiciones económicas del Estado de Tlaxcala lo hayan permitido; no ha</w:t>
      </w:r>
      <w:r>
        <w:rPr>
          <w:sz w:val="20"/>
          <w:szCs w:val="20"/>
        </w:rPr>
        <w:t>n</w:t>
      </w:r>
      <w:r w:rsidRPr="00955A4C">
        <w:rPr>
          <w:sz w:val="20"/>
          <w:szCs w:val="20"/>
        </w:rPr>
        <w:t xml:space="preserve"> sido suficientes los esfuerzos y medidas tomadas.</w:t>
      </w:r>
    </w:p>
    <w:p w14:paraId="40F41384" w14:textId="77777777" w:rsidR="00836AD0" w:rsidRPr="00955A4C" w:rsidRDefault="00836AD0" w:rsidP="00836AD0">
      <w:pPr>
        <w:spacing w:line="360" w:lineRule="auto"/>
        <w:jc w:val="both"/>
        <w:rPr>
          <w:sz w:val="20"/>
          <w:szCs w:val="20"/>
        </w:rPr>
      </w:pPr>
    </w:p>
    <w:p w14:paraId="6E9D9022" w14:textId="77777777" w:rsidR="00836AD0" w:rsidRDefault="00836AD0" w:rsidP="00836AD0">
      <w:pPr>
        <w:spacing w:line="360" w:lineRule="auto"/>
        <w:jc w:val="both"/>
        <w:rPr>
          <w:sz w:val="20"/>
          <w:szCs w:val="20"/>
        </w:rPr>
      </w:pPr>
      <w:r>
        <w:rPr>
          <w:sz w:val="20"/>
          <w:szCs w:val="20"/>
        </w:rPr>
        <w:t>E</w:t>
      </w:r>
      <w:r w:rsidRPr="003C7084">
        <w:rPr>
          <w:sz w:val="20"/>
          <w:szCs w:val="20"/>
        </w:rPr>
        <w:t>n años recientes, la población en edad de pensionarse crece a una tasa mayor que la población más joven en</w:t>
      </w:r>
      <w:r>
        <w:rPr>
          <w:sz w:val="20"/>
          <w:szCs w:val="20"/>
        </w:rPr>
        <w:t xml:space="preserve"> </w:t>
      </w:r>
      <w:r w:rsidRPr="003C7084">
        <w:rPr>
          <w:sz w:val="20"/>
          <w:szCs w:val="20"/>
        </w:rPr>
        <w:t>nuestro país. Esta transición demográfica representa un reto para la sostenibilidad de las finanzas públicas,</w:t>
      </w:r>
      <w:r>
        <w:rPr>
          <w:sz w:val="20"/>
          <w:szCs w:val="20"/>
        </w:rPr>
        <w:t xml:space="preserve"> </w:t>
      </w:r>
      <w:r w:rsidRPr="003C7084">
        <w:rPr>
          <w:sz w:val="20"/>
          <w:szCs w:val="20"/>
        </w:rPr>
        <w:t>debido al incremento esperado en el gasto en pensiones y en salud asociado al</w:t>
      </w:r>
      <w:r>
        <w:rPr>
          <w:sz w:val="20"/>
          <w:szCs w:val="20"/>
        </w:rPr>
        <w:t xml:space="preserve"> crecimiento de la población de </w:t>
      </w:r>
      <w:r w:rsidRPr="003C7084">
        <w:rPr>
          <w:sz w:val="20"/>
          <w:szCs w:val="20"/>
        </w:rPr>
        <w:t>mayor edad.</w:t>
      </w:r>
    </w:p>
    <w:p w14:paraId="2DAF58BF" w14:textId="77777777" w:rsidR="00836AD0" w:rsidRPr="00955A4C" w:rsidRDefault="00836AD0" w:rsidP="00836AD0">
      <w:pPr>
        <w:spacing w:line="360" w:lineRule="auto"/>
        <w:jc w:val="both"/>
        <w:rPr>
          <w:sz w:val="20"/>
          <w:szCs w:val="20"/>
        </w:rPr>
      </w:pPr>
    </w:p>
    <w:p w14:paraId="4F134846" w14:textId="459D0089" w:rsidR="0004086F" w:rsidRPr="00711259" w:rsidRDefault="0004086F" w:rsidP="0004086F">
      <w:pPr>
        <w:spacing w:line="360" w:lineRule="auto"/>
        <w:jc w:val="both"/>
        <w:rPr>
          <w:sz w:val="20"/>
          <w:szCs w:val="20"/>
        </w:rPr>
      </w:pPr>
      <w:r w:rsidRPr="00711259">
        <w:rPr>
          <w:sz w:val="20"/>
          <w:szCs w:val="20"/>
        </w:rPr>
        <w:t xml:space="preserve">Por todo lo anterior, para este Proyecto de Presupuesto 2023, se considera un incremento de 12.8% para dicho concepto de Aportación a Pensiones y un Fondo para el Fortalecimiento de Pensiones Civiles de </w:t>
      </w:r>
      <w:r w:rsidR="00254D8E">
        <w:rPr>
          <w:sz w:val="20"/>
          <w:szCs w:val="20"/>
        </w:rPr>
        <w:t>18</w:t>
      </w:r>
      <w:r w:rsidRPr="00711259">
        <w:rPr>
          <w:sz w:val="20"/>
          <w:szCs w:val="20"/>
        </w:rPr>
        <w:t xml:space="preserve"> mdp a través de la Oficialía Mayor de Gobierno, dicho fondo estará sujeto a que se cumplan los pronósticos de ingresos y recaudación de la Secretaría de Hacienda y Crédito Público y el Estado reciba los recursos de participaciones federales.</w:t>
      </w:r>
    </w:p>
    <w:p w14:paraId="0E6893B4" w14:textId="50FC39E1" w:rsidR="00525B2B" w:rsidRPr="00C603FE" w:rsidRDefault="00836AD0" w:rsidP="00525B2B">
      <w:pPr>
        <w:spacing w:line="360" w:lineRule="auto"/>
        <w:jc w:val="both"/>
        <w:rPr>
          <w:sz w:val="20"/>
          <w:szCs w:val="20"/>
        </w:rPr>
      </w:pPr>
      <w:r w:rsidRPr="00C603FE">
        <w:rPr>
          <w:sz w:val="20"/>
          <w:szCs w:val="20"/>
        </w:rPr>
        <w:t>De acuerdo</w:t>
      </w:r>
      <w:r w:rsidR="002A41F8">
        <w:rPr>
          <w:sz w:val="20"/>
          <w:szCs w:val="20"/>
        </w:rPr>
        <w:t xml:space="preserve"> con</w:t>
      </w:r>
      <w:r w:rsidRPr="00C603FE">
        <w:rPr>
          <w:sz w:val="20"/>
          <w:szCs w:val="20"/>
        </w:rPr>
        <w:t xml:space="preserve"> </w:t>
      </w:r>
      <w:r w:rsidR="002A41F8">
        <w:rPr>
          <w:sz w:val="20"/>
          <w:szCs w:val="20"/>
        </w:rPr>
        <w:t>e</w:t>
      </w:r>
      <w:r w:rsidRPr="00C603FE">
        <w:rPr>
          <w:sz w:val="20"/>
          <w:szCs w:val="20"/>
        </w:rPr>
        <w:t>l último estudio actuarial de las pensiones del Estado de Tlaxcala</w:t>
      </w:r>
      <w:r w:rsidRPr="003E6984">
        <w:rPr>
          <w:rFonts w:ascii="Arial" w:hAnsi="Arial" w:cs="Arial"/>
          <w:b/>
          <w:sz w:val="22"/>
          <w:vertAlign w:val="superscript"/>
        </w:rPr>
        <w:footnoteReference w:id="2"/>
      </w:r>
      <w:r w:rsidRPr="003E6984">
        <w:rPr>
          <w:rFonts w:ascii="Arial" w:hAnsi="Arial" w:cs="Arial"/>
        </w:rPr>
        <w:t xml:space="preserve">, </w:t>
      </w:r>
      <w:r w:rsidRPr="00C603FE">
        <w:rPr>
          <w:sz w:val="20"/>
          <w:szCs w:val="20"/>
        </w:rPr>
        <w:t>correspondiente al ejercicio fiscal 202</w:t>
      </w:r>
      <w:r>
        <w:rPr>
          <w:sz w:val="20"/>
          <w:szCs w:val="20"/>
        </w:rPr>
        <w:t>3</w:t>
      </w:r>
      <w:r w:rsidRPr="00C603FE">
        <w:rPr>
          <w:sz w:val="20"/>
          <w:szCs w:val="20"/>
        </w:rPr>
        <w:t xml:space="preserve"> y con una vigencia al ejercicio 2023 se tiene una reserva actuarial de 382.55 mdp, con una población afiliada activa de 8,567 trabajadores y 2,237 pensionados, como a continuación se presenta:</w:t>
      </w:r>
    </w:p>
    <w:p w14:paraId="5CF723AD" w14:textId="77777777" w:rsidR="00525B2B" w:rsidRDefault="00525B2B" w:rsidP="00525B2B">
      <w:pPr>
        <w:spacing w:line="360" w:lineRule="auto"/>
        <w:jc w:val="center"/>
        <w:rPr>
          <w:rFonts w:ascii="Arial" w:hAnsi="Arial" w:cs="Arial"/>
          <w:b/>
        </w:rPr>
      </w:pPr>
    </w:p>
    <w:p w14:paraId="10208209" w14:textId="77777777" w:rsidR="00525B2B" w:rsidRPr="00C603FE" w:rsidRDefault="00525B2B" w:rsidP="00525B2B">
      <w:pPr>
        <w:spacing w:line="360" w:lineRule="auto"/>
        <w:jc w:val="center"/>
        <w:rPr>
          <w:b/>
          <w:sz w:val="20"/>
          <w:szCs w:val="20"/>
        </w:rPr>
      </w:pPr>
      <w:r w:rsidRPr="00C603FE">
        <w:rPr>
          <w:b/>
          <w:sz w:val="20"/>
          <w:szCs w:val="20"/>
        </w:rPr>
        <w:t>Estudio Actuarial de Pensiones</w:t>
      </w:r>
    </w:p>
    <w:p w14:paraId="4A29531C" w14:textId="77777777" w:rsidR="00525B2B" w:rsidRDefault="00525B2B" w:rsidP="00525B2B">
      <w:pPr>
        <w:spacing w:line="360" w:lineRule="auto"/>
        <w:jc w:val="center"/>
        <w:rPr>
          <w:rFonts w:ascii="Arial" w:hAnsi="Arial" w:cs="Arial"/>
          <w:b/>
        </w:rPr>
      </w:pPr>
      <w:r>
        <w:rPr>
          <w:noProof/>
          <w:lang w:val="es-MX" w:eastAsia="es-MX"/>
        </w:rPr>
        <w:lastRenderedPageBreak/>
        <w:drawing>
          <wp:inline distT="0" distB="0" distL="0" distR="0" wp14:anchorId="2D841B4E" wp14:editId="40183AAE">
            <wp:extent cx="5137511" cy="3328416"/>
            <wp:effectExtent l="0" t="0" r="6350"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4155" t="27369" r="30933" b="20899"/>
                    <a:stretch/>
                  </pic:blipFill>
                  <pic:spPr bwMode="auto">
                    <a:xfrm>
                      <a:off x="0" y="0"/>
                      <a:ext cx="5180574" cy="3356315"/>
                    </a:xfrm>
                    <a:prstGeom prst="rect">
                      <a:avLst/>
                    </a:prstGeom>
                    <a:ln>
                      <a:noFill/>
                    </a:ln>
                    <a:extLst>
                      <a:ext uri="{53640926-AAD7-44D8-BBD7-CCE9431645EC}">
                        <a14:shadowObscured xmlns:a14="http://schemas.microsoft.com/office/drawing/2010/main"/>
                      </a:ext>
                    </a:extLst>
                  </pic:spPr>
                </pic:pic>
              </a:graphicData>
            </a:graphic>
          </wp:inline>
        </w:drawing>
      </w:r>
    </w:p>
    <w:p w14:paraId="2E6629B9" w14:textId="77777777" w:rsidR="00525B2B" w:rsidRDefault="00525B2B" w:rsidP="00525B2B">
      <w:pPr>
        <w:spacing w:line="360" w:lineRule="auto"/>
        <w:jc w:val="both"/>
        <w:rPr>
          <w:rFonts w:ascii="Arial" w:hAnsi="Arial" w:cs="Arial"/>
        </w:rPr>
      </w:pPr>
    </w:p>
    <w:p w14:paraId="205B5BCD" w14:textId="77777777" w:rsidR="00525B2B" w:rsidRDefault="00525B2B" w:rsidP="00525B2B">
      <w:pPr>
        <w:spacing w:line="360" w:lineRule="auto"/>
        <w:jc w:val="both"/>
        <w:rPr>
          <w:rFonts w:ascii="Arial" w:hAnsi="Arial" w:cs="Arial"/>
        </w:rPr>
      </w:pPr>
      <w:r>
        <w:rPr>
          <w:noProof/>
          <w:lang w:val="es-MX" w:eastAsia="es-MX"/>
        </w:rPr>
        <w:drawing>
          <wp:inline distT="0" distB="0" distL="0" distR="0" wp14:anchorId="7C8FF9A7" wp14:editId="3A6970B5">
            <wp:extent cx="4619501" cy="2404563"/>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7540" t="24862" r="25573" b="29420"/>
                    <a:stretch/>
                  </pic:blipFill>
                  <pic:spPr bwMode="auto">
                    <a:xfrm>
                      <a:off x="0" y="0"/>
                      <a:ext cx="4706574" cy="2449887"/>
                    </a:xfrm>
                    <a:prstGeom prst="rect">
                      <a:avLst/>
                    </a:prstGeom>
                    <a:ln>
                      <a:noFill/>
                    </a:ln>
                    <a:extLst>
                      <a:ext uri="{53640926-AAD7-44D8-BBD7-CCE9431645EC}">
                        <a14:shadowObscured xmlns:a14="http://schemas.microsoft.com/office/drawing/2010/main"/>
                      </a:ext>
                    </a:extLst>
                  </pic:spPr>
                </pic:pic>
              </a:graphicData>
            </a:graphic>
          </wp:inline>
        </w:drawing>
      </w:r>
    </w:p>
    <w:p w14:paraId="6BDD86C9" w14:textId="77777777" w:rsidR="00525B2B" w:rsidRDefault="00525B2B" w:rsidP="00525B2B">
      <w:pPr>
        <w:spacing w:line="360" w:lineRule="auto"/>
        <w:jc w:val="both"/>
        <w:rPr>
          <w:rFonts w:ascii="Arial" w:hAnsi="Arial" w:cs="Arial"/>
        </w:rPr>
      </w:pPr>
      <w:r>
        <w:rPr>
          <w:noProof/>
          <w:lang w:val="es-MX" w:eastAsia="es-MX"/>
        </w:rPr>
        <w:lastRenderedPageBreak/>
        <w:drawing>
          <wp:inline distT="0" distB="0" distL="0" distR="0" wp14:anchorId="7A159F1A" wp14:editId="2A858FFF">
            <wp:extent cx="4868883" cy="2137410"/>
            <wp:effectExtent l="0" t="0" r="825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4295" t="37664" r="30516" b="30185"/>
                    <a:stretch/>
                  </pic:blipFill>
                  <pic:spPr bwMode="auto">
                    <a:xfrm>
                      <a:off x="0" y="0"/>
                      <a:ext cx="4929537" cy="2164037"/>
                    </a:xfrm>
                    <a:prstGeom prst="rect">
                      <a:avLst/>
                    </a:prstGeom>
                    <a:ln>
                      <a:noFill/>
                    </a:ln>
                    <a:extLst>
                      <a:ext uri="{53640926-AAD7-44D8-BBD7-CCE9431645EC}">
                        <a14:shadowObscured xmlns:a14="http://schemas.microsoft.com/office/drawing/2010/main"/>
                      </a:ext>
                    </a:extLst>
                  </pic:spPr>
                </pic:pic>
              </a:graphicData>
            </a:graphic>
          </wp:inline>
        </w:drawing>
      </w:r>
    </w:p>
    <w:p w14:paraId="2C88B984" w14:textId="77777777" w:rsidR="00525B2B" w:rsidRDefault="00525B2B" w:rsidP="00525B2B">
      <w:pPr>
        <w:spacing w:line="360" w:lineRule="auto"/>
        <w:jc w:val="both"/>
        <w:rPr>
          <w:rFonts w:ascii="Arial" w:hAnsi="Arial" w:cs="Arial"/>
        </w:rPr>
      </w:pPr>
      <w:r>
        <w:rPr>
          <w:noProof/>
          <w:lang w:val="es-MX" w:eastAsia="es-MX"/>
        </w:rPr>
        <w:drawing>
          <wp:inline distT="0" distB="0" distL="0" distR="0" wp14:anchorId="60F204AC" wp14:editId="3FAA2EEC">
            <wp:extent cx="4746410" cy="1567543"/>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4169" t="45698" r="42471" b="34714"/>
                    <a:stretch/>
                  </pic:blipFill>
                  <pic:spPr bwMode="auto">
                    <a:xfrm>
                      <a:off x="0" y="0"/>
                      <a:ext cx="4853381" cy="1602871"/>
                    </a:xfrm>
                    <a:prstGeom prst="rect">
                      <a:avLst/>
                    </a:prstGeom>
                    <a:ln>
                      <a:noFill/>
                    </a:ln>
                    <a:extLst>
                      <a:ext uri="{53640926-AAD7-44D8-BBD7-CCE9431645EC}">
                        <a14:shadowObscured xmlns:a14="http://schemas.microsoft.com/office/drawing/2010/main"/>
                      </a:ext>
                    </a:extLst>
                  </pic:spPr>
                </pic:pic>
              </a:graphicData>
            </a:graphic>
          </wp:inline>
        </w:drawing>
      </w:r>
    </w:p>
    <w:p w14:paraId="1441D765" w14:textId="2C75C9D3" w:rsidR="00525B2B" w:rsidRPr="00955A4C" w:rsidRDefault="00525B2B" w:rsidP="00525B2B">
      <w:pPr>
        <w:spacing w:line="360" w:lineRule="auto"/>
        <w:jc w:val="both"/>
        <w:rPr>
          <w:sz w:val="20"/>
          <w:szCs w:val="20"/>
        </w:rPr>
      </w:pPr>
      <w:r w:rsidRPr="00955A4C">
        <w:rPr>
          <w:sz w:val="20"/>
          <w:szCs w:val="20"/>
        </w:rPr>
        <w:t xml:space="preserve">Con la finalidad de coadyuvar en el saneamiento de las Pensiones Civiles del Estado de Tlaxcala, el Ejecutivo del Estado ha otorgado a la fecha aportaciones extraordinarias a Pensiones Civiles del Estado por un importe estimado de </w:t>
      </w:r>
      <w:r>
        <w:rPr>
          <w:sz w:val="20"/>
          <w:szCs w:val="20"/>
        </w:rPr>
        <w:t>7</w:t>
      </w:r>
      <w:r w:rsidR="0038191C">
        <w:rPr>
          <w:sz w:val="20"/>
          <w:szCs w:val="20"/>
        </w:rPr>
        <w:t>81.3</w:t>
      </w:r>
      <w:r w:rsidRPr="00955A4C">
        <w:rPr>
          <w:sz w:val="20"/>
          <w:szCs w:val="20"/>
        </w:rPr>
        <w:t xml:space="preserve"> mdp al cierre de 20</w:t>
      </w:r>
      <w:r>
        <w:rPr>
          <w:sz w:val="20"/>
          <w:szCs w:val="20"/>
        </w:rPr>
        <w:t>2</w:t>
      </w:r>
      <w:r w:rsidR="0038191C">
        <w:rPr>
          <w:sz w:val="20"/>
          <w:szCs w:val="20"/>
        </w:rPr>
        <w:t>2</w:t>
      </w:r>
      <w:r w:rsidRPr="00955A4C">
        <w:rPr>
          <w:sz w:val="20"/>
          <w:szCs w:val="20"/>
        </w:rPr>
        <w:t>.</w:t>
      </w:r>
    </w:p>
    <w:tbl>
      <w:tblPr>
        <w:tblW w:w="3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60"/>
        <w:gridCol w:w="2080"/>
      </w:tblGrid>
      <w:tr w:rsidR="00525B2B" w:rsidRPr="00955A4C" w14:paraId="23671262" w14:textId="77777777" w:rsidTr="00E979C7">
        <w:trPr>
          <w:trHeight w:val="839"/>
          <w:tblHeader/>
          <w:jc w:val="center"/>
        </w:trPr>
        <w:tc>
          <w:tcPr>
            <w:tcW w:w="1560" w:type="dxa"/>
            <w:shd w:val="clear" w:color="auto" w:fill="BFBFBF" w:themeFill="background1" w:themeFillShade="BF"/>
            <w:noWrap/>
            <w:vAlign w:val="center"/>
            <w:hideMark/>
          </w:tcPr>
          <w:p w14:paraId="3CF0FA62" w14:textId="77777777" w:rsidR="00525B2B" w:rsidRPr="00955A4C" w:rsidRDefault="00525B2B" w:rsidP="00E979C7">
            <w:pPr>
              <w:spacing w:line="360" w:lineRule="auto"/>
              <w:jc w:val="center"/>
              <w:rPr>
                <w:b/>
                <w:bCs/>
                <w:color w:val="000000"/>
                <w:sz w:val="20"/>
                <w:szCs w:val="20"/>
                <w:lang w:eastAsia="es-MX"/>
              </w:rPr>
            </w:pPr>
            <w:r w:rsidRPr="00955A4C">
              <w:rPr>
                <w:b/>
                <w:bCs/>
                <w:color w:val="000000"/>
                <w:sz w:val="20"/>
                <w:szCs w:val="20"/>
                <w:lang w:eastAsia="es-MX"/>
              </w:rPr>
              <w:t>AÑO</w:t>
            </w:r>
          </w:p>
        </w:tc>
        <w:tc>
          <w:tcPr>
            <w:tcW w:w="2080" w:type="dxa"/>
            <w:shd w:val="clear" w:color="auto" w:fill="BFBFBF" w:themeFill="background1" w:themeFillShade="BF"/>
            <w:vAlign w:val="center"/>
            <w:hideMark/>
          </w:tcPr>
          <w:p w14:paraId="03C26064" w14:textId="77777777" w:rsidR="00525B2B" w:rsidRDefault="00525B2B" w:rsidP="00E979C7">
            <w:pPr>
              <w:spacing w:line="360" w:lineRule="auto"/>
              <w:jc w:val="center"/>
              <w:rPr>
                <w:b/>
                <w:bCs/>
                <w:color w:val="000000"/>
                <w:sz w:val="20"/>
                <w:szCs w:val="20"/>
                <w:lang w:eastAsia="es-MX"/>
              </w:rPr>
            </w:pPr>
            <w:r w:rsidRPr="00955A4C">
              <w:rPr>
                <w:b/>
                <w:bCs/>
                <w:color w:val="000000"/>
                <w:sz w:val="20"/>
                <w:szCs w:val="20"/>
                <w:lang w:eastAsia="es-MX"/>
              </w:rPr>
              <w:t>APOYO ESTATAL EXTRAORDINARIO</w:t>
            </w:r>
          </w:p>
          <w:p w14:paraId="52F88730" w14:textId="77777777" w:rsidR="00525B2B" w:rsidRPr="00955A4C" w:rsidRDefault="00525B2B" w:rsidP="00E979C7">
            <w:pPr>
              <w:spacing w:line="360" w:lineRule="auto"/>
              <w:jc w:val="center"/>
              <w:rPr>
                <w:b/>
                <w:bCs/>
                <w:color w:val="000000"/>
                <w:sz w:val="20"/>
                <w:szCs w:val="20"/>
                <w:lang w:eastAsia="es-MX"/>
              </w:rPr>
            </w:pPr>
            <w:r>
              <w:rPr>
                <w:b/>
                <w:bCs/>
                <w:color w:val="000000"/>
                <w:sz w:val="20"/>
                <w:szCs w:val="20"/>
                <w:lang w:eastAsia="es-MX"/>
              </w:rPr>
              <w:t>(MDP)</w:t>
            </w:r>
          </w:p>
        </w:tc>
      </w:tr>
      <w:tr w:rsidR="00525B2B" w:rsidRPr="00955A4C" w14:paraId="159CD872" w14:textId="77777777" w:rsidTr="00E979C7">
        <w:trPr>
          <w:trHeight w:val="274"/>
          <w:jc w:val="center"/>
        </w:trPr>
        <w:tc>
          <w:tcPr>
            <w:tcW w:w="1560" w:type="dxa"/>
            <w:shd w:val="clear" w:color="auto" w:fill="auto"/>
            <w:noWrap/>
            <w:vAlign w:val="center"/>
            <w:hideMark/>
          </w:tcPr>
          <w:p w14:paraId="4438FA31" w14:textId="77777777" w:rsidR="00525B2B" w:rsidRPr="002D6189" w:rsidRDefault="00525B2B" w:rsidP="00E979C7">
            <w:pPr>
              <w:spacing w:line="360" w:lineRule="auto"/>
              <w:rPr>
                <w:b/>
                <w:bCs/>
                <w:color w:val="000000"/>
                <w:sz w:val="20"/>
                <w:szCs w:val="20"/>
                <w:lang w:eastAsia="es-MX"/>
              </w:rPr>
            </w:pPr>
            <w:r w:rsidRPr="002D6189">
              <w:rPr>
                <w:b/>
                <w:bCs/>
                <w:color w:val="000000"/>
                <w:sz w:val="20"/>
                <w:szCs w:val="20"/>
                <w:lang w:eastAsia="es-MX"/>
              </w:rPr>
              <w:t>Ejercicio 2011</w:t>
            </w:r>
          </w:p>
        </w:tc>
        <w:tc>
          <w:tcPr>
            <w:tcW w:w="2080" w:type="dxa"/>
            <w:shd w:val="clear" w:color="auto" w:fill="auto"/>
            <w:noWrap/>
            <w:vAlign w:val="center"/>
            <w:hideMark/>
          </w:tcPr>
          <w:p w14:paraId="58E2F34E" w14:textId="77777777" w:rsidR="00525B2B" w:rsidRPr="002D6189" w:rsidRDefault="00525B2B" w:rsidP="00E979C7">
            <w:pPr>
              <w:spacing w:line="360" w:lineRule="auto"/>
              <w:jc w:val="right"/>
              <w:rPr>
                <w:color w:val="000000"/>
                <w:sz w:val="20"/>
                <w:szCs w:val="20"/>
                <w:lang w:eastAsia="es-MX"/>
              </w:rPr>
            </w:pPr>
            <w:r w:rsidRPr="002D6189">
              <w:rPr>
                <w:color w:val="000000"/>
                <w:sz w:val="20"/>
                <w:szCs w:val="20"/>
                <w:lang w:eastAsia="es-MX"/>
              </w:rPr>
              <w:t>140.0</w:t>
            </w:r>
          </w:p>
        </w:tc>
      </w:tr>
      <w:tr w:rsidR="00525B2B" w:rsidRPr="00955A4C" w14:paraId="09A9DD27" w14:textId="77777777" w:rsidTr="00E979C7">
        <w:trPr>
          <w:trHeight w:val="153"/>
          <w:jc w:val="center"/>
        </w:trPr>
        <w:tc>
          <w:tcPr>
            <w:tcW w:w="1560" w:type="dxa"/>
            <w:shd w:val="clear" w:color="auto" w:fill="auto"/>
            <w:noWrap/>
            <w:vAlign w:val="center"/>
            <w:hideMark/>
          </w:tcPr>
          <w:p w14:paraId="3D28507A" w14:textId="77777777" w:rsidR="00525B2B" w:rsidRPr="002D6189" w:rsidRDefault="00525B2B" w:rsidP="00E979C7">
            <w:pPr>
              <w:spacing w:line="360" w:lineRule="auto"/>
              <w:rPr>
                <w:b/>
                <w:bCs/>
                <w:color w:val="000000"/>
                <w:sz w:val="20"/>
                <w:szCs w:val="20"/>
                <w:lang w:eastAsia="es-MX"/>
              </w:rPr>
            </w:pPr>
            <w:r w:rsidRPr="002D6189">
              <w:rPr>
                <w:b/>
                <w:bCs/>
                <w:color w:val="000000"/>
                <w:sz w:val="20"/>
                <w:szCs w:val="20"/>
                <w:lang w:eastAsia="es-MX"/>
              </w:rPr>
              <w:t>Ejercicio 2012</w:t>
            </w:r>
          </w:p>
        </w:tc>
        <w:tc>
          <w:tcPr>
            <w:tcW w:w="2080" w:type="dxa"/>
            <w:shd w:val="clear" w:color="auto" w:fill="auto"/>
            <w:noWrap/>
            <w:vAlign w:val="center"/>
            <w:hideMark/>
          </w:tcPr>
          <w:p w14:paraId="4EA4219A" w14:textId="77777777" w:rsidR="00525B2B" w:rsidRPr="002D6189" w:rsidRDefault="00525B2B" w:rsidP="00E979C7">
            <w:pPr>
              <w:spacing w:line="360" w:lineRule="auto"/>
              <w:jc w:val="right"/>
              <w:rPr>
                <w:color w:val="000000"/>
                <w:sz w:val="20"/>
                <w:szCs w:val="20"/>
                <w:lang w:eastAsia="es-MX"/>
              </w:rPr>
            </w:pPr>
            <w:r w:rsidRPr="002D6189">
              <w:rPr>
                <w:color w:val="000000"/>
                <w:sz w:val="20"/>
                <w:szCs w:val="20"/>
                <w:lang w:eastAsia="es-MX"/>
              </w:rPr>
              <w:t>118.2</w:t>
            </w:r>
          </w:p>
        </w:tc>
      </w:tr>
      <w:tr w:rsidR="00525B2B" w:rsidRPr="00955A4C" w14:paraId="5D55D49F" w14:textId="77777777" w:rsidTr="00E979C7">
        <w:trPr>
          <w:trHeight w:val="300"/>
          <w:jc w:val="center"/>
        </w:trPr>
        <w:tc>
          <w:tcPr>
            <w:tcW w:w="1560" w:type="dxa"/>
            <w:shd w:val="clear" w:color="auto" w:fill="auto"/>
            <w:noWrap/>
            <w:vAlign w:val="center"/>
            <w:hideMark/>
          </w:tcPr>
          <w:p w14:paraId="5495CA3A" w14:textId="77777777" w:rsidR="00525B2B" w:rsidRPr="002D6189" w:rsidRDefault="00525B2B" w:rsidP="00E979C7">
            <w:pPr>
              <w:spacing w:line="360" w:lineRule="auto"/>
              <w:rPr>
                <w:b/>
                <w:bCs/>
                <w:color w:val="000000"/>
                <w:sz w:val="20"/>
                <w:szCs w:val="20"/>
                <w:lang w:eastAsia="es-MX"/>
              </w:rPr>
            </w:pPr>
            <w:r w:rsidRPr="002D6189">
              <w:rPr>
                <w:b/>
                <w:bCs/>
                <w:color w:val="000000"/>
                <w:sz w:val="20"/>
                <w:szCs w:val="20"/>
                <w:lang w:eastAsia="es-MX"/>
              </w:rPr>
              <w:t>Ejercicio 2013</w:t>
            </w:r>
          </w:p>
        </w:tc>
        <w:tc>
          <w:tcPr>
            <w:tcW w:w="2080" w:type="dxa"/>
            <w:shd w:val="clear" w:color="auto" w:fill="auto"/>
            <w:noWrap/>
            <w:vAlign w:val="center"/>
            <w:hideMark/>
          </w:tcPr>
          <w:p w14:paraId="117C0198" w14:textId="77777777" w:rsidR="00525B2B" w:rsidRPr="002D6189" w:rsidRDefault="00525B2B" w:rsidP="00E979C7">
            <w:pPr>
              <w:spacing w:line="360" w:lineRule="auto"/>
              <w:jc w:val="right"/>
              <w:rPr>
                <w:color w:val="000000"/>
                <w:sz w:val="20"/>
                <w:szCs w:val="20"/>
                <w:lang w:eastAsia="es-MX"/>
              </w:rPr>
            </w:pPr>
            <w:r w:rsidRPr="002D6189">
              <w:rPr>
                <w:color w:val="000000"/>
                <w:sz w:val="20"/>
                <w:szCs w:val="20"/>
                <w:lang w:eastAsia="es-MX"/>
              </w:rPr>
              <w:t>16.5</w:t>
            </w:r>
          </w:p>
        </w:tc>
      </w:tr>
      <w:tr w:rsidR="00525B2B" w:rsidRPr="00955A4C" w14:paraId="51DAA9C3" w14:textId="77777777" w:rsidTr="00E979C7">
        <w:trPr>
          <w:trHeight w:val="320"/>
          <w:jc w:val="center"/>
        </w:trPr>
        <w:tc>
          <w:tcPr>
            <w:tcW w:w="1560" w:type="dxa"/>
            <w:shd w:val="clear" w:color="auto" w:fill="auto"/>
            <w:noWrap/>
            <w:vAlign w:val="center"/>
            <w:hideMark/>
          </w:tcPr>
          <w:p w14:paraId="40CABEA3" w14:textId="77777777" w:rsidR="00525B2B" w:rsidRPr="002D6189" w:rsidRDefault="00525B2B" w:rsidP="00E979C7">
            <w:pPr>
              <w:spacing w:line="360" w:lineRule="auto"/>
              <w:rPr>
                <w:b/>
                <w:bCs/>
                <w:color w:val="000000"/>
                <w:sz w:val="20"/>
                <w:szCs w:val="20"/>
                <w:lang w:eastAsia="es-MX"/>
              </w:rPr>
            </w:pPr>
            <w:r w:rsidRPr="002D6189">
              <w:rPr>
                <w:b/>
                <w:bCs/>
                <w:color w:val="000000"/>
                <w:sz w:val="20"/>
                <w:szCs w:val="20"/>
                <w:lang w:eastAsia="es-MX"/>
              </w:rPr>
              <w:t>Ejercicio 2014</w:t>
            </w:r>
          </w:p>
        </w:tc>
        <w:tc>
          <w:tcPr>
            <w:tcW w:w="2080" w:type="dxa"/>
            <w:shd w:val="clear" w:color="auto" w:fill="auto"/>
            <w:noWrap/>
            <w:vAlign w:val="center"/>
            <w:hideMark/>
          </w:tcPr>
          <w:p w14:paraId="3D005C1D" w14:textId="77777777" w:rsidR="00525B2B" w:rsidRPr="002D6189" w:rsidRDefault="00525B2B" w:rsidP="00E979C7">
            <w:pPr>
              <w:spacing w:line="360" w:lineRule="auto"/>
              <w:jc w:val="right"/>
              <w:rPr>
                <w:color w:val="000000"/>
                <w:sz w:val="20"/>
                <w:szCs w:val="20"/>
                <w:lang w:eastAsia="es-MX"/>
              </w:rPr>
            </w:pPr>
            <w:r w:rsidRPr="002D6189">
              <w:rPr>
                <w:color w:val="000000"/>
                <w:sz w:val="20"/>
                <w:szCs w:val="20"/>
                <w:lang w:eastAsia="es-MX"/>
              </w:rPr>
              <w:t>29.0</w:t>
            </w:r>
          </w:p>
        </w:tc>
      </w:tr>
      <w:tr w:rsidR="00525B2B" w:rsidRPr="00955A4C" w14:paraId="399CF24C" w14:textId="77777777" w:rsidTr="00E979C7">
        <w:trPr>
          <w:trHeight w:val="326"/>
          <w:jc w:val="center"/>
        </w:trPr>
        <w:tc>
          <w:tcPr>
            <w:tcW w:w="1560" w:type="dxa"/>
            <w:shd w:val="clear" w:color="auto" w:fill="auto"/>
            <w:noWrap/>
            <w:vAlign w:val="center"/>
            <w:hideMark/>
          </w:tcPr>
          <w:p w14:paraId="4CAF86E4" w14:textId="77777777" w:rsidR="00525B2B" w:rsidRPr="002D6189" w:rsidRDefault="00525B2B" w:rsidP="00E979C7">
            <w:pPr>
              <w:spacing w:line="360" w:lineRule="auto"/>
              <w:rPr>
                <w:b/>
                <w:bCs/>
                <w:color w:val="000000"/>
                <w:sz w:val="20"/>
                <w:szCs w:val="20"/>
                <w:lang w:eastAsia="es-MX"/>
              </w:rPr>
            </w:pPr>
            <w:r w:rsidRPr="002D6189">
              <w:rPr>
                <w:b/>
                <w:bCs/>
                <w:color w:val="000000"/>
                <w:sz w:val="20"/>
                <w:szCs w:val="20"/>
                <w:lang w:eastAsia="es-MX"/>
              </w:rPr>
              <w:t>Ejercicio 2015</w:t>
            </w:r>
          </w:p>
        </w:tc>
        <w:tc>
          <w:tcPr>
            <w:tcW w:w="2080" w:type="dxa"/>
            <w:shd w:val="clear" w:color="auto" w:fill="auto"/>
            <w:noWrap/>
            <w:vAlign w:val="center"/>
            <w:hideMark/>
          </w:tcPr>
          <w:p w14:paraId="04D6A5A2" w14:textId="77777777" w:rsidR="00525B2B" w:rsidRPr="002D6189" w:rsidRDefault="00525B2B" w:rsidP="00E979C7">
            <w:pPr>
              <w:spacing w:line="360" w:lineRule="auto"/>
              <w:jc w:val="right"/>
              <w:rPr>
                <w:color w:val="000000"/>
                <w:sz w:val="20"/>
                <w:szCs w:val="20"/>
                <w:lang w:eastAsia="es-MX"/>
              </w:rPr>
            </w:pPr>
            <w:r w:rsidRPr="002D6189">
              <w:rPr>
                <w:color w:val="000000"/>
                <w:sz w:val="20"/>
                <w:szCs w:val="20"/>
                <w:lang w:eastAsia="es-MX"/>
              </w:rPr>
              <w:t>34.6</w:t>
            </w:r>
          </w:p>
        </w:tc>
      </w:tr>
      <w:tr w:rsidR="00525B2B" w:rsidRPr="00955A4C" w14:paraId="270C971A" w14:textId="77777777" w:rsidTr="00E979C7">
        <w:trPr>
          <w:trHeight w:val="332"/>
          <w:jc w:val="center"/>
        </w:trPr>
        <w:tc>
          <w:tcPr>
            <w:tcW w:w="1560" w:type="dxa"/>
            <w:shd w:val="clear" w:color="auto" w:fill="auto"/>
            <w:noWrap/>
            <w:vAlign w:val="center"/>
            <w:hideMark/>
          </w:tcPr>
          <w:p w14:paraId="55081B29" w14:textId="77777777" w:rsidR="00525B2B" w:rsidRPr="002D6189" w:rsidRDefault="00525B2B" w:rsidP="00E979C7">
            <w:pPr>
              <w:spacing w:line="360" w:lineRule="auto"/>
              <w:rPr>
                <w:b/>
                <w:bCs/>
                <w:color w:val="000000"/>
                <w:sz w:val="20"/>
                <w:szCs w:val="20"/>
                <w:lang w:eastAsia="es-MX"/>
              </w:rPr>
            </w:pPr>
            <w:r w:rsidRPr="002D6189">
              <w:rPr>
                <w:b/>
                <w:bCs/>
                <w:color w:val="000000"/>
                <w:sz w:val="20"/>
                <w:szCs w:val="20"/>
                <w:lang w:eastAsia="es-MX"/>
              </w:rPr>
              <w:t>Ejercicio 2016</w:t>
            </w:r>
          </w:p>
        </w:tc>
        <w:tc>
          <w:tcPr>
            <w:tcW w:w="2080" w:type="dxa"/>
            <w:shd w:val="clear" w:color="auto" w:fill="auto"/>
            <w:noWrap/>
            <w:vAlign w:val="center"/>
            <w:hideMark/>
          </w:tcPr>
          <w:p w14:paraId="3306CDA9" w14:textId="77777777" w:rsidR="00525B2B" w:rsidRPr="002D6189" w:rsidRDefault="00525B2B" w:rsidP="00E979C7">
            <w:pPr>
              <w:spacing w:line="360" w:lineRule="auto"/>
              <w:jc w:val="right"/>
              <w:rPr>
                <w:color w:val="000000"/>
                <w:sz w:val="20"/>
                <w:szCs w:val="20"/>
                <w:lang w:eastAsia="es-MX"/>
              </w:rPr>
            </w:pPr>
            <w:r w:rsidRPr="002D6189">
              <w:rPr>
                <w:color w:val="000000"/>
                <w:sz w:val="20"/>
                <w:szCs w:val="20"/>
                <w:lang w:eastAsia="es-MX"/>
              </w:rPr>
              <w:t>165.3</w:t>
            </w:r>
          </w:p>
        </w:tc>
      </w:tr>
      <w:tr w:rsidR="00525B2B" w:rsidRPr="00955A4C" w14:paraId="348811D0" w14:textId="77777777" w:rsidTr="00E979C7">
        <w:trPr>
          <w:trHeight w:val="209"/>
          <w:jc w:val="center"/>
        </w:trPr>
        <w:tc>
          <w:tcPr>
            <w:tcW w:w="1560" w:type="dxa"/>
            <w:shd w:val="clear" w:color="auto" w:fill="auto"/>
            <w:noWrap/>
            <w:vAlign w:val="center"/>
          </w:tcPr>
          <w:p w14:paraId="290D7798" w14:textId="77777777" w:rsidR="00525B2B" w:rsidRPr="002D6189" w:rsidRDefault="00525B2B" w:rsidP="00E979C7">
            <w:pPr>
              <w:spacing w:line="360" w:lineRule="auto"/>
              <w:rPr>
                <w:b/>
                <w:bCs/>
                <w:color w:val="000000"/>
                <w:sz w:val="20"/>
                <w:szCs w:val="20"/>
                <w:lang w:eastAsia="es-MX"/>
              </w:rPr>
            </w:pPr>
            <w:r w:rsidRPr="002D6189">
              <w:rPr>
                <w:b/>
                <w:bCs/>
                <w:color w:val="000000"/>
                <w:sz w:val="20"/>
                <w:szCs w:val="20"/>
                <w:lang w:eastAsia="es-MX"/>
              </w:rPr>
              <w:t>Ejercicio 2017</w:t>
            </w:r>
          </w:p>
        </w:tc>
        <w:tc>
          <w:tcPr>
            <w:tcW w:w="2080" w:type="dxa"/>
            <w:shd w:val="clear" w:color="auto" w:fill="auto"/>
            <w:noWrap/>
            <w:vAlign w:val="center"/>
          </w:tcPr>
          <w:p w14:paraId="04B1D013" w14:textId="77777777" w:rsidR="00525B2B" w:rsidRPr="002D6189" w:rsidRDefault="00525B2B" w:rsidP="00E979C7">
            <w:pPr>
              <w:spacing w:line="360" w:lineRule="auto"/>
              <w:jc w:val="right"/>
              <w:rPr>
                <w:bCs/>
                <w:color w:val="000000"/>
                <w:sz w:val="20"/>
                <w:szCs w:val="20"/>
                <w:highlight w:val="yellow"/>
                <w:lang w:eastAsia="es-MX"/>
              </w:rPr>
            </w:pPr>
            <w:r w:rsidRPr="002D6189">
              <w:rPr>
                <w:bCs/>
                <w:color w:val="000000"/>
                <w:sz w:val="20"/>
                <w:szCs w:val="20"/>
                <w:lang w:eastAsia="es-MX"/>
              </w:rPr>
              <w:t>26.6</w:t>
            </w:r>
          </w:p>
        </w:tc>
      </w:tr>
      <w:tr w:rsidR="00525B2B" w:rsidRPr="00955A4C" w14:paraId="51EC64E7" w14:textId="77777777" w:rsidTr="00E979C7">
        <w:trPr>
          <w:trHeight w:val="215"/>
          <w:jc w:val="center"/>
        </w:trPr>
        <w:tc>
          <w:tcPr>
            <w:tcW w:w="1560" w:type="dxa"/>
            <w:shd w:val="clear" w:color="auto" w:fill="auto"/>
            <w:noWrap/>
            <w:vAlign w:val="center"/>
          </w:tcPr>
          <w:p w14:paraId="63203925" w14:textId="77777777" w:rsidR="00525B2B" w:rsidRPr="002D6189" w:rsidRDefault="00525B2B" w:rsidP="00E979C7">
            <w:pPr>
              <w:spacing w:line="360" w:lineRule="auto"/>
              <w:rPr>
                <w:b/>
                <w:bCs/>
                <w:color w:val="000000"/>
                <w:sz w:val="20"/>
                <w:szCs w:val="20"/>
                <w:lang w:eastAsia="es-MX"/>
              </w:rPr>
            </w:pPr>
            <w:r w:rsidRPr="002D6189">
              <w:rPr>
                <w:b/>
                <w:bCs/>
                <w:color w:val="000000"/>
                <w:sz w:val="20"/>
                <w:szCs w:val="20"/>
                <w:lang w:eastAsia="es-MX"/>
              </w:rPr>
              <w:t>Ejercicio 2018</w:t>
            </w:r>
          </w:p>
        </w:tc>
        <w:tc>
          <w:tcPr>
            <w:tcW w:w="2080" w:type="dxa"/>
            <w:shd w:val="clear" w:color="auto" w:fill="auto"/>
            <w:noWrap/>
            <w:vAlign w:val="center"/>
          </w:tcPr>
          <w:p w14:paraId="663D1F73" w14:textId="77777777" w:rsidR="00525B2B" w:rsidRPr="002D6189" w:rsidRDefault="00525B2B" w:rsidP="00E979C7">
            <w:pPr>
              <w:spacing w:line="360" w:lineRule="auto"/>
              <w:jc w:val="right"/>
              <w:rPr>
                <w:bCs/>
                <w:color w:val="000000"/>
                <w:sz w:val="20"/>
                <w:szCs w:val="20"/>
                <w:lang w:eastAsia="es-MX"/>
              </w:rPr>
            </w:pPr>
            <w:r w:rsidRPr="002D6189">
              <w:rPr>
                <w:bCs/>
                <w:color w:val="000000"/>
                <w:sz w:val="20"/>
                <w:szCs w:val="20"/>
                <w:lang w:eastAsia="es-MX"/>
              </w:rPr>
              <w:t>31.0</w:t>
            </w:r>
          </w:p>
        </w:tc>
      </w:tr>
      <w:tr w:rsidR="00525B2B" w:rsidRPr="00955A4C" w14:paraId="2423C804" w14:textId="77777777" w:rsidTr="00E979C7">
        <w:trPr>
          <w:trHeight w:val="215"/>
          <w:jc w:val="center"/>
        </w:trPr>
        <w:tc>
          <w:tcPr>
            <w:tcW w:w="1560" w:type="dxa"/>
            <w:shd w:val="clear" w:color="auto" w:fill="auto"/>
            <w:noWrap/>
            <w:vAlign w:val="center"/>
          </w:tcPr>
          <w:p w14:paraId="74E7E1DC" w14:textId="77777777" w:rsidR="00525B2B" w:rsidRPr="002D6189" w:rsidRDefault="00525B2B" w:rsidP="00E979C7">
            <w:pPr>
              <w:spacing w:line="360" w:lineRule="auto"/>
              <w:rPr>
                <w:b/>
                <w:bCs/>
                <w:color w:val="000000"/>
                <w:sz w:val="20"/>
                <w:szCs w:val="20"/>
                <w:lang w:eastAsia="es-MX"/>
              </w:rPr>
            </w:pPr>
            <w:r w:rsidRPr="002D6189">
              <w:rPr>
                <w:b/>
                <w:bCs/>
                <w:color w:val="000000"/>
                <w:sz w:val="20"/>
                <w:szCs w:val="20"/>
                <w:lang w:eastAsia="es-MX"/>
              </w:rPr>
              <w:t>Ejercicio 2019</w:t>
            </w:r>
          </w:p>
        </w:tc>
        <w:tc>
          <w:tcPr>
            <w:tcW w:w="2080" w:type="dxa"/>
            <w:shd w:val="clear" w:color="auto" w:fill="auto"/>
            <w:noWrap/>
            <w:vAlign w:val="center"/>
          </w:tcPr>
          <w:p w14:paraId="7ED09CFE" w14:textId="77777777" w:rsidR="00525B2B" w:rsidRPr="002D6189" w:rsidRDefault="00525B2B" w:rsidP="00E979C7">
            <w:pPr>
              <w:spacing w:line="360" w:lineRule="auto"/>
              <w:jc w:val="right"/>
              <w:rPr>
                <w:bCs/>
                <w:color w:val="000000"/>
                <w:sz w:val="20"/>
                <w:szCs w:val="20"/>
                <w:lang w:eastAsia="es-MX"/>
              </w:rPr>
            </w:pPr>
            <w:r w:rsidRPr="002D6189">
              <w:rPr>
                <w:bCs/>
                <w:color w:val="000000"/>
                <w:sz w:val="20"/>
                <w:szCs w:val="20"/>
                <w:lang w:eastAsia="es-MX"/>
              </w:rPr>
              <w:t>55.0</w:t>
            </w:r>
          </w:p>
        </w:tc>
      </w:tr>
      <w:tr w:rsidR="00525B2B" w:rsidRPr="00955A4C" w14:paraId="70DBE319" w14:textId="77777777" w:rsidTr="00E979C7">
        <w:trPr>
          <w:trHeight w:val="215"/>
          <w:jc w:val="center"/>
        </w:trPr>
        <w:tc>
          <w:tcPr>
            <w:tcW w:w="1560" w:type="dxa"/>
            <w:shd w:val="clear" w:color="auto" w:fill="auto"/>
            <w:noWrap/>
            <w:vAlign w:val="center"/>
          </w:tcPr>
          <w:p w14:paraId="0BBD1228" w14:textId="77777777" w:rsidR="00525B2B" w:rsidRPr="002D6189" w:rsidRDefault="00525B2B" w:rsidP="00E979C7">
            <w:pPr>
              <w:spacing w:line="360" w:lineRule="auto"/>
              <w:rPr>
                <w:b/>
                <w:bCs/>
                <w:color w:val="000000"/>
                <w:sz w:val="20"/>
                <w:szCs w:val="20"/>
                <w:lang w:eastAsia="es-MX"/>
              </w:rPr>
            </w:pPr>
            <w:r w:rsidRPr="002D6189">
              <w:rPr>
                <w:b/>
                <w:bCs/>
                <w:color w:val="000000"/>
                <w:sz w:val="20"/>
                <w:szCs w:val="20"/>
                <w:lang w:eastAsia="es-MX"/>
              </w:rPr>
              <w:t>Ejercicio 2020</w:t>
            </w:r>
          </w:p>
        </w:tc>
        <w:tc>
          <w:tcPr>
            <w:tcW w:w="2080" w:type="dxa"/>
            <w:shd w:val="clear" w:color="auto" w:fill="auto"/>
            <w:noWrap/>
            <w:vAlign w:val="center"/>
          </w:tcPr>
          <w:p w14:paraId="6F6E2DB1" w14:textId="77777777" w:rsidR="00525B2B" w:rsidRPr="002D6189" w:rsidRDefault="00525B2B" w:rsidP="00E979C7">
            <w:pPr>
              <w:spacing w:line="360" w:lineRule="auto"/>
              <w:jc w:val="right"/>
              <w:rPr>
                <w:bCs/>
                <w:color w:val="000000"/>
                <w:sz w:val="20"/>
                <w:szCs w:val="20"/>
                <w:lang w:eastAsia="es-MX"/>
              </w:rPr>
            </w:pPr>
            <w:r w:rsidRPr="002D6189">
              <w:rPr>
                <w:bCs/>
                <w:color w:val="000000"/>
                <w:sz w:val="20"/>
                <w:szCs w:val="20"/>
                <w:lang w:eastAsia="es-MX"/>
              </w:rPr>
              <w:t>80.5</w:t>
            </w:r>
          </w:p>
        </w:tc>
      </w:tr>
      <w:tr w:rsidR="00836AD0" w:rsidRPr="00955A4C" w14:paraId="716D82AA" w14:textId="77777777" w:rsidTr="00E979C7">
        <w:trPr>
          <w:trHeight w:val="215"/>
          <w:jc w:val="center"/>
        </w:trPr>
        <w:tc>
          <w:tcPr>
            <w:tcW w:w="1560" w:type="dxa"/>
            <w:shd w:val="clear" w:color="auto" w:fill="auto"/>
            <w:noWrap/>
            <w:vAlign w:val="center"/>
          </w:tcPr>
          <w:p w14:paraId="77D5FD7A" w14:textId="00908564" w:rsidR="00836AD0" w:rsidRPr="002D6189" w:rsidRDefault="00836AD0" w:rsidP="00836AD0">
            <w:pPr>
              <w:spacing w:line="360" w:lineRule="auto"/>
              <w:rPr>
                <w:b/>
                <w:bCs/>
                <w:color w:val="000000"/>
                <w:sz w:val="20"/>
                <w:szCs w:val="20"/>
                <w:lang w:eastAsia="es-MX"/>
              </w:rPr>
            </w:pPr>
            <w:r w:rsidRPr="002D6189">
              <w:rPr>
                <w:b/>
                <w:bCs/>
                <w:color w:val="000000"/>
                <w:sz w:val="20"/>
                <w:szCs w:val="20"/>
                <w:lang w:eastAsia="es-MX"/>
              </w:rPr>
              <w:lastRenderedPageBreak/>
              <w:t>Ejercicio 2021</w:t>
            </w:r>
          </w:p>
        </w:tc>
        <w:tc>
          <w:tcPr>
            <w:tcW w:w="2080" w:type="dxa"/>
            <w:shd w:val="clear" w:color="auto" w:fill="auto"/>
            <w:noWrap/>
            <w:vAlign w:val="center"/>
          </w:tcPr>
          <w:p w14:paraId="676A3B30" w14:textId="4359F39E" w:rsidR="00836AD0" w:rsidRPr="002D6189" w:rsidRDefault="00836AD0" w:rsidP="00836AD0">
            <w:pPr>
              <w:spacing w:line="360" w:lineRule="auto"/>
              <w:jc w:val="right"/>
              <w:rPr>
                <w:bCs/>
                <w:color w:val="000000"/>
                <w:sz w:val="20"/>
                <w:szCs w:val="20"/>
                <w:lang w:eastAsia="es-MX"/>
              </w:rPr>
            </w:pPr>
            <w:r w:rsidRPr="0077102A">
              <w:rPr>
                <w:bCs/>
                <w:color w:val="000000"/>
                <w:sz w:val="20"/>
                <w:szCs w:val="20"/>
                <w:lang w:eastAsia="es-MX"/>
              </w:rPr>
              <w:t>49.6</w:t>
            </w:r>
          </w:p>
        </w:tc>
      </w:tr>
      <w:tr w:rsidR="00836AD0" w:rsidRPr="00955A4C" w14:paraId="2100B49E" w14:textId="77777777" w:rsidTr="00E979C7">
        <w:trPr>
          <w:trHeight w:val="215"/>
          <w:jc w:val="center"/>
        </w:trPr>
        <w:tc>
          <w:tcPr>
            <w:tcW w:w="1560" w:type="dxa"/>
            <w:shd w:val="clear" w:color="auto" w:fill="auto"/>
            <w:noWrap/>
            <w:vAlign w:val="center"/>
          </w:tcPr>
          <w:p w14:paraId="3EA42367" w14:textId="79608352" w:rsidR="00836AD0" w:rsidRPr="002D6189" w:rsidRDefault="00836AD0" w:rsidP="00836AD0">
            <w:pPr>
              <w:spacing w:line="360" w:lineRule="auto"/>
              <w:jc w:val="center"/>
              <w:rPr>
                <w:b/>
                <w:bCs/>
                <w:color w:val="000000"/>
                <w:sz w:val="20"/>
                <w:szCs w:val="20"/>
                <w:lang w:eastAsia="es-MX"/>
              </w:rPr>
            </w:pPr>
            <w:r>
              <w:rPr>
                <w:b/>
                <w:bCs/>
                <w:color w:val="000000"/>
                <w:sz w:val="20"/>
                <w:szCs w:val="20"/>
                <w:lang w:eastAsia="es-MX"/>
              </w:rPr>
              <w:t>*Ejercicio 2022</w:t>
            </w:r>
          </w:p>
        </w:tc>
        <w:tc>
          <w:tcPr>
            <w:tcW w:w="2080" w:type="dxa"/>
            <w:shd w:val="clear" w:color="auto" w:fill="auto"/>
            <w:noWrap/>
            <w:vAlign w:val="center"/>
          </w:tcPr>
          <w:p w14:paraId="39EF00DB" w14:textId="7D68D105" w:rsidR="00836AD0" w:rsidRPr="002D6189" w:rsidRDefault="00836AD0" w:rsidP="00836AD0">
            <w:pPr>
              <w:spacing w:line="360" w:lineRule="auto"/>
              <w:jc w:val="right"/>
              <w:rPr>
                <w:b/>
                <w:bCs/>
                <w:color w:val="000000"/>
                <w:sz w:val="20"/>
                <w:szCs w:val="20"/>
                <w:lang w:eastAsia="es-MX"/>
              </w:rPr>
            </w:pPr>
            <w:r w:rsidRPr="0077102A">
              <w:rPr>
                <w:b/>
                <w:bCs/>
                <w:color w:val="000000"/>
                <w:sz w:val="20"/>
                <w:szCs w:val="20"/>
                <w:lang w:eastAsia="es-MX"/>
              </w:rPr>
              <w:t>35.0</w:t>
            </w:r>
          </w:p>
        </w:tc>
      </w:tr>
      <w:tr w:rsidR="00836AD0" w:rsidRPr="00955A4C" w14:paraId="23D4CD89" w14:textId="77777777" w:rsidTr="00E979C7">
        <w:trPr>
          <w:trHeight w:val="236"/>
          <w:jc w:val="center"/>
        </w:trPr>
        <w:tc>
          <w:tcPr>
            <w:tcW w:w="1560" w:type="dxa"/>
            <w:shd w:val="clear" w:color="auto" w:fill="auto"/>
            <w:noWrap/>
            <w:vAlign w:val="center"/>
            <w:hideMark/>
          </w:tcPr>
          <w:p w14:paraId="331DC9D2" w14:textId="40062315" w:rsidR="00836AD0" w:rsidRPr="002D6189" w:rsidRDefault="00836AD0" w:rsidP="00836AD0">
            <w:pPr>
              <w:spacing w:line="360" w:lineRule="auto"/>
              <w:jc w:val="center"/>
              <w:rPr>
                <w:b/>
                <w:bCs/>
                <w:color w:val="000000"/>
                <w:sz w:val="20"/>
                <w:szCs w:val="20"/>
                <w:lang w:eastAsia="es-MX"/>
              </w:rPr>
            </w:pPr>
            <w:r w:rsidRPr="002D6189">
              <w:rPr>
                <w:b/>
                <w:bCs/>
                <w:color w:val="000000"/>
                <w:sz w:val="20"/>
                <w:szCs w:val="20"/>
                <w:lang w:eastAsia="es-MX"/>
              </w:rPr>
              <w:t>SUMA</w:t>
            </w:r>
          </w:p>
        </w:tc>
        <w:tc>
          <w:tcPr>
            <w:tcW w:w="2080" w:type="dxa"/>
            <w:shd w:val="clear" w:color="auto" w:fill="auto"/>
            <w:noWrap/>
            <w:vAlign w:val="center"/>
            <w:hideMark/>
          </w:tcPr>
          <w:p w14:paraId="18D44E84" w14:textId="37742228" w:rsidR="00836AD0" w:rsidRPr="002D6189" w:rsidRDefault="00836AD0" w:rsidP="00836AD0">
            <w:pPr>
              <w:spacing w:line="360" w:lineRule="auto"/>
              <w:jc w:val="right"/>
              <w:rPr>
                <w:b/>
                <w:bCs/>
                <w:color w:val="000000"/>
                <w:sz w:val="20"/>
                <w:szCs w:val="20"/>
                <w:lang w:eastAsia="es-MX"/>
              </w:rPr>
            </w:pPr>
            <w:r w:rsidRPr="002D6189">
              <w:rPr>
                <w:b/>
                <w:bCs/>
                <w:color w:val="000000"/>
                <w:sz w:val="20"/>
                <w:szCs w:val="20"/>
                <w:lang w:eastAsia="es-MX"/>
              </w:rPr>
              <w:t>7</w:t>
            </w:r>
            <w:r>
              <w:rPr>
                <w:b/>
                <w:bCs/>
                <w:color w:val="000000"/>
                <w:sz w:val="20"/>
                <w:szCs w:val="20"/>
                <w:lang w:eastAsia="es-MX"/>
              </w:rPr>
              <w:t>81.3</w:t>
            </w:r>
          </w:p>
        </w:tc>
      </w:tr>
    </w:tbl>
    <w:p w14:paraId="35DDC15C" w14:textId="624F180D" w:rsidR="00525B2B" w:rsidRPr="00955A4C" w:rsidRDefault="00525B2B" w:rsidP="00525B2B">
      <w:pPr>
        <w:spacing w:line="360" w:lineRule="auto"/>
        <w:ind w:left="2268"/>
        <w:rPr>
          <w:b/>
          <w:sz w:val="20"/>
          <w:szCs w:val="20"/>
        </w:rPr>
      </w:pPr>
      <w:r>
        <w:rPr>
          <w:b/>
          <w:sz w:val="20"/>
          <w:szCs w:val="20"/>
        </w:rPr>
        <w:t>* Cifra estimada al cierre</w:t>
      </w:r>
      <w:r w:rsidRPr="00955A4C">
        <w:rPr>
          <w:b/>
          <w:sz w:val="20"/>
          <w:szCs w:val="20"/>
        </w:rPr>
        <w:t xml:space="preserve"> 20</w:t>
      </w:r>
      <w:r>
        <w:rPr>
          <w:b/>
          <w:sz w:val="20"/>
          <w:szCs w:val="20"/>
        </w:rPr>
        <w:t>2</w:t>
      </w:r>
      <w:r w:rsidR="00836AD0">
        <w:rPr>
          <w:b/>
          <w:sz w:val="20"/>
          <w:szCs w:val="20"/>
        </w:rPr>
        <w:t>2</w:t>
      </w:r>
    </w:p>
    <w:p w14:paraId="5AA1BF73" w14:textId="77777777" w:rsidR="009C2AB9" w:rsidRDefault="009C2AB9" w:rsidP="00525B2B">
      <w:pPr>
        <w:spacing w:line="360" w:lineRule="auto"/>
        <w:jc w:val="both"/>
        <w:rPr>
          <w:sz w:val="20"/>
          <w:szCs w:val="20"/>
        </w:rPr>
      </w:pPr>
    </w:p>
    <w:p w14:paraId="174FAFEE" w14:textId="0AA8F58C" w:rsidR="00525B2B" w:rsidRDefault="00525B2B" w:rsidP="00525B2B">
      <w:pPr>
        <w:spacing w:line="360" w:lineRule="auto"/>
        <w:jc w:val="both"/>
        <w:rPr>
          <w:sz w:val="20"/>
          <w:szCs w:val="20"/>
        </w:rPr>
      </w:pPr>
      <w:r w:rsidRPr="00BE1C47">
        <w:rPr>
          <w:sz w:val="20"/>
          <w:szCs w:val="20"/>
        </w:rPr>
        <w:t>Los ingresos propios</w:t>
      </w:r>
      <w:r w:rsidRPr="00955A4C">
        <w:rPr>
          <w:sz w:val="20"/>
          <w:szCs w:val="20"/>
        </w:rPr>
        <w:t xml:space="preserve"> de Pensiones Civiles del Estado de Tlaxcala, se han visto incrementados, </w:t>
      </w:r>
      <w:r>
        <w:rPr>
          <w:sz w:val="20"/>
          <w:szCs w:val="20"/>
        </w:rPr>
        <w:t xml:space="preserve">a partir, de la reforma, como se observa a </w:t>
      </w:r>
      <w:r w:rsidRPr="00955A4C">
        <w:rPr>
          <w:sz w:val="20"/>
          <w:szCs w:val="20"/>
        </w:rPr>
        <w:t>continuación:</w:t>
      </w:r>
    </w:p>
    <w:p w14:paraId="0EE0A094" w14:textId="77777777" w:rsidR="009C2AB9" w:rsidRPr="00955A4C" w:rsidRDefault="009C2AB9" w:rsidP="00525B2B">
      <w:pPr>
        <w:spacing w:line="360" w:lineRule="auto"/>
        <w:jc w:val="both"/>
        <w:rPr>
          <w:sz w:val="20"/>
          <w:szCs w:val="20"/>
        </w:rPr>
      </w:pPr>
    </w:p>
    <w:tbl>
      <w:tblPr>
        <w:tblW w:w="3440" w:type="dxa"/>
        <w:jc w:val="center"/>
        <w:tblCellMar>
          <w:left w:w="70" w:type="dxa"/>
          <w:right w:w="70" w:type="dxa"/>
        </w:tblCellMar>
        <w:tblLook w:val="04A0" w:firstRow="1" w:lastRow="0" w:firstColumn="1" w:lastColumn="0" w:noHBand="0" w:noVBand="1"/>
      </w:tblPr>
      <w:tblGrid>
        <w:gridCol w:w="1540"/>
        <w:gridCol w:w="1900"/>
      </w:tblGrid>
      <w:tr w:rsidR="00525B2B" w:rsidRPr="00955A4C" w14:paraId="0BB3D3F6" w14:textId="77777777" w:rsidTr="00E979C7">
        <w:trPr>
          <w:trHeight w:val="911"/>
          <w:tblHeader/>
          <w:jc w:val="center"/>
        </w:trPr>
        <w:tc>
          <w:tcPr>
            <w:tcW w:w="154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71CF834" w14:textId="77777777" w:rsidR="00525B2B" w:rsidRPr="00955A4C" w:rsidRDefault="00525B2B" w:rsidP="00E979C7">
            <w:pPr>
              <w:spacing w:line="360" w:lineRule="auto"/>
              <w:jc w:val="center"/>
              <w:rPr>
                <w:b/>
                <w:bCs/>
                <w:color w:val="000000"/>
                <w:sz w:val="20"/>
                <w:szCs w:val="20"/>
                <w:lang w:eastAsia="es-MX"/>
              </w:rPr>
            </w:pPr>
            <w:r w:rsidRPr="00955A4C">
              <w:rPr>
                <w:b/>
                <w:bCs/>
                <w:color w:val="000000"/>
                <w:sz w:val="20"/>
                <w:szCs w:val="20"/>
                <w:lang w:eastAsia="es-MX"/>
              </w:rPr>
              <w:t>AÑO</w:t>
            </w:r>
          </w:p>
        </w:tc>
        <w:tc>
          <w:tcPr>
            <w:tcW w:w="190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D6ACC50" w14:textId="77777777" w:rsidR="00525B2B" w:rsidRDefault="00525B2B" w:rsidP="00E979C7">
            <w:pPr>
              <w:spacing w:line="360" w:lineRule="auto"/>
              <w:jc w:val="center"/>
              <w:rPr>
                <w:b/>
                <w:bCs/>
                <w:color w:val="000000"/>
                <w:sz w:val="20"/>
                <w:szCs w:val="20"/>
                <w:lang w:eastAsia="es-MX"/>
              </w:rPr>
            </w:pPr>
            <w:r w:rsidRPr="00955A4C">
              <w:rPr>
                <w:b/>
                <w:bCs/>
                <w:color w:val="000000"/>
                <w:sz w:val="20"/>
                <w:szCs w:val="20"/>
                <w:lang w:eastAsia="es-MX"/>
              </w:rPr>
              <w:t>APORTACIONES Y RETENCIONES</w:t>
            </w:r>
          </w:p>
          <w:p w14:paraId="652D08B4" w14:textId="77777777" w:rsidR="00525B2B" w:rsidRPr="00955A4C" w:rsidRDefault="00525B2B" w:rsidP="00E979C7">
            <w:pPr>
              <w:spacing w:line="360" w:lineRule="auto"/>
              <w:jc w:val="center"/>
              <w:rPr>
                <w:b/>
                <w:bCs/>
                <w:color w:val="000000"/>
                <w:sz w:val="20"/>
                <w:szCs w:val="20"/>
                <w:lang w:eastAsia="es-MX"/>
              </w:rPr>
            </w:pPr>
            <w:r>
              <w:rPr>
                <w:b/>
                <w:bCs/>
                <w:color w:val="000000"/>
                <w:sz w:val="20"/>
                <w:szCs w:val="20"/>
                <w:lang w:eastAsia="es-MX"/>
              </w:rPr>
              <w:t>(MDP)</w:t>
            </w:r>
          </w:p>
        </w:tc>
      </w:tr>
      <w:tr w:rsidR="00525B2B" w:rsidRPr="00955A4C" w14:paraId="50F65EAA" w14:textId="77777777" w:rsidTr="00E979C7">
        <w:trPr>
          <w:trHeight w:val="510"/>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0CD72D6E" w14:textId="77777777" w:rsidR="00525B2B" w:rsidRPr="00955A4C" w:rsidRDefault="00525B2B" w:rsidP="00E979C7">
            <w:pPr>
              <w:spacing w:line="360" w:lineRule="auto"/>
              <w:rPr>
                <w:b/>
                <w:bCs/>
                <w:color w:val="000000"/>
                <w:sz w:val="20"/>
                <w:szCs w:val="20"/>
                <w:lang w:eastAsia="es-MX"/>
              </w:rPr>
            </w:pPr>
            <w:r w:rsidRPr="00955A4C">
              <w:rPr>
                <w:b/>
                <w:bCs/>
                <w:color w:val="000000"/>
                <w:sz w:val="20"/>
                <w:szCs w:val="20"/>
                <w:lang w:eastAsia="es-MX"/>
              </w:rPr>
              <w:t>Ejercicio 2011</w:t>
            </w:r>
          </w:p>
        </w:tc>
        <w:tc>
          <w:tcPr>
            <w:tcW w:w="1900" w:type="dxa"/>
            <w:tcBorders>
              <w:top w:val="nil"/>
              <w:left w:val="nil"/>
              <w:bottom w:val="single" w:sz="4" w:space="0" w:color="auto"/>
              <w:right w:val="single" w:sz="4" w:space="0" w:color="auto"/>
            </w:tcBorders>
            <w:shd w:val="clear" w:color="auto" w:fill="auto"/>
            <w:noWrap/>
            <w:vAlign w:val="center"/>
            <w:hideMark/>
          </w:tcPr>
          <w:p w14:paraId="35F69D1E" w14:textId="77777777" w:rsidR="00525B2B" w:rsidRPr="00955A4C" w:rsidRDefault="00525B2B" w:rsidP="00E979C7">
            <w:pPr>
              <w:spacing w:line="360" w:lineRule="auto"/>
              <w:jc w:val="right"/>
              <w:rPr>
                <w:color w:val="000000"/>
                <w:sz w:val="20"/>
                <w:szCs w:val="20"/>
                <w:lang w:eastAsia="es-MX"/>
              </w:rPr>
            </w:pPr>
            <w:r w:rsidRPr="00955A4C">
              <w:rPr>
                <w:color w:val="000000"/>
                <w:sz w:val="20"/>
                <w:szCs w:val="20"/>
                <w:lang w:eastAsia="es-MX"/>
              </w:rPr>
              <w:t xml:space="preserve">100.9 </w:t>
            </w:r>
          </w:p>
        </w:tc>
      </w:tr>
      <w:tr w:rsidR="00525B2B" w:rsidRPr="00955A4C" w14:paraId="4AE6F3FA" w14:textId="77777777" w:rsidTr="00E979C7">
        <w:trPr>
          <w:trHeight w:val="510"/>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169A86A3" w14:textId="77777777" w:rsidR="00525B2B" w:rsidRPr="00955A4C" w:rsidRDefault="00525B2B" w:rsidP="00E979C7">
            <w:pPr>
              <w:spacing w:line="360" w:lineRule="auto"/>
              <w:rPr>
                <w:b/>
                <w:bCs/>
                <w:color w:val="000000"/>
                <w:sz w:val="20"/>
                <w:szCs w:val="20"/>
                <w:lang w:eastAsia="es-MX"/>
              </w:rPr>
            </w:pPr>
            <w:r w:rsidRPr="00955A4C">
              <w:rPr>
                <w:b/>
                <w:bCs/>
                <w:color w:val="000000"/>
                <w:sz w:val="20"/>
                <w:szCs w:val="20"/>
                <w:lang w:eastAsia="es-MX"/>
              </w:rPr>
              <w:t>Ejercicio 2012</w:t>
            </w:r>
          </w:p>
        </w:tc>
        <w:tc>
          <w:tcPr>
            <w:tcW w:w="1900" w:type="dxa"/>
            <w:tcBorders>
              <w:top w:val="nil"/>
              <w:left w:val="nil"/>
              <w:bottom w:val="single" w:sz="4" w:space="0" w:color="auto"/>
              <w:right w:val="single" w:sz="4" w:space="0" w:color="auto"/>
            </w:tcBorders>
            <w:shd w:val="clear" w:color="auto" w:fill="auto"/>
            <w:noWrap/>
            <w:vAlign w:val="center"/>
            <w:hideMark/>
          </w:tcPr>
          <w:p w14:paraId="412BDDC0" w14:textId="77777777" w:rsidR="00525B2B" w:rsidRPr="00955A4C" w:rsidRDefault="00525B2B" w:rsidP="00E979C7">
            <w:pPr>
              <w:spacing w:line="360" w:lineRule="auto"/>
              <w:jc w:val="right"/>
              <w:rPr>
                <w:color w:val="000000"/>
                <w:sz w:val="20"/>
                <w:szCs w:val="20"/>
                <w:lang w:eastAsia="es-MX"/>
              </w:rPr>
            </w:pPr>
            <w:r w:rsidRPr="00955A4C">
              <w:rPr>
                <w:color w:val="000000"/>
                <w:sz w:val="20"/>
                <w:szCs w:val="20"/>
                <w:lang w:eastAsia="es-MX"/>
              </w:rPr>
              <w:t xml:space="preserve">103.3 </w:t>
            </w:r>
          </w:p>
        </w:tc>
      </w:tr>
      <w:tr w:rsidR="00525B2B" w:rsidRPr="00955A4C" w14:paraId="702A5D5E" w14:textId="77777777" w:rsidTr="00E979C7">
        <w:trPr>
          <w:trHeight w:val="510"/>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192AA6DF" w14:textId="77777777" w:rsidR="00525B2B" w:rsidRPr="00955A4C" w:rsidRDefault="00525B2B" w:rsidP="00E979C7">
            <w:pPr>
              <w:spacing w:line="360" w:lineRule="auto"/>
              <w:rPr>
                <w:b/>
                <w:bCs/>
                <w:color w:val="000000"/>
                <w:sz w:val="20"/>
                <w:szCs w:val="20"/>
                <w:lang w:eastAsia="es-MX"/>
              </w:rPr>
            </w:pPr>
            <w:r w:rsidRPr="00955A4C">
              <w:rPr>
                <w:b/>
                <w:bCs/>
                <w:color w:val="000000"/>
                <w:sz w:val="20"/>
                <w:szCs w:val="20"/>
                <w:lang w:eastAsia="es-MX"/>
              </w:rPr>
              <w:t>Ejercicio 2013</w:t>
            </w:r>
          </w:p>
        </w:tc>
        <w:tc>
          <w:tcPr>
            <w:tcW w:w="1900" w:type="dxa"/>
            <w:tcBorders>
              <w:top w:val="nil"/>
              <w:left w:val="nil"/>
              <w:bottom w:val="single" w:sz="4" w:space="0" w:color="auto"/>
              <w:right w:val="single" w:sz="4" w:space="0" w:color="auto"/>
            </w:tcBorders>
            <w:shd w:val="clear" w:color="auto" w:fill="auto"/>
            <w:noWrap/>
            <w:vAlign w:val="center"/>
            <w:hideMark/>
          </w:tcPr>
          <w:p w14:paraId="145085D1" w14:textId="77777777" w:rsidR="00525B2B" w:rsidRPr="00955A4C" w:rsidRDefault="00525B2B" w:rsidP="00E979C7">
            <w:pPr>
              <w:spacing w:line="360" w:lineRule="auto"/>
              <w:jc w:val="right"/>
              <w:rPr>
                <w:color w:val="000000"/>
                <w:sz w:val="20"/>
                <w:szCs w:val="20"/>
                <w:lang w:eastAsia="es-MX"/>
              </w:rPr>
            </w:pPr>
            <w:r w:rsidRPr="00955A4C">
              <w:rPr>
                <w:color w:val="000000"/>
                <w:sz w:val="20"/>
                <w:szCs w:val="20"/>
                <w:lang w:eastAsia="es-MX"/>
              </w:rPr>
              <w:t xml:space="preserve">205.9 </w:t>
            </w:r>
          </w:p>
        </w:tc>
      </w:tr>
      <w:tr w:rsidR="00525B2B" w:rsidRPr="00955A4C" w14:paraId="58226657" w14:textId="77777777" w:rsidTr="00E979C7">
        <w:trPr>
          <w:trHeight w:val="510"/>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244CD311" w14:textId="77777777" w:rsidR="00525B2B" w:rsidRPr="00955A4C" w:rsidRDefault="00525B2B" w:rsidP="00E979C7">
            <w:pPr>
              <w:spacing w:line="360" w:lineRule="auto"/>
              <w:rPr>
                <w:b/>
                <w:bCs/>
                <w:color w:val="000000"/>
                <w:sz w:val="20"/>
                <w:szCs w:val="20"/>
                <w:lang w:eastAsia="es-MX"/>
              </w:rPr>
            </w:pPr>
            <w:r w:rsidRPr="00955A4C">
              <w:rPr>
                <w:b/>
                <w:bCs/>
                <w:color w:val="000000"/>
                <w:sz w:val="20"/>
                <w:szCs w:val="20"/>
                <w:lang w:eastAsia="es-MX"/>
              </w:rPr>
              <w:t>Ejercicio 2014</w:t>
            </w:r>
          </w:p>
        </w:tc>
        <w:tc>
          <w:tcPr>
            <w:tcW w:w="1900" w:type="dxa"/>
            <w:tcBorders>
              <w:top w:val="nil"/>
              <w:left w:val="nil"/>
              <w:bottom w:val="single" w:sz="4" w:space="0" w:color="auto"/>
              <w:right w:val="single" w:sz="4" w:space="0" w:color="auto"/>
            </w:tcBorders>
            <w:shd w:val="clear" w:color="auto" w:fill="auto"/>
            <w:noWrap/>
            <w:vAlign w:val="center"/>
            <w:hideMark/>
          </w:tcPr>
          <w:p w14:paraId="3249E6A7" w14:textId="77777777" w:rsidR="00525B2B" w:rsidRPr="00955A4C" w:rsidRDefault="00525B2B" w:rsidP="00E979C7">
            <w:pPr>
              <w:spacing w:line="360" w:lineRule="auto"/>
              <w:jc w:val="right"/>
              <w:rPr>
                <w:color w:val="000000"/>
                <w:sz w:val="20"/>
                <w:szCs w:val="20"/>
                <w:lang w:eastAsia="es-MX"/>
              </w:rPr>
            </w:pPr>
            <w:r w:rsidRPr="00955A4C">
              <w:rPr>
                <w:color w:val="000000"/>
                <w:sz w:val="20"/>
                <w:szCs w:val="20"/>
                <w:lang w:eastAsia="es-MX"/>
              </w:rPr>
              <w:t xml:space="preserve">221.2 </w:t>
            </w:r>
          </w:p>
        </w:tc>
      </w:tr>
      <w:tr w:rsidR="00525B2B" w:rsidRPr="00955A4C" w14:paraId="3AD6CE0A" w14:textId="77777777" w:rsidTr="00E979C7">
        <w:trPr>
          <w:trHeight w:val="510"/>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3ABCF0FF" w14:textId="77777777" w:rsidR="00525B2B" w:rsidRPr="00955A4C" w:rsidRDefault="00525B2B" w:rsidP="00E979C7">
            <w:pPr>
              <w:spacing w:line="360" w:lineRule="auto"/>
              <w:rPr>
                <w:b/>
                <w:bCs/>
                <w:color w:val="000000"/>
                <w:sz w:val="20"/>
                <w:szCs w:val="20"/>
                <w:lang w:eastAsia="es-MX"/>
              </w:rPr>
            </w:pPr>
            <w:r w:rsidRPr="00955A4C">
              <w:rPr>
                <w:b/>
                <w:bCs/>
                <w:color w:val="000000"/>
                <w:sz w:val="20"/>
                <w:szCs w:val="20"/>
                <w:lang w:eastAsia="es-MX"/>
              </w:rPr>
              <w:t>Ejercicio 2015</w:t>
            </w:r>
          </w:p>
        </w:tc>
        <w:tc>
          <w:tcPr>
            <w:tcW w:w="1900" w:type="dxa"/>
            <w:tcBorders>
              <w:top w:val="nil"/>
              <w:left w:val="nil"/>
              <w:bottom w:val="single" w:sz="4" w:space="0" w:color="auto"/>
              <w:right w:val="single" w:sz="4" w:space="0" w:color="auto"/>
            </w:tcBorders>
            <w:shd w:val="clear" w:color="auto" w:fill="auto"/>
            <w:noWrap/>
            <w:vAlign w:val="center"/>
            <w:hideMark/>
          </w:tcPr>
          <w:p w14:paraId="7D7634DC" w14:textId="77777777" w:rsidR="00525B2B" w:rsidRPr="00955A4C" w:rsidRDefault="00525B2B" w:rsidP="00E979C7">
            <w:pPr>
              <w:spacing w:line="360" w:lineRule="auto"/>
              <w:jc w:val="right"/>
              <w:rPr>
                <w:color w:val="000000"/>
                <w:sz w:val="20"/>
                <w:szCs w:val="20"/>
                <w:lang w:eastAsia="es-MX"/>
              </w:rPr>
            </w:pPr>
            <w:r w:rsidRPr="00955A4C">
              <w:rPr>
                <w:color w:val="000000"/>
                <w:sz w:val="20"/>
                <w:szCs w:val="20"/>
                <w:lang w:eastAsia="es-MX"/>
              </w:rPr>
              <w:t xml:space="preserve">223.9 </w:t>
            </w:r>
          </w:p>
        </w:tc>
      </w:tr>
      <w:tr w:rsidR="00525B2B" w:rsidRPr="00955A4C" w14:paraId="48F40BFF" w14:textId="77777777" w:rsidTr="00E979C7">
        <w:trPr>
          <w:trHeight w:val="387"/>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5DAB21AF" w14:textId="77777777" w:rsidR="00525B2B" w:rsidRPr="00955A4C" w:rsidRDefault="00525B2B" w:rsidP="00E979C7">
            <w:pPr>
              <w:spacing w:line="360" w:lineRule="auto"/>
              <w:rPr>
                <w:b/>
                <w:bCs/>
                <w:color w:val="000000"/>
                <w:sz w:val="20"/>
                <w:szCs w:val="20"/>
                <w:lang w:eastAsia="es-MX"/>
              </w:rPr>
            </w:pPr>
            <w:r w:rsidRPr="00955A4C">
              <w:rPr>
                <w:b/>
                <w:bCs/>
                <w:color w:val="000000"/>
                <w:sz w:val="20"/>
                <w:szCs w:val="20"/>
                <w:lang w:eastAsia="es-MX"/>
              </w:rPr>
              <w:t>Ejercicio 2016</w:t>
            </w:r>
          </w:p>
        </w:tc>
        <w:tc>
          <w:tcPr>
            <w:tcW w:w="1900" w:type="dxa"/>
            <w:tcBorders>
              <w:top w:val="nil"/>
              <w:left w:val="nil"/>
              <w:bottom w:val="single" w:sz="4" w:space="0" w:color="auto"/>
              <w:right w:val="single" w:sz="4" w:space="0" w:color="auto"/>
            </w:tcBorders>
            <w:shd w:val="clear" w:color="auto" w:fill="auto"/>
            <w:noWrap/>
            <w:vAlign w:val="center"/>
            <w:hideMark/>
          </w:tcPr>
          <w:p w14:paraId="09381E6E" w14:textId="77777777" w:rsidR="00525B2B" w:rsidRPr="00955A4C" w:rsidRDefault="00525B2B" w:rsidP="00E979C7">
            <w:pPr>
              <w:spacing w:line="360" w:lineRule="auto"/>
              <w:jc w:val="right"/>
              <w:rPr>
                <w:color w:val="000000"/>
                <w:sz w:val="20"/>
                <w:szCs w:val="20"/>
                <w:lang w:eastAsia="es-MX"/>
              </w:rPr>
            </w:pPr>
            <w:r w:rsidRPr="00955A4C">
              <w:rPr>
                <w:color w:val="000000"/>
                <w:sz w:val="20"/>
                <w:szCs w:val="20"/>
                <w:lang w:eastAsia="es-MX"/>
              </w:rPr>
              <w:t xml:space="preserve">248.9 </w:t>
            </w:r>
          </w:p>
        </w:tc>
      </w:tr>
      <w:tr w:rsidR="00525B2B" w:rsidRPr="00955A4C" w14:paraId="3F71AD3D" w14:textId="77777777" w:rsidTr="00E979C7">
        <w:trPr>
          <w:trHeight w:val="300"/>
          <w:jc w:val="center"/>
        </w:trPr>
        <w:tc>
          <w:tcPr>
            <w:tcW w:w="1540" w:type="dxa"/>
            <w:tcBorders>
              <w:top w:val="nil"/>
              <w:left w:val="single" w:sz="4" w:space="0" w:color="auto"/>
              <w:bottom w:val="single" w:sz="4" w:space="0" w:color="auto"/>
              <w:right w:val="single" w:sz="4" w:space="0" w:color="auto"/>
            </w:tcBorders>
            <w:shd w:val="clear" w:color="auto" w:fill="auto"/>
            <w:noWrap/>
            <w:vAlign w:val="center"/>
          </w:tcPr>
          <w:p w14:paraId="557D0BA7" w14:textId="77777777" w:rsidR="00525B2B" w:rsidRPr="00955A4C" w:rsidRDefault="00525B2B" w:rsidP="00E979C7">
            <w:pPr>
              <w:spacing w:line="360" w:lineRule="auto"/>
              <w:rPr>
                <w:b/>
                <w:bCs/>
                <w:color w:val="000000"/>
                <w:sz w:val="20"/>
                <w:szCs w:val="20"/>
                <w:lang w:eastAsia="es-MX"/>
              </w:rPr>
            </w:pPr>
            <w:r w:rsidRPr="00955A4C">
              <w:rPr>
                <w:b/>
                <w:bCs/>
                <w:color w:val="000000"/>
                <w:sz w:val="20"/>
                <w:szCs w:val="20"/>
                <w:lang w:eastAsia="es-MX"/>
              </w:rPr>
              <w:t>Ejercicio 2017</w:t>
            </w:r>
          </w:p>
        </w:tc>
        <w:tc>
          <w:tcPr>
            <w:tcW w:w="1900" w:type="dxa"/>
            <w:tcBorders>
              <w:top w:val="nil"/>
              <w:left w:val="nil"/>
              <w:bottom w:val="single" w:sz="4" w:space="0" w:color="auto"/>
              <w:right w:val="single" w:sz="4" w:space="0" w:color="auto"/>
            </w:tcBorders>
            <w:shd w:val="clear" w:color="auto" w:fill="auto"/>
            <w:noWrap/>
            <w:vAlign w:val="bottom"/>
          </w:tcPr>
          <w:p w14:paraId="3934F397" w14:textId="77777777" w:rsidR="00525B2B" w:rsidRPr="00955A4C" w:rsidRDefault="00525B2B" w:rsidP="00E979C7">
            <w:pPr>
              <w:spacing w:line="360" w:lineRule="auto"/>
              <w:jc w:val="right"/>
              <w:rPr>
                <w:bCs/>
                <w:color w:val="000000"/>
                <w:sz w:val="20"/>
                <w:szCs w:val="20"/>
                <w:lang w:eastAsia="es-MX"/>
              </w:rPr>
            </w:pPr>
            <w:r w:rsidRPr="00955A4C">
              <w:rPr>
                <w:bCs/>
                <w:color w:val="000000"/>
                <w:sz w:val="20"/>
                <w:szCs w:val="20"/>
                <w:lang w:eastAsia="es-MX"/>
              </w:rPr>
              <w:t>275.2</w:t>
            </w:r>
          </w:p>
        </w:tc>
      </w:tr>
      <w:tr w:rsidR="00525B2B" w:rsidRPr="00955A4C" w14:paraId="6C0D8CB8" w14:textId="77777777" w:rsidTr="00E979C7">
        <w:trPr>
          <w:trHeight w:val="300"/>
          <w:jc w:val="center"/>
        </w:trPr>
        <w:tc>
          <w:tcPr>
            <w:tcW w:w="1540" w:type="dxa"/>
            <w:tcBorders>
              <w:top w:val="nil"/>
              <w:left w:val="single" w:sz="4" w:space="0" w:color="auto"/>
              <w:bottom w:val="single" w:sz="4" w:space="0" w:color="auto"/>
              <w:right w:val="single" w:sz="4" w:space="0" w:color="auto"/>
            </w:tcBorders>
            <w:shd w:val="clear" w:color="auto" w:fill="auto"/>
            <w:noWrap/>
            <w:vAlign w:val="center"/>
          </w:tcPr>
          <w:p w14:paraId="070FDEA5" w14:textId="77777777" w:rsidR="00525B2B" w:rsidRPr="00955A4C" w:rsidRDefault="00525B2B" w:rsidP="00E979C7">
            <w:pPr>
              <w:spacing w:line="360" w:lineRule="auto"/>
              <w:rPr>
                <w:b/>
                <w:bCs/>
                <w:color w:val="000000"/>
                <w:sz w:val="20"/>
                <w:szCs w:val="20"/>
                <w:lang w:eastAsia="es-MX"/>
              </w:rPr>
            </w:pPr>
            <w:r w:rsidRPr="00955A4C">
              <w:rPr>
                <w:b/>
                <w:bCs/>
                <w:color w:val="000000"/>
                <w:sz w:val="20"/>
                <w:szCs w:val="20"/>
                <w:lang w:eastAsia="es-MX"/>
              </w:rPr>
              <w:t>Ejercicio 2018</w:t>
            </w:r>
          </w:p>
        </w:tc>
        <w:tc>
          <w:tcPr>
            <w:tcW w:w="1900" w:type="dxa"/>
            <w:tcBorders>
              <w:top w:val="nil"/>
              <w:left w:val="nil"/>
              <w:bottom w:val="single" w:sz="4" w:space="0" w:color="auto"/>
              <w:right w:val="single" w:sz="4" w:space="0" w:color="auto"/>
            </w:tcBorders>
            <w:shd w:val="clear" w:color="auto" w:fill="auto"/>
            <w:noWrap/>
            <w:vAlign w:val="bottom"/>
          </w:tcPr>
          <w:p w14:paraId="06DD1F7C" w14:textId="77777777" w:rsidR="00525B2B" w:rsidRPr="003C7084" w:rsidRDefault="00525B2B" w:rsidP="00E979C7">
            <w:pPr>
              <w:spacing w:line="360" w:lineRule="auto"/>
              <w:jc w:val="right"/>
              <w:rPr>
                <w:bCs/>
                <w:color w:val="000000"/>
                <w:sz w:val="20"/>
                <w:szCs w:val="20"/>
                <w:lang w:eastAsia="es-MX"/>
              </w:rPr>
            </w:pPr>
            <w:r w:rsidRPr="003C7084">
              <w:rPr>
                <w:bCs/>
                <w:color w:val="000000"/>
                <w:sz w:val="20"/>
                <w:szCs w:val="20"/>
                <w:lang w:eastAsia="es-MX"/>
              </w:rPr>
              <w:t>267.1</w:t>
            </w:r>
          </w:p>
        </w:tc>
      </w:tr>
      <w:tr w:rsidR="00525B2B" w:rsidRPr="00955A4C" w14:paraId="03AE6835" w14:textId="77777777" w:rsidTr="00E979C7">
        <w:trPr>
          <w:trHeight w:val="300"/>
          <w:jc w:val="center"/>
        </w:trPr>
        <w:tc>
          <w:tcPr>
            <w:tcW w:w="1540" w:type="dxa"/>
            <w:tcBorders>
              <w:top w:val="nil"/>
              <w:left w:val="single" w:sz="4" w:space="0" w:color="auto"/>
              <w:bottom w:val="single" w:sz="4" w:space="0" w:color="auto"/>
              <w:right w:val="single" w:sz="4" w:space="0" w:color="auto"/>
            </w:tcBorders>
            <w:shd w:val="clear" w:color="auto" w:fill="auto"/>
            <w:noWrap/>
            <w:vAlign w:val="center"/>
          </w:tcPr>
          <w:p w14:paraId="5EDC6348" w14:textId="77777777" w:rsidR="00525B2B" w:rsidRPr="00955A4C" w:rsidRDefault="00525B2B" w:rsidP="00E979C7">
            <w:pPr>
              <w:spacing w:line="360" w:lineRule="auto"/>
              <w:rPr>
                <w:b/>
                <w:bCs/>
                <w:color w:val="000000"/>
                <w:sz w:val="20"/>
                <w:szCs w:val="20"/>
                <w:lang w:eastAsia="es-MX"/>
              </w:rPr>
            </w:pPr>
            <w:r w:rsidRPr="00955A4C">
              <w:rPr>
                <w:b/>
                <w:bCs/>
                <w:color w:val="000000"/>
                <w:sz w:val="20"/>
                <w:szCs w:val="20"/>
                <w:lang w:eastAsia="es-MX"/>
              </w:rPr>
              <w:t>Ejercicio 20</w:t>
            </w:r>
            <w:r>
              <w:rPr>
                <w:b/>
                <w:bCs/>
                <w:color w:val="000000"/>
                <w:sz w:val="20"/>
                <w:szCs w:val="20"/>
                <w:lang w:eastAsia="es-MX"/>
              </w:rPr>
              <w:t>19</w:t>
            </w:r>
          </w:p>
        </w:tc>
        <w:tc>
          <w:tcPr>
            <w:tcW w:w="1900" w:type="dxa"/>
            <w:tcBorders>
              <w:top w:val="nil"/>
              <w:left w:val="nil"/>
              <w:bottom w:val="single" w:sz="4" w:space="0" w:color="auto"/>
              <w:right w:val="single" w:sz="4" w:space="0" w:color="auto"/>
            </w:tcBorders>
            <w:shd w:val="clear" w:color="auto" w:fill="auto"/>
            <w:noWrap/>
            <w:vAlign w:val="center"/>
          </w:tcPr>
          <w:p w14:paraId="47D9A57C" w14:textId="77777777" w:rsidR="00525B2B" w:rsidRPr="003C7084" w:rsidRDefault="00525B2B" w:rsidP="00E979C7">
            <w:pPr>
              <w:spacing w:line="360" w:lineRule="auto"/>
              <w:jc w:val="right"/>
              <w:rPr>
                <w:bCs/>
                <w:color w:val="000000"/>
                <w:sz w:val="20"/>
                <w:szCs w:val="20"/>
                <w:lang w:eastAsia="es-MX"/>
              </w:rPr>
            </w:pPr>
            <w:r>
              <w:rPr>
                <w:color w:val="000000"/>
                <w:sz w:val="20"/>
                <w:szCs w:val="20"/>
              </w:rPr>
              <w:t>290.9</w:t>
            </w:r>
          </w:p>
        </w:tc>
      </w:tr>
      <w:tr w:rsidR="00525B2B" w:rsidRPr="00955A4C" w14:paraId="3DAE398B" w14:textId="77777777" w:rsidTr="00E979C7">
        <w:trPr>
          <w:trHeight w:val="300"/>
          <w:jc w:val="center"/>
        </w:trPr>
        <w:tc>
          <w:tcPr>
            <w:tcW w:w="1540" w:type="dxa"/>
            <w:tcBorders>
              <w:top w:val="nil"/>
              <w:left w:val="single" w:sz="4" w:space="0" w:color="auto"/>
              <w:bottom w:val="single" w:sz="4" w:space="0" w:color="auto"/>
              <w:right w:val="single" w:sz="4" w:space="0" w:color="auto"/>
            </w:tcBorders>
            <w:shd w:val="clear" w:color="auto" w:fill="auto"/>
            <w:noWrap/>
            <w:vAlign w:val="center"/>
          </w:tcPr>
          <w:p w14:paraId="54E06AC8" w14:textId="77777777" w:rsidR="00525B2B" w:rsidRPr="00955A4C" w:rsidRDefault="00525B2B" w:rsidP="00E979C7">
            <w:pPr>
              <w:spacing w:line="360" w:lineRule="auto"/>
              <w:rPr>
                <w:b/>
                <w:bCs/>
                <w:color w:val="000000"/>
                <w:sz w:val="20"/>
                <w:szCs w:val="20"/>
                <w:lang w:eastAsia="es-MX"/>
              </w:rPr>
            </w:pPr>
            <w:r>
              <w:rPr>
                <w:b/>
                <w:bCs/>
                <w:color w:val="000000"/>
                <w:sz w:val="20"/>
                <w:szCs w:val="20"/>
                <w:lang w:eastAsia="es-MX"/>
              </w:rPr>
              <w:t>Ejercicio 2020</w:t>
            </w:r>
          </w:p>
        </w:tc>
        <w:tc>
          <w:tcPr>
            <w:tcW w:w="1900" w:type="dxa"/>
            <w:tcBorders>
              <w:top w:val="nil"/>
              <w:left w:val="nil"/>
              <w:bottom w:val="single" w:sz="4" w:space="0" w:color="auto"/>
              <w:right w:val="single" w:sz="4" w:space="0" w:color="auto"/>
            </w:tcBorders>
            <w:shd w:val="clear" w:color="auto" w:fill="auto"/>
            <w:noWrap/>
            <w:vAlign w:val="center"/>
          </w:tcPr>
          <w:p w14:paraId="406D56F8" w14:textId="77777777" w:rsidR="00525B2B" w:rsidRPr="003C7084" w:rsidRDefault="00525B2B" w:rsidP="00E979C7">
            <w:pPr>
              <w:spacing w:line="360" w:lineRule="auto"/>
              <w:jc w:val="right"/>
              <w:rPr>
                <w:bCs/>
                <w:color w:val="000000"/>
                <w:sz w:val="20"/>
                <w:szCs w:val="20"/>
                <w:lang w:eastAsia="es-MX"/>
              </w:rPr>
            </w:pPr>
            <w:r>
              <w:rPr>
                <w:color w:val="000000"/>
                <w:sz w:val="20"/>
                <w:szCs w:val="20"/>
              </w:rPr>
              <w:t>364.16</w:t>
            </w:r>
          </w:p>
        </w:tc>
      </w:tr>
      <w:tr w:rsidR="00836AD0" w:rsidRPr="00955A4C" w14:paraId="48B1268F" w14:textId="77777777" w:rsidTr="00E979C7">
        <w:trPr>
          <w:trHeight w:val="300"/>
          <w:jc w:val="center"/>
        </w:trPr>
        <w:tc>
          <w:tcPr>
            <w:tcW w:w="1540" w:type="dxa"/>
            <w:tcBorders>
              <w:top w:val="nil"/>
              <w:left w:val="single" w:sz="4" w:space="0" w:color="auto"/>
              <w:bottom w:val="single" w:sz="4" w:space="0" w:color="auto"/>
              <w:right w:val="single" w:sz="4" w:space="0" w:color="auto"/>
            </w:tcBorders>
            <w:shd w:val="clear" w:color="auto" w:fill="auto"/>
            <w:noWrap/>
            <w:vAlign w:val="center"/>
          </w:tcPr>
          <w:p w14:paraId="5FE24DFB" w14:textId="454329E3" w:rsidR="00836AD0" w:rsidRPr="00757973" w:rsidRDefault="00836AD0" w:rsidP="00836AD0">
            <w:pPr>
              <w:spacing w:line="360" w:lineRule="auto"/>
              <w:rPr>
                <w:b/>
                <w:bCs/>
                <w:color w:val="000000"/>
                <w:sz w:val="20"/>
                <w:szCs w:val="20"/>
                <w:lang w:eastAsia="es-MX"/>
              </w:rPr>
            </w:pPr>
            <w:r w:rsidRPr="00757973">
              <w:rPr>
                <w:b/>
                <w:bCs/>
                <w:color w:val="000000"/>
                <w:sz w:val="20"/>
                <w:szCs w:val="20"/>
                <w:lang w:eastAsia="es-MX"/>
              </w:rPr>
              <w:t>Ejercicio 2021</w:t>
            </w:r>
          </w:p>
        </w:tc>
        <w:tc>
          <w:tcPr>
            <w:tcW w:w="1900" w:type="dxa"/>
            <w:tcBorders>
              <w:top w:val="nil"/>
              <w:left w:val="nil"/>
              <w:bottom w:val="single" w:sz="4" w:space="0" w:color="auto"/>
              <w:right w:val="single" w:sz="4" w:space="0" w:color="auto"/>
            </w:tcBorders>
            <w:shd w:val="clear" w:color="auto" w:fill="auto"/>
            <w:noWrap/>
            <w:vAlign w:val="center"/>
          </w:tcPr>
          <w:p w14:paraId="07D670C7" w14:textId="00609E80" w:rsidR="00836AD0" w:rsidRPr="002639DF" w:rsidRDefault="00836AD0" w:rsidP="00836AD0">
            <w:pPr>
              <w:spacing w:line="360" w:lineRule="auto"/>
              <w:jc w:val="right"/>
              <w:rPr>
                <w:bCs/>
                <w:color w:val="000000"/>
                <w:sz w:val="20"/>
                <w:szCs w:val="20"/>
                <w:lang w:eastAsia="es-MX"/>
              </w:rPr>
            </w:pPr>
            <w:r w:rsidRPr="0077102A">
              <w:rPr>
                <w:bCs/>
                <w:color w:val="000000"/>
                <w:sz w:val="20"/>
                <w:szCs w:val="20"/>
              </w:rPr>
              <w:t>351.58</w:t>
            </w:r>
          </w:p>
        </w:tc>
      </w:tr>
      <w:tr w:rsidR="00836AD0" w:rsidRPr="00955A4C" w14:paraId="228CBB0C" w14:textId="77777777" w:rsidTr="00E979C7">
        <w:trPr>
          <w:trHeight w:val="300"/>
          <w:jc w:val="center"/>
        </w:trPr>
        <w:tc>
          <w:tcPr>
            <w:tcW w:w="1540" w:type="dxa"/>
            <w:tcBorders>
              <w:top w:val="nil"/>
              <w:left w:val="single" w:sz="4" w:space="0" w:color="auto"/>
              <w:bottom w:val="single" w:sz="4" w:space="0" w:color="auto"/>
              <w:right w:val="single" w:sz="4" w:space="0" w:color="auto"/>
            </w:tcBorders>
            <w:shd w:val="clear" w:color="auto" w:fill="auto"/>
            <w:noWrap/>
            <w:vAlign w:val="center"/>
          </w:tcPr>
          <w:p w14:paraId="2387E885" w14:textId="15AD46B4" w:rsidR="00836AD0" w:rsidRPr="00757973" w:rsidRDefault="00836AD0" w:rsidP="00836AD0">
            <w:pPr>
              <w:spacing w:line="360" w:lineRule="auto"/>
              <w:rPr>
                <w:b/>
                <w:bCs/>
                <w:color w:val="000000"/>
                <w:sz w:val="20"/>
                <w:szCs w:val="20"/>
                <w:lang w:eastAsia="es-MX"/>
              </w:rPr>
            </w:pPr>
            <w:r>
              <w:rPr>
                <w:b/>
                <w:bCs/>
                <w:color w:val="000000"/>
                <w:sz w:val="20"/>
                <w:szCs w:val="20"/>
                <w:lang w:eastAsia="es-MX"/>
              </w:rPr>
              <w:t>*Ejercicio 2022</w:t>
            </w:r>
          </w:p>
        </w:tc>
        <w:tc>
          <w:tcPr>
            <w:tcW w:w="1900" w:type="dxa"/>
            <w:tcBorders>
              <w:top w:val="nil"/>
              <w:left w:val="nil"/>
              <w:bottom w:val="single" w:sz="4" w:space="0" w:color="auto"/>
              <w:right w:val="single" w:sz="4" w:space="0" w:color="auto"/>
            </w:tcBorders>
            <w:shd w:val="clear" w:color="auto" w:fill="auto"/>
            <w:noWrap/>
            <w:vAlign w:val="center"/>
          </w:tcPr>
          <w:p w14:paraId="2FEFEE10" w14:textId="337E35B1" w:rsidR="00836AD0" w:rsidRPr="002639DF" w:rsidRDefault="00836AD0" w:rsidP="00836AD0">
            <w:pPr>
              <w:spacing w:line="360" w:lineRule="auto"/>
              <w:jc w:val="right"/>
              <w:rPr>
                <w:bCs/>
                <w:color w:val="000000"/>
                <w:sz w:val="20"/>
                <w:szCs w:val="20"/>
              </w:rPr>
            </w:pPr>
            <w:r>
              <w:rPr>
                <w:bCs/>
                <w:color w:val="000000"/>
                <w:sz w:val="20"/>
                <w:szCs w:val="20"/>
              </w:rPr>
              <w:t>256.17</w:t>
            </w:r>
          </w:p>
        </w:tc>
      </w:tr>
      <w:tr w:rsidR="00836AD0" w:rsidRPr="00955A4C" w14:paraId="2380974A" w14:textId="77777777" w:rsidTr="00E979C7">
        <w:trPr>
          <w:trHeight w:val="300"/>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4F21127E" w14:textId="77EECF41" w:rsidR="00836AD0" w:rsidRPr="00757973" w:rsidRDefault="00836AD0" w:rsidP="00836AD0">
            <w:pPr>
              <w:spacing w:line="360" w:lineRule="auto"/>
              <w:jc w:val="center"/>
              <w:rPr>
                <w:b/>
                <w:bCs/>
                <w:color w:val="000000"/>
                <w:sz w:val="20"/>
                <w:szCs w:val="20"/>
                <w:lang w:eastAsia="es-MX"/>
              </w:rPr>
            </w:pPr>
            <w:r w:rsidRPr="00757973">
              <w:rPr>
                <w:b/>
                <w:bCs/>
                <w:color w:val="000000"/>
                <w:sz w:val="20"/>
                <w:szCs w:val="20"/>
                <w:lang w:eastAsia="es-MX"/>
              </w:rPr>
              <w:t>SUMA</w:t>
            </w:r>
          </w:p>
        </w:tc>
        <w:tc>
          <w:tcPr>
            <w:tcW w:w="1900" w:type="dxa"/>
            <w:tcBorders>
              <w:top w:val="nil"/>
              <w:left w:val="nil"/>
              <w:bottom w:val="single" w:sz="4" w:space="0" w:color="auto"/>
              <w:right w:val="single" w:sz="4" w:space="0" w:color="auto"/>
            </w:tcBorders>
            <w:shd w:val="clear" w:color="auto" w:fill="auto"/>
            <w:noWrap/>
            <w:vAlign w:val="center"/>
            <w:hideMark/>
          </w:tcPr>
          <w:p w14:paraId="42CF3DBF" w14:textId="3ABF6B78" w:rsidR="00836AD0" w:rsidRPr="00757973" w:rsidRDefault="00836AD0" w:rsidP="00836AD0">
            <w:pPr>
              <w:spacing w:line="360" w:lineRule="auto"/>
              <w:jc w:val="right"/>
              <w:rPr>
                <w:b/>
                <w:bCs/>
                <w:color w:val="000000"/>
                <w:sz w:val="20"/>
                <w:szCs w:val="20"/>
                <w:lang w:eastAsia="es-MX"/>
              </w:rPr>
            </w:pPr>
            <w:r>
              <w:rPr>
                <w:b/>
                <w:bCs/>
                <w:color w:val="000000"/>
                <w:sz w:val="20"/>
                <w:szCs w:val="20"/>
              </w:rPr>
              <w:t>2,909.21</w:t>
            </w:r>
          </w:p>
        </w:tc>
      </w:tr>
    </w:tbl>
    <w:p w14:paraId="1738AFA0" w14:textId="4FD9FC43" w:rsidR="00525B2B" w:rsidRPr="00955A4C" w:rsidRDefault="00525B2B" w:rsidP="00525B2B">
      <w:pPr>
        <w:spacing w:line="360" w:lineRule="auto"/>
        <w:jc w:val="center"/>
        <w:rPr>
          <w:b/>
          <w:sz w:val="20"/>
          <w:szCs w:val="20"/>
        </w:rPr>
      </w:pPr>
      <w:r w:rsidRPr="00955A4C">
        <w:rPr>
          <w:b/>
          <w:sz w:val="20"/>
          <w:szCs w:val="20"/>
        </w:rPr>
        <w:t>* Cifras al Cie</w:t>
      </w:r>
      <w:r>
        <w:rPr>
          <w:b/>
          <w:sz w:val="20"/>
          <w:szCs w:val="20"/>
        </w:rPr>
        <w:t>rre del mes de septiembre de 202</w:t>
      </w:r>
      <w:r w:rsidR="00836AD0">
        <w:rPr>
          <w:b/>
          <w:sz w:val="20"/>
          <w:szCs w:val="20"/>
        </w:rPr>
        <w:t>2</w:t>
      </w:r>
      <w:r w:rsidRPr="00955A4C">
        <w:rPr>
          <w:b/>
          <w:sz w:val="20"/>
          <w:szCs w:val="20"/>
        </w:rPr>
        <w:t>.</w:t>
      </w:r>
    </w:p>
    <w:p w14:paraId="74B65A60" w14:textId="77777777" w:rsidR="00525B2B" w:rsidRPr="00955A4C" w:rsidRDefault="00525B2B" w:rsidP="00525B2B">
      <w:pPr>
        <w:spacing w:line="360" w:lineRule="auto"/>
        <w:jc w:val="both"/>
        <w:rPr>
          <w:sz w:val="20"/>
          <w:szCs w:val="20"/>
        </w:rPr>
      </w:pPr>
    </w:p>
    <w:p w14:paraId="12B5F922" w14:textId="77777777" w:rsidR="00525B2B" w:rsidRDefault="00525B2B" w:rsidP="00525B2B">
      <w:pPr>
        <w:spacing w:line="360" w:lineRule="auto"/>
        <w:jc w:val="both"/>
        <w:rPr>
          <w:sz w:val="20"/>
          <w:szCs w:val="20"/>
        </w:rPr>
      </w:pPr>
      <w:r w:rsidRPr="00955A4C">
        <w:rPr>
          <w:sz w:val="20"/>
          <w:szCs w:val="20"/>
        </w:rPr>
        <w:lastRenderedPageBreak/>
        <w:t>El Gobierno del Estado, tiene como prioridad sanear el Sistema Estatal de Pensiones garantizando la solvencia de la Institución e impulsando el otorgamiento y recuperación de créditos. En los últimos años se han realizado las aportaciones siguientes:</w:t>
      </w:r>
    </w:p>
    <w:p w14:paraId="6A234253" w14:textId="77777777" w:rsidR="00525B2B" w:rsidRPr="00955A4C" w:rsidRDefault="00525B2B" w:rsidP="00525B2B">
      <w:pPr>
        <w:spacing w:line="360" w:lineRule="auto"/>
        <w:jc w:val="both"/>
        <w:rPr>
          <w:sz w:val="20"/>
          <w:szCs w:val="20"/>
        </w:rPr>
      </w:pPr>
    </w:p>
    <w:tbl>
      <w:tblPr>
        <w:tblW w:w="4064" w:type="dxa"/>
        <w:jc w:val="center"/>
        <w:tblCellMar>
          <w:left w:w="70" w:type="dxa"/>
          <w:right w:w="70" w:type="dxa"/>
        </w:tblCellMar>
        <w:tblLook w:val="04A0" w:firstRow="1" w:lastRow="0" w:firstColumn="1" w:lastColumn="0" w:noHBand="0" w:noVBand="1"/>
      </w:tblPr>
      <w:tblGrid>
        <w:gridCol w:w="1560"/>
        <w:gridCol w:w="2504"/>
      </w:tblGrid>
      <w:tr w:rsidR="00525B2B" w:rsidRPr="00955A4C" w14:paraId="143563CD" w14:textId="77777777" w:rsidTr="00E979C7">
        <w:trPr>
          <w:trHeight w:val="839"/>
          <w:jc w:val="center"/>
        </w:trPr>
        <w:tc>
          <w:tcPr>
            <w:tcW w:w="156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5B45419" w14:textId="77777777" w:rsidR="00525B2B" w:rsidRPr="00955A4C" w:rsidRDefault="00525B2B" w:rsidP="00E979C7">
            <w:pPr>
              <w:spacing w:line="360" w:lineRule="auto"/>
              <w:jc w:val="center"/>
              <w:rPr>
                <w:b/>
                <w:bCs/>
                <w:color w:val="000000"/>
                <w:sz w:val="20"/>
                <w:szCs w:val="20"/>
                <w:lang w:eastAsia="es-MX"/>
              </w:rPr>
            </w:pPr>
            <w:r w:rsidRPr="00955A4C">
              <w:rPr>
                <w:b/>
                <w:bCs/>
                <w:color w:val="000000"/>
                <w:sz w:val="20"/>
                <w:szCs w:val="20"/>
                <w:lang w:eastAsia="es-MX"/>
              </w:rPr>
              <w:t>AÑO</w:t>
            </w:r>
          </w:p>
        </w:tc>
        <w:tc>
          <w:tcPr>
            <w:tcW w:w="2504"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20B3D24" w14:textId="77777777" w:rsidR="00525B2B" w:rsidRPr="00955A4C" w:rsidRDefault="00525B2B" w:rsidP="00E979C7">
            <w:pPr>
              <w:spacing w:line="360" w:lineRule="auto"/>
              <w:jc w:val="center"/>
              <w:rPr>
                <w:b/>
                <w:bCs/>
                <w:color w:val="000000"/>
                <w:sz w:val="20"/>
                <w:szCs w:val="20"/>
                <w:lang w:eastAsia="es-MX"/>
              </w:rPr>
            </w:pPr>
            <w:r w:rsidRPr="00955A4C">
              <w:rPr>
                <w:b/>
                <w:bCs/>
                <w:color w:val="000000"/>
                <w:sz w:val="20"/>
                <w:szCs w:val="20"/>
                <w:lang w:eastAsia="es-MX"/>
              </w:rPr>
              <w:t>FONDO DE CRÉDITOS (MDP)</w:t>
            </w:r>
          </w:p>
        </w:tc>
      </w:tr>
      <w:tr w:rsidR="00525B2B" w:rsidRPr="00955A4C" w14:paraId="69B3A009" w14:textId="77777777" w:rsidTr="00E979C7">
        <w:trPr>
          <w:trHeight w:val="474"/>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5F425B27" w14:textId="77777777" w:rsidR="00525B2B" w:rsidRPr="00955A4C" w:rsidRDefault="00525B2B" w:rsidP="00E979C7">
            <w:pPr>
              <w:spacing w:line="360" w:lineRule="auto"/>
              <w:rPr>
                <w:b/>
                <w:bCs/>
                <w:color w:val="000000"/>
                <w:sz w:val="20"/>
                <w:szCs w:val="20"/>
                <w:lang w:eastAsia="es-MX"/>
              </w:rPr>
            </w:pPr>
            <w:r w:rsidRPr="00955A4C">
              <w:rPr>
                <w:b/>
                <w:bCs/>
                <w:color w:val="000000"/>
                <w:sz w:val="20"/>
                <w:szCs w:val="20"/>
                <w:lang w:eastAsia="es-MX"/>
              </w:rPr>
              <w:t>Ejercicio 2013</w:t>
            </w:r>
          </w:p>
        </w:tc>
        <w:tc>
          <w:tcPr>
            <w:tcW w:w="2504" w:type="dxa"/>
            <w:tcBorders>
              <w:top w:val="nil"/>
              <w:left w:val="nil"/>
              <w:bottom w:val="single" w:sz="4" w:space="0" w:color="auto"/>
              <w:right w:val="single" w:sz="4" w:space="0" w:color="auto"/>
            </w:tcBorders>
            <w:shd w:val="clear" w:color="auto" w:fill="auto"/>
            <w:noWrap/>
            <w:vAlign w:val="center"/>
            <w:hideMark/>
          </w:tcPr>
          <w:p w14:paraId="0FAFE367" w14:textId="77777777" w:rsidR="00525B2B" w:rsidRPr="00955A4C" w:rsidRDefault="00525B2B" w:rsidP="00E979C7">
            <w:pPr>
              <w:spacing w:line="360" w:lineRule="auto"/>
              <w:jc w:val="right"/>
              <w:rPr>
                <w:b/>
                <w:color w:val="000000"/>
                <w:sz w:val="20"/>
                <w:szCs w:val="20"/>
                <w:lang w:eastAsia="es-MX"/>
              </w:rPr>
            </w:pPr>
            <w:r w:rsidRPr="00955A4C">
              <w:rPr>
                <w:b/>
                <w:color w:val="000000"/>
                <w:sz w:val="20"/>
                <w:szCs w:val="20"/>
                <w:lang w:eastAsia="es-MX"/>
              </w:rPr>
              <w:t>70.0</w:t>
            </w:r>
          </w:p>
        </w:tc>
      </w:tr>
      <w:tr w:rsidR="00525B2B" w:rsidRPr="00955A4C" w14:paraId="591AD5B3" w14:textId="77777777" w:rsidTr="00E979C7">
        <w:trPr>
          <w:trHeight w:val="51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2B0F6D43" w14:textId="77777777" w:rsidR="00525B2B" w:rsidRPr="00955A4C" w:rsidRDefault="00525B2B" w:rsidP="00E979C7">
            <w:pPr>
              <w:spacing w:line="360" w:lineRule="auto"/>
              <w:rPr>
                <w:b/>
                <w:bCs/>
                <w:color w:val="000000"/>
                <w:sz w:val="20"/>
                <w:szCs w:val="20"/>
                <w:lang w:eastAsia="es-MX"/>
              </w:rPr>
            </w:pPr>
            <w:r w:rsidRPr="00955A4C">
              <w:rPr>
                <w:b/>
                <w:bCs/>
                <w:color w:val="000000"/>
                <w:sz w:val="20"/>
                <w:szCs w:val="20"/>
                <w:lang w:eastAsia="es-MX"/>
              </w:rPr>
              <w:t>Ejercicio 2014</w:t>
            </w:r>
          </w:p>
        </w:tc>
        <w:tc>
          <w:tcPr>
            <w:tcW w:w="2504" w:type="dxa"/>
            <w:tcBorders>
              <w:top w:val="nil"/>
              <w:left w:val="nil"/>
              <w:bottom w:val="single" w:sz="4" w:space="0" w:color="auto"/>
              <w:right w:val="single" w:sz="4" w:space="0" w:color="auto"/>
            </w:tcBorders>
            <w:shd w:val="clear" w:color="auto" w:fill="auto"/>
            <w:noWrap/>
            <w:vAlign w:val="center"/>
            <w:hideMark/>
          </w:tcPr>
          <w:p w14:paraId="09DF5DB6" w14:textId="77777777" w:rsidR="00525B2B" w:rsidRPr="00955A4C" w:rsidRDefault="00525B2B" w:rsidP="00E979C7">
            <w:pPr>
              <w:spacing w:line="360" w:lineRule="auto"/>
              <w:jc w:val="right"/>
              <w:rPr>
                <w:b/>
                <w:color w:val="000000"/>
                <w:sz w:val="20"/>
                <w:szCs w:val="20"/>
                <w:lang w:eastAsia="es-MX"/>
              </w:rPr>
            </w:pPr>
            <w:r w:rsidRPr="00955A4C">
              <w:rPr>
                <w:b/>
                <w:color w:val="000000"/>
                <w:sz w:val="20"/>
                <w:szCs w:val="20"/>
                <w:lang w:eastAsia="es-MX"/>
              </w:rPr>
              <w:t>21.0</w:t>
            </w:r>
          </w:p>
        </w:tc>
      </w:tr>
      <w:tr w:rsidR="00525B2B" w:rsidRPr="00955A4C" w14:paraId="4805AC46" w14:textId="77777777" w:rsidTr="00E979C7">
        <w:trPr>
          <w:trHeight w:val="53"/>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58511E9" w14:textId="77777777" w:rsidR="00525B2B" w:rsidRPr="00955A4C" w:rsidRDefault="00525B2B" w:rsidP="00E979C7">
            <w:pPr>
              <w:spacing w:line="360" w:lineRule="auto"/>
              <w:rPr>
                <w:b/>
                <w:bCs/>
                <w:color w:val="000000"/>
                <w:sz w:val="20"/>
                <w:szCs w:val="20"/>
                <w:lang w:eastAsia="es-MX"/>
              </w:rPr>
            </w:pPr>
            <w:r w:rsidRPr="00955A4C">
              <w:rPr>
                <w:b/>
                <w:bCs/>
                <w:color w:val="000000"/>
                <w:sz w:val="20"/>
                <w:szCs w:val="20"/>
                <w:lang w:eastAsia="es-MX"/>
              </w:rPr>
              <w:t>Ejercicio 2016</w:t>
            </w:r>
          </w:p>
        </w:tc>
        <w:tc>
          <w:tcPr>
            <w:tcW w:w="2504" w:type="dxa"/>
            <w:tcBorders>
              <w:top w:val="nil"/>
              <w:left w:val="nil"/>
              <w:bottom w:val="single" w:sz="4" w:space="0" w:color="auto"/>
              <w:right w:val="single" w:sz="4" w:space="0" w:color="auto"/>
            </w:tcBorders>
            <w:shd w:val="clear" w:color="auto" w:fill="auto"/>
            <w:noWrap/>
            <w:vAlign w:val="center"/>
            <w:hideMark/>
          </w:tcPr>
          <w:p w14:paraId="0D0D0857" w14:textId="77777777" w:rsidR="00525B2B" w:rsidRPr="00955A4C" w:rsidRDefault="00525B2B" w:rsidP="00E979C7">
            <w:pPr>
              <w:spacing w:line="360" w:lineRule="auto"/>
              <w:jc w:val="right"/>
              <w:rPr>
                <w:b/>
                <w:bCs/>
                <w:color w:val="000000"/>
                <w:sz w:val="20"/>
                <w:szCs w:val="20"/>
                <w:lang w:eastAsia="es-MX"/>
              </w:rPr>
            </w:pPr>
            <w:r w:rsidRPr="00955A4C">
              <w:rPr>
                <w:b/>
                <w:bCs/>
                <w:color w:val="000000"/>
                <w:sz w:val="20"/>
                <w:szCs w:val="20"/>
                <w:lang w:eastAsia="es-MX"/>
              </w:rPr>
              <w:t>59.0</w:t>
            </w:r>
          </w:p>
        </w:tc>
      </w:tr>
      <w:tr w:rsidR="00525B2B" w:rsidRPr="00955A4C" w14:paraId="702EF079" w14:textId="77777777" w:rsidTr="00E979C7">
        <w:trPr>
          <w:trHeight w:val="53"/>
          <w:jc w:val="center"/>
        </w:trPr>
        <w:tc>
          <w:tcPr>
            <w:tcW w:w="1560" w:type="dxa"/>
            <w:tcBorders>
              <w:top w:val="nil"/>
              <w:left w:val="single" w:sz="4" w:space="0" w:color="auto"/>
              <w:bottom w:val="single" w:sz="4" w:space="0" w:color="auto"/>
              <w:right w:val="single" w:sz="4" w:space="0" w:color="auto"/>
            </w:tcBorders>
            <w:shd w:val="clear" w:color="auto" w:fill="auto"/>
            <w:noWrap/>
            <w:vAlign w:val="center"/>
          </w:tcPr>
          <w:p w14:paraId="1CAEDBE3" w14:textId="77777777" w:rsidR="00525B2B" w:rsidRPr="00955A4C" w:rsidRDefault="00525B2B" w:rsidP="00E979C7">
            <w:pPr>
              <w:spacing w:line="360" w:lineRule="auto"/>
              <w:rPr>
                <w:b/>
                <w:bCs/>
                <w:color w:val="000000"/>
                <w:sz w:val="20"/>
                <w:szCs w:val="20"/>
                <w:lang w:eastAsia="es-MX"/>
              </w:rPr>
            </w:pPr>
            <w:r w:rsidRPr="00955A4C">
              <w:rPr>
                <w:b/>
                <w:bCs/>
                <w:color w:val="000000"/>
                <w:sz w:val="20"/>
                <w:szCs w:val="20"/>
                <w:lang w:eastAsia="es-MX"/>
              </w:rPr>
              <w:t>Ejercicio 2017</w:t>
            </w:r>
          </w:p>
        </w:tc>
        <w:tc>
          <w:tcPr>
            <w:tcW w:w="2504" w:type="dxa"/>
            <w:tcBorders>
              <w:top w:val="nil"/>
              <w:left w:val="nil"/>
              <w:bottom w:val="single" w:sz="4" w:space="0" w:color="auto"/>
              <w:right w:val="single" w:sz="4" w:space="0" w:color="auto"/>
            </w:tcBorders>
            <w:shd w:val="clear" w:color="auto" w:fill="auto"/>
            <w:noWrap/>
            <w:vAlign w:val="center"/>
          </w:tcPr>
          <w:p w14:paraId="7B3660DD" w14:textId="77777777" w:rsidR="00525B2B" w:rsidRPr="00955A4C" w:rsidRDefault="00525B2B" w:rsidP="00E979C7">
            <w:pPr>
              <w:spacing w:line="360" w:lineRule="auto"/>
              <w:jc w:val="right"/>
              <w:rPr>
                <w:b/>
                <w:bCs/>
                <w:color w:val="000000"/>
                <w:sz w:val="20"/>
                <w:szCs w:val="20"/>
                <w:lang w:eastAsia="es-MX"/>
              </w:rPr>
            </w:pPr>
            <w:r w:rsidRPr="00955A4C">
              <w:rPr>
                <w:b/>
                <w:bCs/>
                <w:color w:val="000000"/>
                <w:sz w:val="20"/>
                <w:szCs w:val="20"/>
                <w:lang w:eastAsia="es-MX"/>
              </w:rPr>
              <w:t>0.0</w:t>
            </w:r>
          </w:p>
        </w:tc>
      </w:tr>
      <w:tr w:rsidR="00525B2B" w:rsidRPr="00955A4C" w14:paraId="723525FE" w14:textId="77777777" w:rsidTr="00E979C7">
        <w:trPr>
          <w:trHeight w:val="53"/>
          <w:jc w:val="center"/>
        </w:trPr>
        <w:tc>
          <w:tcPr>
            <w:tcW w:w="1560" w:type="dxa"/>
            <w:tcBorders>
              <w:top w:val="nil"/>
              <w:left w:val="single" w:sz="4" w:space="0" w:color="auto"/>
              <w:bottom w:val="single" w:sz="4" w:space="0" w:color="auto"/>
              <w:right w:val="single" w:sz="4" w:space="0" w:color="auto"/>
            </w:tcBorders>
            <w:shd w:val="clear" w:color="auto" w:fill="auto"/>
            <w:noWrap/>
            <w:vAlign w:val="center"/>
          </w:tcPr>
          <w:p w14:paraId="53CC4B44" w14:textId="77777777" w:rsidR="00525B2B" w:rsidRPr="00955A4C" w:rsidRDefault="00525B2B" w:rsidP="00E979C7">
            <w:pPr>
              <w:spacing w:line="360" w:lineRule="auto"/>
              <w:rPr>
                <w:b/>
                <w:bCs/>
                <w:color w:val="000000"/>
                <w:sz w:val="20"/>
                <w:szCs w:val="20"/>
                <w:lang w:eastAsia="es-MX"/>
              </w:rPr>
            </w:pPr>
            <w:r w:rsidRPr="00955A4C">
              <w:rPr>
                <w:b/>
                <w:bCs/>
                <w:color w:val="000000"/>
                <w:sz w:val="20"/>
                <w:szCs w:val="20"/>
                <w:lang w:eastAsia="es-MX"/>
              </w:rPr>
              <w:t>Ejercicio 2018</w:t>
            </w:r>
          </w:p>
        </w:tc>
        <w:tc>
          <w:tcPr>
            <w:tcW w:w="2504" w:type="dxa"/>
            <w:tcBorders>
              <w:top w:val="nil"/>
              <w:left w:val="nil"/>
              <w:bottom w:val="single" w:sz="4" w:space="0" w:color="auto"/>
              <w:right w:val="single" w:sz="4" w:space="0" w:color="auto"/>
            </w:tcBorders>
            <w:shd w:val="clear" w:color="auto" w:fill="auto"/>
            <w:noWrap/>
            <w:vAlign w:val="center"/>
          </w:tcPr>
          <w:p w14:paraId="5F704C8A" w14:textId="77777777" w:rsidR="00525B2B" w:rsidRPr="00955A4C" w:rsidRDefault="00525B2B" w:rsidP="00E979C7">
            <w:pPr>
              <w:spacing w:line="360" w:lineRule="auto"/>
              <w:jc w:val="right"/>
              <w:rPr>
                <w:b/>
                <w:bCs/>
                <w:color w:val="000000"/>
                <w:sz w:val="20"/>
                <w:szCs w:val="20"/>
                <w:lang w:eastAsia="es-MX"/>
              </w:rPr>
            </w:pPr>
            <w:r w:rsidRPr="00955A4C">
              <w:rPr>
                <w:b/>
                <w:bCs/>
                <w:color w:val="000000"/>
                <w:sz w:val="20"/>
                <w:szCs w:val="20"/>
                <w:lang w:eastAsia="es-MX"/>
              </w:rPr>
              <w:t>0.0</w:t>
            </w:r>
          </w:p>
        </w:tc>
      </w:tr>
      <w:tr w:rsidR="00525B2B" w:rsidRPr="00955A4C" w14:paraId="409BCCE2" w14:textId="77777777" w:rsidTr="00E979C7">
        <w:trPr>
          <w:trHeight w:val="53"/>
          <w:jc w:val="center"/>
        </w:trPr>
        <w:tc>
          <w:tcPr>
            <w:tcW w:w="1560" w:type="dxa"/>
            <w:tcBorders>
              <w:top w:val="nil"/>
              <w:left w:val="single" w:sz="4" w:space="0" w:color="auto"/>
              <w:bottom w:val="single" w:sz="4" w:space="0" w:color="auto"/>
              <w:right w:val="single" w:sz="4" w:space="0" w:color="auto"/>
            </w:tcBorders>
            <w:shd w:val="clear" w:color="auto" w:fill="auto"/>
            <w:noWrap/>
            <w:vAlign w:val="center"/>
          </w:tcPr>
          <w:p w14:paraId="7BFF75A2" w14:textId="77777777" w:rsidR="00525B2B" w:rsidRPr="00955A4C" w:rsidRDefault="00525B2B" w:rsidP="00E979C7">
            <w:pPr>
              <w:spacing w:line="360" w:lineRule="auto"/>
              <w:rPr>
                <w:b/>
                <w:bCs/>
                <w:color w:val="000000"/>
                <w:sz w:val="20"/>
                <w:szCs w:val="20"/>
                <w:lang w:eastAsia="es-MX"/>
              </w:rPr>
            </w:pPr>
            <w:r w:rsidRPr="00955A4C">
              <w:rPr>
                <w:b/>
                <w:bCs/>
                <w:color w:val="000000"/>
                <w:sz w:val="20"/>
                <w:szCs w:val="20"/>
                <w:lang w:eastAsia="es-MX"/>
              </w:rPr>
              <w:t>Ejercicio 2019</w:t>
            </w:r>
          </w:p>
        </w:tc>
        <w:tc>
          <w:tcPr>
            <w:tcW w:w="2504" w:type="dxa"/>
            <w:tcBorders>
              <w:top w:val="nil"/>
              <w:left w:val="nil"/>
              <w:bottom w:val="single" w:sz="4" w:space="0" w:color="auto"/>
              <w:right w:val="single" w:sz="4" w:space="0" w:color="auto"/>
            </w:tcBorders>
            <w:shd w:val="clear" w:color="auto" w:fill="auto"/>
            <w:noWrap/>
            <w:vAlign w:val="center"/>
          </w:tcPr>
          <w:p w14:paraId="1250CB81" w14:textId="77777777" w:rsidR="00525B2B" w:rsidRPr="00955A4C" w:rsidRDefault="00525B2B" w:rsidP="00E979C7">
            <w:pPr>
              <w:spacing w:line="360" w:lineRule="auto"/>
              <w:jc w:val="right"/>
              <w:rPr>
                <w:b/>
                <w:bCs/>
                <w:color w:val="000000"/>
                <w:sz w:val="20"/>
                <w:szCs w:val="20"/>
                <w:lang w:eastAsia="es-MX"/>
              </w:rPr>
            </w:pPr>
            <w:r w:rsidRPr="00955A4C">
              <w:rPr>
                <w:b/>
                <w:bCs/>
                <w:color w:val="000000"/>
                <w:sz w:val="20"/>
                <w:szCs w:val="20"/>
                <w:lang w:eastAsia="es-MX"/>
              </w:rPr>
              <w:t>0.0</w:t>
            </w:r>
          </w:p>
        </w:tc>
      </w:tr>
      <w:tr w:rsidR="00525B2B" w:rsidRPr="00955A4C" w14:paraId="21B8474E" w14:textId="77777777" w:rsidTr="00E979C7">
        <w:trPr>
          <w:trHeight w:val="53"/>
          <w:jc w:val="center"/>
        </w:trPr>
        <w:tc>
          <w:tcPr>
            <w:tcW w:w="1560" w:type="dxa"/>
            <w:tcBorders>
              <w:top w:val="nil"/>
              <w:left w:val="single" w:sz="4" w:space="0" w:color="auto"/>
              <w:bottom w:val="single" w:sz="4" w:space="0" w:color="auto"/>
              <w:right w:val="single" w:sz="4" w:space="0" w:color="auto"/>
            </w:tcBorders>
            <w:shd w:val="clear" w:color="auto" w:fill="auto"/>
            <w:noWrap/>
            <w:vAlign w:val="center"/>
          </w:tcPr>
          <w:p w14:paraId="340FDCB5" w14:textId="77777777" w:rsidR="00525B2B" w:rsidRPr="00955A4C" w:rsidRDefault="00525B2B" w:rsidP="00E979C7">
            <w:pPr>
              <w:spacing w:line="360" w:lineRule="auto"/>
              <w:rPr>
                <w:b/>
                <w:bCs/>
                <w:color w:val="000000"/>
                <w:sz w:val="20"/>
                <w:szCs w:val="20"/>
                <w:lang w:eastAsia="es-MX"/>
              </w:rPr>
            </w:pPr>
            <w:r>
              <w:rPr>
                <w:b/>
                <w:bCs/>
                <w:color w:val="000000"/>
                <w:sz w:val="20"/>
                <w:szCs w:val="20"/>
                <w:lang w:eastAsia="es-MX"/>
              </w:rPr>
              <w:t>Ejercicio 2020</w:t>
            </w:r>
          </w:p>
        </w:tc>
        <w:tc>
          <w:tcPr>
            <w:tcW w:w="2504" w:type="dxa"/>
            <w:tcBorders>
              <w:top w:val="nil"/>
              <w:left w:val="nil"/>
              <w:bottom w:val="single" w:sz="4" w:space="0" w:color="auto"/>
              <w:right w:val="single" w:sz="4" w:space="0" w:color="auto"/>
            </w:tcBorders>
            <w:shd w:val="clear" w:color="auto" w:fill="auto"/>
            <w:noWrap/>
            <w:vAlign w:val="center"/>
          </w:tcPr>
          <w:p w14:paraId="5F92E717" w14:textId="77777777" w:rsidR="00525B2B" w:rsidRPr="00955A4C" w:rsidRDefault="00525B2B" w:rsidP="00E979C7">
            <w:pPr>
              <w:spacing w:line="360" w:lineRule="auto"/>
              <w:jc w:val="right"/>
              <w:rPr>
                <w:b/>
                <w:bCs/>
                <w:color w:val="000000"/>
                <w:sz w:val="20"/>
                <w:szCs w:val="20"/>
                <w:lang w:eastAsia="es-MX"/>
              </w:rPr>
            </w:pPr>
            <w:r>
              <w:rPr>
                <w:b/>
                <w:bCs/>
                <w:color w:val="000000"/>
                <w:sz w:val="20"/>
                <w:szCs w:val="20"/>
                <w:lang w:eastAsia="es-MX"/>
              </w:rPr>
              <w:t>0.0</w:t>
            </w:r>
          </w:p>
        </w:tc>
      </w:tr>
      <w:tr w:rsidR="00836AD0" w:rsidRPr="00955A4C" w14:paraId="46702288" w14:textId="77777777" w:rsidTr="00E979C7">
        <w:trPr>
          <w:trHeight w:val="53"/>
          <w:jc w:val="center"/>
        </w:trPr>
        <w:tc>
          <w:tcPr>
            <w:tcW w:w="1560" w:type="dxa"/>
            <w:tcBorders>
              <w:top w:val="nil"/>
              <w:left w:val="single" w:sz="4" w:space="0" w:color="auto"/>
              <w:bottom w:val="single" w:sz="4" w:space="0" w:color="auto"/>
              <w:right w:val="single" w:sz="4" w:space="0" w:color="auto"/>
            </w:tcBorders>
            <w:shd w:val="clear" w:color="auto" w:fill="auto"/>
            <w:noWrap/>
            <w:vAlign w:val="center"/>
          </w:tcPr>
          <w:p w14:paraId="25AC2D1E" w14:textId="5BA4B152" w:rsidR="00836AD0" w:rsidRDefault="00836AD0" w:rsidP="00E979C7">
            <w:pPr>
              <w:spacing w:line="360" w:lineRule="auto"/>
              <w:rPr>
                <w:b/>
                <w:bCs/>
                <w:color w:val="000000"/>
                <w:sz w:val="20"/>
                <w:szCs w:val="20"/>
                <w:lang w:eastAsia="es-MX"/>
              </w:rPr>
            </w:pPr>
            <w:r>
              <w:rPr>
                <w:b/>
                <w:bCs/>
                <w:color w:val="000000"/>
                <w:sz w:val="20"/>
                <w:szCs w:val="20"/>
                <w:lang w:eastAsia="es-MX"/>
              </w:rPr>
              <w:t>Ejercicio 2021</w:t>
            </w:r>
          </w:p>
        </w:tc>
        <w:tc>
          <w:tcPr>
            <w:tcW w:w="2504" w:type="dxa"/>
            <w:tcBorders>
              <w:top w:val="nil"/>
              <w:left w:val="nil"/>
              <w:bottom w:val="single" w:sz="4" w:space="0" w:color="auto"/>
              <w:right w:val="single" w:sz="4" w:space="0" w:color="auto"/>
            </w:tcBorders>
            <w:shd w:val="clear" w:color="auto" w:fill="auto"/>
            <w:noWrap/>
            <w:vAlign w:val="center"/>
          </w:tcPr>
          <w:p w14:paraId="594BA7C5" w14:textId="583390EC" w:rsidR="00836AD0" w:rsidRDefault="00836AD0" w:rsidP="00E979C7">
            <w:pPr>
              <w:spacing w:line="360" w:lineRule="auto"/>
              <w:jc w:val="right"/>
              <w:rPr>
                <w:b/>
                <w:bCs/>
                <w:color w:val="000000"/>
                <w:sz w:val="20"/>
                <w:szCs w:val="20"/>
                <w:lang w:eastAsia="es-MX"/>
              </w:rPr>
            </w:pPr>
            <w:r>
              <w:rPr>
                <w:b/>
                <w:bCs/>
                <w:color w:val="000000"/>
                <w:sz w:val="20"/>
                <w:szCs w:val="20"/>
                <w:lang w:eastAsia="es-MX"/>
              </w:rPr>
              <w:t>0.0</w:t>
            </w:r>
          </w:p>
        </w:tc>
      </w:tr>
      <w:tr w:rsidR="00836AD0" w:rsidRPr="00955A4C" w14:paraId="2A3D8758" w14:textId="77777777" w:rsidTr="00E979C7">
        <w:trPr>
          <w:trHeight w:val="53"/>
          <w:jc w:val="center"/>
        </w:trPr>
        <w:tc>
          <w:tcPr>
            <w:tcW w:w="1560" w:type="dxa"/>
            <w:tcBorders>
              <w:top w:val="nil"/>
              <w:left w:val="single" w:sz="4" w:space="0" w:color="auto"/>
              <w:bottom w:val="single" w:sz="4" w:space="0" w:color="auto"/>
              <w:right w:val="single" w:sz="4" w:space="0" w:color="auto"/>
            </w:tcBorders>
            <w:shd w:val="clear" w:color="auto" w:fill="auto"/>
            <w:noWrap/>
            <w:vAlign w:val="center"/>
          </w:tcPr>
          <w:p w14:paraId="4ECE8337" w14:textId="660A1F28" w:rsidR="00836AD0" w:rsidRDefault="00836AD0" w:rsidP="00E979C7">
            <w:pPr>
              <w:spacing w:line="360" w:lineRule="auto"/>
              <w:rPr>
                <w:b/>
                <w:bCs/>
                <w:color w:val="000000"/>
                <w:sz w:val="20"/>
                <w:szCs w:val="20"/>
                <w:lang w:eastAsia="es-MX"/>
              </w:rPr>
            </w:pPr>
            <w:r>
              <w:rPr>
                <w:b/>
                <w:bCs/>
                <w:color w:val="000000"/>
                <w:sz w:val="20"/>
                <w:szCs w:val="20"/>
                <w:lang w:eastAsia="es-MX"/>
              </w:rPr>
              <w:t>Ejercicio 2022</w:t>
            </w:r>
          </w:p>
        </w:tc>
        <w:tc>
          <w:tcPr>
            <w:tcW w:w="2504" w:type="dxa"/>
            <w:tcBorders>
              <w:top w:val="nil"/>
              <w:left w:val="nil"/>
              <w:bottom w:val="single" w:sz="4" w:space="0" w:color="auto"/>
              <w:right w:val="single" w:sz="4" w:space="0" w:color="auto"/>
            </w:tcBorders>
            <w:shd w:val="clear" w:color="auto" w:fill="auto"/>
            <w:noWrap/>
            <w:vAlign w:val="center"/>
          </w:tcPr>
          <w:p w14:paraId="638CC3B9" w14:textId="2D5A3E23" w:rsidR="00836AD0" w:rsidRDefault="00836AD0" w:rsidP="00E979C7">
            <w:pPr>
              <w:spacing w:line="360" w:lineRule="auto"/>
              <w:jc w:val="right"/>
              <w:rPr>
                <w:b/>
                <w:bCs/>
                <w:color w:val="000000"/>
                <w:sz w:val="20"/>
                <w:szCs w:val="20"/>
                <w:lang w:eastAsia="es-MX"/>
              </w:rPr>
            </w:pPr>
            <w:r>
              <w:rPr>
                <w:b/>
                <w:bCs/>
                <w:color w:val="000000"/>
                <w:sz w:val="20"/>
                <w:szCs w:val="20"/>
                <w:lang w:eastAsia="es-MX"/>
              </w:rPr>
              <w:t>0.0</w:t>
            </w:r>
          </w:p>
        </w:tc>
      </w:tr>
      <w:tr w:rsidR="00525B2B" w:rsidRPr="00955A4C" w14:paraId="0532BB2D" w14:textId="77777777" w:rsidTr="00E979C7">
        <w:trPr>
          <w:trHeight w:val="53"/>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5944F08" w14:textId="77777777" w:rsidR="00525B2B" w:rsidRPr="00955A4C" w:rsidRDefault="00525B2B" w:rsidP="00E979C7">
            <w:pPr>
              <w:spacing w:line="360" w:lineRule="auto"/>
              <w:jc w:val="center"/>
              <w:rPr>
                <w:b/>
                <w:bCs/>
                <w:color w:val="000000"/>
                <w:sz w:val="20"/>
                <w:szCs w:val="20"/>
                <w:lang w:eastAsia="es-MX"/>
              </w:rPr>
            </w:pPr>
            <w:r w:rsidRPr="00955A4C">
              <w:rPr>
                <w:b/>
                <w:bCs/>
                <w:color w:val="000000"/>
                <w:sz w:val="20"/>
                <w:szCs w:val="20"/>
                <w:lang w:eastAsia="es-MX"/>
              </w:rPr>
              <w:t>SUMA</w:t>
            </w:r>
          </w:p>
        </w:tc>
        <w:tc>
          <w:tcPr>
            <w:tcW w:w="2504" w:type="dxa"/>
            <w:tcBorders>
              <w:top w:val="nil"/>
              <w:left w:val="nil"/>
              <w:bottom w:val="single" w:sz="4" w:space="0" w:color="auto"/>
              <w:right w:val="single" w:sz="4" w:space="0" w:color="auto"/>
            </w:tcBorders>
            <w:shd w:val="clear" w:color="auto" w:fill="auto"/>
            <w:noWrap/>
            <w:vAlign w:val="center"/>
            <w:hideMark/>
          </w:tcPr>
          <w:p w14:paraId="15A8BBA1" w14:textId="77777777" w:rsidR="00525B2B" w:rsidRPr="00955A4C" w:rsidRDefault="00525B2B" w:rsidP="00E979C7">
            <w:pPr>
              <w:spacing w:line="360" w:lineRule="auto"/>
              <w:jc w:val="right"/>
              <w:rPr>
                <w:b/>
                <w:bCs/>
                <w:color w:val="000000"/>
                <w:sz w:val="20"/>
                <w:szCs w:val="20"/>
                <w:lang w:eastAsia="es-MX"/>
              </w:rPr>
            </w:pPr>
            <w:r w:rsidRPr="00955A4C">
              <w:rPr>
                <w:b/>
                <w:bCs/>
                <w:color w:val="000000"/>
                <w:sz w:val="20"/>
                <w:szCs w:val="20"/>
                <w:lang w:eastAsia="es-MX"/>
              </w:rPr>
              <w:t>150.0</w:t>
            </w:r>
          </w:p>
        </w:tc>
      </w:tr>
    </w:tbl>
    <w:p w14:paraId="06435CDB" w14:textId="77777777" w:rsidR="00525B2B" w:rsidRDefault="00525B2B" w:rsidP="00525B2B">
      <w:pPr>
        <w:spacing w:line="360" w:lineRule="auto"/>
        <w:jc w:val="both"/>
        <w:rPr>
          <w:b/>
          <w:sz w:val="20"/>
          <w:szCs w:val="20"/>
        </w:rPr>
      </w:pPr>
    </w:p>
    <w:p w14:paraId="614DF72D" w14:textId="77777777" w:rsidR="00525B2B" w:rsidRPr="00955A4C" w:rsidRDefault="00525B2B" w:rsidP="00525B2B">
      <w:pPr>
        <w:spacing w:line="360" w:lineRule="auto"/>
        <w:jc w:val="both"/>
        <w:rPr>
          <w:b/>
          <w:sz w:val="20"/>
          <w:szCs w:val="20"/>
        </w:rPr>
      </w:pPr>
      <w:r>
        <w:rPr>
          <w:b/>
          <w:sz w:val="20"/>
          <w:szCs w:val="20"/>
        </w:rPr>
        <w:t>Deuda Pública</w:t>
      </w:r>
    </w:p>
    <w:p w14:paraId="07106D57" w14:textId="77777777" w:rsidR="00525B2B" w:rsidRPr="00955A4C" w:rsidRDefault="00525B2B" w:rsidP="00525B2B">
      <w:pPr>
        <w:spacing w:line="360" w:lineRule="auto"/>
        <w:jc w:val="both"/>
        <w:rPr>
          <w:b/>
          <w:sz w:val="20"/>
          <w:szCs w:val="20"/>
        </w:rPr>
      </w:pPr>
    </w:p>
    <w:p w14:paraId="06D67108" w14:textId="77777777" w:rsidR="00836AD0" w:rsidRPr="00955A4C" w:rsidRDefault="00836AD0" w:rsidP="00836AD0">
      <w:pPr>
        <w:pStyle w:val="PRIMERAPLANA"/>
        <w:spacing w:line="360" w:lineRule="auto"/>
        <w:rPr>
          <w:rFonts w:ascii="Times New Roman" w:hAnsi="Times New Roman"/>
        </w:rPr>
      </w:pPr>
      <w:r w:rsidRPr="00955A4C">
        <w:rPr>
          <w:rFonts w:ascii="Times New Roman" w:hAnsi="Times New Roman"/>
        </w:rPr>
        <w:t>Una de las políticas de esta Administración ha sido continuar con cero deuda, para el mantenimiento de finanzas públicas sanas,</w:t>
      </w:r>
      <w:r>
        <w:rPr>
          <w:rFonts w:ascii="Times New Roman" w:hAnsi="Times New Roman"/>
        </w:rPr>
        <w:t xml:space="preserve"> lo cual ha sido reconocido a nivel nacional por parte del Gobierno Federal en ser el único estado hasta el momento de no contraer deuda, todo ello a pesar de la situación actual a nivel nacional e internacional,</w:t>
      </w:r>
      <w:r w:rsidRPr="00955A4C">
        <w:rPr>
          <w:rFonts w:ascii="Times New Roman" w:hAnsi="Times New Roman"/>
        </w:rPr>
        <w:t xml:space="preserve"> sin embargo, considerando que el deterioro de los resultados fiscales podría conducir al requerimiento de recursos para proyectos de infraestructura, no se desestima, en el mediano plazo, la posibilidad de contratación de deuda para el financiamiento del gasto público.</w:t>
      </w:r>
    </w:p>
    <w:p w14:paraId="6BBAF3E7" w14:textId="77777777" w:rsidR="00836AD0" w:rsidRDefault="00836AD0" w:rsidP="00836AD0">
      <w:pPr>
        <w:spacing w:line="360" w:lineRule="auto"/>
        <w:jc w:val="both"/>
        <w:rPr>
          <w:sz w:val="20"/>
          <w:szCs w:val="20"/>
          <w:lang w:val="es-ES_tradnl"/>
        </w:rPr>
      </w:pPr>
    </w:p>
    <w:p w14:paraId="7E2BE75D" w14:textId="77777777" w:rsidR="00836AD0" w:rsidRPr="00955A4C" w:rsidRDefault="00836AD0" w:rsidP="00836AD0">
      <w:pPr>
        <w:spacing w:line="360" w:lineRule="auto"/>
        <w:jc w:val="both"/>
        <w:rPr>
          <w:b/>
          <w:sz w:val="20"/>
          <w:szCs w:val="20"/>
        </w:rPr>
      </w:pPr>
      <w:r>
        <w:rPr>
          <w:b/>
          <w:sz w:val="20"/>
          <w:szCs w:val="20"/>
        </w:rPr>
        <w:t>Menor crecimiento económico</w:t>
      </w:r>
    </w:p>
    <w:p w14:paraId="7557E420" w14:textId="77777777" w:rsidR="00836AD0" w:rsidRDefault="00836AD0" w:rsidP="00836AD0">
      <w:pPr>
        <w:spacing w:line="360" w:lineRule="auto"/>
        <w:jc w:val="both"/>
        <w:rPr>
          <w:b/>
          <w:sz w:val="20"/>
          <w:szCs w:val="20"/>
        </w:rPr>
      </w:pPr>
    </w:p>
    <w:p w14:paraId="593BFCBD" w14:textId="77777777" w:rsidR="00E1374C" w:rsidRPr="00E1374C" w:rsidRDefault="00E1374C" w:rsidP="00E1374C">
      <w:pPr>
        <w:spacing w:line="360" w:lineRule="auto"/>
        <w:jc w:val="both"/>
        <w:rPr>
          <w:sz w:val="20"/>
          <w:szCs w:val="20"/>
        </w:rPr>
      </w:pPr>
      <w:r w:rsidRPr="00E1374C">
        <w:rPr>
          <w:sz w:val="20"/>
          <w:szCs w:val="20"/>
        </w:rPr>
        <w:t>La actividad económica de Tlaxcala tuvo un crecimiento de 2.7 % en el primer trimestre de 2022 frente al trimestre inmediato anterior, mientras que en su comparación con el periodo enero–marzo de 2021 registró un retroceso de 1.5 %, según informe del Instituto Nacional de Estadística y Geografía (INEGI).</w:t>
      </w:r>
    </w:p>
    <w:p w14:paraId="6D5BB8DF" w14:textId="77777777" w:rsidR="00E1374C" w:rsidRPr="00E1374C" w:rsidRDefault="00E1374C" w:rsidP="00E1374C">
      <w:pPr>
        <w:spacing w:line="360" w:lineRule="auto"/>
        <w:jc w:val="both"/>
        <w:rPr>
          <w:sz w:val="20"/>
          <w:szCs w:val="20"/>
        </w:rPr>
      </w:pPr>
    </w:p>
    <w:p w14:paraId="1F28AD0B" w14:textId="72D03786" w:rsidR="00836AD0" w:rsidRDefault="00E1374C" w:rsidP="00E1374C">
      <w:pPr>
        <w:spacing w:line="360" w:lineRule="auto"/>
        <w:jc w:val="both"/>
        <w:rPr>
          <w:sz w:val="20"/>
          <w:szCs w:val="20"/>
        </w:rPr>
      </w:pPr>
      <w:r w:rsidRPr="00E1374C">
        <w:rPr>
          <w:sz w:val="20"/>
          <w:szCs w:val="20"/>
        </w:rPr>
        <w:t>El Indicador Trimestral de la Actividad Económica Estatal (ITAEE) es un indicador de coyuntura que ofrece un panorama sobre la evolución económica de las entidades federativas del país, durante el segundo trimestre de 2022 Tlaxcala no mostró variación alguna, sin embargo, las actividades Primarias y Terciarias ascendieron 4.6 y 0.7 %, respectivamente, y las Secundarias cayeron 1.9%</w:t>
      </w:r>
      <w:r w:rsidR="00836AD0">
        <w:rPr>
          <w:sz w:val="20"/>
          <w:szCs w:val="20"/>
        </w:rPr>
        <w:t>.</w:t>
      </w:r>
    </w:p>
    <w:p w14:paraId="76833F5B" w14:textId="77777777" w:rsidR="00836AD0" w:rsidRDefault="00836AD0" w:rsidP="00836AD0">
      <w:pPr>
        <w:spacing w:line="360" w:lineRule="auto"/>
        <w:jc w:val="both"/>
        <w:rPr>
          <w:b/>
          <w:sz w:val="20"/>
          <w:szCs w:val="20"/>
        </w:rPr>
      </w:pPr>
    </w:p>
    <w:p w14:paraId="24228763" w14:textId="77777777" w:rsidR="00836AD0" w:rsidRDefault="00836AD0" w:rsidP="00836AD0">
      <w:pPr>
        <w:spacing w:line="360" w:lineRule="auto"/>
        <w:jc w:val="both"/>
        <w:rPr>
          <w:b/>
          <w:sz w:val="20"/>
          <w:szCs w:val="20"/>
        </w:rPr>
      </w:pPr>
      <w:r w:rsidRPr="003C7084">
        <w:rPr>
          <w:b/>
          <w:sz w:val="20"/>
          <w:szCs w:val="20"/>
        </w:rPr>
        <w:t>Actividades Primarias</w:t>
      </w:r>
    </w:p>
    <w:p w14:paraId="5BB0A838" w14:textId="77777777" w:rsidR="00836AD0" w:rsidRPr="003C7084" w:rsidRDefault="00836AD0" w:rsidP="00836AD0">
      <w:pPr>
        <w:spacing w:line="360" w:lineRule="auto"/>
        <w:jc w:val="both"/>
        <w:rPr>
          <w:b/>
          <w:sz w:val="20"/>
          <w:szCs w:val="20"/>
        </w:rPr>
      </w:pPr>
    </w:p>
    <w:p w14:paraId="0FA5C7ED" w14:textId="50ED312D" w:rsidR="00525B2B" w:rsidRDefault="00E1374C" w:rsidP="00836AD0">
      <w:pPr>
        <w:spacing w:line="360" w:lineRule="auto"/>
        <w:jc w:val="both"/>
        <w:rPr>
          <w:sz w:val="20"/>
          <w:szCs w:val="20"/>
        </w:rPr>
      </w:pPr>
      <w:r w:rsidRPr="00E1374C">
        <w:rPr>
          <w:sz w:val="20"/>
          <w:szCs w:val="20"/>
        </w:rPr>
        <w:t>Incluyen agricultura, cría y explotación de animales, aprovechamiento forestal, pesca y caza, reportaron una variación anual de 4.6% en el segundo trimestre de 2022, debido, sobre todo, al comportamiento de la agricultura</w:t>
      </w:r>
      <w:r w:rsidR="00836AD0">
        <w:rPr>
          <w:sz w:val="20"/>
          <w:szCs w:val="20"/>
        </w:rPr>
        <w:t>.</w:t>
      </w:r>
    </w:p>
    <w:p w14:paraId="65F37CE0" w14:textId="00A030D3" w:rsidR="00525B2B" w:rsidRPr="00955A4C" w:rsidRDefault="00836AD0" w:rsidP="00836AD0">
      <w:pPr>
        <w:spacing w:line="360" w:lineRule="auto"/>
        <w:jc w:val="center"/>
        <w:rPr>
          <w:sz w:val="20"/>
          <w:szCs w:val="20"/>
        </w:rPr>
      </w:pPr>
      <w:r>
        <w:rPr>
          <w:noProof/>
          <w:lang w:val="es-MX" w:eastAsia="es-MX"/>
        </w:rPr>
        <mc:AlternateContent>
          <mc:Choice Requires="wps">
            <w:drawing>
              <wp:anchor distT="0" distB="0" distL="114300" distR="114300" simplePos="0" relativeHeight="251706368" behindDoc="0" locked="0" layoutInCell="1" allowOverlap="1" wp14:anchorId="7ED6F7E9" wp14:editId="5B8BCB57">
                <wp:simplePos x="0" y="0"/>
                <wp:positionH relativeFrom="column">
                  <wp:posOffset>2363318</wp:posOffset>
                </wp:positionH>
                <wp:positionV relativeFrom="paragraph">
                  <wp:posOffset>928076</wp:posOffset>
                </wp:positionV>
                <wp:extent cx="252483" cy="54591"/>
                <wp:effectExtent l="0" t="19050" r="33655" b="41275"/>
                <wp:wrapNone/>
                <wp:docPr id="60" name="Flecha derecha 60"/>
                <wp:cNvGraphicFramePr/>
                <a:graphic xmlns:a="http://schemas.openxmlformats.org/drawingml/2006/main">
                  <a:graphicData uri="http://schemas.microsoft.com/office/word/2010/wordprocessingShape">
                    <wps:wsp>
                      <wps:cNvSpPr/>
                      <wps:spPr>
                        <a:xfrm>
                          <a:off x="0" y="0"/>
                          <a:ext cx="252483" cy="54591"/>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8EECDB" id="Flecha derecha 60" o:spid="_x0000_s1026" type="#_x0000_t13" style="position:absolute;margin-left:186.1pt;margin-top:73.1pt;width:19.9pt;height:4.3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" adj="19265" fillcolor="red" strokecolor="red" strokeweight="1pt"/>
            </w:pict>
          </mc:Fallback>
        </mc:AlternateContent>
      </w:r>
      <w:r>
        <w:rPr>
          <w:noProof/>
          <w:lang w:val="es-MX" w:eastAsia="es-MX"/>
        </w:rPr>
        <w:drawing>
          <wp:inline distT="0" distB="0" distL="0" distR="0" wp14:anchorId="0BD27C53" wp14:editId="6C8A6006">
            <wp:extent cx="3933825" cy="3446590"/>
            <wp:effectExtent l="0" t="0" r="0" b="190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2077" t="35276" r="31772" b="12492"/>
                    <a:stretch/>
                  </pic:blipFill>
                  <pic:spPr bwMode="auto">
                    <a:xfrm>
                      <a:off x="0" y="0"/>
                      <a:ext cx="3953453" cy="3463787"/>
                    </a:xfrm>
                    <a:prstGeom prst="rect">
                      <a:avLst/>
                    </a:prstGeom>
                    <a:ln>
                      <a:noFill/>
                    </a:ln>
                    <a:extLst>
                      <a:ext uri="{53640926-AAD7-44D8-BBD7-CCE9431645EC}">
                        <a14:shadowObscured xmlns:a14="http://schemas.microsoft.com/office/drawing/2010/main"/>
                      </a:ext>
                    </a:extLst>
                  </pic:spPr>
                </pic:pic>
              </a:graphicData>
            </a:graphic>
          </wp:inline>
        </w:drawing>
      </w:r>
    </w:p>
    <w:p w14:paraId="490A9CE7" w14:textId="77777777" w:rsidR="00525B2B" w:rsidRDefault="00525B2B" w:rsidP="00525B2B">
      <w:pPr>
        <w:spacing w:line="360" w:lineRule="auto"/>
        <w:rPr>
          <w:b/>
          <w:bCs/>
          <w:sz w:val="20"/>
          <w:szCs w:val="20"/>
        </w:rPr>
      </w:pPr>
    </w:p>
    <w:p w14:paraId="41CB1DAB" w14:textId="7E6B5D60" w:rsidR="00525B2B" w:rsidRDefault="0004185D" w:rsidP="00525B2B">
      <w:pPr>
        <w:spacing w:line="360" w:lineRule="auto"/>
        <w:jc w:val="both"/>
        <w:rPr>
          <w:b/>
          <w:sz w:val="20"/>
          <w:szCs w:val="20"/>
        </w:rPr>
      </w:pPr>
      <w:r w:rsidRPr="0004185D">
        <w:rPr>
          <w:b/>
          <w:sz w:val="20"/>
          <w:szCs w:val="20"/>
        </w:rPr>
        <w:t>Actividades Secundarias</w:t>
      </w:r>
    </w:p>
    <w:p w14:paraId="77EA2807" w14:textId="77777777" w:rsidR="0004185D" w:rsidRPr="0004185D" w:rsidRDefault="0004185D" w:rsidP="00525B2B">
      <w:pPr>
        <w:spacing w:line="360" w:lineRule="auto"/>
        <w:jc w:val="both"/>
        <w:rPr>
          <w:b/>
          <w:sz w:val="20"/>
          <w:szCs w:val="20"/>
        </w:rPr>
      </w:pPr>
    </w:p>
    <w:p w14:paraId="1D04ADC3" w14:textId="52AD4FF8" w:rsidR="00634412" w:rsidRDefault="00E1374C" w:rsidP="00525B2B">
      <w:pPr>
        <w:spacing w:line="360" w:lineRule="auto"/>
        <w:jc w:val="both"/>
        <w:rPr>
          <w:sz w:val="20"/>
          <w:szCs w:val="20"/>
        </w:rPr>
      </w:pPr>
      <w:r w:rsidRPr="00E1374C">
        <w:rPr>
          <w:sz w:val="20"/>
          <w:szCs w:val="20"/>
        </w:rPr>
        <w:t>Corresponden a los sectores dedicados a la industria de la minería, manufacturas, construcción y electricidad, que en su conjunto reflejaron un decremento a la tasa anual de 1.9% en el segundo trimestre de 2022, debido, en mayor medida a la construcción y a las industrias manufactureras</w:t>
      </w:r>
      <w:r w:rsidR="0004185D" w:rsidRPr="00E21C04">
        <w:rPr>
          <w:sz w:val="20"/>
          <w:szCs w:val="20"/>
        </w:rPr>
        <w:t>.</w:t>
      </w:r>
    </w:p>
    <w:p w14:paraId="283DEE35" w14:textId="578ACD8E" w:rsidR="00525B2B" w:rsidRDefault="00525B2B" w:rsidP="00525B2B">
      <w:pPr>
        <w:spacing w:line="360" w:lineRule="auto"/>
        <w:jc w:val="both"/>
        <w:rPr>
          <w:sz w:val="20"/>
          <w:szCs w:val="20"/>
        </w:rPr>
      </w:pPr>
      <w:r w:rsidRPr="003C7084">
        <w:rPr>
          <w:sz w:val="20"/>
          <w:szCs w:val="20"/>
        </w:rPr>
        <w:lastRenderedPageBreak/>
        <w:cr/>
      </w:r>
      <w:r>
        <w:rPr>
          <w:noProof/>
          <w:lang w:val="es-MX" w:eastAsia="es-MX"/>
        </w:rPr>
        <mc:AlternateContent>
          <mc:Choice Requires="wps">
            <w:drawing>
              <wp:anchor distT="0" distB="0" distL="114300" distR="114300" simplePos="0" relativeHeight="251708416" behindDoc="0" locked="0" layoutInCell="1" allowOverlap="1" wp14:anchorId="1A6640EB" wp14:editId="2837A39C">
                <wp:simplePos x="0" y="0"/>
                <wp:positionH relativeFrom="column">
                  <wp:posOffset>2433320</wp:posOffset>
                </wp:positionH>
                <wp:positionV relativeFrom="paragraph">
                  <wp:posOffset>3744595</wp:posOffset>
                </wp:positionV>
                <wp:extent cx="252483" cy="54591"/>
                <wp:effectExtent l="0" t="19050" r="33655" b="41275"/>
                <wp:wrapNone/>
                <wp:docPr id="32" name="Flecha derecha 32"/>
                <wp:cNvGraphicFramePr/>
                <a:graphic xmlns:a="http://schemas.openxmlformats.org/drawingml/2006/main">
                  <a:graphicData uri="http://schemas.microsoft.com/office/word/2010/wordprocessingShape">
                    <wps:wsp>
                      <wps:cNvSpPr/>
                      <wps:spPr>
                        <a:xfrm>
                          <a:off x="0" y="0"/>
                          <a:ext cx="252483" cy="54591"/>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FD6538" id="Flecha derecha 32" o:spid="_x0000_s1026" type="#_x0000_t13" style="position:absolute;margin-left:191.6pt;margin-top:294.85pt;width:19.9pt;height:4.3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" adj="19265" fillcolor="red" strokecolor="red" strokeweight="1pt"/>
            </w:pict>
          </mc:Fallback>
        </mc:AlternateContent>
      </w:r>
      <w:r w:rsidR="0004185D">
        <w:rPr>
          <w:noProof/>
          <w:lang w:val="es-MX" w:eastAsia="es-MX"/>
        </w:rPr>
        <w:drawing>
          <wp:inline distT="0" distB="0" distL="0" distR="0" wp14:anchorId="5B1C83D3" wp14:editId="3C6D2F40">
            <wp:extent cx="5143500" cy="4976998"/>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2077" t="32287" r="32790" b="15510"/>
                    <a:stretch/>
                  </pic:blipFill>
                  <pic:spPr bwMode="auto">
                    <a:xfrm>
                      <a:off x="0" y="0"/>
                      <a:ext cx="5143500" cy="4976998"/>
                    </a:xfrm>
                    <a:prstGeom prst="rect">
                      <a:avLst/>
                    </a:prstGeom>
                    <a:ln>
                      <a:noFill/>
                    </a:ln>
                    <a:extLst>
                      <a:ext uri="{53640926-AAD7-44D8-BBD7-CCE9431645EC}">
                        <a14:shadowObscured xmlns:a14="http://schemas.microsoft.com/office/drawing/2010/main"/>
                      </a:ext>
                    </a:extLst>
                  </pic:spPr>
                </pic:pic>
              </a:graphicData>
            </a:graphic>
          </wp:inline>
        </w:drawing>
      </w:r>
    </w:p>
    <w:p w14:paraId="6AE82CDC" w14:textId="77777777" w:rsidR="00525B2B" w:rsidRDefault="00525B2B" w:rsidP="00525B2B">
      <w:pPr>
        <w:spacing w:line="360" w:lineRule="auto"/>
        <w:jc w:val="both"/>
        <w:rPr>
          <w:b/>
          <w:sz w:val="20"/>
          <w:szCs w:val="20"/>
        </w:rPr>
      </w:pPr>
    </w:p>
    <w:p w14:paraId="680DEA4E" w14:textId="77777777" w:rsidR="00525B2B" w:rsidRDefault="00525B2B" w:rsidP="00525B2B">
      <w:pPr>
        <w:spacing w:line="360" w:lineRule="auto"/>
        <w:jc w:val="both"/>
        <w:rPr>
          <w:b/>
          <w:sz w:val="20"/>
          <w:szCs w:val="20"/>
        </w:rPr>
      </w:pPr>
      <w:r w:rsidRPr="003C7084">
        <w:rPr>
          <w:b/>
          <w:sz w:val="20"/>
          <w:szCs w:val="20"/>
        </w:rPr>
        <w:t>Actividades Terciarias</w:t>
      </w:r>
    </w:p>
    <w:p w14:paraId="78E2B23C" w14:textId="77777777" w:rsidR="00525B2B" w:rsidRDefault="00525B2B" w:rsidP="00525B2B">
      <w:pPr>
        <w:spacing w:line="360" w:lineRule="auto"/>
        <w:jc w:val="both"/>
        <w:rPr>
          <w:b/>
          <w:sz w:val="20"/>
          <w:szCs w:val="20"/>
        </w:rPr>
      </w:pPr>
    </w:p>
    <w:p w14:paraId="2BDCAA53" w14:textId="3F865634" w:rsidR="00525B2B" w:rsidRDefault="00E1374C" w:rsidP="0004185D">
      <w:pPr>
        <w:spacing w:line="360" w:lineRule="auto"/>
        <w:jc w:val="both"/>
        <w:rPr>
          <w:sz w:val="20"/>
          <w:szCs w:val="20"/>
        </w:rPr>
      </w:pPr>
      <w:r w:rsidRPr="00E1374C">
        <w:rPr>
          <w:sz w:val="20"/>
          <w:szCs w:val="20"/>
        </w:rPr>
        <w:t>De igual manera la Entidad en estas actividades mostró un incremento de 0.7%, en el segundo trimestre de 2022; que incluye los sectores dedicados a la distribución de bienes y aquellas actividades relativas a operaciones con información o con activos, así como a servicios cuyo insumo principal es el conocimiento y la experiencia de personal</w:t>
      </w:r>
      <w:r w:rsidR="0004185D" w:rsidRPr="00E21C04">
        <w:rPr>
          <w:sz w:val="20"/>
          <w:szCs w:val="20"/>
        </w:rPr>
        <w:t>.</w:t>
      </w:r>
      <w:r w:rsidR="00525B2B" w:rsidRPr="003C7084">
        <w:rPr>
          <w:sz w:val="20"/>
          <w:szCs w:val="20"/>
        </w:rPr>
        <w:t xml:space="preserve"> </w:t>
      </w:r>
    </w:p>
    <w:p w14:paraId="4B7EF5D0" w14:textId="77CECDDD" w:rsidR="00525B2B" w:rsidRDefault="00525B2B" w:rsidP="00525B2B">
      <w:pPr>
        <w:spacing w:line="360" w:lineRule="auto"/>
        <w:jc w:val="both"/>
        <w:rPr>
          <w:sz w:val="20"/>
          <w:szCs w:val="20"/>
        </w:rPr>
      </w:pPr>
      <w:r>
        <w:rPr>
          <w:noProof/>
          <w:sz w:val="20"/>
          <w:szCs w:val="20"/>
          <w:lang w:val="es-MX" w:eastAsia="es-MX"/>
        </w:rPr>
        <w:lastRenderedPageBreak/>
        <mc:AlternateContent>
          <mc:Choice Requires="wps">
            <w:drawing>
              <wp:anchor distT="0" distB="0" distL="114300" distR="114300" simplePos="0" relativeHeight="251707392" behindDoc="0" locked="0" layoutInCell="1" allowOverlap="1" wp14:anchorId="2F8F902E" wp14:editId="00B99608">
                <wp:simplePos x="0" y="0"/>
                <wp:positionH relativeFrom="column">
                  <wp:posOffset>1832610</wp:posOffset>
                </wp:positionH>
                <wp:positionV relativeFrom="paragraph">
                  <wp:posOffset>2352040</wp:posOffset>
                </wp:positionV>
                <wp:extent cx="269541" cy="58141"/>
                <wp:effectExtent l="0" t="19050" r="35560" b="37465"/>
                <wp:wrapNone/>
                <wp:docPr id="67" name="Flecha derecha 67"/>
                <wp:cNvGraphicFramePr/>
                <a:graphic xmlns:a="http://schemas.openxmlformats.org/drawingml/2006/main">
                  <a:graphicData uri="http://schemas.microsoft.com/office/word/2010/wordprocessingShape">
                    <wps:wsp>
                      <wps:cNvSpPr/>
                      <wps:spPr>
                        <a:xfrm>
                          <a:off x="0" y="0"/>
                          <a:ext cx="269541" cy="58141"/>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3F4CE" id="Flecha derecha 67" o:spid="_x0000_s1026" type="#_x0000_t13" style="position:absolute;margin-left:144.3pt;margin-top:185.2pt;width:21.2pt;height:4.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" adj="19270" fillcolor="red" strokecolor="red" strokeweight="1pt"/>
            </w:pict>
          </mc:Fallback>
        </mc:AlternateContent>
      </w:r>
      <w:r w:rsidR="0004185D">
        <w:rPr>
          <w:noProof/>
          <w:lang w:val="es-MX" w:eastAsia="es-MX"/>
        </w:rPr>
        <w:drawing>
          <wp:inline distT="0" distB="0" distL="0" distR="0" wp14:anchorId="53BC9EAE" wp14:editId="3E468B37">
            <wp:extent cx="3933825" cy="3439426"/>
            <wp:effectExtent l="0" t="0" r="0" b="889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2116" t="33127" r="32877" b="14814"/>
                    <a:stretch/>
                  </pic:blipFill>
                  <pic:spPr bwMode="auto">
                    <a:xfrm>
                      <a:off x="0" y="0"/>
                      <a:ext cx="3946669" cy="3450656"/>
                    </a:xfrm>
                    <a:prstGeom prst="rect">
                      <a:avLst/>
                    </a:prstGeom>
                    <a:ln>
                      <a:noFill/>
                    </a:ln>
                    <a:extLst>
                      <a:ext uri="{53640926-AAD7-44D8-BBD7-CCE9431645EC}">
                        <a14:shadowObscured xmlns:a14="http://schemas.microsoft.com/office/drawing/2010/main"/>
                      </a:ext>
                    </a:extLst>
                  </pic:spPr>
                </pic:pic>
              </a:graphicData>
            </a:graphic>
          </wp:inline>
        </w:drawing>
      </w:r>
    </w:p>
    <w:p w14:paraId="60A90739" w14:textId="335C24F3" w:rsidR="00525B2B" w:rsidRDefault="0004185D" w:rsidP="00525B2B">
      <w:pPr>
        <w:spacing w:line="360" w:lineRule="auto"/>
        <w:jc w:val="both"/>
        <w:rPr>
          <w:sz w:val="20"/>
          <w:szCs w:val="20"/>
        </w:rPr>
      </w:pPr>
      <w:r w:rsidRPr="00E21C04">
        <w:rPr>
          <w:sz w:val="20"/>
          <w:szCs w:val="20"/>
        </w:rPr>
        <w:t>Finalmente, cabe mencionar que, en el segundo trimestre de 2022, la actividad económica reportada en Tlaxcala ubicó a la entidad en el lugar 25 a nivel nacional.</w:t>
      </w:r>
    </w:p>
    <w:p w14:paraId="4F870DAB" w14:textId="45DF71B4" w:rsidR="00525B2B" w:rsidRDefault="00525B2B" w:rsidP="00525B2B">
      <w:pPr>
        <w:spacing w:line="360" w:lineRule="auto"/>
        <w:jc w:val="center"/>
        <w:rPr>
          <w:sz w:val="20"/>
          <w:szCs w:val="20"/>
        </w:rPr>
      </w:pPr>
      <w:r>
        <w:rPr>
          <w:noProof/>
          <w:sz w:val="20"/>
          <w:szCs w:val="20"/>
          <w:lang w:val="es-MX" w:eastAsia="es-MX"/>
        </w:rPr>
        <mc:AlternateContent>
          <mc:Choice Requires="wps">
            <w:drawing>
              <wp:anchor distT="0" distB="0" distL="114300" distR="114300" simplePos="0" relativeHeight="251709440" behindDoc="0" locked="0" layoutInCell="1" allowOverlap="1" wp14:anchorId="408EAF99" wp14:editId="31C3B592">
                <wp:simplePos x="0" y="0"/>
                <wp:positionH relativeFrom="column">
                  <wp:posOffset>2769235</wp:posOffset>
                </wp:positionH>
                <wp:positionV relativeFrom="paragraph">
                  <wp:posOffset>2336800</wp:posOffset>
                </wp:positionV>
                <wp:extent cx="269541" cy="58141"/>
                <wp:effectExtent l="0" t="19050" r="35560" b="37465"/>
                <wp:wrapNone/>
                <wp:docPr id="34" name="Flecha derecha 34"/>
                <wp:cNvGraphicFramePr/>
                <a:graphic xmlns:a="http://schemas.openxmlformats.org/drawingml/2006/main">
                  <a:graphicData uri="http://schemas.microsoft.com/office/word/2010/wordprocessingShape">
                    <wps:wsp>
                      <wps:cNvSpPr/>
                      <wps:spPr>
                        <a:xfrm>
                          <a:off x="0" y="0"/>
                          <a:ext cx="269541" cy="58141"/>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52C44" id="Flecha derecha 34" o:spid="_x0000_s1026" type="#_x0000_t13" style="position:absolute;margin-left:218.05pt;margin-top:184pt;width:21.2pt;height:4.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" adj="19270" fillcolor="red" strokecolor="red" strokeweight="1pt"/>
            </w:pict>
          </mc:Fallback>
        </mc:AlternateContent>
      </w:r>
      <w:r w:rsidR="0004185D">
        <w:rPr>
          <w:noProof/>
          <w:lang w:val="es-MX" w:eastAsia="es-MX"/>
        </w:rPr>
        <w:drawing>
          <wp:inline distT="0" distB="0" distL="0" distR="0" wp14:anchorId="2819E2DB" wp14:editId="305BE74A">
            <wp:extent cx="3476625" cy="3440570"/>
            <wp:effectExtent l="0" t="0" r="0" b="762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2799" t="29184" r="33673" b="12232"/>
                    <a:stretch/>
                  </pic:blipFill>
                  <pic:spPr bwMode="auto">
                    <a:xfrm>
                      <a:off x="0" y="0"/>
                      <a:ext cx="3485043" cy="3448900"/>
                    </a:xfrm>
                    <a:prstGeom prst="rect">
                      <a:avLst/>
                    </a:prstGeom>
                    <a:ln>
                      <a:noFill/>
                    </a:ln>
                    <a:extLst>
                      <a:ext uri="{53640926-AAD7-44D8-BBD7-CCE9431645EC}">
                        <a14:shadowObscured xmlns:a14="http://schemas.microsoft.com/office/drawing/2010/main"/>
                      </a:ext>
                    </a:extLst>
                  </pic:spPr>
                </pic:pic>
              </a:graphicData>
            </a:graphic>
          </wp:inline>
        </w:drawing>
      </w:r>
    </w:p>
    <w:p w14:paraId="7EF8C750" w14:textId="77777777" w:rsidR="009C2AB9" w:rsidRDefault="009C2AB9" w:rsidP="00525B2B">
      <w:pPr>
        <w:spacing w:line="360" w:lineRule="auto"/>
        <w:jc w:val="both"/>
        <w:rPr>
          <w:sz w:val="20"/>
          <w:szCs w:val="20"/>
        </w:rPr>
      </w:pPr>
    </w:p>
    <w:p w14:paraId="0B242B8C" w14:textId="0F36CD5A" w:rsidR="00525B2B" w:rsidRPr="00955A4C" w:rsidRDefault="0004185D" w:rsidP="00525B2B">
      <w:pPr>
        <w:spacing w:line="360" w:lineRule="auto"/>
        <w:jc w:val="both"/>
        <w:rPr>
          <w:sz w:val="20"/>
          <w:szCs w:val="20"/>
        </w:rPr>
      </w:pPr>
      <w:r w:rsidRPr="00E21C04">
        <w:rPr>
          <w:sz w:val="20"/>
          <w:szCs w:val="20"/>
        </w:rPr>
        <w:t>Para contener este riesgo, el proyecto del Gobierno incluye una mayor promoción de la inversión pública y del turismo, la incorporación de causantes informales, intensificar la fiscalización y el cobro de los impuestos, para fomentar la economía e incrementar la recaudación.</w:t>
      </w:r>
    </w:p>
    <w:p w14:paraId="05A745D9" w14:textId="77777777" w:rsidR="00525B2B" w:rsidRDefault="00525B2B" w:rsidP="00525B2B">
      <w:pPr>
        <w:spacing w:line="360" w:lineRule="auto"/>
        <w:jc w:val="center"/>
        <w:rPr>
          <w:b/>
          <w:bCs/>
          <w:sz w:val="20"/>
          <w:szCs w:val="20"/>
        </w:rPr>
      </w:pPr>
    </w:p>
    <w:p w14:paraId="7D2F3AD8" w14:textId="5B761746" w:rsidR="00525B2B" w:rsidRPr="00021B2A" w:rsidRDefault="00525B2B" w:rsidP="00126CF7">
      <w:pPr>
        <w:pStyle w:val="Prrafodelista"/>
        <w:numPr>
          <w:ilvl w:val="0"/>
          <w:numId w:val="15"/>
        </w:numPr>
        <w:spacing w:line="360" w:lineRule="auto"/>
        <w:jc w:val="both"/>
        <w:rPr>
          <w:b/>
          <w:bCs/>
          <w:sz w:val="20"/>
          <w:szCs w:val="20"/>
        </w:rPr>
      </w:pPr>
      <w:r w:rsidRPr="00021B2A">
        <w:rPr>
          <w:b/>
          <w:bCs/>
          <w:sz w:val="20"/>
          <w:szCs w:val="20"/>
        </w:rPr>
        <w:t>EVOLUCIÓN DE LAS FINANZAS PÚBLICAS 201</w:t>
      </w:r>
      <w:r w:rsidR="006C696E">
        <w:rPr>
          <w:b/>
          <w:bCs/>
          <w:sz w:val="20"/>
          <w:szCs w:val="20"/>
        </w:rPr>
        <w:t>7</w:t>
      </w:r>
      <w:r w:rsidRPr="00021B2A">
        <w:rPr>
          <w:b/>
          <w:bCs/>
          <w:sz w:val="20"/>
          <w:szCs w:val="20"/>
        </w:rPr>
        <w:t>-202</w:t>
      </w:r>
      <w:r w:rsidR="006C696E">
        <w:rPr>
          <w:b/>
          <w:bCs/>
          <w:sz w:val="20"/>
          <w:szCs w:val="20"/>
        </w:rPr>
        <w:t>2</w:t>
      </w:r>
      <w:r w:rsidRPr="00021B2A">
        <w:rPr>
          <w:b/>
          <w:bCs/>
          <w:sz w:val="20"/>
          <w:szCs w:val="20"/>
        </w:rPr>
        <w:t>.</w:t>
      </w:r>
    </w:p>
    <w:p w14:paraId="17F16655" w14:textId="77777777" w:rsidR="00525B2B" w:rsidRDefault="00525B2B" w:rsidP="00525B2B">
      <w:pPr>
        <w:spacing w:line="360" w:lineRule="auto"/>
        <w:jc w:val="both"/>
        <w:rPr>
          <w:b/>
          <w:bCs/>
          <w:sz w:val="20"/>
          <w:szCs w:val="20"/>
        </w:rPr>
      </w:pPr>
    </w:p>
    <w:p w14:paraId="7CA36333" w14:textId="77777777" w:rsidR="006C696E" w:rsidRDefault="006C696E" w:rsidP="006C696E">
      <w:pPr>
        <w:pStyle w:val="PRIMERAPLANA"/>
        <w:spacing w:line="360" w:lineRule="auto"/>
        <w:rPr>
          <w:rFonts w:ascii="Times New Roman" w:hAnsi="Times New Roman"/>
          <w:iCs/>
          <w:lang w:val="es-ES"/>
        </w:rPr>
      </w:pPr>
      <w:r w:rsidRPr="00E008C2">
        <w:rPr>
          <w:rFonts w:ascii="Times New Roman" w:hAnsi="Times New Roman"/>
          <w:iCs/>
          <w:lang w:val="es-ES"/>
        </w:rPr>
        <w:t>A pesar del entorno global adverso que enfrentan las economías de todo el mundo, en 2022 se</w:t>
      </w:r>
      <w:r>
        <w:rPr>
          <w:rFonts w:ascii="Times New Roman" w:hAnsi="Times New Roman"/>
          <w:iCs/>
          <w:lang w:val="es-ES"/>
        </w:rPr>
        <w:t xml:space="preserve"> </w:t>
      </w:r>
      <w:r w:rsidRPr="00E008C2">
        <w:rPr>
          <w:rFonts w:ascii="Times New Roman" w:hAnsi="Times New Roman"/>
          <w:iCs/>
          <w:lang w:val="es-ES"/>
        </w:rPr>
        <w:t>prevé que la economía mexicana alcance un crecimiento real de entre 1.9 y 2.9% anual, con una</w:t>
      </w:r>
      <w:r>
        <w:rPr>
          <w:rFonts w:ascii="Times New Roman" w:hAnsi="Times New Roman"/>
          <w:iCs/>
          <w:lang w:val="es-ES"/>
        </w:rPr>
        <w:t xml:space="preserve"> </w:t>
      </w:r>
      <w:r w:rsidRPr="00E008C2">
        <w:rPr>
          <w:rFonts w:ascii="Times New Roman" w:hAnsi="Times New Roman"/>
          <w:iCs/>
          <w:lang w:val="es-ES"/>
        </w:rPr>
        <w:t>estimación puntual para las proyecciones de finanzas públicas de 2.4%. Tan sólo en la primera</w:t>
      </w:r>
      <w:r>
        <w:rPr>
          <w:rFonts w:ascii="Times New Roman" w:hAnsi="Times New Roman"/>
          <w:iCs/>
          <w:lang w:val="es-ES"/>
        </w:rPr>
        <w:t xml:space="preserve"> </w:t>
      </w:r>
      <w:r w:rsidRPr="00E008C2">
        <w:rPr>
          <w:rFonts w:ascii="Times New Roman" w:hAnsi="Times New Roman"/>
          <w:iCs/>
          <w:lang w:val="es-ES"/>
        </w:rPr>
        <w:t>mitad del año, la economía registró una expansión de 1.9% a tasa anual; a partir de lo cual, se</w:t>
      </w:r>
      <w:r>
        <w:rPr>
          <w:rFonts w:ascii="Times New Roman" w:hAnsi="Times New Roman"/>
          <w:iCs/>
          <w:lang w:val="es-ES"/>
        </w:rPr>
        <w:t xml:space="preserve"> </w:t>
      </w:r>
      <w:r w:rsidRPr="00E008C2">
        <w:rPr>
          <w:rFonts w:ascii="Times New Roman" w:hAnsi="Times New Roman"/>
          <w:iCs/>
          <w:lang w:val="es-ES"/>
        </w:rPr>
        <w:t>calcula que, si no hubiera más crecimiento en lo que resta del año, la actividad económica podría</w:t>
      </w:r>
      <w:r>
        <w:rPr>
          <w:rFonts w:ascii="Times New Roman" w:hAnsi="Times New Roman"/>
          <w:iCs/>
          <w:lang w:val="es-ES"/>
        </w:rPr>
        <w:t xml:space="preserve"> </w:t>
      </w:r>
      <w:r w:rsidRPr="00E008C2">
        <w:rPr>
          <w:rFonts w:ascii="Times New Roman" w:hAnsi="Times New Roman"/>
          <w:iCs/>
          <w:lang w:val="es-ES"/>
        </w:rPr>
        <w:t>mostrar una variación positiva de 2.0% anual, con cifras ajustadas por estacionalidad.</w:t>
      </w:r>
    </w:p>
    <w:p w14:paraId="232184F4" w14:textId="77777777" w:rsidR="006C696E" w:rsidRDefault="006C696E" w:rsidP="006C696E">
      <w:pPr>
        <w:pStyle w:val="PRIMERAPLANA"/>
        <w:spacing w:line="360" w:lineRule="auto"/>
        <w:rPr>
          <w:rFonts w:ascii="Times New Roman" w:hAnsi="Times New Roman"/>
          <w:iCs/>
          <w:lang w:val="es-ES"/>
        </w:rPr>
      </w:pPr>
    </w:p>
    <w:p w14:paraId="57F64DFF" w14:textId="78ED83AA" w:rsidR="006C696E" w:rsidRDefault="006C696E" w:rsidP="006C696E">
      <w:pPr>
        <w:pStyle w:val="PRIMERAPLANA"/>
        <w:spacing w:line="360" w:lineRule="auto"/>
        <w:rPr>
          <w:rFonts w:ascii="Times New Roman" w:hAnsi="Times New Roman"/>
          <w:iCs/>
          <w:lang w:val="es-ES"/>
        </w:rPr>
      </w:pPr>
      <w:r>
        <w:rPr>
          <w:rFonts w:ascii="Times New Roman" w:hAnsi="Times New Roman"/>
          <w:iCs/>
          <w:lang w:val="es-ES"/>
        </w:rPr>
        <w:t>Es importante mencionar que la pandemia de</w:t>
      </w:r>
      <w:r w:rsidR="00CD4438">
        <w:rPr>
          <w:rFonts w:ascii="Times New Roman" w:hAnsi="Times New Roman"/>
          <w:iCs/>
          <w:lang w:val="es-ES"/>
        </w:rPr>
        <w:t xml:space="preserve"> </w:t>
      </w:r>
      <w:r>
        <w:rPr>
          <w:rFonts w:ascii="Times New Roman" w:hAnsi="Times New Roman"/>
          <w:iCs/>
          <w:lang w:val="es-ES"/>
        </w:rPr>
        <w:t>l</w:t>
      </w:r>
      <w:r w:rsidR="00CD4438">
        <w:rPr>
          <w:rFonts w:ascii="Times New Roman" w:hAnsi="Times New Roman"/>
          <w:iCs/>
          <w:lang w:val="es-ES"/>
        </w:rPr>
        <w:t>a</w:t>
      </w:r>
      <w:r>
        <w:rPr>
          <w:rFonts w:ascii="Times New Roman" w:hAnsi="Times New Roman"/>
          <w:iCs/>
          <w:lang w:val="es-ES"/>
        </w:rPr>
        <w:t xml:space="preserve"> COVID-19 ha dejado</w:t>
      </w:r>
      <w:r w:rsidRPr="004F62F7">
        <w:rPr>
          <w:rFonts w:ascii="Times New Roman" w:hAnsi="Times New Roman"/>
          <w:iCs/>
          <w:lang w:val="es-ES"/>
        </w:rPr>
        <w:t xml:space="preserve"> secuelas económicas y un ambiente internacional con crecientes</w:t>
      </w:r>
      <w:r>
        <w:rPr>
          <w:rFonts w:ascii="Times New Roman" w:hAnsi="Times New Roman"/>
          <w:iCs/>
          <w:lang w:val="es-ES"/>
        </w:rPr>
        <w:t xml:space="preserve"> </w:t>
      </w:r>
      <w:r w:rsidRPr="004F62F7">
        <w:rPr>
          <w:rFonts w:ascii="Times New Roman" w:hAnsi="Times New Roman"/>
          <w:iCs/>
          <w:lang w:val="es-ES"/>
        </w:rPr>
        <w:t>conflictos geopolíticos, así como importantes riesgos, siendo los principales la revisión a la baja</w:t>
      </w:r>
      <w:r>
        <w:rPr>
          <w:rFonts w:ascii="Times New Roman" w:hAnsi="Times New Roman"/>
          <w:iCs/>
          <w:lang w:val="es-ES"/>
        </w:rPr>
        <w:t xml:space="preserve"> </w:t>
      </w:r>
      <w:r w:rsidRPr="004F62F7">
        <w:rPr>
          <w:rFonts w:ascii="Times New Roman" w:hAnsi="Times New Roman"/>
          <w:iCs/>
          <w:lang w:val="es-ES"/>
        </w:rPr>
        <w:t>de las perspectivas de crecimiento económico, las presiones inflacionarias, así como el mayor</w:t>
      </w:r>
      <w:r>
        <w:rPr>
          <w:rFonts w:ascii="Times New Roman" w:hAnsi="Times New Roman"/>
          <w:iCs/>
          <w:lang w:val="es-ES"/>
        </w:rPr>
        <w:t xml:space="preserve"> </w:t>
      </w:r>
      <w:r w:rsidRPr="004F62F7">
        <w:rPr>
          <w:rFonts w:ascii="Times New Roman" w:hAnsi="Times New Roman"/>
          <w:iCs/>
          <w:lang w:val="es-ES"/>
        </w:rPr>
        <w:t>costo financiero para la deuda pública derivado del ciclo alcista en las tasas de interés que</w:t>
      </w:r>
      <w:r>
        <w:rPr>
          <w:rFonts w:ascii="Times New Roman" w:hAnsi="Times New Roman"/>
          <w:iCs/>
          <w:lang w:val="es-ES"/>
        </w:rPr>
        <w:t xml:space="preserve"> </w:t>
      </w:r>
      <w:r w:rsidRPr="004F62F7">
        <w:rPr>
          <w:rFonts w:ascii="Times New Roman" w:hAnsi="Times New Roman"/>
          <w:iCs/>
          <w:lang w:val="es-ES"/>
        </w:rPr>
        <w:t>probablemente continuará en los siguientes meses del año.</w:t>
      </w:r>
    </w:p>
    <w:p w14:paraId="1F1B02CF" w14:textId="77777777" w:rsidR="006C696E" w:rsidRDefault="006C696E" w:rsidP="006C696E">
      <w:pPr>
        <w:pStyle w:val="PRIMERAPLANA"/>
        <w:spacing w:line="360" w:lineRule="auto"/>
        <w:rPr>
          <w:rFonts w:ascii="Times New Roman" w:hAnsi="Times New Roman"/>
          <w:iCs/>
          <w:lang w:val="es-ES"/>
        </w:rPr>
      </w:pPr>
    </w:p>
    <w:p w14:paraId="6A478A80" w14:textId="1200BF37" w:rsidR="006C696E" w:rsidRDefault="006C696E" w:rsidP="006C696E">
      <w:pPr>
        <w:pStyle w:val="PRIMERAPLANA"/>
        <w:spacing w:line="360" w:lineRule="auto"/>
        <w:rPr>
          <w:rFonts w:ascii="Times New Roman" w:hAnsi="Times New Roman"/>
          <w:iCs/>
          <w:lang w:val="es-ES"/>
        </w:rPr>
      </w:pPr>
      <w:r w:rsidRPr="0012798F">
        <w:rPr>
          <w:rFonts w:ascii="Times New Roman" w:hAnsi="Times New Roman"/>
          <w:iCs/>
          <w:lang w:val="es-ES"/>
        </w:rPr>
        <w:t>En términos generales, las perspectivas para el sector financiero se mantienen positivas, aunque persisten</w:t>
      </w:r>
      <w:r>
        <w:rPr>
          <w:rFonts w:ascii="Times New Roman" w:hAnsi="Times New Roman"/>
          <w:iCs/>
          <w:lang w:val="es-ES"/>
        </w:rPr>
        <w:t xml:space="preserve"> </w:t>
      </w:r>
      <w:r w:rsidRPr="0012798F">
        <w:rPr>
          <w:rFonts w:ascii="Times New Roman" w:hAnsi="Times New Roman"/>
          <w:iCs/>
          <w:lang w:val="es-ES"/>
        </w:rPr>
        <w:t>riesgos en los mercados que podrían generar volatilidad durante los próximos meses. Específicamente, la</w:t>
      </w:r>
      <w:r>
        <w:rPr>
          <w:rFonts w:ascii="Times New Roman" w:hAnsi="Times New Roman"/>
          <w:iCs/>
          <w:lang w:val="es-ES"/>
        </w:rPr>
        <w:t xml:space="preserve"> </w:t>
      </w:r>
      <w:r w:rsidRPr="0012798F">
        <w:rPr>
          <w:rFonts w:ascii="Times New Roman" w:hAnsi="Times New Roman"/>
          <w:iCs/>
          <w:lang w:val="es-ES"/>
        </w:rPr>
        <w:t>estabilidad de los mercados estará ligada a la evolución de la inflación general, la cual, en caso de ubicarse en</w:t>
      </w:r>
      <w:r>
        <w:rPr>
          <w:rFonts w:ascii="Times New Roman" w:hAnsi="Times New Roman"/>
          <w:iCs/>
          <w:lang w:val="es-ES"/>
        </w:rPr>
        <w:t xml:space="preserve"> </w:t>
      </w:r>
      <w:r w:rsidRPr="0012798F">
        <w:rPr>
          <w:rFonts w:ascii="Times New Roman" w:hAnsi="Times New Roman"/>
          <w:iCs/>
          <w:lang w:val="es-ES"/>
        </w:rPr>
        <w:t>un nivel alto durante un horizonte de tiempo prolongado, podría generar presión para la normalización de la</w:t>
      </w:r>
      <w:r>
        <w:rPr>
          <w:rFonts w:ascii="Times New Roman" w:hAnsi="Times New Roman"/>
          <w:iCs/>
          <w:lang w:val="es-ES"/>
        </w:rPr>
        <w:t xml:space="preserve"> </w:t>
      </w:r>
      <w:r w:rsidRPr="0012798F">
        <w:rPr>
          <w:rFonts w:ascii="Times New Roman" w:hAnsi="Times New Roman"/>
          <w:iCs/>
          <w:lang w:val="es-ES"/>
        </w:rPr>
        <w:t>política monetaria a nivel mundial. Cabe destacar que los incrementos observados en los niveles de inflación</w:t>
      </w:r>
      <w:r>
        <w:rPr>
          <w:rFonts w:ascii="Times New Roman" w:hAnsi="Times New Roman"/>
          <w:iCs/>
          <w:lang w:val="es-ES"/>
        </w:rPr>
        <w:t xml:space="preserve"> </w:t>
      </w:r>
      <w:r w:rsidRPr="0012798F">
        <w:rPr>
          <w:rFonts w:ascii="Times New Roman" w:hAnsi="Times New Roman"/>
          <w:iCs/>
          <w:lang w:val="es-ES"/>
        </w:rPr>
        <w:t>durante el primer semestre del año</w:t>
      </w:r>
      <w:r w:rsidR="00970C71">
        <w:rPr>
          <w:rFonts w:ascii="Times New Roman" w:hAnsi="Times New Roman"/>
          <w:iCs/>
          <w:lang w:val="es-ES"/>
        </w:rPr>
        <w:t>,</w:t>
      </w:r>
      <w:r w:rsidRPr="0012798F">
        <w:rPr>
          <w:rFonts w:ascii="Times New Roman" w:hAnsi="Times New Roman"/>
          <w:iCs/>
          <w:lang w:val="es-ES"/>
        </w:rPr>
        <w:t xml:space="preserve"> están relacionados con choques transitorios de oferta, cuellos de botella en</w:t>
      </w:r>
      <w:r>
        <w:rPr>
          <w:rFonts w:ascii="Times New Roman" w:hAnsi="Times New Roman"/>
          <w:iCs/>
          <w:lang w:val="es-ES"/>
        </w:rPr>
        <w:t xml:space="preserve"> </w:t>
      </w:r>
      <w:r w:rsidRPr="0012798F">
        <w:rPr>
          <w:rFonts w:ascii="Times New Roman" w:hAnsi="Times New Roman"/>
          <w:iCs/>
          <w:lang w:val="es-ES"/>
        </w:rPr>
        <w:t>las cadenas de producción y aumento en los precios de las materias primas, en particular del crudo, así como</w:t>
      </w:r>
      <w:r>
        <w:rPr>
          <w:rFonts w:ascii="Times New Roman" w:hAnsi="Times New Roman"/>
          <w:iCs/>
          <w:lang w:val="es-ES"/>
        </w:rPr>
        <w:t xml:space="preserve"> </w:t>
      </w:r>
      <w:r w:rsidRPr="0012798F">
        <w:rPr>
          <w:rFonts w:ascii="Times New Roman" w:hAnsi="Times New Roman"/>
          <w:iCs/>
          <w:lang w:val="es-ES"/>
        </w:rPr>
        <w:t>un cambio en los patrones de consumo, resultado de la reactivación de ciertos sectores, combinado con una</w:t>
      </w:r>
      <w:r>
        <w:rPr>
          <w:rFonts w:ascii="Times New Roman" w:hAnsi="Times New Roman"/>
          <w:iCs/>
          <w:lang w:val="es-ES"/>
        </w:rPr>
        <w:t xml:space="preserve"> </w:t>
      </w:r>
      <w:r w:rsidRPr="0012798F">
        <w:rPr>
          <w:rFonts w:ascii="Times New Roman" w:hAnsi="Times New Roman"/>
          <w:iCs/>
          <w:lang w:val="es-ES"/>
        </w:rPr>
        <w:t>base de comparación relativamente baja.</w:t>
      </w:r>
    </w:p>
    <w:p w14:paraId="55993F65" w14:textId="77777777" w:rsidR="006C696E" w:rsidRDefault="006C696E" w:rsidP="006C696E">
      <w:pPr>
        <w:pStyle w:val="PRIMERAPLANA"/>
        <w:spacing w:line="360" w:lineRule="auto"/>
        <w:rPr>
          <w:rFonts w:ascii="Times New Roman" w:hAnsi="Times New Roman"/>
          <w:iCs/>
          <w:lang w:val="es-ES"/>
        </w:rPr>
      </w:pPr>
    </w:p>
    <w:p w14:paraId="3C978094" w14:textId="7321D8EF" w:rsidR="00525B2B" w:rsidRDefault="006C696E" w:rsidP="006C696E">
      <w:pPr>
        <w:pStyle w:val="PRIMERAPLANA"/>
        <w:spacing w:line="360" w:lineRule="auto"/>
        <w:rPr>
          <w:rFonts w:ascii="Times New Roman" w:hAnsi="Times New Roman"/>
          <w:iCs/>
          <w:lang w:val="es-ES"/>
        </w:rPr>
      </w:pPr>
      <w:r w:rsidRPr="00ED3128">
        <w:rPr>
          <w:rFonts w:ascii="Times New Roman" w:hAnsi="Times New Roman"/>
          <w:iCs/>
          <w:lang w:val="es-ES"/>
        </w:rPr>
        <w:t>A continuación, se presenta el comportamiento en la ejecución del gasto</w:t>
      </w:r>
      <w:r>
        <w:rPr>
          <w:rFonts w:ascii="Times New Roman" w:hAnsi="Times New Roman"/>
          <w:iCs/>
          <w:lang w:val="es-ES"/>
        </w:rPr>
        <w:t xml:space="preserve"> </w:t>
      </w:r>
      <w:r w:rsidRPr="00ED3128">
        <w:rPr>
          <w:rFonts w:ascii="Times New Roman" w:hAnsi="Times New Roman"/>
          <w:iCs/>
          <w:lang w:val="es-ES"/>
        </w:rPr>
        <w:t>público etiquetado y no etiquetado en los últimos cinco años y el</w:t>
      </w:r>
      <w:r>
        <w:rPr>
          <w:rFonts w:ascii="Times New Roman" w:hAnsi="Times New Roman"/>
          <w:iCs/>
          <w:lang w:val="es-ES"/>
        </w:rPr>
        <w:t xml:space="preserve"> </w:t>
      </w:r>
      <w:r w:rsidRPr="00ED3128">
        <w:rPr>
          <w:rFonts w:ascii="Times New Roman" w:hAnsi="Times New Roman"/>
          <w:iCs/>
          <w:lang w:val="es-ES"/>
        </w:rPr>
        <w:t>pronóstico de cierre 20</w:t>
      </w:r>
      <w:r>
        <w:rPr>
          <w:rFonts w:ascii="Times New Roman" w:hAnsi="Times New Roman"/>
          <w:iCs/>
          <w:lang w:val="es-ES"/>
        </w:rPr>
        <w:t>22</w:t>
      </w:r>
      <w:r w:rsidR="00525B2B" w:rsidRPr="00ED3128">
        <w:rPr>
          <w:rFonts w:ascii="Times New Roman" w:hAnsi="Times New Roman"/>
          <w:iCs/>
          <w:lang w:val="es-ES"/>
        </w:rPr>
        <w:t>.</w:t>
      </w:r>
    </w:p>
    <w:p w14:paraId="1B2C89DB" w14:textId="77777777" w:rsidR="00525B2B" w:rsidRDefault="00525B2B" w:rsidP="00525B2B">
      <w:pPr>
        <w:pStyle w:val="PRIMERAPLANA"/>
        <w:spacing w:line="360" w:lineRule="auto"/>
        <w:rPr>
          <w:rFonts w:ascii="Times New Roman" w:hAnsi="Times New Roman"/>
          <w:iCs/>
          <w:lang w:val="es-ES"/>
        </w:rPr>
      </w:pPr>
    </w:p>
    <w:p w14:paraId="16B1531A" w14:textId="6F707183" w:rsidR="00525B2B" w:rsidRDefault="001761D9" w:rsidP="00525B2B">
      <w:pPr>
        <w:pStyle w:val="PRIMERAPLANA"/>
        <w:spacing w:line="360" w:lineRule="auto"/>
        <w:rPr>
          <w:rFonts w:ascii="Times New Roman" w:hAnsi="Times New Roman"/>
          <w:iCs/>
          <w:lang w:val="es-ES"/>
        </w:rPr>
      </w:pPr>
      <w:r w:rsidRPr="00E60B4B">
        <w:rPr>
          <w:noProof/>
          <w:lang w:val="es-MX" w:eastAsia="es-MX"/>
        </w:rPr>
        <w:lastRenderedPageBreak/>
        <w:drawing>
          <wp:inline distT="0" distB="0" distL="0" distR="0" wp14:anchorId="47BF94A4" wp14:editId="1BB640B4">
            <wp:extent cx="4821187" cy="6489510"/>
            <wp:effectExtent l="0" t="0" r="0" b="698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30268" cy="6501734"/>
                    </a:xfrm>
                    <a:prstGeom prst="rect">
                      <a:avLst/>
                    </a:prstGeom>
                    <a:noFill/>
                    <a:ln>
                      <a:noFill/>
                    </a:ln>
                  </pic:spPr>
                </pic:pic>
              </a:graphicData>
            </a:graphic>
          </wp:inline>
        </w:drawing>
      </w:r>
    </w:p>
    <w:p w14:paraId="2BCDDD4B" w14:textId="77777777" w:rsidR="00525B2B" w:rsidRDefault="00525B2B" w:rsidP="00525B2B">
      <w:pPr>
        <w:pStyle w:val="Prrafodelista"/>
        <w:spacing w:line="360" w:lineRule="auto"/>
        <w:ind w:left="1080"/>
        <w:jc w:val="both"/>
        <w:rPr>
          <w:b/>
          <w:sz w:val="20"/>
          <w:szCs w:val="20"/>
        </w:rPr>
      </w:pPr>
    </w:p>
    <w:p w14:paraId="13AF5FB7" w14:textId="77777777" w:rsidR="00525B2B" w:rsidRPr="00021B2A" w:rsidRDefault="00525B2B" w:rsidP="00126CF7">
      <w:pPr>
        <w:pStyle w:val="Prrafodelista"/>
        <w:numPr>
          <w:ilvl w:val="0"/>
          <w:numId w:val="15"/>
        </w:numPr>
        <w:spacing w:line="360" w:lineRule="auto"/>
        <w:jc w:val="both"/>
        <w:rPr>
          <w:b/>
          <w:sz w:val="20"/>
          <w:szCs w:val="20"/>
        </w:rPr>
      </w:pPr>
      <w:r w:rsidRPr="00021B2A">
        <w:rPr>
          <w:b/>
          <w:sz w:val="20"/>
          <w:szCs w:val="20"/>
        </w:rPr>
        <w:t xml:space="preserve">DISCIPLINA PRESUPUESTAL </w:t>
      </w:r>
    </w:p>
    <w:p w14:paraId="49F79E4F" w14:textId="77777777" w:rsidR="00525B2B" w:rsidRPr="00955A4C" w:rsidRDefault="00525B2B" w:rsidP="00525B2B">
      <w:pPr>
        <w:spacing w:line="360" w:lineRule="auto"/>
        <w:jc w:val="both"/>
        <w:rPr>
          <w:sz w:val="20"/>
          <w:szCs w:val="20"/>
        </w:rPr>
      </w:pPr>
    </w:p>
    <w:p w14:paraId="5445F24C" w14:textId="77777777" w:rsidR="001761D9" w:rsidRDefault="001761D9" w:rsidP="001761D9">
      <w:pPr>
        <w:spacing w:line="360" w:lineRule="auto"/>
        <w:jc w:val="both"/>
        <w:rPr>
          <w:sz w:val="20"/>
          <w:szCs w:val="20"/>
        </w:rPr>
      </w:pPr>
      <w:r w:rsidRPr="00E21C04">
        <w:rPr>
          <w:sz w:val="20"/>
          <w:szCs w:val="20"/>
        </w:rPr>
        <w:lastRenderedPageBreak/>
        <w:t>La Disciplina es una directriz o política de gasto que obliga a las dependencias del sector público, a ejercer los recursos en los montos, estructuras y plazos previamente fijados por la programación del presupuesto que se autoriza, con apego a la normatividad vigente aplicable.</w:t>
      </w:r>
    </w:p>
    <w:p w14:paraId="2AAB9F76" w14:textId="77777777" w:rsidR="00C0167B" w:rsidRPr="00E21C04" w:rsidRDefault="00C0167B" w:rsidP="001761D9">
      <w:pPr>
        <w:spacing w:line="360" w:lineRule="auto"/>
        <w:jc w:val="both"/>
        <w:rPr>
          <w:sz w:val="20"/>
          <w:szCs w:val="20"/>
        </w:rPr>
      </w:pPr>
    </w:p>
    <w:p w14:paraId="1A6D2D25" w14:textId="77777777" w:rsidR="001761D9" w:rsidRDefault="001761D9" w:rsidP="001761D9">
      <w:pPr>
        <w:spacing w:line="360" w:lineRule="auto"/>
        <w:jc w:val="both"/>
        <w:rPr>
          <w:sz w:val="20"/>
          <w:szCs w:val="20"/>
        </w:rPr>
      </w:pPr>
      <w:r w:rsidRPr="00E21C04">
        <w:rPr>
          <w:sz w:val="20"/>
          <w:szCs w:val="20"/>
        </w:rPr>
        <w:t>El objetivo de la política económica no es producir cifras y estadísticas armoniosas sino generar bienestar para la población. Los macro indicadores son un instrumento de medición, no un fin en sí, retomar el camino del crecimiento con austeridad y sin corrupción.</w:t>
      </w:r>
    </w:p>
    <w:p w14:paraId="7C240393" w14:textId="77777777" w:rsidR="002A41F8" w:rsidRPr="00E21C04" w:rsidRDefault="002A41F8" w:rsidP="001761D9">
      <w:pPr>
        <w:spacing w:line="360" w:lineRule="auto"/>
        <w:jc w:val="both"/>
        <w:rPr>
          <w:sz w:val="20"/>
          <w:szCs w:val="20"/>
        </w:rPr>
      </w:pPr>
    </w:p>
    <w:p w14:paraId="6969AE9E" w14:textId="79D796EA" w:rsidR="001761D9" w:rsidRPr="00E21C04" w:rsidRDefault="001761D9" w:rsidP="001761D9">
      <w:pPr>
        <w:spacing w:line="360" w:lineRule="auto"/>
        <w:jc w:val="both"/>
        <w:rPr>
          <w:sz w:val="20"/>
          <w:szCs w:val="20"/>
        </w:rPr>
      </w:pPr>
      <w:r w:rsidRPr="00E21C04">
        <w:rPr>
          <w:sz w:val="20"/>
          <w:szCs w:val="20"/>
        </w:rPr>
        <w:t>Los recursos financieros que dispone el Gobierno del Estado son escasos ante necesidades sociales y públicas, toda vez que la principal fuente de recursos la constituyen las transferencias del Gobierno Federal, las cuales provienen de contribuciones federales</w:t>
      </w:r>
      <w:r w:rsidR="00970C71">
        <w:rPr>
          <w:sz w:val="20"/>
          <w:szCs w:val="20"/>
        </w:rPr>
        <w:t>, e</w:t>
      </w:r>
      <w:r w:rsidRPr="00E21C04">
        <w:rPr>
          <w:sz w:val="20"/>
          <w:szCs w:val="20"/>
        </w:rPr>
        <w:t>s por ello, que el Gobierno del Estado, ha implementado diversas medidas encaminadas a racionalizar el gasto público y a la elaboración de presupuestos realistas en un ámbito de racionalidad, austeridad y disciplina presupuestal, alineadas a las políticas establecidas por el Gobierno Federal.</w:t>
      </w:r>
    </w:p>
    <w:p w14:paraId="165CDCDC" w14:textId="77777777" w:rsidR="001761D9" w:rsidRPr="00E21C04" w:rsidRDefault="001761D9" w:rsidP="001761D9">
      <w:pPr>
        <w:spacing w:line="360" w:lineRule="auto"/>
        <w:jc w:val="both"/>
        <w:rPr>
          <w:sz w:val="20"/>
          <w:szCs w:val="20"/>
        </w:rPr>
      </w:pPr>
    </w:p>
    <w:p w14:paraId="0391A843" w14:textId="77777777" w:rsidR="001761D9" w:rsidRDefault="001761D9" w:rsidP="001761D9">
      <w:pPr>
        <w:spacing w:line="360" w:lineRule="auto"/>
        <w:jc w:val="both"/>
        <w:rPr>
          <w:sz w:val="20"/>
          <w:szCs w:val="20"/>
        </w:rPr>
      </w:pPr>
      <w:r w:rsidRPr="00E21C04">
        <w:rPr>
          <w:sz w:val="20"/>
          <w:szCs w:val="20"/>
        </w:rPr>
        <w:t>La presente Administración toma como base los principios rectores del PND 2019-2024:</w:t>
      </w:r>
    </w:p>
    <w:p w14:paraId="151134EE" w14:textId="77777777" w:rsidR="00C0167B" w:rsidRPr="00E21C04" w:rsidRDefault="00C0167B" w:rsidP="001761D9">
      <w:pPr>
        <w:spacing w:line="360" w:lineRule="auto"/>
        <w:jc w:val="both"/>
        <w:rPr>
          <w:sz w:val="20"/>
          <w:szCs w:val="20"/>
        </w:rPr>
      </w:pPr>
    </w:p>
    <w:p w14:paraId="05F0B8A2" w14:textId="5EC58F49" w:rsidR="001761D9" w:rsidRPr="00E21C04" w:rsidRDefault="001761D9" w:rsidP="00126CF7">
      <w:pPr>
        <w:pStyle w:val="Prrafodelista"/>
        <w:numPr>
          <w:ilvl w:val="0"/>
          <w:numId w:val="9"/>
        </w:numPr>
        <w:spacing w:line="360" w:lineRule="auto"/>
        <w:jc w:val="both"/>
        <w:rPr>
          <w:sz w:val="20"/>
          <w:szCs w:val="20"/>
        </w:rPr>
      </w:pPr>
      <w:r w:rsidRPr="00E21C04">
        <w:rPr>
          <w:sz w:val="20"/>
          <w:szCs w:val="20"/>
        </w:rPr>
        <w:t>Honradez y honestidad</w:t>
      </w:r>
      <w:r w:rsidR="00970C71">
        <w:rPr>
          <w:sz w:val="20"/>
          <w:szCs w:val="20"/>
        </w:rPr>
        <w:t>;</w:t>
      </w:r>
    </w:p>
    <w:p w14:paraId="7EE7CB5B" w14:textId="1CB987DC" w:rsidR="001761D9" w:rsidRPr="00E21C04" w:rsidRDefault="001761D9" w:rsidP="00126CF7">
      <w:pPr>
        <w:pStyle w:val="Prrafodelista"/>
        <w:numPr>
          <w:ilvl w:val="0"/>
          <w:numId w:val="9"/>
        </w:numPr>
        <w:spacing w:line="360" w:lineRule="auto"/>
        <w:jc w:val="both"/>
        <w:rPr>
          <w:sz w:val="20"/>
          <w:szCs w:val="20"/>
        </w:rPr>
      </w:pPr>
      <w:r w:rsidRPr="00E21C04">
        <w:rPr>
          <w:sz w:val="20"/>
          <w:szCs w:val="20"/>
        </w:rPr>
        <w:t>No al gobierno rico con pueblo pobre</w:t>
      </w:r>
      <w:r w:rsidR="00970C71">
        <w:rPr>
          <w:sz w:val="20"/>
          <w:szCs w:val="20"/>
        </w:rPr>
        <w:t>;</w:t>
      </w:r>
    </w:p>
    <w:p w14:paraId="1D715E38" w14:textId="49E30E90" w:rsidR="001761D9" w:rsidRPr="00E21C04" w:rsidRDefault="001761D9" w:rsidP="00126CF7">
      <w:pPr>
        <w:pStyle w:val="Prrafodelista"/>
        <w:numPr>
          <w:ilvl w:val="0"/>
          <w:numId w:val="9"/>
        </w:numPr>
        <w:spacing w:line="360" w:lineRule="auto"/>
        <w:jc w:val="both"/>
        <w:rPr>
          <w:sz w:val="20"/>
          <w:szCs w:val="20"/>
        </w:rPr>
      </w:pPr>
      <w:r w:rsidRPr="00E21C04">
        <w:rPr>
          <w:sz w:val="20"/>
          <w:szCs w:val="20"/>
        </w:rPr>
        <w:t>Al margen de la ley, nada; por encima de la ley, nadie</w:t>
      </w:r>
      <w:r w:rsidR="00970C71">
        <w:rPr>
          <w:sz w:val="20"/>
          <w:szCs w:val="20"/>
        </w:rPr>
        <w:t>;</w:t>
      </w:r>
    </w:p>
    <w:p w14:paraId="21383D13" w14:textId="26B293F7" w:rsidR="001761D9" w:rsidRPr="00E21C04" w:rsidRDefault="001761D9" w:rsidP="00126CF7">
      <w:pPr>
        <w:pStyle w:val="Prrafodelista"/>
        <w:numPr>
          <w:ilvl w:val="0"/>
          <w:numId w:val="9"/>
        </w:numPr>
        <w:spacing w:line="360" w:lineRule="auto"/>
        <w:jc w:val="both"/>
        <w:rPr>
          <w:sz w:val="20"/>
          <w:szCs w:val="20"/>
        </w:rPr>
      </w:pPr>
      <w:r w:rsidRPr="00E21C04">
        <w:rPr>
          <w:sz w:val="20"/>
          <w:szCs w:val="20"/>
        </w:rPr>
        <w:t>Economía para el bienestar</w:t>
      </w:r>
      <w:r w:rsidR="00970C71">
        <w:rPr>
          <w:sz w:val="20"/>
          <w:szCs w:val="20"/>
        </w:rPr>
        <w:t>;</w:t>
      </w:r>
    </w:p>
    <w:p w14:paraId="058BB442" w14:textId="2BE3228E" w:rsidR="001761D9" w:rsidRPr="00E21C04" w:rsidRDefault="001761D9" w:rsidP="00126CF7">
      <w:pPr>
        <w:pStyle w:val="Prrafodelista"/>
        <w:numPr>
          <w:ilvl w:val="0"/>
          <w:numId w:val="9"/>
        </w:numPr>
        <w:spacing w:line="360" w:lineRule="auto"/>
        <w:jc w:val="both"/>
        <w:rPr>
          <w:sz w:val="20"/>
          <w:szCs w:val="20"/>
        </w:rPr>
      </w:pPr>
      <w:r w:rsidRPr="00E21C04">
        <w:rPr>
          <w:sz w:val="20"/>
          <w:szCs w:val="20"/>
        </w:rPr>
        <w:t>El mercado no sustituye al Estado</w:t>
      </w:r>
      <w:r w:rsidR="00970C71">
        <w:rPr>
          <w:sz w:val="20"/>
          <w:szCs w:val="20"/>
        </w:rPr>
        <w:t>;</w:t>
      </w:r>
    </w:p>
    <w:p w14:paraId="5B8EFDD9" w14:textId="43B1616D" w:rsidR="001761D9" w:rsidRPr="00E21C04" w:rsidRDefault="001761D9" w:rsidP="00126CF7">
      <w:pPr>
        <w:pStyle w:val="Prrafodelista"/>
        <w:numPr>
          <w:ilvl w:val="0"/>
          <w:numId w:val="9"/>
        </w:numPr>
        <w:spacing w:line="360" w:lineRule="auto"/>
        <w:jc w:val="both"/>
        <w:rPr>
          <w:sz w:val="20"/>
          <w:szCs w:val="20"/>
        </w:rPr>
      </w:pPr>
      <w:r w:rsidRPr="00E21C04">
        <w:rPr>
          <w:sz w:val="20"/>
          <w:szCs w:val="20"/>
        </w:rPr>
        <w:t>Por el bien de todos, primero los pobres</w:t>
      </w:r>
      <w:r w:rsidR="00970C71">
        <w:rPr>
          <w:sz w:val="20"/>
          <w:szCs w:val="20"/>
        </w:rPr>
        <w:t>;</w:t>
      </w:r>
    </w:p>
    <w:p w14:paraId="17AD5EAD" w14:textId="06F36326" w:rsidR="001761D9" w:rsidRPr="00E21C04" w:rsidRDefault="001761D9" w:rsidP="00126CF7">
      <w:pPr>
        <w:pStyle w:val="Prrafodelista"/>
        <w:numPr>
          <w:ilvl w:val="0"/>
          <w:numId w:val="9"/>
        </w:numPr>
        <w:spacing w:line="360" w:lineRule="auto"/>
        <w:jc w:val="both"/>
        <w:rPr>
          <w:sz w:val="20"/>
          <w:szCs w:val="20"/>
        </w:rPr>
      </w:pPr>
      <w:r w:rsidRPr="00E21C04">
        <w:rPr>
          <w:sz w:val="20"/>
          <w:szCs w:val="20"/>
        </w:rPr>
        <w:t>No dejar a nadie atrás, no dejar a nadie afuera</w:t>
      </w:r>
      <w:r w:rsidR="00970C71">
        <w:rPr>
          <w:sz w:val="20"/>
          <w:szCs w:val="20"/>
        </w:rPr>
        <w:t>;</w:t>
      </w:r>
    </w:p>
    <w:p w14:paraId="7115DB73" w14:textId="422F6665" w:rsidR="001761D9" w:rsidRPr="00E21C04" w:rsidRDefault="001761D9" w:rsidP="00126CF7">
      <w:pPr>
        <w:pStyle w:val="Prrafodelista"/>
        <w:numPr>
          <w:ilvl w:val="0"/>
          <w:numId w:val="9"/>
        </w:numPr>
        <w:spacing w:line="360" w:lineRule="auto"/>
        <w:jc w:val="both"/>
        <w:rPr>
          <w:sz w:val="20"/>
          <w:szCs w:val="20"/>
        </w:rPr>
      </w:pPr>
      <w:r w:rsidRPr="00E21C04">
        <w:rPr>
          <w:sz w:val="20"/>
          <w:szCs w:val="20"/>
        </w:rPr>
        <w:t>No puede haber paz sin justicia</w:t>
      </w:r>
      <w:r w:rsidR="00970C71">
        <w:rPr>
          <w:sz w:val="20"/>
          <w:szCs w:val="20"/>
        </w:rPr>
        <w:t>;</w:t>
      </w:r>
    </w:p>
    <w:p w14:paraId="6E90CB5A" w14:textId="2F78165F" w:rsidR="001761D9" w:rsidRPr="00E21C04" w:rsidRDefault="001761D9" w:rsidP="00126CF7">
      <w:pPr>
        <w:pStyle w:val="Prrafodelista"/>
        <w:numPr>
          <w:ilvl w:val="0"/>
          <w:numId w:val="9"/>
        </w:numPr>
        <w:spacing w:line="360" w:lineRule="auto"/>
        <w:jc w:val="both"/>
        <w:rPr>
          <w:sz w:val="20"/>
          <w:szCs w:val="20"/>
        </w:rPr>
      </w:pPr>
      <w:r w:rsidRPr="00E21C04">
        <w:rPr>
          <w:sz w:val="20"/>
          <w:szCs w:val="20"/>
        </w:rPr>
        <w:t>El respeto al derecho ajeno es la paz</w:t>
      </w:r>
      <w:r w:rsidR="00970C71">
        <w:rPr>
          <w:sz w:val="20"/>
          <w:szCs w:val="20"/>
        </w:rPr>
        <w:t>;</w:t>
      </w:r>
    </w:p>
    <w:p w14:paraId="43D63035" w14:textId="2CFF00A5" w:rsidR="001761D9" w:rsidRPr="00E21C04" w:rsidRDefault="001761D9" w:rsidP="00126CF7">
      <w:pPr>
        <w:pStyle w:val="Prrafodelista"/>
        <w:numPr>
          <w:ilvl w:val="0"/>
          <w:numId w:val="9"/>
        </w:numPr>
        <w:spacing w:line="360" w:lineRule="auto"/>
        <w:jc w:val="both"/>
        <w:rPr>
          <w:sz w:val="20"/>
          <w:szCs w:val="20"/>
        </w:rPr>
      </w:pPr>
      <w:r w:rsidRPr="00E21C04">
        <w:rPr>
          <w:sz w:val="20"/>
          <w:szCs w:val="20"/>
        </w:rPr>
        <w:t>No más migración por hambre o por violencia</w:t>
      </w:r>
      <w:r w:rsidR="00970C71">
        <w:rPr>
          <w:sz w:val="20"/>
          <w:szCs w:val="20"/>
        </w:rPr>
        <w:t>;</w:t>
      </w:r>
    </w:p>
    <w:p w14:paraId="0B044C7B" w14:textId="22F1304C" w:rsidR="001761D9" w:rsidRPr="00E21C04" w:rsidRDefault="001761D9" w:rsidP="00126CF7">
      <w:pPr>
        <w:pStyle w:val="Prrafodelista"/>
        <w:numPr>
          <w:ilvl w:val="0"/>
          <w:numId w:val="9"/>
        </w:numPr>
        <w:spacing w:line="360" w:lineRule="auto"/>
        <w:jc w:val="both"/>
        <w:rPr>
          <w:sz w:val="20"/>
          <w:szCs w:val="20"/>
        </w:rPr>
      </w:pPr>
      <w:r w:rsidRPr="00E21C04">
        <w:rPr>
          <w:sz w:val="20"/>
          <w:szCs w:val="20"/>
        </w:rPr>
        <w:t>Democracia significa el poder de pueblo</w:t>
      </w:r>
      <w:r w:rsidR="00970C71">
        <w:rPr>
          <w:sz w:val="20"/>
          <w:szCs w:val="20"/>
        </w:rPr>
        <w:t>; y</w:t>
      </w:r>
    </w:p>
    <w:p w14:paraId="3EF6BB63" w14:textId="269127EF" w:rsidR="001761D9" w:rsidRPr="00E21C04" w:rsidRDefault="001761D9" w:rsidP="00126CF7">
      <w:pPr>
        <w:pStyle w:val="Prrafodelista"/>
        <w:numPr>
          <w:ilvl w:val="0"/>
          <w:numId w:val="9"/>
        </w:numPr>
        <w:spacing w:line="360" w:lineRule="auto"/>
        <w:jc w:val="both"/>
        <w:rPr>
          <w:sz w:val="20"/>
          <w:szCs w:val="20"/>
        </w:rPr>
      </w:pPr>
      <w:r w:rsidRPr="00E21C04">
        <w:rPr>
          <w:sz w:val="20"/>
          <w:szCs w:val="20"/>
        </w:rPr>
        <w:t>Ética, libertad</w:t>
      </w:r>
      <w:r w:rsidR="00970C71">
        <w:rPr>
          <w:sz w:val="20"/>
          <w:szCs w:val="20"/>
        </w:rPr>
        <w:t xml:space="preserve"> y</w:t>
      </w:r>
      <w:r w:rsidRPr="00E21C04">
        <w:rPr>
          <w:sz w:val="20"/>
          <w:szCs w:val="20"/>
        </w:rPr>
        <w:t xml:space="preserve"> confianza</w:t>
      </w:r>
      <w:r w:rsidR="00970C71">
        <w:rPr>
          <w:sz w:val="20"/>
          <w:szCs w:val="20"/>
        </w:rPr>
        <w:t>.</w:t>
      </w:r>
    </w:p>
    <w:p w14:paraId="1A7FA15B" w14:textId="77777777" w:rsidR="001761D9" w:rsidRPr="00E21C04" w:rsidRDefault="001761D9" w:rsidP="001761D9">
      <w:pPr>
        <w:spacing w:line="360" w:lineRule="auto"/>
        <w:jc w:val="both"/>
        <w:rPr>
          <w:sz w:val="20"/>
          <w:szCs w:val="20"/>
        </w:rPr>
      </w:pPr>
    </w:p>
    <w:p w14:paraId="2D5DD21D" w14:textId="3C09F803" w:rsidR="001761D9" w:rsidRPr="00E21C04" w:rsidRDefault="001761D9" w:rsidP="001761D9">
      <w:pPr>
        <w:spacing w:line="360" w:lineRule="auto"/>
        <w:jc w:val="both"/>
        <w:rPr>
          <w:sz w:val="20"/>
          <w:szCs w:val="20"/>
        </w:rPr>
      </w:pPr>
      <w:r w:rsidRPr="00E21C04">
        <w:rPr>
          <w:sz w:val="20"/>
          <w:szCs w:val="20"/>
        </w:rPr>
        <w:t>En la elaboración de</w:t>
      </w:r>
      <w:r w:rsidR="00970C71">
        <w:rPr>
          <w:sz w:val="20"/>
          <w:szCs w:val="20"/>
        </w:rPr>
        <w:t xml:space="preserve"> </w:t>
      </w:r>
      <w:r w:rsidRPr="00E21C04">
        <w:rPr>
          <w:sz w:val="20"/>
          <w:szCs w:val="20"/>
        </w:rPr>
        <w:t>l</w:t>
      </w:r>
      <w:r w:rsidR="00970C71">
        <w:rPr>
          <w:sz w:val="20"/>
          <w:szCs w:val="20"/>
        </w:rPr>
        <w:t>a</w:t>
      </w:r>
      <w:r w:rsidRPr="00E21C04">
        <w:rPr>
          <w:sz w:val="20"/>
          <w:szCs w:val="20"/>
        </w:rPr>
        <w:t xml:space="preserve"> presente Iniciativa</w:t>
      </w:r>
      <w:r w:rsidRPr="00E21C04">
        <w:rPr>
          <w:rFonts w:eastAsia="Calibri"/>
          <w:sz w:val="20"/>
          <w:szCs w:val="20"/>
        </w:rPr>
        <w:t xml:space="preserve"> de Decreto de Presupuesto de Egresos del Estado de Tlaxcala para el Ejercicio Fiscal 2023</w:t>
      </w:r>
      <w:r w:rsidRPr="00E21C04">
        <w:rPr>
          <w:sz w:val="20"/>
          <w:szCs w:val="20"/>
        </w:rPr>
        <w:t xml:space="preserve">, para evitar un desfasamiento del gasto en relación con los ingresos, que pudiese derivar en resultados deficitarios, los ejecutores de gasto en el ejercicio de sus respectivos presupuestos, consideraron medidas para racionalizar el gasto destinado a las actividades </w:t>
      </w:r>
      <w:r w:rsidRPr="00E21C04">
        <w:rPr>
          <w:sz w:val="20"/>
          <w:szCs w:val="20"/>
        </w:rPr>
        <w:lastRenderedPageBreak/>
        <w:t xml:space="preserve">administrativas y de apoyo, con la finalidad de no afectar el cumplimiento de las metas de los programas presupuestarios considerados para su ejecución, procurando el uso de los recursos públicos con la mayor eficiencia, eficacia, transparencia y austeridad, fortaleciendo las acciones tendientes a lograr ahorros y economías, sin disminución de los resultados, y reorientarlos al gasto social, permitiendo a las Dependencias y Entidades contar con una operación administrativa eficiente, acorde al marco normativo y a los sistemas de registro y control del gasto. </w:t>
      </w:r>
    </w:p>
    <w:p w14:paraId="035262E7" w14:textId="77777777" w:rsidR="001761D9" w:rsidRPr="00E21C04" w:rsidRDefault="001761D9" w:rsidP="001761D9">
      <w:pPr>
        <w:spacing w:line="360" w:lineRule="auto"/>
        <w:jc w:val="both"/>
        <w:rPr>
          <w:sz w:val="20"/>
          <w:szCs w:val="20"/>
        </w:rPr>
      </w:pPr>
    </w:p>
    <w:p w14:paraId="2BBDCD0C" w14:textId="1743A123" w:rsidR="00525B2B" w:rsidRPr="00955A4C" w:rsidRDefault="001761D9" w:rsidP="001761D9">
      <w:pPr>
        <w:spacing w:line="360" w:lineRule="auto"/>
        <w:jc w:val="both"/>
        <w:rPr>
          <w:sz w:val="20"/>
          <w:szCs w:val="20"/>
        </w:rPr>
      </w:pPr>
      <w:r w:rsidRPr="00E21C04">
        <w:rPr>
          <w:sz w:val="20"/>
          <w:szCs w:val="20"/>
        </w:rPr>
        <w:t>Entre las acciones de disciplina presupuestaria en el ejercicio del gasto público propuestas, se considera la contención de los recursos destinados a servicios personales, esta tendrá como límite, el producto que resulte de aplicar al monto aprobado en el Presupuesto de Egresos del ejercicio inmediato anterior, una tasa de crecimiento equivalente al valor que resulte menor entre: a) El 3 por ciento de crecimiento real</w:t>
      </w:r>
      <w:r w:rsidR="00970C71">
        <w:rPr>
          <w:sz w:val="20"/>
          <w:szCs w:val="20"/>
        </w:rPr>
        <w:t>;</w:t>
      </w:r>
      <w:r w:rsidRPr="00E21C04">
        <w:rPr>
          <w:sz w:val="20"/>
          <w:szCs w:val="20"/>
        </w:rPr>
        <w:t xml:space="preserve"> y b) El crecimiento real del Producto Interno Bruto señalado en los Criterios Generales de Política Económica para el ejercicio que se está presupuestando. En caso de que el Producto Interno Bruto presente una variación real negativa para el ejercicio que se está presupuestando, se deberá considerar un crecimiento real igual a cero; además de la reducción del gasto corriente de operación, y la reorientación del presupuesto a los programas sociales de mayor impacto e inclusión social, conforme al diagnóstico de</w:t>
      </w:r>
      <w:r w:rsidR="00970C71">
        <w:rPr>
          <w:sz w:val="20"/>
          <w:szCs w:val="20"/>
        </w:rPr>
        <w:t>l</w:t>
      </w:r>
      <w:r w:rsidRPr="00E21C04">
        <w:rPr>
          <w:sz w:val="20"/>
          <w:szCs w:val="20"/>
        </w:rPr>
        <w:t xml:space="preserve"> CONEVAL.</w:t>
      </w:r>
    </w:p>
    <w:p w14:paraId="2B700DF7" w14:textId="77777777" w:rsidR="00525B2B" w:rsidRPr="00955A4C" w:rsidRDefault="00525B2B" w:rsidP="00525B2B">
      <w:pPr>
        <w:spacing w:line="360" w:lineRule="auto"/>
        <w:jc w:val="both"/>
        <w:rPr>
          <w:sz w:val="20"/>
          <w:szCs w:val="20"/>
        </w:rPr>
      </w:pPr>
    </w:p>
    <w:p w14:paraId="04D496F3" w14:textId="77777777" w:rsidR="00525B2B" w:rsidRPr="00955A4C" w:rsidRDefault="00525B2B" w:rsidP="00525B2B">
      <w:pPr>
        <w:spacing w:line="360" w:lineRule="auto"/>
        <w:jc w:val="both"/>
        <w:rPr>
          <w:b/>
          <w:sz w:val="20"/>
          <w:szCs w:val="20"/>
        </w:rPr>
      </w:pPr>
      <w:r w:rsidRPr="00955A4C">
        <w:rPr>
          <w:b/>
          <w:sz w:val="20"/>
          <w:szCs w:val="20"/>
        </w:rPr>
        <w:t>TRANSPARENCIA Y RENDICIÓN DE CUENTAS</w:t>
      </w:r>
    </w:p>
    <w:p w14:paraId="6AAF9010" w14:textId="77777777" w:rsidR="00525B2B" w:rsidRPr="00955A4C" w:rsidRDefault="00525B2B" w:rsidP="00525B2B">
      <w:pPr>
        <w:spacing w:line="360" w:lineRule="auto"/>
        <w:jc w:val="both"/>
        <w:rPr>
          <w:b/>
          <w:sz w:val="20"/>
          <w:szCs w:val="20"/>
        </w:rPr>
      </w:pPr>
    </w:p>
    <w:p w14:paraId="03156B46" w14:textId="77777777" w:rsidR="001761D9" w:rsidRDefault="001761D9" w:rsidP="001761D9">
      <w:pPr>
        <w:spacing w:line="360" w:lineRule="auto"/>
        <w:jc w:val="both"/>
        <w:rPr>
          <w:sz w:val="20"/>
          <w:szCs w:val="20"/>
        </w:rPr>
      </w:pPr>
      <w:r w:rsidRPr="00E21C04">
        <w:rPr>
          <w:sz w:val="20"/>
          <w:szCs w:val="20"/>
        </w:rPr>
        <w:t>En México la transparencia y la rendición de cuentas son pilares imprescindibles de la gestión pública, toda vez que las decisiones que se tomen por parte del gobierno forzosamente deben estar al alcance de los ciudadanos de una manera accesible, clara y veraz, lo que coadyuva y favorece a la constante vigilancia de los recursos públicos y que estos se ejerzan en estricto apego a la ley.</w:t>
      </w:r>
    </w:p>
    <w:p w14:paraId="56456AE2" w14:textId="77777777" w:rsidR="002A41F8" w:rsidRPr="00E21C04" w:rsidRDefault="002A41F8" w:rsidP="001761D9">
      <w:pPr>
        <w:spacing w:line="360" w:lineRule="auto"/>
        <w:jc w:val="both"/>
        <w:rPr>
          <w:sz w:val="20"/>
          <w:szCs w:val="20"/>
        </w:rPr>
      </w:pPr>
    </w:p>
    <w:p w14:paraId="67C10CE8" w14:textId="6DB1E970" w:rsidR="001761D9" w:rsidRDefault="001761D9" w:rsidP="001761D9">
      <w:pPr>
        <w:spacing w:line="360" w:lineRule="auto"/>
        <w:jc w:val="both"/>
        <w:rPr>
          <w:sz w:val="20"/>
          <w:szCs w:val="20"/>
        </w:rPr>
      </w:pPr>
      <w:r w:rsidRPr="00E21C04">
        <w:rPr>
          <w:sz w:val="20"/>
          <w:szCs w:val="20"/>
        </w:rPr>
        <w:t>La principal diferencia entre la transparencia y la rendición de cuentas es que la transparencia es una parte de la rendición de cuentas, pues mientras que transparentar significa que la información se encuentra publicada en una vitrina a la vista de todos, la rendición de cuentas va más allá, es un proceso que tiene una metodología obligatoria para el manejo y administración del erario, y su incumplimiento conllevará a un castigo. Transparencia significa que las razones de toda decisión gubernamental y administrativa, así como los costos y recursos comprometidos en la aplicación de esa decisión son accesibles, claros y se comunican al público en general</w:t>
      </w:r>
      <w:r w:rsidR="002A41F8">
        <w:rPr>
          <w:sz w:val="20"/>
          <w:szCs w:val="20"/>
        </w:rPr>
        <w:t>.</w:t>
      </w:r>
    </w:p>
    <w:p w14:paraId="77453FE8" w14:textId="77777777" w:rsidR="002A41F8" w:rsidRPr="00E21C04" w:rsidRDefault="002A41F8" w:rsidP="001761D9">
      <w:pPr>
        <w:spacing w:line="360" w:lineRule="auto"/>
        <w:jc w:val="both"/>
        <w:rPr>
          <w:sz w:val="20"/>
          <w:szCs w:val="20"/>
        </w:rPr>
      </w:pPr>
    </w:p>
    <w:p w14:paraId="74190E20" w14:textId="77777777" w:rsidR="001761D9" w:rsidRDefault="001761D9" w:rsidP="001761D9">
      <w:pPr>
        <w:spacing w:line="360" w:lineRule="auto"/>
        <w:jc w:val="both"/>
        <w:rPr>
          <w:sz w:val="20"/>
          <w:szCs w:val="20"/>
        </w:rPr>
      </w:pPr>
      <w:r w:rsidRPr="00E21C04">
        <w:rPr>
          <w:sz w:val="20"/>
          <w:szCs w:val="20"/>
        </w:rPr>
        <w:lastRenderedPageBreak/>
        <w:t xml:space="preserve">El funcionamiento eficiente y eficaz de las instituciones del Estado y el ejercicio ético en la gestión pública, así como el fortalecimiento de los valores que dan sustento a la democracia para alcanzar el pleno respeto de las diferencias de cualquier índole y del derecho de cada quien, a decidir su forma de vida, resultan pilares fundamentales para la consolidación de un sistema democrático. </w:t>
      </w:r>
    </w:p>
    <w:p w14:paraId="5D55596F" w14:textId="77777777" w:rsidR="007833EB" w:rsidRPr="00E21C04" w:rsidRDefault="007833EB" w:rsidP="001761D9">
      <w:pPr>
        <w:spacing w:line="360" w:lineRule="auto"/>
        <w:jc w:val="both"/>
        <w:rPr>
          <w:sz w:val="20"/>
          <w:szCs w:val="20"/>
        </w:rPr>
      </w:pPr>
    </w:p>
    <w:p w14:paraId="003FDD69" w14:textId="77777777" w:rsidR="001761D9" w:rsidRDefault="001761D9" w:rsidP="001761D9">
      <w:pPr>
        <w:spacing w:line="360" w:lineRule="auto"/>
        <w:jc w:val="both"/>
        <w:rPr>
          <w:sz w:val="20"/>
          <w:szCs w:val="20"/>
        </w:rPr>
      </w:pPr>
      <w:r w:rsidRPr="00E21C04">
        <w:rPr>
          <w:sz w:val="20"/>
          <w:szCs w:val="20"/>
        </w:rPr>
        <w:t>Construir un gobierno transparente y de rendición de cuentas, como principal medida para transformar las condiciones de desarrollo de Tlaxcala, a través de acciones contundentes que consoliden las bases de un Estado sólido.</w:t>
      </w:r>
    </w:p>
    <w:p w14:paraId="40223A51" w14:textId="77777777" w:rsidR="002A41F8" w:rsidRPr="00E21C04" w:rsidRDefault="002A41F8" w:rsidP="001761D9">
      <w:pPr>
        <w:spacing w:line="360" w:lineRule="auto"/>
        <w:jc w:val="both"/>
        <w:rPr>
          <w:sz w:val="20"/>
          <w:szCs w:val="20"/>
        </w:rPr>
      </w:pPr>
    </w:p>
    <w:p w14:paraId="2D1DBB52" w14:textId="5410D54E" w:rsidR="001761D9" w:rsidRPr="00E21C04" w:rsidRDefault="001761D9" w:rsidP="001761D9">
      <w:pPr>
        <w:spacing w:line="360" w:lineRule="auto"/>
        <w:jc w:val="both"/>
        <w:rPr>
          <w:sz w:val="20"/>
          <w:szCs w:val="20"/>
        </w:rPr>
      </w:pPr>
      <w:r w:rsidRPr="00E21C04">
        <w:rPr>
          <w:sz w:val="20"/>
          <w:szCs w:val="20"/>
        </w:rPr>
        <w:t xml:space="preserve">En la actual administración y de acuerdo </w:t>
      </w:r>
      <w:r w:rsidR="00897360">
        <w:rPr>
          <w:sz w:val="20"/>
          <w:szCs w:val="20"/>
        </w:rPr>
        <w:t>con</w:t>
      </w:r>
      <w:r w:rsidRPr="00E21C04">
        <w:rPr>
          <w:sz w:val="20"/>
          <w:szCs w:val="20"/>
        </w:rPr>
        <w:t xml:space="preserve"> las Políticas del Gobierno Federal en el PND, la regeneración ética es la intención ejemplificante de un de gobierno austero, honesto, transparente, incluyente, respetuoso de las libertades, apegado a derecho, sensible a las necesidades de los más débiles y vulnerables y pendiente en todo momento del interés superior, para ello se han llevado a cabo acciones que permiten tener acceso a la información mediante procedimientos sencillos y expeditos, transparentando la gestión pública mediante la difusión de la información que generan los sujetos obligados y garantizando en todo momento la protección de los datos personales en posesión de las dependencias y entidades del Estado, permitiendo rendir cuentas a los ciudadanos de manera que puedan valorar el desempeño del Gobierno del Estado.</w:t>
      </w:r>
    </w:p>
    <w:p w14:paraId="68A7F8C7" w14:textId="77777777" w:rsidR="001761D9" w:rsidRPr="00E21C04" w:rsidRDefault="001761D9" w:rsidP="001761D9">
      <w:pPr>
        <w:spacing w:line="360" w:lineRule="auto"/>
        <w:jc w:val="both"/>
        <w:rPr>
          <w:sz w:val="20"/>
          <w:szCs w:val="20"/>
        </w:rPr>
      </w:pPr>
    </w:p>
    <w:p w14:paraId="0EFFD72B" w14:textId="77777777" w:rsidR="001761D9" w:rsidRDefault="001761D9" w:rsidP="001761D9">
      <w:pPr>
        <w:spacing w:line="360" w:lineRule="auto"/>
        <w:jc w:val="both"/>
        <w:rPr>
          <w:sz w:val="20"/>
          <w:szCs w:val="20"/>
        </w:rPr>
      </w:pPr>
      <w:r w:rsidRPr="00E21C04">
        <w:rPr>
          <w:sz w:val="20"/>
          <w:szCs w:val="20"/>
        </w:rPr>
        <w:t>La transparencia y la rendición de cuentas en la gestión pública en el Estado se perfilan hacia una nueva cultura política en la cual la participación ciudadana conlleva la existencia de una sociedad más equitativa y justa, de este modo la gobernabilidad democrática dependerá de que los intereses sociales se vean reflejados en acciones de gobierno transparente.</w:t>
      </w:r>
    </w:p>
    <w:p w14:paraId="18898812" w14:textId="77777777" w:rsidR="00970C71" w:rsidRPr="00E21C04" w:rsidRDefault="00970C71" w:rsidP="001761D9">
      <w:pPr>
        <w:spacing w:line="360" w:lineRule="auto"/>
        <w:jc w:val="both"/>
        <w:rPr>
          <w:sz w:val="20"/>
          <w:szCs w:val="20"/>
        </w:rPr>
      </w:pPr>
    </w:p>
    <w:p w14:paraId="5DFBFA9A" w14:textId="59ADB5CC" w:rsidR="00525B2B" w:rsidRPr="00955A4C" w:rsidRDefault="001761D9" w:rsidP="001761D9">
      <w:pPr>
        <w:spacing w:line="360" w:lineRule="auto"/>
        <w:jc w:val="both"/>
        <w:rPr>
          <w:sz w:val="20"/>
          <w:szCs w:val="20"/>
        </w:rPr>
      </w:pPr>
      <w:r w:rsidRPr="00E21C04">
        <w:rPr>
          <w:sz w:val="20"/>
          <w:szCs w:val="20"/>
        </w:rPr>
        <w:t>Garantizar una adecuada y oportuna rendición de cuentas de los sujetos obligados a través de la generación y publicación de información sobre el ejercicio de los recursos públicos de manera completa, veraz y oportuna.</w:t>
      </w:r>
    </w:p>
    <w:p w14:paraId="26C9CB53" w14:textId="77777777" w:rsidR="00525B2B" w:rsidRPr="00955A4C" w:rsidRDefault="00525B2B" w:rsidP="00525B2B">
      <w:pPr>
        <w:spacing w:line="360" w:lineRule="auto"/>
        <w:jc w:val="both"/>
        <w:rPr>
          <w:sz w:val="20"/>
          <w:szCs w:val="20"/>
        </w:rPr>
      </w:pPr>
    </w:p>
    <w:p w14:paraId="2689FFC7" w14:textId="77777777" w:rsidR="00525B2B" w:rsidRPr="00955A4C" w:rsidRDefault="00525B2B" w:rsidP="00525B2B">
      <w:pPr>
        <w:spacing w:line="360" w:lineRule="auto"/>
        <w:jc w:val="both"/>
        <w:rPr>
          <w:b/>
          <w:sz w:val="20"/>
          <w:szCs w:val="20"/>
        </w:rPr>
      </w:pPr>
      <w:r w:rsidRPr="00955A4C">
        <w:rPr>
          <w:b/>
          <w:sz w:val="20"/>
          <w:szCs w:val="20"/>
        </w:rPr>
        <w:t>CRITERIOS GENERALES DE PRESUPUESTO Y GASTO ESTATAL</w:t>
      </w:r>
    </w:p>
    <w:p w14:paraId="172639DB" w14:textId="77777777" w:rsidR="00525B2B" w:rsidRPr="00955A4C" w:rsidRDefault="00525B2B" w:rsidP="00525B2B">
      <w:pPr>
        <w:spacing w:line="360" w:lineRule="auto"/>
        <w:jc w:val="both"/>
        <w:rPr>
          <w:b/>
          <w:sz w:val="20"/>
          <w:szCs w:val="20"/>
        </w:rPr>
      </w:pPr>
    </w:p>
    <w:p w14:paraId="546E4ACD" w14:textId="77777777" w:rsidR="0004086F" w:rsidRPr="00955A4C" w:rsidRDefault="0004086F" w:rsidP="0004086F">
      <w:pPr>
        <w:spacing w:line="360" w:lineRule="auto"/>
        <w:jc w:val="both"/>
        <w:rPr>
          <w:sz w:val="20"/>
          <w:szCs w:val="20"/>
        </w:rPr>
      </w:pPr>
      <w:r w:rsidRPr="00955A4C">
        <w:rPr>
          <w:sz w:val="20"/>
          <w:szCs w:val="20"/>
        </w:rPr>
        <w:t xml:space="preserve">En congruencia con lo anterior, las políticas presupuestarias y de gasto del Estado, para el próximo ejercicio fiscal, son de prudencia, austeridad y estricta racionalidad en el ejercicio del gasto, focalizándose a los programas y proyectos prioritarios de mayor impacto social. </w:t>
      </w:r>
    </w:p>
    <w:p w14:paraId="26387237" w14:textId="77777777" w:rsidR="0004086F" w:rsidRPr="00955A4C" w:rsidRDefault="0004086F" w:rsidP="0004086F">
      <w:pPr>
        <w:spacing w:line="360" w:lineRule="auto"/>
        <w:jc w:val="both"/>
        <w:rPr>
          <w:sz w:val="20"/>
          <w:szCs w:val="20"/>
        </w:rPr>
      </w:pPr>
    </w:p>
    <w:p w14:paraId="5E82765B" w14:textId="77777777" w:rsidR="0004086F" w:rsidRPr="00955A4C" w:rsidRDefault="0004086F" w:rsidP="0004086F">
      <w:pPr>
        <w:spacing w:line="360" w:lineRule="auto"/>
        <w:jc w:val="both"/>
        <w:rPr>
          <w:sz w:val="20"/>
          <w:szCs w:val="20"/>
        </w:rPr>
      </w:pPr>
      <w:r w:rsidRPr="00955A4C">
        <w:rPr>
          <w:sz w:val="20"/>
          <w:szCs w:val="20"/>
        </w:rPr>
        <w:lastRenderedPageBreak/>
        <w:t xml:space="preserve">Este </w:t>
      </w:r>
      <w:r w:rsidRPr="00096094">
        <w:rPr>
          <w:rFonts w:eastAsia="Calibri"/>
          <w:sz w:val="20"/>
          <w:szCs w:val="20"/>
        </w:rPr>
        <w:t>Proyecto de Decreto de Presupuesto de Egresos del Estado de Tlaxcala para el Ejercicio Fiscal 202</w:t>
      </w:r>
      <w:r>
        <w:rPr>
          <w:rFonts w:eastAsia="Calibri"/>
          <w:sz w:val="20"/>
          <w:szCs w:val="20"/>
        </w:rPr>
        <w:t>3</w:t>
      </w:r>
      <w:r w:rsidRPr="00955A4C">
        <w:rPr>
          <w:sz w:val="20"/>
          <w:szCs w:val="20"/>
        </w:rPr>
        <w:t>, está fundamentado en los Criterios Generales siguientes:</w:t>
      </w:r>
    </w:p>
    <w:p w14:paraId="4E035ABF" w14:textId="77777777" w:rsidR="0004086F" w:rsidRPr="00955A4C" w:rsidRDefault="0004086F" w:rsidP="0004086F">
      <w:pPr>
        <w:spacing w:line="360" w:lineRule="auto"/>
        <w:jc w:val="both"/>
        <w:rPr>
          <w:sz w:val="20"/>
          <w:szCs w:val="20"/>
        </w:rPr>
      </w:pPr>
    </w:p>
    <w:p w14:paraId="71BD3B7C" w14:textId="77777777" w:rsidR="0004086F" w:rsidRPr="00955A4C" w:rsidRDefault="0004086F" w:rsidP="00126CF7">
      <w:pPr>
        <w:pStyle w:val="Prrafodelista"/>
        <w:numPr>
          <w:ilvl w:val="0"/>
          <w:numId w:val="6"/>
        </w:numPr>
        <w:spacing w:before="240" w:line="360" w:lineRule="auto"/>
        <w:jc w:val="both"/>
        <w:rPr>
          <w:sz w:val="20"/>
          <w:szCs w:val="20"/>
        </w:rPr>
      </w:pPr>
      <w:r w:rsidRPr="00955A4C">
        <w:rPr>
          <w:sz w:val="20"/>
          <w:szCs w:val="20"/>
        </w:rPr>
        <w:t xml:space="preserve">Considera las expectativas y proyecciones económicas establecidas en los </w:t>
      </w:r>
      <w:r w:rsidRPr="007256C0">
        <w:rPr>
          <w:rFonts w:eastAsia="Calibri"/>
          <w:color w:val="000000" w:themeColor="text1"/>
          <w:sz w:val="20"/>
          <w:szCs w:val="20"/>
        </w:rPr>
        <w:t xml:space="preserve">Criterios Generales </w:t>
      </w:r>
      <w:r>
        <w:rPr>
          <w:rFonts w:eastAsia="Calibri"/>
          <w:color w:val="000000" w:themeColor="text1"/>
          <w:sz w:val="20"/>
          <w:szCs w:val="20"/>
        </w:rPr>
        <w:t>d</w:t>
      </w:r>
      <w:r w:rsidRPr="007256C0">
        <w:rPr>
          <w:rFonts w:eastAsia="Calibri"/>
          <w:color w:val="000000" w:themeColor="text1"/>
          <w:sz w:val="20"/>
          <w:szCs w:val="20"/>
        </w:rPr>
        <w:t xml:space="preserve">e Política Económica </w:t>
      </w:r>
      <w:r>
        <w:rPr>
          <w:rFonts w:eastAsia="Calibri"/>
          <w:color w:val="000000" w:themeColor="text1"/>
          <w:sz w:val="20"/>
          <w:szCs w:val="20"/>
        </w:rPr>
        <w:t>p</w:t>
      </w:r>
      <w:r w:rsidRPr="007256C0">
        <w:rPr>
          <w:rFonts w:eastAsia="Calibri"/>
          <w:color w:val="000000" w:themeColor="text1"/>
          <w:sz w:val="20"/>
          <w:szCs w:val="20"/>
        </w:rPr>
        <w:t xml:space="preserve">ara </w:t>
      </w:r>
      <w:r>
        <w:rPr>
          <w:rFonts w:eastAsia="Calibri"/>
          <w:color w:val="000000" w:themeColor="text1"/>
          <w:sz w:val="20"/>
          <w:szCs w:val="20"/>
        </w:rPr>
        <w:t>l</w:t>
      </w:r>
      <w:r w:rsidRPr="007256C0">
        <w:rPr>
          <w:rFonts w:eastAsia="Calibri"/>
          <w:color w:val="000000" w:themeColor="text1"/>
          <w:sz w:val="20"/>
          <w:szCs w:val="20"/>
        </w:rPr>
        <w:t xml:space="preserve">a Iniciativa </w:t>
      </w:r>
      <w:r>
        <w:rPr>
          <w:rFonts w:eastAsia="Calibri"/>
          <w:color w:val="000000" w:themeColor="text1"/>
          <w:sz w:val="20"/>
          <w:szCs w:val="20"/>
        </w:rPr>
        <w:t>d</w:t>
      </w:r>
      <w:r w:rsidRPr="007256C0">
        <w:rPr>
          <w:rFonts w:eastAsia="Calibri"/>
          <w:color w:val="000000" w:themeColor="text1"/>
          <w:sz w:val="20"/>
          <w:szCs w:val="20"/>
        </w:rPr>
        <w:t xml:space="preserve">e Ley </w:t>
      </w:r>
      <w:r>
        <w:rPr>
          <w:rFonts w:eastAsia="Calibri"/>
          <w:color w:val="000000" w:themeColor="text1"/>
          <w:sz w:val="20"/>
          <w:szCs w:val="20"/>
        </w:rPr>
        <w:t>d</w:t>
      </w:r>
      <w:r w:rsidRPr="007256C0">
        <w:rPr>
          <w:rFonts w:eastAsia="Calibri"/>
          <w:color w:val="000000" w:themeColor="text1"/>
          <w:sz w:val="20"/>
          <w:szCs w:val="20"/>
        </w:rPr>
        <w:t xml:space="preserve">e Ingresos </w:t>
      </w:r>
      <w:r>
        <w:rPr>
          <w:rFonts w:eastAsia="Calibri"/>
          <w:color w:val="000000" w:themeColor="text1"/>
          <w:sz w:val="20"/>
          <w:szCs w:val="20"/>
        </w:rPr>
        <w:t>y</w:t>
      </w:r>
      <w:r w:rsidRPr="007256C0">
        <w:rPr>
          <w:rFonts w:eastAsia="Calibri"/>
          <w:color w:val="000000" w:themeColor="text1"/>
          <w:sz w:val="20"/>
          <w:szCs w:val="20"/>
        </w:rPr>
        <w:t xml:space="preserve"> </w:t>
      </w:r>
      <w:r>
        <w:rPr>
          <w:rFonts w:eastAsia="Calibri"/>
          <w:color w:val="000000" w:themeColor="text1"/>
          <w:sz w:val="20"/>
          <w:szCs w:val="20"/>
        </w:rPr>
        <w:t>e</w:t>
      </w:r>
      <w:r w:rsidRPr="007256C0">
        <w:rPr>
          <w:rFonts w:eastAsia="Calibri"/>
          <w:color w:val="000000" w:themeColor="text1"/>
          <w:sz w:val="20"/>
          <w:szCs w:val="20"/>
        </w:rPr>
        <w:t xml:space="preserve">l Proyecto </w:t>
      </w:r>
      <w:r>
        <w:rPr>
          <w:rFonts w:eastAsia="Calibri"/>
          <w:color w:val="000000" w:themeColor="text1"/>
          <w:sz w:val="20"/>
          <w:szCs w:val="20"/>
        </w:rPr>
        <w:t>d</w:t>
      </w:r>
      <w:r w:rsidRPr="007256C0">
        <w:rPr>
          <w:rFonts w:eastAsia="Calibri"/>
          <w:color w:val="000000" w:themeColor="text1"/>
          <w:sz w:val="20"/>
          <w:szCs w:val="20"/>
        </w:rPr>
        <w:t xml:space="preserve">e Presupuesto </w:t>
      </w:r>
      <w:r>
        <w:rPr>
          <w:rFonts w:eastAsia="Calibri"/>
          <w:color w:val="000000" w:themeColor="text1"/>
          <w:sz w:val="20"/>
          <w:szCs w:val="20"/>
        </w:rPr>
        <w:t>d</w:t>
      </w:r>
      <w:r w:rsidRPr="007256C0">
        <w:rPr>
          <w:rFonts w:eastAsia="Calibri"/>
          <w:color w:val="000000" w:themeColor="text1"/>
          <w:sz w:val="20"/>
          <w:szCs w:val="20"/>
        </w:rPr>
        <w:t xml:space="preserve">e Egresos </w:t>
      </w:r>
      <w:r>
        <w:rPr>
          <w:rFonts w:eastAsia="Calibri"/>
          <w:color w:val="000000" w:themeColor="text1"/>
          <w:sz w:val="20"/>
          <w:szCs w:val="20"/>
        </w:rPr>
        <w:t>d</w:t>
      </w:r>
      <w:r w:rsidRPr="007256C0">
        <w:rPr>
          <w:rFonts w:eastAsia="Calibri"/>
          <w:color w:val="000000" w:themeColor="text1"/>
          <w:sz w:val="20"/>
          <w:szCs w:val="20"/>
        </w:rPr>
        <w:t xml:space="preserve">e </w:t>
      </w:r>
      <w:r>
        <w:rPr>
          <w:rFonts w:eastAsia="Calibri"/>
          <w:color w:val="000000" w:themeColor="text1"/>
          <w:sz w:val="20"/>
          <w:szCs w:val="20"/>
        </w:rPr>
        <w:t>l</w:t>
      </w:r>
      <w:r w:rsidRPr="007256C0">
        <w:rPr>
          <w:rFonts w:eastAsia="Calibri"/>
          <w:color w:val="000000" w:themeColor="text1"/>
          <w:sz w:val="20"/>
          <w:szCs w:val="20"/>
        </w:rPr>
        <w:t xml:space="preserve">a Federación </w:t>
      </w:r>
      <w:r>
        <w:rPr>
          <w:rFonts w:eastAsia="Calibri"/>
          <w:color w:val="000000" w:themeColor="text1"/>
          <w:sz w:val="20"/>
          <w:szCs w:val="20"/>
        </w:rPr>
        <w:t>c</w:t>
      </w:r>
      <w:r w:rsidRPr="007256C0">
        <w:rPr>
          <w:rFonts w:eastAsia="Calibri"/>
          <w:color w:val="000000" w:themeColor="text1"/>
          <w:sz w:val="20"/>
          <w:szCs w:val="20"/>
        </w:rPr>
        <w:t xml:space="preserve">orrespondientes </w:t>
      </w:r>
      <w:r>
        <w:rPr>
          <w:rFonts w:eastAsia="Calibri"/>
          <w:color w:val="000000" w:themeColor="text1"/>
          <w:sz w:val="20"/>
          <w:szCs w:val="20"/>
        </w:rPr>
        <w:t>a</w:t>
      </w:r>
      <w:r w:rsidRPr="007256C0">
        <w:rPr>
          <w:rFonts w:eastAsia="Calibri"/>
          <w:color w:val="000000" w:themeColor="text1"/>
          <w:sz w:val="20"/>
          <w:szCs w:val="20"/>
        </w:rPr>
        <w:t>l Ejercicio Fiscal 202</w:t>
      </w:r>
      <w:r>
        <w:rPr>
          <w:rFonts w:eastAsia="Calibri"/>
          <w:color w:val="000000" w:themeColor="text1"/>
          <w:sz w:val="20"/>
          <w:szCs w:val="20"/>
        </w:rPr>
        <w:t>3</w:t>
      </w:r>
      <w:r w:rsidRPr="00955A4C">
        <w:rPr>
          <w:rFonts w:eastAsia="Calibri"/>
          <w:color w:val="000000" w:themeColor="text1"/>
          <w:sz w:val="20"/>
          <w:szCs w:val="20"/>
        </w:rPr>
        <w:t xml:space="preserve"> (CGPE)</w:t>
      </w:r>
      <w:r w:rsidRPr="00955A4C">
        <w:rPr>
          <w:sz w:val="20"/>
          <w:szCs w:val="20"/>
        </w:rPr>
        <w:t>, la Política de Gasto del Poder Ejecutivo Federal</w:t>
      </w:r>
      <w:r w:rsidRPr="00955A4C">
        <w:rPr>
          <w:spacing w:val="-21"/>
          <w:sz w:val="20"/>
          <w:szCs w:val="20"/>
        </w:rPr>
        <w:t xml:space="preserve"> </w:t>
      </w:r>
      <w:r w:rsidRPr="00955A4C">
        <w:rPr>
          <w:sz w:val="20"/>
          <w:szCs w:val="20"/>
        </w:rPr>
        <w:t>202</w:t>
      </w:r>
      <w:r>
        <w:rPr>
          <w:sz w:val="20"/>
          <w:szCs w:val="20"/>
        </w:rPr>
        <w:t>3</w:t>
      </w:r>
      <w:r w:rsidRPr="00955A4C">
        <w:rPr>
          <w:sz w:val="20"/>
          <w:szCs w:val="20"/>
        </w:rPr>
        <w:t>.</w:t>
      </w:r>
    </w:p>
    <w:p w14:paraId="039FE5AF" w14:textId="6F35D189" w:rsidR="0004086F" w:rsidRPr="00955A4C" w:rsidRDefault="0004086F" w:rsidP="00126CF7">
      <w:pPr>
        <w:pStyle w:val="Prrafodelista"/>
        <w:numPr>
          <w:ilvl w:val="0"/>
          <w:numId w:val="6"/>
        </w:numPr>
        <w:spacing w:before="240" w:line="360" w:lineRule="auto"/>
        <w:jc w:val="both"/>
        <w:rPr>
          <w:sz w:val="20"/>
          <w:szCs w:val="20"/>
        </w:rPr>
      </w:pPr>
      <w:r w:rsidRPr="00955A4C">
        <w:rPr>
          <w:sz w:val="20"/>
          <w:szCs w:val="20"/>
        </w:rPr>
        <w:t>Congruencia</w:t>
      </w:r>
      <w:r w:rsidRPr="00955A4C">
        <w:rPr>
          <w:spacing w:val="-3"/>
          <w:sz w:val="20"/>
          <w:szCs w:val="20"/>
        </w:rPr>
        <w:t xml:space="preserve"> </w:t>
      </w:r>
      <w:r w:rsidRPr="00955A4C">
        <w:rPr>
          <w:sz w:val="20"/>
          <w:szCs w:val="20"/>
        </w:rPr>
        <w:t>con</w:t>
      </w:r>
      <w:r w:rsidRPr="00955A4C">
        <w:rPr>
          <w:spacing w:val="-3"/>
          <w:sz w:val="20"/>
          <w:szCs w:val="20"/>
        </w:rPr>
        <w:t xml:space="preserve"> </w:t>
      </w:r>
      <w:r w:rsidRPr="00955A4C">
        <w:rPr>
          <w:sz w:val="20"/>
          <w:szCs w:val="20"/>
        </w:rPr>
        <w:t>los</w:t>
      </w:r>
      <w:r w:rsidRPr="00955A4C">
        <w:rPr>
          <w:spacing w:val="-3"/>
          <w:sz w:val="20"/>
          <w:szCs w:val="20"/>
        </w:rPr>
        <w:t xml:space="preserve"> </w:t>
      </w:r>
      <w:r w:rsidRPr="00955A4C">
        <w:rPr>
          <w:sz w:val="20"/>
          <w:szCs w:val="20"/>
        </w:rPr>
        <w:t>criterios</w:t>
      </w:r>
      <w:r w:rsidRPr="00955A4C">
        <w:rPr>
          <w:spacing w:val="-3"/>
          <w:sz w:val="20"/>
          <w:szCs w:val="20"/>
        </w:rPr>
        <w:t xml:space="preserve"> </w:t>
      </w:r>
      <w:r w:rsidRPr="00955A4C">
        <w:rPr>
          <w:sz w:val="20"/>
          <w:szCs w:val="20"/>
        </w:rPr>
        <w:t>económicos</w:t>
      </w:r>
      <w:r w:rsidRPr="00955A4C">
        <w:rPr>
          <w:spacing w:val="-3"/>
          <w:sz w:val="20"/>
          <w:szCs w:val="20"/>
        </w:rPr>
        <w:t xml:space="preserve"> </w:t>
      </w:r>
      <w:r w:rsidRPr="00955A4C">
        <w:rPr>
          <w:sz w:val="20"/>
          <w:szCs w:val="20"/>
        </w:rPr>
        <w:t>planteados</w:t>
      </w:r>
      <w:r w:rsidRPr="00955A4C">
        <w:rPr>
          <w:spacing w:val="-3"/>
          <w:sz w:val="20"/>
          <w:szCs w:val="20"/>
        </w:rPr>
        <w:t xml:space="preserve"> </w:t>
      </w:r>
      <w:r w:rsidRPr="00955A4C">
        <w:rPr>
          <w:sz w:val="20"/>
          <w:szCs w:val="20"/>
        </w:rPr>
        <w:t>en</w:t>
      </w:r>
      <w:r w:rsidRPr="00955A4C">
        <w:rPr>
          <w:spacing w:val="-3"/>
          <w:sz w:val="20"/>
          <w:szCs w:val="20"/>
        </w:rPr>
        <w:t xml:space="preserve"> </w:t>
      </w:r>
      <w:r w:rsidRPr="00955A4C">
        <w:rPr>
          <w:sz w:val="20"/>
          <w:szCs w:val="20"/>
        </w:rPr>
        <w:t>la</w:t>
      </w:r>
      <w:r w:rsidRPr="00955A4C">
        <w:rPr>
          <w:spacing w:val="-3"/>
          <w:sz w:val="20"/>
          <w:szCs w:val="20"/>
        </w:rPr>
        <w:t xml:space="preserve"> </w:t>
      </w:r>
      <w:r w:rsidRPr="00955A4C">
        <w:rPr>
          <w:sz w:val="20"/>
          <w:szCs w:val="20"/>
        </w:rPr>
        <w:t>Iniciativa</w:t>
      </w:r>
      <w:r w:rsidRPr="00955A4C">
        <w:rPr>
          <w:spacing w:val="-3"/>
          <w:sz w:val="20"/>
          <w:szCs w:val="20"/>
        </w:rPr>
        <w:t xml:space="preserve"> </w:t>
      </w:r>
      <w:r w:rsidRPr="00955A4C">
        <w:rPr>
          <w:sz w:val="20"/>
          <w:szCs w:val="20"/>
        </w:rPr>
        <w:t>de</w:t>
      </w:r>
      <w:r w:rsidRPr="00955A4C">
        <w:rPr>
          <w:spacing w:val="-3"/>
          <w:sz w:val="20"/>
          <w:szCs w:val="20"/>
        </w:rPr>
        <w:t xml:space="preserve"> </w:t>
      </w:r>
      <w:r w:rsidRPr="00955A4C">
        <w:rPr>
          <w:sz w:val="20"/>
          <w:szCs w:val="20"/>
        </w:rPr>
        <w:t>Ley</w:t>
      </w:r>
      <w:r w:rsidRPr="00955A4C">
        <w:rPr>
          <w:spacing w:val="-6"/>
          <w:sz w:val="20"/>
          <w:szCs w:val="20"/>
        </w:rPr>
        <w:t xml:space="preserve"> </w:t>
      </w:r>
      <w:r w:rsidRPr="00955A4C">
        <w:rPr>
          <w:sz w:val="20"/>
          <w:szCs w:val="20"/>
        </w:rPr>
        <w:t>de</w:t>
      </w:r>
      <w:r w:rsidRPr="00955A4C">
        <w:rPr>
          <w:spacing w:val="-3"/>
          <w:sz w:val="20"/>
          <w:szCs w:val="20"/>
        </w:rPr>
        <w:t xml:space="preserve"> </w:t>
      </w:r>
      <w:r w:rsidRPr="00955A4C">
        <w:rPr>
          <w:sz w:val="20"/>
          <w:szCs w:val="20"/>
        </w:rPr>
        <w:t>Ingresos</w:t>
      </w:r>
      <w:r w:rsidRPr="00955A4C">
        <w:rPr>
          <w:spacing w:val="-3"/>
          <w:sz w:val="20"/>
          <w:szCs w:val="20"/>
        </w:rPr>
        <w:t xml:space="preserve"> </w:t>
      </w:r>
      <w:r w:rsidRPr="00955A4C">
        <w:rPr>
          <w:sz w:val="20"/>
          <w:szCs w:val="20"/>
        </w:rPr>
        <w:t>del</w:t>
      </w:r>
      <w:r w:rsidRPr="00955A4C">
        <w:rPr>
          <w:spacing w:val="-3"/>
          <w:sz w:val="20"/>
          <w:szCs w:val="20"/>
        </w:rPr>
        <w:t xml:space="preserve"> </w:t>
      </w:r>
      <w:r w:rsidRPr="00955A4C">
        <w:rPr>
          <w:sz w:val="20"/>
          <w:szCs w:val="20"/>
        </w:rPr>
        <w:t>Estado</w:t>
      </w:r>
      <w:r w:rsidRPr="00955A4C">
        <w:rPr>
          <w:spacing w:val="-2"/>
          <w:sz w:val="20"/>
          <w:szCs w:val="20"/>
        </w:rPr>
        <w:t xml:space="preserve"> </w:t>
      </w:r>
      <w:r w:rsidRPr="00955A4C">
        <w:rPr>
          <w:sz w:val="20"/>
          <w:szCs w:val="20"/>
        </w:rPr>
        <w:t>de</w:t>
      </w:r>
      <w:r w:rsidRPr="00955A4C">
        <w:rPr>
          <w:spacing w:val="-6"/>
          <w:sz w:val="20"/>
          <w:szCs w:val="20"/>
        </w:rPr>
        <w:t xml:space="preserve"> </w:t>
      </w:r>
      <w:r w:rsidRPr="00955A4C">
        <w:rPr>
          <w:sz w:val="20"/>
          <w:szCs w:val="20"/>
        </w:rPr>
        <w:t>Tlaxcala para el Ejercicio Fiscal 202</w:t>
      </w:r>
      <w:r>
        <w:rPr>
          <w:sz w:val="20"/>
          <w:szCs w:val="20"/>
        </w:rPr>
        <w:t>3</w:t>
      </w:r>
      <w:r w:rsidRPr="00955A4C">
        <w:rPr>
          <w:sz w:val="20"/>
          <w:szCs w:val="20"/>
        </w:rPr>
        <w:t>; para garantizar la viabilidad, equilibrio y sustentabilidad financiera del gasto público.</w:t>
      </w:r>
    </w:p>
    <w:p w14:paraId="283B11C3" w14:textId="5F436828" w:rsidR="0004086F" w:rsidRPr="000B1812" w:rsidRDefault="0004086F" w:rsidP="00126CF7">
      <w:pPr>
        <w:pStyle w:val="Prrafodelista"/>
        <w:numPr>
          <w:ilvl w:val="0"/>
          <w:numId w:val="6"/>
        </w:numPr>
        <w:spacing w:before="240" w:line="360" w:lineRule="auto"/>
        <w:jc w:val="both"/>
        <w:rPr>
          <w:sz w:val="20"/>
          <w:szCs w:val="20"/>
        </w:rPr>
      </w:pPr>
      <w:r w:rsidRPr="000B1812">
        <w:rPr>
          <w:sz w:val="20"/>
          <w:szCs w:val="20"/>
        </w:rPr>
        <w:t xml:space="preserve">Prevé la racionalización del gasto público mediante la contención de los servicios personales y la reducción del gasto corriente, así como la simplificación administrativa, con el objeto de reorientar los ahorros para proyectos estratégicos prioritarios en salud, seguridad, </w:t>
      </w:r>
      <w:r>
        <w:rPr>
          <w:sz w:val="20"/>
          <w:szCs w:val="20"/>
        </w:rPr>
        <w:t xml:space="preserve">educación y desarrollo regional </w:t>
      </w:r>
      <w:r w:rsidRPr="000B1812">
        <w:rPr>
          <w:sz w:val="20"/>
          <w:szCs w:val="20"/>
        </w:rPr>
        <w:t>que contribuyan a hacer más eficientes los servicios de proyectos de inversión pública y programas</w:t>
      </w:r>
      <w:r w:rsidRPr="000B1812">
        <w:rPr>
          <w:spacing w:val="-14"/>
          <w:sz w:val="20"/>
          <w:szCs w:val="20"/>
        </w:rPr>
        <w:t xml:space="preserve"> </w:t>
      </w:r>
      <w:r w:rsidRPr="000B1812">
        <w:rPr>
          <w:sz w:val="20"/>
          <w:szCs w:val="20"/>
        </w:rPr>
        <w:t>sociales.</w:t>
      </w:r>
    </w:p>
    <w:p w14:paraId="7D253F9A" w14:textId="77777777" w:rsidR="0004086F" w:rsidRPr="00955A4C" w:rsidRDefault="0004086F" w:rsidP="00126CF7">
      <w:pPr>
        <w:pStyle w:val="Prrafodelista"/>
        <w:numPr>
          <w:ilvl w:val="0"/>
          <w:numId w:val="6"/>
        </w:numPr>
        <w:spacing w:before="240" w:line="360" w:lineRule="auto"/>
        <w:jc w:val="both"/>
        <w:rPr>
          <w:sz w:val="20"/>
          <w:szCs w:val="20"/>
        </w:rPr>
      </w:pPr>
      <w:r w:rsidRPr="00955A4C">
        <w:rPr>
          <w:sz w:val="20"/>
          <w:szCs w:val="20"/>
        </w:rPr>
        <w:t>Se</w:t>
      </w:r>
      <w:r w:rsidRPr="00955A4C">
        <w:rPr>
          <w:spacing w:val="-13"/>
          <w:sz w:val="20"/>
          <w:szCs w:val="20"/>
        </w:rPr>
        <w:t xml:space="preserve"> </w:t>
      </w:r>
      <w:r w:rsidRPr="00955A4C">
        <w:rPr>
          <w:sz w:val="20"/>
          <w:szCs w:val="20"/>
        </w:rPr>
        <w:t>priorizan</w:t>
      </w:r>
      <w:r w:rsidRPr="00955A4C">
        <w:rPr>
          <w:spacing w:val="-13"/>
          <w:sz w:val="20"/>
          <w:szCs w:val="20"/>
        </w:rPr>
        <w:t xml:space="preserve"> </w:t>
      </w:r>
      <w:r w:rsidRPr="00955A4C">
        <w:rPr>
          <w:sz w:val="20"/>
          <w:szCs w:val="20"/>
        </w:rPr>
        <w:t>proyectos</w:t>
      </w:r>
      <w:r w:rsidRPr="00955A4C">
        <w:rPr>
          <w:spacing w:val="-11"/>
          <w:sz w:val="20"/>
          <w:szCs w:val="20"/>
        </w:rPr>
        <w:t xml:space="preserve"> </w:t>
      </w:r>
      <w:r w:rsidRPr="00955A4C">
        <w:rPr>
          <w:sz w:val="20"/>
          <w:szCs w:val="20"/>
        </w:rPr>
        <w:t>y</w:t>
      </w:r>
      <w:r w:rsidRPr="00955A4C">
        <w:rPr>
          <w:spacing w:val="-16"/>
          <w:sz w:val="20"/>
          <w:szCs w:val="20"/>
        </w:rPr>
        <w:t xml:space="preserve"> </w:t>
      </w:r>
      <w:r w:rsidRPr="00955A4C">
        <w:rPr>
          <w:sz w:val="20"/>
          <w:szCs w:val="20"/>
        </w:rPr>
        <w:t>programas</w:t>
      </w:r>
      <w:r w:rsidRPr="00955A4C">
        <w:rPr>
          <w:spacing w:val="-13"/>
          <w:sz w:val="20"/>
          <w:szCs w:val="20"/>
        </w:rPr>
        <w:t xml:space="preserve"> </w:t>
      </w:r>
      <w:r w:rsidRPr="00955A4C">
        <w:rPr>
          <w:sz w:val="20"/>
          <w:szCs w:val="20"/>
        </w:rPr>
        <w:t>de</w:t>
      </w:r>
      <w:r w:rsidRPr="00955A4C">
        <w:rPr>
          <w:spacing w:val="-12"/>
          <w:sz w:val="20"/>
          <w:szCs w:val="20"/>
        </w:rPr>
        <w:t xml:space="preserve"> </w:t>
      </w:r>
      <w:r w:rsidRPr="00955A4C">
        <w:rPr>
          <w:sz w:val="20"/>
          <w:szCs w:val="20"/>
        </w:rPr>
        <w:t>salud,</w:t>
      </w:r>
      <w:r w:rsidRPr="00955A4C">
        <w:rPr>
          <w:spacing w:val="-12"/>
          <w:sz w:val="20"/>
          <w:szCs w:val="20"/>
        </w:rPr>
        <w:t xml:space="preserve"> </w:t>
      </w:r>
      <w:r w:rsidRPr="00955A4C">
        <w:rPr>
          <w:sz w:val="20"/>
          <w:szCs w:val="20"/>
        </w:rPr>
        <w:t>educación</w:t>
      </w:r>
      <w:r w:rsidRPr="00955A4C">
        <w:rPr>
          <w:spacing w:val="-11"/>
          <w:sz w:val="20"/>
          <w:szCs w:val="20"/>
        </w:rPr>
        <w:t xml:space="preserve"> </w:t>
      </w:r>
      <w:r w:rsidRPr="00955A4C">
        <w:rPr>
          <w:sz w:val="20"/>
          <w:szCs w:val="20"/>
        </w:rPr>
        <w:t>y</w:t>
      </w:r>
      <w:r w:rsidRPr="00955A4C">
        <w:rPr>
          <w:spacing w:val="-16"/>
          <w:sz w:val="20"/>
          <w:szCs w:val="20"/>
        </w:rPr>
        <w:t xml:space="preserve"> </w:t>
      </w:r>
      <w:r w:rsidRPr="00955A4C">
        <w:rPr>
          <w:sz w:val="20"/>
          <w:szCs w:val="20"/>
        </w:rPr>
        <w:t>bienestar</w:t>
      </w:r>
      <w:r w:rsidRPr="00955A4C">
        <w:rPr>
          <w:spacing w:val="-12"/>
          <w:sz w:val="20"/>
          <w:szCs w:val="20"/>
        </w:rPr>
        <w:t xml:space="preserve"> </w:t>
      </w:r>
      <w:r w:rsidRPr="00955A4C">
        <w:rPr>
          <w:sz w:val="20"/>
          <w:szCs w:val="20"/>
        </w:rPr>
        <w:t>social,</w:t>
      </w:r>
      <w:r w:rsidRPr="00955A4C">
        <w:rPr>
          <w:spacing w:val="-12"/>
          <w:sz w:val="20"/>
          <w:szCs w:val="20"/>
        </w:rPr>
        <w:t xml:space="preserve"> </w:t>
      </w:r>
      <w:r w:rsidRPr="00955A4C">
        <w:rPr>
          <w:sz w:val="20"/>
          <w:szCs w:val="20"/>
        </w:rPr>
        <w:t>desarrollo</w:t>
      </w:r>
      <w:r w:rsidRPr="00955A4C">
        <w:rPr>
          <w:spacing w:val="-12"/>
          <w:sz w:val="20"/>
          <w:szCs w:val="20"/>
        </w:rPr>
        <w:t xml:space="preserve"> </w:t>
      </w:r>
      <w:r w:rsidRPr="00955A4C">
        <w:rPr>
          <w:sz w:val="20"/>
          <w:szCs w:val="20"/>
        </w:rPr>
        <w:t>económico,</w:t>
      </w:r>
      <w:r w:rsidRPr="00955A4C">
        <w:rPr>
          <w:spacing w:val="-12"/>
          <w:sz w:val="20"/>
          <w:szCs w:val="20"/>
        </w:rPr>
        <w:t xml:space="preserve"> </w:t>
      </w:r>
      <w:r w:rsidRPr="00955A4C">
        <w:rPr>
          <w:sz w:val="20"/>
          <w:szCs w:val="20"/>
        </w:rPr>
        <w:t>apoyo</w:t>
      </w:r>
      <w:r w:rsidRPr="00955A4C">
        <w:rPr>
          <w:spacing w:val="-12"/>
          <w:sz w:val="20"/>
          <w:szCs w:val="20"/>
        </w:rPr>
        <w:t xml:space="preserve"> </w:t>
      </w:r>
      <w:r w:rsidRPr="00955A4C">
        <w:rPr>
          <w:sz w:val="20"/>
          <w:szCs w:val="20"/>
        </w:rPr>
        <w:t>a</w:t>
      </w:r>
      <w:r w:rsidRPr="00955A4C">
        <w:rPr>
          <w:spacing w:val="-12"/>
          <w:sz w:val="20"/>
          <w:szCs w:val="20"/>
        </w:rPr>
        <w:t xml:space="preserve"> </w:t>
      </w:r>
      <w:r w:rsidRPr="00955A4C">
        <w:rPr>
          <w:sz w:val="20"/>
          <w:szCs w:val="20"/>
        </w:rPr>
        <w:t xml:space="preserve">jóvenes y mujeres, grupos vulnerables, apoyo al campo e impulso de la infraestructura social y productiva, así como de seguridad pública, prevención del delito y </w:t>
      </w:r>
      <w:r>
        <w:rPr>
          <w:sz w:val="20"/>
          <w:szCs w:val="20"/>
        </w:rPr>
        <w:t>procuración de justicia</w:t>
      </w:r>
      <w:r w:rsidRPr="00955A4C">
        <w:rPr>
          <w:sz w:val="20"/>
          <w:szCs w:val="20"/>
        </w:rPr>
        <w:t>, para mejorar los niveles de bienestar social y propiciar la generación de</w:t>
      </w:r>
      <w:r w:rsidRPr="00955A4C">
        <w:rPr>
          <w:spacing w:val="-8"/>
          <w:sz w:val="20"/>
          <w:szCs w:val="20"/>
        </w:rPr>
        <w:t xml:space="preserve"> </w:t>
      </w:r>
      <w:r w:rsidRPr="00955A4C">
        <w:rPr>
          <w:sz w:val="20"/>
          <w:szCs w:val="20"/>
        </w:rPr>
        <w:t>empleos.</w:t>
      </w:r>
    </w:p>
    <w:p w14:paraId="1905E804" w14:textId="77777777" w:rsidR="0004086F" w:rsidRPr="00955A4C" w:rsidRDefault="0004086F" w:rsidP="00126CF7">
      <w:pPr>
        <w:pStyle w:val="Prrafodelista"/>
        <w:numPr>
          <w:ilvl w:val="0"/>
          <w:numId w:val="6"/>
        </w:numPr>
        <w:spacing w:before="240" w:line="360" w:lineRule="auto"/>
        <w:jc w:val="both"/>
        <w:rPr>
          <w:sz w:val="20"/>
          <w:szCs w:val="20"/>
        </w:rPr>
      </w:pPr>
      <w:r w:rsidRPr="00955A4C">
        <w:rPr>
          <w:sz w:val="20"/>
          <w:szCs w:val="20"/>
        </w:rPr>
        <w:t>Garantizar</w:t>
      </w:r>
      <w:r w:rsidRPr="00955A4C">
        <w:rPr>
          <w:spacing w:val="-2"/>
          <w:sz w:val="20"/>
          <w:szCs w:val="20"/>
        </w:rPr>
        <w:t xml:space="preserve"> </w:t>
      </w:r>
      <w:r w:rsidRPr="00955A4C">
        <w:rPr>
          <w:sz w:val="20"/>
          <w:szCs w:val="20"/>
        </w:rPr>
        <w:t>y</w:t>
      </w:r>
      <w:r w:rsidRPr="00955A4C">
        <w:rPr>
          <w:spacing w:val="-8"/>
          <w:sz w:val="20"/>
          <w:szCs w:val="20"/>
        </w:rPr>
        <w:t xml:space="preserve"> </w:t>
      </w:r>
      <w:r w:rsidRPr="00955A4C">
        <w:rPr>
          <w:sz w:val="20"/>
          <w:szCs w:val="20"/>
        </w:rPr>
        <w:t>priorizar</w:t>
      </w:r>
      <w:r w:rsidRPr="00955A4C">
        <w:rPr>
          <w:spacing w:val="-4"/>
          <w:sz w:val="20"/>
          <w:szCs w:val="20"/>
        </w:rPr>
        <w:t xml:space="preserve"> </w:t>
      </w:r>
      <w:r w:rsidRPr="00955A4C">
        <w:rPr>
          <w:sz w:val="20"/>
          <w:szCs w:val="20"/>
        </w:rPr>
        <w:t>la</w:t>
      </w:r>
      <w:r w:rsidRPr="00955A4C">
        <w:rPr>
          <w:spacing w:val="-7"/>
          <w:sz w:val="20"/>
          <w:szCs w:val="20"/>
        </w:rPr>
        <w:t xml:space="preserve"> </w:t>
      </w:r>
      <w:r w:rsidRPr="00955A4C">
        <w:rPr>
          <w:sz w:val="20"/>
          <w:szCs w:val="20"/>
        </w:rPr>
        <w:t>asignación</w:t>
      </w:r>
      <w:r w:rsidRPr="00955A4C">
        <w:rPr>
          <w:spacing w:val="-7"/>
          <w:sz w:val="20"/>
          <w:szCs w:val="20"/>
        </w:rPr>
        <w:t xml:space="preserve"> </w:t>
      </w:r>
      <w:r w:rsidRPr="00955A4C">
        <w:rPr>
          <w:sz w:val="20"/>
          <w:szCs w:val="20"/>
        </w:rPr>
        <w:t>de</w:t>
      </w:r>
      <w:r w:rsidRPr="00955A4C">
        <w:rPr>
          <w:spacing w:val="-5"/>
          <w:sz w:val="20"/>
          <w:szCs w:val="20"/>
        </w:rPr>
        <w:t xml:space="preserve"> </w:t>
      </w:r>
      <w:r w:rsidRPr="00955A4C">
        <w:rPr>
          <w:sz w:val="20"/>
          <w:szCs w:val="20"/>
        </w:rPr>
        <w:t>los</w:t>
      </w:r>
      <w:r w:rsidRPr="00955A4C">
        <w:rPr>
          <w:spacing w:val="-6"/>
          <w:sz w:val="20"/>
          <w:szCs w:val="20"/>
        </w:rPr>
        <w:t xml:space="preserve"> </w:t>
      </w:r>
      <w:r w:rsidRPr="00955A4C">
        <w:rPr>
          <w:sz w:val="20"/>
          <w:szCs w:val="20"/>
        </w:rPr>
        <w:t>recursos</w:t>
      </w:r>
      <w:r w:rsidRPr="00955A4C">
        <w:rPr>
          <w:spacing w:val="-6"/>
          <w:sz w:val="20"/>
          <w:szCs w:val="20"/>
        </w:rPr>
        <w:t xml:space="preserve"> </w:t>
      </w:r>
      <w:r w:rsidRPr="00955A4C">
        <w:rPr>
          <w:sz w:val="20"/>
          <w:szCs w:val="20"/>
        </w:rPr>
        <w:t>a</w:t>
      </w:r>
      <w:r w:rsidRPr="00955A4C">
        <w:rPr>
          <w:spacing w:val="-5"/>
          <w:sz w:val="20"/>
          <w:szCs w:val="20"/>
        </w:rPr>
        <w:t xml:space="preserve"> </w:t>
      </w:r>
      <w:r w:rsidRPr="00955A4C">
        <w:rPr>
          <w:sz w:val="20"/>
          <w:szCs w:val="20"/>
        </w:rPr>
        <w:t>los</w:t>
      </w:r>
      <w:r w:rsidRPr="00955A4C">
        <w:rPr>
          <w:spacing w:val="-7"/>
          <w:sz w:val="20"/>
          <w:szCs w:val="20"/>
        </w:rPr>
        <w:t xml:space="preserve"> </w:t>
      </w:r>
      <w:r w:rsidRPr="00955A4C">
        <w:rPr>
          <w:sz w:val="20"/>
          <w:szCs w:val="20"/>
        </w:rPr>
        <w:t>programas,</w:t>
      </w:r>
      <w:r w:rsidRPr="00955A4C">
        <w:rPr>
          <w:spacing w:val="-5"/>
          <w:sz w:val="20"/>
          <w:szCs w:val="20"/>
        </w:rPr>
        <w:t xml:space="preserve"> </w:t>
      </w:r>
      <w:r w:rsidRPr="00955A4C">
        <w:rPr>
          <w:sz w:val="20"/>
          <w:szCs w:val="20"/>
        </w:rPr>
        <w:t>obras</w:t>
      </w:r>
      <w:r w:rsidRPr="00955A4C">
        <w:rPr>
          <w:spacing w:val="-6"/>
          <w:sz w:val="20"/>
          <w:szCs w:val="20"/>
        </w:rPr>
        <w:t xml:space="preserve"> </w:t>
      </w:r>
      <w:r w:rsidRPr="00955A4C">
        <w:rPr>
          <w:sz w:val="20"/>
          <w:szCs w:val="20"/>
        </w:rPr>
        <w:t>y</w:t>
      </w:r>
      <w:r w:rsidRPr="00955A4C">
        <w:rPr>
          <w:spacing w:val="-8"/>
          <w:sz w:val="20"/>
          <w:szCs w:val="20"/>
        </w:rPr>
        <w:t xml:space="preserve"> </w:t>
      </w:r>
      <w:r w:rsidRPr="00955A4C">
        <w:rPr>
          <w:sz w:val="20"/>
          <w:szCs w:val="20"/>
        </w:rPr>
        <w:t>acciones</w:t>
      </w:r>
      <w:r w:rsidRPr="00955A4C">
        <w:rPr>
          <w:spacing w:val="-6"/>
          <w:sz w:val="20"/>
          <w:szCs w:val="20"/>
        </w:rPr>
        <w:t xml:space="preserve"> </w:t>
      </w:r>
      <w:r w:rsidRPr="00955A4C">
        <w:rPr>
          <w:sz w:val="20"/>
          <w:szCs w:val="20"/>
        </w:rPr>
        <w:t>de</w:t>
      </w:r>
      <w:r w:rsidRPr="00955A4C">
        <w:rPr>
          <w:spacing w:val="-5"/>
          <w:sz w:val="20"/>
          <w:szCs w:val="20"/>
        </w:rPr>
        <w:t xml:space="preserve"> </w:t>
      </w:r>
      <w:r w:rsidRPr="00955A4C">
        <w:rPr>
          <w:sz w:val="20"/>
          <w:szCs w:val="20"/>
        </w:rPr>
        <w:t>alto</w:t>
      </w:r>
      <w:r w:rsidRPr="00955A4C">
        <w:rPr>
          <w:spacing w:val="-4"/>
          <w:sz w:val="20"/>
          <w:szCs w:val="20"/>
        </w:rPr>
        <w:t xml:space="preserve"> </w:t>
      </w:r>
      <w:r w:rsidRPr="00955A4C">
        <w:rPr>
          <w:sz w:val="20"/>
          <w:szCs w:val="20"/>
        </w:rPr>
        <w:t>impacto</w:t>
      </w:r>
      <w:r w:rsidRPr="00955A4C">
        <w:rPr>
          <w:spacing w:val="-2"/>
          <w:sz w:val="20"/>
          <w:szCs w:val="20"/>
        </w:rPr>
        <w:t xml:space="preserve"> </w:t>
      </w:r>
      <w:r w:rsidRPr="00955A4C">
        <w:rPr>
          <w:sz w:val="20"/>
          <w:szCs w:val="20"/>
        </w:rPr>
        <w:t>y</w:t>
      </w:r>
      <w:r w:rsidRPr="00955A4C">
        <w:rPr>
          <w:spacing w:val="-8"/>
          <w:sz w:val="20"/>
          <w:szCs w:val="20"/>
        </w:rPr>
        <w:t xml:space="preserve"> </w:t>
      </w:r>
      <w:r w:rsidRPr="00955A4C">
        <w:rPr>
          <w:sz w:val="20"/>
          <w:szCs w:val="20"/>
        </w:rPr>
        <w:t>beneficio social, que incidan en el desarrollo económico y social, para elevar el nivel de vida de la</w:t>
      </w:r>
      <w:r w:rsidRPr="00955A4C">
        <w:rPr>
          <w:spacing w:val="-15"/>
          <w:sz w:val="20"/>
          <w:szCs w:val="20"/>
        </w:rPr>
        <w:t xml:space="preserve"> </w:t>
      </w:r>
      <w:r w:rsidRPr="00955A4C">
        <w:rPr>
          <w:sz w:val="20"/>
          <w:szCs w:val="20"/>
        </w:rPr>
        <w:t>población</w:t>
      </w:r>
      <w:r>
        <w:rPr>
          <w:sz w:val="20"/>
          <w:szCs w:val="20"/>
        </w:rPr>
        <w:t xml:space="preserve"> tlaxcalteca</w:t>
      </w:r>
      <w:r w:rsidRPr="00955A4C">
        <w:rPr>
          <w:sz w:val="20"/>
          <w:szCs w:val="20"/>
        </w:rPr>
        <w:t>.</w:t>
      </w:r>
    </w:p>
    <w:p w14:paraId="12A298AE" w14:textId="77777777" w:rsidR="0004086F" w:rsidRPr="00955A4C" w:rsidRDefault="0004086F" w:rsidP="00126CF7">
      <w:pPr>
        <w:pStyle w:val="Prrafodelista"/>
        <w:numPr>
          <w:ilvl w:val="0"/>
          <w:numId w:val="6"/>
        </w:numPr>
        <w:spacing w:before="240" w:line="360" w:lineRule="auto"/>
        <w:jc w:val="both"/>
        <w:rPr>
          <w:sz w:val="20"/>
          <w:szCs w:val="20"/>
        </w:rPr>
      </w:pPr>
      <w:r w:rsidRPr="00955A4C">
        <w:rPr>
          <w:sz w:val="20"/>
          <w:szCs w:val="20"/>
        </w:rPr>
        <w:t>Dar acceso a la población a sus derechos sociales y reducir la</w:t>
      </w:r>
      <w:r w:rsidRPr="00955A4C">
        <w:rPr>
          <w:spacing w:val="-18"/>
          <w:sz w:val="20"/>
          <w:szCs w:val="20"/>
        </w:rPr>
        <w:t xml:space="preserve"> </w:t>
      </w:r>
      <w:r w:rsidRPr="00955A4C">
        <w:rPr>
          <w:sz w:val="20"/>
          <w:szCs w:val="20"/>
        </w:rPr>
        <w:t>pobreza.</w:t>
      </w:r>
    </w:p>
    <w:p w14:paraId="02C7F9AC" w14:textId="77777777" w:rsidR="0004086F" w:rsidRPr="00955A4C" w:rsidRDefault="0004086F" w:rsidP="00126CF7">
      <w:pPr>
        <w:pStyle w:val="Prrafodelista"/>
        <w:numPr>
          <w:ilvl w:val="0"/>
          <w:numId w:val="6"/>
        </w:numPr>
        <w:spacing w:before="240" w:line="360" w:lineRule="auto"/>
        <w:jc w:val="both"/>
        <w:rPr>
          <w:sz w:val="20"/>
          <w:szCs w:val="20"/>
        </w:rPr>
      </w:pPr>
      <w:r w:rsidRPr="00955A4C">
        <w:rPr>
          <w:sz w:val="20"/>
          <w:szCs w:val="20"/>
        </w:rPr>
        <w:t>Combatir la carencia alimentaria y mejorar el acceso a la salud, seguridad social, vivien</w:t>
      </w:r>
      <w:r>
        <w:rPr>
          <w:sz w:val="20"/>
          <w:szCs w:val="20"/>
        </w:rPr>
        <w:t xml:space="preserve">da y apoyo al empleo; conforme a </w:t>
      </w:r>
      <w:r w:rsidRPr="00955A4C">
        <w:rPr>
          <w:sz w:val="20"/>
          <w:szCs w:val="20"/>
        </w:rPr>
        <w:t>l</w:t>
      </w:r>
      <w:r>
        <w:rPr>
          <w:sz w:val="20"/>
          <w:szCs w:val="20"/>
        </w:rPr>
        <w:t>os</w:t>
      </w:r>
      <w:r w:rsidRPr="00955A4C">
        <w:rPr>
          <w:sz w:val="20"/>
          <w:szCs w:val="20"/>
        </w:rPr>
        <w:t xml:space="preserve"> programa</w:t>
      </w:r>
      <w:r>
        <w:rPr>
          <w:sz w:val="20"/>
          <w:szCs w:val="20"/>
        </w:rPr>
        <w:t>s</w:t>
      </w:r>
      <w:r w:rsidRPr="00955A4C">
        <w:rPr>
          <w:sz w:val="20"/>
          <w:szCs w:val="20"/>
        </w:rPr>
        <w:t xml:space="preserve"> de</w:t>
      </w:r>
      <w:r>
        <w:rPr>
          <w:sz w:val="20"/>
          <w:szCs w:val="20"/>
        </w:rPr>
        <w:t xml:space="preserve"> Sociedad Organizada para el Bienestar, Atención a Grupos Vulnerables, Infraestructura Social Básica para el Bienestar y Vivienda para el Bienestar</w:t>
      </w:r>
      <w:r w:rsidRPr="00955A4C">
        <w:rPr>
          <w:sz w:val="20"/>
          <w:szCs w:val="20"/>
        </w:rPr>
        <w:t xml:space="preserve"> de la Secretaría de Bienestar.</w:t>
      </w:r>
    </w:p>
    <w:p w14:paraId="4CC1E046" w14:textId="77777777" w:rsidR="0004086F" w:rsidRPr="00955A4C" w:rsidRDefault="0004086F" w:rsidP="00126CF7">
      <w:pPr>
        <w:pStyle w:val="Prrafodelista"/>
        <w:numPr>
          <w:ilvl w:val="0"/>
          <w:numId w:val="6"/>
        </w:numPr>
        <w:spacing w:before="240" w:line="360" w:lineRule="auto"/>
        <w:jc w:val="both"/>
        <w:rPr>
          <w:sz w:val="20"/>
          <w:szCs w:val="20"/>
        </w:rPr>
      </w:pPr>
      <w:r w:rsidRPr="00955A4C">
        <w:rPr>
          <w:sz w:val="20"/>
          <w:szCs w:val="20"/>
        </w:rPr>
        <w:lastRenderedPageBreak/>
        <w:t>Identificar con precisión la población objetivo, privilegiando a los de menos</w:t>
      </w:r>
      <w:r w:rsidRPr="00955A4C">
        <w:rPr>
          <w:spacing w:val="-27"/>
          <w:sz w:val="20"/>
          <w:szCs w:val="20"/>
        </w:rPr>
        <w:t xml:space="preserve"> </w:t>
      </w:r>
      <w:r w:rsidRPr="00955A4C">
        <w:rPr>
          <w:sz w:val="20"/>
          <w:szCs w:val="20"/>
        </w:rPr>
        <w:t>ingresos.</w:t>
      </w:r>
    </w:p>
    <w:p w14:paraId="44C5BE64" w14:textId="77777777" w:rsidR="0004086F" w:rsidRPr="00955A4C" w:rsidRDefault="0004086F" w:rsidP="00126CF7">
      <w:pPr>
        <w:pStyle w:val="Prrafodelista"/>
        <w:numPr>
          <w:ilvl w:val="0"/>
          <w:numId w:val="6"/>
        </w:numPr>
        <w:spacing w:before="240" w:line="360" w:lineRule="auto"/>
        <w:jc w:val="both"/>
        <w:rPr>
          <w:sz w:val="20"/>
          <w:szCs w:val="20"/>
        </w:rPr>
      </w:pPr>
      <w:r w:rsidRPr="00955A4C">
        <w:rPr>
          <w:sz w:val="20"/>
          <w:szCs w:val="20"/>
        </w:rPr>
        <w:t>Procurar</w:t>
      </w:r>
      <w:r w:rsidRPr="00955A4C">
        <w:rPr>
          <w:spacing w:val="-14"/>
          <w:sz w:val="20"/>
          <w:szCs w:val="20"/>
        </w:rPr>
        <w:t xml:space="preserve"> </w:t>
      </w:r>
      <w:r w:rsidRPr="00955A4C">
        <w:rPr>
          <w:sz w:val="20"/>
          <w:szCs w:val="20"/>
        </w:rPr>
        <w:t>que</w:t>
      </w:r>
      <w:r w:rsidRPr="00955A4C">
        <w:rPr>
          <w:spacing w:val="-13"/>
          <w:sz w:val="20"/>
          <w:szCs w:val="20"/>
        </w:rPr>
        <w:t xml:space="preserve"> </w:t>
      </w:r>
      <w:r w:rsidRPr="00955A4C">
        <w:rPr>
          <w:sz w:val="20"/>
          <w:szCs w:val="20"/>
        </w:rPr>
        <w:t>el</w:t>
      </w:r>
      <w:r w:rsidRPr="00955A4C">
        <w:rPr>
          <w:spacing w:val="-13"/>
          <w:sz w:val="20"/>
          <w:szCs w:val="20"/>
        </w:rPr>
        <w:t xml:space="preserve"> </w:t>
      </w:r>
      <w:r w:rsidRPr="00955A4C">
        <w:rPr>
          <w:sz w:val="20"/>
          <w:szCs w:val="20"/>
        </w:rPr>
        <w:t>mecanismo</w:t>
      </w:r>
      <w:r w:rsidRPr="00955A4C">
        <w:rPr>
          <w:spacing w:val="-13"/>
          <w:sz w:val="20"/>
          <w:szCs w:val="20"/>
        </w:rPr>
        <w:t xml:space="preserve"> </w:t>
      </w:r>
      <w:r w:rsidRPr="00955A4C">
        <w:rPr>
          <w:sz w:val="20"/>
          <w:szCs w:val="20"/>
        </w:rPr>
        <w:t>de</w:t>
      </w:r>
      <w:r w:rsidRPr="00955A4C">
        <w:rPr>
          <w:spacing w:val="-13"/>
          <w:sz w:val="20"/>
          <w:szCs w:val="20"/>
        </w:rPr>
        <w:t xml:space="preserve"> </w:t>
      </w:r>
      <w:r w:rsidRPr="00955A4C">
        <w:rPr>
          <w:sz w:val="20"/>
          <w:szCs w:val="20"/>
        </w:rPr>
        <w:t>distribución,</w:t>
      </w:r>
      <w:r w:rsidRPr="00955A4C">
        <w:rPr>
          <w:spacing w:val="-13"/>
          <w:sz w:val="20"/>
          <w:szCs w:val="20"/>
        </w:rPr>
        <w:t xml:space="preserve"> </w:t>
      </w:r>
      <w:r w:rsidRPr="00955A4C">
        <w:rPr>
          <w:sz w:val="20"/>
          <w:szCs w:val="20"/>
        </w:rPr>
        <w:t>operación</w:t>
      </w:r>
      <w:r w:rsidRPr="00955A4C">
        <w:rPr>
          <w:spacing w:val="-12"/>
          <w:sz w:val="20"/>
          <w:szCs w:val="20"/>
        </w:rPr>
        <w:t xml:space="preserve"> </w:t>
      </w:r>
      <w:r w:rsidRPr="00955A4C">
        <w:rPr>
          <w:sz w:val="20"/>
          <w:szCs w:val="20"/>
        </w:rPr>
        <w:t>y</w:t>
      </w:r>
      <w:r w:rsidRPr="00955A4C">
        <w:rPr>
          <w:spacing w:val="-16"/>
          <w:sz w:val="20"/>
          <w:szCs w:val="20"/>
        </w:rPr>
        <w:t xml:space="preserve"> </w:t>
      </w:r>
      <w:r w:rsidRPr="00955A4C">
        <w:rPr>
          <w:sz w:val="20"/>
          <w:szCs w:val="20"/>
        </w:rPr>
        <w:t>administración</w:t>
      </w:r>
      <w:r w:rsidRPr="00955A4C">
        <w:rPr>
          <w:spacing w:val="-14"/>
          <w:sz w:val="20"/>
          <w:szCs w:val="20"/>
        </w:rPr>
        <w:t xml:space="preserve"> </w:t>
      </w:r>
      <w:r w:rsidRPr="00955A4C">
        <w:rPr>
          <w:sz w:val="20"/>
          <w:szCs w:val="20"/>
        </w:rPr>
        <w:t>del</w:t>
      </w:r>
      <w:r w:rsidRPr="00955A4C">
        <w:rPr>
          <w:spacing w:val="-13"/>
          <w:sz w:val="20"/>
          <w:szCs w:val="20"/>
        </w:rPr>
        <w:t xml:space="preserve"> </w:t>
      </w:r>
      <w:r w:rsidRPr="00955A4C">
        <w:rPr>
          <w:sz w:val="20"/>
          <w:szCs w:val="20"/>
        </w:rPr>
        <w:t>presupuesto</w:t>
      </w:r>
      <w:r w:rsidRPr="00955A4C">
        <w:rPr>
          <w:spacing w:val="-13"/>
          <w:sz w:val="20"/>
          <w:szCs w:val="20"/>
        </w:rPr>
        <w:t xml:space="preserve"> </w:t>
      </w:r>
      <w:r w:rsidRPr="00955A4C">
        <w:rPr>
          <w:sz w:val="20"/>
          <w:szCs w:val="20"/>
        </w:rPr>
        <w:t>otorgue</w:t>
      </w:r>
      <w:r w:rsidRPr="00955A4C">
        <w:rPr>
          <w:spacing w:val="-13"/>
          <w:sz w:val="20"/>
          <w:szCs w:val="20"/>
        </w:rPr>
        <w:t xml:space="preserve"> </w:t>
      </w:r>
      <w:r w:rsidRPr="00955A4C">
        <w:rPr>
          <w:sz w:val="20"/>
          <w:szCs w:val="20"/>
        </w:rPr>
        <w:t>acceso</w:t>
      </w:r>
      <w:r w:rsidRPr="00955A4C">
        <w:rPr>
          <w:spacing w:val="-13"/>
          <w:sz w:val="20"/>
          <w:szCs w:val="20"/>
        </w:rPr>
        <w:t xml:space="preserve"> </w:t>
      </w:r>
      <w:r w:rsidRPr="00955A4C">
        <w:rPr>
          <w:sz w:val="20"/>
          <w:szCs w:val="20"/>
        </w:rPr>
        <w:t>equitativo a todos los grupos sociales, para fomentar la igualdad de</w:t>
      </w:r>
      <w:r w:rsidRPr="00955A4C">
        <w:rPr>
          <w:spacing w:val="-16"/>
          <w:sz w:val="20"/>
          <w:szCs w:val="20"/>
        </w:rPr>
        <w:t xml:space="preserve"> </w:t>
      </w:r>
      <w:r w:rsidRPr="00955A4C">
        <w:rPr>
          <w:sz w:val="20"/>
          <w:szCs w:val="20"/>
        </w:rPr>
        <w:t>género.</w:t>
      </w:r>
    </w:p>
    <w:p w14:paraId="7125CE74" w14:textId="77777777" w:rsidR="0004086F" w:rsidRPr="00955A4C" w:rsidRDefault="0004086F" w:rsidP="00126CF7">
      <w:pPr>
        <w:pStyle w:val="Prrafodelista"/>
        <w:numPr>
          <w:ilvl w:val="0"/>
          <w:numId w:val="6"/>
        </w:numPr>
        <w:spacing w:before="240" w:line="360" w:lineRule="auto"/>
        <w:jc w:val="both"/>
        <w:rPr>
          <w:sz w:val="20"/>
          <w:szCs w:val="20"/>
        </w:rPr>
      </w:pPr>
      <w:r w:rsidRPr="00955A4C">
        <w:rPr>
          <w:sz w:val="20"/>
          <w:szCs w:val="20"/>
        </w:rPr>
        <w:t>Simplificar</w:t>
      </w:r>
      <w:r w:rsidRPr="00955A4C">
        <w:rPr>
          <w:spacing w:val="-4"/>
          <w:sz w:val="20"/>
          <w:szCs w:val="20"/>
        </w:rPr>
        <w:t xml:space="preserve"> </w:t>
      </w:r>
      <w:r w:rsidRPr="00955A4C">
        <w:rPr>
          <w:sz w:val="20"/>
          <w:szCs w:val="20"/>
        </w:rPr>
        <w:t>los</w:t>
      </w:r>
      <w:r w:rsidRPr="00955A4C">
        <w:rPr>
          <w:spacing w:val="-6"/>
          <w:sz w:val="20"/>
          <w:szCs w:val="20"/>
        </w:rPr>
        <w:t xml:space="preserve"> </w:t>
      </w:r>
      <w:r w:rsidRPr="00955A4C">
        <w:rPr>
          <w:sz w:val="20"/>
          <w:szCs w:val="20"/>
        </w:rPr>
        <w:t>procesos</w:t>
      </w:r>
      <w:r w:rsidRPr="00955A4C">
        <w:rPr>
          <w:spacing w:val="-6"/>
          <w:sz w:val="20"/>
          <w:szCs w:val="20"/>
        </w:rPr>
        <w:t xml:space="preserve"> </w:t>
      </w:r>
      <w:r w:rsidRPr="00955A4C">
        <w:rPr>
          <w:sz w:val="20"/>
          <w:szCs w:val="20"/>
        </w:rPr>
        <w:t>y</w:t>
      </w:r>
      <w:r w:rsidRPr="00955A4C">
        <w:rPr>
          <w:spacing w:val="-9"/>
          <w:sz w:val="20"/>
          <w:szCs w:val="20"/>
        </w:rPr>
        <w:t xml:space="preserve"> </w:t>
      </w:r>
      <w:r w:rsidRPr="00955A4C">
        <w:rPr>
          <w:sz w:val="20"/>
          <w:szCs w:val="20"/>
        </w:rPr>
        <w:t>eficientar</w:t>
      </w:r>
      <w:r w:rsidRPr="00955A4C">
        <w:rPr>
          <w:spacing w:val="-5"/>
          <w:sz w:val="20"/>
          <w:szCs w:val="20"/>
        </w:rPr>
        <w:t xml:space="preserve"> </w:t>
      </w:r>
      <w:r w:rsidRPr="00955A4C">
        <w:rPr>
          <w:sz w:val="20"/>
          <w:szCs w:val="20"/>
        </w:rPr>
        <w:t>la</w:t>
      </w:r>
      <w:r w:rsidRPr="00955A4C">
        <w:rPr>
          <w:spacing w:val="-5"/>
          <w:sz w:val="20"/>
          <w:szCs w:val="20"/>
        </w:rPr>
        <w:t xml:space="preserve"> </w:t>
      </w:r>
      <w:r w:rsidRPr="00955A4C">
        <w:rPr>
          <w:sz w:val="20"/>
          <w:szCs w:val="20"/>
        </w:rPr>
        <w:t>prestación</w:t>
      </w:r>
      <w:r w:rsidRPr="00955A4C">
        <w:rPr>
          <w:spacing w:val="-7"/>
          <w:sz w:val="20"/>
          <w:szCs w:val="20"/>
        </w:rPr>
        <w:t xml:space="preserve"> </w:t>
      </w:r>
      <w:r w:rsidRPr="00955A4C">
        <w:rPr>
          <w:sz w:val="20"/>
          <w:szCs w:val="20"/>
        </w:rPr>
        <w:t>de</w:t>
      </w:r>
      <w:r w:rsidRPr="00955A4C">
        <w:rPr>
          <w:spacing w:val="-5"/>
          <w:sz w:val="20"/>
          <w:szCs w:val="20"/>
        </w:rPr>
        <w:t xml:space="preserve"> </w:t>
      </w:r>
      <w:r w:rsidRPr="00955A4C">
        <w:rPr>
          <w:sz w:val="20"/>
          <w:szCs w:val="20"/>
        </w:rPr>
        <w:t>servicios</w:t>
      </w:r>
      <w:r w:rsidRPr="00955A4C">
        <w:rPr>
          <w:spacing w:val="-6"/>
          <w:sz w:val="20"/>
          <w:szCs w:val="20"/>
        </w:rPr>
        <w:t xml:space="preserve"> </w:t>
      </w:r>
      <w:r w:rsidRPr="00955A4C">
        <w:rPr>
          <w:sz w:val="20"/>
          <w:szCs w:val="20"/>
        </w:rPr>
        <w:t>a</w:t>
      </w:r>
      <w:r w:rsidRPr="00955A4C">
        <w:rPr>
          <w:spacing w:val="-5"/>
          <w:sz w:val="20"/>
          <w:szCs w:val="20"/>
        </w:rPr>
        <w:t xml:space="preserve"> </w:t>
      </w:r>
      <w:r w:rsidRPr="00955A4C">
        <w:rPr>
          <w:sz w:val="20"/>
          <w:szCs w:val="20"/>
        </w:rPr>
        <w:t>la</w:t>
      </w:r>
      <w:r w:rsidRPr="00955A4C">
        <w:rPr>
          <w:spacing w:val="-5"/>
          <w:sz w:val="20"/>
          <w:szCs w:val="20"/>
        </w:rPr>
        <w:t xml:space="preserve"> </w:t>
      </w:r>
      <w:r w:rsidRPr="00955A4C">
        <w:rPr>
          <w:sz w:val="20"/>
          <w:szCs w:val="20"/>
        </w:rPr>
        <w:t>población,</w:t>
      </w:r>
      <w:r w:rsidRPr="00955A4C">
        <w:rPr>
          <w:spacing w:val="-7"/>
          <w:sz w:val="20"/>
          <w:szCs w:val="20"/>
        </w:rPr>
        <w:t xml:space="preserve"> </w:t>
      </w:r>
      <w:r w:rsidRPr="00955A4C">
        <w:rPr>
          <w:sz w:val="20"/>
          <w:szCs w:val="20"/>
        </w:rPr>
        <w:t>para</w:t>
      </w:r>
      <w:r w:rsidRPr="00955A4C">
        <w:rPr>
          <w:spacing w:val="-5"/>
          <w:sz w:val="20"/>
          <w:szCs w:val="20"/>
        </w:rPr>
        <w:t xml:space="preserve"> </w:t>
      </w:r>
      <w:r w:rsidRPr="00955A4C">
        <w:rPr>
          <w:sz w:val="20"/>
          <w:szCs w:val="20"/>
        </w:rPr>
        <w:t>garantizar</w:t>
      </w:r>
      <w:r w:rsidRPr="00955A4C">
        <w:rPr>
          <w:spacing w:val="-4"/>
          <w:sz w:val="20"/>
          <w:szCs w:val="20"/>
        </w:rPr>
        <w:t xml:space="preserve"> </w:t>
      </w:r>
      <w:r w:rsidRPr="00955A4C">
        <w:rPr>
          <w:sz w:val="20"/>
          <w:szCs w:val="20"/>
        </w:rPr>
        <w:t>un</w:t>
      </w:r>
      <w:r w:rsidRPr="00955A4C">
        <w:rPr>
          <w:spacing w:val="-7"/>
          <w:sz w:val="20"/>
          <w:szCs w:val="20"/>
        </w:rPr>
        <w:t xml:space="preserve"> </w:t>
      </w:r>
      <w:r w:rsidRPr="00955A4C">
        <w:rPr>
          <w:sz w:val="20"/>
          <w:szCs w:val="20"/>
        </w:rPr>
        <w:t>gobierno</w:t>
      </w:r>
      <w:r w:rsidRPr="00955A4C">
        <w:rPr>
          <w:spacing w:val="-4"/>
          <w:sz w:val="20"/>
          <w:szCs w:val="20"/>
        </w:rPr>
        <w:t xml:space="preserve"> </w:t>
      </w:r>
      <w:r w:rsidRPr="00955A4C">
        <w:rPr>
          <w:sz w:val="20"/>
          <w:szCs w:val="20"/>
        </w:rPr>
        <w:t>eficaz.</w:t>
      </w:r>
    </w:p>
    <w:p w14:paraId="526E26F5" w14:textId="77777777" w:rsidR="0004086F" w:rsidRPr="00955A4C" w:rsidRDefault="0004086F" w:rsidP="00126CF7">
      <w:pPr>
        <w:pStyle w:val="Prrafodelista"/>
        <w:numPr>
          <w:ilvl w:val="0"/>
          <w:numId w:val="6"/>
        </w:numPr>
        <w:spacing w:before="240" w:line="360" w:lineRule="auto"/>
        <w:jc w:val="both"/>
        <w:rPr>
          <w:sz w:val="20"/>
          <w:szCs w:val="20"/>
        </w:rPr>
      </w:pPr>
      <w:r w:rsidRPr="00955A4C">
        <w:rPr>
          <w:sz w:val="20"/>
          <w:szCs w:val="20"/>
        </w:rPr>
        <w:t>Consolidar entre los servidores públicos una cultura de austeridad, racionalidad, disciplina, transparencia, honestidad y</w:t>
      </w:r>
      <w:r w:rsidRPr="00955A4C">
        <w:rPr>
          <w:spacing w:val="-9"/>
          <w:sz w:val="20"/>
          <w:szCs w:val="20"/>
        </w:rPr>
        <w:t xml:space="preserve"> </w:t>
      </w:r>
      <w:r w:rsidRPr="00955A4C">
        <w:rPr>
          <w:sz w:val="20"/>
          <w:szCs w:val="20"/>
        </w:rPr>
        <w:t>eficacia.</w:t>
      </w:r>
    </w:p>
    <w:p w14:paraId="66D977B8" w14:textId="77777777" w:rsidR="0004086F" w:rsidRPr="00955A4C" w:rsidRDefault="0004086F" w:rsidP="00126CF7">
      <w:pPr>
        <w:pStyle w:val="Prrafodelista"/>
        <w:numPr>
          <w:ilvl w:val="0"/>
          <w:numId w:val="6"/>
        </w:numPr>
        <w:spacing w:before="240" w:line="360" w:lineRule="auto"/>
        <w:jc w:val="both"/>
        <w:rPr>
          <w:sz w:val="20"/>
          <w:szCs w:val="20"/>
        </w:rPr>
      </w:pPr>
      <w:r w:rsidRPr="00955A4C">
        <w:rPr>
          <w:sz w:val="20"/>
          <w:szCs w:val="20"/>
        </w:rPr>
        <w:t>Aplicar las medidas derivadas de la planeación estratégica y consolidar la armonización de la estructura presupuestaría, para el fortalecimiento del Presupuesto Basado en Resultados (PbR) y el Sistema de Evaluación del Desempeño</w:t>
      </w:r>
      <w:r w:rsidRPr="00955A4C">
        <w:rPr>
          <w:spacing w:val="-6"/>
          <w:sz w:val="20"/>
          <w:szCs w:val="20"/>
        </w:rPr>
        <w:t xml:space="preserve"> </w:t>
      </w:r>
      <w:r w:rsidRPr="00955A4C">
        <w:rPr>
          <w:sz w:val="20"/>
          <w:szCs w:val="20"/>
        </w:rPr>
        <w:t>(SED).</w:t>
      </w:r>
    </w:p>
    <w:p w14:paraId="3FD2AB34" w14:textId="77777777" w:rsidR="0004086F" w:rsidRPr="00955A4C" w:rsidRDefault="0004086F" w:rsidP="00126CF7">
      <w:pPr>
        <w:pStyle w:val="Prrafodelista"/>
        <w:numPr>
          <w:ilvl w:val="0"/>
          <w:numId w:val="6"/>
        </w:numPr>
        <w:spacing w:before="240" w:line="360" w:lineRule="auto"/>
        <w:jc w:val="both"/>
        <w:rPr>
          <w:sz w:val="20"/>
          <w:szCs w:val="20"/>
        </w:rPr>
      </w:pPr>
      <w:r w:rsidRPr="00955A4C">
        <w:rPr>
          <w:sz w:val="20"/>
          <w:szCs w:val="20"/>
        </w:rPr>
        <w:t>Garantizar la transparencia y rendición de cuentas, mediante la entrega y difusión de información, observando los lineamientos y buenas prácticas en la materia, conforme las políticas del Instituto Mexicano para la Competitividad</w:t>
      </w:r>
      <w:r w:rsidRPr="00955A4C">
        <w:rPr>
          <w:spacing w:val="-9"/>
          <w:sz w:val="20"/>
          <w:szCs w:val="20"/>
        </w:rPr>
        <w:t xml:space="preserve"> </w:t>
      </w:r>
      <w:r w:rsidRPr="00955A4C">
        <w:rPr>
          <w:sz w:val="20"/>
          <w:szCs w:val="20"/>
        </w:rPr>
        <w:t>(IMCO).</w:t>
      </w:r>
    </w:p>
    <w:p w14:paraId="0FFED02C" w14:textId="77777777" w:rsidR="0004086F" w:rsidRPr="00955A4C" w:rsidRDefault="0004086F" w:rsidP="00126CF7">
      <w:pPr>
        <w:pStyle w:val="Prrafodelista"/>
        <w:numPr>
          <w:ilvl w:val="0"/>
          <w:numId w:val="6"/>
        </w:numPr>
        <w:spacing w:before="240" w:line="360" w:lineRule="auto"/>
        <w:jc w:val="both"/>
        <w:rPr>
          <w:sz w:val="20"/>
          <w:szCs w:val="20"/>
        </w:rPr>
      </w:pPr>
      <w:r w:rsidRPr="00955A4C">
        <w:rPr>
          <w:sz w:val="20"/>
          <w:szCs w:val="20"/>
        </w:rPr>
        <w:t>Atender las recomendaciones de los órganos fiscalizadores y las reglas emitidas por la Secretaría de Hacienda y Crédito Público</w:t>
      </w:r>
      <w:r w:rsidRPr="00955A4C">
        <w:rPr>
          <w:spacing w:val="-7"/>
          <w:sz w:val="20"/>
          <w:szCs w:val="20"/>
        </w:rPr>
        <w:t xml:space="preserve"> </w:t>
      </w:r>
      <w:r w:rsidRPr="00955A4C">
        <w:rPr>
          <w:sz w:val="20"/>
          <w:szCs w:val="20"/>
        </w:rPr>
        <w:t>(SHCP).</w:t>
      </w:r>
    </w:p>
    <w:p w14:paraId="3D84D923" w14:textId="77777777" w:rsidR="0004086F" w:rsidRPr="00955A4C" w:rsidRDefault="0004086F" w:rsidP="00126CF7">
      <w:pPr>
        <w:pStyle w:val="Prrafodelista"/>
        <w:numPr>
          <w:ilvl w:val="0"/>
          <w:numId w:val="6"/>
        </w:numPr>
        <w:spacing w:before="240" w:line="360" w:lineRule="auto"/>
        <w:jc w:val="both"/>
        <w:rPr>
          <w:sz w:val="20"/>
          <w:szCs w:val="20"/>
        </w:rPr>
      </w:pPr>
      <w:r w:rsidRPr="00955A4C">
        <w:rPr>
          <w:sz w:val="20"/>
          <w:szCs w:val="20"/>
        </w:rPr>
        <w:t xml:space="preserve">Efectuar el registro contable del gasto público, la integración y la consolidación de la </w:t>
      </w:r>
      <w:r>
        <w:rPr>
          <w:sz w:val="20"/>
          <w:szCs w:val="20"/>
        </w:rPr>
        <w:t>c</w:t>
      </w:r>
      <w:r w:rsidRPr="00955A4C">
        <w:rPr>
          <w:sz w:val="20"/>
          <w:szCs w:val="20"/>
        </w:rPr>
        <w:t>uenta pública, conforme lo dispuesto en la Ley General de Contabilidad Gubernamental y las reglas del Consejo Nacional de Armonización Contable</w:t>
      </w:r>
      <w:r w:rsidRPr="00955A4C">
        <w:rPr>
          <w:spacing w:val="-11"/>
          <w:sz w:val="20"/>
          <w:szCs w:val="20"/>
        </w:rPr>
        <w:t xml:space="preserve"> </w:t>
      </w:r>
      <w:r w:rsidRPr="00955A4C">
        <w:rPr>
          <w:sz w:val="20"/>
          <w:szCs w:val="20"/>
        </w:rPr>
        <w:t>(CONAC).</w:t>
      </w:r>
    </w:p>
    <w:p w14:paraId="2C8AF38D" w14:textId="77777777" w:rsidR="0004086F" w:rsidRPr="00955A4C" w:rsidRDefault="0004086F" w:rsidP="00126CF7">
      <w:pPr>
        <w:pStyle w:val="Prrafodelista"/>
        <w:numPr>
          <w:ilvl w:val="0"/>
          <w:numId w:val="6"/>
        </w:numPr>
        <w:spacing w:before="240" w:line="360" w:lineRule="auto"/>
        <w:jc w:val="both"/>
        <w:rPr>
          <w:sz w:val="20"/>
          <w:szCs w:val="20"/>
        </w:rPr>
      </w:pPr>
      <w:r w:rsidRPr="00955A4C">
        <w:rPr>
          <w:sz w:val="20"/>
          <w:szCs w:val="20"/>
        </w:rPr>
        <w:t>Mantener un nivel de endeudamiento cero, y no creación de nuevos impuestos, así como una estricta disciplina fiscal, para garantizar finanzas públicas sanas y una hacienda</w:t>
      </w:r>
      <w:r w:rsidRPr="00955A4C">
        <w:rPr>
          <w:spacing w:val="-21"/>
          <w:sz w:val="20"/>
          <w:szCs w:val="20"/>
        </w:rPr>
        <w:t xml:space="preserve"> </w:t>
      </w:r>
      <w:r w:rsidRPr="00955A4C">
        <w:rPr>
          <w:sz w:val="20"/>
          <w:szCs w:val="20"/>
        </w:rPr>
        <w:t>equilibrada.</w:t>
      </w:r>
    </w:p>
    <w:p w14:paraId="69AE27E9" w14:textId="77777777" w:rsidR="0004086F" w:rsidRPr="00955A4C" w:rsidRDefault="0004086F" w:rsidP="00126CF7">
      <w:pPr>
        <w:pStyle w:val="Prrafodelista"/>
        <w:numPr>
          <w:ilvl w:val="0"/>
          <w:numId w:val="6"/>
        </w:numPr>
        <w:spacing w:before="240" w:line="360" w:lineRule="auto"/>
        <w:jc w:val="both"/>
        <w:rPr>
          <w:sz w:val="20"/>
          <w:szCs w:val="20"/>
        </w:rPr>
      </w:pPr>
      <w:r w:rsidRPr="00955A4C">
        <w:rPr>
          <w:sz w:val="20"/>
          <w:szCs w:val="20"/>
        </w:rPr>
        <w:t>Incluir recursos estatales específicos para el Sistema Estatal de Protección Integral de Niñas, Niños y Adolescentes.</w:t>
      </w:r>
    </w:p>
    <w:p w14:paraId="593DFE9E" w14:textId="77777777" w:rsidR="0004086F" w:rsidRPr="00955A4C" w:rsidRDefault="0004086F" w:rsidP="00126CF7">
      <w:pPr>
        <w:pStyle w:val="Prrafodelista"/>
        <w:numPr>
          <w:ilvl w:val="0"/>
          <w:numId w:val="6"/>
        </w:numPr>
        <w:spacing w:before="240" w:line="360" w:lineRule="auto"/>
        <w:jc w:val="both"/>
        <w:rPr>
          <w:sz w:val="20"/>
          <w:szCs w:val="20"/>
        </w:rPr>
      </w:pPr>
      <w:r w:rsidRPr="00955A4C">
        <w:rPr>
          <w:sz w:val="20"/>
          <w:szCs w:val="20"/>
        </w:rPr>
        <w:t>Incluir</w:t>
      </w:r>
      <w:r w:rsidRPr="00955A4C">
        <w:rPr>
          <w:spacing w:val="-10"/>
          <w:sz w:val="20"/>
          <w:szCs w:val="20"/>
        </w:rPr>
        <w:t xml:space="preserve"> </w:t>
      </w:r>
      <w:r w:rsidRPr="00955A4C">
        <w:rPr>
          <w:sz w:val="20"/>
          <w:szCs w:val="20"/>
        </w:rPr>
        <w:t>recursos</w:t>
      </w:r>
      <w:r w:rsidRPr="00955A4C">
        <w:rPr>
          <w:spacing w:val="-11"/>
          <w:sz w:val="20"/>
          <w:szCs w:val="20"/>
        </w:rPr>
        <w:t xml:space="preserve"> </w:t>
      </w:r>
      <w:r w:rsidRPr="00955A4C">
        <w:rPr>
          <w:sz w:val="20"/>
          <w:szCs w:val="20"/>
        </w:rPr>
        <w:t>para</w:t>
      </w:r>
      <w:r w:rsidRPr="00955A4C">
        <w:rPr>
          <w:spacing w:val="-10"/>
          <w:sz w:val="20"/>
          <w:szCs w:val="20"/>
        </w:rPr>
        <w:t xml:space="preserve"> </w:t>
      </w:r>
      <w:r w:rsidRPr="00955A4C">
        <w:rPr>
          <w:sz w:val="20"/>
          <w:szCs w:val="20"/>
        </w:rPr>
        <w:t>impulsar</w:t>
      </w:r>
      <w:r w:rsidRPr="00955A4C">
        <w:rPr>
          <w:spacing w:val="-7"/>
          <w:sz w:val="20"/>
          <w:szCs w:val="20"/>
        </w:rPr>
        <w:t xml:space="preserve"> </w:t>
      </w:r>
      <w:r w:rsidRPr="00955A4C">
        <w:rPr>
          <w:sz w:val="20"/>
          <w:szCs w:val="20"/>
        </w:rPr>
        <w:t>la</w:t>
      </w:r>
      <w:r w:rsidRPr="00955A4C">
        <w:rPr>
          <w:spacing w:val="-10"/>
          <w:sz w:val="20"/>
          <w:szCs w:val="20"/>
        </w:rPr>
        <w:t xml:space="preserve"> </w:t>
      </w:r>
      <w:r w:rsidRPr="00955A4C">
        <w:rPr>
          <w:sz w:val="20"/>
          <w:szCs w:val="20"/>
        </w:rPr>
        <w:t>igualdad</w:t>
      </w:r>
      <w:r w:rsidRPr="00955A4C">
        <w:rPr>
          <w:spacing w:val="-9"/>
          <w:sz w:val="20"/>
          <w:szCs w:val="20"/>
        </w:rPr>
        <w:t xml:space="preserve"> </w:t>
      </w:r>
      <w:r w:rsidRPr="00955A4C">
        <w:rPr>
          <w:sz w:val="20"/>
          <w:szCs w:val="20"/>
        </w:rPr>
        <w:t>de</w:t>
      </w:r>
      <w:r w:rsidRPr="00955A4C">
        <w:rPr>
          <w:spacing w:val="-10"/>
          <w:sz w:val="20"/>
          <w:szCs w:val="20"/>
        </w:rPr>
        <w:t xml:space="preserve"> </w:t>
      </w:r>
      <w:r w:rsidRPr="00955A4C">
        <w:rPr>
          <w:sz w:val="20"/>
          <w:szCs w:val="20"/>
        </w:rPr>
        <w:t>oportunidades</w:t>
      </w:r>
      <w:r w:rsidRPr="00955A4C">
        <w:rPr>
          <w:spacing w:val="-11"/>
          <w:sz w:val="20"/>
          <w:szCs w:val="20"/>
        </w:rPr>
        <w:t xml:space="preserve"> </w:t>
      </w:r>
      <w:r w:rsidRPr="00955A4C">
        <w:rPr>
          <w:sz w:val="20"/>
          <w:szCs w:val="20"/>
        </w:rPr>
        <w:t>entre</w:t>
      </w:r>
      <w:r w:rsidRPr="00955A4C">
        <w:rPr>
          <w:spacing w:val="-7"/>
          <w:sz w:val="20"/>
          <w:szCs w:val="20"/>
        </w:rPr>
        <w:t xml:space="preserve"> </w:t>
      </w:r>
      <w:r w:rsidRPr="00955A4C">
        <w:rPr>
          <w:sz w:val="20"/>
          <w:szCs w:val="20"/>
        </w:rPr>
        <w:t>mujeres</w:t>
      </w:r>
      <w:r w:rsidRPr="00955A4C">
        <w:rPr>
          <w:spacing w:val="-8"/>
          <w:sz w:val="20"/>
          <w:szCs w:val="20"/>
        </w:rPr>
        <w:t xml:space="preserve"> </w:t>
      </w:r>
      <w:r w:rsidRPr="00955A4C">
        <w:rPr>
          <w:sz w:val="20"/>
          <w:szCs w:val="20"/>
        </w:rPr>
        <w:t>y</w:t>
      </w:r>
      <w:r w:rsidRPr="00955A4C">
        <w:rPr>
          <w:spacing w:val="-13"/>
          <w:sz w:val="20"/>
          <w:szCs w:val="20"/>
        </w:rPr>
        <w:t xml:space="preserve"> </w:t>
      </w:r>
      <w:r w:rsidRPr="00955A4C">
        <w:rPr>
          <w:sz w:val="20"/>
          <w:szCs w:val="20"/>
        </w:rPr>
        <w:t>hombres,</w:t>
      </w:r>
      <w:r w:rsidRPr="00955A4C">
        <w:rPr>
          <w:spacing w:val="-10"/>
          <w:sz w:val="20"/>
          <w:szCs w:val="20"/>
        </w:rPr>
        <w:t xml:space="preserve"> </w:t>
      </w:r>
      <w:r w:rsidRPr="00955A4C">
        <w:rPr>
          <w:sz w:val="20"/>
          <w:szCs w:val="20"/>
        </w:rPr>
        <w:t>a</w:t>
      </w:r>
      <w:r w:rsidRPr="00955A4C">
        <w:rPr>
          <w:spacing w:val="-10"/>
          <w:sz w:val="20"/>
          <w:szCs w:val="20"/>
        </w:rPr>
        <w:t xml:space="preserve"> </w:t>
      </w:r>
      <w:r w:rsidRPr="00955A4C">
        <w:rPr>
          <w:sz w:val="20"/>
          <w:szCs w:val="20"/>
        </w:rPr>
        <w:t>través</w:t>
      </w:r>
      <w:r w:rsidRPr="00955A4C">
        <w:rPr>
          <w:spacing w:val="-11"/>
          <w:sz w:val="20"/>
          <w:szCs w:val="20"/>
        </w:rPr>
        <w:t xml:space="preserve"> </w:t>
      </w:r>
      <w:r w:rsidRPr="00955A4C">
        <w:rPr>
          <w:sz w:val="20"/>
          <w:szCs w:val="20"/>
        </w:rPr>
        <w:t>de</w:t>
      </w:r>
      <w:r w:rsidRPr="00955A4C">
        <w:rPr>
          <w:spacing w:val="-10"/>
          <w:sz w:val="20"/>
          <w:szCs w:val="20"/>
        </w:rPr>
        <w:t xml:space="preserve"> </w:t>
      </w:r>
      <w:r w:rsidRPr="00955A4C">
        <w:rPr>
          <w:sz w:val="20"/>
          <w:szCs w:val="20"/>
        </w:rPr>
        <w:t>la</w:t>
      </w:r>
      <w:r w:rsidRPr="00955A4C">
        <w:rPr>
          <w:spacing w:val="-10"/>
          <w:sz w:val="20"/>
          <w:szCs w:val="20"/>
        </w:rPr>
        <w:t xml:space="preserve"> </w:t>
      </w:r>
      <w:r w:rsidRPr="00955A4C">
        <w:rPr>
          <w:sz w:val="20"/>
          <w:szCs w:val="20"/>
        </w:rPr>
        <w:t>incorporación de</w:t>
      </w:r>
      <w:r w:rsidRPr="00955A4C">
        <w:rPr>
          <w:spacing w:val="-6"/>
          <w:sz w:val="20"/>
          <w:szCs w:val="20"/>
        </w:rPr>
        <w:t xml:space="preserve"> </w:t>
      </w:r>
      <w:r w:rsidRPr="00955A4C">
        <w:rPr>
          <w:sz w:val="20"/>
          <w:szCs w:val="20"/>
        </w:rPr>
        <w:t>la</w:t>
      </w:r>
      <w:r w:rsidRPr="00955A4C">
        <w:rPr>
          <w:spacing w:val="-7"/>
          <w:sz w:val="20"/>
          <w:szCs w:val="20"/>
        </w:rPr>
        <w:t xml:space="preserve"> </w:t>
      </w:r>
      <w:r w:rsidRPr="00955A4C">
        <w:rPr>
          <w:sz w:val="20"/>
          <w:szCs w:val="20"/>
        </w:rPr>
        <w:t>perspectiva</w:t>
      </w:r>
      <w:r w:rsidRPr="00955A4C">
        <w:rPr>
          <w:spacing w:val="-6"/>
          <w:sz w:val="20"/>
          <w:szCs w:val="20"/>
        </w:rPr>
        <w:t xml:space="preserve"> </w:t>
      </w:r>
      <w:r w:rsidRPr="00955A4C">
        <w:rPr>
          <w:sz w:val="20"/>
          <w:szCs w:val="20"/>
        </w:rPr>
        <w:t>de</w:t>
      </w:r>
      <w:r w:rsidRPr="00955A4C">
        <w:rPr>
          <w:spacing w:val="-4"/>
          <w:sz w:val="20"/>
          <w:szCs w:val="20"/>
        </w:rPr>
        <w:t xml:space="preserve"> </w:t>
      </w:r>
      <w:r w:rsidRPr="00955A4C">
        <w:rPr>
          <w:sz w:val="20"/>
          <w:szCs w:val="20"/>
        </w:rPr>
        <w:t>género</w:t>
      </w:r>
      <w:r w:rsidRPr="00955A4C">
        <w:rPr>
          <w:spacing w:val="-6"/>
          <w:sz w:val="20"/>
          <w:szCs w:val="20"/>
        </w:rPr>
        <w:t xml:space="preserve"> </w:t>
      </w:r>
      <w:r w:rsidRPr="00955A4C">
        <w:rPr>
          <w:sz w:val="20"/>
          <w:szCs w:val="20"/>
        </w:rPr>
        <w:t>en</w:t>
      </w:r>
      <w:r w:rsidRPr="00955A4C">
        <w:rPr>
          <w:spacing w:val="-5"/>
          <w:sz w:val="20"/>
          <w:szCs w:val="20"/>
        </w:rPr>
        <w:t xml:space="preserve"> </w:t>
      </w:r>
      <w:r w:rsidRPr="00955A4C">
        <w:rPr>
          <w:sz w:val="20"/>
          <w:szCs w:val="20"/>
        </w:rPr>
        <w:t>el</w:t>
      </w:r>
      <w:r w:rsidRPr="00955A4C">
        <w:rPr>
          <w:spacing w:val="-7"/>
          <w:sz w:val="20"/>
          <w:szCs w:val="20"/>
        </w:rPr>
        <w:t xml:space="preserve"> </w:t>
      </w:r>
      <w:r w:rsidRPr="00955A4C">
        <w:rPr>
          <w:sz w:val="20"/>
          <w:szCs w:val="20"/>
        </w:rPr>
        <w:t>diseño,</w:t>
      </w:r>
      <w:r w:rsidRPr="00955A4C">
        <w:rPr>
          <w:spacing w:val="-6"/>
          <w:sz w:val="20"/>
          <w:szCs w:val="20"/>
        </w:rPr>
        <w:t xml:space="preserve"> </w:t>
      </w:r>
      <w:r w:rsidRPr="00955A4C">
        <w:rPr>
          <w:sz w:val="20"/>
          <w:szCs w:val="20"/>
        </w:rPr>
        <w:t>elaboración</w:t>
      </w:r>
      <w:r w:rsidRPr="00955A4C">
        <w:rPr>
          <w:spacing w:val="-6"/>
          <w:sz w:val="20"/>
          <w:szCs w:val="20"/>
        </w:rPr>
        <w:t xml:space="preserve"> </w:t>
      </w:r>
      <w:r w:rsidRPr="00955A4C">
        <w:rPr>
          <w:sz w:val="20"/>
          <w:szCs w:val="20"/>
        </w:rPr>
        <w:t>y</w:t>
      </w:r>
      <w:r w:rsidRPr="00955A4C">
        <w:rPr>
          <w:spacing w:val="-8"/>
          <w:sz w:val="20"/>
          <w:szCs w:val="20"/>
        </w:rPr>
        <w:t xml:space="preserve"> </w:t>
      </w:r>
      <w:r w:rsidRPr="00955A4C">
        <w:rPr>
          <w:sz w:val="20"/>
          <w:szCs w:val="20"/>
        </w:rPr>
        <w:t>aplicación</w:t>
      </w:r>
      <w:r w:rsidRPr="00955A4C">
        <w:rPr>
          <w:spacing w:val="-8"/>
          <w:sz w:val="20"/>
          <w:szCs w:val="20"/>
        </w:rPr>
        <w:t xml:space="preserve"> </w:t>
      </w:r>
      <w:r w:rsidRPr="00955A4C">
        <w:rPr>
          <w:sz w:val="20"/>
          <w:szCs w:val="20"/>
        </w:rPr>
        <w:t>de</w:t>
      </w:r>
      <w:r w:rsidRPr="00955A4C">
        <w:rPr>
          <w:spacing w:val="-6"/>
          <w:sz w:val="20"/>
          <w:szCs w:val="20"/>
        </w:rPr>
        <w:t xml:space="preserve"> </w:t>
      </w:r>
      <w:r w:rsidRPr="00955A4C">
        <w:rPr>
          <w:sz w:val="20"/>
          <w:szCs w:val="20"/>
        </w:rPr>
        <w:t>los</w:t>
      </w:r>
      <w:r w:rsidRPr="00955A4C">
        <w:rPr>
          <w:spacing w:val="-7"/>
          <w:sz w:val="20"/>
          <w:szCs w:val="20"/>
        </w:rPr>
        <w:t xml:space="preserve"> </w:t>
      </w:r>
      <w:r w:rsidRPr="00955A4C">
        <w:rPr>
          <w:sz w:val="20"/>
          <w:szCs w:val="20"/>
        </w:rPr>
        <w:t>programas</w:t>
      </w:r>
      <w:r w:rsidRPr="00955A4C">
        <w:rPr>
          <w:spacing w:val="-7"/>
          <w:sz w:val="20"/>
          <w:szCs w:val="20"/>
        </w:rPr>
        <w:t xml:space="preserve"> </w:t>
      </w:r>
      <w:r w:rsidRPr="00955A4C">
        <w:rPr>
          <w:sz w:val="20"/>
          <w:szCs w:val="20"/>
        </w:rPr>
        <w:t>de</w:t>
      </w:r>
      <w:r w:rsidRPr="00955A4C">
        <w:rPr>
          <w:spacing w:val="-4"/>
          <w:sz w:val="20"/>
          <w:szCs w:val="20"/>
        </w:rPr>
        <w:t xml:space="preserve"> </w:t>
      </w:r>
      <w:r w:rsidRPr="00955A4C">
        <w:rPr>
          <w:sz w:val="20"/>
          <w:szCs w:val="20"/>
        </w:rPr>
        <w:t>la</w:t>
      </w:r>
      <w:r w:rsidRPr="00955A4C">
        <w:rPr>
          <w:spacing w:val="-4"/>
          <w:sz w:val="20"/>
          <w:szCs w:val="20"/>
        </w:rPr>
        <w:t xml:space="preserve"> </w:t>
      </w:r>
      <w:r w:rsidRPr="00955A4C">
        <w:rPr>
          <w:sz w:val="20"/>
          <w:szCs w:val="20"/>
        </w:rPr>
        <w:t>Administración</w:t>
      </w:r>
      <w:r w:rsidRPr="00955A4C">
        <w:rPr>
          <w:spacing w:val="-6"/>
          <w:sz w:val="20"/>
          <w:szCs w:val="20"/>
        </w:rPr>
        <w:t xml:space="preserve"> </w:t>
      </w:r>
      <w:r w:rsidRPr="00955A4C">
        <w:rPr>
          <w:sz w:val="20"/>
          <w:szCs w:val="20"/>
        </w:rPr>
        <w:t>Pública Estatal.</w:t>
      </w:r>
    </w:p>
    <w:p w14:paraId="3E57AF26" w14:textId="096AB70F" w:rsidR="0004086F" w:rsidRPr="007833EB" w:rsidRDefault="0004086F" w:rsidP="007833EB">
      <w:pPr>
        <w:pStyle w:val="Prrafodelista"/>
        <w:numPr>
          <w:ilvl w:val="0"/>
          <w:numId w:val="6"/>
        </w:numPr>
        <w:spacing w:before="240" w:line="360" w:lineRule="auto"/>
        <w:jc w:val="both"/>
        <w:rPr>
          <w:sz w:val="20"/>
          <w:szCs w:val="20"/>
        </w:rPr>
      </w:pPr>
      <w:r w:rsidRPr="00955A4C">
        <w:rPr>
          <w:sz w:val="20"/>
          <w:szCs w:val="20"/>
        </w:rPr>
        <w:t>Incluir fondos especiales para programas de infraestructura social y apoyo</w:t>
      </w:r>
      <w:r w:rsidRPr="00955A4C">
        <w:rPr>
          <w:spacing w:val="-31"/>
          <w:sz w:val="20"/>
          <w:szCs w:val="20"/>
        </w:rPr>
        <w:t xml:space="preserve"> </w:t>
      </w:r>
      <w:r w:rsidR="007833EB">
        <w:rPr>
          <w:sz w:val="20"/>
          <w:szCs w:val="20"/>
        </w:rPr>
        <w:t>social</w:t>
      </w:r>
      <w:r w:rsidRPr="007833EB">
        <w:rPr>
          <w:sz w:val="20"/>
          <w:szCs w:val="20"/>
        </w:rPr>
        <w:t>, y</w:t>
      </w:r>
    </w:p>
    <w:p w14:paraId="1CE059F6" w14:textId="44E711FB" w:rsidR="00525B2B" w:rsidRPr="00955A4C" w:rsidRDefault="0004086F" w:rsidP="00126CF7">
      <w:pPr>
        <w:pStyle w:val="Prrafodelista"/>
        <w:numPr>
          <w:ilvl w:val="0"/>
          <w:numId w:val="6"/>
        </w:numPr>
        <w:spacing w:before="240" w:line="360" w:lineRule="auto"/>
        <w:jc w:val="both"/>
        <w:rPr>
          <w:sz w:val="20"/>
          <w:szCs w:val="20"/>
        </w:rPr>
      </w:pPr>
      <w:r w:rsidRPr="00955A4C">
        <w:rPr>
          <w:sz w:val="20"/>
          <w:szCs w:val="20"/>
        </w:rPr>
        <w:lastRenderedPageBreak/>
        <w:t>Incluir recursos para la implementación, operación, mantenimiento y seguimiento del Sistema de Fiscalización Electrónico, así como para las áreas de Investigación y de Substanciación a cargo del Ó</w:t>
      </w:r>
      <w:r>
        <w:rPr>
          <w:sz w:val="20"/>
          <w:szCs w:val="20"/>
        </w:rPr>
        <w:t>rgano de Fiscalización Superior</w:t>
      </w:r>
      <w:r w:rsidR="00525B2B">
        <w:rPr>
          <w:sz w:val="20"/>
          <w:szCs w:val="20"/>
        </w:rPr>
        <w:t>.</w:t>
      </w:r>
    </w:p>
    <w:p w14:paraId="65E7F773" w14:textId="77777777" w:rsidR="00525B2B" w:rsidRPr="00955A4C" w:rsidRDefault="00525B2B" w:rsidP="00525B2B">
      <w:pPr>
        <w:spacing w:line="360" w:lineRule="auto"/>
        <w:rPr>
          <w:b/>
          <w:sz w:val="20"/>
          <w:szCs w:val="20"/>
        </w:rPr>
      </w:pPr>
    </w:p>
    <w:p w14:paraId="0F0CE2C1" w14:textId="1B12ED61" w:rsidR="00525B2B" w:rsidRPr="00021B2A" w:rsidRDefault="00525B2B" w:rsidP="00126CF7">
      <w:pPr>
        <w:pStyle w:val="Prrafodelista"/>
        <w:numPr>
          <w:ilvl w:val="0"/>
          <w:numId w:val="15"/>
        </w:numPr>
        <w:spacing w:line="360" w:lineRule="auto"/>
        <w:jc w:val="both"/>
        <w:rPr>
          <w:b/>
          <w:sz w:val="20"/>
          <w:szCs w:val="20"/>
        </w:rPr>
      </w:pPr>
      <w:r w:rsidRPr="00021B2A">
        <w:rPr>
          <w:b/>
          <w:sz w:val="20"/>
          <w:szCs w:val="20"/>
        </w:rPr>
        <w:t xml:space="preserve">PROYECTO DE </w:t>
      </w:r>
      <w:r w:rsidR="00372C9F">
        <w:rPr>
          <w:b/>
          <w:sz w:val="20"/>
          <w:szCs w:val="20"/>
        </w:rPr>
        <w:t xml:space="preserve">DECRETO DE </w:t>
      </w:r>
      <w:r w:rsidRPr="00021B2A">
        <w:rPr>
          <w:b/>
          <w:sz w:val="20"/>
          <w:szCs w:val="20"/>
        </w:rPr>
        <w:t>PRESUPUESTO DE EGRESOS DEL ESTADO DE TLAXCALA PARA EL EJERCICIO FISCAL 202</w:t>
      </w:r>
      <w:r w:rsidR="001761D9">
        <w:rPr>
          <w:b/>
          <w:sz w:val="20"/>
          <w:szCs w:val="20"/>
        </w:rPr>
        <w:t>3</w:t>
      </w:r>
    </w:p>
    <w:p w14:paraId="7C63AFC5" w14:textId="77777777" w:rsidR="00525B2B" w:rsidRPr="00955A4C" w:rsidRDefault="00525B2B" w:rsidP="00525B2B">
      <w:pPr>
        <w:spacing w:line="360" w:lineRule="auto"/>
        <w:jc w:val="both"/>
        <w:rPr>
          <w:b/>
          <w:sz w:val="20"/>
          <w:szCs w:val="20"/>
        </w:rPr>
      </w:pPr>
    </w:p>
    <w:p w14:paraId="106C2044" w14:textId="77777777" w:rsidR="00372C9F" w:rsidRPr="00955A4C" w:rsidRDefault="00372C9F" w:rsidP="00372C9F">
      <w:pPr>
        <w:spacing w:line="360" w:lineRule="auto"/>
        <w:jc w:val="both"/>
        <w:rPr>
          <w:sz w:val="20"/>
          <w:szCs w:val="20"/>
        </w:rPr>
      </w:pPr>
      <w:r w:rsidRPr="00955A4C">
        <w:rPr>
          <w:sz w:val="20"/>
          <w:szCs w:val="20"/>
        </w:rPr>
        <w:t xml:space="preserve">Se propone a esta Legislatura un </w:t>
      </w:r>
      <w:r w:rsidRPr="00096094">
        <w:rPr>
          <w:rFonts w:eastAsia="Calibri"/>
          <w:sz w:val="20"/>
          <w:szCs w:val="20"/>
        </w:rPr>
        <w:t>Proyecto de Decreto de Presupuesto de Egresos del Estado de Tlaxcala para el Ejercicio Fiscal 202</w:t>
      </w:r>
      <w:r>
        <w:rPr>
          <w:rFonts w:eastAsia="Calibri"/>
          <w:sz w:val="20"/>
          <w:szCs w:val="20"/>
        </w:rPr>
        <w:t>3</w:t>
      </w:r>
      <w:r w:rsidRPr="00955A4C">
        <w:rPr>
          <w:sz w:val="20"/>
          <w:szCs w:val="20"/>
        </w:rPr>
        <w:t xml:space="preserve">, por un monto de </w:t>
      </w:r>
      <w:r w:rsidRPr="00CF25E6">
        <w:rPr>
          <w:color w:val="000000" w:themeColor="text1"/>
          <w:sz w:val="20"/>
          <w:szCs w:val="20"/>
        </w:rPr>
        <w:t>$2</w:t>
      </w:r>
      <w:r>
        <w:rPr>
          <w:color w:val="000000" w:themeColor="text1"/>
          <w:sz w:val="20"/>
          <w:szCs w:val="20"/>
        </w:rPr>
        <w:t>5</w:t>
      </w:r>
      <w:r w:rsidRPr="00CF25E6">
        <w:rPr>
          <w:color w:val="000000" w:themeColor="text1"/>
          <w:sz w:val="20"/>
          <w:szCs w:val="20"/>
        </w:rPr>
        <w:t>,</w:t>
      </w:r>
      <w:r>
        <w:rPr>
          <w:color w:val="000000" w:themeColor="text1"/>
          <w:sz w:val="20"/>
          <w:szCs w:val="20"/>
        </w:rPr>
        <w:t>571,563,376.00</w:t>
      </w:r>
      <w:r w:rsidRPr="00CF25E6">
        <w:rPr>
          <w:color w:val="000000" w:themeColor="text1"/>
          <w:sz w:val="20"/>
          <w:szCs w:val="20"/>
        </w:rPr>
        <w:t xml:space="preserve">, </w:t>
      </w:r>
      <w:r w:rsidRPr="00955A4C">
        <w:rPr>
          <w:sz w:val="20"/>
          <w:szCs w:val="20"/>
        </w:rPr>
        <w:t>que serán destinados para atender las funciones de los Poderes Legislativo, Judicial y Ejecutivo, así como para los Organismos Públicos Descentralizados, Entes Autónomos y Municipios, con el propósito de que se cumpla con las demandas de la población y garantice la viabilidad, equilibrio y sustentabilidad financiera de la hacienda pública, conforme lo siguiente:</w:t>
      </w:r>
    </w:p>
    <w:p w14:paraId="1F1E8741" w14:textId="77777777" w:rsidR="00372C9F" w:rsidRPr="00955A4C" w:rsidRDefault="00372C9F" w:rsidP="00372C9F">
      <w:pPr>
        <w:spacing w:line="360" w:lineRule="auto"/>
        <w:jc w:val="both"/>
        <w:rPr>
          <w:sz w:val="20"/>
          <w:szCs w:val="20"/>
        </w:rPr>
      </w:pPr>
    </w:p>
    <w:p w14:paraId="71378514" w14:textId="77777777" w:rsidR="00372C9F" w:rsidRPr="00955A4C" w:rsidRDefault="00372C9F" w:rsidP="00372C9F">
      <w:pPr>
        <w:pStyle w:val="Prrafodelista"/>
        <w:numPr>
          <w:ilvl w:val="0"/>
          <w:numId w:val="7"/>
        </w:numPr>
        <w:spacing w:line="360" w:lineRule="auto"/>
        <w:jc w:val="both"/>
        <w:rPr>
          <w:sz w:val="20"/>
          <w:szCs w:val="20"/>
        </w:rPr>
      </w:pPr>
      <w:r w:rsidRPr="00955A4C">
        <w:rPr>
          <w:sz w:val="20"/>
          <w:szCs w:val="20"/>
        </w:rPr>
        <w:t>El presupuesto global estatal, integrado por participaciones federales</w:t>
      </w:r>
      <w:r>
        <w:rPr>
          <w:sz w:val="20"/>
          <w:szCs w:val="20"/>
        </w:rPr>
        <w:t>, incentivos derivados de la colaboración fiscal</w:t>
      </w:r>
      <w:r w:rsidRPr="00955A4C">
        <w:rPr>
          <w:sz w:val="20"/>
          <w:szCs w:val="20"/>
        </w:rPr>
        <w:t xml:space="preserve"> e ingresos propios, es</w:t>
      </w:r>
      <w:r>
        <w:rPr>
          <w:sz w:val="20"/>
          <w:szCs w:val="20"/>
        </w:rPr>
        <w:t xml:space="preserve">tima un monto </w:t>
      </w:r>
      <w:r w:rsidRPr="00955A4C">
        <w:rPr>
          <w:sz w:val="20"/>
          <w:szCs w:val="20"/>
        </w:rPr>
        <w:t xml:space="preserve">de </w:t>
      </w:r>
      <w:r>
        <w:rPr>
          <w:sz w:val="20"/>
          <w:szCs w:val="20"/>
        </w:rPr>
        <w:t>$12,776,823,404.00</w:t>
      </w:r>
      <w:r w:rsidRPr="00D05982">
        <w:rPr>
          <w:color w:val="000000" w:themeColor="text1"/>
          <w:sz w:val="20"/>
          <w:szCs w:val="20"/>
        </w:rPr>
        <w:t xml:space="preserve">; </w:t>
      </w:r>
    </w:p>
    <w:p w14:paraId="79F94081" w14:textId="77777777" w:rsidR="00372C9F" w:rsidRPr="00955A4C" w:rsidRDefault="00372C9F" w:rsidP="00372C9F">
      <w:pPr>
        <w:spacing w:line="360" w:lineRule="auto"/>
        <w:jc w:val="both"/>
        <w:rPr>
          <w:sz w:val="20"/>
          <w:szCs w:val="20"/>
        </w:rPr>
      </w:pPr>
    </w:p>
    <w:p w14:paraId="6411822D" w14:textId="6A2C98F6" w:rsidR="001761D9" w:rsidRPr="00955A4C" w:rsidRDefault="00372C9F" w:rsidP="00372C9F">
      <w:pPr>
        <w:pStyle w:val="Prrafodelista"/>
        <w:numPr>
          <w:ilvl w:val="0"/>
          <w:numId w:val="7"/>
        </w:numPr>
        <w:spacing w:line="360" w:lineRule="auto"/>
        <w:jc w:val="both"/>
        <w:rPr>
          <w:sz w:val="20"/>
          <w:szCs w:val="20"/>
        </w:rPr>
      </w:pPr>
      <w:r w:rsidRPr="00955A4C">
        <w:rPr>
          <w:sz w:val="20"/>
          <w:szCs w:val="20"/>
        </w:rPr>
        <w:t xml:space="preserve">Las Aportaciones Federales, del Ramo 33, previstas en el </w:t>
      </w:r>
      <w:r>
        <w:rPr>
          <w:sz w:val="20"/>
          <w:szCs w:val="20"/>
        </w:rPr>
        <w:t xml:space="preserve">Proyecto de Decreto de </w:t>
      </w:r>
      <w:r w:rsidRPr="00955A4C">
        <w:rPr>
          <w:sz w:val="20"/>
          <w:szCs w:val="20"/>
        </w:rPr>
        <w:t>Presupuesto de Egresos del</w:t>
      </w:r>
      <w:r>
        <w:rPr>
          <w:sz w:val="20"/>
          <w:szCs w:val="20"/>
        </w:rPr>
        <w:t xml:space="preserve"> Estado de Tlaxcal</w:t>
      </w:r>
      <w:r w:rsidRPr="00955A4C">
        <w:rPr>
          <w:sz w:val="20"/>
          <w:szCs w:val="20"/>
        </w:rPr>
        <w:t>a</w:t>
      </w:r>
      <w:r>
        <w:rPr>
          <w:sz w:val="20"/>
          <w:szCs w:val="20"/>
        </w:rPr>
        <w:t xml:space="preserve"> para el Ejercicio Fiscal 2023,</w:t>
      </w:r>
      <w:r w:rsidRPr="00955A4C">
        <w:rPr>
          <w:sz w:val="20"/>
          <w:szCs w:val="20"/>
        </w:rPr>
        <w:t xml:space="preserve"> </w:t>
      </w:r>
      <w:r>
        <w:rPr>
          <w:sz w:val="20"/>
          <w:szCs w:val="20"/>
        </w:rPr>
        <w:t>prevén</w:t>
      </w:r>
      <w:r w:rsidRPr="00955A4C">
        <w:rPr>
          <w:sz w:val="20"/>
          <w:szCs w:val="20"/>
        </w:rPr>
        <w:t xml:space="preserve"> un monto de</w:t>
      </w:r>
      <w:r>
        <w:rPr>
          <w:sz w:val="20"/>
          <w:szCs w:val="20"/>
        </w:rPr>
        <w:t xml:space="preserve"> </w:t>
      </w:r>
      <w:r w:rsidRPr="00D05982">
        <w:rPr>
          <w:color w:val="000000" w:themeColor="text1"/>
          <w:sz w:val="20"/>
          <w:szCs w:val="20"/>
        </w:rPr>
        <w:t>$</w:t>
      </w:r>
      <w:r>
        <w:rPr>
          <w:color w:val="000000" w:themeColor="text1"/>
          <w:sz w:val="20"/>
          <w:szCs w:val="20"/>
        </w:rPr>
        <w:t>12,794,739,972.00</w:t>
      </w:r>
      <w:r w:rsidRPr="00955A4C">
        <w:rPr>
          <w:sz w:val="20"/>
          <w:szCs w:val="20"/>
        </w:rPr>
        <w:t xml:space="preserve">, ajustándose en los montos estimados en el Presupuesto de Egresos de la Federación para el </w:t>
      </w:r>
      <w:r>
        <w:rPr>
          <w:sz w:val="20"/>
          <w:szCs w:val="20"/>
        </w:rPr>
        <w:t>E</w:t>
      </w:r>
      <w:r w:rsidRPr="00955A4C">
        <w:rPr>
          <w:sz w:val="20"/>
          <w:szCs w:val="20"/>
        </w:rPr>
        <w:t xml:space="preserve">jercicio </w:t>
      </w:r>
      <w:r>
        <w:rPr>
          <w:sz w:val="20"/>
          <w:szCs w:val="20"/>
        </w:rPr>
        <w:t>F</w:t>
      </w:r>
      <w:r w:rsidRPr="00955A4C">
        <w:rPr>
          <w:sz w:val="20"/>
          <w:szCs w:val="20"/>
        </w:rPr>
        <w:t>iscal 202</w:t>
      </w:r>
      <w:r>
        <w:rPr>
          <w:sz w:val="20"/>
          <w:szCs w:val="20"/>
        </w:rPr>
        <w:t>3</w:t>
      </w:r>
      <w:r w:rsidRPr="00955A4C">
        <w:rPr>
          <w:sz w:val="20"/>
          <w:szCs w:val="20"/>
        </w:rPr>
        <w:t>, destinados fundamentalmente a programas de</w:t>
      </w:r>
      <w:r w:rsidRPr="00955A4C">
        <w:rPr>
          <w:color w:val="FF0000"/>
          <w:sz w:val="20"/>
          <w:szCs w:val="20"/>
        </w:rPr>
        <w:t xml:space="preserve"> </w:t>
      </w:r>
      <w:r w:rsidRPr="00955A4C">
        <w:rPr>
          <w:sz w:val="20"/>
          <w:szCs w:val="20"/>
        </w:rPr>
        <w:t xml:space="preserve">educación, salud, seguridad, infraestructura social y </w:t>
      </w:r>
      <w:r>
        <w:rPr>
          <w:sz w:val="20"/>
          <w:szCs w:val="20"/>
        </w:rPr>
        <w:t>f</w:t>
      </w:r>
      <w:r w:rsidRPr="00955A4C">
        <w:rPr>
          <w:sz w:val="20"/>
          <w:szCs w:val="20"/>
        </w:rPr>
        <w:t xml:space="preserve">ondos </w:t>
      </w:r>
      <w:r>
        <w:rPr>
          <w:sz w:val="20"/>
          <w:szCs w:val="20"/>
        </w:rPr>
        <w:t>m</w:t>
      </w:r>
      <w:r w:rsidRPr="00955A4C">
        <w:rPr>
          <w:sz w:val="20"/>
          <w:szCs w:val="20"/>
        </w:rPr>
        <w:t>unicipales</w:t>
      </w:r>
      <w:r w:rsidR="001761D9" w:rsidRPr="00955A4C">
        <w:rPr>
          <w:sz w:val="20"/>
          <w:szCs w:val="20"/>
        </w:rPr>
        <w:t>.</w:t>
      </w:r>
    </w:p>
    <w:p w14:paraId="0EBBDE1B" w14:textId="77777777" w:rsidR="001761D9" w:rsidRPr="00955A4C" w:rsidRDefault="001761D9" w:rsidP="001761D9">
      <w:pPr>
        <w:spacing w:line="360" w:lineRule="auto"/>
        <w:jc w:val="both"/>
        <w:rPr>
          <w:sz w:val="20"/>
          <w:szCs w:val="20"/>
        </w:rPr>
      </w:pPr>
    </w:p>
    <w:p w14:paraId="5844588C" w14:textId="77777777" w:rsidR="001761D9" w:rsidRPr="00955A4C" w:rsidRDefault="001761D9" w:rsidP="001761D9">
      <w:pPr>
        <w:spacing w:line="360" w:lineRule="auto"/>
        <w:jc w:val="center"/>
        <w:rPr>
          <w:b/>
          <w:sz w:val="20"/>
          <w:szCs w:val="20"/>
        </w:rPr>
      </w:pPr>
      <w:r w:rsidRPr="00955A4C">
        <w:rPr>
          <w:b/>
          <w:sz w:val="20"/>
          <w:szCs w:val="20"/>
        </w:rPr>
        <w:t>PRESUPUESTO POR FUENTE DE FINANCIAMIENTO</w:t>
      </w:r>
    </w:p>
    <w:p w14:paraId="5105C92D" w14:textId="77777777" w:rsidR="001761D9" w:rsidRPr="00955A4C" w:rsidRDefault="001761D9" w:rsidP="001761D9">
      <w:pPr>
        <w:spacing w:line="360" w:lineRule="auto"/>
        <w:jc w:val="both"/>
        <w:rPr>
          <w:sz w:val="20"/>
          <w:szCs w:val="20"/>
        </w:rPr>
      </w:pPr>
    </w:p>
    <w:p w14:paraId="6603A6C7" w14:textId="77777777" w:rsidR="001761D9" w:rsidRPr="00D07D8F" w:rsidRDefault="001761D9" w:rsidP="001761D9">
      <w:pPr>
        <w:spacing w:line="360" w:lineRule="auto"/>
        <w:jc w:val="both"/>
        <w:rPr>
          <w:sz w:val="20"/>
          <w:szCs w:val="20"/>
        </w:rPr>
      </w:pPr>
      <w:r w:rsidRPr="00D07D8F">
        <w:rPr>
          <w:sz w:val="20"/>
          <w:szCs w:val="20"/>
        </w:rPr>
        <w:t xml:space="preserve">La clasificación por fuentes de financiamiento consiste en presentar los gastos públicos según los agregados genéricos de los recursos empleados para su financiamiento. </w:t>
      </w:r>
    </w:p>
    <w:p w14:paraId="3521FB8E" w14:textId="77777777" w:rsidR="001761D9" w:rsidRPr="00D07D8F" w:rsidRDefault="001761D9" w:rsidP="001761D9">
      <w:pPr>
        <w:spacing w:line="360" w:lineRule="auto"/>
        <w:jc w:val="both"/>
        <w:rPr>
          <w:sz w:val="20"/>
          <w:szCs w:val="20"/>
        </w:rPr>
      </w:pPr>
    </w:p>
    <w:p w14:paraId="73BC5990" w14:textId="77777777" w:rsidR="001761D9" w:rsidRDefault="001761D9" w:rsidP="001761D9">
      <w:pPr>
        <w:spacing w:line="360" w:lineRule="auto"/>
        <w:jc w:val="both"/>
        <w:rPr>
          <w:sz w:val="20"/>
          <w:szCs w:val="20"/>
        </w:rPr>
      </w:pPr>
      <w:r w:rsidRPr="00D07D8F">
        <w:rPr>
          <w:sz w:val="20"/>
          <w:szCs w:val="20"/>
        </w:rPr>
        <w:t>Esta clasificación permite identificar las fuentes u orígenes de los ingresos que financian los egresos y precisar la orientación específica de cada fuente a efecto de controlar su aplicación</w:t>
      </w:r>
      <w:r>
        <w:rPr>
          <w:sz w:val="20"/>
          <w:szCs w:val="20"/>
        </w:rPr>
        <w:t xml:space="preserve">. </w:t>
      </w:r>
    </w:p>
    <w:p w14:paraId="1BC4E77F" w14:textId="77777777" w:rsidR="001761D9" w:rsidRDefault="001761D9" w:rsidP="001761D9">
      <w:pPr>
        <w:spacing w:line="360" w:lineRule="auto"/>
        <w:jc w:val="both"/>
        <w:rPr>
          <w:sz w:val="20"/>
          <w:szCs w:val="20"/>
        </w:rPr>
      </w:pPr>
    </w:p>
    <w:p w14:paraId="28B5BB9F" w14:textId="6BF1A21D" w:rsidR="00525B2B" w:rsidRDefault="001761D9" w:rsidP="001761D9">
      <w:pPr>
        <w:spacing w:line="360" w:lineRule="auto"/>
        <w:jc w:val="both"/>
        <w:rPr>
          <w:sz w:val="20"/>
          <w:szCs w:val="20"/>
        </w:rPr>
      </w:pPr>
      <w:r>
        <w:rPr>
          <w:sz w:val="20"/>
          <w:szCs w:val="20"/>
        </w:rPr>
        <w:lastRenderedPageBreak/>
        <w:t>A continuación, se presenta la información correspondiente a esta Clasificación que prevé el Estado para el Ejercicio Fiscal 2023</w:t>
      </w:r>
      <w:r w:rsidR="00525B2B">
        <w:rPr>
          <w:sz w:val="20"/>
          <w:szCs w:val="20"/>
        </w:rPr>
        <w:t>:</w:t>
      </w:r>
    </w:p>
    <w:p w14:paraId="5EEB9D46" w14:textId="77777777" w:rsidR="00525B2B" w:rsidRPr="00955A4C" w:rsidRDefault="00525B2B" w:rsidP="00525B2B">
      <w:pPr>
        <w:spacing w:line="360" w:lineRule="auto"/>
        <w:jc w:val="both"/>
        <w:rPr>
          <w:sz w:val="20"/>
          <w:szCs w:val="20"/>
        </w:rPr>
      </w:pPr>
    </w:p>
    <w:tbl>
      <w:tblPr>
        <w:tblW w:w="4248"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left w:w="70" w:type="dxa"/>
          <w:right w:w="70" w:type="dxa"/>
        </w:tblCellMar>
        <w:tblLook w:val="04A0" w:firstRow="1" w:lastRow="0" w:firstColumn="1" w:lastColumn="0" w:noHBand="0" w:noVBand="1"/>
      </w:tblPr>
      <w:tblGrid>
        <w:gridCol w:w="3120"/>
        <w:gridCol w:w="1640"/>
      </w:tblGrid>
      <w:tr w:rsidR="001761D9" w:rsidRPr="007B09E5" w14:paraId="4B41BF4E" w14:textId="77777777" w:rsidTr="00BF7D12">
        <w:trPr>
          <w:trHeight w:val="300"/>
          <w:tblHeader/>
          <w:jc w:val="center"/>
        </w:trPr>
        <w:tc>
          <w:tcPr>
            <w:tcW w:w="3120" w:type="dxa"/>
            <w:shd w:val="clear" w:color="auto" w:fill="D9D9D9" w:themeFill="background1" w:themeFillShade="D9"/>
            <w:noWrap/>
            <w:vAlign w:val="center"/>
            <w:hideMark/>
          </w:tcPr>
          <w:p w14:paraId="52557B28" w14:textId="77777777" w:rsidR="001761D9" w:rsidRPr="007B09E5" w:rsidRDefault="001761D9" w:rsidP="00BF7D12">
            <w:pPr>
              <w:spacing w:line="360" w:lineRule="auto"/>
              <w:jc w:val="center"/>
              <w:rPr>
                <w:b/>
                <w:bCs/>
                <w:color w:val="000000"/>
                <w:sz w:val="20"/>
                <w:szCs w:val="20"/>
                <w:lang w:val="es-MX" w:eastAsia="es-MX"/>
              </w:rPr>
            </w:pPr>
            <w:r w:rsidRPr="007B09E5">
              <w:rPr>
                <w:b/>
                <w:bCs/>
                <w:color w:val="000000"/>
                <w:sz w:val="20"/>
                <w:szCs w:val="20"/>
                <w:lang w:val="es-MX" w:eastAsia="es-MX"/>
              </w:rPr>
              <w:t>FUENTE DE FINANCIAMIENTO</w:t>
            </w:r>
          </w:p>
        </w:tc>
        <w:tc>
          <w:tcPr>
            <w:tcW w:w="1128" w:type="dxa"/>
            <w:shd w:val="clear" w:color="auto" w:fill="D9D9D9" w:themeFill="background1" w:themeFillShade="D9"/>
            <w:noWrap/>
            <w:vAlign w:val="center"/>
            <w:hideMark/>
          </w:tcPr>
          <w:p w14:paraId="346280A1" w14:textId="77777777" w:rsidR="001761D9" w:rsidRDefault="001761D9" w:rsidP="00BF7D12">
            <w:pPr>
              <w:spacing w:line="360" w:lineRule="auto"/>
              <w:jc w:val="center"/>
              <w:rPr>
                <w:b/>
                <w:bCs/>
                <w:color w:val="000000"/>
                <w:sz w:val="20"/>
                <w:szCs w:val="20"/>
                <w:lang w:val="es-MX" w:eastAsia="es-MX"/>
              </w:rPr>
            </w:pPr>
            <w:r w:rsidRPr="007B09E5">
              <w:rPr>
                <w:b/>
                <w:bCs/>
                <w:color w:val="000000"/>
                <w:sz w:val="20"/>
                <w:szCs w:val="20"/>
                <w:lang w:val="es-MX" w:eastAsia="es-MX"/>
              </w:rPr>
              <w:t>MONTO</w:t>
            </w:r>
            <w:r>
              <w:rPr>
                <w:b/>
                <w:bCs/>
                <w:color w:val="000000"/>
                <w:sz w:val="20"/>
                <w:szCs w:val="20"/>
                <w:lang w:val="es-MX" w:eastAsia="es-MX"/>
              </w:rPr>
              <w:t xml:space="preserve"> </w:t>
            </w:r>
          </w:p>
          <w:p w14:paraId="41ED64D3" w14:textId="77777777" w:rsidR="001761D9" w:rsidRPr="007B09E5" w:rsidRDefault="001761D9" w:rsidP="00BF7D12">
            <w:pPr>
              <w:spacing w:line="360" w:lineRule="auto"/>
              <w:jc w:val="center"/>
              <w:rPr>
                <w:b/>
                <w:bCs/>
                <w:color w:val="000000"/>
                <w:sz w:val="20"/>
                <w:szCs w:val="20"/>
                <w:lang w:val="es-MX" w:eastAsia="es-MX"/>
              </w:rPr>
            </w:pPr>
            <w:r>
              <w:rPr>
                <w:b/>
                <w:bCs/>
                <w:color w:val="000000"/>
                <w:sz w:val="20"/>
                <w:szCs w:val="20"/>
                <w:lang w:val="es-MX" w:eastAsia="es-MX"/>
              </w:rPr>
              <w:t>($)</w:t>
            </w:r>
          </w:p>
        </w:tc>
      </w:tr>
      <w:tr w:rsidR="001761D9" w:rsidRPr="007B09E5" w14:paraId="659B865F" w14:textId="77777777" w:rsidTr="00BF7D12">
        <w:trPr>
          <w:trHeight w:val="300"/>
          <w:jc w:val="center"/>
        </w:trPr>
        <w:tc>
          <w:tcPr>
            <w:tcW w:w="3120" w:type="dxa"/>
            <w:shd w:val="clear" w:color="auto" w:fill="auto"/>
            <w:noWrap/>
            <w:vAlign w:val="bottom"/>
            <w:hideMark/>
          </w:tcPr>
          <w:p w14:paraId="3454E635" w14:textId="77777777" w:rsidR="001761D9" w:rsidRPr="007B09E5" w:rsidRDefault="001761D9" w:rsidP="00BF7D12">
            <w:pPr>
              <w:spacing w:line="360" w:lineRule="auto"/>
              <w:rPr>
                <w:color w:val="000000"/>
                <w:sz w:val="20"/>
                <w:szCs w:val="20"/>
                <w:lang w:val="es-MX" w:eastAsia="es-MX"/>
              </w:rPr>
            </w:pPr>
            <w:r w:rsidRPr="007B09E5">
              <w:rPr>
                <w:color w:val="000000"/>
                <w:sz w:val="20"/>
                <w:szCs w:val="20"/>
                <w:lang w:val="es-MX" w:eastAsia="es-MX"/>
              </w:rPr>
              <w:t>11. Recursos Fiscales</w:t>
            </w:r>
          </w:p>
        </w:tc>
        <w:tc>
          <w:tcPr>
            <w:tcW w:w="1128" w:type="dxa"/>
            <w:shd w:val="clear" w:color="auto" w:fill="auto"/>
            <w:noWrap/>
            <w:vAlign w:val="center"/>
            <w:hideMark/>
          </w:tcPr>
          <w:p w14:paraId="3810550C" w14:textId="77777777" w:rsidR="001761D9" w:rsidRPr="007B09E5" w:rsidRDefault="001761D9" w:rsidP="00BF7D12">
            <w:pPr>
              <w:spacing w:line="360" w:lineRule="auto"/>
              <w:jc w:val="right"/>
              <w:rPr>
                <w:color w:val="000000"/>
                <w:sz w:val="20"/>
                <w:szCs w:val="20"/>
                <w:lang w:val="es-MX" w:eastAsia="es-MX"/>
              </w:rPr>
            </w:pPr>
            <w:r w:rsidRPr="00032345">
              <w:rPr>
                <w:color w:val="000000"/>
                <w:sz w:val="20"/>
                <w:szCs w:val="20"/>
                <w:lang w:eastAsia="es-MX"/>
              </w:rPr>
              <w:t>1,435,671,770.00</w:t>
            </w:r>
          </w:p>
        </w:tc>
      </w:tr>
      <w:tr w:rsidR="001761D9" w:rsidRPr="007B09E5" w14:paraId="0298455F" w14:textId="77777777" w:rsidTr="00BF7D12">
        <w:trPr>
          <w:trHeight w:val="300"/>
          <w:jc w:val="center"/>
        </w:trPr>
        <w:tc>
          <w:tcPr>
            <w:tcW w:w="3120" w:type="dxa"/>
            <w:shd w:val="clear" w:color="auto" w:fill="auto"/>
            <w:noWrap/>
            <w:vAlign w:val="bottom"/>
            <w:hideMark/>
          </w:tcPr>
          <w:p w14:paraId="1A7EE2A0" w14:textId="77777777" w:rsidR="001761D9" w:rsidRPr="007B09E5" w:rsidRDefault="001761D9" w:rsidP="00BF7D12">
            <w:pPr>
              <w:spacing w:line="360" w:lineRule="auto"/>
              <w:rPr>
                <w:color w:val="000000"/>
                <w:sz w:val="20"/>
                <w:szCs w:val="20"/>
                <w:lang w:val="es-MX" w:eastAsia="es-MX"/>
              </w:rPr>
            </w:pPr>
            <w:r w:rsidRPr="007B09E5">
              <w:rPr>
                <w:color w:val="000000"/>
                <w:sz w:val="20"/>
                <w:szCs w:val="20"/>
                <w:lang w:val="es-MX" w:eastAsia="es-MX"/>
              </w:rPr>
              <w:t>12. Financiamientos Internos</w:t>
            </w:r>
          </w:p>
        </w:tc>
        <w:tc>
          <w:tcPr>
            <w:tcW w:w="1128" w:type="dxa"/>
            <w:shd w:val="clear" w:color="auto" w:fill="auto"/>
            <w:noWrap/>
            <w:vAlign w:val="center"/>
            <w:hideMark/>
          </w:tcPr>
          <w:p w14:paraId="10C8CE1F" w14:textId="77777777" w:rsidR="001761D9" w:rsidRPr="007B09E5" w:rsidRDefault="001761D9" w:rsidP="00BF7D12">
            <w:pPr>
              <w:spacing w:line="360" w:lineRule="auto"/>
              <w:jc w:val="right"/>
              <w:rPr>
                <w:color w:val="000000"/>
                <w:sz w:val="20"/>
                <w:szCs w:val="20"/>
                <w:lang w:val="es-MX" w:eastAsia="es-MX"/>
              </w:rPr>
            </w:pPr>
            <w:r w:rsidRPr="007B09E5">
              <w:rPr>
                <w:color w:val="000000"/>
                <w:sz w:val="20"/>
                <w:szCs w:val="20"/>
                <w:lang w:val="es-MX" w:eastAsia="es-MX"/>
              </w:rPr>
              <w:t>0.00 </w:t>
            </w:r>
          </w:p>
        </w:tc>
      </w:tr>
      <w:tr w:rsidR="001761D9" w:rsidRPr="007B09E5" w14:paraId="0D778189" w14:textId="77777777" w:rsidTr="00BF7D12">
        <w:trPr>
          <w:trHeight w:val="300"/>
          <w:jc w:val="center"/>
        </w:trPr>
        <w:tc>
          <w:tcPr>
            <w:tcW w:w="3120" w:type="dxa"/>
            <w:shd w:val="clear" w:color="auto" w:fill="auto"/>
            <w:noWrap/>
            <w:vAlign w:val="bottom"/>
            <w:hideMark/>
          </w:tcPr>
          <w:p w14:paraId="26A9F347" w14:textId="77777777" w:rsidR="001761D9" w:rsidRPr="007B09E5" w:rsidRDefault="001761D9" w:rsidP="00BF7D12">
            <w:pPr>
              <w:spacing w:line="360" w:lineRule="auto"/>
              <w:rPr>
                <w:color w:val="000000"/>
                <w:sz w:val="20"/>
                <w:szCs w:val="20"/>
                <w:lang w:val="es-MX" w:eastAsia="es-MX"/>
              </w:rPr>
            </w:pPr>
            <w:r w:rsidRPr="007B09E5">
              <w:rPr>
                <w:color w:val="000000"/>
                <w:sz w:val="20"/>
                <w:szCs w:val="20"/>
                <w:lang w:val="es-MX" w:eastAsia="es-MX"/>
              </w:rPr>
              <w:t>13. Financiamientos Externos</w:t>
            </w:r>
          </w:p>
        </w:tc>
        <w:tc>
          <w:tcPr>
            <w:tcW w:w="1128" w:type="dxa"/>
            <w:shd w:val="clear" w:color="auto" w:fill="auto"/>
            <w:noWrap/>
            <w:vAlign w:val="center"/>
            <w:hideMark/>
          </w:tcPr>
          <w:p w14:paraId="60E6B340" w14:textId="77777777" w:rsidR="001761D9" w:rsidRPr="007B09E5" w:rsidRDefault="001761D9" w:rsidP="00BF7D12">
            <w:pPr>
              <w:spacing w:line="360" w:lineRule="auto"/>
              <w:jc w:val="right"/>
              <w:rPr>
                <w:color w:val="000000"/>
                <w:sz w:val="20"/>
                <w:szCs w:val="20"/>
                <w:lang w:val="es-MX" w:eastAsia="es-MX"/>
              </w:rPr>
            </w:pPr>
            <w:r w:rsidRPr="007B09E5">
              <w:rPr>
                <w:color w:val="000000"/>
                <w:sz w:val="20"/>
                <w:szCs w:val="20"/>
                <w:lang w:val="es-MX" w:eastAsia="es-MX"/>
              </w:rPr>
              <w:t>0.00 </w:t>
            </w:r>
          </w:p>
        </w:tc>
      </w:tr>
      <w:tr w:rsidR="001761D9" w:rsidRPr="007B09E5" w14:paraId="1DD9059A" w14:textId="77777777" w:rsidTr="00BF7D12">
        <w:trPr>
          <w:trHeight w:val="300"/>
          <w:jc w:val="center"/>
        </w:trPr>
        <w:tc>
          <w:tcPr>
            <w:tcW w:w="3120" w:type="dxa"/>
            <w:shd w:val="clear" w:color="auto" w:fill="auto"/>
            <w:noWrap/>
            <w:vAlign w:val="bottom"/>
            <w:hideMark/>
          </w:tcPr>
          <w:p w14:paraId="3CB10BBC" w14:textId="77777777" w:rsidR="001761D9" w:rsidRPr="007B09E5" w:rsidRDefault="001761D9" w:rsidP="00BF7D12">
            <w:pPr>
              <w:spacing w:line="360" w:lineRule="auto"/>
              <w:rPr>
                <w:color w:val="000000"/>
                <w:sz w:val="20"/>
                <w:szCs w:val="20"/>
                <w:lang w:val="es-MX" w:eastAsia="es-MX"/>
              </w:rPr>
            </w:pPr>
            <w:r w:rsidRPr="007B09E5">
              <w:rPr>
                <w:color w:val="000000"/>
                <w:sz w:val="20"/>
                <w:szCs w:val="20"/>
                <w:lang w:val="es-MX" w:eastAsia="es-MX"/>
              </w:rPr>
              <w:t>14. Ingresos Propios</w:t>
            </w:r>
          </w:p>
        </w:tc>
        <w:tc>
          <w:tcPr>
            <w:tcW w:w="1128" w:type="dxa"/>
            <w:shd w:val="clear" w:color="auto" w:fill="auto"/>
            <w:noWrap/>
            <w:vAlign w:val="center"/>
            <w:hideMark/>
          </w:tcPr>
          <w:p w14:paraId="6F1BF027" w14:textId="77777777" w:rsidR="001761D9" w:rsidRPr="007B09E5" w:rsidRDefault="001761D9" w:rsidP="00BF7D12">
            <w:pPr>
              <w:spacing w:line="360" w:lineRule="auto"/>
              <w:jc w:val="right"/>
              <w:rPr>
                <w:color w:val="000000"/>
                <w:sz w:val="20"/>
                <w:szCs w:val="20"/>
                <w:lang w:val="es-MX" w:eastAsia="es-MX"/>
              </w:rPr>
            </w:pPr>
            <w:r w:rsidRPr="00032345">
              <w:rPr>
                <w:color w:val="000000"/>
                <w:sz w:val="20"/>
                <w:szCs w:val="20"/>
                <w:lang w:val="es-MX" w:eastAsia="es-MX"/>
              </w:rPr>
              <w:t>153,692,885.00</w:t>
            </w:r>
          </w:p>
        </w:tc>
      </w:tr>
      <w:tr w:rsidR="001761D9" w:rsidRPr="007B09E5" w14:paraId="36C6D9BC" w14:textId="77777777" w:rsidTr="00BF7D12">
        <w:trPr>
          <w:trHeight w:val="300"/>
          <w:jc w:val="center"/>
        </w:trPr>
        <w:tc>
          <w:tcPr>
            <w:tcW w:w="3120" w:type="dxa"/>
            <w:shd w:val="clear" w:color="auto" w:fill="auto"/>
            <w:noWrap/>
            <w:vAlign w:val="bottom"/>
          </w:tcPr>
          <w:p w14:paraId="29B89B1F" w14:textId="77777777" w:rsidR="001761D9" w:rsidRPr="007B09E5" w:rsidRDefault="001761D9" w:rsidP="00BF7D12">
            <w:pPr>
              <w:spacing w:line="360" w:lineRule="auto"/>
              <w:rPr>
                <w:color w:val="000000"/>
                <w:sz w:val="20"/>
                <w:szCs w:val="20"/>
                <w:lang w:val="es-MX" w:eastAsia="es-MX"/>
              </w:rPr>
            </w:pPr>
            <w:r w:rsidRPr="007B09E5">
              <w:rPr>
                <w:color w:val="000000"/>
                <w:sz w:val="20"/>
                <w:szCs w:val="20"/>
                <w:lang w:val="es-MX" w:eastAsia="es-MX"/>
              </w:rPr>
              <w:t>15. Recursos Federales</w:t>
            </w:r>
          </w:p>
        </w:tc>
        <w:tc>
          <w:tcPr>
            <w:tcW w:w="1128" w:type="dxa"/>
            <w:shd w:val="clear" w:color="auto" w:fill="auto"/>
            <w:noWrap/>
            <w:vAlign w:val="center"/>
          </w:tcPr>
          <w:p w14:paraId="2A23B441" w14:textId="77777777" w:rsidR="001761D9" w:rsidRPr="007B09E5" w:rsidRDefault="001761D9" w:rsidP="00BF7D12">
            <w:pPr>
              <w:spacing w:line="360" w:lineRule="auto"/>
              <w:jc w:val="right"/>
              <w:rPr>
                <w:color w:val="000000"/>
                <w:sz w:val="20"/>
                <w:szCs w:val="20"/>
                <w:lang w:val="es-MX" w:eastAsia="es-MX"/>
              </w:rPr>
            </w:pPr>
            <w:r w:rsidRPr="00032345">
              <w:rPr>
                <w:color w:val="000000"/>
                <w:sz w:val="20"/>
                <w:szCs w:val="20"/>
                <w:lang w:val="es-MX" w:eastAsia="es-MX"/>
              </w:rPr>
              <w:t>11,187,458,749.00</w:t>
            </w:r>
          </w:p>
        </w:tc>
      </w:tr>
      <w:tr w:rsidR="001761D9" w:rsidRPr="007B09E5" w14:paraId="40F9C99F" w14:textId="77777777" w:rsidTr="00BF7D12">
        <w:trPr>
          <w:trHeight w:val="300"/>
          <w:jc w:val="center"/>
        </w:trPr>
        <w:tc>
          <w:tcPr>
            <w:tcW w:w="3120" w:type="dxa"/>
            <w:shd w:val="clear" w:color="auto" w:fill="auto"/>
            <w:noWrap/>
            <w:vAlign w:val="bottom"/>
          </w:tcPr>
          <w:p w14:paraId="059BDD03" w14:textId="77777777" w:rsidR="001761D9" w:rsidRPr="007B09E5" w:rsidRDefault="001761D9" w:rsidP="00BF7D12">
            <w:pPr>
              <w:spacing w:line="360" w:lineRule="auto"/>
              <w:rPr>
                <w:color w:val="000000"/>
                <w:sz w:val="20"/>
                <w:szCs w:val="20"/>
                <w:lang w:val="es-MX" w:eastAsia="es-MX"/>
              </w:rPr>
            </w:pPr>
            <w:r w:rsidRPr="007B09E5">
              <w:rPr>
                <w:color w:val="000000"/>
                <w:sz w:val="20"/>
                <w:szCs w:val="20"/>
                <w:lang w:val="es-MX" w:eastAsia="es-MX"/>
              </w:rPr>
              <w:t>16. Recursos Estatales</w:t>
            </w:r>
          </w:p>
        </w:tc>
        <w:tc>
          <w:tcPr>
            <w:tcW w:w="1128" w:type="dxa"/>
            <w:shd w:val="clear" w:color="auto" w:fill="auto"/>
            <w:noWrap/>
            <w:vAlign w:val="center"/>
          </w:tcPr>
          <w:p w14:paraId="477A7C27" w14:textId="77777777" w:rsidR="001761D9" w:rsidRPr="007B09E5" w:rsidRDefault="001761D9" w:rsidP="00BF7D12">
            <w:pPr>
              <w:spacing w:line="360" w:lineRule="auto"/>
              <w:jc w:val="right"/>
              <w:rPr>
                <w:color w:val="000000"/>
                <w:sz w:val="20"/>
                <w:szCs w:val="20"/>
                <w:lang w:val="es-MX" w:eastAsia="es-MX"/>
              </w:rPr>
            </w:pPr>
            <w:r w:rsidRPr="007B09E5">
              <w:rPr>
                <w:color w:val="000000"/>
                <w:sz w:val="20"/>
                <w:szCs w:val="20"/>
                <w:lang w:val="es-MX" w:eastAsia="es-MX"/>
              </w:rPr>
              <w:t>0.00</w:t>
            </w:r>
          </w:p>
        </w:tc>
      </w:tr>
      <w:tr w:rsidR="001761D9" w:rsidRPr="007B09E5" w14:paraId="6A5A1111" w14:textId="77777777" w:rsidTr="00BF7D12">
        <w:trPr>
          <w:trHeight w:val="300"/>
          <w:jc w:val="center"/>
        </w:trPr>
        <w:tc>
          <w:tcPr>
            <w:tcW w:w="3120" w:type="dxa"/>
            <w:shd w:val="clear" w:color="auto" w:fill="auto"/>
            <w:noWrap/>
            <w:vAlign w:val="bottom"/>
          </w:tcPr>
          <w:p w14:paraId="49B8B05A" w14:textId="77777777" w:rsidR="001761D9" w:rsidRPr="007B09E5" w:rsidRDefault="001761D9" w:rsidP="00BF7D12">
            <w:pPr>
              <w:spacing w:line="360" w:lineRule="auto"/>
              <w:rPr>
                <w:color w:val="000000"/>
                <w:sz w:val="20"/>
                <w:szCs w:val="20"/>
                <w:lang w:val="es-MX" w:eastAsia="es-MX"/>
              </w:rPr>
            </w:pPr>
            <w:r w:rsidRPr="007B09E5">
              <w:rPr>
                <w:color w:val="000000"/>
                <w:sz w:val="20"/>
                <w:szCs w:val="20"/>
                <w:lang w:val="es-MX" w:eastAsia="es-MX"/>
              </w:rPr>
              <w:t>17. Otros Recursos de Libre Disposición</w:t>
            </w:r>
          </w:p>
        </w:tc>
        <w:tc>
          <w:tcPr>
            <w:tcW w:w="1128" w:type="dxa"/>
            <w:shd w:val="clear" w:color="auto" w:fill="auto"/>
            <w:noWrap/>
            <w:vAlign w:val="center"/>
          </w:tcPr>
          <w:p w14:paraId="4D52537F" w14:textId="77777777" w:rsidR="001761D9" w:rsidRPr="007B09E5" w:rsidRDefault="001761D9" w:rsidP="00BF7D12">
            <w:pPr>
              <w:spacing w:line="360" w:lineRule="auto"/>
              <w:jc w:val="right"/>
              <w:rPr>
                <w:color w:val="000000"/>
                <w:sz w:val="20"/>
                <w:szCs w:val="20"/>
                <w:lang w:val="es-MX" w:eastAsia="es-MX"/>
              </w:rPr>
            </w:pPr>
            <w:r w:rsidRPr="007B09E5">
              <w:rPr>
                <w:color w:val="000000"/>
                <w:sz w:val="20"/>
                <w:szCs w:val="20"/>
                <w:lang w:val="es-MX" w:eastAsia="es-MX"/>
              </w:rPr>
              <w:t>0.00</w:t>
            </w:r>
          </w:p>
        </w:tc>
      </w:tr>
      <w:tr w:rsidR="001761D9" w:rsidRPr="007B09E5" w14:paraId="43328E62" w14:textId="77777777" w:rsidTr="00BF7D12">
        <w:trPr>
          <w:trHeight w:val="300"/>
          <w:jc w:val="center"/>
        </w:trPr>
        <w:tc>
          <w:tcPr>
            <w:tcW w:w="3120" w:type="dxa"/>
            <w:shd w:val="clear" w:color="auto" w:fill="auto"/>
            <w:noWrap/>
            <w:vAlign w:val="bottom"/>
            <w:hideMark/>
          </w:tcPr>
          <w:p w14:paraId="1C4DA287" w14:textId="77777777" w:rsidR="001761D9" w:rsidRPr="007B09E5" w:rsidRDefault="001761D9" w:rsidP="00BF7D12">
            <w:pPr>
              <w:spacing w:line="360" w:lineRule="auto"/>
              <w:rPr>
                <w:color w:val="000000"/>
                <w:sz w:val="20"/>
                <w:szCs w:val="20"/>
                <w:lang w:val="es-MX" w:eastAsia="es-MX"/>
              </w:rPr>
            </w:pPr>
            <w:r w:rsidRPr="007B09E5">
              <w:rPr>
                <w:color w:val="000000"/>
                <w:sz w:val="20"/>
                <w:szCs w:val="20"/>
                <w:lang w:val="es-MX" w:eastAsia="es-MX"/>
              </w:rPr>
              <w:t>25. Recursos Federales</w:t>
            </w:r>
          </w:p>
        </w:tc>
        <w:tc>
          <w:tcPr>
            <w:tcW w:w="1128" w:type="dxa"/>
            <w:shd w:val="clear" w:color="auto" w:fill="auto"/>
            <w:noWrap/>
            <w:vAlign w:val="center"/>
          </w:tcPr>
          <w:p w14:paraId="6960D75A" w14:textId="77777777" w:rsidR="001761D9" w:rsidRPr="007B09E5" w:rsidRDefault="001761D9" w:rsidP="00BF7D12">
            <w:pPr>
              <w:spacing w:line="360" w:lineRule="auto"/>
              <w:jc w:val="right"/>
              <w:rPr>
                <w:color w:val="000000"/>
                <w:sz w:val="20"/>
                <w:szCs w:val="20"/>
                <w:lang w:val="es-MX" w:eastAsia="es-MX"/>
              </w:rPr>
            </w:pPr>
            <w:r w:rsidRPr="00032345">
              <w:rPr>
                <w:color w:val="000000"/>
                <w:sz w:val="20"/>
                <w:szCs w:val="20"/>
                <w:lang w:val="es-MX" w:eastAsia="es-MX"/>
              </w:rPr>
              <w:t>12,794,739,972.00</w:t>
            </w:r>
          </w:p>
        </w:tc>
      </w:tr>
      <w:tr w:rsidR="001761D9" w:rsidRPr="007B09E5" w14:paraId="048C1958" w14:textId="77777777" w:rsidTr="00BF7D12">
        <w:trPr>
          <w:trHeight w:val="300"/>
          <w:jc w:val="center"/>
        </w:trPr>
        <w:tc>
          <w:tcPr>
            <w:tcW w:w="3120" w:type="dxa"/>
            <w:shd w:val="clear" w:color="auto" w:fill="auto"/>
            <w:noWrap/>
            <w:vAlign w:val="bottom"/>
            <w:hideMark/>
          </w:tcPr>
          <w:p w14:paraId="058D14A8" w14:textId="77777777" w:rsidR="001761D9" w:rsidRPr="007B09E5" w:rsidRDefault="001761D9" w:rsidP="00BF7D12">
            <w:pPr>
              <w:spacing w:line="360" w:lineRule="auto"/>
              <w:rPr>
                <w:color w:val="000000"/>
                <w:sz w:val="20"/>
                <w:szCs w:val="20"/>
                <w:lang w:val="es-MX" w:eastAsia="es-MX"/>
              </w:rPr>
            </w:pPr>
            <w:r w:rsidRPr="007B09E5">
              <w:rPr>
                <w:color w:val="000000"/>
                <w:sz w:val="20"/>
                <w:szCs w:val="20"/>
                <w:lang w:val="es-MX" w:eastAsia="es-MX"/>
              </w:rPr>
              <w:t>26. Recursos Estatales</w:t>
            </w:r>
          </w:p>
        </w:tc>
        <w:tc>
          <w:tcPr>
            <w:tcW w:w="1128" w:type="dxa"/>
            <w:shd w:val="clear" w:color="auto" w:fill="auto"/>
            <w:noWrap/>
            <w:vAlign w:val="center"/>
            <w:hideMark/>
          </w:tcPr>
          <w:p w14:paraId="105E1659" w14:textId="77777777" w:rsidR="001761D9" w:rsidRPr="007B09E5" w:rsidRDefault="001761D9" w:rsidP="00BF7D12">
            <w:pPr>
              <w:spacing w:line="360" w:lineRule="auto"/>
              <w:jc w:val="right"/>
              <w:rPr>
                <w:color w:val="000000"/>
                <w:sz w:val="20"/>
                <w:szCs w:val="20"/>
                <w:lang w:val="es-MX" w:eastAsia="es-MX"/>
              </w:rPr>
            </w:pPr>
            <w:r w:rsidRPr="007B09E5">
              <w:rPr>
                <w:color w:val="000000"/>
                <w:sz w:val="20"/>
                <w:szCs w:val="20"/>
                <w:lang w:val="es-MX" w:eastAsia="es-MX"/>
              </w:rPr>
              <w:t>0.00 </w:t>
            </w:r>
          </w:p>
        </w:tc>
      </w:tr>
      <w:tr w:rsidR="001761D9" w:rsidRPr="007B09E5" w14:paraId="7A616A16" w14:textId="77777777" w:rsidTr="00BF7D12">
        <w:trPr>
          <w:trHeight w:val="300"/>
          <w:jc w:val="center"/>
        </w:trPr>
        <w:tc>
          <w:tcPr>
            <w:tcW w:w="3120" w:type="dxa"/>
            <w:shd w:val="clear" w:color="auto" w:fill="auto"/>
            <w:noWrap/>
            <w:vAlign w:val="bottom"/>
            <w:hideMark/>
          </w:tcPr>
          <w:p w14:paraId="0DB5039D" w14:textId="77777777" w:rsidR="001761D9" w:rsidRPr="007B09E5" w:rsidRDefault="001761D9" w:rsidP="00BF7D12">
            <w:pPr>
              <w:spacing w:line="360" w:lineRule="auto"/>
              <w:rPr>
                <w:color w:val="000000"/>
                <w:sz w:val="20"/>
                <w:szCs w:val="20"/>
                <w:lang w:val="es-MX" w:eastAsia="es-MX"/>
              </w:rPr>
            </w:pPr>
            <w:r w:rsidRPr="007B09E5">
              <w:rPr>
                <w:color w:val="000000"/>
                <w:sz w:val="20"/>
                <w:szCs w:val="20"/>
                <w:lang w:val="es-MX" w:eastAsia="es-MX"/>
              </w:rPr>
              <w:t>27. Otros Recursos de Transferencias Federales Etiquetadas</w:t>
            </w:r>
          </w:p>
        </w:tc>
        <w:tc>
          <w:tcPr>
            <w:tcW w:w="1128" w:type="dxa"/>
            <w:shd w:val="clear" w:color="auto" w:fill="auto"/>
            <w:noWrap/>
            <w:vAlign w:val="center"/>
            <w:hideMark/>
          </w:tcPr>
          <w:p w14:paraId="74584BD0" w14:textId="77777777" w:rsidR="001761D9" w:rsidRPr="007B09E5" w:rsidRDefault="001761D9" w:rsidP="00BF7D12">
            <w:pPr>
              <w:spacing w:line="360" w:lineRule="auto"/>
              <w:jc w:val="right"/>
              <w:rPr>
                <w:color w:val="000000"/>
                <w:sz w:val="20"/>
                <w:szCs w:val="20"/>
                <w:lang w:val="es-MX" w:eastAsia="es-MX"/>
              </w:rPr>
            </w:pPr>
            <w:r w:rsidRPr="007B09E5">
              <w:rPr>
                <w:color w:val="000000"/>
                <w:sz w:val="20"/>
                <w:szCs w:val="20"/>
                <w:lang w:val="es-MX" w:eastAsia="es-MX"/>
              </w:rPr>
              <w:t>0.00 </w:t>
            </w:r>
          </w:p>
        </w:tc>
      </w:tr>
      <w:tr w:rsidR="001761D9" w:rsidRPr="007B09E5" w14:paraId="43EA5341" w14:textId="77777777" w:rsidTr="00BF7D12">
        <w:trPr>
          <w:trHeight w:val="300"/>
          <w:jc w:val="center"/>
        </w:trPr>
        <w:tc>
          <w:tcPr>
            <w:tcW w:w="3120" w:type="dxa"/>
            <w:shd w:val="clear" w:color="auto" w:fill="D9D9D9" w:themeFill="background1" w:themeFillShade="D9"/>
            <w:noWrap/>
            <w:vAlign w:val="bottom"/>
            <w:hideMark/>
          </w:tcPr>
          <w:p w14:paraId="062FD431" w14:textId="77777777" w:rsidR="001761D9" w:rsidRPr="007B09E5" w:rsidRDefault="001761D9" w:rsidP="00BF7D12">
            <w:pPr>
              <w:spacing w:line="360" w:lineRule="auto"/>
              <w:jc w:val="center"/>
              <w:rPr>
                <w:b/>
                <w:bCs/>
                <w:color w:val="000000"/>
                <w:sz w:val="20"/>
                <w:szCs w:val="20"/>
                <w:lang w:val="es-MX" w:eastAsia="es-MX"/>
              </w:rPr>
            </w:pPr>
            <w:r w:rsidRPr="007B09E5">
              <w:rPr>
                <w:b/>
                <w:bCs/>
                <w:color w:val="000000"/>
                <w:sz w:val="20"/>
                <w:szCs w:val="20"/>
                <w:lang w:val="es-MX" w:eastAsia="es-MX"/>
              </w:rPr>
              <w:t>TOTAL</w:t>
            </w:r>
          </w:p>
        </w:tc>
        <w:tc>
          <w:tcPr>
            <w:tcW w:w="1128" w:type="dxa"/>
            <w:shd w:val="clear" w:color="auto" w:fill="D9D9D9" w:themeFill="background1" w:themeFillShade="D9"/>
            <w:noWrap/>
            <w:vAlign w:val="bottom"/>
            <w:hideMark/>
          </w:tcPr>
          <w:p w14:paraId="73EC1B90" w14:textId="77777777" w:rsidR="001761D9" w:rsidRPr="007B09E5" w:rsidRDefault="001761D9" w:rsidP="00BF7D12">
            <w:pPr>
              <w:spacing w:line="360" w:lineRule="auto"/>
              <w:jc w:val="right"/>
              <w:rPr>
                <w:b/>
                <w:color w:val="000000"/>
                <w:sz w:val="20"/>
                <w:szCs w:val="20"/>
                <w:lang w:val="es-MX" w:eastAsia="es-MX"/>
              </w:rPr>
            </w:pPr>
            <w:r w:rsidRPr="00032345">
              <w:rPr>
                <w:b/>
                <w:bCs/>
                <w:color w:val="000000"/>
                <w:sz w:val="20"/>
                <w:szCs w:val="20"/>
                <w:lang w:val="es-MX" w:eastAsia="es-MX"/>
              </w:rPr>
              <w:t>25,571,563,376.00</w:t>
            </w:r>
          </w:p>
        </w:tc>
      </w:tr>
    </w:tbl>
    <w:p w14:paraId="3658EFD7" w14:textId="77777777" w:rsidR="00525B2B" w:rsidRPr="00955A4C" w:rsidRDefault="00525B2B" w:rsidP="00525B2B">
      <w:pPr>
        <w:spacing w:line="360" w:lineRule="auto"/>
        <w:jc w:val="both"/>
        <w:rPr>
          <w:b/>
          <w:sz w:val="20"/>
          <w:szCs w:val="20"/>
        </w:rPr>
      </w:pPr>
    </w:p>
    <w:p w14:paraId="0CF5CD45" w14:textId="77777777" w:rsidR="00525B2B" w:rsidRPr="00D07D8F" w:rsidRDefault="00525B2B" w:rsidP="00525B2B">
      <w:pPr>
        <w:spacing w:line="360" w:lineRule="auto"/>
        <w:rPr>
          <w:sz w:val="20"/>
          <w:szCs w:val="20"/>
        </w:rPr>
      </w:pPr>
      <w:r w:rsidRPr="00D07D8F">
        <w:rPr>
          <w:sz w:val="20"/>
          <w:szCs w:val="20"/>
        </w:rPr>
        <w:t xml:space="preserve">En seguida se muestra a nivel subfuente de financiamiento: </w:t>
      </w:r>
    </w:p>
    <w:p w14:paraId="4CD09274" w14:textId="77777777" w:rsidR="00525B2B" w:rsidRPr="00955A4C" w:rsidRDefault="00525B2B" w:rsidP="00525B2B">
      <w:pPr>
        <w:spacing w:line="360" w:lineRule="auto"/>
        <w:jc w:val="center"/>
        <w:rPr>
          <w:b/>
          <w:sz w:val="20"/>
          <w:szCs w:val="20"/>
        </w:rPr>
      </w:pPr>
    </w:p>
    <w:tbl>
      <w:tblPr>
        <w:tblW w:w="5905"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left w:w="70" w:type="dxa"/>
          <w:right w:w="70" w:type="dxa"/>
        </w:tblCellMar>
        <w:tblLook w:val="04A0" w:firstRow="1" w:lastRow="0" w:firstColumn="1" w:lastColumn="0" w:noHBand="0" w:noVBand="1"/>
      </w:tblPr>
      <w:tblGrid>
        <w:gridCol w:w="4265"/>
        <w:gridCol w:w="1640"/>
      </w:tblGrid>
      <w:tr w:rsidR="00CE2047" w:rsidRPr="007B09E5" w14:paraId="775518E0" w14:textId="77777777" w:rsidTr="00BF7D12">
        <w:trPr>
          <w:trHeight w:val="300"/>
          <w:tblHeader/>
          <w:jc w:val="center"/>
        </w:trPr>
        <w:tc>
          <w:tcPr>
            <w:tcW w:w="4265" w:type="dxa"/>
            <w:shd w:val="clear" w:color="auto" w:fill="D9D9D9" w:themeFill="background1" w:themeFillShade="D9"/>
            <w:noWrap/>
            <w:vAlign w:val="center"/>
            <w:hideMark/>
          </w:tcPr>
          <w:p w14:paraId="7B8E0017" w14:textId="77777777" w:rsidR="00CE2047" w:rsidRPr="007B09E5" w:rsidRDefault="00CE2047" w:rsidP="00BF7D12">
            <w:pPr>
              <w:spacing w:line="360" w:lineRule="auto"/>
              <w:jc w:val="center"/>
              <w:rPr>
                <w:b/>
                <w:bCs/>
                <w:color w:val="000000"/>
                <w:sz w:val="20"/>
                <w:szCs w:val="20"/>
                <w:lang w:val="es-MX" w:eastAsia="es-MX"/>
              </w:rPr>
            </w:pPr>
            <w:r w:rsidRPr="007B09E5">
              <w:rPr>
                <w:b/>
                <w:bCs/>
                <w:color w:val="000000"/>
                <w:sz w:val="20"/>
                <w:szCs w:val="20"/>
                <w:lang w:val="es-MX" w:eastAsia="es-MX"/>
              </w:rPr>
              <w:t>SUBFUENTE DE FINANCIAMIENTO</w:t>
            </w:r>
          </w:p>
        </w:tc>
        <w:tc>
          <w:tcPr>
            <w:tcW w:w="1640" w:type="dxa"/>
            <w:shd w:val="clear" w:color="auto" w:fill="D9D9D9" w:themeFill="background1" w:themeFillShade="D9"/>
            <w:noWrap/>
            <w:vAlign w:val="center"/>
            <w:hideMark/>
          </w:tcPr>
          <w:p w14:paraId="11A671E3" w14:textId="77777777" w:rsidR="00CE2047" w:rsidRDefault="00CE2047" w:rsidP="00BF7D12">
            <w:pPr>
              <w:spacing w:line="360" w:lineRule="auto"/>
              <w:jc w:val="center"/>
              <w:rPr>
                <w:b/>
                <w:bCs/>
                <w:color w:val="000000"/>
                <w:sz w:val="20"/>
                <w:szCs w:val="20"/>
                <w:lang w:val="es-MX" w:eastAsia="es-MX"/>
              </w:rPr>
            </w:pPr>
            <w:r w:rsidRPr="007B09E5">
              <w:rPr>
                <w:b/>
                <w:bCs/>
                <w:color w:val="000000"/>
                <w:sz w:val="20"/>
                <w:szCs w:val="20"/>
                <w:lang w:val="es-MX" w:eastAsia="es-MX"/>
              </w:rPr>
              <w:t>MONTO</w:t>
            </w:r>
            <w:r>
              <w:rPr>
                <w:b/>
                <w:bCs/>
                <w:color w:val="000000"/>
                <w:sz w:val="20"/>
                <w:szCs w:val="20"/>
                <w:lang w:val="es-MX" w:eastAsia="es-MX"/>
              </w:rPr>
              <w:t xml:space="preserve"> </w:t>
            </w:r>
          </w:p>
          <w:p w14:paraId="396BCAF0" w14:textId="77777777" w:rsidR="00CE2047" w:rsidRPr="007B09E5" w:rsidRDefault="00CE2047" w:rsidP="00BF7D12">
            <w:pPr>
              <w:spacing w:line="360" w:lineRule="auto"/>
              <w:jc w:val="center"/>
              <w:rPr>
                <w:b/>
                <w:bCs/>
                <w:color w:val="000000"/>
                <w:sz w:val="20"/>
                <w:szCs w:val="20"/>
                <w:lang w:val="es-MX" w:eastAsia="es-MX"/>
              </w:rPr>
            </w:pPr>
            <w:r>
              <w:rPr>
                <w:b/>
                <w:bCs/>
                <w:color w:val="000000"/>
                <w:sz w:val="20"/>
                <w:szCs w:val="20"/>
                <w:lang w:val="es-MX" w:eastAsia="es-MX"/>
              </w:rPr>
              <w:t>($)</w:t>
            </w:r>
          </w:p>
        </w:tc>
      </w:tr>
      <w:tr w:rsidR="00CE2047" w:rsidRPr="007B09E5" w14:paraId="1E733BD8" w14:textId="77777777" w:rsidTr="00BF7D12">
        <w:trPr>
          <w:trHeight w:val="300"/>
          <w:jc w:val="center"/>
        </w:trPr>
        <w:tc>
          <w:tcPr>
            <w:tcW w:w="4265" w:type="dxa"/>
            <w:shd w:val="clear" w:color="auto" w:fill="auto"/>
            <w:noWrap/>
            <w:vAlign w:val="bottom"/>
            <w:hideMark/>
          </w:tcPr>
          <w:p w14:paraId="16A8325A" w14:textId="77777777" w:rsidR="00CE2047" w:rsidRPr="007B09E5" w:rsidRDefault="00CE2047" w:rsidP="00BF7D12">
            <w:pPr>
              <w:spacing w:line="360" w:lineRule="auto"/>
              <w:rPr>
                <w:color w:val="000000"/>
                <w:sz w:val="20"/>
                <w:szCs w:val="20"/>
                <w:lang w:val="es-MX" w:eastAsia="es-MX"/>
              </w:rPr>
            </w:pPr>
            <w:r w:rsidRPr="007B09E5">
              <w:rPr>
                <w:color w:val="000000"/>
                <w:sz w:val="20"/>
                <w:szCs w:val="20"/>
                <w:lang w:val="es-MX" w:eastAsia="es-MX"/>
              </w:rPr>
              <w:t>Ingresos Derivados de Fuentes Locales</w:t>
            </w:r>
          </w:p>
        </w:tc>
        <w:tc>
          <w:tcPr>
            <w:tcW w:w="1640" w:type="dxa"/>
            <w:shd w:val="clear" w:color="auto" w:fill="auto"/>
            <w:noWrap/>
            <w:vAlign w:val="center"/>
            <w:hideMark/>
          </w:tcPr>
          <w:p w14:paraId="4DA06C9A" w14:textId="77777777" w:rsidR="00CE2047" w:rsidRPr="00377F63" w:rsidRDefault="00CE2047" w:rsidP="00BF7D12">
            <w:pPr>
              <w:jc w:val="right"/>
              <w:rPr>
                <w:color w:val="000000"/>
                <w:sz w:val="20"/>
                <w:szCs w:val="20"/>
                <w:lang w:val="es-MX" w:eastAsia="es-MX"/>
              </w:rPr>
            </w:pPr>
            <w:r w:rsidRPr="00377F63">
              <w:rPr>
                <w:color w:val="000000"/>
                <w:sz w:val="20"/>
                <w:szCs w:val="20"/>
                <w:lang w:val="es-MX" w:eastAsia="es-MX"/>
              </w:rPr>
              <w:t>1,435,671,770.00</w:t>
            </w:r>
          </w:p>
        </w:tc>
      </w:tr>
      <w:tr w:rsidR="00CE2047" w:rsidRPr="007B09E5" w14:paraId="5E949564" w14:textId="77777777" w:rsidTr="00BF7D12">
        <w:trPr>
          <w:trHeight w:val="300"/>
          <w:jc w:val="center"/>
        </w:trPr>
        <w:tc>
          <w:tcPr>
            <w:tcW w:w="4265" w:type="dxa"/>
            <w:shd w:val="clear" w:color="auto" w:fill="auto"/>
            <w:noWrap/>
            <w:vAlign w:val="bottom"/>
            <w:hideMark/>
          </w:tcPr>
          <w:p w14:paraId="45CB9686" w14:textId="77777777" w:rsidR="00CE2047" w:rsidRPr="007B09E5" w:rsidRDefault="00CE2047" w:rsidP="00BF7D12">
            <w:pPr>
              <w:spacing w:line="360" w:lineRule="auto"/>
              <w:rPr>
                <w:color w:val="000000"/>
                <w:sz w:val="20"/>
                <w:szCs w:val="20"/>
                <w:lang w:val="es-MX" w:eastAsia="es-MX"/>
              </w:rPr>
            </w:pPr>
            <w:r w:rsidRPr="007B09E5">
              <w:rPr>
                <w:color w:val="000000"/>
                <w:sz w:val="20"/>
                <w:szCs w:val="20"/>
                <w:lang w:val="es-MX" w:eastAsia="es-MX"/>
              </w:rPr>
              <w:t>Ingresos por Venta de Bienes de Organismos Descentralizados</w:t>
            </w:r>
          </w:p>
        </w:tc>
        <w:tc>
          <w:tcPr>
            <w:tcW w:w="1640" w:type="dxa"/>
            <w:shd w:val="clear" w:color="auto" w:fill="auto"/>
            <w:noWrap/>
            <w:vAlign w:val="center"/>
            <w:hideMark/>
          </w:tcPr>
          <w:p w14:paraId="2E5A7057" w14:textId="77777777" w:rsidR="00CE2047" w:rsidRPr="00377F63" w:rsidRDefault="00CE2047" w:rsidP="00BF7D12">
            <w:pPr>
              <w:jc w:val="right"/>
              <w:rPr>
                <w:color w:val="000000"/>
                <w:sz w:val="20"/>
                <w:szCs w:val="20"/>
                <w:lang w:val="es-MX" w:eastAsia="es-MX"/>
              </w:rPr>
            </w:pPr>
            <w:r w:rsidRPr="00377F63">
              <w:rPr>
                <w:color w:val="000000"/>
                <w:sz w:val="20"/>
                <w:szCs w:val="20"/>
                <w:lang w:val="es-MX" w:eastAsia="es-MX"/>
              </w:rPr>
              <w:t>153,692,885.00</w:t>
            </w:r>
          </w:p>
        </w:tc>
      </w:tr>
      <w:tr w:rsidR="00CE2047" w:rsidRPr="007B09E5" w14:paraId="76FB5218" w14:textId="77777777" w:rsidTr="00BF7D12">
        <w:trPr>
          <w:trHeight w:val="300"/>
          <w:jc w:val="center"/>
        </w:trPr>
        <w:tc>
          <w:tcPr>
            <w:tcW w:w="4265" w:type="dxa"/>
            <w:shd w:val="clear" w:color="auto" w:fill="auto"/>
            <w:noWrap/>
            <w:vAlign w:val="bottom"/>
            <w:hideMark/>
          </w:tcPr>
          <w:p w14:paraId="05340ABA" w14:textId="77777777" w:rsidR="00CE2047" w:rsidRPr="007B09E5" w:rsidRDefault="00CE2047" w:rsidP="00BF7D12">
            <w:pPr>
              <w:spacing w:line="360" w:lineRule="auto"/>
              <w:rPr>
                <w:color w:val="000000"/>
                <w:sz w:val="20"/>
                <w:szCs w:val="20"/>
                <w:lang w:val="es-MX" w:eastAsia="es-MX"/>
              </w:rPr>
            </w:pPr>
            <w:r w:rsidRPr="007B09E5">
              <w:rPr>
                <w:color w:val="000000"/>
                <w:sz w:val="20"/>
                <w:szCs w:val="20"/>
                <w:lang w:val="es-MX" w:eastAsia="es-MX"/>
              </w:rPr>
              <w:t>Fondo General de Participaciones</w:t>
            </w:r>
          </w:p>
        </w:tc>
        <w:tc>
          <w:tcPr>
            <w:tcW w:w="1640" w:type="dxa"/>
            <w:shd w:val="clear" w:color="auto" w:fill="auto"/>
            <w:noWrap/>
            <w:vAlign w:val="center"/>
            <w:hideMark/>
          </w:tcPr>
          <w:p w14:paraId="388C3C8A" w14:textId="77777777" w:rsidR="00CE2047" w:rsidRPr="00377F63" w:rsidRDefault="00CE2047" w:rsidP="00BF7D12">
            <w:pPr>
              <w:jc w:val="right"/>
              <w:rPr>
                <w:color w:val="000000"/>
                <w:sz w:val="20"/>
                <w:szCs w:val="20"/>
                <w:lang w:val="es-MX" w:eastAsia="es-MX"/>
              </w:rPr>
            </w:pPr>
            <w:r w:rsidRPr="00377F63">
              <w:rPr>
                <w:color w:val="000000"/>
                <w:sz w:val="20"/>
                <w:szCs w:val="20"/>
                <w:lang w:val="es-MX" w:eastAsia="es-MX"/>
              </w:rPr>
              <w:t>8,366,976,892.00</w:t>
            </w:r>
          </w:p>
        </w:tc>
      </w:tr>
      <w:tr w:rsidR="00CE2047" w:rsidRPr="007B09E5" w14:paraId="127A7245" w14:textId="77777777" w:rsidTr="00BF7D12">
        <w:trPr>
          <w:trHeight w:val="300"/>
          <w:jc w:val="center"/>
        </w:trPr>
        <w:tc>
          <w:tcPr>
            <w:tcW w:w="4265" w:type="dxa"/>
            <w:shd w:val="clear" w:color="auto" w:fill="auto"/>
            <w:noWrap/>
            <w:vAlign w:val="bottom"/>
          </w:tcPr>
          <w:p w14:paraId="22896C5D" w14:textId="77777777" w:rsidR="00CE2047" w:rsidRPr="007B09E5" w:rsidRDefault="00CE2047" w:rsidP="00BF7D12">
            <w:pPr>
              <w:spacing w:line="360" w:lineRule="auto"/>
              <w:rPr>
                <w:color w:val="000000"/>
                <w:sz w:val="20"/>
                <w:szCs w:val="20"/>
                <w:lang w:val="es-MX" w:eastAsia="es-MX"/>
              </w:rPr>
            </w:pPr>
            <w:r w:rsidRPr="007B09E5">
              <w:rPr>
                <w:color w:val="000000"/>
                <w:sz w:val="20"/>
                <w:szCs w:val="20"/>
                <w:lang w:val="es-MX" w:eastAsia="es-MX"/>
              </w:rPr>
              <w:t>Fondo de Compensación</w:t>
            </w:r>
          </w:p>
        </w:tc>
        <w:tc>
          <w:tcPr>
            <w:tcW w:w="1640" w:type="dxa"/>
            <w:shd w:val="clear" w:color="auto" w:fill="auto"/>
            <w:noWrap/>
            <w:vAlign w:val="center"/>
          </w:tcPr>
          <w:p w14:paraId="0D0EF931" w14:textId="77777777" w:rsidR="00CE2047" w:rsidRPr="00377F63" w:rsidRDefault="00CE2047" w:rsidP="00BF7D12">
            <w:pPr>
              <w:jc w:val="right"/>
              <w:rPr>
                <w:color w:val="000000"/>
                <w:sz w:val="20"/>
                <w:szCs w:val="20"/>
                <w:lang w:val="es-MX" w:eastAsia="es-MX"/>
              </w:rPr>
            </w:pPr>
            <w:r w:rsidRPr="00377F63">
              <w:rPr>
                <w:color w:val="000000"/>
                <w:sz w:val="20"/>
                <w:szCs w:val="20"/>
                <w:lang w:val="es-MX" w:eastAsia="es-MX"/>
              </w:rPr>
              <w:t>619,122,861.00</w:t>
            </w:r>
          </w:p>
        </w:tc>
      </w:tr>
      <w:tr w:rsidR="00CE2047" w:rsidRPr="007B09E5" w14:paraId="0C8F9F39" w14:textId="77777777" w:rsidTr="00BF7D12">
        <w:trPr>
          <w:trHeight w:val="300"/>
          <w:jc w:val="center"/>
        </w:trPr>
        <w:tc>
          <w:tcPr>
            <w:tcW w:w="4265" w:type="dxa"/>
            <w:shd w:val="clear" w:color="auto" w:fill="auto"/>
            <w:noWrap/>
            <w:vAlign w:val="bottom"/>
          </w:tcPr>
          <w:p w14:paraId="7E7E6DA5" w14:textId="77777777" w:rsidR="00CE2047" w:rsidRPr="007B09E5" w:rsidRDefault="00CE2047" w:rsidP="00BF7D12">
            <w:pPr>
              <w:spacing w:line="360" w:lineRule="auto"/>
              <w:rPr>
                <w:color w:val="000000"/>
                <w:sz w:val="20"/>
                <w:szCs w:val="20"/>
                <w:lang w:val="es-MX" w:eastAsia="es-MX"/>
              </w:rPr>
            </w:pPr>
            <w:r w:rsidRPr="007B09E5">
              <w:rPr>
                <w:color w:val="000000"/>
                <w:sz w:val="20"/>
                <w:szCs w:val="20"/>
                <w:lang w:val="es-MX" w:eastAsia="es-MX"/>
              </w:rPr>
              <w:t>Incentivo para la Venta Final de Gasolina y Diesel</w:t>
            </w:r>
          </w:p>
        </w:tc>
        <w:tc>
          <w:tcPr>
            <w:tcW w:w="1640" w:type="dxa"/>
            <w:shd w:val="clear" w:color="auto" w:fill="auto"/>
            <w:noWrap/>
            <w:vAlign w:val="center"/>
          </w:tcPr>
          <w:p w14:paraId="53415611" w14:textId="77777777" w:rsidR="00CE2047" w:rsidRPr="00377F63" w:rsidRDefault="00CE2047" w:rsidP="00BF7D12">
            <w:pPr>
              <w:jc w:val="right"/>
              <w:rPr>
                <w:color w:val="000000"/>
                <w:sz w:val="20"/>
                <w:szCs w:val="20"/>
                <w:lang w:val="es-MX" w:eastAsia="es-MX"/>
              </w:rPr>
            </w:pPr>
            <w:r w:rsidRPr="00377F63">
              <w:rPr>
                <w:color w:val="000000"/>
                <w:sz w:val="20"/>
                <w:szCs w:val="20"/>
                <w:lang w:val="es-MX" w:eastAsia="es-MX"/>
              </w:rPr>
              <w:t>225,828,023.00</w:t>
            </w:r>
          </w:p>
        </w:tc>
      </w:tr>
      <w:tr w:rsidR="00CE2047" w:rsidRPr="007B09E5" w14:paraId="595682C6" w14:textId="77777777" w:rsidTr="00BF7D12">
        <w:trPr>
          <w:trHeight w:val="300"/>
          <w:jc w:val="center"/>
        </w:trPr>
        <w:tc>
          <w:tcPr>
            <w:tcW w:w="4265" w:type="dxa"/>
            <w:shd w:val="clear" w:color="auto" w:fill="auto"/>
            <w:noWrap/>
            <w:vAlign w:val="bottom"/>
          </w:tcPr>
          <w:p w14:paraId="7CDC0766" w14:textId="77777777" w:rsidR="00CE2047" w:rsidRPr="007B09E5" w:rsidRDefault="00CE2047" w:rsidP="00BF7D12">
            <w:pPr>
              <w:spacing w:line="360" w:lineRule="auto"/>
              <w:rPr>
                <w:color w:val="000000"/>
                <w:sz w:val="20"/>
                <w:szCs w:val="20"/>
                <w:lang w:val="es-MX" w:eastAsia="es-MX"/>
              </w:rPr>
            </w:pPr>
            <w:r w:rsidRPr="007B09E5">
              <w:rPr>
                <w:color w:val="000000"/>
                <w:sz w:val="20"/>
                <w:szCs w:val="20"/>
                <w:lang w:val="es-MX" w:eastAsia="es-MX"/>
              </w:rPr>
              <w:t>Fondo de Fomento Municipal</w:t>
            </w:r>
          </w:p>
        </w:tc>
        <w:tc>
          <w:tcPr>
            <w:tcW w:w="1640" w:type="dxa"/>
            <w:shd w:val="clear" w:color="auto" w:fill="auto"/>
            <w:noWrap/>
            <w:vAlign w:val="center"/>
          </w:tcPr>
          <w:p w14:paraId="2014CF04" w14:textId="77777777" w:rsidR="00CE2047" w:rsidRPr="00377F63" w:rsidRDefault="00CE2047" w:rsidP="00BF7D12">
            <w:pPr>
              <w:jc w:val="right"/>
              <w:rPr>
                <w:color w:val="000000"/>
                <w:sz w:val="20"/>
                <w:szCs w:val="20"/>
                <w:lang w:val="es-MX" w:eastAsia="es-MX"/>
              </w:rPr>
            </w:pPr>
            <w:r w:rsidRPr="00377F63">
              <w:rPr>
                <w:color w:val="000000"/>
                <w:sz w:val="20"/>
                <w:szCs w:val="20"/>
                <w:lang w:val="es-MX" w:eastAsia="es-MX"/>
              </w:rPr>
              <w:t>547,642,406.00</w:t>
            </w:r>
          </w:p>
        </w:tc>
      </w:tr>
      <w:tr w:rsidR="00CE2047" w:rsidRPr="007B09E5" w14:paraId="3F4D92F4" w14:textId="77777777" w:rsidTr="00BF7D12">
        <w:trPr>
          <w:trHeight w:val="300"/>
          <w:jc w:val="center"/>
        </w:trPr>
        <w:tc>
          <w:tcPr>
            <w:tcW w:w="4265" w:type="dxa"/>
            <w:shd w:val="clear" w:color="auto" w:fill="auto"/>
            <w:noWrap/>
            <w:vAlign w:val="bottom"/>
          </w:tcPr>
          <w:p w14:paraId="66E3DA37" w14:textId="77777777" w:rsidR="00CE2047" w:rsidRPr="007B09E5" w:rsidRDefault="00CE2047" w:rsidP="00BF7D12">
            <w:pPr>
              <w:spacing w:line="360" w:lineRule="auto"/>
              <w:rPr>
                <w:color w:val="000000"/>
                <w:sz w:val="20"/>
                <w:szCs w:val="20"/>
                <w:lang w:val="es-MX" w:eastAsia="es-MX"/>
              </w:rPr>
            </w:pPr>
            <w:r w:rsidRPr="007B09E5">
              <w:rPr>
                <w:color w:val="000000"/>
                <w:sz w:val="20"/>
                <w:szCs w:val="20"/>
                <w:lang w:val="es-MX" w:eastAsia="es-MX"/>
              </w:rPr>
              <w:t>Fondo ISR</w:t>
            </w:r>
          </w:p>
        </w:tc>
        <w:tc>
          <w:tcPr>
            <w:tcW w:w="1640" w:type="dxa"/>
            <w:shd w:val="clear" w:color="auto" w:fill="auto"/>
            <w:noWrap/>
            <w:vAlign w:val="center"/>
          </w:tcPr>
          <w:p w14:paraId="4E376C96" w14:textId="77777777" w:rsidR="00CE2047" w:rsidRPr="00377F63" w:rsidRDefault="00CE2047" w:rsidP="00BF7D12">
            <w:pPr>
              <w:jc w:val="right"/>
              <w:rPr>
                <w:color w:val="000000"/>
                <w:sz w:val="20"/>
                <w:szCs w:val="20"/>
                <w:lang w:val="es-MX" w:eastAsia="es-MX"/>
              </w:rPr>
            </w:pPr>
            <w:r w:rsidRPr="00377F63">
              <w:rPr>
                <w:color w:val="000000"/>
                <w:sz w:val="20"/>
                <w:szCs w:val="20"/>
                <w:lang w:val="es-MX" w:eastAsia="es-MX"/>
              </w:rPr>
              <w:t>814,819,960.00</w:t>
            </w:r>
          </w:p>
        </w:tc>
      </w:tr>
      <w:tr w:rsidR="00CE2047" w:rsidRPr="007B09E5" w14:paraId="10F16C5C" w14:textId="77777777" w:rsidTr="00BF7D12">
        <w:trPr>
          <w:trHeight w:val="300"/>
          <w:jc w:val="center"/>
        </w:trPr>
        <w:tc>
          <w:tcPr>
            <w:tcW w:w="4265" w:type="dxa"/>
            <w:shd w:val="clear" w:color="auto" w:fill="auto"/>
            <w:noWrap/>
            <w:vAlign w:val="bottom"/>
          </w:tcPr>
          <w:p w14:paraId="1E0B7A07" w14:textId="77777777" w:rsidR="00CE2047" w:rsidRPr="007B09E5" w:rsidRDefault="00CE2047" w:rsidP="00BF7D12">
            <w:pPr>
              <w:spacing w:line="360" w:lineRule="auto"/>
              <w:rPr>
                <w:color w:val="000000"/>
                <w:sz w:val="20"/>
                <w:szCs w:val="20"/>
                <w:lang w:val="es-MX" w:eastAsia="es-MX"/>
              </w:rPr>
            </w:pPr>
            <w:r w:rsidRPr="007B09E5">
              <w:rPr>
                <w:color w:val="000000"/>
                <w:sz w:val="20"/>
                <w:szCs w:val="20"/>
                <w:lang w:val="es-MX" w:eastAsia="es-MX"/>
              </w:rPr>
              <w:t>Impuesto Especial sobre Producción y Servicios</w:t>
            </w:r>
          </w:p>
        </w:tc>
        <w:tc>
          <w:tcPr>
            <w:tcW w:w="1640" w:type="dxa"/>
            <w:shd w:val="clear" w:color="auto" w:fill="auto"/>
            <w:noWrap/>
            <w:vAlign w:val="center"/>
          </w:tcPr>
          <w:p w14:paraId="39551AC9" w14:textId="77777777" w:rsidR="00CE2047" w:rsidRPr="00377F63" w:rsidRDefault="00CE2047" w:rsidP="00BF7D12">
            <w:pPr>
              <w:jc w:val="right"/>
              <w:rPr>
                <w:color w:val="000000"/>
                <w:sz w:val="20"/>
                <w:szCs w:val="20"/>
                <w:lang w:val="es-MX" w:eastAsia="es-MX"/>
              </w:rPr>
            </w:pPr>
            <w:r w:rsidRPr="00377F63">
              <w:rPr>
                <w:color w:val="000000"/>
                <w:sz w:val="20"/>
                <w:szCs w:val="20"/>
                <w:lang w:val="es-MX" w:eastAsia="es-MX"/>
              </w:rPr>
              <w:t>75,399,152.00</w:t>
            </w:r>
          </w:p>
        </w:tc>
      </w:tr>
      <w:tr w:rsidR="00CE2047" w:rsidRPr="007B09E5" w14:paraId="6BAA75F3" w14:textId="77777777" w:rsidTr="00BF7D12">
        <w:trPr>
          <w:trHeight w:val="300"/>
          <w:jc w:val="center"/>
        </w:trPr>
        <w:tc>
          <w:tcPr>
            <w:tcW w:w="4265" w:type="dxa"/>
            <w:shd w:val="clear" w:color="auto" w:fill="auto"/>
            <w:noWrap/>
            <w:vAlign w:val="bottom"/>
          </w:tcPr>
          <w:p w14:paraId="18D6C903" w14:textId="77777777" w:rsidR="00CE2047" w:rsidRPr="007B09E5" w:rsidRDefault="00CE2047" w:rsidP="00BF7D12">
            <w:pPr>
              <w:spacing w:line="360" w:lineRule="auto"/>
              <w:rPr>
                <w:color w:val="000000"/>
                <w:sz w:val="20"/>
                <w:szCs w:val="20"/>
                <w:lang w:val="es-MX" w:eastAsia="es-MX"/>
              </w:rPr>
            </w:pPr>
            <w:r w:rsidRPr="007B09E5">
              <w:rPr>
                <w:color w:val="000000"/>
                <w:sz w:val="20"/>
                <w:szCs w:val="20"/>
                <w:lang w:val="es-MX" w:eastAsia="es-MX"/>
              </w:rPr>
              <w:t>Fondo de Fiscalización</w:t>
            </w:r>
          </w:p>
        </w:tc>
        <w:tc>
          <w:tcPr>
            <w:tcW w:w="1640" w:type="dxa"/>
            <w:shd w:val="clear" w:color="auto" w:fill="auto"/>
            <w:noWrap/>
            <w:vAlign w:val="center"/>
          </w:tcPr>
          <w:p w14:paraId="02EA256D" w14:textId="77777777" w:rsidR="00CE2047" w:rsidRPr="00377F63" w:rsidRDefault="00CE2047" w:rsidP="00BF7D12">
            <w:pPr>
              <w:jc w:val="right"/>
              <w:rPr>
                <w:color w:val="000000"/>
                <w:sz w:val="20"/>
                <w:szCs w:val="20"/>
                <w:lang w:val="es-MX" w:eastAsia="es-MX"/>
              </w:rPr>
            </w:pPr>
            <w:r w:rsidRPr="00377F63">
              <w:rPr>
                <w:color w:val="000000"/>
                <w:sz w:val="20"/>
                <w:szCs w:val="20"/>
                <w:lang w:val="es-MX" w:eastAsia="es-MX"/>
              </w:rPr>
              <w:t>408,231,717.00</w:t>
            </w:r>
          </w:p>
        </w:tc>
      </w:tr>
      <w:tr w:rsidR="00CE2047" w:rsidRPr="007B09E5" w14:paraId="6F96B31D" w14:textId="77777777" w:rsidTr="00BF7D12">
        <w:trPr>
          <w:trHeight w:val="300"/>
          <w:jc w:val="center"/>
        </w:trPr>
        <w:tc>
          <w:tcPr>
            <w:tcW w:w="4265" w:type="dxa"/>
            <w:shd w:val="clear" w:color="auto" w:fill="auto"/>
            <w:noWrap/>
            <w:vAlign w:val="bottom"/>
          </w:tcPr>
          <w:p w14:paraId="057BE3B1" w14:textId="77777777" w:rsidR="00CE2047" w:rsidRPr="007B09E5" w:rsidRDefault="00CE2047" w:rsidP="00BF7D12">
            <w:pPr>
              <w:spacing w:line="360" w:lineRule="auto"/>
              <w:rPr>
                <w:color w:val="000000"/>
                <w:sz w:val="20"/>
                <w:szCs w:val="20"/>
                <w:lang w:val="es-MX" w:eastAsia="es-MX"/>
              </w:rPr>
            </w:pPr>
            <w:r w:rsidRPr="007B09E5">
              <w:rPr>
                <w:color w:val="000000"/>
                <w:sz w:val="20"/>
                <w:szCs w:val="20"/>
                <w:lang w:val="es-MX" w:eastAsia="es-MX"/>
              </w:rPr>
              <w:lastRenderedPageBreak/>
              <w:t>Fondo de Compensación ISAN</w:t>
            </w:r>
          </w:p>
        </w:tc>
        <w:tc>
          <w:tcPr>
            <w:tcW w:w="1640" w:type="dxa"/>
            <w:shd w:val="clear" w:color="auto" w:fill="auto"/>
            <w:noWrap/>
            <w:vAlign w:val="center"/>
          </w:tcPr>
          <w:p w14:paraId="7CDAC3CE" w14:textId="77777777" w:rsidR="00CE2047" w:rsidRPr="00377F63" w:rsidRDefault="00CE2047" w:rsidP="00BF7D12">
            <w:pPr>
              <w:jc w:val="right"/>
              <w:rPr>
                <w:color w:val="000000"/>
                <w:sz w:val="20"/>
                <w:szCs w:val="20"/>
                <w:lang w:val="es-MX" w:eastAsia="es-MX"/>
              </w:rPr>
            </w:pPr>
            <w:r w:rsidRPr="00377F63">
              <w:rPr>
                <w:color w:val="000000"/>
                <w:sz w:val="20"/>
                <w:szCs w:val="20"/>
                <w:lang w:val="es-MX" w:eastAsia="es-MX"/>
              </w:rPr>
              <w:t>11,640,431.00</w:t>
            </w:r>
          </w:p>
        </w:tc>
      </w:tr>
      <w:tr w:rsidR="00CE2047" w:rsidRPr="007B09E5" w14:paraId="43F741C2" w14:textId="77777777" w:rsidTr="00BF7D12">
        <w:trPr>
          <w:trHeight w:val="300"/>
          <w:jc w:val="center"/>
        </w:trPr>
        <w:tc>
          <w:tcPr>
            <w:tcW w:w="4265" w:type="dxa"/>
            <w:shd w:val="clear" w:color="auto" w:fill="auto"/>
            <w:noWrap/>
            <w:vAlign w:val="bottom"/>
          </w:tcPr>
          <w:p w14:paraId="0362545A" w14:textId="77777777" w:rsidR="00CE2047" w:rsidRPr="007B09E5" w:rsidRDefault="00CE2047" w:rsidP="00BF7D12">
            <w:pPr>
              <w:spacing w:line="360" w:lineRule="auto"/>
              <w:rPr>
                <w:color w:val="000000"/>
                <w:sz w:val="20"/>
                <w:szCs w:val="20"/>
                <w:lang w:val="es-MX" w:eastAsia="es-MX"/>
              </w:rPr>
            </w:pPr>
            <w:r w:rsidRPr="007B09E5">
              <w:rPr>
                <w:color w:val="000000"/>
                <w:sz w:val="20"/>
                <w:szCs w:val="20"/>
                <w:lang w:val="es-MX" w:eastAsia="es-MX"/>
              </w:rPr>
              <w:t>Fondo Repecos e Intermedios</w:t>
            </w:r>
          </w:p>
        </w:tc>
        <w:tc>
          <w:tcPr>
            <w:tcW w:w="1640" w:type="dxa"/>
            <w:shd w:val="clear" w:color="auto" w:fill="auto"/>
            <w:noWrap/>
            <w:vAlign w:val="center"/>
          </w:tcPr>
          <w:p w14:paraId="6E4ABB10" w14:textId="77777777" w:rsidR="00CE2047" w:rsidRPr="00377F63" w:rsidRDefault="00CE2047" w:rsidP="00BF7D12">
            <w:pPr>
              <w:jc w:val="right"/>
              <w:rPr>
                <w:color w:val="000000"/>
                <w:sz w:val="20"/>
                <w:szCs w:val="20"/>
                <w:lang w:val="es-MX" w:eastAsia="es-MX"/>
              </w:rPr>
            </w:pPr>
            <w:r w:rsidRPr="00377F63">
              <w:rPr>
                <w:color w:val="000000"/>
                <w:sz w:val="20"/>
                <w:szCs w:val="20"/>
                <w:lang w:val="es-MX" w:eastAsia="es-MX"/>
              </w:rPr>
              <w:t>3,655,952.00</w:t>
            </w:r>
          </w:p>
        </w:tc>
      </w:tr>
      <w:tr w:rsidR="00CE2047" w:rsidRPr="007B09E5" w14:paraId="33A95480" w14:textId="77777777" w:rsidTr="00BF7D12">
        <w:trPr>
          <w:trHeight w:val="300"/>
          <w:jc w:val="center"/>
        </w:trPr>
        <w:tc>
          <w:tcPr>
            <w:tcW w:w="4265" w:type="dxa"/>
            <w:shd w:val="clear" w:color="auto" w:fill="auto"/>
            <w:noWrap/>
            <w:vAlign w:val="bottom"/>
          </w:tcPr>
          <w:p w14:paraId="7FA28D82" w14:textId="4F846E20" w:rsidR="00CE2047" w:rsidRPr="007B09E5" w:rsidRDefault="00CE2047" w:rsidP="00372C9F">
            <w:pPr>
              <w:spacing w:line="360" w:lineRule="auto"/>
              <w:rPr>
                <w:color w:val="000000"/>
                <w:sz w:val="20"/>
                <w:szCs w:val="20"/>
                <w:lang w:val="es-MX" w:eastAsia="es-MX"/>
              </w:rPr>
            </w:pPr>
            <w:r w:rsidRPr="007B09E5">
              <w:rPr>
                <w:color w:val="000000"/>
                <w:sz w:val="20"/>
                <w:szCs w:val="20"/>
                <w:lang w:val="es-MX" w:eastAsia="es-MX"/>
              </w:rPr>
              <w:t>Incentivos Derivados de Colaboración Fiscal</w:t>
            </w:r>
          </w:p>
        </w:tc>
        <w:tc>
          <w:tcPr>
            <w:tcW w:w="1640" w:type="dxa"/>
            <w:shd w:val="clear" w:color="auto" w:fill="auto"/>
            <w:noWrap/>
            <w:vAlign w:val="center"/>
          </w:tcPr>
          <w:p w14:paraId="1A1BB2DC" w14:textId="77777777" w:rsidR="00CE2047" w:rsidRPr="00377F63" w:rsidRDefault="00CE2047" w:rsidP="00BF7D12">
            <w:pPr>
              <w:jc w:val="right"/>
              <w:rPr>
                <w:color w:val="000000"/>
                <w:sz w:val="20"/>
                <w:szCs w:val="20"/>
                <w:lang w:val="es-MX" w:eastAsia="es-MX"/>
              </w:rPr>
            </w:pPr>
            <w:r w:rsidRPr="00377F63">
              <w:rPr>
                <w:color w:val="000000"/>
                <w:sz w:val="20"/>
                <w:szCs w:val="20"/>
                <w:lang w:eastAsia="es-MX"/>
              </w:rPr>
              <w:t>114,141,355.00</w:t>
            </w:r>
          </w:p>
        </w:tc>
      </w:tr>
      <w:tr w:rsidR="00CE2047" w:rsidRPr="007B09E5" w14:paraId="26B1D42A" w14:textId="77777777" w:rsidTr="00BF7D12">
        <w:trPr>
          <w:trHeight w:val="300"/>
          <w:jc w:val="center"/>
        </w:trPr>
        <w:tc>
          <w:tcPr>
            <w:tcW w:w="4265" w:type="dxa"/>
            <w:shd w:val="clear" w:color="auto" w:fill="D9D9D9" w:themeFill="background1" w:themeFillShade="D9"/>
            <w:noWrap/>
            <w:vAlign w:val="bottom"/>
            <w:hideMark/>
          </w:tcPr>
          <w:p w14:paraId="021B7D48" w14:textId="77777777" w:rsidR="00CE2047" w:rsidRPr="007B09E5" w:rsidRDefault="00CE2047" w:rsidP="00BF7D12">
            <w:pPr>
              <w:spacing w:line="360" w:lineRule="auto"/>
              <w:jc w:val="center"/>
              <w:rPr>
                <w:b/>
                <w:bCs/>
                <w:color w:val="000000"/>
                <w:sz w:val="20"/>
                <w:szCs w:val="20"/>
                <w:lang w:val="es-MX" w:eastAsia="es-MX"/>
              </w:rPr>
            </w:pPr>
            <w:r w:rsidRPr="007B09E5">
              <w:rPr>
                <w:b/>
                <w:bCs/>
                <w:color w:val="000000"/>
                <w:sz w:val="20"/>
                <w:szCs w:val="20"/>
                <w:lang w:val="es-MX" w:eastAsia="es-MX"/>
              </w:rPr>
              <w:t>SUBTOTAL</w:t>
            </w:r>
          </w:p>
        </w:tc>
        <w:tc>
          <w:tcPr>
            <w:tcW w:w="1640" w:type="dxa"/>
            <w:shd w:val="clear" w:color="auto" w:fill="D9D9D9" w:themeFill="background1" w:themeFillShade="D9"/>
            <w:noWrap/>
            <w:vAlign w:val="center"/>
            <w:hideMark/>
          </w:tcPr>
          <w:p w14:paraId="73A1F145" w14:textId="77777777" w:rsidR="00CE2047" w:rsidRPr="00377F63" w:rsidRDefault="00CE2047" w:rsidP="00BF7D12">
            <w:pPr>
              <w:jc w:val="right"/>
              <w:rPr>
                <w:b/>
                <w:bCs/>
                <w:color w:val="000000"/>
                <w:sz w:val="20"/>
                <w:szCs w:val="20"/>
                <w:lang w:val="es-MX" w:eastAsia="es-MX"/>
              </w:rPr>
            </w:pPr>
            <w:r w:rsidRPr="00377F63">
              <w:rPr>
                <w:b/>
                <w:bCs/>
                <w:color w:val="000000"/>
                <w:sz w:val="20"/>
                <w:szCs w:val="20"/>
                <w:lang w:eastAsia="es-MX"/>
              </w:rPr>
              <w:t>12,776,823,404.00</w:t>
            </w:r>
          </w:p>
        </w:tc>
      </w:tr>
      <w:tr w:rsidR="00CE2047" w:rsidRPr="007B09E5" w14:paraId="5A7BA3AD" w14:textId="77777777" w:rsidTr="00BF7D12">
        <w:trPr>
          <w:trHeight w:val="300"/>
          <w:jc w:val="center"/>
        </w:trPr>
        <w:tc>
          <w:tcPr>
            <w:tcW w:w="4265" w:type="dxa"/>
            <w:shd w:val="clear" w:color="auto" w:fill="auto"/>
            <w:noWrap/>
            <w:vAlign w:val="bottom"/>
            <w:hideMark/>
          </w:tcPr>
          <w:p w14:paraId="0F250FA0" w14:textId="77777777" w:rsidR="00CE2047" w:rsidRPr="007B09E5" w:rsidRDefault="00CE2047" w:rsidP="00BF7D12">
            <w:pPr>
              <w:spacing w:line="360" w:lineRule="auto"/>
              <w:rPr>
                <w:color w:val="000000"/>
                <w:sz w:val="20"/>
                <w:szCs w:val="20"/>
                <w:lang w:val="es-MX" w:eastAsia="es-MX"/>
              </w:rPr>
            </w:pPr>
            <w:r w:rsidRPr="007B09E5">
              <w:rPr>
                <w:color w:val="000000"/>
                <w:sz w:val="20"/>
                <w:szCs w:val="20"/>
                <w:lang w:val="es-MX" w:eastAsia="es-MX"/>
              </w:rPr>
              <w:t>Aportaciones Federales</w:t>
            </w:r>
          </w:p>
        </w:tc>
        <w:tc>
          <w:tcPr>
            <w:tcW w:w="1640" w:type="dxa"/>
            <w:shd w:val="clear" w:color="auto" w:fill="auto"/>
            <w:noWrap/>
            <w:vAlign w:val="center"/>
            <w:hideMark/>
          </w:tcPr>
          <w:p w14:paraId="1BD521BA" w14:textId="77777777" w:rsidR="00CE2047" w:rsidRPr="00377F63" w:rsidRDefault="00CE2047" w:rsidP="00BF7D12">
            <w:pPr>
              <w:jc w:val="right"/>
              <w:rPr>
                <w:color w:val="000000"/>
                <w:sz w:val="20"/>
                <w:szCs w:val="20"/>
                <w:lang w:val="es-MX" w:eastAsia="es-MX"/>
              </w:rPr>
            </w:pPr>
            <w:r w:rsidRPr="00377F63">
              <w:rPr>
                <w:color w:val="000000"/>
                <w:sz w:val="20"/>
                <w:szCs w:val="20"/>
                <w:lang w:val="es-MX" w:eastAsia="es-MX"/>
              </w:rPr>
              <w:t>12,794,739,972.00</w:t>
            </w:r>
          </w:p>
        </w:tc>
      </w:tr>
      <w:tr w:rsidR="00CE2047" w:rsidRPr="007B09E5" w14:paraId="4D1E80F5" w14:textId="77777777" w:rsidTr="00BF7D12">
        <w:trPr>
          <w:trHeight w:val="300"/>
          <w:jc w:val="center"/>
        </w:trPr>
        <w:tc>
          <w:tcPr>
            <w:tcW w:w="4265" w:type="dxa"/>
            <w:shd w:val="clear" w:color="auto" w:fill="D9D9D9" w:themeFill="background1" w:themeFillShade="D9"/>
            <w:noWrap/>
            <w:vAlign w:val="bottom"/>
            <w:hideMark/>
          </w:tcPr>
          <w:p w14:paraId="54430C26" w14:textId="77777777" w:rsidR="00CE2047" w:rsidRPr="007B09E5" w:rsidRDefault="00CE2047" w:rsidP="00BF7D12">
            <w:pPr>
              <w:spacing w:line="360" w:lineRule="auto"/>
              <w:jc w:val="center"/>
              <w:rPr>
                <w:b/>
                <w:bCs/>
                <w:color w:val="000000"/>
                <w:sz w:val="20"/>
                <w:szCs w:val="20"/>
                <w:lang w:val="es-MX" w:eastAsia="es-MX"/>
              </w:rPr>
            </w:pPr>
            <w:r w:rsidRPr="007B09E5">
              <w:rPr>
                <w:b/>
                <w:bCs/>
                <w:color w:val="000000"/>
                <w:sz w:val="20"/>
                <w:szCs w:val="20"/>
                <w:lang w:val="es-MX" w:eastAsia="es-MX"/>
              </w:rPr>
              <w:t>TOTAL</w:t>
            </w:r>
          </w:p>
        </w:tc>
        <w:tc>
          <w:tcPr>
            <w:tcW w:w="1640" w:type="dxa"/>
            <w:shd w:val="clear" w:color="auto" w:fill="D9D9D9" w:themeFill="background1" w:themeFillShade="D9"/>
            <w:noWrap/>
            <w:vAlign w:val="center"/>
            <w:hideMark/>
          </w:tcPr>
          <w:p w14:paraId="2B35E1A7" w14:textId="77777777" w:rsidR="00CE2047" w:rsidRPr="00377F63" w:rsidRDefault="00CE2047" w:rsidP="00BF7D12">
            <w:pPr>
              <w:jc w:val="right"/>
              <w:rPr>
                <w:b/>
                <w:bCs/>
                <w:color w:val="000000"/>
                <w:sz w:val="20"/>
                <w:szCs w:val="20"/>
                <w:lang w:val="es-MX" w:eastAsia="es-MX"/>
              </w:rPr>
            </w:pPr>
            <w:r w:rsidRPr="00377F63">
              <w:rPr>
                <w:b/>
                <w:bCs/>
                <w:color w:val="000000"/>
                <w:sz w:val="20"/>
                <w:szCs w:val="20"/>
                <w:lang w:eastAsia="es-MX"/>
              </w:rPr>
              <w:t>25,571,563,376.00</w:t>
            </w:r>
          </w:p>
        </w:tc>
      </w:tr>
    </w:tbl>
    <w:p w14:paraId="5AD49A88" w14:textId="77777777" w:rsidR="00525B2B" w:rsidRPr="00955A4C" w:rsidRDefault="00525B2B" w:rsidP="00525B2B">
      <w:pPr>
        <w:spacing w:line="360" w:lineRule="auto"/>
        <w:jc w:val="center"/>
        <w:rPr>
          <w:b/>
          <w:sz w:val="20"/>
          <w:szCs w:val="20"/>
        </w:rPr>
      </w:pPr>
    </w:p>
    <w:p w14:paraId="293946A6" w14:textId="77777777" w:rsidR="00525B2B" w:rsidRPr="00955A4C" w:rsidRDefault="00525B2B" w:rsidP="00525B2B">
      <w:pPr>
        <w:spacing w:after="200" w:line="360" w:lineRule="auto"/>
        <w:jc w:val="center"/>
        <w:rPr>
          <w:rFonts w:eastAsia="Calibri"/>
          <w:b/>
          <w:sz w:val="20"/>
          <w:szCs w:val="20"/>
        </w:rPr>
      </w:pPr>
      <w:r w:rsidRPr="00955A4C">
        <w:rPr>
          <w:rFonts w:eastAsia="Calibri"/>
          <w:b/>
          <w:sz w:val="20"/>
          <w:szCs w:val="20"/>
        </w:rPr>
        <w:t>PRESUPUESTO POR RAMO</w:t>
      </w:r>
    </w:p>
    <w:p w14:paraId="635D19D3" w14:textId="36BAE03A" w:rsidR="001761D9" w:rsidRPr="00955A4C" w:rsidRDefault="001761D9" w:rsidP="001761D9">
      <w:pPr>
        <w:spacing w:after="200" w:line="360" w:lineRule="auto"/>
        <w:jc w:val="both"/>
        <w:rPr>
          <w:rFonts w:eastAsia="Calibri"/>
          <w:sz w:val="20"/>
          <w:szCs w:val="20"/>
        </w:rPr>
      </w:pPr>
      <w:r w:rsidRPr="00955A4C">
        <w:rPr>
          <w:rFonts w:eastAsia="Calibri"/>
          <w:sz w:val="20"/>
          <w:szCs w:val="20"/>
        </w:rPr>
        <w:t xml:space="preserve">El </w:t>
      </w:r>
      <w:r>
        <w:rPr>
          <w:rFonts w:eastAsia="Calibri"/>
          <w:sz w:val="20"/>
          <w:szCs w:val="20"/>
        </w:rPr>
        <w:t>P</w:t>
      </w:r>
      <w:r w:rsidRPr="00955A4C">
        <w:rPr>
          <w:rFonts w:eastAsia="Calibri"/>
          <w:sz w:val="20"/>
          <w:szCs w:val="20"/>
        </w:rPr>
        <w:t xml:space="preserve">royecto de </w:t>
      </w:r>
      <w:r w:rsidR="00C0167B">
        <w:rPr>
          <w:rFonts w:eastAsia="Calibri"/>
          <w:sz w:val="20"/>
          <w:szCs w:val="20"/>
        </w:rPr>
        <w:t xml:space="preserve">Decreto de </w:t>
      </w:r>
      <w:r w:rsidRPr="00955A4C">
        <w:rPr>
          <w:rFonts w:eastAsia="Calibri"/>
          <w:sz w:val="20"/>
          <w:szCs w:val="20"/>
        </w:rPr>
        <w:t xml:space="preserve">Presupuesto de Egresos </w:t>
      </w:r>
      <w:r>
        <w:rPr>
          <w:rFonts w:eastAsia="Calibri"/>
          <w:sz w:val="20"/>
          <w:szCs w:val="20"/>
        </w:rPr>
        <w:t xml:space="preserve">del Estado de Tlaxcala para el ejercicio fiscal </w:t>
      </w:r>
      <w:r w:rsidRPr="00955A4C">
        <w:rPr>
          <w:rFonts w:eastAsia="Calibri"/>
          <w:sz w:val="20"/>
          <w:szCs w:val="20"/>
        </w:rPr>
        <w:t>202</w:t>
      </w:r>
      <w:r>
        <w:rPr>
          <w:rFonts w:eastAsia="Calibri"/>
          <w:sz w:val="20"/>
          <w:szCs w:val="20"/>
        </w:rPr>
        <w:t>3</w:t>
      </w:r>
      <w:r w:rsidRPr="00955A4C">
        <w:rPr>
          <w:rFonts w:eastAsia="Calibri"/>
          <w:sz w:val="20"/>
          <w:szCs w:val="20"/>
        </w:rPr>
        <w:t>, distribuido por Ramo, se integra como sigue:</w:t>
      </w:r>
    </w:p>
    <w:tbl>
      <w:tblPr>
        <w:tblW w:w="5083" w:type="pct"/>
        <w:tblCellMar>
          <w:left w:w="70" w:type="dxa"/>
          <w:right w:w="70" w:type="dxa"/>
        </w:tblCellMar>
        <w:tblLook w:val="04A0" w:firstRow="1" w:lastRow="0" w:firstColumn="1" w:lastColumn="0" w:noHBand="0" w:noVBand="1"/>
      </w:tblPr>
      <w:tblGrid>
        <w:gridCol w:w="1904"/>
        <w:gridCol w:w="364"/>
        <w:gridCol w:w="1819"/>
        <w:gridCol w:w="308"/>
        <w:gridCol w:w="1819"/>
        <w:gridCol w:w="417"/>
        <w:gridCol w:w="1651"/>
      </w:tblGrid>
      <w:tr w:rsidR="00CE2047" w:rsidRPr="007B09E5" w14:paraId="59DADDD3" w14:textId="77777777" w:rsidTr="00BF7D12">
        <w:trPr>
          <w:trHeight w:val="475"/>
          <w:tblHeader/>
        </w:trPr>
        <w:tc>
          <w:tcPr>
            <w:tcW w:w="1149"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CCCCCC"/>
            <w:vAlign w:val="center"/>
            <w:hideMark/>
          </w:tcPr>
          <w:p w14:paraId="236FA770" w14:textId="77777777" w:rsidR="00CE2047" w:rsidRPr="007B09E5" w:rsidRDefault="00CE2047" w:rsidP="00BF7D12">
            <w:pPr>
              <w:spacing w:line="360" w:lineRule="auto"/>
              <w:jc w:val="center"/>
              <w:rPr>
                <w:b/>
                <w:bCs/>
                <w:sz w:val="20"/>
                <w:szCs w:val="20"/>
                <w:lang w:eastAsia="es-MX"/>
              </w:rPr>
            </w:pPr>
            <w:r w:rsidRPr="007B09E5">
              <w:rPr>
                <w:b/>
                <w:bCs/>
                <w:sz w:val="20"/>
                <w:szCs w:val="20"/>
                <w:lang w:eastAsia="es-MX"/>
              </w:rPr>
              <w:t>RAMO</w:t>
            </w:r>
          </w:p>
        </w:tc>
        <w:tc>
          <w:tcPr>
            <w:tcW w:w="220" w:type="pct"/>
            <w:tcBorders>
              <w:top w:val="nil"/>
              <w:left w:val="single" w:sz="4" w:space="0" w:color="A6A6A6" w:themeColor="background1" w:themeShade="A6"/>
              <w:bottom w:val="nil"/>
              <w:right w:val="single" w:sz="4" w:space="0" w:color="A6A6A6" w:themeColor="background1" w:themeShade="A6"/>
            </w:tcBorders>
            <w:shd w:val="clear" w:color="auto" w:fill="auto"/>
            <w:noWrap/>
            <w:vAlign w:val="bottom"/>
            <w:hideMark/>
          </w:tcPr>
          <w:p w14:paraId="0D774A3C" w14:textId="77777777" w:rsidR="00CE2047" w:rsidRPr="007B09E5" w:rsidRDefault="00CE2047" w:rsidP="00BF7D12">
            <w:pPr>
              <w:spacing w:line="360" w:lineRule="auto"/>
              <w:rPr>
                <w:sz w:val="20"/>
                <w:szCs w:val="20"/>
                <w:lang w:eastAsia="es-MX"/>
              </w:rPr>
            </w:pPr>
          </w:p>
        </w:tc>
        <w:tc>
          <w:tcPr>
            <w:tcW w:w="109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CCCCCC"/>
            <w:vAlign w:val="center"/>
            <w:hideMark/>
          </w:tcPr>
          <w:p w14:paraId="34678B68" w14:textId="77777777" w:rsidR="00CE2047" w:rsidRDefault="00CE2047" w:rsidP="00BF7D12">
            <w:pPr>
              <w:spacing w:line="360" w:lineRule="auto"/>
              <w:jc w:val="center"/>
              <w:rPr>
                <w:b/>
                <w:bCs/>
                <w:color w:val="000000"/>
                <w:sz w:val="20"/>
                <w:szCs w:val="20"/>
              </w:rPr>
            </w:pPr>
            <w:r w:rsidRPr="007B09E5">
              <w:rPr>
                <w:b/>
                <w:bCs/>
                <w:color w:val="000000"/>
                <w:sz w:val="20"/>
                <w:szCs w:val="20"/>
              </w:rPr>
              <w:t>ESTATAL</w:t>
            </w:r>
          </w:p>
          <w:p w14:paraId="035BE3AF" w14:textId="77777777" w:rsidR="00CE2047" w:rsidRPr="007B09E5" w:rsidRDefault="00CE2047" w:rsidP="00BF7D12">
            <w:pPr>
              <w:spacing w:line="360" w:lineRule="auto"/>
              <w:jc w:val="center"/>
              <w:rPr>
                <w:b/>
                <w:bCs/>
                <w:color w:val="000000"/>
                <w:sz w:val="20"/>
                <w:szCs w:val="20"/>
                <w:lang w:val="es-MX" w:eastAsia="es-MX"/>
              </w:rPr>
            </w:pPr>
            <w:r>
              <w:rPr>
                <w:b/>
                <w:bCs/>
                <w:color w:val="000000"/>
                <w:sz w:val="20"/>
                <w:szCs w:val="20"/>
              </w:rPr>
              <w:t>($)</w:t>
            </w:r>
          </w:p>
        </w:tc>
        <w:tc>
          <w:tcPr>
            <w:tcW w:w="186" w:type="pct"/>
            <w:tcBorders>
              <w:top w:val="nil"/>
              <w:left w:val="single" w:sz="4" w:space="0" w:color="A6A6A6" w:themeColor="background1" w:themeShade="A6"/>
              <w:bottom w:val="nil"/>
              <w:right w:val="single" w:sz="4" w:space="0" w:color="A6A6A6" w:themeColor="background1" w:themeShade="A6"/>
            </w:tcBorders>
            <w:shd w:val="clear" w:color="auto" w:fill="auto"/>
            <w:noWrap/>
            <w:vAlign w:val="bottom"/>
            <w:hideMark/>
          </w:tcPr>
          <w:p w14:paraId="773A6E50" w14:textId="77777777" w:rsidR="00CE2047" w:rsidRPr="007B09E5" w:rsidRDefault="00CE2047" w:rsidP="00BF7D12">
            <w:pPr>
              <w:spacing w:line="360" w:lineRule="auto"/>
              <w:rPr>
                <w:sz w:val="20"/>
                <w:szCs w:val="20"/>
                <w:lang w:eastAsia="es-MX"/>
              </w:rPr>
            </w:pPr>
          </w:p>
        </w:tc>
        <w:tc>
          <w:tcPr>
            <w:tcW w:w="109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CCCCCC"/>
            <w:vAlign w:val="center"/>
            <w:hideMark/>
          </w:tcPr>
          <w:p w14:paraId="17A6E6AE" w14:textId="77777777" w:rsidR="00CE2047" w:rsidRDefault="00CE2047" w:rsidP="00BF7D12">
            <w:pPr>
              <w:spacing w:line="360" w:lineRule="auto"/>
              <w:jc w:val="center"/>
              <w:rPr>
                <w:b/>
                <w:bCs/>
                <w:color w:val="000000"/>
                <w:sz w:val="20"/>
                <w:szCs w:val="20"/>
              </w:rPr>
            </w:pPr>
            <w:r w:rsidRPr="007B09E5">
              <w:rPr>
                <w:b/>
                <w:bCs/>
                <w:color w:val="000000"/>
                <w:sz w:val="20"/>
                <w:szCs w:val="20"/>
              </w:rPr>
              <w:t>APORTACIONES FEDERALES</w:t>
            </w:r>
          </w:p>
          <w:p w14:paraId="78EC5F2C" w14:textId="77777777" w:rsidR="00CE2047" w:rsidRPr="007B09E5" w:rsidRDefault="00CE2047" w:rsidP="00BF7D12">
            <w:pPr>
              <w:spacing w:line="360" w:lineRule="auto"/>
              <w:jc w:val="center"/>
              <w:rPr>
                <w:b/>
                <w:bCs/>
                <w:color w:val="000000"/>
                <w:sz w:val="20"/>
                <w:szCs w:val="20"/>
                <w:lang w:val="es-MX" w:eastAsia="es-MX"/>
              </w:rPr>
            </w:pPr>
            <w:r>
              <w:rPr>
                <w:b/>
                <w:bCs/>
                <w:color w:val="000000"/>
                <w:sz w:val="20"/>
                <w:szCs w:val="20"/>
              </w:rPr>
              <w:t>($)</w:t>
            </w:r>
          </w:p>
        </w:tc>
        <w:tc>
          <w:tcPr>
            <w:tcW w:w="252" w:type="pct"/>
            <w:tcBorders>
              <w:top w:val="nil"/>
              <w:left w:val="single" w:sz="4" w:space="0" w:color="A6A6A6" w:themeColor="background1" w:themeShade="A6"/>
              <w:bottom w:val="nil"/>
              <w:right w:val="single" w:sz="4" w:space="0" w:color="A6A6A6" w:themeColor="background1" w:themeShade="A6"/>
            </w:tcBorders>
            <w:shd w:val="clear" w:color="auto" w:fill="auto"/>
            <w:noWrap/>
            <w:vAlign w:val="bottom"/>
            <w:hideMark/>
          </w:tcPr>
          <w:p w14:paraId="1F0C2382" w14:textId="77777777" w:rsidR="00CE2047" w:rsidRPr="007B09E5" w:rsidRDefault="00CE2047" w:rsidP="00BF7D12">
            <w:pPr>
              <w:spacing w:line="360" w:lineRule="auto"/>
              <w:rPr>
                <w:sz w:val="20"/>
                <w:szCs w:val="20"/>
                <w:lang w:eastAsia="es-MX"/>
              </w:rPr>
            </w:pPr>
          </w:p>
        </w:tc>
        <w:tc>
          <w:tcPr>
            <w:tcW w:w="997"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CCCCCC"/>
            <w:vAlign w:val="center"/>
            <w:hideMark/>
          </w:tcPr>
          <w:p w14:paraId="2FBAE3E8" w14:textId="77777777" w:rsidR="00CE2047" w:rsidRDefault="00CE2047" w:rsidP="00BF7D12">
            <w:pPr>
              <w:spacing w:line="360" w:lineRule="auto"/>
              <w:jc w:val="center"/>
              <w:rPr>
                <w:b/>
                <w:bCs/>
                <w:color w:val="000000"/>
                <w:sz w:val="20"/>
                <w:szCs w:val="20"/>
              </w:rPr>
            </w:pPr>
            <w:r w:rsidRPr="007B09E5">
              <w:rPr>
                <w:b/>
                <w:bCs/>
                <w:color w:val="000000"/>
                <w:sz w:val="20"/>
                <w:szCs w:val="20"/>
              </w:rPr>
              <w:t>TOTAL</w:t>
            </w:r>
          </w:p>
          <w:p w14:paraId="2FC5FF2B" w14:textId="77777777" w:rsidR="00CE2047" w:rsidRPr="007B09E5" w:rsidRDefault="00CE2047" w:rsidP="00BF7D12">
            <w:pPr>
              <w:spacing w:line="360" w:lineRule="auto"/>
              <w:jc w:val="center"/>
              <w:rPr>
                <w:b/>
                <w:bCs/>
                <w:color w:val="000000"/>
                <w:sz w:val="20"/>
                <w:szCs w:val="20"/>
                <w:lang w:val="es-MX" w:eastAsia="es-MX"/>
              </w:rPr>
            </w:pPr>
            <w:r>
              <w:rPr>
                <w:b/>
                <w:bCs/>
                <w:color w:val="000000"/>
                <w:sz w:val="20"/>
                <w:szCs w:val="20"/>
              </w:rPr>
              <w:t>($)</w:t>
            </w:r>
          </w:p>
        </w:tc>
      </w:tr>
      <w:tr w:rsidR="00CE2047" w:rsidRPr="007B09E5" w14:paraId="3A650585" w14:textId="77777777" w:rsidTr="00BF7D12">
        <w:trPr>
          <w:trHeight w:val="214"/>
        </w:trPr>
        <w:tc>
          <w:tcPr>
            <w:tcW w:w="1149"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hideMark/>
          </w:tcPr>
          <w:p w14:paraId="3C7CD340" w14:textId="77777777" w:rsidR="00CE2047" w:rsidRPr="007B09E5" w:rsidRDefault="00CE2047" w:rsidP="00BF7D12">
            <w:pPr>
              <w:spacing w:line="360" w:lineRule="auto"/>
              <w:jc w:val="both"/>
              <w:rPr>
                <w:sz w:val="20"/>
                <w:szCs w:val="20"/>
                <w:lang w:eastAsia="es-MX"/>
              </w:rPr>
            </w:pPr>
            <w:r w:rsidRPr="007B09E5">
              <w:rPr>
                <w:sz w:val="20"/>
                <w:szCs w:val="20"/>
                <w:lang w:eastAsia="es-MX"/>
              </w:rPr>
              <w:t>Poder Legislativo</w:t>
            </w:r>
          </w:p>
        </w:tc>
        <w:tc>
          <w:tcPr>
            <w:tcW w:w="220" w:type="pct"/>
            <w:tcBorders>
              <w:top w:val="nil"/>
              <w:left w:val="single" w:sz="4" w:space="0" w:color="A6A6A6" w:themeColor="background1" w:themeShade="A6"/>
              <w:bottom w:val="nil"/>
              <w:right w:val="single" w:sz="4" w:space="0" w:color="A6A6A6" w:themeColor="background1" w:themeShade="A6"/>
            </w:tcBorders>
            <w:shd w:val="clear" w:color="auto" w:fill="auto"/>
            <w:noWrap/>
            <w:vAlign w:val="bottom"/>
            <w:hideMark/>
          </w:tcPr>
          <w:p w14:paraId="1BC111CC" w14:textId="77777777" w:rsidR="00CE2047" w:rsidRPr="007B09E5" w:rsidRDefault="00CE2047" w:rsidP="00BF7D12">
            <w:pPr>
              <w:spacing w:line="360" w:lineRule="auto"/>
              <w:rPr>
                <w:sz w:val="20"/>
                <w:szCs w:val="20"/>
                <w:lang w:eastAsia="es-MX"/>
              </w:rPr>
            </w:pPr>
          </w:p>
        </w:tc>
        <w:tc>
          <w:tcPr>
            <w:tcW w:w="109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58D486E4" w14:textId="77777777" w:rsidR="00CE2047" w:rsidRPr="008C6F18" w:rsidRDefault="00CE2047" w:rsidP="00BF7D12">
            <w:pPr>
              <w:jc w:val="right"/>
              <w:rPr>
                <w:color w:val="000000"/>
                <w:sz w:val="20"/>
                <w:szCs w:val="20"/>
                <w:lang w:val="es-MX" w:eastAsia="es-MX"/>
              </w:rPr>
            </w:pPr>
            <w:r w:rsidRPr="008C6F18">
              <w:rPr>
                <w:color w:val="000000"/>
                <w:sz w:val="20"/>
                <w:szCs w:val="20"/>
                <w:lang w:eastAsia="es-MX"/>
              </w:rPr>
              <w:t>418,615,666.00</w:t>
            </w:r>
          </w:p>
        </w:tc>
        <w:tc>
          <w:tcPr>
            <w:tcW w:w="186" w:type="pct"/>
            <w:tcBorders>
              <w:top w:val="nil"/>
              <w:left w:val="single" w:sz="4" w:space="0" w:color="A6A6A6" w:themeColor="background1" w:themeShade="A6"/>
              <w:bottom w:val="nil"/>
              <w:right w:val="single" w:sz="4" w:space="0" w:color="A6A6A6" w:themeColor="background1" w:themeShade="A6"/>
            </w:tcBorders>
            <w:shd w:val="clear" w:color="auto" w:fill="auto"/>
            <w:noWrap/>
            <w:vAlign w:val="bottom"/>
            <w:hideMark/>
          </w:tcPr>
          <w:p w14:paraId="6C47B31D" w14:textId="77777777" w:rsidR="00CE2047" w:rsidRPr="007B09E5" w:rsidRDefault="00CE2047" w:rsidP="00BF7D12">
            <w:pPr>
              <w:spacing w:line="360" w:lineRule="auto"/>
              <w:rPr>
                <w:sz w:val="20"/>
                <w:szCs w:val="20"/>
                <w:lang w:eastAsia="es-MX"/>
              </w:rPr>
            </w:pPr>
          </w:p>
        </w:tc>
        <w:tc>
          <w:tcPr>
            <w:tcW w:w="109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15AF5B05" w14:textId="77777777" w:rsidR="00CE2047" w:rsidRDefault="00CE2047" w:rsidP="00BF7D12">
            <w:pPr>
              <w:jc w:val="right"/>
              <w:rPr>
                <w:color w:val="000000"/>
                <w:sz w:val="20"/>
                <w:szCs w:val="20"/>
                <w:lang w:val="es-MX" w:eastAsia="es-MX"/>
              </w:rPr>
            </w:pPr>
            <w:r>
              <w:rPr>
                <w:color w:val="000000"/>
                <w:sz w:val="20"/>
                <w:szCs w:val="20"/>
              </w:rPr>
              <w:t>0</w:t>
            </w:r>
          </w:p>
        </w:tc>
        <w:tc>
          <w:tcPr>
            <w:tcW w:w="252" w:type="pct"/>
            <w:tcBorders>
              <w:top w:val="nil"/>
              <w:left w:val="single" w:sz="4" w:space="0" w:color="A6A6A6" w:themeColor="background1" w:themeShade="A6"/>
              <w:bottom w:val="nil"/>
              <w:right w:val="single" w:sz="4" w:space="0" w:color="A6A6A6" w:themeColor="background1" w:themeShade="A6"/>
            </w:tcBorders>
            <w:shd w:val="clear" w:color="auto" w:fill="auto"/>
            <w:noWrap/>
            <w:vAlign w:val="bottom"/>
            <w:hideMark/>
          </w:tcPr>
          <w:p w14:paraId="03438F7C" w14:textId="77777777" w:rsidR="00CE2047" w:rsidRPr="007B09E5" w:rsidRDefault="00CE2047" w:rsidP="00BF7D12">
            <w:pPr>
              <w:spacing w:line="360" w:lineRule="auto"/>
              <w:rPr>
                <w:sz w:val="20"/>
                <w:szCs w:val="20"/>
                <w:lang w:eastAsia="es-MX"/>
              </w:rPr>
            </w:pPr>
          </w:p>
        </w:tc>
        <w:tc>
          <w:tcPr>
            <w:tcW w:w="997"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51E43228" w14:textId="77777777" w:rsidR="00CE2047" w:rsidRPr="008C6F18" w:rsidRDefault="00CE2047" w:rsidP="00BF7D12">
            <w:pPr>
              <w:jc w:val="right"/>
              <w:rPr>
                <w:color w:val="000000"/>
                <w:sz w:val="20"/>
                <w:szCs w:val="20"/>
                <w:lang w:val="es-MX" w:eastAsia="es-MX"/>
              </w:rPr>
            </w:pPr>
            <w:r w:rsidRPr="008C6F18">
              <w:rPr>
                <w:color w:val="000000"/>
                <w:sz w:val="20"/>
                <w:szCs w:val="20"/>
                <w:lang w:eastAsia="es-MX"/>
              </w:rPr>
              <w:t>418,615,666.00</w:t>
            </w:r>
          </w:p>
        </w:tc>
      </w:tr>
      <w:tr w:rsidR="00CE2047" w:rsidRPr="007B09E5" w14:paraId="3F435471" w14:textId="77777777" w:rsidTr="00BF7D12">
        <w:trPr>
          <w:trHeight w:val="147"/>
        </w:trPr>
        <w:tc>
          <w:tcPr>
            <w:tcW w:w="1149"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hideMark/>
          </w:tcPr>
          <w:p w14:paraId="509199C1" w14:textId="77777777" w:rsidR="00CE2047" w:rsidRPr="007B09E5" w:rsidRDefault="00CE2047" w:rsidP="00BF7D12">
            <w:pPr>
              <w:spacing w:line="360" w:lineRule="auto"/>
              <w:jc w:val="both"/>
              <w:rPr>
                <w:sz w:val="20"/>
                <w:szCs w:val="20"/>
                <w:lang w:eastAsia="es-MX"/>
              </w:rPr>
            </w:pPr>
            <w:r w:rsidRPr="007B09E5">
              <w:rPr>
                <w:sz w:val="20"/>
                <w:szCs w:val="20"/>
                <w:lang w:eastAsia="es-MX"/>
              </w:rPr>
              <w:t>Poder Judicial</w:t>
            </w:r>
          </w:p>
        </w:tc>
        <w:tc>
          <w:tcPr>
            <w:tcW w:w="220" w:type="pct"/>
            <w:tcBorders>
              <w:top w:val="nil"/>
              <w:left w:val="single" w:sz="4" w:space="0" w:color="A6A6A6" w:themeColor="background1" w:themeShade="A6"/>
              <w:bottom w:val="nil"/>
              <w:right w:val="single" w:sz="4" w:space="0" w:color="A6A6A6" w:themeColor="background1" w:themeShade="A6"/>
            </w:tcBorders>
            <w:shd w:val="clear" w:color="auto" w:fill="auto"/>
            <w:noWrap/>
            <w:vAlign w:val="bottom"/>
            <w:hideMark/>
          </w:tcPr>
          <w:p w14:paraId="7CC4642A" w14:textId="77777777" w:rsidR="00CE2047" w:rsidRPr="007B09E5" w:rsidRDefault="00CE2047" w:rsidP="00BF7D12">
            <w:pPr>
              <w:spacing w:line="360" w:lineRule="auto"/>
              <w:rPr>
                <w:sz w:val="20"/>
                <w:szCs w:val="20"/>
                <w:lang w:eastAsia="es-MX"/>
              </w:rPr>
            </w:pPr>
          </w:p>
        </w:tc>
        <w:tc>
          <w:tcPr>
            <w:tcW w:w="109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1543A469" w14:textId="77777777" w:rsidR="00CE2047" w:rsidRPr="008C6F18" w:rsidRDefault="00CE2047" w:rsidP="00BF7D12">
            <w:pPr>
              <w:jc w:val="right"/>
              <w:rPr>
                <w:color w:val="000000"/>
                <w:sz w:val="20"/>
                <w:szCs w:val="20"/>
                <w:lang w:val="es-MX" w:eastAsia="es-MX"/>
              </w:rPr>
            </w:pPr>
            <w:r w:rsidRPr="008C6F18">
              <w:rPr>
                <w:color w:val="000000"/>
                <w:sz w:val="20"/>
                <w:szCs w:val="20"/>
                <w:lang w:eastAsia="es-MX"/>
              </w:rPr>
              <w:t>450,610,019.00</w:t>
            </w:r>
          </w:p>
        </w:tc>
        <w:tc>
          <w:tcPr>
            <w:tcW w:w="186" w:type="pct"/>
            <w:tcBorders>
              <w:top w:val="nil"/>
              <w:left w:val="single" w:sz="4" w:space="0" w:color="A6A6A6" w:themeColor="background1" w:themeShade="A6"/>
              <w:bottom w:val="nil"/>
              <w:right w:val="single" w:sz="4" w:space="0" w:color="A6A6A6" w:themeColor="background1" w:themeShade="A6"/>
            </w:tcBorders>
            <w:shd w:val="clear" w:color="auto" w:fill="auto"/>
            <w:noWrap/>
            <w:vAlign w:val="bottom"/>
            <w:hideMark/>
          </w:tcPr>
          <w:p w14:paraId="5F06FB14" w14:textId="77777777" w:rsidR="00CE2047" w:rsidRPr="007B09E5" w:rsidRDefault="00CE2047" w:rsidP="00BF7D12">
            <w:pPr>
              <w:spacing w:line="360" w:lineRule="auto"/>
              <w:rPr>
                <w:sz w:val="20"/>
                <w:szCs w:val="20"/>
                <w:lang w:eastAsia="es-MX"/>
              </w:rPr>
            </w:pPr>
          </w:p>
        </w:tc>
        <w:tc>
          <w:tcPr>
            <w:tcW w:w="109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29DB0B2E" w14:textId="77777777" w:rsidR="00CE2047" w:rsidRDefault="00CE2047" w:rsidP="00BF7D12">
            <w:pPr>
              <w:jc w:val="right"/>
              <w:rPr>
                <w:color w:val="000000"/>
                <w:sz w:val="20"/>
                <w:szCs w:val="20"/>
              </w:rPr>
            </w:pPr>
            <w:r>
              <w:rPr>
                <w:color w:val="000000"/>
                <w:sz w:val="20"/>
                <w:szCs w:val="20"/>
              </w:rPr>
              <w:t>0</w:t>
            </w:r>
          </w:p>
        </w:tc>
        <w:tc>
          <w:tcPr>
            <w:tcW w:w="252" w:type="pct"/>
            <w:tcBorders>
              <w:top w:val="nil"/>
              <w:left w:val="single" w:sz="4" w:space="0" w:color="A6A6A6" w:themeColor="background1" w:themeShade="A6"/>
              <w:bottom w:val="nil"/>
              <w:right w:val="single" w:sz="4" w:space="0" w:color="A6A6A6" w:themeColor="background1" w:themeShade="A6"/>
            </w:tcBorders>
            <w:shd w:val="clear" w:color="auto" w:fill="auto"/>
            <w:noWrap/>
            <w:vAlign w:val="bottom"/>
            <w:hideMark/>
          </w:tcPr>
          <w:p w14:paraId="5348A02D" w14:textId="77777777" w:rsidR="00CE2047" w:rsidRPr="007B09E5" w:rsidRDefault="00CE2047" w:rsidP="00BF7D12">
            <w:pPr>
              <w:spacing w:line="360" w:lineRule="auto"/>
              <w:rPr>
                <w:sz w:val="20"/>
                <w:szCs w:val="20"/>
                <w:lang w:eastAsia="es-MX"/>
              </w:rPr>
            </w:pPr>
          </w:p>
        </w:tc>
        <w:tc>
          <w:tcPr>
            <w:tcW w:w="997"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2435CE98" w14:textId="77777777" w:rsidR="00CE2047" w:rsidRPr="008C6F18" w:rsidRDefault="00CE2047" w:rsidP="00BF7D12">
            <w:pPr>
              <w:jc w:val="right"/>
              <w:rPr>
                <w:color w:val="000000"/>
                <w:sz w:val="20"/>
                <w:szCs w:val="20"/>
                <w:lang w:val="es-MX" w:eastAsia="es-MX"/>
              </w:rPr>
            </w:pPr>
            <w:r w:rsidRPr="008C6F18">
              <w:rPr>
                <w:color w:val="000000"/>
                <w:sz w:val="20"/>
                <w:szCs w:val="20"/>
                <w:lang w:eastAsia="es-MX"/>
              </w:rPr>
              <w:t>450,610,019.00</w:t>
            </w:r>
          </w:p>
        </w:tc>
      </w:tr>
      <w:tr w:rsidR="00CE2047" w:rsidRPr="007B09E5" w14:paraId="6EBF44FF" w14:textId="77777777" w:rsidTr="00BF7D12">
        <w:trPr>
          <w:trHeight w:val="70"/>
        </w:trPr>
        <w:tc>
          <w:tcPr>
            <w:tcW w:w="1149"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hideMark/>
          </w:tcPr>
          <w:p w14:paraId="150B47DF" w14:textId="77777777" w:rsidR="00CE2047" w:rsidRPr="007B09E5" w:rsidRDefault="00CE2047" w:rsidP="00BF7D12">
            <w:pPr>
              <w:spacing w:line="360" w:lineRule="auto"/>
              <w:jc w:val="both"/>
              <w:rPr>
                <w:sz w:val="20"/>
                <w:szCs w:val="20"/>
                <w:lang w:eastAsia="es-MX"/>
              </w:rPr>
            </w:pPr>
            <w:r w:rsidRPr="007B09E5">
              <w:rPr>
                <w:sz w:val="20"/>
                <w:szCs w:val="20"/>
                <w:lang w:eastAsia="es-MX"/>
              </w:rPr>
              <w:t>Órganos Autónomos</w:t>
            </w:r>
          </w:p>
        </w:tc>
        <w:tc>
          <w:tcPr>
            <w:tcW w:w="220" w:type="pct"/>
            <w:tcBorders>
              <w:top w:val="nil"/>
              <w:left w:val="single" w:sz="4" w:space="0" w:color="A6A6A6" w:themeColor="background1" w:themeShade="A6"/>
              <w:bottom w:val="nil"/>
              <w:right w:val="single" w:sz="4" w:space="0" w:color="A6A6A6" w:themeColor="background1" w:themeShade="A6"/>
            </w:tcBorders>
            <w:shd w:val="clear" w:color="auto" w:fill="auto"/>
            <w:noWrap/>
            <w:vAlign w:val="bottom"/>
            <w:hideMark/>
          </w:tcPr>
          <w:p w14:paraId="6CD1012A" w14:textId="77777777" w:rsidR="00CE2047" w:rsidRPr="007B09E5" w:rsidRDefault="00CE2047" w:rsidP="00BF7D12">
            <w:pPr>
              <w:spacing w:line="360" w:lineRule="auto"/>
              <w:rPr>
                <w:sz w:val="20"/>
                <w:szCs w:val="20"/>
                <w:lang w:eastAsia="es-MX"/>
              </w:rPr>
            </w:pPr>
          </w:p>
        </w:tc>
        <w:tc>
          <w:tcPr>
            <w:tcW w:w="109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29268937" w14:textId="77777777" w:rsidR="00CE2047" w:rsidRPr="008C6F18" w:rsidRDefault="00CE2047" w:rsidP="00BF7D12">
            <w:pPr>
              <w:jc w:val="right"/>
              <w:rPr>
                <w:color w:val="000000"/>
                <w:sz w:val="20"/>
                <w:szCs w:val="20"/>
                <w:lang w:val="es-MX" w:eastAsia="es-MX"/>
              </w:rPr>
            </w:pPr>
            <w:r w:rsidRPr="008C6F18">
              <w:rPr>
                <w:color w:val="000000"/>
                <w:sz w:val="20"/>
                <w:szCs w:val="20"/>
                <w:lang w:eastAsia="es-MX"/>
              </w:rPr>
              <w:t>406,155,466.00</w:t>
            </w:r>
          </w:p>
        </w:tc>
        <w:tc>
          <w:tcPr>
            <w:tcW w:w="186" w:type="pct"/>
            <w:tcBorders>
              <w:top w:val="nil"/>
              <w:left w:val="single" w:sz="4" w:space="0" w:color="A6A6A6" w:themeColor="background1" w:themeShade="A6"/>
              <w:bottom w:val="nil"/>
              <w:right w:val="single" w:sz="4" w:space="0" w:color="A6A6A6" w:themeColor="background1" w:themeShade="A6"/>
            </w:tcBorders>
            <w:shd w:val="clear" w:color="auto" w:fill="auto"/>
            <w:noWrap/>
            <w:vAlign w:val="bottom"/>
            <w:hideMark/>
          </w:tcPr>
          <w:p w14:paraId="466ADE9E" w14:textId="77777777" w:rsidR="00CE2047" w:rsidRPr="007B09E5" w:rsidRDefault="00CE2047" w:rsidP="00BF7D12">
            <w:pPr>
              <w:spacing w:line="360" w:lineRule="auto"/>
              <w:rPr>
                <w:sz w:val="20"/>
                <w:szCs w:val="20"/>
                <w:lang w:eastAsia="es-MX"/>
              </w:rPr>
            </w:pPr>
          </w:p>
        </w:tc>
        <w:tc>
          <w:tcPr>
            <w:tcW w:w="109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0CEB32DC" w14:textId="77777777" w:rsidR="00CE2047" w:rsidRDefault="00CE2047" w:rsidP="00BF7D12">
            <w:pPr>
              <w:jc w:val="right"/>
              <w:rPr>
                <w:color w:val="000000"/>
                <w:sz w:val="20"/>
                <w:szCs w:val="20"/>
              </w:rPr>
            </w:pPr>
            <w:r>
              <w:rPr>
                <w:color w:val="000000"/>
                <w:sz w:val="20"/>
                <w:szCs w:val="20"/>
              </w:rPr>
              <w:t>0</w:t>
            </w:r>
          </w:p>
        </w:tc>
        <w:tc>
          <w:tcPr>
            <w:tcW w:w="252" w:type="pct"/>
            <w:tcBorders>
              <w:top w:val="nil"/>
              <w:left w:val="single" w:sz="4" w:space="0" w:color="A6A6A6" w:themeColor="background1" w:themeShade="A6"/>
              <w:bottom w:val="nil"/>
              <w:right w:val="single" w:sz="4" w:space="0" w:color="A6A6A6" w:themeColor="background1" w:themeShade="A6"/>
            </w:tcBorders>
            <w:shd w:val="clear" w:color="auto" w:fill="auto"/>
            <w:noWrap/>
            <w:vAlign w:val="bottom"/>
            <w:hideMark/>
          </w:tcPr>
          <w:p w14:paraId="360AE522" w14:textId="77777777" w:rsidR="00CE2047" w:rsidRPr="007B09E5" w:rsidRDefault="00CE2047" w:rsidP="00BF7D12">
            <w:pPr>
              <w:spacing w:line="360" w:lineRule="auto"/>
              <w:rPr>
                <w:sz w:val="20"/>
                <w:szCs w:val="20"/>
                <w:lang w:eastAsia="es-MX"/>
              </w:rPr>
            </w:pPr>
          </w:p>
        </w:tc>
        <w:tc>
          <w:tcPr>
            <w:tcW w:w="997"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5B052091" w14:textId="77777777" w:rsidR="00CE2047" w:rsidRPr="008C6F18" w:rsidRDefault="00CE2047" w:rsidP="00BF7D12">
            <w:pPr>
              <w:jc w:val="right"/>
              <w:rPr>
                <w:color w:val="000000"/>
                <w:sz w:val="20"/>
                <w:szCs w:val="20"/>
                <w:lang w:val="es-MX" w:eastAsia="es-MX"/>
              </w:rPr>
            </w:pPr>
            <w:r w:rsidRPr="008C6F18">
              <w:rPr>
                <w:color w:val="000000"/>
                <w:sz w:val="20"/>
                <w:szCs w:val="20"/>
                <w:lang w:val="es-MX" w:eastAsia="es-MX"/>
              </w:rPr>
              <w:t>406,155,466.00</w:t>
            </w:r>
          </w:p>
        </w:tc>
      </w:tr>
      <w:tr w:rsidR="00CE2047" w:rsidRPr="007B09E5" w14:paraId="19BED603" w14:textId="77777777" w:rsidTr="00BF7D12">
        <w:trPr>
          <w:trHeight w:val="216"/>
        </w:trPr>
        <w:tc>
          <w:tcPr>
            <w:tcW w:w="1149"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hideMark/>
          </w:tcPr>
          <w:p w14:paraId="3AC6E12D" w14:textId="77777777" w:rsidR="00CE2047" w:rsidRPr="007B09E5" w:rsidRDefault="00CE2047" w:rsidP="00BF7D12">
            <w:pPr>
              <w:spacing w:line="360" w:lineRule="auto"/>
              <w:jc w:val="both"/>
              <w:rPr>
                <w:sz w:val="20"/>
                <w:szCs w:val="20"/>
                <w:lang w:eastAsia="es-MX"/>
              </w:rPr>
            </w:pPr>
            <w:r w:rsidRPr="007B09E5">
              <w:rPr>
                <w:sz w:val="20"/>
                <w:szCs w:val="20"/>
                <w:lang w:eastAsia="es-MX"/>
              </w:rPr>
              <w:t>Poder Ejecutivo</w:t>
            </w:r>
          </w:p>
        </w:tc>
        <w:tc>
          <w:tcPr>
            <w:tcW w:w="220" w:type="pct"/>
            <w:tcBorders>
              <w:top w:val="nil"/>
              <w:left w:val="single" w:sz="4" w:space="0" w:color="A6A6A6" w:themeColor="background1" w:themeShade="A6"/>
              <w:bottom w:val="nil"/>
              <w:right w:val="single" w:sz="4" w:space="0" w:color="A6A6A6" w:themeColor="background1" w:themeShade="A6"/>
            </w:tcBorders>
            <w:shd w:val="clear" w:color="auto" w:fill="auto"/>
            <w:noWrap/>
            <w:vAlign w:val="bottom"/>
            <w:hideMark/>
          </w:tcPr>
          <w:p w14:paraId="7AB93C9B" w14:textId="77777777" w:rsidR="00CE2047" w:rsidRPr="007B09E5" w:rsidRDefault="00CE2047" w:rsidP="00BF7D12">
            <w:pPr>
              <w:spacing w:line="360" w:lineRule="auto"/>
              <w:rPr>
                <w:sz w:val="20"/>
                <w:szCs w:val="20"/>
                <w:lang w:eastAsia="es-MX"/>
              </w:rPr>
            </w:pPr>
          </w:p>
        </w:tc>
        <w:tc>
          <w:tcPr>
            <w:tcW w:w="109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2F570E88" w14:textId="77777777" w:rsidR="00CE2047" w:rsidRPr="008C6F18" w:rsidRDefault="00CE2047" w:rsidP="00BF7D12">
            <w:pPr>
              <w:jc w:val="right"/>
              <w:rPr>
                <w:color w:val="000000"/>
                <w:sz w:val="20"/>
                <w:szCs w:val="20"/>
                <w:lang w:val="es-MX" w:eastAsia="es-MX"/>
              </w:rPr>
            </w:pPr>
            <w:r w:rsidRPr="008C6F18">
              <w:rPr>
                <w:color w:val="000000"/>
                <w:sz w:val="20"/>
                <w:szCs w:val="20"/>
                <w:lang w:val="es-MX" w:eastAsia="es-MX"/>
              </w:rPr>
              <w:t>8,933,826,587.00</w:t>
            </w:r>
          </w:p>
        </w:tc>
        <w:tc>
          <w:tcPr>
            <w:tcW w:w="186" w:type="pct"/>
            <w:tcBorders>
              <w:top w:val="nil"/>
              <w:left w:val="single" w:sz="4" w:space="0" w:color="A6A6A6" w:themeColor="background1" w:themeShade="A6"/>
              <w:bottom w:val="nil"/>
              <w:right w:val="single" w:sz="4" w:space="0" w:color="A6A6A6" w:themeColor="background1" w:themeShade="A6"/>
            </w:tcBorders>
            <w:shd w:val="clear" w:color="auto" w:fill="auto"/>
            <w:noWrap/>
            <w:vAlign w:val="bottom"/>
            <w:hideMark/>
          </w:tcPr>
          <w:p w14:paraId="39D53393" w14:textId="77777777" w:rsidR="00CE2047" w:rsidRPr="007B09E5" w:rsidRDefault="00CE2047" w:rsidP="00BF7D12">
            <w:pPr>
              <w:spacing w:line="360" w:lineRule="auto"/>
              <w:rPr>
                <w:sz w:val="20"/>
                <w:szCs w:val="20"/>
                <w:lang w:eastAsia="es-MX"/>
              </w:rPr>
            </w:pPr>
          </w:p>
        </w:tc>
        <w:tc>
          <w:tcPr>
            <w:tcW w:w="109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432862C6" w14:textId="77777777" w:rsidR="00CE2047" w:rsidRPr="008D77CB" w:rsidRDefault="00CE2047" w:rsidP="00BF7D12">
            <w:pPr>
              <w:jc w:val="right"/>
              <w:rPr>
                <w:color w:val="000000"/>
                <w:sz w:val="20"/>
                <w:szCs w:val="20"/>
                <w:lang w:val="es-MX" w:eastAsia="es-MX"/>
              </w:rPr>
            </w:pPr>
            <w:r w:rsidRPr="008D77CB">
              <w:rPr>
                <w:color w:val="000000"/>
                <w:sz w:val="20"/>
                <w:szCs w:val="20"/>
                <w:lang w:val="es-MX" w:eastAsia="es-MX"/>
              </w:rPr>
              <w:t>10,568,217,809.00</w:t>
            </w:r>
          </w:p>
        </w:tc>
        <w:tc>
          <w:tcPr>
            <w:tcW w:w="252" w:type="pct"/>
            <w:tcBorders>
              <w:top w:val="nil"/>
              <w:left w:val="single" w:sz="4" w:space="0" w:color="A6A6A6" w:themeColor="background1" w:themeShade="A6"/>
              <w:bottom w:val="nil"/>
              <w:right w:val="single" w:sz="4" w:space="0" w:color="A6A6A6" w:themeColor="background1" w:themeShade="A6"/>
            </w:tcBorders>
            <w:shd w:val="clear" w:color="auto" w:fill="auto"/>
            <w:noWrap/>
            <w:vAlign w:val="bottom"/>
            <w:hideMark/>
          </w:tcPr>
          <w:p w14:paraId="7F620DA2" w14:textId="77777777" w:rsidR="00CE2047" w:rsidRPr="007B09E5" w:rsidRDefault="00CE2047" w:rsidP="00BF7D12">
            <w:pPr>
              <w:spacing w:line="360" w:lineRule="auto"/>
              <w:rPr>
                <w:sz w:val="20"/>
                <w:szCs w:val="20"/>
                <w:lang w:eastAsia="es-MX"/>
              </w:rPr>
            </w:pPr>
          </w:p>
        </w:tc>
        <w:tc>
          <w:tcPr>
            <w:tcW w:w="997"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6FB1F988" w14:textId="77777777" w:rsidR="00CE2047" w:rsidRPr="008C6F18" w:rsidRDefault="00CE2047" w:rsidP="00BF7D12">
            <w:pPr>
              <w:jc w:val="right"/>
              <w:rPr>
                <w:color w:val="000000"/>
                <w:sz w:val="20"/>
                <w:szCs w:val="20"/>
                <w:lang w:val="es-MX" w:eastAsia="es-MX"/>
              </w:rPr>
            </w:pPr>
            <w:r w:rsidRPr="008C6F18">
              <w:rPr>
                <w:color w:val="000000"/>
                <w:sz w:val="20"/>
                <w:szCs w:val="20"/>
                <w:lang w:val="es-MX" w:eastAsia="es-MX"/>
              </w:rPr>
              <w:t>19,502,044,396.00</w:t>
            </w:r>
          </w:p>
        </w:tc>
      </w:tr>
      <w:tr w:rsidR="00CE2047" w:rsidRPr="007B09E5" w14:paraId="1ACE451E" w14:textId="77777777" w:rsidTr="00BF7D12">
        <w:trPr>
          <w:trHeight w:val="414"/>
        </w:trPr>
        <w:tc>
          <w:tcPr>
            <w:tcW w:w="1149"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hideMark/>
          </w:tcPr>
          <w:p w14:paraId="4924F174" w14:textId="77777777" w:rsidR="00CE2047" w:rsidRPr="007B09E5" w:rsidRDefault="00CE2047" w:rsidP="00BF7D12">
            <w:pPr>
              <w:spacing w:line="360" w:lineRule="auto"/>
              <w:jc w:val="both"/>
              <w:rPr>
                <w:sz w:val="20"/>
                <w:szCs w:val="20"/>
                <w:lang w:eastAsia="es-MX"/>
              </w:rPr>
            </w:pPr>
            <w:r w:rsidRPr="007B09E5">
              <w:rPr>
                <w:sz w:val="20"/>
                <w:szCs w:val="20"/>
                <w:lang w:eastAsia="es-MX"/>
              </w:rPr>
              <w:t>Municipios</w:t>
            </w:r>
          </w:p>
        </w:tc>
        <w:tc>
          <w:tcPr>
            <w:tcW w:w="220" w:type="pct"/>
            <w:tcBorders>
              <w:top w:val="nil"/>
              <w:left w:val="single" w:sz="4" w:space="0" w:color="A6A6A6" w:themeColor="background1" w:themeShade="A6"/>
              <w:bottom w:val="nil"/>
              <w:right w:val="single" w:sz="4" w:space="0" w:color="A6A6A6" w:themeColor="background1" w:themeShade="A6"/>
            </w:tcBorders>
            <w:shd w:val="clear" w:color="auto" w:fill="auto"/>
            <w:noWrap/>
            <w:vAlign w:val="bottom"/>
            <w:hideMark/>
          </w:tcPr>
          <w:p w14:paraId="294FCA1B" w14:textId="77777777" w:rsidR="00CE2047" w:rsidRPr="007B09E5" w:rsidRDefault="00CE2047" w:rsidP="00BF7D12">
            <w:pPr>
              <w:spacing w:line="360" w:lineRule="auto"/>
              <w:rPr>
                <w:sz w:val="20"/>
                <w:szCs w:val="20"/>
                <w:lang w:eastAsia="es-MX"/>
              </w:rPr>
            </w:pPr>
          </w:p>
        </w:tc>
        <w:tc>
          <w:tcPr>
            <w:tcW w:w="109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750934EA" w14:textId="77777777" w:rsidR="00CE2047" w:rsidRPr="008C6F18" w:rsidRDefault="00CE2047" w:rsidP="00BF7D12">
            <w:pPr>
              <w:jc w:val="right"/>
              <w:rPr>
                <w:color w:val="000000"/>
                <w:sz w:val="20"/>
                <w:szCs w:val="20"/>
                <w:lang w:val="es-MX" w:eastAsia="es-MX"/>
              </w:rPr>
            </w:pPr>
            <w:r w:rsidRPr="008C6F18">
              <w:rPr>
                <w:color w:val="000000"/>
                <w:sz w:val="20"/>
                <w:szCs w:val="20"/>
                <w:lang w:val="es-MX" w:eastAsia="es-MX"/>
              </w:rPr>
              <w:t>2,567,615,666.00</w:t>
            </w:r>
          </w:p>
        </w:tc>
        <w:tc>
          <w:tcPr>
            <w:tcW w:w="186" w:type="pct"/>
            <w:tcBorders>
              <w:top w:val="nil"/>
              <w:left w:val="single" w:sz="4" w:space="0" w:color="A6A6A6" w:themeColor="background1" w:themeShade="A6"/>
              <w:bottom w:val="nil"/>
              <w:right w:val="single" w:sz="4" w:space="0" w:color="A6A6A6" w:themeColor="background1" w:themeShade="A6"/>
            </w:tcBorders>
            <w:shd w:val="clear" w:color="auto" w:fill="auto"/>
            <w:noWrap/>
            <w:vAlign w:val="bottom"/>
            <w:hideMark/>
          </w:tcPr>
          <w:p w14:paraId="7D3FDD4E" w14:textId="77777777" w:rsidR="00CE2047" w:rsidRPr="007B09E5" w:rsidRDefault="00CE2047" w:rsidP="00BF7D12">
            <w:pPr>
              <w:spacing w:line="360" w:lineRule="auto"/>
              <w:rPr>
                <w:sz w:val="20"/>
                <w:szCs w:val="20"/>
                <w:lang w:eastAsia="es-MX"/>
              </w:rPr>
            </w:pPr>
          </w:p>
        </w:tc>
        <w:tc>
          <w:tcPr>
            <w:tcW w:w="109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1619F38C" w14:textId="77777777" w:rsidR="00CE2047" w:rsidRPr="008D77CB" w:rsidRDefault="00CE2047" w:rsidP="00BF7D12">
            <w:pPr>
              <w:jc w:val="right"/>
              <w:rPr>
                <w:color w:val="000000"/>
                <w:sz w:val="20"/>
                <w:szCs w:val="20"/>
                <w:lang w:val="es-MX" w:eastAsia="es-MX"/>
              </w:rPr>
            </w:pPr>
            <w:r w:rsidRPr="008D77CB">
              <w:rPr>
                <w:color w:val="000000"/>
                <w:sz w:val="20"/>
                <w:szCs w:val="20"/>
                <w:lang w:val="es-MX" w:eastAsia="es-MX"/>
              </w:rPr>
              <w:t>2,226,522,163.00</w:t>
            </w:r>
          </w:p>
        </w:tc>
        <w:tc>
          <w:tcPr>
            <w:tcW w:w="252" w:type="pct"/>
            <w:tcBorders>
              <w:top w:val="nil"/>
              <w:left w:val="single" w:sz="4" w:space="0" w:color="A6A6A6" w:themeColor="background1" w:themeShade="A6"/>
              <w:bottom w:val="nil"/>
              <w:right w:val="single" w:sz="4" w:space="0" w:color="A6A6A6" w:themeColor="background1" w:themeShade="A6"/>
            </w:tcBorders>
            <w:shd w:val="clear" w:color="auto" w:fill="auto"/>
            <w:noWrap/>
            <w:vAlign w:val="bottom"/>
            <w:hideMark/>
          </w:tcPr>
          <w:p w14:paraId="7CA0FF39" w14:textId="77777777" w:rsidR="00CE2047" w:rsidRPr="007B09E5" w:rsidRDefault="00CE2047" w:rsidP="00BF7D12">
            <w:pPr>
              <w:spacing w:line="360" w:lineRule="auto"/>
              <w:rPr>
                <w:sz w:val="20"/>
                <w:szCs w:val="20"/>
                <w:lang w:eastAsia="es-MX"/>
              </w:rPr>
            </w:pPr>
          </w:p>
        </w:tc>
        <w:tc>
          <w:tcPr>
            <w:tcW w:w="997"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476C24D8" w14:textId="77777777" w:rsidR="00CE2047" w:rsidRPr="008C6F18" w:rsidRDefault="00CE2047" w:rsidP="00BF7D12">
            <w:pPr>
              <w:jc w:val="right"/>
              <w:rPr>
                <w:color w:val="000000"/>
                <w:sz w:val="20"/>
                <w:szCs w:val="20"/>
                <w:lang w:val="es-MX" w:eastAsia="es-MX"/>
              </w:rPr>
            </w:pPr>
            <w:r w:rsidRPr="008C6F18">
              <w:rPr>
                <w:color w:val="000000"/>
                <w:sz w:val="20"/>
                <w:szCs w:val="20"/>
                <w:lang w:val="es-MX" w:eastAsia="es-MX"/>
              </w:rPr>
              <w:t>4,794,137,829.00</w:t>
            </w:r>
          </w:p>
        </w:tc>
      </w:tr>
      <w:tr w:rsidR="00CE2047" w:rsidRPr="007B09E5" w14:paraId="1832806D" w14:textId="77777777" w:rsidTr="00BF7D12">
        <w:trPr>
          <w:trHeight w:val="330"/>
        </w:trPr>
        <w:tc>
          <w:tcPr>
            <w:tcW w:w="1149"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CCCCCC"/>
            <w:vAlign w:val="center"/>
            <w:hideMark/>
          </w:tcPr>
          <w:p w14:paraId="763E50C9" w14:textId="77777777" w:rsidR="00CE2047" w:rsidRPr="007B09E5" w:rsidRDefault="00CE2047" w:rsidP="00BF7D12">
            <w:pPr>
              <w:spacing w:line="360" w:lineRule="auto"/>
              <w:jc w:val="center"/>
              <w:rPr>
                <w:b/>
                <w:bCs/>
                <w:sz w:val="20"/>
                <w:szCs w:val="20"/>
                <w:lang w:eastAsia="es-MX"/>
              </w:rPr>
            </w:pPr>
            <w:r w:rsidRPr="007B09E5">
              <w:rPr>
                <w:b/>
                <w:bCs/>
                <w:sz w:val="20"/>
                <w:szCs w:val="20"/>
                <w:lang w:eastAsia="es-MX"/>
              </w:rPr>
              <w:t>TOTAL</w:t>
            </w:r>
          </w:p>
        </w:tc>
        <w:tc>
          <w:tcPr>
            <w:tcW w:w="220" w:type="pct"/>
            <w:tcBorders>
              <w:top w:val="nil"/>
              <w:left w:val="single" w:sz="4" w:space="0" w:color="A6A6A6" w:themeColor="background1" w:themeShade="A6"/>
              <w:bottom w:val="nil"/>
              <w:right w:val="single" w:sz="4" w:space="0" w:color="A6A6A6" w:themeColor="background1" w:themeShade="A6"/>
            </w:tcBorders>
            <w:shd w:val="clear" w:color="auto" w:fill="auto"/>
            <w:noWrap/>
            <w:vAlign w:val="bottom"/>
            <w:hideMark/>
          </w:tcPr>
          <w:p w14:paraId="4FAE1466" w14:textId="77777777" w:rsidR="00CE2047" w:rsidRPr="007B09E5" w:rsidRDefault="00CE2047" w:rsidP="00BF7D12">
            <w:pPr>
              <w:spacing w:line="360" w:lineRule="auto"/>
              <w:rPr>
                <w:b/>
                <w:sz w:val="20"/>
                <w:szCs w:val="20"/>
                <w:lang w:eastAsia="es-MX"/>
              </w:rPr>
            </w:pPr>
          </w:p>
        </w:tc>
        <w:tc>
          <w:tcPr>
            <w:tcW w:w="109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CCCCCC"/>
            <w:vAlign w:val="center"/>
          </w:tcPr>
          <w:p w14:paraId="64515DC0" w14:textId="77777777" w:rsidR="00CE2047" w:rsidRPr="008C6F18" w:rsidRDefault="00CE2047" w:rsidP="00BF7D12">
            <w:pPr>
              <w:jc w:val="right"/>
              <w:rPr>
                <w:b/>
                <w:bCs/>
                <w:color w:val="000000"/>
                <w:sz w:val="20"/>
                <w:szCs w:val="20"/>
                <w:lang w:val="es-MX" w:eastAsia="es-MX"/>
              </w:rPr>
            </w:pPr>
            <w:r w:rsidRPr="008C6F18">
              <w:rPr>
                <w:b/>
                <w:bCs/>
                <w:color w:val="000000"/>
                <w:sz w:val="20"/>
                <w:szCs w:val="20"/>
                <w:lang w:eastAsia="es-MX"/>
              </w:rPr>
              <w:t>12,776,823,404.00</w:t>
            </w:r>
          </w:p>
        </w:tc>
        <w:tc>
          <w:tcPr>
            <w:tcW w:w="186" w:type="pct"/>
            <w:tcBorders>
              <w:top w:val="nil"/>
              <w:left w:val="single" w:sz="4" w:space="0" w:color="A6A6A6" w:themeColor="background1" w:themeShade="A6"/>
              <w:bottom w:val="nil"/>
              <w:right w:val="single" w:sz="4" w:space="0" w:color="A6A6A6" w:themeColor="background1" w:themeShade="A6"/>
            </w:tcBorders>
            <w:shd w:val="clear" w:color="auto" w:fill="auto"/>
            <w:noWrap/>
            <w:vAlign w:val="bottom"/>
            <w:hideMark/>
          </w:tcPr>
          <w:p w14:paraId="208680A5" w14:textId="77777777" w:rsidR="00CE2047" w:rsidRPr="007B09E5" w:rsidRDefault="00CE2047" w:rsidP="00BF7D12">
            <w:pPr>
              <w:spacing w:line="360" w:lineRule="auto"/>
              <w:rPr>
                <w:b/>
                <w:sz w:val="20"/>
                <w:szCs w:val="20"/>
                <w:lang w:eastAsia="es-MX"/>
              </w:rPr>
            </w:pPr>
          </w:p>
        </w:tc>
        <w:tc>
          <w:tcPr>
            <w:tcW w:w="109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CCCCCC"/>
            <w:vAlign w:val="center"/>
          </w:tcPr>
          <w:p w14:paraId="6301F103" w14:textId="77777777" w:rsidR="00CE2047" w:rsidRPr="008D77CB" w:rsidRDefault="00CE2047" w:rsidP="00BF7D12">
            <w:pPr>
              <w:jc w:val="right"/>
              <w:rPr>
                <w:b/>
                <w:bCs/>
                <w:color w:val="000000"/>
                <w:sz w:val="20"/>
                <w:szCs w:val="20"/>
                <w:lang w:val="es-MX" w:eastAsia="es-MX"/>
              </w:rPr>
            </w:pPr>
            <w:r w:rsidRPr="008D77CB">
              <w:rPr>
                <w:b/>
                <w:bCs/>
                <w:color w:val="000000"/>
                <w:sz w:val="20"/>
                <w:szCs w:val="20"/>
                <w:lang w:eastAsia="es-MX"/>
              </w:rPr>
              <w:t>12,794,739,972.00</w:t>
            </w:r>
          </w:p>
        </w:tc>
        <w:tc>
          <w:tcPr>
            <w:tcW w:w="252" w:type="pct"/>
            <w:tcBorders>
              <w:top w:val="nil"/>
              <w:left w:val="single" w:sz="4" w:space="0" w:color="A6A6A6" w:themeColor="background1" w:themeShade="A6"/>
              <w:bottom w:val="nil"/>
              <w:right w:val="single" w:sz="4" w:space="0" w:color="A6A6A6" w:themeColor="background1" w:themeShade="A6"/>
            </w:tcBorders>
            <w:shd w:val="clear" w:color="auto" w:fill="auto"/>
            <w:noWrap/>
            <w:vAlign w:val="bottom"/>
            <w:hideMark/>
          </w:tcPr>
          <w:p w14:paraId="5C87ED55" w14:textId="77777777" w:rsidR="00CE2047" w:rsidRPr="007B09E5" w:rsidRDefault="00CE2047" w:rsidP="00BF7D12">
            <w:pPr>
              <w:spacing w:line="360" w:lineRule="auto"/>
              <w:rPr>
                <w:b/>
                <w:sz w:val="20"/>
                <w:szCs w:val="20"/>
                <w:lang w:eastAsia="es-MX"/>
              </w:rPr>
            </w:pPr>
          </w:p>
        </w:tc>
        <w:tc>
          <w:tcPr>
            <w:tcW w:w="997"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000000" w:fill="CCCCCC"/>
            <w:vAlign w:val="center"/>
          </w:tcPr>
          <w:p w14:paraId="65A8CFA3" w14:textId="77777777" w:rsidR="00CE2047" w:rsidRPr="008C6F18" w:rsidRDefault="00CE2047" w:rsidP="00BF7D12">
            <w:pPr>
              <w:jc w:val="right"/>
              <w:rPr>
                <w:b/>
                <w:bCs/>
                <w:color w:val="000000"/>
                <w:sz w:val="20"/>
                <w:szCs w:val="20"/>
                <w:lang w:val="es-MX" w:eastAsia="es-MX"/>
              </w:rPr>
            </w:pPr>
            <w:r w:rsidRPr="008C6F18">
              <w:rPr>
                <w:b/>
                <w:bCs/>
                <w:color w:val="000000"/>
                <w:sz w:val="20"/>
                <w:szCs w:val="20"/>
                <w:lang w:eastAsia="es-MX"/>
              </w:rPr>
              <w:t>25,571,563,376.00</w:t>
            </w:r>
          </w:p>
        </w:tc>
      </w:tr>
    </w:tbl>
    <w:p w14:paraId="3F1006C8" w14:textId="77777777" w:rsidR="00525B2B" w:rsidRPr="00955A4C" w:rsidRDefault="00525B2B" w:rsidP="00525B2B">
      <w:pPr>
        <w:spacing w:line="360" w:lineRule="auto"/>
        <w:jc w:val="both"/>
        <w:rPr>
          <w:b/>
          <w:sz w:val="20"/>
          <w:szCs w:val="20"/>
        </w:rPr>
      </w:pPr>
    </w:p>
    <w:p w14:paraId="1A2DB1D3" w14:textId="3A38E07F" w:rsidR="001761D9" w:rsidRPr="00955A4C" w:rsidRDefault="00CE2047" w:rsidP="001761D9">
      <w:pPr>
        <w:spacing w:after="200" w:line="360" w:lineRule="auto"/>
        <w:jc w:val="both"/>
        <w:rPr>
          <w:rFonts w:eastAsia="Calibri"/>
          <w:sz w:val="20"/>
          <w:szCs w:val="20"/>
        </w:rPr>
      </w:pPr>
      <w:r>
        <w:rPr>
          <w:rFonts w:eastAsia="Calibri"/>
          <w:sz w:val="20"/>
          <w:szCs w:val="20"/>
        </w:rPr>
        <w:t>Para el Poder Legislativo, se estima u</w:t>
      </w:r>
      <w:r w:rsidRPr="00955A4C">
        <w:rPr>
          <w:rFonts w:eastAsia="Calibri"/>
          <w:sz w:val="20"/>
          <w:szCs w:val="20"/>
        </w:rPr>
        <w:t xml:space="preserve">n presupuesto </w:t>
      </w:r>
      <w:r>
        <w:rPr>
          <w:rFonts w:eastAsia="Calibri"/>
          <w:color w:val="000000" w:themeColor="text1"/>
          <w:sz w:val="20"/>
          <w:szCs w:val="20"/>
        </w:rPr>
        <w:t xml:space="preserve">total de </w:t>
      </w:r>
      <w:r w:rsidRPr="00BD37E4">
        <w:rPr>
          <w:rFonts w:eastAsia="Calibri"/>
          <w:color w:val="000000" w:themeColor="text1"/>
          <w:sz w:val="20"/>
          <w:szCs w:val="20"/>
        </w:rPr>
        <w:t>$</w:t>
      </w:r>
      <w:r>
        <w:rPr>
          <w:rFonts w:eastAsia="Calibri"/>
          <w:color w:val="000000" w:themeColor="text1"/>
          <w:sz w:val="20"/>
          <w:szCs w:val="20"/>
        </w:rPr>
        <w:t>418</w:t>
      </w:r>
      <w:r w:rsidRPr="00BD37E4">
        <w:rPr>
          <w:rFonts w:eastAsia="Calibri"/>
          <w:color w:val="000000" w:themeColor="text1"/>
          <w:sz w:val="20"/>
          <w:szCs w:val="20"/>
        </w:rPr>
        <w:t>,</w:t>
      </w:r>
      <w:r>
        <w:rPr>
          <w:rFonts w:eastAsia="Calibri"/>
          <w:color w:val="000000" w:themeColor="text1"/>
          <w:sz w:val="20"/>
          <w:szCs w:val="20"/>
        </w:rPr>
        <w:t>615</w:t>
      </w:r>
      <w:r w:rsidRPr="00BD37E4">
        <w:rPr>
          <w:rFonts w:eastAsia="Calibri"/>
          <w:color w:val="000000" w:themeColor="text1"/>
          <w:sz w:val="20"/>
          <w:szCs w:val="20"/>
        </w:rPr>
        <w:t>,</w:t>
      </w:r>
      <w:r>
        <w:rPr>
          <w:rFonts w:eastAsia="Calibri"/>
          <w:color w:val="000000" w:themeColor="text1"/>
          <w:sz w:val="20"/>
          <w:szCs w:val="20"/>
        </w:rPr>
        <w:t>666</w:t>
      </w:r>
      <w:r w:rsidRPr="00BD37E4">
        <w:rPr>
          <w:rFonts w:eastAsia="Calibri"/>
          <w:color w:val="000000" w:themeColor="text1"/>
          <w:sz w:val="20"/>
          <w:szCs w:val="20"/>
        </w:rPr>
        <w:t>.00,</w:t>
      </w:r>
      <w:r w:rsidRPr="008A1DCA">
        <w:rPr>
          <w:rFonts w:eastAsia="Calibri"/>
          <w:color w:val="000000" w:themeColor="text1"/>
          <w:sz w:val="20"/>
          <w:szCs w:val="20"/>
        </w:rPr>
        <w:t xml:space="preserve"> </w:t>
      </w:r>
      <w:r w:rsidRPr="00955A4C">
        <w:rPr>
          <w:rFonts w:eastAsia="Calibri"/>
          <w:sz w:val="20"/>
          <w:szCs w:val="20"/>
        </w:rPr>
        <w:t xml:space="preserve">que </w:t>
      </w:r>
      <w:r>
        <w:rPr>
          <w:rFonts w:eastAsia="Calibri"/>
          <w:sz w:val="20"/>
          <w:szCs w:val="20"/>
        </w:rPr>
        <w:t>representaría un incremento del 12.1</w:t>
      </w:r>
      <w:r w:rsidRPr="00955A4C">
        <w:rPr>
          <w:rFonts w:eastAsia="Calibri"/>
          <w:sz w:val="20"/>
          <w:szCs w:val="20"/>
        </w:rPr>
        <w:t>%</w:t>
      </w:r>
      <w:r w:rsidRPr="00955A4C">
        <w:rPr>
          <w:rFonts w:eastAsia="Calibri"/>
          <w:color w:val="FF0000"/>
          <w:sz w:val="20"/>
          <w:szCs w:val="20"/>
        </w:rPr>
        <w:t xml:space="preserve"> </w:t>
      </w:r>
      <w:r w:rsidRPr="00955A4C">
        <w:rPr>
          <w:rFonts w:eastAsia="Calibri"/>
          <w:sz w:val="20"/>
          <w:szCs w:val="20"/>
        </w:rPr>
        <w:t>respecto de 20</w:t>
      </w:r>
      <w:r>
        <w:rPr>
          <w:rFonts w:eastAsia="Calibri"/>
          <w:sz w:val="20"/>
          <w:szCs w:val="20"/>
        </w:rPr>
        <w:t>22</w:t>
      </w:r>
      <w:r w:rsidRPr="00955A4C">
        <w:rPr>
          <w:rFonts w:eastAsia="Calibri"/>
          <w:sz w:val="20"/>
          <w:szCs w:val="20"/>
        </w:rPr>
        <w:t>, integrado como sigue</w:t>
      </w:r>
      <w:r w:rsidR="00C0167B">
        <w:rPr>
          <w:rFonts w:eastAsia="Calibri"/>
          <w:sz w:val="20"/>
          <w:szCs w:val="20"/>
        </w:rPr>
        <w:t>:</w:t>
      </w:r>
    </w:p>
    <w:tbl>
      <w:tblPr>
        <w:tblW w:w="5117" w:type="dxa"/>
        <w:jc w:val="center"/>
        <w:tblCellMar>
          <w:left w:w="70" w:type="dxa"/>
          <w:right w:w="70" w:type="dxa"/>
        </w:tblCellMar>
        <w:tblLook w:val="04A0" w:firstRow="1" w:lastRow="0" w:firstColumn="1" w:lastColumn="0" w:noHBand="0" w:noVBand="1"/>
      </w:tblPr>
      <w:tblGrid>
        <w:gridCol w:w="3685"/>
        <w:gridCol w:w="1432"/>
      </w:tblGrid>
      <w:tr w:rsidR="001761D9" w:rsidRPr="00955A4C" w14:paraId="594A7956" w14:textId="77777777" w:rsidTr="00BF7D12">
        <w:trPr>
          <w:trHeight w:val="547"/>
          <w:tblHeader/>
          <w:jc w:val="center"/>
        </w:trPr>
        <w:tc>
          <w:tcPr>
            <w:tcW w:w="3685" w:type="dxa"/>
            <w:tcBorders>
              <w:top w:val="single" w:sz="8" w:space="0" w:color="A6A6A6"/>
              <w:left w:val="single" w:sz="8" w:space="0" w:color="A6A6A6"/>
              <w:bottom w:val="nil"/>
              <w:right w:val="single" w:sz="8" w:space="0" w:color="A6A6A6"/>
            </w:tcBorders>
            <w:shd w:val="clear" w:color="000000" w:fill="CCCCCC"/>
            <w:vAlign w:val="center"/>
            <w:hideMark/>
          </w:tcPr>
          <w:p w14:paraId="648FA069" w14:textId="77777777" w:rsidR="001761D9" w:rsidRPr="00955A4C" w:rsidRDefault="001761D9" w:rsidP="00BF7D12">
            <w:pPr>
              <w:spacing w:line="360" w:lineRule="auto"/>
              <w:jc w:val="center"/>
              <w:rPr>
                <w:b/>
                <w:bCs/>
                <w:sz w:val="20"/>
                <w:szCs w:val="20"/>
                <w:lang w:eastAsia="es-MX"/>
              </w:rPr>
            </w:pPr>
            <w:r w:rsidRPr="00955A4C">
              <w:rPr>
                <w:b/>
                <w:bCs/>
                <w:sz w:val="20"/>
                <w:szCs w:val="20"/>
                <w:lang w:eastAsia="es-MX"/>
              </w:rPr>
              <w:t>PODER LEGISLATIVO</w:t>
            </w:r>
          </w:p>
        </w:tc>
        <w:tc>
          <w:tcPr>
            <w:tcW w:w="1432" w:type="dxa"/>
            <w:tcBorders>
              <w:top w:val="single" w:sz="8" w:space="0" w:color="A6A6A6"/>
              <w:left w:val="nil"/>
              <w:bottom w:val="nil"/>
              <w:right w:val="single" w:sz="8" w:space="0" w:color="A6A6A6"/>
            </w:tcBorders>
            <w:shd w:val="clear" w:color="000000" w:fill="CCCCCC"/>
            <w:vAlign w:val="center"/>
            <w:hideMark/>
          </w:tcPr>
          <w:p w14:paraId="7509CAD0" w14:textId="77777777" w:rsidR="001761D9" w:rsidRDefault="001761D9" w:rsidP="00BF7D12">
            <w:pPr>
              <w:spacing w:line="360" w:lineRule="auto"/>
              <w:jc w:val="center"/>
              <w:rPr>
                <w:b/>
                <w:bCs/>
                <w:sz w:val="20"/>
                <w:szCs w:val="20"/>
                <w:lang w:eastAsia="es-MX"/>
              </w:rPr>
            </w:pPr>
            <w:r>
              <w:rPr>
                <w:b/>
                <w:bCs/>
                <w:sz w:val="20"/>
                <w:szCs w:val="20"/>
                <w:lang w:eastAsia="es-MX"/>
              </w:rPr>
              <w:t>MONTO</w:t>
            </w:r>
          </w:p>
          <w:p w14:paraId="13B67245" w14:textId="77777777" w:rsidR="001761D9" w:rsidRPr="00955A4C" w:rsidRDefault="001761D9" w:rsidP="00BF7D12">
            <w:pPr>
              <w:spacing w:line="360" w:lineRule="auto"/>
              <w:jc w:val="center"/>
              <w:rPr>
                <w:b/>
                <w:bCs/>
                <w:sz w:val="20"/>
                <w:szCs w:val="20"/>
                <w:lang w:eastAsia="es-MX"/>
              </w:rPr>
            </w:pPr>
            <w:r>
              <w:rPr>
                <w:b/>
                <w:bCs/>
                <w:sz w:val="20"/>
                <w:szCs w:val="20"/>
                <w:lang w:eastAsia="es-MX"/>
              </w:rPr>
              <w:t xml:space="preserve"> ($)</w:t>
            </w:r>
          </w:p>
        </w:tc>
      </w:tr>
      <w:tr w:rsidR="001761D9" w:rsidRPr="00955A4C" w14:paraId="2553274B" w14:textId="77777777" w:rsidTr="00BF7D12">
        <w:trPr>
          <w:trHeight w:val="615"/>
          <w:jc w:val="center"/>
        </w:trPr>
        <w:tc>
          <w:tcPr>
            <w:tcW w:w="3685" w:type="dxa"/>
            <w:tcBorders>
              <w:top w:val="single" w:sz="8" w:space="0" w:color="A6A6A6"/>
              <w:left w:val="single" w:sz="8" w:space="0" w:color="A6A6A6"/>
              <w:bottom w:val="single" w:sz="8" w:space="0" w:color="A6A6A6"/>
              <w:right w:val="single" w:sz="8" w:space="0" w:color="A6A6A6"/>
            </w:tcBorders>
            <w:shd w:val="clear" w:color="auto" w:fill="auto"/>
            <w:vAlign w:val="center"/>
            <w:hideMark/>
          </w:tcPr>
          <w:p w14:paraId="191DC1E5" w14:textId="77777777" w:rsidR="001761D9" w:rsidRPr="00955A4C" w:rsidRDefault="001761D9" w:rsidP="00BF7D12">
            <w:pPr>
              <w:spacing w:line="360" w:lineRule="auto"/>
              <w:jc w:val="both"/>
              <w:rPr>
                <w:sz w:val="20"/>
                <w:szCs w:val="20"/>
                <w:lang w:eastAsia="es-MX"/>
              </w:rPr>
            </w:pPr>
            <w:r>
              <w:rPr>
                <w:sz w:val="20"/>
                <w:szCs w:val="20"/>
                <w:lang w:eastAsia="es-MX"/>
              </w:rPr>
              <w:t>Congreso del Estado</w:t>
            </w:r>
          </w:p>
        </w:tc>
        <w:tc>
          <w:tcPr>
            <w:tcW w:w="1432" w:type="dxa"/>
            <w:tcBorders>
              <w:top w:val="single" w:sz="8" w:space="0" w:color="A6A6A6"/>
              <w:left w:val="nil"/>
              <w:bottom w:val="single" w:sz="8" w:space="0" w:color="A6A6A6"/>
              <w:right w:val="single" w:sz="8" w:space="0" w:color="A6A6A6"/>
            </w:tcBorders>
            <w:shd w:val="clear" w:color="auto" w:fill="auto"/>
            <w:vAlign w:val="center"/>
          </w:tcPr>
          <w:p w14:paraId="25A42604" w14:textId="77777777" w:rsidR="001761D9" w:rsidRPr="00955A4C" w:rsidRDefault="001761D9" w:rsidP="00BF7D12">
            <w:pPr>
              <w:spacing w:line="360" w:lineRule="auto"/>
              <w:jc w:val="right"/>
              <w:rPr>
                <w:sz w:val="20"/>
                <w:szCs w:val="20"/>
                <w:lang w:eastAsia="es-MX"/>
              </w:rPr>
            </w:pPr>
            <w:r w:rsidRPr="00D958CF">
              <w:rPr>
                <w:color w:val="000000"/>
                <w:sz w:val="20"/>
                <w:szCs w:val="20"/>
                <w:lang w:val="es-MX" w:eastAsia="es-MX"/>
              </w:rPr>
              <w:t>333,404,435.00</w:t>
            </w:r>
          </w:p>
        </w:tc>
      </w:tr>
      <w:tr w:rsidR="001761D9" w:rsidRPr="00955A4C" w14:paraId="783063B4" w14:textId="77777777" w:rsidTr="00BF7D12">
        <w:trPr>
          <w:trHeight w:val="581"/>
          <w:jc w:val="center"/>
        </w:trPr>
        <w:tc>
          <w:tcPr>
            <w:tcW w:w="3685" w:type="dxa"/>
            <w:tcBorders>
              <w:top w:val="nil"/>
              <w:left w:val="single" w:sz="8" w:space="0" w:color="A6A6A6"/>
              <w:bottom w:val="single" w:sz="8" w:space="0" w:color="A6A6A6"/>
              <w:right w:val="single" w:sz="8" w:space="0" w:color="A6A6A6"/>
            </w:tcBorders>
            <w:shd w:val="clear" w:color="auto" w:fill="auto"/>
            <w:vAlign w:val="center"/>
            <w:hideMark/>
          </w:tcPr>
          <w:p w14:paraId="021738CC" w14:textId="77777777" w:rsidR="001761D9" w:rsidRPr="00955A4C" w:rsidRDefault="001761D9" w:rsidP="00BF7D12">
            <w:pPr>
              <w:spacing w:line="360" w:lineRule="auto"/>
              <w:jc w:val="both"/>
              <w:rPr>
                <w:sz w:val="20"/>
                <w:szCs w:val="20"/>
                <w:lang w:eastAsia="es-MX"/>
              </w:rPr>
            </w:pPr>
            <w:r w:rsidRPr="00955A4C">
              <w:rPr>
                <w:sz w:val="20"/>
                <w:szCs w:val="20"/>
                <w:lang w:eastAsia="es-MX"/>
              </w:rPr>
              <w:t xml:space="preserve">Órgano de Fiscalización Superior </w:t>
            </w:r>
          </w:p>
        </w:tc>
        <w:tc>
          <w:tcPr>
            <w:tcW w:w="1432" w:type="dxa"/>
            <w:tcBorders>
              <w:top w:val="nil"/>
              <w:left w:val="nil"/>
              <w:bottom w:val="single" w:sz="8" w:space="0" w:color="A6A6A6"/>
              <w:right w:val="single" w:sz="8" w:space="0" w:color="A6A6A6"/>
            </w:tcBorders>
            <w:shd w:val="clear" w:color="auto" w:fill="auto"/>
            <w:vAlign w:val="center"/>
          </w:tcPr>
          <w:p w14:paraId="4FEAA7B3" w14:textId="77777777" w:rsidR="001761D9" w:rsidRPr="00D958CF" w:rsidRDefault="001761D9" w:rsidP="00BF7D12">
            <w:pPr>
              <w:jc w:val="right"/>
              <w:rPr>
                <w:color w:val="000000"/>
                <w:sz w:val="20"/>
                <w:szCs w:val="20"/>
                <w:lang w:val="es-MX" w:eastAsia="es-MX"/>
              </w:rPr>
            </w:pPr>
            <w:r w:rsidRPr="00D958CF">
              <w:rPr>
                <w:color w:val="000000"/>
                <w:sz w:val="20"/>
                <w:szCs w:val="20"/>
                <w:lang w:val="es-MX" w:eastAsia="es-MX"/>
              </w:rPr>
              <w:t>85,211,231.00</w:t>
            </w:r>
          </w:p>
        </w:tc>
      </w:tr>
      <w:tr w:rsidR="001761D9" w:rsidRPr="00955A4C" w14:paraId="0F4BBF5B" w14:textId="77777777" w:rsidTr="00BF7D12">
        <w:trPr>
          <w:trHeight w:val="330"/>
          <w:jc w:val="center"/>
        </w:trPr>
        <w:tc>
          <w:tcPr>
            <w:tcW w:w="3685" w:type="dxa"/>
            <w:tcBorders>
              <w:top w:val="nil"/>
              <w:left w:val="single" w:sz="8" w:space="0" w:color="A6A6A6"/>
              <w:bottom w:val="single" w:sz="8" w:space="0" w:color="A6A6A6"/>
              <w:right w:val="single" w:sz="8" w:space="0" w:color="A6A6A6"/>
            </w:tcBorders>
            <w:shd w:val="clear" w:color="000000" w:fill="CCCCCC"/>
            <w:vAlign w:val="center"/>
            <w:hideMark/>
          </w:tcPr>
          <w:p w14:paraId="736DF3E3" w14:textId="77777777" w:rsidR="001761D9" w:rsidRPr="00955A4C" w:rsidRDefault="001761D9" w:rsidP="00BF7D12">
            <w:pPr>
              <w:spacing w:line="360" w:lineRule="auto"/>
              <w:jc w:val="center"/>
              <w:rPr>
                <w:b/>
                <w:bCs/>
                <w:sz w:val="20"/>
                <w:szCs w:val="20"/>
                <w:lang w:eastAsia="es-MX"/>
              </w:rPr>
            </w:pPr>
            <w:r w:rsidRPr="00955A4C">
              <w:rPr>
                <w:b/>
                <w:bCs/>
                <w:sz w:val="20"/>
                <w:szCs w:val="20"/>
                <w:lang w:eastAsia="es-MX"/>
              </w:rPr>
              <w:t>TOTAL</w:t>
            </w:r>
          </w:p>
        </w:tc>
        <w:tc>
          <w:tcPr>
            <w:tcW w:w="1432" w:type="dxa"/>
            <w:tcBorders>
              <w:top w:val="nil"/>
              <w:left w:val="nil"/>
              <w:bottom w:val="single" w:sz="8" w:space="0" w:color="A6A6A6"/>
              <w:right w:val="single" w:sz="8" w:space="0" w:color="A6A6A6"/>
            </w:tcBorders>
            <w:shd w:val="clear" w:color="000000" w:fill="CCCCCC"/>
            <w:vAlign w:val="center"/>
          </w:tcPr>
          <w:p w14:paraId="5C324346" w14:textId="77777777" w:rsidR="001761D9" w:rsidRPr="00D958CF" w:rsidRDefault="001761D9" w:rsidP="00BF7D12">
            <w:pPr>
              <w:jc w:val="right"/>
              <w:rPr>
                <w:b/>
                <w:bCs/>
                <w:color w:val="000000"/>
                <w:sz w:val="20"/>
                <w:szCs w:val="20"/>
                <w:lang w:val="es-MX" w:eastAsia="es-MX"/>
              </w:rPr>
            </w:pPr>
            <w:r w:rsidRPr="00D958CF">
              <w:rPr>
                <w:b/>
                <w:bCs/>
                <w:color w:val="000000"/>
                <w:sz w:val="20"/>
                <w:szCs w:val="20"/>
                <w:lang w:eastAsia="es-MX"/>
              </w:rPr>
              <w:t>418,615,666.00</w:t>
            </w:r>
          </w:p>
        </w:tc>
      </w:tr>
    </w:tbl>
    <w:p w14:paraId="5C317403" w14:textId="77777777" w:rsidR="00525B2B" w:rsidRDefault="00525B2B" w:rsidP="00525B2B">
      <w:pPr>
        <w:spacing w:after="200" w:line="360" w:lineRule="auto"/>
        <w:jc w:val="center"/>
        <w:rPr>
          <w:rFonts w:eastAsia="Calibri"/>
          <w:b/>
          <w:sz w:val="20"/>
          <w:szCs w:val="20"/>
        </w:rPr>
      </w:pPr>
    </w:p>
    <w:p w14:paraId="66C6CF23" w14:textId="77777777" w:rsidR="007B7F47" w:rsidRDefault="007B7F47" w:rsidP="00525B2B">
      <w:pPr>
        <w:spacing w:after="200" w:line="360" w:lineRule="auto"/>
        <w:jc w:val="center"/>
        <w:rPr>
          <w:rFonts w:eastAsia="Calibri"/>
          <w:b/>
          <w:sz w:val="20"/>
          <w:szCs w:val="20"/>
        </w:rPr>
      </w:pPr>
    </w:p>
    <w:p w14:paraId="703C7D24" w14:textId="77777777" w:rsidR="00525B2B" w:rsidRPr="00955A4C" w:rsidRDefault="00525B2B" w:rsidP="00525B2B">
      <w:pPr>
        <w:spacing w:after="200" w:line="360" w:lineRule="auto"/>
        <w:jc w:val="center"/>
        <w:rPr>
          <w:rFonts w:eastAsia="Calibri"/>
          <w:b/>
          <w:sz w:val="20"/>
          <w:szCs w:val="20"/>
        </w:rPr>
      </w:pPr>
      <w:r w:rsidRPr="00955A4C">
        <w:rPr>
          <w:rFonts w:eastAsia="Calibri"/>
          <w:b/>
          <w:sz w:val="20"/>
          <w:szCs w:val="20"/>
        </w:rPr>
        <w:t>ÓRGANOS AUTÓNOMOS</w:t>
      </w:r>
      <w:r w:rsidRPr="00955A4C">
        <w:rPr>
          <w:rFonts w:eastAsia="Calibri"/>
          <w:sz w:val="20"/>
          <w:szCs w:val="20"/>
        </w:rPr>
        <w:t xml:space="preserve">.  </w:t>
      </w:r>
    </w:p>
    <w:p w14:paraId="11A3F92F" w14:textId="4DDA3990" w:rsidR="001761D9" w:rsidRPr="00955A4C" w:rsidRDefault="001761D9" w:rsidP="001761D9">
      <w:pPr>
        <w:spacing w:after="200" w:line="360" w:lineRule="auto"/>
        <w:jc w:val="both"/>
        <w:rPr>
          <w:rFonts w:eastAsia="Calibri"/>
          <w:sz w:val="20"/>
          <w:szCs w:val="20"/>
        </w:rPr>
      </w:pPr>
      <w:r>
        <w:rPr>
          <w:rFonts w:eastAsia="Calibri"/>
          <w:sz w:val="20"/>
          <w:szCs w:val="20"/>
        </w:rPr>
        <w:t>Para los Órganos A</w:t>
      </w:r>
      <w:r w:rsidRPr="00955A4C">
        <w:rPr>
          <w:rFonts w:eastAsia="Calibri"/>
          <w:sz w:val="20"/>
          <w:szCs w:val="20"/>
        </w:rPr>
        <w:t>utónomos</w:t>
      </w:r>
      <w:r>
        <w:rPr>
          <w:rFonts w:eastAsia="Calibri"/>
          <w:sz w:val="20"/>
          <w:szCs w:val="20"/>
        </w:rPr>
        <w:t>,</w:t>
      </w:r>
      <w:r w:rsidRPr="00955A4C">
        <w:rPr>
          <w:rFonts w:eastAsia="Calibri"/>
          <w:sz w:val="20"/>
          <w:szCs w:val="20"/>
        </w:rPr>
        <w:t xml:space="preserve"> </w:t>
      </w:r>
      <w:r>
        <w:rPr>
          <w:rFonts w:eastAsia="Calibri"/>
          <w:sz w:val="20"/>
          <w:szCs w:val="20"/>
        </w:rPr>
        <w:t>se estima</w:t>
      </w:r>
      <w:r w:rsidRPr="00955A4C">
        <w:rPr>
          <w:rFonts w:eastAsia="Calibri"/>
          <w:sz w:val="20"/>
          <w:szCs w:val="20"/>
        </w:rPr>
        <w:t xml:space="preserve"> </w:t>
      </w:r>
      <w:r>
        <w:rPr>
          <w:rFonts w:eastAsia="Calibri"/>
          <w:sz w:val="20"/>
          <w:szCs w:val="20"/>
        </w:rPr>
        <w:t>un</w:t>
      </w:r>
      <w:r w:rsidRPr="00955A4C">
        <w:rPr>
          <w:rFonts w:eastAsia="Calibri"/>
          <w:sz w:val="20"/>
          <w:szCs w:val="20"/>
        </w:rPr>
        <w:t xml:space="preserve"> presupuesto global </w:t>
      </w:r>
      <w:r>
        <w:rPr>
          <w:rFonts w:eastAsia="Calibri"/>
          <w:sz w:val="20"/>
          <w:szCs w:val="20"/>
        </w:rPr>
        <w:t xml:space="preserve">de </w:t>
      </w:r>
      <w:r w:rsidRPr="000B5CB6">
        <w:rPr>
          <w:rFonts w:eastAsia="Calibri"/>
          <w:sz w:val="20"/>
          <w:szCs w:val="20"/>
        </w:rPr>
        <w:t>$</w:t>
      </w:r>
      <w:r>
        <w:rPr>
          <w:rFonts w:eastAsia="Calibri"/>
          <w:sz w:val="20"/>
          <w:szCs w:val="20"/>
        </w:rPr>
        <w:t>406,155,466</w:t>
      </w:r>
      <w:r w:rsidRPr="00BD37E4">
        <w:rPr>
          <w:rFonts w:eastAsia="Calibri"/>
          <w:sz w:val="20"/>
          <w:szCs w:val="20"/>
        </w:rPr>
        <w:t>.00</w:t>
      </w:r>
      <w:r w:rsidRPr="00955A4C">
        <w:rPr>
          <w:rFonts w:eastAsia="Calibri"/>
          <w:sz w:val="20"/>
          <w:szCs w:val="20"/>
        </w:rPr>
        <w:t>,</w:t>
      </w:r>
      <w:r>
        <w:rPr>
          <w:rFonts w:eastAsia="Calibri"/>
          <w:sz w:val="20"/>
          <w:szCs w:val="20"/>
        </w:rPr>
        <w:t xml:space="preserve"> </w:t>
      </w:r>
      <w:r w:rsidRPr="00955A4C">
        <w:rPr>
          <w:rFonts w:eastAsia="Calibri"/>
          <w:sz w:val="20"/>
          <w:szCs w:val="20"/>
        </w:rPr>
        <w:t>como a continuación se detalla:</w:t>
      </w:r>
    </w:p>
    <w:tbl>
      <w:tblPr>
        <w:tblW w:w="6015" w:type="dxa"/>
        <w:jc w:val="center"/>
        <w:tblCellMar>
          <w:left w:w="70" w:type="dxa"/>
          <w:right w:w="70" w:type="dxa"/>
        </w:tblCellMar>
        <w:tblLook w:val="04A0" w:firstRow="1" w:lastRow="0" w:firstColumn="1" w:lastColumn="0" w:noHBand="0" w:noVBand="1"/>
      </w:tblPr>
      <w:tblGrid>
        <w:gridCol w:w="4625"/>
        <w:gridCol w:w="1390"/>
      </w:tblGrid>
      <w:tr w:rsidR="001761D9" w:rsidRPr="007B09E5" w14:paraId="11079293" w14:textId="77777777" w:rsidTr="00BF7D12">
        <w:trPr>
          <w:trHeight w:val="396"/>
          <w:tblHeader/>
          <w:jc w:val="center"/>
        </w:trPr>
        <w:tc>
          <w:tcPr>
            <w:tcW w:w="4625" w:type="dxa"/>
            <w:tcBorders>
              <w:top w:val="single" w:sz="8" w:space="0" w:color="A6A6A6"/>
              <w:left w:val="single" w:sz="8" w:space="0" w:color="A6A6A6"/>
              <w:bottom w:val="nil"/>
              <w:right w:val="single" w:sz="8" w:space="0" w:color="A6A6A6"/>
            </w:tcBorders>
            <w:shd w:val="clear" w:color="000000" w:fill="CCCCCC"/>
            <w:vAlign w:val="center"/>
            <w:hideMark/>
          </w:tcPr>
          <w:p w14:paraId="3A7393EF" w14:textId="77777777" w:rsidR="001761D9" w:rsidRPr="007B09E5" w:rsidRDefault="001761D9" w:rsidP="00BF7D12">
            <w:pPr>
              <w:spacing w:line="360" w:lineRule="auto"/>
              <w:jc w:val="center"/>
              <w:rPr>
                <w:b/>
                <w:bCs/>
                <w:sz w:val="20"/>
                <w:szCs w:val="20"/>
                <w:lang w:eastAsia="es-MX"/>
              </w:rPr>
            </w:pPr>
            <w:r w:rsidRPr="007B09E5">
              <w:rPr>
                <w:b/>
                <w:bCs/>
                <w:sz w:val="20"/>
                <w:szCs w:val="20"/>
                <w:lang w:eastAsia="es-MX"/>
              </w:rPr>
              <w:t>AUTÓNOMOS</w:t>
            </w:r>
          </w:p>
        </w:tc>
        <w:tc>
          <w:tcPr>
            <w:tcW w:w="1390" w:type="dxa"/>
            <w:tcBorders>
              <w:top w:val="single" w:sz="8" w:space="0" w:color="A6A6A6"/>
              <w:left w:val="nil"/>
              <w:bottom w:val="nil"/>
              <w:right w:val="single" w:sz="8" w:space="0" w:color="A6A6A6"/>
            </w:tcBorders>
            <w:shd w:val="clear" w:color="000000" w:fill="CCCCCC"/>
            <w:vAlign w:val="center"/>
            <w:hideMark/>
          </w:tcPr>
          <w:p w14:paraId="7EFF164E" w14:textId="77777777" w:rsidR="001761D9" w:rsidRDefault="001761D9" w:rsidP="00BF7D12">
            <w:pPr>
              <w:spacing w:line="360" w:lineRule="auto"/>
              <w:jc w:val="center"/>
              <w:rPr>
                <w:b/>
                <w:bCs/>
                <w:sz w:val="20"/>
                <w:szCs w:val="20"/>
                <w:lang w:eastAsia="es-MX"/>
              </w:rPr>
            </w:pPr>
            <w:r w:rsidRPr="007B09E5">
              <w:rPr>
                <w:b/>
                <w:bCs/>
                <w:sz w:val="20"/>
                <w:szCs w:val="20"/>
                <w:lang w:eastAsia="es-MX"/>
              </w:rPr>
              <w:t xml:space="preserve">MONTO </w:t>
            </w:r>
            <w:r>
              <w:rPr>
                <w:b/>
                <w:bCs/>
                <w:sz w:val="20"/>
                <w:szCs w:val="20"/>
                <w:lang w:eastAsia="es-MX"/>
              </w:rPr>
              <w:t xml:space="preserve"> </w:t>
            </w:r>
          </w:p>
          <w:p w14:paraId="1B07B06A" w14:textId="77777777" w:rsidR="001761D9" w:rsidRPr="007B09E5" w:rsidRDefault="001761D9" w:rsidP="00BF7D12">
            <w:pPr>
              <w:spacing w:line="360" w:lineRule="auto"/>
              <w:jc w:val="center"/>
              <w:rPr>
                <w:b/>
                <w:bCs/>
                <w:sz w:val="20"/>
                <w:szCs w:val="20"/>
                <w:lang w:eastAsia="es-MX"/>
              </w:rPr>
            </w:pPr>
            <w:r>
              <w:rPr>
                <w:b/>
                <w:bCs/>
                <w:sz w:val="20"/>
                <w:szCs w:val="20"/>
                <w:lang w:eastAsia="es-MX"/>
              </w:rPr>
              <w:t>($)</w:t>
            </w:r>
          </w:p>
        </w:tc>
      </w:tr>
      <w:tr w:rsidR="001761D9" w:rsidRPr="007B09E5" w14:paraId="74C85B95" w14:textId="77777777" w:rsidTr="00BF7D12">
        <w:trPr>
          <w:trHeight w:val="315"/>
          <w:jc w:val="center"/>
        </w:trPr>
        <w:tc>
          <w:tcPr>
            <w:tcW w:w="4625" w:type="dxa"/>
            <w:tcBorders>
              <w:top w:val="single" w:sz="8" w:space="0" w:color="A6A6A6"/>
              <w:left w:val="single" w:sz="8" w:space="0" w:color="A6A6A6"/>
              <w:bottom w:val="single" w:sz="8" w:space="0" w:color="A6A6A6"/>
              <w:right w:val="single" w:sz="8" w:space="0" w:color="A6A6A6"/>
            </w:tcBorders>
            <w:shd w:val="clear" w:color="auto" w:fill="auto"/>
            <w:vAlign w:val="center"/>
            <w:hideMark/>
          </w:tcPr>
          <w:p w14:paraId="6A8ED07D" w14:textId="77777777" w:rsidR="001761D9" w:rsidRPr="007B09E5" w:rsidRDefault="001761D9" w:rsidP="00BF7D12">
            <w:pPr>
              <w:spacing w:line="360" w:lineRule="auto"/>
              <w:jc w:val="both"/>
              <w:rPr>
                <w:sz w:val="20"/>
                <w:szCs w:val="20"/>
                <w:lang w:eastAsia="es-MX"/>
              </w:rPr>
            </w:pPr>
            <w:r w:rsidRPr="007B09E5">
              <w:rPr>
                <w:sz w:val="20"/>
                <w:szCs w:val="20"/>
                <w:lang w:eastAsia="es-MX"/>
              </w:rPr>
              <w:t>Universidad Autónoma de Tlaxcala</w:t>
            </w:r>
          </w:p>
        </w:tc>
        <w:tc>
          <w:tcPr>
            <w:tcW w:w="1390" w:type="dxa"/>
            <w:tcBorders>
              <w:top w:val="single" w:sz="8" w:space="0" w:color="A6A6A6"/>
              <w:left w:val="nil"/>
              <w:bottom w:val="single" w:sz="8" w:space="0" w:color="A6A6A6"/>
              <w:right w:val="single" w:sz="8" w:space="0" w:color="A6A6A6"/>
            </w:tcBorders>
            <w:shd w:val="clear" w:color="auto" w:fill="auto"/>
            <w:vAlign w:val="center"/>
          </w:tcPr>
          <w:p w14:paraId="03E1495E" w14:textId="77777777" w:rsidR="001761D9" w:rsidRPr="007541ED" w:rsidRDefault="001761D9" w:rsidP="00BF7D12">
            <w:pPr>
              <w:jc w:val="right"/>
              <w:rPr>
                <w:color w:val="000000"/>
                <w:sz w:val="20"/>
                <w:szCs w:val="20"/>
                <w:lang w:val="es-MX" w:eastAsia="es-MX"/>
              </w:rPr>
            </w:pPr>
            <w:r w:rsidRPr="007541ED">
              <w:rPr>
                <w:color w:val="000000"/>
                <w:sz w:val="20"/>
                <w:szCs w:val="20"/>
                <w:lang w:val="es-MX" w:eastAsia="es-MX"/>
              </w:rPr>
              <w:t>129,419,950.00</w:t>
            </w:r>
          </w:p>
        </w:tc>
      </w:tr>
      <w:tr w:rsidR="001761D9" w:rsidRPr="007B09E5" w14:paraId="23F8D7AD" w14:textId="77777777" w:rsidTr="00BF7D12">
        <w:trPr>
          <w:trHeight w:val="615"/>
          <w:jc w:val="center"/>
        </w:trPr>
        <w:tc>
          <w:tcPr>
            <w:tcW w:w="4625" w:type="dxa"/>
            <w:tcBorders>
              <w:top w:val="nil"/>
              <w:left w:val="single" w:sz="8" w:space="0" w:color="A6A6A6"/>
              <w:bottom w:val="single" w:sz="8" w:space="0" w:color="A6A6A6"/>
              <w:right w:val="single" w:sz="8" w:space="0" w:color="A6A6A6"/>
            </w:tcBorders>
            <w:shd w:val="clear" w:color="auto" w:fill="auto"/>
            <w:vAlign w:val="center"/>
            <w:hideMark/>
          </w:tcPr>
          <w:p w14:paraId="456E6B6C" w14:textId="77777777" w:rsidR="001761D9" w:rsidRPr="007B09E5" w:rsidRDefault="001761D9" w:rsidP="00BF7D12">
            <w:pPr>
              <w:spacing w:line="360" w:lineRule="auto"/>
              <w:jc w:val="both"/>
              <w:rPr>
                <w:sz w:val="20"/>
                <w:szCs w:val="20"/>
                <w:lang w:eastAsia="es-MX"/>
              </w:rPr>
            </w:pPr>
            <w:r w:rsidRPr="007B09E5">
              <w:rPr>
                <w:sz w:val="20"/>
                <w:szCs w:val="20"/>
                <w:lang w:eastAsia="es-MX"/>
              </w:rPr>
              <w:t>Comisión Estatal de Derechos Humanos</w:t>
            </w:r>
          </w:p>
        </w:tc>
        <w:tc>
          <w:tcPr>
            <w:tcW w:w="1390" w:type="dxa"/>
            <w:tcBorders>
              <w:top w:val="nil"/>
              <w:left w:val="nil"/>
              <w:bottom w:val="single" w:sz="8" w:space="0" w:color="A6A6A6"/>
              <w:right w:val="single" w:sz="8" w:space="0" w:color="A6A6A6"/>
            </w:tcBorders>
            <w:shd w:val="clear" w:color="auto" w:fill="auto"/>
            <w:vAlign w:val="center"/>
          </w:tcPr>
          <w:p w14:paraId="381BF7A9" w14:textId="77777777" w:rsidR="001761D9" w:rsidRPr="007541ED" w:rsidRDefault="001761D9" w:rsidP="00BF7D12">
            <w:pPr>
              <w:jc w:val="right"/>
              <w:rPr>
                <w:color w:val="000000"/>
                <w:sz w:val="20"/>
                <w:szCs w:val="20"/>
                <w:lang w:val="es-MX" w:eastAsia="es-MX"/>
              </w:rPr>
            </w:pPr>
            <w:r w:rsidRPr="007541ED">
              <w:rPr>
                <w:color w:val="000000"/>
                <w:sz w:val="20"/>
                <w:szCs w:val="20"/>
                <w:lang w:val="es-MX" w:eastAsia="es-MX"/>
              </w:rPr>
              <w:t>25,352,221.00</w:t>
            </w:r>
          </w:p>
        </w:tc>
      </w:tr>
      <w:tr w:rsidR="001761D9" w:rsidRPr="007B09E5" w14:paraId="600B67F6" w14:textId="77777777" w:rsidTr="00BF7D12">
        <w:trPr>
          <w:trHeight w:val="315"/>
          <w:jc w:val="center"/>
        </w:trPr>
        <w:tc>
          <w:tcPr>
            <w:tcW w:w="4625" w:type="dxa"/>
            <w:tcBorders>
              <w:top w:val="nil"/>
              <w:left w:val="single" w:sz="8" w:space="0" w:color="A6A6A6"/>
              <w:bottom w:val="single" w:sz="8" w:space="0" w:color="A6A6A6"/>
              <w:right w:val="single" w:sz="8" w:space="0" w:color="A6A6A6"/>
            </w:tcBorders>
            <w:shd w:val="clear" w:color="auto" w:fill="auto"/>
            <w:vAlign w:val="center"/>
            <w:hideMark/>
          </w:tcPr>
          <w:p w14:paraId="1C76D40D" w14:textId="77777777" w:rsidR="001761D9" w:rsidRPr="007B09E5" w:rsidRDefault="001761D9" w:rsidP="00BF7D12">
            <w:pPr>
              <w:spacing w:line="360" w:lineRule="auto"/>
              <w:jc w:val="both"/>
              <w:rPr>
                <w:sz w:val="20"/>
                <w:szCs w:val="20"/>
                <w:lang w:eastAsia="es-MX"/>
              </w:rPr>
            </w:pPr>
            <w:r w:rsidRPr="007B09E5">
              <w:rPr>
                <w:sz w:val="20"/>
                <w:szCs w:val="20"/>
                <w:lang w:eastAsia="es-MX"/>
              </w:rPr>
              <w:t>Instituto Tlaxcalteca de Elecciones</w:t>
            </w:r>
          </w:p>
        </w:tc>
        <w:tc>
          <w:tcPr>
            <w:tcW w:w="1390" w:type="dxa"/>
            <w:tcBorders>
              <w:top w:val="nil"/>
              <w:left w:val="nil"/>
              <w:bottom w:val="single" w:sz="8" w:space="0" w:color="A6A6A6"/>
              <w:right w:val="single" w:sz="8" w:space="0" w:color="A6A6A6"/>
            </w:tcBorders>
            <w:shd w:val="clear" w:color="auto" w:fill="auto"/>
            <w:vAlign w:val="center"/>
          </w:tcPr>
          <w:p w14:paraId="15B1C626" w14:textId="77777777" w:rsidR="001761D9" w:rsidRPr="007541ED" w:rsidRDefault="001761D9" w:rsidP="00BF7D12">
            <w:pPr>
              <w:jc w:val="right"/>
              <w:rPr>
                <w:color w:val="000000"/>
                <w:sz w:val="20"/>
                <w:szCs w:val="20"/>
                <w:lang w:val="es-MX" w:eastAsia="es-MX"/>
              </w:rPr>
            </w:pPr>
            <w:r w:rsidRPr="007541ED">
              <w:rPr>
                <w:color w:val="000000"/>
                <w:sz w:val="20"/>
                <w:szCs w:val="20"/>
                <w:lang w:val="es-MX" w:eastAsia="es-MX"/>
              </w:rPr>
              <w:t>113,490,308.00</w:t>
            </w:r>
          </w:p>
        </w:tc>
      </w:tr>
      <w:tr w:rsidR="001761D9" w:rsidRPr="007B09E5" w14:paraId="221493F9" w14:textId="77777777" w:rsidTr="00BF7D12">
        <w:trPr>
          <w:trHeight w:val="521"/>
          <w:jc w:val="center"/>
        </w:trPr>
        <w:tc>
          <w:tcPr>
            <w:tcW w:w="4625" w:type="dxa"/>
            <w:tcBorders>
              <w:top w:val="nil"/>
              <w:left w:val="single" w:sz="8" w:space="0" w:color="A6A6A6"/>
              <w:bottom w:val="single" w:sz="8" w:space="0" w:color="A6A6A6"/>
              <w:right w:val="single" w:sz="8" w:space="0" w:color="A6A6A6"/>
            </w:tcBorders>
            <w:shd w:val="clear" w:color="auto" w:fill="auto"/>
            <w:vAlign w:val="center"/>
            <w:hideMark/>
          </w:tcPr>
          <w:p w14:paraId="30A01F23" w14:textId="77777777" w:rsidR="001761D9" w:rsidRPr="007B09E5" w:rsidRDefault="001761D9" w:rsidP="00BF7D12">
            <w:pPr>
              <w:spacing w:line="360" w:lineRule="auto"/>
              <w:jc w:val="both"/>
              <w:rPr>
                <w:sz w:val="20"/>
                <w:szCs w:val="20"/>
                <w:lang w:eastAsia="es-MX"/>
              </w:rPr>
            </w:pPr>
            <w:r w:rsidRPr="007B09E5">
              <w:rPr>
                <w:sz w:val="20"/>
                <w:szCs w:val="20"/>
                <w:lang w:eastAsia="es-MX"/>
              </w:rPr>
              <w:t>Instituto de Acceso a la Información Pública y Protección de Datos Personales para el Estado de Tlaxcala</w:t>
            </w:r>
          </w:p>
        </w:tc>
        <w:tc>
          <w:tcPr>
            <w:tcW w:w="1390" w:type="dxa"/>
            <w:tcBorders>
              <w:top w:val="nil"/>
              <w:left w:val="nil"/>
              <w:bottom w:val="single" w:sz="8" w:space="0" w:color="A6A6A6"/>
              <w:right w:val="single" w:sz="8" w:space="0" w:color="A6A6A6"/>
            </w:tcBorders>
            <w:shd w:val="clear" w:color="auto" w:fill="auto"/>
            <w:vAlign w:val="center"/>
          </w:tcPr>
          <w:p w14:paraId="09D7423B" w14:textId="77777777" w:rsidR="001761D9" w:rsidRPr="007541ED" w:rsidRDefault="001761D9" w:rsidP="00BF7D12">
            <w:pPr>
              <w:jc w:val="right"/>
              <w:rPr>
                <w:color w:val="000000"/>
                <w:sz w:val="20"/>
                <w:szCs w:val="20"/>
                <w:lang w:val="es-MX" w:eastAsia="es-MX"/>
              </w:rPr>
            </w:pPr>
            <w:r w:rsidRPr="007541ED">
              <w:rPr>
                <w:color w:val="000000"/>
                <w:sz w:val="20"/>
                <w:szCs w:val="20"/>
                <w:lang w:val="es-MX" w:eastAsia="es-MX"/>
              </w:rPr>
              <w:t>19,043,057.00</w:t>
            </w:r>
          </w:p>
        </w:tc>
      </w:tr>
      <w:tr w:rsidR="001761D9" w:rsidRPr="007B09E5" w14:paraId="175FD4E9" w14:textId="77777777" w:rsidTr="00BF7D12">
        <w:trPr>
          <w:trHeight w:val="315"/>
          <w:jc w:val="center"/>
        </w:trPr>
        <w:tc>
          <w:tcPr>
            <w:tcW w:w="4625" w:type="dxa"/>
            <w:tcBorders>
              <w:top w:val="nil"/>
              <w:left w:val="single" w:sz="8" w:space="0" w:color="A6A6A6"/>
              <w:bottom w:val="single" w:sz="8" w:space="0" w:color="A6A6A6"/>
              <w:right w:val="single" w:sz="8" w:space="0" w:color="A6A6A6"/>
            </w:tcBorders>
            <w:shd w:val="clear" w:color="auto" w:fill="auto"/>
            <w:vAlign w:val="center"/>
            <w:hideMark/>
          </w:tcPr>
          <w:p w14:paraId="0A7D7653" w14:textId="77777777" w:rsidR="001761D9" w:rsidRPr="007B09E5" w:rsidRDefault="001761D9" w:rsidP="00BF7D12">
            <w:pPr>
              <w:spacing w:line="360" w:lineRule="auto"/>
              <w:jc w:val="both"/>
              <w:rPr>
                <w:sz w:val="20"/>
                <w:szCs w:val="20"/>
                <w:lang w:eastAsia="es-MX"/>
              </w:rPr>
            </w:pPr>
            <w:r w:rsidRPr="007B09E5">
              <w:rPr>
                <w:sz w:val="20"/>
                <w:szCs w:val="20"/>
                <w:lang w:eastAsia="es-MX"/>
              </w:rPr>
              <w:t>Tribunal de Conciliación y Arbitraje del Estado</w:t>
            </w:r>
          </w:p>
        </w:tc>
        <w:tc>
          <w:tcPr>
            <w:tcW w:w="1390" w:type="dxa"/>
            <w:tcBorders>
              <w:top w:val="nil"/>
              <w:left w:val="nil"/>
              <w:bottom w:val="single" w:sz="8" w:space="0" w:color="A6A6A6"/>
              <w:right w:val="single" w:sz="8" w:space="0" w:color="A6A6A6"/>
            </w:tcBorders>
            <w:shd w:val="clear" w:color="auto" w:fill="auto"/>
            <w:vAlign w:val="center"/>
          </w:tcPr>
          <w:p w14:paraId="0A3110D8" w14:textId="77777777" w:rsidR="001761D9" w:rsidRPr="007541ED" w:rsidRDefault="001761D9" w:rsidP="00BF7D12">
            <w:pPr>
              <w:jc w:val="right"/>
              <w:rPr>
                <w:color w:val="000000"/>
                <w:sz w:val="20"/>
                <w:szCs w:val="20"/>
                <w:lang w:val="es-MX" w:eastAsia="es-MX"/>
              </w:rPr>
            </w:pPr>
            <w:r w:rsidRPr="007541ED">
              <w:rPr>
                <w:color w:val="000000"/>
                <w:sz w:val="20"/>
                <w:szCs w:val="20"/>
                <w:lang w:val="es-MX" w:eastAsia="es-MX"/>
              </w:rPr>
              <w:t>17,481,909.00</w:t>
            </w:r>
          </w:p>
        </w:tc>
      </w:tr>
      <w:tr w:rsidR="001761D9" w:rsidRPr="007B09E5" w14:paraId="0829320D" w14:textId="77777777" w:rsidTr="00BF7D12">
        <w:trPr>
          <w:trHeight w:val="315"/>
          <w:jc w:val="center"/>
        </w:trPr>
        <w:tc>
          <w:tcPr>
            <w:tcW w:w="4625" w:type="dxa"/>
            <w:tcBorders>
              <w:top w:val="nil"/>
              <w:left w:val="single" w:sz="8" w:space="0" w:color="A6A6A6"/>
              <w:bottom w:val="single" w:sz="8" w:space="0" w:color="A6A6A6"/>
              <w:right w:val="single" w:sz="8" w:space="0" w:color="A6A6A6"/>
            </w:tcBorders>
            <w:shd w:val="clear" w:color="auto" w:fill="auto"/>
            <w:vAlign w:val="center"/>
            <w:hideMark/>
          </w:tcPr>
          <w:p w14:paraId="5277A916" w14:textId="77777777" w:rsidR="001761D9" w:rsidRPr="007B09E5" w:rsidRDefault="001761D9" w:rsidP="00BF7D12">
            <w:pPr>
              <w:spacing w:line="360" w:lineRule="auto"/>
              <w:jc w:val="both"/>
              <w:rPr>
                <w:sz w:val="20"/>
                <w:szCs w:val="20"/>
                <w:lang w:eastAsia="es-MX"/>
              </w:rPr>
            </w:pPr>
            <w:r w:rsidRPr="007B09E5">
              <w:rPr>
                <w:sz w:val="20"/>
                <w:szCs w:val="20"/>
                <w:lang w:eastAsia="es-MX"/>
              </w:rPr>
              <w:t>Tribunal Electoral de Tlaxcala</w:t>
            </w:r>
          </w:p>
        </w:tc>
        <w:tc>
          <w:tcPr>
            <w:tcW w:w="1390" w:type="dxa"/>
            <w:tcBorders>
              <w:top w:val="nil"/>
              <w:left w:val="nil"/>
              <w:bottom w:val="single" w:sz="8" w:space="0" w:color="A6A6A6"/>
              <w:right w:val="single" w:sz="8" w:space="0" w:color="A6A6A6"/>
            </w:tcBorders>
            <w:shd w:val="clear" w:color="auto" w:fill="auto"/>
            <w:vAlign w:val="center"/>
          </w:tcPr>
          <w:p w14:paraId="539EA4E8" w14:textId="77777777" w:rsidR="001761D9" w:rsidRPr="007541ED" w:rsidRDefault="001761D9" w:rsidP="00BF7D12">
            <w:pPr>
              <w:jc w:val="right"/>
              <w:rPr>
                <w:color w:val="000000"/>
                <w:sz w:val="20"/>
                <w:szCs w:val="20"/>
                <w:lang w:val="es-MX" w:eastAsia="es-MX"/>
              </w:rPr>
            </w:pPr>
            <w:r w:rsidRPr="007541ED">
              <w:rPr>
                <w:color w:val="000000"/>
                <w:sz w:val="20"/>
                <w:szCs w:val="20"/>
                <w:lang w:val="es-MX" w:eastAsia="es-MX"/>
              </w:rPr>
              <w:t>35,715,123.00</w:t>
            </w:r>
          </w:p>
        </w:tc>
      </w:tr>
      <w:tr w:rsidR="001761D9" w:rsidRPr="007B09E5" w14:paraId="6E641E00" w14:textId="77777777" w:rsidTr="00BF7D12">
        <w:trPr>
          <w:trHeight w:val="315"/>
          <w:jc w:val="center"/>
        </w:trPr>
        <w:tc>
          <w:tcPr>
            <w:tcW w:w="4625" w:type="dxa"/>
            <w:tcBorders>
              <w:top w:val="nil"/>
              <w:left w:val="single" w:sz="8" w:space="0" w:color="A6A6A6"/>
              <w:bottom w:val="single" w:sz="8" w:space="0" w:color="A6A6A6"/>
              <w:right w:val="single" w:sz="8" w:space="0" w:color="A6A6A6"/>
            </w:tcBorders>
            <w:shd w:val="clear" w:color="auto" w:fill="auto"/>
            <w:vAlign w:val="center"/>
          </w:tcPr>
          <w:p w14:paraId="2F71C110" w14:textId="77777777" w:rsidR="001761D9" w:rsidRPr="007B09E5" w:rsidRDefault="001761D9" w:rsidP="00BF7D12">
            <w:pPr>
              <w:spacing w:line="360" w:lineRule="auto"/>
              <w:jc w:val="both"/>
              <w:rPr>
                <w:sz w:val="20"/>
                <w:szCs w:val="20"/>
                <w:lang w:eastAsia="es-MX"/>
              </w:rPr>
            </w:pPr>
            <w:r w:rsidRPr="007B09E5">
              <w:rPr>
                <w:sz w:val="20"/>
                <w:szCs w:val="20"/>
                <w:lang w:eastAsia="es-MX"/>
              </w:rPr>
              <w:t>Secretaria Ejecutiva del Sistema Anticorrupción del Estado de Tlaxcala</w:t>
            </w:r>
          </w:p>
        </w:tc>
        <w:tc>
          <w:tcPr>
            <w:tcW w:w="1390" w:type="dxa"/>
            <w:tcBorders>
              <w:top w:val="nil"/>
              <w:left w:val="nil"/>
              <w:bottom w:val="single" w:sz="8" w:space="0" w:color="A6A6A6"/>
              <w:right w:val="single" w:sz="8" w:space="0" w:color="A6A6A6"/>
            </w:tcBorders>
            <w:shd w:val="clear" w:color="auto" w:fill="auto"/>
            <w:vAlign w:val="center"/>
          </w:tcPr>
          <w:p w14:paraId="3A086053" w14:textId="77777777" w:rsidR="001761D9" w:rsidRPr="007541ED" w:rsidRDefault="001761D9" w:rsidP="00BF7D12">
            <w:pPr>
              <w:jc w:val="right"/>
              <w:rPr>
                <w:color w:val="000000"/>
                <w:sz w:val="20"/>
                <w:szCs w:val="20"/>
                <w:lang w:val="es-MX" w:eastAsia="es-MX"/>
              </w:rPr>
            </w:pPr>
            <w:r w:rsidRPr="007541ED">
              <w:rPr>
                <w:color w:val="000000"/>
                <w:sz w:val="20"/>
                <w:szCs w:val="20"/>
                <w:lang w:val="es-MX" w:eastAsia="es-MX"/>
              </w:rPr>
              <w:t>12,600,182.00</w:t>
            </w:r>
          </w:p>
        </w:tc>
      </w:tr>
      <w:tr w:rsidR="001761D9" w:rsidRPr="007B09E5" w14:paraId="339E1CDC" w14:textId="77777777" w:rsidTr="00BF7D12">
        <w:trPr>
          <w:trHeight w:val="315"/>
          <w:jc w:val="center"/>
        </w:trPr>
        <w:tc>
          <w:tcPr>
            <w:tcW w:w="4625" w:type="dxa"/>
            <w:tcBorders>
              <w:top w:val="nil"/>
              <w:left w:val="single" w:sz="8" w:space="0" w:color="A6A6A6"/>
              <w:bottom w:val="single" w:sz="8" w:space="0" w:color="A6A6A6"/>
              <w:right w:val="single" w:sz="8" w:space="0" w:color="A6A6A6"/>
            </w:tcBorders>
            <w:shd w:val="clear" w:color="auto" w:fill="auto"/>
            <w:vAlign w:val="center"/>
          </w:tcPr>
          <w:p w14:paraId="11DFDBA4" w14:textId="77777777" w:rsidR="001761D9" w:rsidRPr="007B09E5" w:rsidRDefault="001761D9" w:rsidP="00BF7D12">
            <w:pPr>
              <w:spacing w:line="360" w:lineRule="auto"/>
              <w:jc w:val="both"/>
              <w:rPr>
                <w:sz w:val="20"/>
                <w:szCs w:val="20"/>
                <w:lang w:eastAsia="es-MX"/>
              </w:rPr>
            </w:pPr>
            <w:r w:rsidRPr="007B09E5">
              <w:rPr>
                <w:sz w:val="20"/>
                <w:szCs w:val="20"/>
                <w:lang w:eastAsia="es-MX"/>
              </w:rPr>
              <w:t>Tribunal de Justicia Administrativa</w:t>
            </w:r>
          </w:p>
        </w:tc>
        <w:tc>
          <w:tcPr>
            <w:tcW w:w="1390" w:type="dxa"/>
            <w:tcBorders>
              <w:top w:val="nil"/>
              <w:left w:val="nil"/>
              <w:bottom w:val="single" w:sz="8" w:space="0" w:color="A6A6A6"/>
              <w:right w:val="single" w:sz="8" w:space="0" w:color="A6A6A6"/>
            </w:tcBorders>
            <w:shd w:val="clear" w:color="auto" w:fill="auto"/>
            <w:vAlign w:val="center"/>
          </w:tcPr>
          <w:p w14:paraId="53F9DCF2" w14:textId="77777777" w:rsidR="001761D9" w:rsidRPr="007541ED" w:rsidRDefault="001761D9" w:rsidP="00BF7D12">
            <w:pPr>
              <w:jc w:val="right"/>
              <w:rPr>
                <w:color w:val="000000"/>
                <w:sz w:val="20"/>
                <w:szCs w:val="20"/>
                <w:lang w:val="es-MX" w:eastAsia="es-MX"/>
              </w:rPr>
            </w:pPr>
            <w:r w:rsidRPr="007541ED">
              <w:rPr>
                <w:color w:val="000000"/>
                <w:sz w:val="20"/>
                <w:szCs w:val="20"/>
                <w:lang w:val="es-MX" w:eastAsia="es-MX"/>
              </w:rPr>
              <w:t>53,052,716.00</w:t>
            </w:r>
          </w:p>
        </w:tc>
      </w:tr>
      <w:tr w:rsidR="001761D9" w:rsidRPr="007B09E5" w14:paraId="2EF91814" w14:textId="77777777" w:rsidTr="00BF7D12">
        <w:trPr>
          <w:trHeight w:val="330"/>
          <w:jc w:val="center"/>
        </w:trPr>
        <w:tc>
          <w:tcPr>
            <w:tcW w:w="4625" w:type="dxa"/>
            <w:tcBorders>
              <w:top w:val="nil"/>
              <w:left w:val="single" w:sz="8" w:space="0" w:color="A6A6A6"/>
              <w:bottom w:val="single" w:sz="8" w:space="0" w:color="A6A6A6"/>
              <w:right w:val="single" w:sz="8" w:space="0" w:color="A6A6A6"/>
            </w:tcBorders>
            <w:shd w:val="clear" w:color="000000" w:fill="CCCCCC"/>
            <w:vAlign w:val="center"/>
            <w:hideMark/>
          </w:tcPr>
          <w:p w14:paraId="53C601CE" w14:textId="77777777" w:rsidR="001761D9" w:rsidRPr="007B09E5" w:rsidRDefault="001761D9" w:rsidP="00BF7D12">
            <w:pPr>
              <w:spacing w:line="360" w:lineRule="auto"/>
              <w:jc w:val="center"/>
              <w:rPr>
                <w:b/>
                <w:bCs/>
                <w:sz w:val="20"/>
                <w:szCs w:val="20"/>
                <w:lang w:eastAsia="es-MX"/>
              </w:rPr>
            </w:pPr>
            <w:r w:rsidRPr="007B09E5">
              <w:rPr>
                <w:b/>
                <w:bCs/>
                <w:sz w:val="20"/>
                <w:szCs w:val="20"/>
                <w:lang w:eastAsia="es-MX"/>
              </w:rPr>
              <w:t>TOTAL</w:t>
            </w:r>
          </w:p>
        </w:tc>
        <w:tc>
          <w:tcPr>
            <w:tcW w:w="1390" w:type="dxa"/>
            <w:tcBorders>
              <w:top w:val="nil"/>
              <w:left w:val="nil"/>
              <w:bottom w:val="single" w:sz="8" w:space="0" w:color="A6A6A6"/>
              <w:right w:val="single" w:sz="8" w:space="0" w:color="A6A6A6"/>
            </w:tcBorders>
            <w:shd w:val="clear" w:color="000000" w:fill="CCCCCC"/>
            <w:vAlign w:val="center"/>
          </w:tcPr>
          <w:p w14:paraId="6E402C87" w14:textId="77777777" w:rsidR="001761D9" w:rsidRPr="007541ED" w:rsidRDefault="001761D9" w:rsidP="00BF7D12">
            <w:pPr>
              <w:jc w:val="right"/>
              <w:rPr>
                <w:b/>
                <w:bCs/>
                <w:color w:val="000000"/>
                <w:sz w:val="20"/>
                <w:szCs w:val="20"/>
                <w:lang w:val="es-MX" w:eastAsia="es-MX"/>
              </w:rPr>
            </w:pPr>
            <w:r w:rsidRPr="007541ED">
              <w:rPr>
                <w:b/>
                <w:bCs/>
                <w:color w:val="000000"/>
                <w:sz w:val="20"/>
                <w:szCs w:val="20"/>
                <w:lang w:eastAsia="es-MX"/>
              </w:rPr>
              <w:t>406,155,466.00</w:t>
            </w:r>
          </w:p>
        </w:tc>
      </w:tr>
    </w:tbl>
    <w:p w14:paraId="74D35BFF" w14:textId="77777777" w:rsidR="00525B2B" w:rsidRDefault="00525B2B" w:rsidP="00525B2B">
      <w:pPr>
        <w:spacing w:after="200" w:line="360" w:lineRule="auto"/>
        <w:jc w:val="center"/>
        <w:rPr>
          <w:b/>
          <w:sz w:val="20"/>
          <w:szCs w:val="20"/>
        </w:rPr>
      </w:pPr>
    </w:p>
    <w:p w14:paraId="67634527" w14:textId="77777777" w:rsidR="00525B2B" w:rsidRPr="0088316C" w:rsidRDefault="00525B2B" w:rsidP="00525B2B">
      <w:pPr>
        <w:spacing w:after="200" w:line="360" w:lineRule="auto"/>
        <w:jc w:val="center"/>
        <w:rPr>
          <w:b/>
          <w:sz w:val="20"/>
          <w:szCs w:val="20"/>
        </w:rPr>
      </w:pPr>
      <w:r>
        <w:rPr>
          <w:b/>
          <w:sz w:val="20"/>
          <w:szCs w:val="20"/>
        </w:rPr>
        <w:t>MUNICIPIOS</w:t>
      </w:r>
    </w:p>
    <w:p w14:paraId="3A4615D1" w14:textId="3309304B" w:rsidR="00CC0740" w:rsidRDefault="00670720" w:rsidP="00CC0740">
      <w:pPr>
        <w:spacing w:line="360" w:lineRule="auto"/>
        <w:jc w:val="both"/>
        <w:rPr>
          <w:sz w:val="20"/>
          <w:szCs w:val="20"/>
        </w:rPr>
      </w:pPr>
      <w:r>
        <w:rPr>
          <w:sz w:val="20"/>
          <w:szCs w:val="20"/>
        </w:rPr>
        <w:t>Para</w:t>
      </w:r>
      <w:r w:rsidRPr="0088316C">
        <w:rPr>
          <w:sz w:val="20"/>
          <w:szCs w:val="20"/>
        </w:rPr>
        <w:t xml:space="preserve"> Municipios </w:t>
      </w:r>
      <w:r>
        <w:rPr>
          <w:sz w:val="20"/>
          <w:szCs w:val="20"/>
        </w:rPr>
        <w:t>se prevé</w:t>
      </w:r>
      <w:r w:rsidRPr="0088316C">
        <w:rPr>
          <w:sz w:val="20"/>
          <w:szCs w:val="20"/>
        </w:rPr>
        <w:t xml:space="preserve"> un presupuesto global de </w:t>
      </w:r>
      <w:r>
        <w:rPr>
          <w:sz w:val="20"/>
          <w:szCs w:val="20"/>
        </w:rPr>
        <w:t>$4,794,137,829</w:t>
      </w:r>
      <w:r>
        <w:rPr>
          <w:bCs/>
          <w:sz w:val="20"/>
          <w:szCs w:val="20"/>
          <w:lang w:eastAsia="es-MX"/>
        </w:rPr>
        <w:t>.00</w:t>
      </w:r>
      <w:r w:rsidRPr="0088316C">
        <w:rPr>
          <w:sz w:val="20"/>
          <w:szCs w:val="20"/>
        </w:rPr>
        <w:t xml:space="preserve">, integrados por </w:t>
      </w:r>
      <w:r>
        <w:rPr>
          <w:sz w:val="20"/>
          <w:szCs w:val="20"/>
        </w:rPr>
        <w:t>$2</w:t>
      </w:r>
      <w:r>
        <w:rPr>
          <w:sz w:val="20"/>
          <w:szCs w:val="20"/>
          <w:lang w:eastAsia="es-MX"/>
        </w:rPr>
        <w:t xml:space="preserve">,498,790,564.00 </w:t>
      </w:r>
      <w:r>
        <w:rPr>
          <w:sz w:val="20"/>
          <w:szCs w:val="20"/>
        </w:rPr>
        <w:t xml:space="preserve">de Participaciones e Incentivos Derivados de </w:t>
      </w:r>
      <w:r w:rsidR="00C0167B">
        <w:rPr>
          <w:sz w:val="20"/>
          <w:szCs w:val="20"/>
        </w:rPr>
        <w:t xml:space="preserve">la </w:t>
      </w:r>
      <w:r>
        <w:rPr>
          <w:sz w:val="20"/>
          <w:szCs w:val="20"/>
        </w:rPr>
        <w:t>Colaboración Fiscal, $68,825,102.00</w:t>
      </w:r>
      <w:r>
        <w:rPr>
          <w:sz w:val="20"/>
          <w:szCs w:val="20"/>
          <w:lang w:eastAsia="es-MX"/>
        </w:rPr>
        <w:t xml:space="preserve"> </w:t>
      </w:r>
      <w:r w:rsidRPr="0088316C">
        <w:rPr>
          <w:sz w:val="20"/>
          <w:szCs w:val="20"/>
        </w:rPr>
        <w:t xml:space="preserve">de </w:t>
      </w:r>
      <w:r>
        <w:rPr>
          <w:sz w:val="20"/>
          <w:szCs w:val="20"/>
        </w:rPr>
        <w:t>Ingresos Derivados de Fuentes Locales, participables, y</w:t>
      </w:r>
      <w:r w:rsidRPr="0088316C">
        <w:rPr>
          <w:sz w:val="20"/>
          <w:szCs w:val="20"/>
        </w:rPr>
        <w:t xml:space="preserve"> </w:t>
      </w:r>
      <w:r>
        <w:rPr>
          <w:sz w:val="20"/>
          <w:szCs w:val="20"/>
        </w:rPr>
        <w:t>$2,226,522,163</w:t>
      </w:r>
      <w:r>
        <w:rPr>
          <w:sz w:val="20"/>
          <w:szCs w:val="20"/>
          <w:lang w:eastAsia="es-MX"/>
        </w:rPr>
        <w:t>.00</w:t>
      </w:r>
      <w:r w:rsidRPr="0088316C">
        <w:rPr>
          <w:sz w:val="20"/>
          <w:szCs w:val="20"/>
        </w:rPr>
        <w:t xml:space="preserve"> de </w:t>
      </w:r>
      <w:r>
        <w:rPr>
          <w:sz w:val="20"/>
          <w:szCs w:val="20"/>
        </w:rPr>
        <w:t>A</w:t>
      </w:r>
      <w:r w:rsidRPr="0088316C">
        <w:rPr>
          <w:sz w:val="20"/>
          <w:szCs w:val="20"/>
        </w:rPr>
        <w:t xml:space="preserve">portaciones </w:t>
      </w:r>
      <w:r>
        <w:rPr>
          <w:sz w:val="20"/>
          <w:szCs w:val="20"/>
        </w:rPr>
        <w:t>F</w:t>
      </w:r>
      <w:r w:rsidRPr="0088316C">
        <w:rPr>
          <w:sz w:val="20"/>
          <w:szCs w:val="20"/>
        </w:rPr>
        <w:t>ederales</w:t>
      </w:r>
      <w:r w:rsidR="00CC0740" w:rsidRPr="0088316C">
        <w:rPr>
          <w:sz w:val="20"/>
          <w:szCs w:val="20"/>
        </w:rPr>
        <w:t>.</w:t>
      </w:r>
    </w:p>
    <w:p w14:paraId="7A0BEC92" w14:textId="77777777" w:rsidR="00525B2B" w:rsidRDefault="00525B2B" w:rsidP="00525B2B">
      <w:pPr>
        <w:spacing w:after="200" w:line="360" w:lineRule="auto"/>
        <w:contextualSpacing/>
        <w:jc w:val="center"/>
        <w:rPr>
          <w:rFonts w:eastAsia="Calibri"/>
          <w:b/>
          <w:sz w:val="20"/>
          <w:szCs w:val="20"/>
        </w:rPr>
      </w:pPr>
      <w:r w:rsidRPr="00955A4C">
        <w:rPr>
          <w:rFonts w:eastAsia="Calibri"/>
          <w:b/>
          <w:sz w:val="20"/>
          <w:szCs w:val="20"/>
        </w:rPr>
        <w:t>RECURSOS FEDERALES A MUNICIPIOS</w:t>
      </w:r>
    </w:p>
    <w:p w14:paraId="367FA88E" w14:textId="77777777" w:rsidR="00525B2B" w:rsidRPr="00955A4C" w:rsidRDefault="00525B2B" w:rsidP="00525B2B">
      <w:pPr>
        <w:spacing w:after="200" w:line="360" w:lineRule="auto"/>
        <w:contextualSpacing/>
        <w:jc w:val="center"/>
        <w:rPr>
          <w:rFonts w:eastAsia="Calibri"/>
          <w:b/>
          <w:sz w:val="20"/>
          <w:szCs w:val="20"/>
        </w:rPr>
      </w:pPr>
    </w:p>
    <w:tbl>
      <w:tblPr>
        <w:tblW w:w="7807" w:type="dxa"/>
        <w:jc w:val="center"/>
        <w:tblLayout w:type="fixed"/>
        <w:tblCellMar>
          <w:left w:w="70" w:type="dxa"/>
          <w:right w:w="70" w:type="dxa"/>
        </w:tblCellMar>
        <w:tblLook w:val="04A0" w:firstRow="1" w:lastRow="0" w:firstColumn="1" w:lastColumn="0" w:noHBand="0" w:noVBand="1"/>
      </w:tblPr>
      <w:tblGrid>
        <w:gridCol w:w="3129"/>
        <w:gridCol w:w="1560"/>
        <w:gridCol w:w="1559"/>
        <w:gridCol w:w="1559"/>
      </w:tblGrid>
      <w:tr w:rsidR="00CC0740" w:rsidRPr="007B09E5" w14:paraId="7D3AA37B" w14:textId="77777777" w:rsidTr="00670720">
        <w:trPr>
          <w:trHeight w:val="330"/>
          <w:tblHeader/>
          <w:jc w:val="center"/>
        </w:trPr>
        <w:tc>
          <w:tcPr>
            <w:tcW w:w="3129" w:type="dxa"/>
            <w:tcBorders>
              <w:top w:val="single" w:sz="8" w:space="0" w:color="A6A6A6"/>
              <w:left w:val="single" w:sz="8" w:space="0" w:color="A6A6A6"/>
              <w:bottom w:val="nil"/>
              <w:right w:val="single" w:sz="8" w:space="0" w:color="A6A6A6"/>
            </w:tcBorders>
            <w:shd w:val="clear" w:color="000000" w:fill="CCCCCC"/>
            <w:vAlign w:val="center"/>
            <w:hideMark/>
          </w:tcPr>
          <w:p w14:paraId="682500A3" w14:textId="77777777" w:rsidR="00CC0740" w:rsidRPr="007B09E5" w:rsidRDefault="00CC0740" w:rsidP="00BF7D12">
            <w:pPr>
              <w:spacing w:line="360" w:lineRule="auto"/>
              <w:jc w:val="center"/>
              <w:rPr>
                <w:b/>
                <w:bCs/>
                <w:sz w:val="20"/>
                <w:szCs w:val="20"/>
                <w:lang w:eastAsia="es-MX"/>
              </w:rPr>
            </w:pPr>
            <w:r w:rsidRPr="007B09E5">
              <w:rPr>
                <w:b/>
                <w:bCs/>
                <w:sz w:val="20"/>
                <w:szCs w:val="20"/>
                <w:lang w:eastAsia="es-MX"/>
              </w:rPr>
              <w:t>MUNICIPIOS</w:t>
            </w:r>
          </w:p>
        </w:tc>
        <w:tc>
          <w:tcPr>
            <w:tcW w:w="1560" w:type="dxa"/>
            <w:tcBorders>
              <w:top w:val="single" w:sz="8" w:space="0" w:color="A6A6A6"/>
              <w:left w:val="nil"/>
              <w:bottom w:val="nil"/>
              <w:right w:val="single" w:sz="8" w:space="0" w:color="A6A6A6"/>
            </w:tcBorders>
            <w:shd w:val="clear" w:color="000000" w:fill="CCCCCC"/>
            <w:vAlign w:val="center"/>
            <w:hideMark/>
          </w:tcPr>
          <w:p w14:paraId="6E966074" w14:textId="77777777" w:rsidR="00CC0740" w:rsidRPr="007B09E5" w:rsidRDefault="00CC0740" w:rsidP="00BF7D12">
            <w:pPr>
              <w:spacing w:line="360" w:lineRule="auto"/>
              <w:jc w:val="center"/>
              <w:rPr>
                <w:b/>
                <w:bCs/>
                <w:sz w:val="20"/>
                <w:szCs w:val="20"/>
                <w:lang w:eastAsia="es-MX"/>
              </w:rPr>
            </w:pPr>
            <w:r w:rsidRPr="007B09E5">
              <w:rPr>
                <w:b/>
                <w:bCs/>
                <w:sz w:val="20"/>
                <w:szCs w:val="20"/>
                <w:lang w:eastAsia="es-MX"/>
              </w:rPr>
              <w:t>2021</w:t>
            </w:r>
          </w:p>
        </w:tc>
        <w:tc>
          <w:tcPr>
            <w:tcW w:w="1559" w:type="dxa"/>
            <w:tcBorders>
              <w:top w:val="single" w:sz="8" w:space="0" w:color="A6A6A6"/>
              <w:left w:val="nil"/>
              <w:bottom w:val="nil"/>
              <w:right w:val="single" w:sz="8" w:space="0" w:color="A6A6A6"/>
            </w:tcBorders>
            <w:shd w:val="clear" w:color="000000" w:fill="CCCCCC"/>
            <w:vAlign w:val="center"/>
            <w:hideMark/>
          </w:tcPr>
          <w:p w14:paraId="19FF29EB" w14:textId="77777777" w:rsidR="00CC0740" w:rsidRPr="007B09E5" w:rsidRDefault="00CC0740" w:rsidP="00BF7D12">
            <w:pPr>
              <w:spacing w:line="360" w:lineRule="auto"/>
              <w:jc w:val="center"/>
              <w:rPr>
                <w:b/>
                <w:bCs/>
                <w:sz w:val="20"/>
                <w:szCs w:val="20"/>
                <w:lang w:eastAsia="es-MX"/>
              </w:rPr>
            </w:pPr>
            <w:r w:rsidRPr="007B09E5">
              <w:rPr>
                <w:b/>
                <w:bCs/>
                <w:sz w:val="20"/>
                <w:szCs w:val="20"/>
                <w:lang w:eastAsia="es-MX"/>
              </w:rPr>
              <w:t>2022</w:t>
            </w:r>
          </w:p>
        </w:tc>
        <w:tc>
          <w:tcPr>
            <w:tcW w:w="1559" w:type="dxa"/>
            <w:tcBorders>
              <w:top w:val="single" w:sz="8" w:space="0" w:color="A6A6A6"/>
              <w:left w:val="nil"/>
              <w:bottom w:val="nil"/>
              <w:right w:val="single" w:sz="8" w:space="0" w:color="A6A6A6"/>
            </w:tcBorders>
            <w:shd w:val="clear" w:color="000000" w:fill="CCCCCC"/>
            <w:vAlign w:val="center"/>
            <w:hideMark/>
          </w:tcPr>
          <w:p w14:paraId="6CF7E5E0" w14:textId="77777777" w:rsidR="00CC0740" w:rsidRPr="007B09E5" w:rsidRDefault="00CC0740" w:rsidP="00BF7D12">
            <w:pPr>
              <w:spacing w:line="360" w:lineRule="auto"/>
              <w:jc w:val="center"/>
              <w:rPr>
                <w:b/>
                <w:bCs/>
                <w:sz w:val="20"/>
                <w:szCs w:val="20"/>
                <w:lang w:eastAsia="es-MX"/>
              </w:rPr>
            </w:pPr>
            <w:r>
              <w:rPr>
                <w:b/>
                <w:bCs/>
                <w:sz w:val="20"/>
                <w:szCs w:val="20"/>
                <w:lang w:eastAsia="es-MX"/>
              </w:rPr>
              <w:t>2023</w:t>
            </w:r>
          </w:p>
        </w:tc>
      </w:tr>
      <w:tr w:rsidR="00670720" w:rsidRPr="007B09E5" w14:paraId="6DC4A20C" w14:textId="77777777" w:rsidTr="00670720">
        <w:trPr>
          <w:trHeight w:val="315"/>
          <w:jc w:val="center"/>
        </w:trPr>
        <w:tc>
          <w:tcPr>
            <w:tcW w:w="3129" w:type="dxa"/>
            <w:tcBorders>
              <w:top w:val="single" w:sz="8" w:space="0" w:color="A6A6A6"/>
              <w:left w:val="single" w:sz="8" w:space="0" w:color="A6A6A6"/>
              <w:bottom w:val="single" w:sz="8" w:space="0" w:color="A6A6A6"/>
              <w:right w:val="single" w:sz="8" w:space="0" w:color="A6A6A6"/>
            </w:tcBorders>
            <w:shd w:val="clear" w:color="auto" w:fill="auto"/>
            <w:vAlign w:val="center"/>
            <w:hideMark/>
          </w:tcPr>
          <w:p w14:paraId="4D9E8F1B" w14:textId="7F94B24E" w:rsidR="00670720" w:rsidRPr="007B09E5" w:rsidRDefault="00670720" w:rsidP="00670720">
            <w:pPr>
              <w:spacing w:line="360" w:lineRule="auto"/>
              <w:jc w:val="both"/>
              <w:rPr>
                <w:sz w:val="20"/>
                <w:szCs w:val="20"/>
                <w:lang w:eastAsia="es-MX"/>
              </w:rPr>
            </w:pPr>
            <w:r w:rsidRPr="007B09E5">
              <w:rPr>
                <w:sz w:val="20"/>
                <w:szCs w:val="20"/>
                <w:lang w:eastAsia="es-MX"/>
              </w:rPr>
              <w:t>Ingresos Derivados de Fuentes Locales</w:t>
            </w:r>
          </w:p>
        </w:tc>
        <w:tc>
          <w:tcPr>
            <w:tcW w:w="1560" w:type="dxa"/>
            <w:tcBorders>
              <w:top w:val="single" w:sz="8" w:space="0" w:color="A6A6A6"/>
              <w:left w:val="nil"/>
              <w:bottom w:val="single" w:sz="8" w:space="0" w:color="A6A6A6"/>
              <w:right w:val="single" w:sz="8" w:space="0" w:color="A6A6A6"/>
            </w:tcBorders>
            <w:shd w:val="clear" w:color="auto" w:fill="auto"/>
            <w:vAlign w:val="center"/>
          </w:tcPr>
          <w:p w14:paraId="56E4EE87" w14:textId="77777777" w:rsidR="00670720" w:rsidRPr="007B09E5" w:rsidRDefault="00670720" w:rsidP="00670720">
            <w:pPr>
              <w:spacing w:line="360" w:lineRule="auto"/>
              <w:jc w:val="right"/>
              <w:rPr>
                <w:sz w:val="20"/>
                <w:szCs w:val="20"/>
                <w:lang w:eastAsia="es-MX"/>
              </w:rPr>
            </w:pPr>
            <w:r w:rsidRPr="007B09E5">
              <w:rPr>
                <w:sz w:val="20"/>
                <w:szCs w:val="20"/>
                <w:lang w:eastAsia="es-MX"/>
              </w:rPr>
              <w:t>54,481,281.00</w:t>
            </w:r>
          </w:p>
        </w:tc>
        <w:tc>
          <w:tcPr>
            <w:tcW w:w="1559" w:type="dxa"/>
            <w:tcBorders>
              <w:top w:val="single" w:sz="8" w:space="0" w:color="A6A6A6"/>
              <w:left w:val="nil"/>
              <w:bottom w:val="single" w:sz="8" w:space="0" w:color="A6A6A6"/>
              <w:right w:val="single" w:sz="8" w:space="0" w:color="A6A6A6"/>
            </w:tcBorders>
            <w:shd w:val="clear" w:color="auto" w:fill="auto"/>
            <w:vAlign w:val="center"/>
          </w:tcPr>
          <w:p w14:paraId="279F8437" w14:textId="77777777" w:rsidR="00670720" w:rsidRPr="007B09E5" w:rsidRDefault="00670720" w:rsidP="00670720">
            <w:pPr>
              <w:spacing w:line="360" w:lineRule="auto"/>
              <w:jc w:val="right"/>
              <w:rPr>
                <w:sz w:val="20"/>
                <w:szCs w:val="20"/>
                <w:lang w:eastAsia="es-MX"/>
              </w:rPr>
            </w:pPr>
            <w:r w:rsidRPr="007B09E5">
              <w:rPr>
                <w:sz w:val="20"/>
                <w:szCs w:val="20"/>
                <w:lang w:eastAsia="es-MX"/>
              </w:rPr>
              <w:t>59,902,324.00</w:t>
            </w:r>
          </w:p>
        </w:tc>
        <w:tc>
          <w:tcPr>
            <w:tcW w:w="1559" w:type="dxa"/>
            <w:tcBorders>
              <w:top w:val="single" w:sz="8" w:space="0" w:color="A6A6A6"/>
              <w:left w:val="nil"/>
              <w:bottom w:val="single" w:sz="8" w:space="0" w:color="A6A6A6"/>
              <w:right w:val="single" w:sz="8" w:space="0" w:color="A6A6A6"/>
            </w:tcBorders>
            <w:shd w:val="clear" w:color="auto" w:fill="auto"/>
            <w:vAlign w:val="center"/>
          </w:tcPr>
          <w:p w14:paraId="2D9FFD49" w14:textId="77777777" w:rsidR="00670720" w:rsidRPr="00574245" w:rsidRDefault="00670720" w:rsidP="00670720">
            <w:pPr>
              <w:spacing w:line="360" w:lineRule="auto"/>
              <w:jc w:val="right"/>
              <w:rPr>
                <w:sz w:val="20"/>
                <w:szCs w:val="20"/>
                <w:lang w:eastAsia="es-MX"/>
              </w:rPr>
            </w:pPr>
            <w:r w:rsidRPr="007225FC">
              <w:rPr>
                <w:sz w:val="20"/>
                <w:szCs w:val="20"/>
                <w:lang w:eastAsia="es-MX"/>
              </w:rPr>
              <w:t>68,825,102.00</w:t>
            </w:r>
          </w:p>
        </w:tc>
      </w:tr>
      <w:tr w:rsidR="00670720" w:rsidRPr="007B09E5" w14:paraId="63BB81FD" w14:textId="77777777" w:rsidTr="00670720">
        <w:trPr>
          <w:trHeight w:val="470"/>
          <w:jc w:val="center"/>
        </w:trPr>
        <w:tc>
          <w:tcPr>
            <w:tcW w:w="3129" w:type="dxa"/>
            <w:tcBorders>
              <w:top w:val="nil"/>
              <w:left w:val="single" w:sz="8" w:space="0" w:color="A6A6A6"/>
              <w:bottom w:val="single" w:sz="8" w:space="0" w:color="A6A6A6"/>
              <w:right w:val="single" w:sz="8" w:space="0" w:color="A6A6A6"/>
            </w:tcBorders>
            <w:shd w:val="clear" w:color="auto" w:fill="auto"/>
            <w:vAlign w:val="center"/>
            <w:hideMark/>
          </w:tcPr>
          <w:p w14:paraId="2B899FF8" w14:textId="028E8404" w:rsidR="00670720" w:rsidRPr="007B09E5" w:rsidRDefault="00670720" w:rsidP="00670720">
            <w:pPr>
              <w:spacing w:line="360" w:lineRule="auto"/>
              <w:jc w:val="both"/>
              <w:rPr>
                <w:sz w:val="20"/>
                <w:szCs w:val="20"/>
                <w:lang w:eastAsia="es-MX"/>
              </w:rPr>
            </w:pPr>
            <w:r w:rsidRPr="007B09E5">
              <w:rPr>
                <w:sz w:val="20"/>
                <w:szCs w:val="20"/>
                <w:lang w:eastAsia="es-MX"/>
              </w:rPr>
              <w:lastRenderedPageBreak/>
              <w:t xml:space="preserve">Participaciones e Incentivos </w:t>
            </w:r>
            <w:r>
              <w:rPr>
                <w:sz w:val="20"/>
                <w:szCs w:val="20"/>
                <w:lang w:eastAsia="es-MX"/>
              </w:rPr>
              <w:t xml:space="preserve">Derivados de </w:t>
            </w:r>
            <w:r w:rsidR="00C0167B">
              <w:rPr>
                <w:sz w:val="20"/>
                <w:szCs w:val="20"/>
                <w:lang w:eastAsia="es-MX"/>
              </w:rPr>
              <w:t xml:space="preserve">la </w:t>
            </w:r>
            <w:r>
              <w:rPr>
                <w:sz w:val="20"/>
                <w:szCs w:val="20"/>
                <w:lang w:eastAsia="es-MX"/>
              </w:rPr>
              <w:t>Colaboración Fiscal</w:t>
            </w:r>
          </w:p>
        </w:tc>
        <w:tc>
          <w:tcPr>
            <w:tcW w:w="1560" w:type="dxa"/>
            <w:tcBorders>
              <w:top w:val="nil"/>
              <w:left w:val="nil"/>
              <w:bottom w:val="single" w:sz="8" w:space="0" w:color="A6A6A6"/>
              <w:right w:val="single" w:sz="8" w:space="0" w:color="A6A6A6"/>
            </w:tcBorders>
            <w:shd w:val="clear" w:color="auto" w:fill="auto"/>
            <w:vAlign w:val="center"/>
          </w:tcPr>
          <w:p w14:paraId="59CABF70" w14:textId="77777777" w:rsidR="00670720" w:rsidRPr="007B09E5" w:rsidRDefault="00670720" w:rsidP="00670720">
            <w:pPr>
              <w:spacing w:line="360" w:lineRule="auto"/>
              <w:jc w:val="right"/>
              <w:rPr>
                <w:sz w:val="20"/>
                <w:szCs w:val="20"/>
                <w:lang w:eastAsia="es-MX"/>
              </w:rPr>
            </w:pPr>
            <w:r w:rsidRPr="007B09E5">
              <w:rPr>
                <w:sz w:val="20"/>
                <w:szCs w:val="20"/>
                <w:lang w:eastAsia="es-MX"/>
              </w:rPr>
              <w:t>2,036,389,605.00</w:t>
            </w:r>
          </w:p>
        </w:tc>
        <w:tc>
          <w:tcPr>
            <w:tcW w:w="1559" w:type="dxa"/>
            <w:tcBorders>
              <w:top w:val="nil"/>
              <w:left w:val="nil"/>
              <w:bottom w:val="single" w:sz="8" w:space="0" w:color="A6A6A6"/>
              <w:right w:val="single" w:sz="8" w:space="0" w:color="A6A6A6"/>
            </w:tcBorders>
            <w:shd w:val="clear" w:color="auto" w:fill="auto"/>
            <w:vAlign w:val="center"/>
          </w:tcPr>
          <w:p w14:paraId="521F1D6E" w14:textId="77777777" w:rsidR="00670720" w:rsidRPr="007B09E5" w:rsidRDefault="00670720" w:rsidP="00670720">
            <w:pPr>
              <w:spacing w:line="360" w:lineRule="auto"/>
              <w:jc w:val="right"/>
              <w:rPr>
                <w:sz w:val="20"/>
                <w:szCs w:val="20"/>
                <w:lang w:eastAsia="es-MX"/>
              </w:rPr>
            </w:pPr>
            <w:r w:rsidRPr="007B09E5">
              <w:rPr>
                <w:sz w:val="20"/>
                <w:szCs w:val="20"/>
                <w:lang w:eastAsia="es-MX"/>
              </w:rPr>
              <w:t>2,199,396,266.00</w:t>
            </w:r>
          </w:p>
        </w:tc>
        <w:tc>
          <w:tcPr>
            <w:tcW w:w="1559" w:type="dxa"/>
            <w:tcBorders>
              <w:top w:val="nil"/>
              <w:left w:val="nil"/>
              <w:bottom w:val="single" w:sz="8" w:space="0" w:color="A6A6A6"/>
              <w:right w:val="single" w:sz="8" w:space="0" w:color="A6A6A6"/>
            </w:tcBorders>
            <w:shd w:val="clear" w:color="auto" w:fill="auto"/>
            <w:vAlign w:val="center"/>
          </w:tcPr>
          <w:p w14:paraId="0EB8D477" w14:textId="77777777" w:rsidR="00670720" w:rsidRPr="00574245" w:rsidRDefault="00670720" w:rsidP="00670720">
            <w:pPr>
              <w:spacing w:line="360" w:lineRule="auto"/>
              <w:jc w:val="right"/>
              <w:rPr>
                <w:sz w:val="20"/>
                <w:szCs w:val="20"/>
                <w:lang w:eastAsia="es-MX"/>
              </w:rPr>
            </w:pPr>
            <w:r w:rsidRPr="007225FC">
              <w:rPr>
                <w:sz w:val="20"/>
                <w:szCs w:val="20"/>
                <w:lang w:eastAsia="es-MX"/>
              </w:rPr>
              <w:t>2,498,790,564.00</w:t>
            </w:r>
          </w:p>
        </w:tc>
      </w:tr>
      <w:tr w:rsidR="00670720" w:rsidRPr="007B09E5" w14:paraId="1438C4F4" w14:textId="77777777" w:rsidTr="00670720">
        <w:trPr>
          <w:trHeight w:val="60"/>
          <w:jc w:val="center"/>
        </w:trPr>
        <w:tc>
          <w:tcPr>
            <w:tcW w:w="3129" w:type="dxa"/>
            <w:tcBorders>
              <w:top w:val="nil"/>
              <w:left w:val="single" w:sz="8" w:space="0" w:color="A6A6A6"/>
              <w:bottom w:val="single" w:sz="8" w:space="0" w:color="A6A6A6"/>
              <w:right w:val="single" w:sz="8" w:space="0" w:color="A6A6A6"/>
            </w:tcBorders>
            <w:shd w:val="clear" w:color="auto" w:fill="auto"/>
            <w:vAlign w:val="center"/>
            <w:hideMark/>
          </w:tcPr>
          <w:p w14:paraId="2B76BFEC" w14:textId="564C9B5D" w:rsidR="00670720" w:rsidRPr="007B09E5" w:rsidRDefault="00670720" w:rsidP="00670720">
            <w:pPr>
              <w:spacing w:line="360" w:lineRule="auto"/>
              <w:jc w:val="both"/>
              <w:rPr>
                <w:sz w:val="20"/>
                <w:szCs w:val="20"/>
                <w:lang w:eastAsia="es-MX"/>
              </w:rPr>
            </w:pPr>
            <w:r w:rsidRPr="007B09E5">
              <w:rPr>
                <w:sz w:val="20"/>
                <w:szCs w:val="20"/>
                <w:lang w:eastAsia="es-MX"/>
              </w:rPr>
              <w:t>Aportaciones Federales (Ramo 33)</w:t>
            </w:r>
          </w:p>
        </w:tc>
        <w:tc>
          <w:tcPr>
            <w:tcW w:w="1560" w:type="dxa"/>
            <w:tcBorders>
              <w:top w:val="nil"/>
              <w:left w:val="nil"/>
              <w:bottom w:val="single" w:sz="8" w:space="0" w:color="A6A6A6"/>
              <w:right w:val="single" w:sz="8" w:space="0" w:color="A6A6A6"/>
            </w:tcBorders>
            <w:shd w:val="clear" w:color="auto" w:fill="auto"/>
            <w:vAlign w:val="center"/>
          </w:tcPr>
          <w:p w14:paraId="05AD81A0" w14:textId="77777777" w:rsidR="00670720" w:rsidRPr="007B09E5" w:rsidRDefault="00670720" w:rsidP="00670720">
            <w:pPr>
              <w:spacing w:line="360" w:lineRule="auto"/>
              <w:jc w:val="right"/>
              <w:rPr>
                <w:sz w:val="20"/>
                <w:szCs w:val="20"/>
                <w:lang w:eastAsia="es-MX"/>
              </w:rPr>
            </w:pPr>
            <w:r w:rsidRPr="007B09E5">
              <w:rPr>
                <w:sz w:val="20"/>
                <w:szCs w:val="20"/>
                <w:lang w:eastAsia="es-MX"/>
              </w:rPr>
              <w:t>1,693,006,916.00</w:t>
            </w:r>
          </w:p>
        </w:tc>
        <w:tc>
          <w:tcPr>
            <w:tcW w:w="1559" w:type="dxa"/>
            <w:tcBorders>
              <w:top w:val="nil"/>
              <w:left w:val="nil"/>
              <w:bottom w:val="single" w:sz="8" w:space="0" w:color="A6A6A6"/>
              <w:right w:val="single" w:sz="8" w:space="0" w:color="A6A6A6"/>
            </w:tcBorders>
            <w:shd w:val="clear" w:color="auto" w:fill="auto"/>
            <w:vAlign w:val="center"/>
          </w:tcPr>
          <w:p w14:paraId="6C529623" w14:textId="77777777" w:rsidR="00670720" w:rsidRPr="007B09E5" w:rsidRDefault="00670720" w:rsidP="00670720">
            <w:pPr>
              <w:spacing w:line="360" w:lineRule="auto"/>
              <w:jc w:val="right"/>
              <w:rPr>
                <w:sz w:val="20"/>
                <w:szCs w:val="20"/>
                <w:lang w:eastAsia="es-MX"/>
              </w:rPr>
            </w:pPr>
            <w:r w:rsidRPr="007B09E5">
              <w:rPr>
                <w:sz w:val="20"/>
                <w:szCs w:val="20"/>
                <w:lang w:eastAsia="es-MX"/>
              </w:rPr>
              <w:t>1,903,912,389.00</w:t>
            </w:r>
          </w:p>
        </w:tc>
        <w:tc>
          <w:tcPr>
            <w:tcW w:w="1559" w:type="dxa"/>
            <w:tcBorders>
              <w:top w:val="nil"/>
              <w:left w:val="nil"/>
              <w:bottom w:val="single" w:sz="8" w:space="0" w:color="A6A6A6"/>
              <w:right w:val="single" w:sz="8" w:space="0" w:color="A6A6A6"/>
            </w:tcBorders>
            <w:shd w:val="clear" w:color="auto" w:fill="auto"/>
            <w:vAlign w:val="center"/>
          </w:tcPr>
          <w:p w14:paraId="3756B3B4" w14:textId="77777777" w:rsidR="00670720" w:rsidRPr="00574245" w:rsidRDefault="00670720" w:rsidP="00670720">
            <w:pPr>
              <w:spacing w:line="360" w:lineRule="auto"/>
              <w:jc w:val="right"/>
              <w:rPr>
                <w:sz w:val="20"/>
                <w:szCs w:val="20"/>
                <w:lang w:eastAsia="es-MX"/>
              </w:rPr>
            </w:pPr>
            <w:r w:rsidRPr="007225FC">
              <w:rPr>
                <w:sz w:val="20"/>
                <w:szCs w:val="20"/>
                <w:lang w:eastAsia="es-MX"/>
              </w:rPr>
              <w:t>2,226,522,163.00</w:t>
            </w:r>
          </w:p>
        </w:tc>
      </w:tr>
      <w:tr w:rsidR="00CC0740" w:rsidRPr="007B09E5" w14:paraId="53E91832" w14:textId="77777777" w:rsidTr="00670720">
        <w:trPr>
          <w:trHeight w:val="60"/>
          <w:jc w:val="center"/>
        </w:trPr>
        <w:tc>
          <w:tcPr>
            <w:tcW w:w="3129" w:type="dxa"/>
            <w:tcBorders>
              <w:top w:val="nil"/>
              <w:left w:val="single" w:sz="8" w:space="0" w:color="A6A6A6"/>
              <w:bottom w:val="single" w:sz="8" w:space="0" w:color="A6A6A6"/>
              <w:right w:val="single" w:sz="8" w:space="0" w:color="A6A6A6"/>
            </w:tcBorders>
            <w:shd w:val="clear" w:color="000000" w:fill="CCCCCC"/>
            <w:vAlign w:val="center"/>
            <w:hideMark/>
          </w:tcPr>
          <w:p w14:paraId="60E87FD5" w14:textId="77777777" w:rsidR="00CC0740" w:rsidRPr="007B09E5" w:rsidRDefault="00CC0740" w:rsidP="00BF7D12">
            <w:pPr>
              <w:spacing w:line="360" w:lineRule="auto"/>
              <w:jc w:val="center"/>
              <w:rPr>
                <w:b/>
                <w:bCs/>
                <w:sz w:val="20"/>
                <w:szCs w:val="20"/>
                <w:lang w:eastAsia="es-MX"/>
              </w:rPr>
            </w:pPr>
            <w:r w:rsidRPr="007B09E5">
              <w:rPr>
                <w:b/>
                <w:bCs/>
                <w:sz w:val="20"/>
                <w:szCs w:val="20"/>
                <w:lang w:eastAsia="es-MX"/>
              </w:rPr>
              <w:t>TOTAL</w:t>
            </w:r>
          </w:p>
        </w:tc>
        <w:tc>
          <w:tcPr>
            <w:tcW w:w="1560" w:type="dxa"/>
            <w:tcBorders>
              <w:top w:val="nil"/>
              <w:left w:val="nil"/>
              <w:bottom w:val="single" w:sz="8" w:space="0" w:color="A6A6A6"/>
              <w:right w:val="single" w:sz="8" w:space="0" w:color="A6A6A6"/>
            </w:tcBorders>
            <w:shd w:val="clear" w:color="000000" w:fill="CCCCCC"/>
            <w:vAlign w:val="center"/>
          </w:tcPr>
          <w:p w14:paraId="527CFB40" w14:textId="77777777" w:rsidR="00CC0740" w:rsidRPr="007B09E5" w:rsidRDefault="00CC0740" w:rsidP="00BF7D12">
            <w:pPr>
              <w:spacing w:line="360" w:lineRule="auto"/>
              <w:jc w:val="right"/>
              <w:rPr>
                <w:b/>
                <w:bCs/>
                <w:sz w:val="20"/>
                <w:szCs w:val="20"/>
                <w:lang w:eastAsia="es-MX"/>
              </w:rPr>
            </w:pPr>
            <w:r w:rsidRPr="007B09E5">
              <w:rPr>
                <w:b/>
                <w:bCs/>
                <w:sz w:val="20"/>
                <w:szCs w:val="20"/>
                <w:lang w:eastAsia="es-MX"/>
              </w:rPr>
              <w:t>3,783,877,802.00</w:t>
            </w:r>
          </w:p>
        </w:tc>
        <w:tc>
          <w:tcPr>
            <w:tcW w:w="1559" w:type="dxa"/>
            <w:tcBorders>
              <w:top w:val="nil"/>
              <w:left w:val="nil"/>
              <w:bottom w:val="single" w:sz="8" w:space="0" w:color="A6A6A6"/>
              <w:right w:val="single" w:sz="8" w:space="0" w:color="A6A6A6"/>
            </w:tcBorders>
            <w:shd w:val="clear" w:color="000000" w:fill="CCCCCC"/>
            <w:vAlign w:val="center"/>
          </w:tcPr>
          <w:p w14:paraId="1FBF9D2B" w14:textId="77777777" w:rsidR="00CC0740" w:rsidRPr="007B09E5" w:rsidRDefault="00CC0740" w:rsidP="00BF7D12">
            <w:pPr>
              <w:spacing w:line="360" w:lineRule="auto"/>
              <w:jc w:val="right"/>
              <w:rPr>
                <w:b/>
                <w:bCs/>
                <w:sz w:val="20"/>
                <w:szCs w:val="20"/>
                <w:lang w:eastAsia="es-MX"/>
              </w:rPr>
            </w:pPr>
            <w:r w:rsidRPr="007B09E5">
              <w:rPr>
                <w:b/>
                <w:bCs/>
                <w:sz w:val="20"/>
                <w:szCs w:val="20"/>
                <w:lang w:eastAsia="es-MX"/>
              </w:rPr>
              <w:t>4,163,210,979.00</w:t>
            </w:r>
          </w:p>
        </w:tc>
        <w:tc>
          <w:tcPr>
            <w:tcW w:w="1559" w:type="dxa"/>
            <w:tcBorders>
              <w:top w:val="nil"/>
              <w:left w:val="nil"/>
              <w:bottom w:val="single" w:sz="8" w:space="0" w:color="A6A6A6"/>
              <w:right w:val="single" w:sz="8" w:space="0" w:color="A6A6A6"/>
            </w:tcBorders>
            <w:shd w:val="clear" w:color="000000" w:fill="CCCCCC"/>
            <w:vAlign w:val="center"/>
          </w:tcPr>
          <w:p w14:paraId="14FD4913" w14:textId="77777777" w:rsidR="00CC0740" w:rsidRPr="00574245" w:rsidRDefault="00CC0740" w:rsidP="00BF7D12">
            <w:pPr>
              <w:spacing w:line="360" w:lineRule="auto"/>
              <w:jc w:val="right"/>
              <w:rPr>
                <w:b/>
                <w:bCs/>
                <w:sz w:val="20"/>
                <w:szCs w:val="20"/>
                <w:lang w:eastAsia="es-MX"/>
              </w:rPr>
            </w:pPr>
            <w:r w:rsidRPr="00574245">
              <w:rPr>
                <w:b/>
                <w:bCs/>
                <w:sz w:val="20"/>
                <w:szCs w:val="20"/>
                <w:lang w:eastAsia="es-MX"/>
              </w:rPr>
              <w:t>4,794,137,829.00</w:t>
            </w:r>
          </w:p>
        </w:tc>
      </w:tr>
    </w:tbl>
    <w:p w14:paraId="12DE9BA6" w14:textId="77777777" w:rsidR="00525B2B" w:rsidRPr="00955A4C" w:rsidRDefault="00525B2B" w:rsidP="00525B2B">
      <w:pPr>
        <w:spacing w:after="200" w:line="360" w:lineRule="auto"/>
        <w:jc w:val="both"/>
        <w:rPr>
          <w:rFonts w:eastAsia="Calibri"/>
          <w:sz w:val="20"/>
          <w:szCs w:val="20"/>
        </w:rPr>
      </w:pPr>
    </w:p>
    <w:p w14:paraId="590E7315" w14:textId="5F9B0017" w:rsidR="00CC0740" w:rsidRDefault="00670720" w:rsidP="00CC0740">
      <w:pPr>
        <w:spacing w:after="200" w:line="360" w:lineRule="auto"/>
        <w:jc w:val="both"/>
        <w:rPr>
          <w:rFonts w:eastAsia="Calibri"/>
          <w:sz w:val="20"/>
          <w:szCs w:val="20"/>
        </w:rPr>
      </w:pPr>
      <w:r w:rsidRPr="00670720">
        <w:rPr>
          <w:rFonts w:eastAsia="Calibri"/>
          <w:sz w:val="20"/>
          <w:szCs w:val="20"/>
        </w:rPr>
        <w:t>Por lo que se refiere a recursos derivados de Aportaciones Federales previstas en el Ramo 33 del Presupuesto de Egresos de la Federación, se estima un incremento a los Municipios equivalente al 15.2%, correspondiente a los recursos de los Fondos de Aportaciones para el Fortalecimiento de los Municipios y de las Demarcaciones Territoriales del Distrito Federal (FORTAMUN) y del Fondo de Aportaciones para Infraestructura Social Municipal y de las Demarcaciones Territoriales del Distrito Federal (FISM-DF)</w:t>
      </w:r>
      <w:r>
        <w:rPr>
          <w:rFonts w:eastAsia="Calibri"/>
          <w:sz w:val="20"/>
          <w:szCs w:val="20"/>
        </w:rPr>
        <w:t>.</w:t>
      </w:r>
    </w:p>
    <w:p w14:paraId="4A67DCD5" w14:textId="77777777" w:rsidR="00525B2B" w:rsidRPr="00955A4C" w:rsidRDefault="00525B2B" w:rsidP="00525B2B">
      <w:pPr>
        <w:spacing w:after="200" w:line="360" w:lineRule="auto"/>
        <w:jc w:val="center"/>
        <w:rPr>
          <w:rFonts w:eastAsia="Calibri"/>
          <w:b/>
          <w:sz w:val="20"/>
          <w:szCs w:val="20"/>
        </w:rPr>
      </w:pPr>
      <w:r w:rsidRPr="00955A4C">
        <w:rPr>
          <w:rFonts w:eastAsia="Calibri"/>
          <w:b/>
          <w:sz w:val="20"/>
          <w:szCs w:val="20"/>
        </w:rPr>
        <w:t>PODER EJECUTIVO</w:t>
      </w:r>
    </w:p>
    <w:p w14:paraId="0D8FC5E7" w14:textId="77777777" w:rsidR="00525B2B" w:rsidRPr="007B7F47" w:rsidRDefault="00525B2B" w:rsidP="00525B2B">
      <w:pPr>
        <w:spacing w:after="200" w:line="360" w:lineRule="auto"/>
        <w:jc w:val="center"/>
        <w:rPr>
          <w:rFonts w:eastAsia="Calibri"/>
          <w:b/>
          <w:sz w:val="20"/>
          <w:szCs w:val="20"/>
        </w:rPr>
      </w:pPr>
      <w:r w:rsidRPr="007B7F47">
        <w:rPr>
          <w:rFonts w:eastAsia="Calibri"/>
          <w:b/>
          <w:sz w:val="20"/>
          <w:szCs w:val="20"/>
        </w:rPr>
        <w:t>CLASIFICACIÓN ADMINISTRATIVA</w:t>
      </w:r>
    </w:p>
    <w:p w14:paraId="5FA7DF52" w14:textId="3DF59A48" w:rsidR="00525B2B" w:rsidRPr="00CC0740" w:rsidRDefault="004D7917" w:rsidP="00525B2B">
      <w:pPr>
        <w:spacing w:after="200" w:line="360" w:lineRule="auto"/>
        <w:jc w:val="both"/>
        <w:rPr>
          <w:rFonts w:eastAsia="Calibri"/>
          <w:color w:val="FF0000"/>
          <w:sz w:val="20"/>
          <w:szCs w:val="20"/>
        </w:rPr>
      </w:pPr>
      <w:r w:rsidRPr="004D7917">
        <w:rPr>
          <w:rFonts w:eastAsia="Calibri"/>
          <w:sz w:val="20"/>
          <w:szCs w:val="20"/>
        </w:rPr>
        <w:t>En la clasificación administrativa del presupuesto, presenta una proporción bajo el siguiente detalle; con el 27.6% del presupuesto para la Administración Pública Centralizada, el 2.9% para la Administración Desconcentrada, el 45.8% para la Administración Pública Descentralizada, el 18.7% para Municipios, y 5.0% para Poderes y Órganos Autónomos, como sigue:</w:t>
      </w:r>
      <w:r w:rsidR="00525B2B" w:rsidRPr="00CC0740">
        <w:rPr>
          <w:rFonts w:eastAsia="Calibri"/>
          <w:color w:val="FF0000"/>
          <w:sz w:val="20"/>
          <w:szCs w:val="20"/>
        </w:rPr>
        <w:t xml:space="preserve"> </w:t>
      </w:r>
    </w:p>
    <w:p w14:paraId="7A2BECF5" w14:textId="77777777" w:rsidR="007B7F47" w:rsidRPr="008C5F8F" w:rsidRDefault="007B7F47" w:rsidP="007B7F47">
      <w:pPr>
        <w:spacing w:after="200" w:line="360" w:lineRule="auto"/>
        <w:contextualSpacing/>
        <w:jc w:val="center"/>
        <w:rPr>
          <w:rFonts w:eastAsia="Calibri"/>
          <w:b/>
          <w:sz w:val="20"/>
          <w:szCs w:val="20"/>
        </w:rPr>
      </w:pPr>
      <w:r w:rsidRPr="008C5F8F">
        <w:rPr>
          <w:rFonts w:eastAsia="Calibri"/>
          <w:b/>
          <w:sz w:val="20"/>
          <w:szCs w:val="20"/>
        </w:rPr>
        <w:t>Clasificación Administrativa</w:t>
      </w:r>
    </w:p>
    <w:tbl>
      <w:tblPr>
        <w:tblW w:w="5158" w:type="dxa"/>
        <w:jc w:val="center"/>
        <w:tblCellMar>
          <w:left w:w="70" w:type="dxa"/>
          <w:right w:w="70" w:type="dxa"/>
        </w:tblCellMar>
        <w:tblLook w:val="04A0" w:firstRow="1" w:lastRow="0" w:firstColumn="1" w:lastColumn="0" w:noHBand="0" w:noVBand="1"/>
      </w:tblPr>
      <w:tblGrid>
        <w:gridCol w:w="2365"/>
        <w:gridCol w:w="1640"/>
        <w:gridCol w:w="1153"/>
      </w:tblGrid>
      <w:tr w:rsidR="004D7917" w14:paraId="357D8A3E" w14:textId="77777777" w:rsidTr="00AB35C5">
        <w:trPr>
          <w:trHeight w:val="960"/>
          <w:tblHeader/>
          <w:jc w:val="center"/>
        </w:trPr>
        <w:tc>
          <w:tcPr>
            <w:tcW w:w="2365" w:type="dxa"/>
            <w:tcBorders>
              <w:top w:val="single" w:sz="8" w:space="0" w:color="A6A6A6"/>
              <w:left w:val="single" w:sz="8" w:space="0" w:color="A6A6A6"/>
              <w:bottom w:val="nil"/>
              <w:right w:val="single" w:sz="8" w:space="0" w:color="A6A6A6"/>
            </w:tcBorders>
            <w:shd w:val="clear" w:color="auto" w:fill="CCCCCC"/>
            <w:vAlign w:val="center"/>
            <w:hideMark/>
          </w:tcPr>
          <w:p w14:paraId="0775B38A" w14:textId="77777777" w:rsidR="004D7917" w:rsidRDefault="004D7917" w:rsidP="00AB35C5">
            <w:pPr>
              <w:spacing w:line="360" w:lineRule="auto"/>
              <w:jc w:val="center"/>
              <w:rPr>
                <w:b/>
                <w:bCs/>
                <w:sz w:val="20"/>
                <w:szCs w:val="20"/>
                <w:lang w:eastAsia="es-MX"/>
              </w:rPr>
            </w:pPr>
            <w:r>
              <w:rPr>
                <w:b/>
                <w:bCs/>
                <w:sz w:val="20"/>
                <w:szCs w:val="20"/>
                <w:lang w:eastAsia="es-MX"/>
              </w:rPr>
              <w:t>RAMOS PRESUPUESTARIOS</w:t>
            </w:r>
          </w:p>
        </w:tc>
        <w:tc>
          <w:tcPr>
            <w:tcW w:w="1640" w:type="dxa"/>
            <w:tcBorders>
              <w:top w:val="single" w:sz="8" w:space="0" w:color="A6A6A6"/>
              <w:left w:val="nil"/>
              <w:bottom w:val="nil"/>
              <w:right w:val="single" w:sz="8" w:space="0" w:color="A6A6A6"/>
            </w:tcBorders>
            <w:shd w:val="clear" w:color="auto" w:fill="CCCCCC"/>
            <w:vAlign w:val="center"/>
            <w:hideMark/>
          </w:tcPr>
          <w:p w14:paraId="49755833" w14:textId="77777777" w:rsidR="004D7917" w:rsidRDefault="004D7917" w:rsidP="00AB35C5">
            <w:pPr>
              <w:spacing w:line="360" w:lineRule="auto"/>
              <w:jc w:val="center"/>
              <w:rPr>
                <w:b/>
                <w:bCs/>
                <w:sz w:val="20"/>
                <w:szCs w:val="20"/>
                <w:lang w:eastAsia="es-MX"/>
              </w:rPr>
            </w:pPr>
            <w:r>
              <w:rPr>
                <w:b/>
                <w:bCs/>
                <w:sz w:val="20"/>
                <w:szCs w:val="20"/>
                <w:lang w:eastAsia="es-MX"/>
              </w:rPr>
              <w:t xml:space="preserve">MONTO </w:t>
            </w:r>
          </w:p>
          <w:p w14:paraId="35C576AB" w14:textId="77777777" w:rsidR="004D7917" w:rsidRDefault="004D7917" w:rsidP="00AB35C5">
            <w:pPr>
              <w:spacing w:line="360" w:lineRule="auto"/>
              <w:jc w:val="center"/>
              <w:rPr>
                <w:b/>
                <w:bCs/>
                <w:sz w:val="20"/>
                <w:szCs w:val="20"/>
                <w:lang w:eastAsia="es-MX"/>
              </w:rPr>
            </w:pPr>
            <w:r>
              <w:rPr>
                <w:b/>
                <w:bCs/>
                <w:sz w:val="20"/>
                <w:szCs w:val="20"/>
                <w:lang w:eastAsia="es-MX"/>
              </w:rPr>
              <w:t>($)</w:t>
            </w:r>
          </w:p>
        </w:tc>
        <w:tc>
          <w:tcPr>
            <w:tcW w:w="1153" w:type="dxa"/>
            <w:tcBorders>
              <w:top w:val="single" w:sz="8" w:space="0" w:color="A6A6A6"/>
              <w:left w:val="nil"/>
              <w:bottom w:val="nil"/>
              <w:right w:val="single" w:sz="8" w:space="0" w:color="A6A6A6"/>
            </w:tcBorders>
            <w:shd w:val="clear" w:color="auto" w:fill="CCCCCC"/>
            <w:vAlign w:val="center"/>
            <w:hideMark/>
          </w:tcPr>
          <w:p w14:paraId="7366454D" w14:textId="77777777" w:rsidR="004D7917" w:rsidRDefault="004D7917" w:rsidP="00AB35C5">
            <w:pPr>
              <w:spacing w:line="360" w:lineRule="auto"/>
              <w:jc w:val="center"/>
              <w:rPr>
                <w:b/>
                <w:bCs/>
                <w:sz w:val="20"/>
                <w:szCs w:val="20"/>
                <w:lang w:eastAsia="es-MX"/>
              </w:rPr>
            </w:pPr>
            <w:r>
              <w:rPr>
                <w:b/>
                <w:bCs/>
                <w:sz w:val="20"/>
                <w:szCs w:val="20"/>
                <w:lang w:eastAsia="es-MX"/>
              </w:rPr>
              <w:t>%</w:t>
            </w:r>
          </w:p>
        </w:tc>
      </w:tr>
      <w:tr w:rsidR="004D7917" w14:paraId="32BD483F" w14:textId="77777777" w:rsidTr="00AB35C5">
        <w:trPr>
          <w:trHeight w:val="315"/>
          <w:jc w:val="center"/>
        </w:trPr>
        <w:tc>
          <w:tcPr>
            <w:tcW w:w="2365" w:type="dxa"/>
            <w:tcBorders>
              <w:top w:val="single" w:sz="8" w:space="0" w:color="A6A6A6"/>
              <w:left w:val="single" w:sz="8" w:space="0" w:color="A6A6A6"/>
              <w:bottom w:val="single" w:sz="8" w:space="0" w:color="A6A6A6"/>
              <w:right w:val="single" w:sz="8" w:space="0" w:color="A6A6A6"/>
            </w:tcBorders>
            <w:vAlign w:val="center"/>
            <w:hideMark/>
          </w:tcPr>
          <w:p w14:paraId="2C2D3C53" w14:textId="77777777" w:rsidR="004D7917" w:rsidRDefault="004D7917" w:rsidP="00AB35C5">
            <w:pPr>
              <w:spacing w:line="256" w:lineRule="auto"/>
              <w:jc w:val="both"/>
              <w:rPr>
                <w:color w:val="000000"/>
                <w:sz w:val="20"/>
                <w:szCs w:val="20"/>
                <w:lang w:val="es-MX" w:eastAsia="es-MX"/>
              </w:rPr>
            </w:pPr>
            <w:r>
              <w:rPr>
                <w:color w:val="000000"/>
                <w:sz w:val="20"/>
                <w:szCs w:val="20"/>
              </w:rPr>
              <w:t xml:space="preserve">Centralizadas </w:t>
            </w:r>
          </w:p>
        </w:tc>
        <w:tc>
          <w:tcPr>
            <w:tcW w:w="1640" w:type="dxa"/>
            <w:tcBorders>
              <w:top w:val="single" w:sz="8" w:space="0" w:color="A6A6A6"/>
              <w:left w:val="nil"/>
              <w:bottom w:val="single" w:sz="8" w:space="0" w:color="A6A6A6"/>
              <w:right w:val="single" w:sz="8" w:space="0" w:color="A6A6A6"/>
            </w:tcBorders>
            <w:vAlign w:val="center"/>
            <w:hideMark/>
          </w:tcPr>
          <w:p w14:paraId="5E7000C9" w14:textId="77777777" w:rsidR="004D7917" w:rsidRDefault="004D7917" w:rsidP="00AB35C5">
            <w:pPr>
              <w:spacing w:line="256" w:lineRule="auto"/>
              <w:jc w:val="right"/>
              <w:rPr>
                <w:color w:val="000000"/>
                <w:sz w:val="20"/>
                <w:szCs w:val="20"/>
                <w:lang w:val="es-MX" w:eastAsia="es-MX"/>
              </w:rPr>
            </w:pPr>
            <w:r>
              <w:rPr>
                <w:color w:val="000000"/>
                <w:sz w:val="20"/>
                <w:szCs w:val="20"/>
                <w:lang w:val="es-MX" w:eastAsia="es-MX"/>
              </w:rPr>
              <w:t>7,046,186,339.00</w:t>
            </w:r>
          </w:p>
        </w:tc>
        <w:tc>
          <w:tcPr>
            <w:tcW w:w="1153" w:type="dxa"/>
            <w:tcBorders>
              <w:top w:val="single" w:sz="8" w:space="0" w:color="A6A6A6"/>
              <w:left w:val="nil"/>
              <w:bottom w:val="single" w:sz="8" w:space="0" w:color="A6A6A6"/>
              <w:right w:val="single" w:sz="8" w:space="0" w:color="A6A6A6"/>
            </w:tcBorders>
            <w:vAlign w:val="center"/>
            <w:hideMark/>
          </w:tcPr>
          <w:p w14:paraId="09DB078C" w14:textId="77777777" w:rsidR="004D7917" w:rsidRDefault="004D7917" w:rsidP="00AB35C5">
            <w:pPr>
              <w:spacing w:line="256" w:lineRule="auto"/>
              <w:jc w:val="center"/>
              <w:rPr>
                <w:color w:val="000000"/>
                <w:sz w:val="20"/>
                <w:szCs w:val="20"/>
                <w:lang w:val="es-MX" w:eastAsia="es-MX"/>
              </w:rPr>
            </w:pPr>
            <w:r>
              <w:rPr>
                <w:color w:val="000000"/>
                <w:sz w:val="20"/>
                <w:szCs w:val="20"/>
                <w:lang w:eastAsia="es-MX"/>
              </w:rPr>
              <w:t>27.6</w:t>
            </w:r>
          </w:p>
        </w:tc>
      </w:tr>
      <w:tr w:rsidR="004D7917" w14:paraId="3BA92257" w14:textId="77777777" w:rsidTr="00AB35C5">
        <w:trPr>
          <w:trHeight w:val="315"/>
          <w:jc w:val="center"/>
        </w:trPr>
        <w:tc>
          <w:tcPr>
            <w:tcW w:w="2365" w:type="dxa"/>
            <w:tcBorders>
              <w:top w:val="nil"/>
              <w:left w:val="single" w:sz="8" w:space="0" w:color="A6A6A6"/>
              <w:bottom w:val="single" w:sz="8" w:space="0" w:color="A6A6A6"/>
              <w:right w:val="single" w:sz="8" w:space="0" w:color="A6A6A6"/>
            </w:tcBorders>
            <w:vAlign w:val="center"/>
            <w:hideMark/>
          </w:tcPr>
          <w:p w14:paraId="2289702E" w14:textId="77777777" w:rsidR="004D7917" w:rsidRDefault="004D7917" w:rsidP="00AB35C5">
            <w:pPr>
              <w:spacing w:line="256" w:lineRule="auto"/>
              <w:jc w:val="both"/>
              <w:rPr>
                <w:color w:val="000000"/>
                <w:sz w:val="20"/>
                <w:szCs w:val="20"/>
              </w:rPr>
            </w:pPr>
            <w:r>
              <w:rPr>
                <w:color w:val="000000"/>
                <w:sz w:val="20"/>
                <w:szCs w:val="20"/>
              </w:rPr>
              <w:t xml:space="preserve">Desconcentradas </w:t>
            </w:r>
          </w:p>
        </w:tc>
        <w:tc>
          <w:tcPr>
            <w:tcW w:w="1640" w:type="dxa"/>
            <w:tcBorders>
              <w:top w:val="nil"/>
              <w:left w:val="nil"/>
              <w:bottom w:val="single" w:sz="8" w:space="0" w:color="A6A6A6"/>
              <w:right w:val="single" w:sz="8" w:space="0" w:color="A6A6A6"/>
            </w:tcBorders>
            <w:vAlign w:val="center"/>
            <w:hideMark/>
          </w:tcPr>
          <w:p w14:paraId="0DA15FA5" w14:textId="77777777" w:rsidR="004D7917" w:rsidRDefault="004D7917" w:rsidP="00AB35C5">
            <w:pPr>
              <w:spacing w:line="256" w:lineRule="auto"/>
              <w:jc w:val="right"/>
              <w:rPr>
                <w:color w:val="000000"/>
                <w:sz w:val="20"/>
                <w:szCs w:val="20"/>
                <w:lang w:val="es-MX" w:eastAsia="es-MX"/>
              </w:rPr>
            </w:pPr>
            <w:r>
              <w:rPr>
                <w:color w:val="000000"/>
                <w:sz w:val="20"/>
                <w:szCs w:val="20"/>
                <w:lang w:val="es-MX" w:eastAsia="es-MX"/>
              </w:rPr>
              <w:t>733,974,531.00</w:t>
            </w:r>
          </w:p>
        </w:tc>
        <w:tc>
          <w:tcPr>
            <w:tcW w:w="1153" w:type="dxa"/>
            <w:tcBorders>
              <w:top w:val="nil"/>
              <w:left w:val="nil"/>
              <w:bottom w:val="single" w:sz="8" w:space="0" w:color="A6A6A6"/>
              <w:right w:val="single" w:sz="8" w:space="0" w:color="A6A6A6"/>
            </w:tcBorders>
            <w:vAlign w:val="center"/>
            <w:hideMark/>
          </w:tcPr>
          <w:p w14:paraId="02DEE2A2" w14:textId="77777777" w:rsidR="004D7917" w:rsidRDefault="004D7917" w:rsidP="00AB35C5">
            <w:pPr>
              <w:spacing w:line="256" w:lineRule="auto"/>
              <w:jc w:val="center"/>
              <w:rPr>
                <w:color w:val="000000"/>
                <w:sz w:val="20"/>
                <w:szCs w:val="20"/>
                <w:lang w:val="es-MX" w:eastAsia="es-MX"/>
              </w:rPr>
            </w:pPr>
            <w:r>
              <w:rPr>
                <w:color w:val="000000"/>
                <w:sz w:val="20"/>
                <w:szCs w:val="20"/>
                <w:lang w:eastAsia="es-MX"/>
              </w:rPr>
              <w:t>2.9</w:t>
            </w:r>
          </w:p>
        </w:tc>
      </w:tr>
      <w:tr w:rsidR="004D7917" w14:paraId="06FA01B7" w14:textId="77777777" w:rsidTr="00AB35C5">
        <w:trPr>
          <w:trHeight w:val="315"/>
          <w:jc w:val="center"/>
        </w:trPr>
        <w:tc>
          <w:tcPr>
            <w:tcW w:w="2365" w:type="dxa"/>
            <w:tcBorders>
              <w:top w:val="nil"/>
              <w:left w:val="single" w:sz="8" w:space="0" w:color="A6A6A6"/>
              <w:bottom w:val="single" w:sz="8" w:space="0" w:color="A6A6A6"/>
              <w:right w:val="single" w:sz="8" w:space="0" w:color="A6A6A6"/>
            </w:tcBorders>
            <w:vAlign w:val="center"/>
            <w:hideMark/>
          </w:tcPr>
          <w:p w14:paraId="62973401" w14:textId="77777777" w:rsidR="004D7917" w:rsidRDefault="004D7917" w:rsidP="00AB35C5">
            <w:pPr>
              <w:spacing w:line="256" w:lineRule="auto"/>
              <w:jc w:val="both"/>
              <w:rPr>
                <w:color w:val="000000"/>
                <w:sz w:val="20"/>
                <w:szCs w:val="20"/>
              </w:rPr>
            </w:pPr>
            <w:r>
              <w:rPr>
                <w:color w:val="000000"/>
                <w:sz w:val="20"/>
                <w:szCs w:val="20"/>
              </w:rPr>
              <w:t xml:space="preserve">Descentralizadas </w:t>
            </w:r>
          </w:p>
        </w:tc>
        <w:tc>
          <w:tcPr>
            <w:tcW w:w="1640" w:type="dxa"/>
            <w:tcBorders>
              <w:top w:val="nil"/>
              <w:left w:val="nil"/>
              <w:bottom w:val="single" w:sz="8" w:space="0" w:color="A6A6A6"/>
              <w:right w:val="single" w:sz="8" w:space="0" w:color="A6A6A6"/>
            </w:tcBorders>
            <w:vAlign w:val="center"/>
            <w:hideMark/>
          </w:tcPr>
          <w:p w14:paraId="5DB2F762" w14:textId="77777777" w:rsidR="004D7917" w:rsidRDefault="004D7917" w:rsidP="00AB35C5">
            <w:pPr>
              <w:spacing w:line="256" w:lineRule="auto"/>
              <w:jc w:val="right"/>
              <w:rPr>
                <w:color w:val="000000"/>
                <w:sz w:val="20"/>
                <w:szCs w:val="20"/>
                <w:lang w:val="es-MX" w:eastAsia="es-MX"/>
              </w:rPr>
            </w:pPr>
            <w:r>
              <w:rPr>
                <w:color w:val="000000"/>
                <w:sz w:val="20"/>
                <w:szCs w:val="20"/>
                <w:lang w:val="es-MX" w:eastAsia="es-MX"/>
              </w:rPr>
              <w:t>11,721,883,526.00</w:t>
            </w:r>
          </w:p>
        </w:tc>
        <w:tc>
          <w:tcPr>
            <w:tcW w:w="1153" w:type="dxa"/>
            <w:tcBorders>
              <w:top w:val="nil"/>
              <w:left w:val="nil"/>
              <w:bottom w:val="single" w:sz="8" w:space="0" w:color="A6A6A6"/>
              <w:right w:val="single" w:sz="8" w:space="0" w:color="A6A6A6"/>
            </w:tcBorders>
            <w:vAlign w:val="center"/>
            <w:hideMark/>
          </w:tcPr>
          <w:p w14:paraId="35C94F75" w14:textId="77777777" w:rsidR="004D7917" w:rsidRDefault="004D7917" w:rsidP="00AB35C5">
            <w:pPr>
              <w:spacing w:line="256" w:lineRule="auto"/>
              <w:jc w:val="center"/>
              <w:rPr>
                <w:color w:val="000000"/>
                <w:sz w:val="20"/>
                <w:szCs w:val="20"/>
                <w:lang w:val="es-MX" w:eastAsia="es-MX"/>
              </w:rPr>
            </w:pPr>
            <w:r>
              <w:rPr>
                <w:color w:val="000000"/>
                <w:sz w:val="20"/>
                <w:szCs w:val="20"/>
                <w:lang w:eastAsia="es-MX"/>
              </w:rPr>
              <w:t>45.8</w:t>
            </w:r>
          </w:p>
        </w:tc>
      </w:tr>
      <w:tr w:rsidR="004D7917" w14:paraId="3F79B8DD" w14:textId="77777777" w:rsidTr="00AB35C5">
        <w:trPr>
          <w:trHeight w:val="615"/>
          <w:jc w:val="center"/>
        </w:trPr>
        <w:tc>
          <w:tcPr>
            <w:tcW w:w="2365" w:type="dxa"/>
            <w:tcBorders>
              <w:top w:val="nil"/>
              <w:left w:val="single" w:sz="8" w:space="0" w:color="A6A6A6"/>
              <w:bottom w:val="single" w:sz="8" w:space="0" w:color="A6A6A6"/>
              <w:right w:val="single" w:sz="8" w:space="0" w:color="A6A6A6"/>
            </w:tcBorders>
            <w:vAlign w:val="center"/>
            <w:hideMark/>
          </w:tcPr>
          <w:p w14:paraId="40208486" w14:textId="77777777" w:rsidR="004D7917" w:rsidRDefault="004D7917" w:rsidP="00AB35C5">
            <w:pPr>
              <w:spacing w:line="256" w:lineRule="auto"/>
              <w:jc w:val="both"/>
              <w:rPr>
                <w:color w:val="000000"/>
                <w:sz w:val="20"/>
                <w:szCs w:val="20"/>
              </w:rPr>
            </w:pPr>
            <w:r>
              <w:rPr>
                <w:color w:val="000000"/>
                <w:sz w:val="20"/>
                <w:szCs w:val="20"/>
              </w:rPr>
              <w:t>Poder Legislativo y Judicial</w:t>
            </w:r>
          </w:p>
        </w:tc>
        <w:tc>
          <w:tcPr>
            <w:tcW w:w="1640" w:type="dxa"/>
            <w:tcBorders>
              <w:top w:val="nil"/>
              <w:left w:val="nil"/>
              <w:bottom w:val="single" w:sz="8" w:space="0" w:color="A6A6A6"/>
              <w:right w:val="single" w:sz="8" w:space="0" w:color="A6A6A6"/>
            </w:tcBorders>
            <w:vAlign w:val="center"/>
            <w:hideMark/>
          </w:tcPr>
          <w:p w14:paraId="3A88E79D" w14:textId="77777777" w:rsidR="004D7917" w:rsidRDefault="004D7917" w:rsidP="00AB35C5">
            <w:pPr>
              <w:spacing w:line="256" w:lineRule="auto"/>
              <w:jc w:val="right"/>
              <w:rPr>
                <w:color w:val="000000"/>
                <w:sz w:val="20"/>
                <w:szCs w:val="20"/>
                <w:lang w:val="es-MX" w:eastAsia="es-MX"/>
              </w:rPr>
            </w:pPr>
            <w:r>
              <w:rPr>
                <w:color w:val="000000"/>
                <w:sz w:val="20"/>
                <w:szCs w:val="20"/>
                <w:lang w:eastAsia="es-MX"/>
              </w:rPr>
              <w:t>869,225,685.00</w:t>
            </w:r>
          </w:p>
        </w:tc>
        <w:tc>
          <w:tcPr>
            <w:tcW w:w="1153" w:type="dxa"/>
            <w:tcBorders>
              <w:top w:val="nil"/>
              <w:left w:val="nil"/>
              <w:bottom w:val="single" w:sz="8" w:space="0" w:color="A6A6A6"/>
              <w:right w:val="single" w:sz="8" w:space="0" w:color="A6A6A6"/>
            </w:tcBorders>
            <w:vAlign w:val="center"/>
            <w:hideMark/>
          </w:tcPr>
          <w:p w14:paraId="312A5132" w14:textId="77777777" w:rsidR="004D7917" w:rsidRDefault="004D7917" w:rsidP="00AB35C5">
            <w:pPr>
              <w:spacing w:line="256" w:lineRule="auto"/>
              <w:jc w:val="center"/>
              <w:rPr>
                <w:color w:val="000000"/>
                <w:sz w:val="20"/>
                <w:szCs w:val="20"/>
                <w:lang w:val="es-MX" w:eastAsia="es-MX"/>
              </w:rPr>
            </w:pPr>
            <w:r>
              <w:rPr>
                <w:color w:val="000000"/>
                <w:sz w:val="20"/>
                <w:szCs w:val="20"/>
                <w:lang w:eastAsia="es-MX"/>
              </w:rPr>
              <w:t>3.4</w:t>
            </w:r>
          </w:p>
        </w:tc>
      </w:tr>
      <w:tr w:rsidR="004D7917" w14:paraId="77D941BC" w14:textId="77777777" w:rsidTr="00AB35C5">
        <w:trPr>
          <w:trHeight w:val="315"/>
          <w:jc w:val="center"/>
        </w:trPr>
        <w:tc>
          <w:tcPr>
            <w:tcW w:w="2365" w:type="dxa"/>
            <w:tcBorders>
              <w:top w:val="nil"/>
              <w:left w:val="single" w:sz="8" w:space="0" w:color="A6A6A6"/>
              <w:bottom w:val="single" w:sz="8" w:space="0" w:color="A6A6A6"/>
              <w:right w:val="single" w:sz="8" w:space="0" w:color="A6A6A6"/>
            </w:tcBorders>
            <w:vAlign w:val="center"/>
            <w:hideMark/>
          </w:tcPr>
          <w:p w14:paraId="3BB5DDFD" w14:textId="77777777" w:rsidR="004D7917" w:rsidRDefault="004D7917" w:rsidP="00AB35C5">
            <w:pPr>
              <w:spacing w:line="256" w:lineRule="auto"/>
              <w:jc w:val="both"/>
              <w:rPr>
                <w:color w:val="000000"/>
                <w:sz w:val="20"/>
                <w:szCs w:val="20"/>
              </w:rPr>
            </w:pPr>
            <w:r>
              <w:rPr>
                <w:color w:val="000000"/>
                <w:sz w:val="20"/>
                <w:szCs w:val="20"/>
              </w:rPr>
              <w:t>Órganos Autónomos</w:t>
            </w:r>
          </w:p>
        </w:tc>
        <w:tc>
          <w:tcPr>
            <w:tcW w:w="1640" w:type="dxa"/>
            <w:tcBorders>
              <w:top w:val="nil"/>
              <w:left w:val="nil"/>
              <w:bottom w:val="single" w:sz="8" w:space="0" w:color="A6A6A6"/>
              <w:right w:val="single" w:sz="8" w:space="0" w:color="A6A6A6"/>
            </w:tcBorders>
            <w:vAlign w:val="center"/>
            <w:hideMark/>
          </w:tcPr>
          <w:p w14:paraId="4B11F55F" w14:textId="77777777" w:rsidR="004D7917" w:rsidRDefault="004D7917" w:rsidP="00AB35C5">
            <w:pPr>
              <w:spacing w:line="256" w:lineRule="auto"/>
              <w:jc w:val="right"/>
              <w:rPr>
                <w:color w:val="000000"/>
                <w:sz w:val="20"/>
                <w:szCs w:val="20"/>
                <w:lang w:val="es-MX" w:eastAsia="es-MX"/>
              </w:rPr>
            </w:pPr>
            <w:r>
              <w:rPr>
                <w:color w:val="000000"/>
                <w:sz w:val="20"/>
                <w:szCs w:val="20"/>
                <w:lang w:eastAsia="es-MX"/>
              </w:rPr>
              <w:t>406,155,466.00</w:t>
            </w:r>
          </w:p>
        </w:tc>
        <w:tc>
          <w:tcPr>
            <w:tcW w:w="1153" w:type="dxa"/>
            <w:tcBorders>
              <w:top w:val="nil"/>
              <w:left w:val="nil"/>
              <w:bottom w:val="single" w:sz="8" w:space="0" w:color="A6A6A6"/>
              <w:right w:val="single" w:sz="8" w:space="0" w:color="A6A6A6"/>
            </w:tcBorders>
            <w:vAlign w:val="center"/>
            <w:hideMark/>
          </w:tcPr>
          <w:p w14:paraId="0AFF1BC6" w14:textId="77777777" w:rsidR="004D7917" w:rsidRDefault="004D7917" w:rsidP="00AB35C5">
            <w:pPr>
              <w:spacing w:line="256" w:lineRule="auto"/>
              <w:jc w:val="center"/>
              <w:rPr>
                <w:color w:val="000000"/>
                <w:sz w:val="20"/>
                <w:szCs w:val="20"/>
                <w:lang w:val="es-MX" w:eastAsia="es-MX"/>
              </w:rPr>
            </w:pPr>
            <w:r>
              <w:rPr>
                <w:color w:val="000000"/>
                <w:sz w:val="20"/>
                <w:szCs w:val="20"/>
                <w:lang w:eastAsia="es-MX"/>
              </w:rPr>
              <w:t>1.6</w:t>
            </w:r>
          </w:p>
        </w:tc>
      </w:tr>
      <w:tr w:rsidR="004D7917" w14:paraId="496816CE" w14:textId="77777777" w:rsidTr="00AB35C5">
        <w:trPr>
          <w:trHeight w:val="315"/>
          <w:jc w:val="center"/>
        </w:trPr>
        <w:tc>
          <w:tcPr>
            <w:tcW w:w="2365" w:type="dxa"/>
            <w:tcBorders>
              <w:top w:val="nil"/>
              <w:left w:val="single" w:sz="8" w:space="0" w:color="A6A6A6"/>
              <w:bottom w:val="single" w:sz="8" w:space="0" w:color="A6A6A6"/>
              <w:right w:val="single" w:sz="8" w:space="0" w:color="A6A6A6"/>
            </w:tcBorders>
            <w:vAlign w:val="center"/>
            <w:hideMark/>
          </w:tcPr>
          <w:p w14:paraId="64BBBC16" w14:textId="77777777" w:rsidR="004D7917" w:rsidRDefault="004D7917" w:rsidP="00AB35C5">
            <w:pPr>
              <w:spacing w:line="256" w:lineRule="auto"/>
              <w:jc w:val="both"/>
              <w:rPr>
                <w:color w:val="000000"/>
                <w:sz w:val="20"/>
                <w:szCs w:val="20"/>
              </w:rPr>
            </w:pPr>
            <w:r>
              <w:rPr>
                <w:color w:val="000000"/>
                <w:sz w:val="20"/>
                <w:szCs w:val="20"/>
              </w:rPr>
              <w:t xml:space="preserve">Municipios </w:t>
            </w:r>
          </w:p>
        </w:tc>
        <w:tc>
          <w:tcPr>
            <w:tcW w:w="1640" w:type="dxa"/>
            <w:tcBorders>
              <w:top w:val="nil"/>
              <w:left w:val="nil"/>
              <w:bottom w:val="single" w:sz="8" w:space="0" w:color="A6A6A6"/>
              <w:right w:val="single" w:sz="8" w:space="0" w:color="A6A6A6"/>
            </w:tcBorders>
            <w:vAlign w:val="center"/>
            <w:hideMark/>
          </w:tcPr>
          <w:p w14:paraId="112B7C53" w14:textId="77777777" w:rsidR="004D7917" w:rsidRDefault="004D7917" w:rsidP="00AB35C5">
            <w:pPr>
              <w:spacing w:line="256" w:lineRule="auto"/>
              <w:jc w:val="right"/>
              <w:rPr>
                <w:color w:val="000000"/>
                <w:sz w:val="20"/>
                <w:szCs w:val="20"/>
                <w:lang w:val="es-MX" w:eastAsia="es-MX"/>
              </w:rPr>
            </w:pPr>
            <w:r>
              <w:rPr>
                <w:color w:val="000000"/>
                <w:sz w:val="20"/>
                <w:szCs w:val="20"/>
                <w:lang w:eastAsia="es-MX"/>
              </w:rPr>
              <w:t>4,794,137,829.00</w:t>
            </w:r>
          </w:p>
        </w:tc>
        <w:tc>
          <w:tcPr>
            <w:tcW w:w="1153" w:type="dxa"/>
            <w:tcBorders>
              <w:top w:val="nil"/>
              <w:left w:val="nil"/>
              <w:bottom w:val="single" w:sz="8" w:space="0" w:color="A6A6A6"/>
              <w:right w:val="single" w:sz="8" w:space="0" w:color="A6A6A6"/>
            </w:tcBorders>
            <w:vAlign w:val="center"/>
            <w:hideMark/>
          </w:tcPr>
          <w:p w14:paraId="4C4D37F2" w14:textId="77777777" w:rsidR="004D7917" w:rsidRDefault="004D7917" w:rsidP="00AB35C5">
            <w:pPr>
              <w:spacing w:line="256" w:lineRule="auto"/>
              <w:jc w:val="center"/>
              <w:rPr>
                <w:color w:val="000000"/>
                <w:sz w:val="20"/>
                <w:szCs w:val="20"/>
                <w:lang w:val="es-MX" w:eastAsia="es-MX"/>
              </w:rPr>
            </w:pPr>
            <w:r>
              <w:rPr>
                <w:color w:val="000000"/>
                <w:sz w:val="20"/>
                <w:szCs w:val="20"/>
                <w:lang w:eastAsia="es-MX"/>
              </w:rPr>
              <w:t>18.7</w:t>
            </w:r>
          </w:p>
        </w:tc>
      </w:tr>
      <w:tr w:rsidR="004D7917" w14:paraId="54904BAB" w14:textId="77777777" w:rsidTr="00AB35C5">
        <w:trPr>
          <w:trHeight w:val="330"/>
          <w:jc w:val="center"/>
        </w:trPr>
        <w:tc>
          <w:tcPr>
            <w:tcW w:w="2365" w:type="dxa"/>
            <w:tcBorders>
              <w:top w:val="nil"/>
              <w:left w:val="single" w:sz="8" w:space="0" w:color="A6A6A6"/>
              <w:bottom w:val="single" w:sz="8" w:space="0" w:color="A6A6A6"/>
              <w:right w:val="single" w:sz="8" w:space="0" w:color="A6A6A6"/>
            </w:tcBorders>
            <w:shd w:val="clear" w:color="auto" w:fill="CCCCCC"/>
            <w:vAlign w:val="center"/>
            <w:hideMark/>
          </w:tcPr>
          <w:p w14:paraId="393FB926" w14:textId="77777777" w:rsidR="004D7917" w:rsidRDefault="004D7917" w:rsidP="00AB35C5">
            <w:pPr>
              <w:spacing w:line="256" w:lineRule="auto"/>
              <w:jc w:val="center"/>
              <w:rPr>
                <w:b/>
                <w:bCs/>
                <w:color w:val="000000"/>
                <w:sz w:val="20"/>
                <w:szCs w:val="20"/>
              </w:rPr>
            </w:pPr>
            <w:r>
              <w:rPr>
                <w:b/>
                <w:bCs/>
                <w:color w:val="000000"/>
                <w:sz w:val="20"/>
                <w:szCs w:val="20"/>
              </w:rPr>
              <w:t>TOTAL</w:t>
            </w:r>
          </w:p>
        </w:tc>
        <w:tc>
          <w:tcPr>
            <w:tcW w:w="1640" w:type="dxa"/>
            <w:tcBorders>
              <w:top w:val="nil"/>
              <w:left w:val="nil"/>
              <w:bottom w:val="single" w:sz="8" w:space="0" w:color="A6A6A6"/>
              <w:right w:val="single" w:sz="8" w:space="0" w:color="A6A6A6"/>
            </w:tcBorders>
            <w:shd w:val="clear" w:color="auto" w:fill="CCCCCC"/>
            <w:vAlign w:val="center"/>
            <w:hideMark/>
          </w:tcPr>
          <w:p w14:paraId="5CAEB840" w14:textId="77777777" w:rsidR="004D7917" w:rsidRDefault="004D7917" w:rsidP="00AB35C5">
            <w:pPr>
              <w:spacing w:line="256" w:lineRule="auto"/>
              <w:jc w:val="right"/>
              <w:rPr>
                <w:b/>
                <w:bCs/>
                <w:color w:val="000000"/>
                <w:sz w:val="20"/>
                <w:szCs w:val="20"/>
                <w:lang w:val="es-MX" w:eastAsia="es-MX"/>
              </w:rPr>
            </w:pPr>
            <w:r>
              <w:rPr>
                <w:b/>
                <w:bCs/>
                <w:color w:val="000000"/>
                <w:sz w:val="20"/>
                <w:szCs w:val="20"/>
                <w:lang w:eastAsia="es-MX"/>
              </w:rPr>
              <w:t>25,571,563,376.00</w:t>
            </w:r>
          </w:p>
        </w:tc>
        <w:tc>
          <w:tcPr>
            <w:tcW w:w="1153" w:type="dxa"/>
            <w:tcBorders>
              <w:top w:val="nil"/>
              <w:left w:val="nil"/>
              <w:bottom w:val="single" w:sz="8" w:space="0" w:color="A6A6A6"/>
              <w:right w:val="single" w:sz="8" w:space="0" w:color="A6A6A6"/>
            </w:tcBorders>
            <w:shd w:val="clear" w:color="auto" w:fill="CCCCCC"/>
            <w:vAlign w:val="center"/>
            <w:hideMark/>
          </w:tcPr>
          <w:p w14:paraId="35DF5A19" w14:textId="77777777" w:rsidR="004D7917" w:rsidRDefault="004D7917" w:rsidP="00AB35C5">
            <w:pPr>
              <w:spacing w:line="256" w:lineRule="auto"/>
              <w:jc w:val="center"/>
              <w:rPr>
                <w:b/>
                <w:bCs/>
                <w:color w:val="000000"/>
                <w:sz w:val="20"/>
                <w:szCs w:val="20"/>
                <w:lang w:val="es-MX" w:eastAsia="es-MX"/>
              </w:rPr>
            </w:pPr>
            <w:r>
              <w:rPr>
                <w:b/>
                <w:bCs/>
                <w:color w:val="000000"/>
                <w:sz w:val="20"/>
                <w:szCs w:val="20"/>
                <w:lang w:eastAsia="es-MX"/>
              </w:rPr>
              <w:t>100.0</w:t>
            </w:r>
          </w:p>
        </w:tc>
      </w:tr>
    </w:tbl>
    <w:p w14:paraId="2921CB5F" w14:textId="77777777" w:rsidR="00525B2B" w:rsidRPr="00CC0740" w:rsidRDefault="00525B2B" w:rsidP="00525B2B">
      <w:pPr>
        <w:spacing w:after="200" w:line="360" w:lineRule="auto"/>
        <w:jc w:val="both"/>
        <w:rPr>
          <w:rFonts w:eastAsia="Calibri"/>
          <w:color w:val="FF0000"/>
          <w:sz w:val="20"/>
          <w:szCs w:val="20"/>
        </w:rPr>
      </w:pPr>
    </w:p>
    <w:p w14:paraId="12A61275" w14:textId="77777777" w:rsidR="004D7917" w:rsidRPr="004D7917" w:rsidRDefault="004D7917" w:rsidP="004D7917">
      <w:pPr>
        <w:spacing w:after="200" w:line="360" w:lineRule="auto"/>
        <w:jc w:val="both"/>
        <w:rPr>
          <w:rFonts w:eastAsia="Calibri"/>
          <w:sz w:val="20"/>
          <w:szCs w:val="20"/>
        </w:rPr>
      </w:pPr>
      <w:r w:rsidRPr="004D7917">
        <w:rPr>
          <w:rFonts w:eastAsia="Calibri"/>
          <w:sz w:val="20"/>
          <w:szCs w:val="20"/>
        </w:rPr>
        <w:lastRenderedPageBreak/>
        <w:t>El presupuesto de recursos estatales del Poder Ejecutivo asciende a un monto total de $8,933,826,587.00, el cual representa un incremento porcentual de 14.7% respecto al ejercicio fiscal 2022.</w:t>
      </w:r>
    </w:p>
    <w:p w14:paraId="0C15D248" w14:textId="203093A1" w:rsidR="007B7F47" w:rsidRPr="00C0377B" w:rsidRDefault="004D7917" w:rsidP="004D7917">
      <w:pPr>
        <w:spacing w:after="200" w:line="360" w:lineRule="auto"/>
        <w:jc w:val="both"/>
        <w:rPr>
          <w:rFonts w:eastAsia="Calibri"/>
          <w:sz w:val="20"/>
          <w:szCs w:val="20"/>
        </w:rPr>
      </w:pPr>
      <w:r w:rsidRPr="004D7917">
        <w:rPr>
          <w:rFonts w:eastAsia="Calibri"/>
          <w:sz w:val="20"/>
          <w:szCs w:val="20"/>
        </w:rPr>
        <w:t>De igual manera con referencia al actual ejercicio</w:t>
      </w:r>
      <w:r w:rsidR="00670720">
        <w:rPr>
          <w:rFonts w:eastAsia="Calibri"/>
          <w:sz w:val="20"/>
          <w:szCs w:val="20"/>
        </w:rPr>
        <w:t>,</w:t>
      </w:r>
      <w:r w:rsidRPr="004D7917">
        <w:rPr>
          <w:rFonts w:eastAsia="Calibri"/>
          <w:sz w:val="20"/>
          <w:szCs w:val="20"/>
        </w:rPr>
        <w:t xml:space="preserve"> las Aportaciones Federales del Ramo 33, etiquetadas en el Presupuesto de Egresos de la Federación, se estima que se tenga un incremento del 1</w:t>
      </w:r>
      <w:r w:rsidR="00134E10">
        <w:rPr>
          <w:rFonts w:eastAsia="Calibri"/>
          <w:sz w:val="20"/>
          <w:szCs w:val="20"/>
        </w:rPr>
        <w:t>2</w:t>
      </w:r>
      <w:r w:rsidRPr="004D7917">
        <w:rPr>
          <w:rFonts w:eastAsia="Calibri"/>
          <w:sz w:val="20"/>
          <w:szCs w:val="20"/>
        </w:rPr>
        <w:t>.0%</w:t>
      </w:r>
      <w:r w:rsidR="007B7F47" w:rsidRPr="00C0377B">
        <w:rPr>
          <w:rFonts w:eastAsia="Calibri"/>
          <w:sz w:val="20"/>
          <w:szCs w:val="20"/>
        </w:rPr>
        <w:t>.</w:t>
      </w:r>
    </w:p>
    <w:p w14:paraId="0848A0F8" w14:textId="77777777" w:rsidR="00525B2B" w:rsidRPr="00955A4C" w:rsidRDefault="00525B2B" w:rsidP="00525B2B">
      <w:pPr>
        <w:spacing w:after="200" w:line="360" w:lineRule="auto"/>
        <w:jc w:val="center"/>
        <w:rPr>
          <w:rFonts w:eastAsia="Calibri"/>
          <w:b/>
          <w:sz w:val="20"/>
          <w:szCs w:val="20"/>
        </w:rPr>
      </w:pPr>
      <w:r>
        <w:rPr>
          <w:rFonts w:eastAsia="Calibri"/>
          <w:b/>
          <w:sz w:val="20"/>
          <w:szCs w:val="20"/>
        </w:rPr>
        <w:t>Clasificación</w:t>
      </w:r>
      <w:r w:rsidRPr="00955A4C">
        <w:rPr>
          <w:rFonts w:eastAsia="Calibri"/>
          <w:b/>
          <w:sz w:val="20"/>
          <w:szCs w:val="20"/>
        </w:rPr>
        <w:t xml:space="preserve"> por Subfuente de Financiamiento </w:t>
      </w:r>
    </w:p>
    <w:tbl>
      <w:tblPr>
        <w:tblW w:w="5122" w:type="dxa"/>
        <w:jc w:val="center"/>
        <w:tblCellMar>
          <w:left w:w="70" w:type="dxa"/>
          <w:right w:w="70" w:type="dxa"/>
        </w:tblCellMar>
        <w:tblLook w:val="04A0" w:firstRow="1" w:lastRow="0" w:firstColumn="1" w:lastColumn="0" w:noHBand="0" w:noVBand="1"/>
      </w:tblPr>
      <w:tblGrid>
        <w:gridCol w:w="3482"/>
        <w:gridCol w:w="1640"/>
      </w:tblGrid>
      <w:tr w:rsidR="004D7917" w14:paraId="03B3490C" w14:textId="77777777" w:rsidTr="00AB35C5">
        <w:trPr>
          <w:trHeight w:val="567"/>
          <w:tblHeader/>
          <w:jc w:val="center"/>
        </w:trPr>
        <w:tc>
          <w:tcPr>
            <w:tcW w:w="3482" w:type="dxa"/>
            <w:tcBorders>
              <w:top w:val="single" w:sz="8" w:space="0" w:color="A6A6A6"/>
              <w:left w:val="single" w:sz="8" w:space="0" w:color="A6A6A6"/>
              <w:bottom w:val="nil"/>
              <w:right w:val="single" w:sz="8" w:space="0" w:color="A6A6A6"/>
            </w:tcBorders>
            <w:shd w:val="clear" w:color="auto" w:fill="CCCCCC"/>
            <w:vAlign w:val="center"/>
            <w:hideMark/>
          </w:tcPr>
          <w:p w14:paraId="10FED068" w14:textId="77777777" w:rsidR="004D7917" w:rsidRDefault="004D7917" w:rsidP="00AB35C5">
            <w:pPr>
              <w:spacing w:line="360" w:lineRule="auto"/>
              <w:jc w:val="center"/>
              <w:rPr>
                <w:b/>
                <w:bCs/>
                <w:sz w:val="20"/>
                <w:szCs w:val="20"/>
                <w:lang w:eastAsia="es-MX"/>
              </w:rPr>
            </w:pPr>
            <w:r>
              <w:rPr>
                <w:b/>
                <w:bCs/>
                <w:sz w:val="20"/>
                <w:szCs w:val="20"/>
                <w:lang w:eastAsia="es-MX"/>
              </w:rPr>
              <w:t>FUENTE DE FINANCIAMIENTO</w:t>
            </w:r>
          </w:p>
        </w:tc>
        <w:tc>
          <w:tcPr>
            <w:tcW w:w="1640" w:type="dxa"/>
            <w:tcBorders>
              <w:top w:val="single" w:sz="8" w:space="0" w:color="A6A6A6"/>
              <w:left w:val="nil"/>
              <w:bottom w:val="nil"/>
              <w:right w:val="single" w:sz="8" w:space="0" w:color="A6A6A6"/>
            </w:tcBorders>
            <w:shd w:val="clear" w:color="auto" w:fill="CCCCCC"/>
            <w:vAlign w:val="center"/>
            <w:hideMark/>
          </w:tcPr>
          <w:p w14:paraId="1A8DE34D" w14:textId="77777777" w:rsidR="004D7917" w:rsidRDefault="004D7917" w:rsidP="00AB35C5">
            <w:pPr>
              <w:spacing w:line="360" w:lineRule="auto"/>
              <w:jc w:val="center"/>
              <w:rPr>
                <w:b/>
                <w:bCs/>
                <w:sz w:val="20"/>
                <w:szCs w:val="20"/>
                <w:lang w:eastAsia="es-MX"/>
              </w:rPr>
            </w:pPr>
            <w:r>
              <w:rPr>
                <w:b/>
                <w:bCs/>
                <w:sz w:val="20"/>
                <w:szCs w:val="20"/>
                <w:lang w:eastAsia="es-MX"/>
              </w:rPr>
              <w:t>MONTO</w:t>
            </w:r>
          </w:p>
          <w:p w14:paraId="5055B951" w14:textId="77777777" w:rsidR="004D7917" w:rsidRDefault="004D7917" w:rsidP="00AB35C5">
            <w:pPr>
              <w:spacing w:line="360" w:lineRule="auto"/>
              <w:jc w:val="center"/>
              <w:rPr>
                <w:b/>
                <w:bCs/>
                <w:sz w:val="20"/>
                <w:szCs w:val="20"/>
                <w:lang w:eastAsia="es-MX"/>
              </w:rPr>
            </w:pPr>
            <w:r>
              <w:rPr>
                <w:b/>
                <w:bCs/>
                <w:sz w:val="20"/>
                <w:szCs w:val="20"/>
                <w:lang w:eastAsia="es-MX"/>
              </w:rPr>
              <w:t>($)</w:t>
            </w:r>
          </w:p>
        </w:tc>
      </w:tr>
      <w:tr w:rsidR="004D7917" w14:paraId="709D9491" w14:textId="77777777" w:rsidTr="00AB35C5">
        <w:trPr>
          <w:trHeight w:val="315"/>
          <w:jc w:val="center"/>
        </w:trPr>
        <w:tc>
          <w:tcPr>
            <w:tcW w:w="3482" w:type="dxa"/>
            <w:tcBorders>
              <w:top w:val="single" w:sz="8" w:space="0" w:color="A6A6A6"/>
              <w:left w:val="single" w:sz="8" w:space="0" w:color="A6A6A6"/>
              <w:bottom w:val="single" w:sz="8" w:space="0" w:color="A6A6A6"/>
              <w:right w:val="single" w:sz="8" w:space="0" w:color="A6A6A6"/>
            </w:tcBorders>
            <w:vAlign w:val="center"/>
            <w:hideMark/>
          </w:tcPr>
          <w:p w14:paraId="10060510" w14:textId="77777777" w:rsidR="004D7917" w:rsidRDefault="004D7917" w:rsidP="00AB35C5">
            <w:pPr>
              <w:spacing w:line="256" w:lineRule="auto"/>
              <w:jc w:val="both"/>
              <w:rPr>
                <w:sz w:val="20"/>
                <w:szCs w:val="20"/>
                <w:lang w:val="es-MX" w:eastAsia="es-MX"/>
              </w:rPr>
            </w:pPr>
            <w:r>
              <w:rPr>
                <w:sz w:val="20"/>
                <w:szCs w:val="20"/>
              </w:rPr>
              <w:t>Fuentes locales</w:t>
            </w:r>
          </w:p>
        </w:tc>
        <w:tc>
          <w:tcPr>
            <w:tcW w:w="1640" w:type="dxa"/>
            <w:tcBorders>
              <w:top w:val="single" w:sz="8" w:space="0" w:color="A6A6A6"/>
              <w:left w:val="nil"/>
              <w:bottom w:val="single" w:sz="8" w:space="0" w:color="A6A6A6"/>
              <w:right w:val="single" w:sz="8" w:space="0" w:color="A6A6A6"/>
            </w:tcBorders>
            <w:vAlign w:val="center"/>
            <w:hideMark/>
          </w:tcPr>
          <w:p w14:paraId="51FCF706" w14:textId="77777777" w:rsidR="004D7917" w:rsidRDefault="004D7917" w:rsidP="00AB35C5">
            <w:pPr>
              <w:spacing w:line="256" w:lineRule="auto"/>
              <w:jc w:val="right"/>
              <w:rPr>
                <w:color w:val="000000"/>
                <w:sz w:val="20"/>
                <w:szCs w:val="20"/>
                <w:lang w:val="es-MX" w:eastAsia="es-MX"/>
              </w:rPr>
            </w:pPr>
            <w:r>
              <w:rPr>
                <w:color w:val="000000"/>
                <w:sz w:val="20"/>
                <w:szCs w:val="20"/>
                <w:lang w:val="es-MX" w:eastAsia="es-MX"/>
              </w:rPr>
              <w:t>1,520,539,553.00</w:t>
            </w:r>
          </w:p>
        </w:tc>
      </w:tr>
      <w:tr w:rsidR="004D7917" w14:paraId="17253FB7" w14:textId="77777777" w:rsidTr="00AB35C5">
        <w:trPr>
          <w:trHeight w:val="417"/>
          <w:jc w:val="center"/>
        </w:trPr>
        <w:tc>
          <w:tcPr>
            <w:tcW w:w="3482" w:type="dxa"/>
            <w:tcBorders>
              <w:top w:val="nil"/>
              <w:left w:val="single" w:sz="8" w:space="0" w:color="A6A6A6"/>
              <w:bottom w:val="single" w:sz="8" w:space="0" w:color="A6A6A6"/>
              <w:right w:val="single" w:sz="8" w:space="0" w:color="A6A6A6"/>
            </w:tcBorders>
            <w:vAlign w:val="center"/>
            <w:hideMark/>
          </w:tcPr>
          <w:p w14:paraId="68597463" w14:textId="77777777" w:rsidR="004D7917" w:rsidRDefault="004D7917" w:rsidP="00AB35C5">
            <w:pPr>
              <w:spacing w:line="256" w:lineRule="auto"/>
              <w:jc w:val="both"/>
              <w:rPr>
                <w:sz w:val="20"/>
                <w:szCs w:val="20"/>
              </w:rPr>
            </w:pPr>
            <w:r>
              <w:rPr>
                <w:sz w:val="20"/>
                <w:szCs w:val="20"/>
              </w:rPr>
              <w:t>Participaciones e Incentivos</w:t>
            </w:r>
          </w:p>
        </w:tc>
        <w:tc>
          <w:tcPr>
            <w:tcW w:w="1640" w:type="dxa"/>
            <w:tcBorders>
              <w:top w:val="nil"/>
              <w:left w:val="nil"/>
              <w:bottom w:val="single" w:sz="8" w:space="0" w:color="A6A6A6"/>
              <w:right w:val="single" w:sz="8" w:space="0" w:color="A6A6A6"/>
            </w:tcBorders>
            <w:vAlign w:val="center"/>
            <w:hideMark/>
          </w:tcPr>
          <w:p w14:paraId="4AD2E197" w14:textId="77777777" w:rsidR="004D7917" w:rsidRDefault="004D7917" w:rsidP="00AB35C5">
            <w:pPr>
              <w:spacing w:line="256" w:lineRule="auto"/>
              <w:jc w:val="right"/>
              <w:rPr>
                <w:color w:val="000000"/>
                <w:sz w:val="20"/>
                <w:szCs w:val="20"/>
                <w:lang w:val="es-MX" w:eastAsia="es-MX"/>
              </w:rPr>
            </w:pPr>
            <w:r>
              <w:rPr>
                <w:color w:val="000000"/>
                <w:sz w:val="20"/>
                <w:szCs w:val="20"/>
                <w:lang w:val="es-MX" w:eastAsia="es-MX"/>
              </w:rPr>
              <w:t>7,413,287,034.00</w:t>
            </w:r>
          </w:p>
        </w:tc>
      </w:tr>
      <w:tr w:rsidR="004D7917" w14:paraId="7E05E7C5" w14:textId="77777777" w:rsidTr="00AB35C5">
        <w:trPr>
          <w:trHeight w:val="330"/>
          <w:jc w:val="center"/>
        </w:trPr>
        <w:tc>
          <w:tcPr>
            <w:tcW w:w="3482" w:type="dxa"/>
            <w:tcBorders>
              <w:top w:val="nil"/>
              <w:left w:val="single" w:sz="8" w:space="0" w:color="A6A6A6"/>
              <w:bottom w:val="single" w:sz="8" w:space="0" w:color="A6A6A6"/>
              <w:right w:val="single" w:sz="8" w:space="0" w:color="A6A6A6"/>
            </w:tcBorders>
            <w:vAlign w:val="center"/>
            <w:hideMark/>
          </w:tcPr>
          <w:p w14:paraId="0B0A0B80" w14:textId="77777777" w:rsidR="004D7917" w:rsidRDefault="004D7917" w:rsidP="00AB35C5">
            <w:pPr>
              <w:spacing w:line="256" w:lineRule="auto"/>
              <w:jc w:val="both"/>
              <w:rPr>
                <w:b/>
                <w:bCs/>
                <w:sz w:val="20"/>
                <w:szCs w:val="20"/>
              </w:rPr>
            </w:pPr>
            <w:r>
              <w:rPr>
                <w:b/>
                <w:bCs/>
                <w:sz w:val="20"/>
                <w:szCs w:val="20"/>
              </w:rPr>
              <w:t>SUBTOTAL ESTATALES</w:t>
            </w:r>
          </w:p>
        </w:tc>
        <w:tc>
          <w:tcPr>
            <w:tcW w:w="1640" w:type="dxa"/>
            <w:tcBorders>
              <w:top w:val="nil"/>
              <w:left w:val="nil"/>
              <w:bottom w:val="single" w:sz="8" w:space="0" w:color="A6A6A6"/>
              <w:right w:val="single" w:sz="8" w:space="0" w:color="A6A6A6"/>
            </w:tcBorders>
            <w:vAlign w:val="center"/>
            <w:hideMark/>
          </w:tcPr>
          <w:p w14:paraId="1B67F3EF" w14:textId="77777777" w:rsidR="004D7917" w:rsidRDefault="004D7917" w:rsidP="00AB35C5">
            <w:pPr>
              <w:spacing w:line="256" w:lineRule="auto"/>
              <w:jc w:val="right"/>
              <w:rPr>
                <w:b/>
                <w:bCs/>
                <w:color w:val="000000"/>
                <w:sz w:val="20"/>
                <w:szCs w:val="20"/>
                <w:lang w:val="es-MX" w:eastAsia="es-MX"/>
              </w:rPr>
            </w:pPr>
            <w:r>
              <w:rPr>
                <w:b/>
                <w:bCs/>
                <w:color w:val="000000"/>
                <w:sz w:val="20"/>
                <w:szCs w:val="20"/>
                <w:lang w:eastAsia="es-MX"/>
              </w:rPr>
              <w:t>8,933,826,587.00</w:t>
            </w:r>
          </w:p>
        </w:tc>
      </w:tr>
      <w:tr w:rsidR="004D7917" w14:paraId="64E228E5" w14:textId="77777777" w:rsidTr="00AB35C5">
        <w:trPr>
          <w:trHeight w:val="357"/>
          <w:jc w:val="center"/>
        </w:trPr>
        <w:tc>
          <w:tcPr>
            <w:tcW w:w="3482" w:type="dxa"/>
            <w:tcBorders>
              <w:top w:val="nil"/>
              <w:left w:val="single" w:sz="8" w:space="0" w:color="A6A6A6"/>
              <w:bottom w:val="single" w:sz="8" w:space="0" w:color="A6A6A6"/>
              <w:right w:val="single" w:sz="8" w:space="0" w:color="A6A6A6"/>
            </w:tcBorders>
            <w:vAlign w:val="center"/>
            <w:hideMark/>
          </w:tcPr>
          <w:p w14:paraId="43996980" w14:textId="77777777" w:rsidR="004D7917" w:rsidRDefault="004D7917" w:rsidP="00AB35C5">
            <w:pPr>
              <w:spacing w:line="256" w:lineRule="auto"/>
              <w:jc w:val="both"/>
              <w:rPr>
                <w:sz w:val="20"/>
                <w:szCs w:val="20"/>
              </w:rPr>
            </w:pPr>
            <w:r>
              <w:rPr>
                <w:sz w:val="20"/>
                <w:szCs w:val="20"/>
              </w:rPr>
              <w:t>Aportaciones Federales</w:t>
            </w:r>
          </w:p>
        </w:tc>
        <w:tc>
          <w:tcPr>
            <w:tcW w:w="1640" w:type="dxa"/>
            <w:tcBorders>
              <w:top w:val="nil"/>
              <w:left w:val="nil"/>
              <w:bottom w:val="single" w:sz="8" w:space="0" w:color="A6A6A6"/>
              <w:right w:val="single" w:sz="8" w:space="0" w:color="A6A6A6"/>
            </w:tcBorders>
            <w:vAlign w:val="center"/>
            <w:hideMark/>
          </w:tcPr>
          <w:p w14:paraId="6F7133EE" w14:textId="77777777" w:rsidR="004D7917" w:rsidRDefault="004D7917" w:rsidP="00AB35C5">
            <w:pPr>
              <w:spacing w:line="256" w:lineRule="auto"/>
              <w:jc w:val="right"/>
              <w:rPr>
                <w:color w:val="000000"/>
                <w:sz w:val="20"/>
                <w:szCs w:val="20"/>
                <w:lang w:val="es-MX" w:eastAsia="es-MX"/>
              </w:rPr>
            </w:pPr>
            <w:r>
              <w:rPr>
                <w:color w:val="000000"/>
                <w:sz w:val="20"/>
                <w:szCs w:val="20"/>
                <w:lang w:val="es-MX" w:eastAsia="es-MX"/>
              </w:rPr>
              <w:t>10,568,217,809.00</w:t>
            </w:r>
          </w:p>
        </w:tc>
      </w:tr>
      <w:tr w:rsidR="004D7917" w14:paraId="472F2FFA" w14:textId="77777777" w:rsidTr="00AB35C5">
        <w:trPr>
          <w:trHeight w:val="330"/>
          <w:jc w:val="center"/>
        </w:trPr>
        <w:tc>
          <w:tcPr>
            <w:tcW w:w="3482" w:type="dxa"/>
            <w:tcBorders>
              <w:top w:val="nil"/>
              <w:left w:val="single" w:sz="8" w:space="0" w:color="A6A6A6"/>
              <w:bottom w:val="single" w:sz="8" w:space="0" w:color="A6A6A6"/>
              <w:right w:val="single" w:sz="8" w:space="0" w:color="A6A6A6"/>
            </w:tcBorders>
            <w:shd w:val="clear" w:color="auto" w:fill="CCCCCC"/>
            <w:vAlign w:val="center"/>
            <w:hideMark/>
          </w:tcPr>
          <w:p w14:paraId="5347C7B6" w14:textId="77777777" w:rsidR="004D7917" w:rsidRDefault="004D7917" w:rsidP="00AB35C5">
            <w:pPr>
              <w:spacing w:line="256" w:lineRule="auto"/>
              <w:jc w:val="center"/>
              <w:rPr>
                <w:b/>
                <w:bCs/>
                <w:sz w:val="20"/>
                <w:szCs w:val="20"/>
              </w:rPr>
            </w:pPr>
            <w:r>
              <w:rPr>
                <w:b/>
                <w:bCs/>
                <w:sz w:val="20"/>
                <w:szCs w:val="20"/>
              </w:rPr>
              <w:t>TOTAL</w:t>
            </w:r>
          </w:p>
        </w:tc>
        <w:tc>
          <w:tcPr>
            <w:tcW w:w="1640" w:type="dxa"/>
            <w:tcBorders>
              <w:top w:val="nil"/>
              <w:left w:val="nil"/>
              <w:bottom w:val="single" w:sz="8" w:space="0" w:color="A6A6A6"/>
              <w:right w:val="single" w:sz="8" w:space="0" w:color="A6A6A6"/>
            </w:tcBorders>
            <w:shd w:val="clear" w:color="auto" w:fill="CCCCCC"/>
            <w:vAlign w:val="center"/>
            <w:hideMark/>
          </w:tcPr>
          <w:p w14:paraId="03C567E3" w14:textId="77777777" w:rsidR="004D7917" w:rsidRDefault="004D7917" w:rsidP="00AB35C5">
            <w:pPr>
              <w:spacing w:line="256" w:lineRule="auto"/>
              <w:jc w:val="right"/>
              <w:rPr>
                <w:b/>
                <w:bCs/>
                <w:color w:val="000000"/>
                <w:sz w:val="20"/>
                <w:szCs w:val="20"/>
                <w:lang w:val="es-MX" w:eastAsia="es-MX"/>
              </w:rPr>
            </w:pPr>
            <w:r>
              <w:rPr>
                <w:b/>
                <w:bCs/>
                <w:color w:val="000000"/>
                <w:sz w:val="20"/>
                <w:szCs w:val="20"/>
                <w:lang w:eastAsia="es-MX"/>
              </w:rPr>
              <w:t>19,502,044,396.00</w:t>
            </w:r>
          </w:p>
        </w:tc>
      </w:tr>
    </w:tbl>
    <w:p w14:paraId="12BE4ADF" w14:textId="77777777" w:rsidR="00525B2B" w:rsidRDefault="00525B2B" w:rsidP="00525B2B">
      <w:pPr>
        <w:spacing w:after="200" w:line="360" w:lineRule="auto"/>
        <w:jc w:val="both"/>
        <w:rPr>
          <w:rFonts w:eastAsia="Calibri"/>
          <w:b/>
          <w:sz w:val="20"/>
          <w:szCs w:val="20"/>
        </w:rPr>
      </w:pPr>
    </w:p>
    <w:p w14:paraId="294B10F9" w14:textId="77777777" w:rsidR="00525B2B" w:rsidRPr="007B7F47" w:rsidRDefault="00525B2B" w:rsidP="00525B2B">
      <w:pPr>
        <w:spacing w:after="200" w:line="360" w:lineRule="auto"/>
        <w:jc w:val="center"/>
        <w:rPr>
          <w:rFonts w:eastAsia="Calibri"/>
          <w:b/>
          <w:sz w:val="20"/>
          <w:szCs w:val="20"/>
        </w:rPr>
      </w:pPr>
      <w:r w:rsidRPr="007B7F47">
        <w:rPr>
          <w:rFonts w:eastAsia="Calibri"/>
          <w:b/>
          <w:sz w:val="20"/>
          <w:szCs w:val="20"/>
        </w:rPr>
        <w:t>Clasificación por Finalidad</w:t>
      </w:r>
    </w:p>
    <w:tbl>
      <w:tblPr>
        <w:tblW w:w="5290"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left w:w="70" w:type="dxa"/>
          <w:right w:w="70" w:type="dxa"/>
        </w:tblCellMar>
        <w:tblLook w:val="04A0" w:firstRow="1" w:lastRow="0" w:firstColumn="1" w:lastColumn="0" w:noHBand="0" w:noVBand="1"/>
      </w:tblPr>
      <w:tblGrid>
        <w:gridCol w:w="2560"/>
        <w:gridCol w:w="1940"/>
        <w:gridCol w:w="790"/>
      </w:tblGrid>
      <w:tr w:rsidR="004D7917" w14:paraId="482B99A5" w14:textId="77777777" w:rsidTr="00AB35C5">
        <w:trPr>
          <w:trHeight w:val="300"/>
          <w:tblHeader/>
          <w:jc w:val="center"/>
        </w:trPr>
        <w:tc>
          <w:tcPr>
            <w:tcW w:w="256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noWrap/>
            <w:vAlign w:val="bottom"/>
            <w:hideMark/>
          </w:tcPr>
          <w:p w14:paraId="512B1206" w14:textId="77777777" w:rsidR="004D7917" w:rsidRDefault="004D7917" w:rsidP="00AB35C5">
            <w:pPr>
              <w:spacing w:line="360" w:lineRule="auto"/>
              <w:jc w:val="center"/>
              <w:rPr>
                <w:b/>
                <w:bCs/>
                <w:sz w:val="20"/>
                <w:szCs w:val="20"/>
                <w:lang w:val="es-MX" w:eastAsia="es-MX"/>
              </w:rPr>
            </w:pPr>
            <w:r>
              <w:rPr>
                <w:b/>
                <w:bCs/>
                <w:sz w:val="20"/>
                <w:szCs w:val="20"/>
                <w:lang w:val="es-MX" w:eastAsia="es-MX"/>
              </w:rPr>
              <w:t>FINALIDAD</w:t>
            </w:r>
          </w:p>
        </w:tc>
        <w:tc>
          <w:tcPr>
            <w:tcW w:w="194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noWrap/>
            <w:vAlign w:val="bottom"/>
            <w:hideMark/>
          </w:tcPr>
          <w:p w14:paraId="7C5F6331" w14:textId="77777777" w:rsidR="004D7917" w:rsidRDefault="004D7917" w:rsidP="00AB35C5">
            <w:pPr>
              <w:spacing w:line="360" w:lineRule="auto"/>
              <w:jc w:val="center"/>
              <w:rPr>
                <w:b/>
                <w:bCs/>
                <w:sz w:val="20"/>
                <w:szCs w:val="20"/>
                <w:lang w:val="es-MX" w:eastAsia="es-MX"/>
              </w:rPr>
            </w:pPr>
            <w:r>
              <w:rPr>
                <w:b/>
                <w:bCs/>
                <w:sz w:val="20"/>
                <w:szCs w:val="20"/>
                <w:lang w:val="es-MX" w:eastAsia="es-MX"/>
              </w:rPr>
              <w:t>MONTO</w:t>
            </w:r>
          </w:p>
          <w:p w14:paraId="726D4808" w14:textId="77777777" w:rsidR="004D7917" w:rsidRDefault="004D7917" w:rsidP="00AB35C5">
            <w:pPr>
              <w:spacing w:line="360" w:lineRule="auto"/>
              <w:jc w:val="center"/>
              <w:rPr>
                <w:b/>
                <w:bCs/>
                <w:sz w:val="20"/>
                <w:szCs w:val="20"/>
                <w:lang w:val="es-MX" w:eastAsia="es-MX"/>
              </w:rPr>
            </w:pPr>
            <w:r>
              <w:rPr>
                <w:b/>
                <w:bCs/>
                <w:sz w:val="20"/>
                <w:szCs w:val="20"/>
                <w:lang w:val="es-MX" w:eastAsia="es-MX"/>
              </w:rPr>
              <w:t>($)</w:t>
            </w:r>
          </w:p>
        </w:tc>
        <w:tc>
          <w:tcPr>
            <w:tcW w:w="79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noWrap/>
            <w:vAlign w:val="bottom"/>
            <w:hideMark/>
          </w:tcPr>
          <w:p w14:paraId="65715736" w14:textId="77777777" w:rsidR="004D7917" w:rsidRDefault="004D7917" w:rsidP="00AB35C5">
            <w:pPr>
              <w:spacing w:line="360" w:lineRule="auto"/>
              <w:jc w:val="center"/>
              <w:rPr>
                <w:b/>
                <w:bCs/>
                <w:sz w:val="20"/>
                <w:szCs w:val="20"/>
                <w:lang w:val="es-MX" w:eastAsia="es-MX"/>
              </w:rPr>
            </w:pPr>
            <w:r>
              <w:rPr>
                <w:b/>
                <w:bCs/>
                <w:sz w:val="20"/>
                <w:szCs w:val="20"/>
                <w:lang w:val="es-MX" w:eastAsia="es-MX"/>
              </w:rPr>
              <w:t>%</w:t>
            </w:r>
          </w:p>
        </w:tc>
      </w:tr>
      <w:tr w:rsidR="004D7917" w14:paraId="61191E29" w14:textId="77777777" w:rsidTr="00AB35C5">
        <w:trPr>
          <w:trHeight w:val="569"/>
          <w:jc w:val="center"/>
        </w:trPr>
        <w:tc>
          <w:tcPr>
            <w:tcW w:w="256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4BB21F6A" w14:textId="77777777" w:rsidR="004D7917" w:rsidRDefault="004D7917" w:rsidP="00AB35C5">
            <w:pPr>
              <w:spacing w:line="256" w:lineRule="auto"/>
              <w:rPr>
                <w:sz w:val="20"/>
                <w:szCs w:val="20"/>
                <w:lang w:val="es-MX" w:eastAsia="es-MX"/>
              </w:rPr>
            </w:pPr>
            <w:r>
              <w:rPr>
                <w:sz w:val="20"/>
                <w:szCs w:val="20"/>
              </w:rPr>
              <w:t>Gobierno</w:t>
            </w:r>
          </w:p>
        </w:tc>
        <w:tc>
          <w:tcPr>
            <w:tcW w:w="194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0B6C027F" w14:textId="77777777" w:rsidR="004D7917" w:rsidRDefault="004D7917" w:rsidP="00AB35C5">
            <w:pPr>
              <w:spacing w:line="256" w:lineRule="auto"/>
              <w:jc w:val="right"/>
              <w:rPr>
                <w:color w:val="000000"/>
                <w:sz w:val="20"/>
                <w:szCs w:val="20"/>
                <w:lang w:val="es-MX" w:eastAsia="es-MX"/>
              </w:rPr>
            </w:pPr>
            <w:r>
              <w:rPr>
                <w:color w:val="000000"/>
                <w:sz w:val="20"/>
                <w:szCs w:val="20"/>
              </w:rPr>
              <w:t>3,160,984,254.00</w:t>
            </w:r>
          </w:p>
        </w:tc>
        <w:tc>
          <w:tcPr>
            <w:tcW w:w="79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49A88592" w14:textId="77777777" w:rsidR="004D7917" w:rsidRDefault="004D7917" w:rsidP="00AB35C5">
            <w:pPr>
              <w:spacing w:line="256" w:lineRule="auto"/>
              <w:jc w:val="center"/>
              <w:rPr>
                <w:sz w:val="20"/>
                <w:szCs w:val="20"/>
                <w:lang w:val="es-MX" w:eastAsia="es-MX"/>
              </w:rPr>
            </w:pPr>
            <w:r>
              <w:rPr>
                <w:sz w:val="20"/>
                <w:szCs w:val="20"/>
                <w:lang w:eastAsia="es-MX"/>
              </w:rPr>
              <w:t>16.2</w:t>
            </w:r>
          </w:p>
        </w:tc>
      </w:tr>
      <w:tr w:rsidR="004D7917" w14:paraId="4F7BCE6C" w14:textId="77777777" w:rsidTr="00AB35C5">
        <w:trPr>
          <w:trHeight w:val="545"/>
          <w:jc w:val="center"/>
        </w:trPr>
        <w:tc>
          <w:tcPr>
            <w:tcW w:w="256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1BA6E8DB" w14:textId="77777777" w:rsidR="004D7917" w:rsidRDefault="004D7917" w:rsidP="00AB35C5">
            <w:pPr>
              <w:spacing w:line="256" w:lineRule="auto"/>
              <w:rPr>
                <w:sz w:val="20"/>
                <w:szCs w:val="20"/>
              </w:rPr>
            </w:pPr>
            <w:r>
              <w:rPr>
                <w:sz w:val="20"/>
                <w:szCs w:val="20"/>
              </w:rPr>
              <w:t xml:space="preserve">Desarrollo Social </w:t>
            </w:r>
          </w:p>
        </w:tc>
        <w:tc>
          <w:tcPr>
            <w:tcW w:w="194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6D3FEADA" w14:textId="77777777" w:rsidR="004D7917" w:rsidRDefault="004D7917" w:rsidP="00AB35C5">
            <w:pPr>
              <w:spacing w:line="256" w:lineRule="auto"/>
              <w:jc w:val="right"/>
              <w:rPr>
                <w:color w:val="000000"/>
                <w:sz w:val="20"/>
                <w:szCs w:val="20"/>
              </w:rPr>
            </w:pPr>
            <w:r>
              <w:rPr>
                <w:color w:val="000000"/>
                <w:sz w:val="20"/>
                <w:szCs w:val="20"/>
              </w:rPr>
              <w:t>15,609,505,555.00</w:t>
            </w:r>
          </w:p>
        </w:tc>
        <w:tc>
          <w:tcPr>
            <w:tcW w:w="79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4821B078" w14:textId="77777777" w:rsidR="004D7917" w:rsidRDefault="004D7917" w:rsidP="00AB35C5">
            <w:pPr>
              <w:spacing w:line="256" w:lineRule="auto"/>
              <w:jc w:val="center"/>
              <w:rPr>
                <w:sz w:val="20"/>
                <w:szCs w:val="20"/>
                <w:lang w:val="es-MX" w:eastAsia="es-MX"/>
              </w:rPr>
            </w:pPr>
            <w:r>
              <w:rPr>
                <w:sz w:val="20"/>
                <w:szCs w:val="20"/>
                <w:lang w:eastAsia="es-MX"/>
              </w:rPr>
              <w:t>80.0</w:t>
            </w:r>
          </w:p>
        </w:tc>
      </w:tr>
      <w:tr w:rsidR="004D7917" w14:paraId="39951B99" w14:textId="77777777" w:rsidTr="00AB35C5">
        <w:trPr>
          <w:trHeight w:val="300"/>
          <w:jc w:val="center"/>
        </w:trPr>
        <w:tc>
          <w:tcPr>
            <w:tcW w:w="256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5BAAF57A" w14:textId="77777777" w:rsidR="004D7917" w:rsidRDefault="004D7917" w:rsidP="00AB35C5">
            <w:pPr>
              <w:spacing w:line="256" w:lineRule="auto"/>
              <w:rPr>
                <w:sz w:val="20"/>
                <w:szCs w:val="20"/>
              </w:rPr>
            </w:pPr>
            <w:r>
              <w:rPr>
                <w:sz w:val="20"/>
                <w:szCs w:val="20"/>
              </w:rPr>
              <w:t>Desarrollo Económico</w:t>
            </w:r>
          </w:p>
        </w:tc>
        <w:tc>
          <w:tcPr>
            <w:tcW w:w="194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489826E8" w14:textId="77777777" w:rsidR="004D7917" w:rsidRDefault="004D7917" w:rsidP="00AB35C5">
            <w:pPr>
              <w:spacing w:line="256" w:lineRule="auto"/>
              <w:jc w:val="right"/>
              <w:rPr>
                <w:color w:val="000000"/>
                <w:sz w:val="20"/>
                <w:szCs w:val="20"/>
              </w:rPr>
            </w:pPr>
            <w:r>
              <w:rPr>
                <w:color w:val="000000"/>
                <w:sz w:val="20"/>
                <w:szCs w:val="20"/>
              </w:rPr>
              <w:t>731,554,587.00</w:t>
            </w:r>
          </w:p>
        </w:tc>
        <w:tc>
          <w:tcPr>
            <w:tcW w:w="79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1019671A" w14:textId="77777777" w:rsidR="004D7917" w:rsidRDefault="004D7917" w:rsidP="00AB35C5">
            <w:pPr>
              <w:spacing w:line="256" w:lineRule="auto"/>
              <w:jc w:val="center"/>
              <w:rPr>
                <w:sz w:val="20"/>
                <w:szCs w:val="20"/>
                <w:lang w:val="es-MX" w:eastAsia="es-MX"/>
              </w:rPr>
            </w:pPr>
            <w:r>
              <w:rPr>
                <w:sz w:val="20"/>
                <w:szCs w:val="20"/>
                <w:lang w:val="es-MX" w:eastAsia="es-MX"/>
              </w:rPr>
              <w:t>3.8</w:t>
            </w:r>
          </w:p>
        </w:tc>
      </w:tr>
      <w:tr w:rsidR="004D7917" w14:paraId="599A4EF9" w14:textId="77777777" w:rsidTr="00AB35C5">
        <w:trPr>
          <w:trHeight w:val="483"/>
          <w:jc w:val="center"/>
        </w:trPr>
        <w:tc>
          <w:tcPr>
            <w:tcW w:w="256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vAlign w:val="center"/>
            <w:hideMark/>
          </w:tcPr>
          <w:p w14:paraId="28509D8A" w14:textId="77777777" w:rsidR="004D7917" w:rsidRDefault="004D7917" w:rsidP="00AB35C5">
            <w:pPr>
              <w:spacing w:line="256" w:lineRule="auto"/>
              <w:jc w:val="center"/>
              <w:rPr>
                <w:b/>
                <w:bCs/>
                <w:sz w:val="20"/>
                <w:szCs w:val="20"/>
              </w:rPr>
            </w:pPr>
            <w:r>
              <w:rPr>
                <w:b/>
                <w:bCs/>
                <w:sz w:val="20"/>
                <w:szCs w:val="20"/>
              </w:rPr>
              <w:t>TOTAL</w:t>
            </w:r>
          </w:p>
        </w:tc>
        <w:tc>
          <w:tcPr>
            <w:tcW w:w="194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vAlign w:val="center"/>
            <w:hideMark/>
          </w:tcPr>
          <w:p w14:paraId="37B8929F" w14:textId="77777777" w:rsidR="004D7917" w:rsidRDefault="004D7917" w:rsidP="00AB35C5">
            <w:pPr>
              <w:spacing w:line="256" w:lineRule="auto"/>
              <w:jc w:val="right"/>
              <w:rPr>
                <w:b/>
                <w:bCs/>
                <w:sz w:val="20"/>
                <w:szCs w:val="20"/>
                <w:lang w:val="es-MX" w:eastAsia="es-MX"/>
              </w:rPr>
            </w:pPr>
            <w:r>
              <w:rPr>
                <w:b/>
                <w:bCs/>
                <w:sz w:val="20"/>
                <w:szCs w:val="20"/>
                <w:lang w:eastAsia="es-MX"/>
              </w:rPr>
              <w:t>19,502,044,396.00</w:t>
            </w:r>
          </w:p>
        </w:tc>
        <w:tc>
          <w:tcPr>
            <w:tcW w:w="79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vAlign w:val="center"/>
            <w:hideMark/>
          </w:tcPr>
          <w:p w14:paraId="3EDDAF49" w14:textId="77777777" w:rsidR="004D7917" w:rsidRDefault="004D7917" w:rsidP="00AB35C5">
            <w:pPr>
              <w:spacing w:line="256" w:lineRule="auto"/>
              <w:jc w:val="center"/>
              <w:rPr>
                <w:b/>
                <w:bCs/>
                <w:sz w:val="20"/>
                <w:szCs w:val="20"/>
                <w:lang w:val="es-MX" w:eastAsia="es-MX"/>
              </w:rPr>
            </w:pPr>
            <w:r>
              <w:rPr>
                <w:b/>
                <w:bCs/>
                <w:sz w:val="20"/>
                <w:szCs w:val="20"/>
                <w:lang w:val="es-MX" w:eastAsia="es-MX"/>
              </w:rPr>
              <w:t>100.0%</w:t>
            </w:r>
          </w:p>
        </w:tc>
      </w:tr>
    </w:tbl>
    <w:p w14:paraId="2D681A66" w14:textId="77777777" w:rsidR="004C5D80" w:rsidRDefault="004C5D80" w:rsidP="007B7F47">
      <w:pPr>
        <w:spacing w:after="200" w:line="360" w:lineRule="auto"/>
        <w:jc w:val="both"/>
        <w:rPr>
          <w:sz w:val="20"/>
          <w:szCs w:val="20"/>
        </w:rPr>
      </w:pPr>
    </w:p>
    <w:p w14:paraId="77AC613A" w14:textId="661E7919" w:rsidR="009C2AB9" w:rsidRPr="00CC0740" w:rsidRDefault="007B7F47" w:rsidP="007B7F47">
      <w:pPr>
        <w:spacing w:after="200" w:line="360" w:lineRule="auto"/>
        <w:jc w:val="both"/>
        <w:rPr>
          <w:rFonts w:eastAsia="Calibri"/>
          <w:b/>
          <w:color w:val="FF0000"/>
          <w:sz w:val="20"/>
          <w:szCs w:val="20"/>
        </w:rPr>
      </w:pPr>
      <w:r>
        <w:rPr>
          <w:sz w:val="20"/>
          <w:szCs w:val="20"/>
        </w:rPr>
        <w:t>De acuerdo a la anterior clasificación, l</w:t>
      </w:r>
      <w:r w:rsidRPr="00E3371A">
        <w:rPr>
          <w:sz w:val="20"/>
          <w:szCs w:val="20"/>
        </w:rPr>
        <w:t>a política de desarrollo social en el Estado de Tlaxcala, vinculada y coordinada con la política de planeación nacional, promueve, respeta, protege y garantiza los derechos sociales de la población, en cumplimiento a lo establecido en la Constitución Política de los Estados Unidos Mexicanos, Constitución Política del Estado Libre y Soberano de Tlaxcala, Ley General de Desarrollo Social, Ley de Desarrollo Social del Estado de Tlaxcala y Ley de los Derechos de Niñas, Niños y Adolescentes del Estado de Tlaxcala.</w:t>
      </w:r>
    </w:p>
    <w:p w14:paraId="0415F804" w14:textId="77777777" w:rsidR="004C5D80" w:rsidRPr="00CE0AF6" w:rsidRDefault="004C5D80" w:rsidP="004C5D80">
      <w:pPr>
        <w:spacing w:after="200" w:line="360" w:lineRule="auto"/>
        <w:jc w:val="center"/>
        <w:rPr>
          <w:rFonts w:eastAsia="Calibri"/>
          <w:b/>
          <w:sz w:val="20"/>
          <w:szCs w:val="20"/>
        </w:rPr>
      </w:pPr>
      <w:r w:rsidRPr="00CE0AF6">
        <w:rPr>
          <w:rFonts w:eastAsia="Calibri"/>
          <w:b/>
          <w:sz w:val="20"/>
          <w:szCs w:val="20"/>
        </w:rPr>
        <w:lastRenderedPageBreak/>
        <w:t>Sectorización del Poder Ejecutivo</w:t>
      </w:r>
    </w:p>
    <w:p w14:paraId="59D850FF" w14:textId="77777777" w:rsidR="004C5D80" w:rsidRPr="00CE0AF6" w:rsidRDefault="004C5D80" w:rsidP="004C5D80">
      <w:pPr>
        <w:spacing w:after="200" w:line="360" w:lineRule="auto"/>
        <w:jc w:val="both"/>
        <w:rPr>
          <w:rFonts w:eastAsia="Calibri"/>
          <w:sz w:val="20"/>
          <w:szCs w:val="20"/>
        </w:rPr>
      </w:pPr>
      <w:r w:rsidRPr="00CE0AF6">
        <w:rPr>
          <w:rFonts w:eastAsia="Calibri"/>
          <w:sz w:val="20"/>
          <w:szCs w:val="20"/>
        </w:rPr>
        <w:t>Integran la Administración Pública Centralizada: el Despacho de la Persona Titular del Ejecutivo, las unidades y departamentos administrativos que dependan directamente de éste, las Secretarías, las Coordinaciones, la Oficialía Mayor, la Procuraduría General de Justicia, así como los Organismos Públicos Desconcentrados, creados por el Ejecutivo mediante Decreto.</w:t>
      </w:r>
    </w:p>
    <w:p w14:paraId="5AA83288" w14:textId="77777777" w:rsidR="004C5D80" w:rsidRPr="00CE0AF6" w:rsidRDefault="004C5D80" w:rsidP="004C5D80">
      <w:pPr>
        <w:spacing w:after="200" w:line="360" w:lineRule="auto"/>
        <w:jc w:val="both"/>
        <w:rPr>
          <w:rFonts w:eastAsia="Calibri"/>
          <w:sz w:val="20"/>
          <w:szCs w:val="20"/>
        </w:rPr>
      </w:pPr>
      <w:r w:rsidRPr="00CE0AF6">
        <w:rPr>
          <w:rFonts w:eastAsia="Calibri"/>
          <w:sz w:val="20"/>
          <w:szCs w:val="20"/>
        </w:rPr>
        <w:t>Constituyen la administración pública descentralizada, los organismos públicos descentralizados, las empresas de participación estatal mayoritaria y los fideicomisos públicos, creados por el Ejecutivo mediante Decreto.</w:t>
      </w:r>
    </w:p>
    <w:p w14:paraId="5F17F0F1" w14:textId="29227D04" w:rsidR="00525B2B" w:rsidRPr="00CC0740" w:rsidRDefault="004C5D80" w:rsidP="004C5D80">
      <w:pPr>
        <w:spacing w:after="200" w:line="360" w:lineRule="auto"/>
        <w:jc w:val="both"/>
        <w:rPr>
          <w:rFonts w:eastAsia="Calibri"/>
          <w:color w:val="FF0000"/>
          <w:sz w:val="20"/>
          <w:szCs w:val="20"/>
        </w:rPr>
      </w:pPr>
      <w:r w:rsidRPr="00CE0AF6">
        <w:rPr>
          <w:rFonts w:eastAsia="Calibri"/>
          <w:sz w:val="20"/>
          <w:szCs w:val="20"/>
        </w:rPr>
        <w:t>Por lo que se clasifican en Sectores con la finalidad de poder visualizar un panorama claro y d</w:t>
      </w:r>
      <w:r w:rsidR="00670720">
        <w:rPr>
          <w:rFonts w:eastAsia="Calibri"/>
          <w:sz w:val="20"/>
          <w:szCs w:val="20"/>
        </w:rPr>
        <w:t>istinto en la presentación del P</w:t>
      </w:r>
      <w:r w:rsidRPr="00CE0AF6">
        <w:rPr>
          <w:rFonts w:eastAsia="Calibri"/>
          <w:sz w:val="20"/>
          <w:szCs w:val="20"/>
        </w:rPr>
        <w:t xml:space="preserve">resupuesto de </w:t>
      </w:r>
      <w:r w:rsidR="00670720">
        <w:rPr>
          <w:rFonts w:eastAsia="Calibri"/>
          <w:sz w:val="20"/>
          <w:szCs w:val="20"/>
        </w:rPr>
        <w:t>E</w:t>
      </w:r>
      <w:r w:rsidRPr="00CE0AF6">
        <w:rPr>
          <w:rFonts w:eastAsia="Calibri"/>
          <w:sz w:val="20"/>
          <w:szCs w:val="20"/>
        </w:rPr>
        <w:t>gresos</w:t>
      </w:r>
      <w:r w:rsidR="00897360">
        <w:rPr>
          <w:rFonts w:eastAsia="Calibri"/>
          <w:sz w:val="20"/>
          <w:szCs w:val="20"/>
        </w:rPr>
        <w:t xml:space="preserve"> del Poder Ejecutivo, con base en e</w:t>
      </w:r>
      <w:r w:rsidRPr="00CE0AF6">
        <w:rPr>
          <w:rFonts w:eastAsia="Calibri"/>
          <w:sz w:val="20"/>
          <w:szCs w:val="20"/>
        </w:rPr>
        <w:t>l cuadro</w:t>
      </w:r>
      <w:r w:rsidR="00970C71">
        <w:rPr>
          <w:rFonts w:eastAsia="Calibri"/>
          <w:sz w:val="20"/>
          <w:szCs w:val="20"/>
        </w:rPr>
        <w:t xml:space="preserve"> siguiente</w:t>
      </w:r>
      <w:r>
        <w:rPr>
          <w:rFonts w:eastAsia="Calibri"/>
          <w:sz w:val="20"/>
          <w:szCs w:val="20"/>
        </w:rPr>
        <w:t>:</w:t>
      </w:r>
    </w:p>
    <w:p w14:paraId="34833973" w14:textId="77777777" w:rsidR="00525B2B" w:rsidRPr="004C5D80" w:rsidRDefault="00525B2B" w:rsidP="00525B2B">
      <w:pPr>
        <w:spacing w:after="200" w:line="360" w:lineRule="auto"/>
        <w:jc w:val="center"/>
        <w:rPr>
          <w:rFonts w:eastAsia="Calibri"/>
          <w:b/>
          <w:sz w:val="20"/>
          <w:szCs w:val="20"/>
        </w:rPr>
      </w:pPr>
      <w:r w:rsidRPr="004C5D80">
        <w:rPr>
          <w:rFonts w:eastAsia="Calibri"/>
          <w:b/>
          <w:sz w:val="20"/>
          <w:szCs w:val="20"/>
        </w:rPr>
        <w:t>Clasificación por Sector</w:t>
      </w:r>
    </w:p>
    <w:tbl>
      <w:tblPr>
        <w:tblW w:w="7508" w:type="dxa"/>
        <w:jc w:val="center"/>
        <w:tblCellMar>
          <w:left w:w="70" w:type="dxa"/>
          <w:right w:w="70" w:type="dxa"/>
        </w:tblCellMar>
        <w:tblLook w:val="04A0" w:firstRow="1" w:lastRow="0" w:firstColumn="1" w:lastColumn="0" w:noHBand="0" w:noVBand="1"/>
      </w:tblPr>
      <w:tblGrid>
        <w:gridCol w:w="1720"/>
        <w:gridCol w:w="1660"/>
        <w:gridCol w:w="1660"/>
        <w:gridCol w:w="1770"/>
        <w:gridCol w:w="698"/>
      </w:tblGrid>
      <w:tr w:rsidR="004D7917" w14:paraId="19056D91" w14:textId="77777777" w:rsidTr="00AB35C5">
        <w:trPr>
          <w:trHeight w:val="300"/>
          <w:tblHeader/>
          <w:jc w:val="center"/>
        </w:trPr>
        <w:tc>
          <w:tcPr>
            <w:tcW w:w="1720" w:type="dxa"/>
            <w:vMerge w:val="restar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538CEE63" w14:textId="77777777" w:rsidR="004D7917" w:rsidRDefault="004D7917" w:rsidP="00AB35C5">
            <w:pPr>
              <w:spacing w:line="256" w:lineRule="auto"/>
              <w:jc w:val="center"/>
              <w:rPr>
                <w:b/>
                <w:bCs/>
                <w:sz w:val="20"/>
                <w:szCs w:val="20"/>
                <w:lang w:val="es-MX" w:eastAsia="es-MX"/>
              </w:rPr>
            </w:pPr>
            <w:r>
              <w:rPr>
                <w:b/>
                <w:bCs/>
                <w:sz w:val="20"/>
                <w:szCs w:val="20"/>
                <w:lang w:val="es-MX" w:eastAsia="es-MX"/>
              </w:rPr>
              <w:t>SECTOR</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60A23F47" w14:textId="77777777" w:rsidR="004D7917" w:rsidRDefault="004D7917" w:rsidP="00AB35C5">
            <w:pPr>
              <w:spacing w:line="256" w:lineRule="auto"/>
              <w:jc w:val="center"/>
              <w:rPr>
                <w:b/>
                <w:bCs/>
                <w:sz w:val="20"/>
                <w:szCs w:val="20"/>
                <w:lang w:val="es-MX" w:eastAsia="es-MX"/>
              </w:rPr>
            </w:pPr>
            <w:r>
              <w:rPr>
                <w:b/>
                <w:bCs/>
                <w:sz w:val="20"/>
                <w:szCs w:val="20"/>
                <w:lang w:val="es-MX" w:eastAsia="es-MX"/>
              </w:rPr>
              <w:t>2022</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4B627589" w14:textId="77777777" w:rsidR="004D7917" w:rsidRDefault="004D7917" w:rsidP="00AB35C5">
            <w:pPr>
              <w:spacing w:line="256" w:lineRule="auto"/>
              <w:jc w:val="center"/>
              <w:rPr>
                <w:b/>
                <w:bCs/>
                <w:sz w:val="20"/>
                <w:szCs w:val="20"/>
                <w:lang w:val="es-MX" w:eastAsia="es-MX"/>
              </w:rPr>
            </w:pPr>
            <w:r>
              <w:rPr>
                <w:b/>
                <w:bCs/>
                <w:sz w:val="20"/>
                <w:szCs w:val="20"/>
                <w:lang w:val="es-MX" w:eastAsia="es-MX"/>
              </w:rPr>
              <w:t>2023</w:t>
            </w:r>
          </w:p>
        </w:tc>
        <w:tc>
          <w:tcPr>
            <w:tcW w:w="2468" w:type="dxa"/>
            <w:gridSpan w:val="2"/>
            <w:tcBorders>
              <w:top w:val="single" w:sz="4" w:space="0" w:color="auto"/>
              <w:left w:val="nil"/>
              <w:bottom w:val="single" w:sz="4" w:space="0" w:color="auto"/>
              <w:right w:val="single" w:sz="4" w:space="0" w:color="auto"/>
            </w:tcBorders>
            <w:shd w:val="clear" w:color="auto" w:fill="D9D9D9"/>
            <w:noWrap/>
            <w:vAlign w:val="center"/>
            <w:hideMark/>
          </w:tcPr>
          <w:p w14:paraId="1B43F472" w14:textId="77777777" w:rsidR="004D7917" w:rsidRDefault="004D7917" w:rsidP="00AB35C5">
            <w:pPr>
              <w:spacing w:line="256" w:lineRule="auto"/>
              <w:jc w:val="center"/>
              <w:rPr>
                <w:b/>
                <w:bCs/>
                <w:sz w:val="20"/>
                <w:szCs w:val="20"/>
                <w:lang w:val="es-MX" w:eastAsia="es-MX"/>
              </w:rPr>
            </w:pPr>
            <w:r>
              <w:rPr>
                <w:b/>
                <w:bCs/>
                <w:sz w:val="20"/>
                <w:szCs w:val="20"/>
                <w:lang w:val="es-MX" w:eastAsia="es-MX"/>
              </w:rPr>
              <w:t>INCREMENTO</w:t>
            </w:r>
          </w:p>
        </w:tc>
      </w:tr>
      <w:tr w:rsidR="004D7917" w14:paraId="35413468" w14:textId="77777777" w:rsidTr="00AB35C5">
        <w:trPr>
          <w:trHeight w:val="30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0491757" w14:textId="77777777" w:rsidR="004D7917" w:rsidRDefault="004D7917" w:rsidP="00AB35C5">
            <w:pPr>
              <w:spacing w:line="256" w:lineRule="auto"/>
              <w:rPr>
                <w:b/>
                <w:bCs/>
                <w:sz w:val="20"/>
                <w:szCs w:val="20"/>
                <w:lang w:val="es-MX" w:eastAsia="es-MX"/>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F1118E9" w14:textId="77777777" w:rsidR="004D7917" w:rsidRDefault="004D7917" w:rsidP="00AB35C5">
            <w:pPr>
              <w:spacing w:line="256" w:lineRule="auto"/>
              <w:rPr>
                <w:b/>
                <w:bCs/>
                <w:sz w:val="20"/>
                <w:szCs w:val="20"/>
                <w:lang w:val="es-MX" w:eastAsia="es-MX"/>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DF54DE2" w14:textId="77777777" w:rsidR="004D7917" w:rsidRDefault="004D7917" w:rsidP="00AB35C5">
            <w:pPr>
              <w:spacing w:line="256" w:lineRule="auto"/>
              <w:rPr>
                <w:b/>
                <w:bCs/>
                <w:sz w:val="20"/>
                <w:szCs w:val="20"/>
                <w:lang w:val="es-MX" w:eastAsia="es-MX"/>
              </w:rPr>
            </w:pPr>
          </w:p>
        </w:tc>
        <w:tc>
          <w:tcPr>
            <w:tcW w:w="1770" w:type="dxa"/>
            <w:tcBorders>
              <w:top w:val="nil"/>
              <w:left w:val="nil"/>
              <w:bottom w:val="single" w:sz="4" w:space="0" w:color="auto"/>
              <w:right w:val="single" w:sz="4" w:space="0" w:color="auto"/>
            </w:tcBorders>
            <w:shd w:val="clear" w:color="auto" w:fill="D9D9D9"/>
            <w:noWrap/>
            <w:vAlign w:val="center"/>
            <w:hideMark/>
          </w:tcPr>
          <w:p w14:paraId="66B99186" w14:textId="77777777" w:rsidR="004D7917" w:rsidRDefault="004D7917" w:rsidP="00AB35C5">
            <w:pPr>
              <w:spacing w:line="256" w:lineRule="auto"/>
              <w:jc w:val="center"/>
              <w:rPr>
                <w:b/>
                <w:bCs/>
                <w:sz w:val="20"/>
                <w:szCs w:val="20"/>
                <w:lang w:val="es-MX" w:eastAsia="es-MX"/>
              </w:rPr>
            </w:pPr>
            <w:r>
              <w:rPr>
                <w:b/>
                <w:bCs/>
                <w:sz w:val="20"/>
                <w:szCs w:val="20"/>
                <w:lang w:val="es-MX" w:eastAsia="es-MX"/>
              </w:rPr>
              <w:t>NOMINAL ($)</w:t>
            </w:r>
          </w:p>
        </w:tc>
        <w:tc>
          <w:tcPr>
            <w:tcW w:w="698" w:type="dxa"/>
            <w:tcBorders>
              <w:top w:val="nil"/>
              <w:left w:val="nil"/>
              <w:bottom w:val="single" w:sz="4" w:space="0" w:color="auto"/>
              <w:right w:val="single" w:sz="4" w:space="0" w:color="auto"/>
            </w:tcBorders>
            <w:shd w:val="clear" w:color="auto" w:fill="D9D9D9"/>
            <w:noWrap/>
            <w:vAlign w:val="center"/>
            <w:hideMark/>
          </w:tcPr>
          <w:p w14:paraId="7810BD75" w14:textId="77777777" w:rsidR="004D7917" w:rsidRDefault="004D7917" w:rsidP="00AB35C5">
            <w:pPr>
              <w:spacing w:line="256" w:lineRule="auto"/>
              <w:jc w:val="center"/>
              <w:rPr>
                <w:b/>
                <w:bCs/>
                <w:sz w:val="20"/>
                <w:szCs w:val="20"/>
                <w:lang w:val="es-MX" w:eastAsia="es-MX"/>
              </w:rPr>
            </w:pPr>
            <w:r>
              <w:rPr>
                <w:b/>
                <w:bCs/>
                <w:sz w:val="20"/>
                <w:szCs w:val="20"/>
                <w:lang w:val="es-MX" w:eastAsia="es-MX"/>
              </w:rPr>
              <w:t>%</w:t>
            </w:r>
          </w:p>
        </w:tc>
      </w:tr>
      <w:tr w:rsidR="004D7917" w14:paraId="7DEE3B63" w14:textId="77777777" w:rsidTr="00AB35C5">
        <w:trPr>
          <w:trHeight w:val="531"/>
          <w:jc w:val="center"/>
        </w:trPr>
        <w:tc>
          <w:tcPr>
            <w:tcW w:w="1720" w:type="dxa"/>
            <w:tcBorders>
              <w:top w:val="nil"/>
              <w:left w:val="single" w:sz="4" w:space="0" w:color="auto"/>
              <w:bottom w:val="single" w:sz="4" w:space="0" w:color="auto"/>
              <w:right w:val="single" w:sz="4" w:space="0" w:color="auto"/>
            </w:tcBorders>
            <w:vAlign w:val="center"/>
            <w:hideMark/>
          </w:tcPr>
          <w:p w14:paraId="218439D9" w14:textId="77777777" w:rsidR="004D7917" w:rsidRDefault="004D7917" w:rsidP="00AB35C5">
            <w:pPr>
              <w:spacing w:line="256" w:lineRule="auto"/>
              <w:rPr>
                <w:sz w:val="20"/>
                <w:szCs w:val="20"/>
                <w:lang w:val="es-MX" w:eastAsia="es-MX"/>
              </w:rPr>
            </w:pPr>
            <w:r>
              <w:rPr>
                <w:sz w:val="20"/>
                <w:szCs w:val="20"/>
              </w:rPr>
              <w:t>Fideicomisos</w:t>
            </w:r>
          </w:p>
        </w:tc>
        <w:tc>
          <w:tcPr>
            <w:tcW w:w="1660" w:type="dxa"/>
            <w:tcBorders>
              <w:top w:val="nil"/>
              <w:left w:val="nil"/>
              <w:bottom w:val="single" w:sz="4" w:space="0" w:color="auto"/>
              <w:right w:val="single" w:sz="4" w:space="0" w:color="auto"/>
            </w:tcBorders>
            <w:noWrap/>
            <w:vAlign w:val="center"/>
            <w:hideMark/>
          </w:tcPr>
          <w:p w14:paraId="68ABF8EB" w14:textId="77777777" w:rsidR="004D7917" w:rsidRDefault="004D7917" w:rsidP="00AB35C5">
            <w:pPr>
              <w:spacing w:line="256" w:lineRule="auto"/>
              <w:jc w:val="right"/>
              <w:rPr>
                <w:color w:val="000000"/>
                <w:sz w:val="20"/>
                <w:szCs w:val="20"/>
                <w:lang w:val="es-MX" w:eastAsia="es-MX"/>
              </w:rPr>
            </w:pPr>
            <w:r>
              <w:rPr>
                <w:color w:val="000000"/>
                <w:sz w:val="20"/>
                <w:szCs w:val="20"/>
                <w:lang w:eastAsia="es-MX"/>
              </w:rPr>
              <w:t>9,209,293.00</w:t>
            </w:r>
          </w:p>
        </w:tc>
        <w:tc>
          <w:tcPr>
            <w:tcW w:w="1660" w:type="dxa"/>
            <w:tcBorders>
              <w:top w:val="nil"/>
              <w:left w:val="nil"/>
              <w:bottom w:val="single" w:sz="4" w:space="0" w:color="auto"/>
              <w:right w:val="single" w:sz="4" w:space="0" w:color="auto"/>
            </w:tcBorders>
            <w:noWrap/>
            <w:vAlign w:val="center"/>
            <w:hideMark/>
          </w:tcPr>
          <w:p w14:paraId="28794D54" w14:textId="77777777" w:rsidR="004D7917" w:rsidRDefault="004D7917" w:rsidP="00AB35C5">
            <w:pPr>
              <w:spacing w:line="256" w:lineRule="auto"/>
              <w:jc w:val="right"/>
              <w:rPr>
                <w:color w:val="000000"/>
                <w:sz w:val="20"/>
                <w:szCs w:val="20"/>
                <w:lang w:val="es-MX" w:eastAsia="es-MX"/>
              </w:rPr>
            </w:pPr>
            <w:r>
              <w:rPr>
                <w:color w:val="000000"/>
                <w:sz w:val="20"/>
                <w:szCs w:val="20"/>
                <w:lang w:val="es-MX" w:eastAsia="es-MX"/>
              </w:rPr>
              <w:t>9,522,927.00</w:t>
            </w:r>
          </w:p>
        </w:tc>
        <w:tc>
          <w:tcPr>
            <w:tcW w:w="1770" w:type="dxa"/>
            <w:tcBorders>
              <w:top w:val="nil"/>
              <w:left w:val="nil"/>
              <w:bottom w:val="single" w:sz="4" w:space="0" w:color="auto"/>
              <w:right w:val="single" w:sz="4" w:space="0" w:color="auto"/>
            </w:tcBorders>
            <w:noWrap/>
            <w:vAlign w:val="center"/>
            <w:hideMark/>
          </w:tcPr>
          <w:p w14:paraId="50984FF4" w14:textId="77777777" w:rsidR="004D7917" w:rsidRDefault="004D7917" w:rsidP="00AB35C5">
            <w:pPr>
              <w:spacing w:line="256" w:lineRule="auto"/>
              <w:jc w:val="right"/>
              <w:rPr>
                <w:color w:val="000000"/>
                <w:sz w:val="20"/>
                <w:szCs w:val="20"/>
                <w:lang w:val="es-MX" w:eastAsia="es-MX"/>
              </w:rPr>
            </w:pPr>
            <w:r>
              <w:rPr>
                <w:color w:val="000000"/>
                <w:sz w:val="20"/>
                <w:szCs w:val="20"/>
                <w:lang w:eastAsia="es-MX"/>
              </w:rPr>
              <w:t>313,634.00</w:t>
            </w:r>
          </w:p>
        </w:tc>
        <w:tc>
          <w:tcPr>
            <w:tcW w:w="698" w:type="dxa"/>
            <w:tcBorders>
              <w:top w:val="nil"/>
              <w:left w:val="nil"/>
              <w:bottom w:val="single" w:sz="4" w:space="0" w:color="auto"/>
              <w:right w:val="single" w:sz="4" w:space="0" w:color="auto"/>
            </w:tcBorders>
            <w:noWrap/>
            <w:vAlign w:val="center"/>
            <w:hideMark/>
          </w:tcPr>
          <w:p w14:paraId="7E402592" w14:textId="77777777" w:rsidR="004D7917" w:rsidRDefault="004D7917" w:rsidP="00AB35C5">
            <w:pPr>
              <w:spacing w:line="256" w:lineRule="auto"/>
              <w:jc w:val="center"/>
              <w:rPr>
                <w:color w:val="000000"/>
                <w:sz w:val="20"/>
                <w:szCs w:val="20"/>
                <w:lang w:val="es-MX" w:eastAsia="es-MX"/>
              </w:rPr>
            </w:pPr>
            <w:r>
              <w:rPr>
                <w:color w:val="000000"/>
                <w:sz w:val="20"/>
                <w:szCs w:val="20"/>
                <w:lang w:eastAsia="es-MX"/>
              </w:rPr>
              <w:t>3.4</w:t>
            </w:r>
          </w:p>
        </w:tc>
      </w:tr>
      <w:tr w:rsidR="004D7917" w14:paraId="30D5DE60" w14:textId="77777777" w:rsidTr="00AB35C5">
        <w:trPr>
          <w:trHeight w:val="409"/>
          <w:jc w:val="center"/>
        </w:trPr>
        <w:tc>
          <w:tcPr>
            <w:tcW w:w="1720" w:type="dxa"/>
            <w:tcBorders>
              <w:top w:val="nil"/>
              <w:left w:val="single" w:sz="4" w:space="0" w:color="auto"/>
              <w:bottom w:val="single" w:sz="4" w:space="0" w:color="auto"/>
              <w:right w:val="single" w:sz="4" w:space="0" w:color="auto"/>
            </w:tcBorders>
            <w:vAlign w:val="center"/>
            <w:hideMark/>
          </w:tcPr>
          <w:p w14:paraId="37692DCA" w14:textId="77777777" w:rsidR="004D7917" w:rsidRDefault="004D7917" w:rsidP="00AB35C5">
            <w:pPr>
              <w:spacing w:line="256" w:lineRule="auto"/>
              <w:rPr>
                <w:sz w:val="20"/>
                <w:szCs w:val="20"/>
              </w:rPr>
            </w:pPr>
            <w:r>
              <w:rPr>
                <w:sz w:val="20"/>
                <w:szCs w:val="20"/>
              </w:rPr>
              <w:t>Medio Ambiente</w:t>
            </w:r>
          </w:p>
        </w:tc>
        <w:tc>
          <w:tcPr>
            <w:tcW w:w="1660" w:type="dxa"/>
            <w:tcBorders>
              <w:top w:val="nil"/>
              <w:left w:val="nil"/>
              <w:bottom w:val="single" w:sz="4" w:space="0" w:color="auto"/>
              <w:right w:val="single" w:sz="4" w:space="0" w:color="auto"/>
            </w:tcBorders>
            <w:noWrap/>
            <w:vAlign w:val="center"/>
            <w:hideMark/>
          </w:tcPr>
          <w:p w14:paraId="590E7CB7" w14:textId="77777777" w:rsidR="004D7917" w:rsidRDefault="004D7917" w:rsidP="00AB35C5">
            <w:pPr>
              <w:spacing w:line="256" w:lineRule="auto"/>
              <w:jc w:val="right"/>
              <w:rPr>
                <w:color w:val="000000"/>
                <w:sz w:val="20"/>
                <w:szCs w:val="20"/>
                <w:lang w:val="es-MX" w:eastAsia="es-MX"/>
              </w:rPr>
            </w:pPr>
            <w:r>
              <w:rPr>
                <w:color w:val="000000"/>
                <w:sz w:val="20"/>
                <w:szCs w:val="20"/>
                <w:lang w:eastAsia="es-MX"/>
              </w:rPr>
              <w:t>171,062,660.00</w:t>
            </w:r>
          </w:p>
        </w:tc>
        <w:tc>
          <w:tcPr>
            <w:tcW w:w="1660" w:type="dxa"/>
            <w:tcBorders>
              <w:top w:val="nil"/>
              <w:left w:val="nil"/>
              <w:bottom w:val="single" w:sz="4" w:space="0" w:color="auto"/>
              <w:right w:val="single" w:sz="4" w:space="0" w:color="auto"/>
            </w:tcBorders>
            <w:noWrap/>
            <w:vAlign w:val="center"/>
            <w:hideMark/>
          </w:tcPr>
          <w:p w14:paraId="1BD36C9F" w14:textId="77777777" w:rsidR="004D7917" w:rsidRDefault="004D7917" w:rsidP="00AB35C5">
            <w:pPr>
              <w:spacing w:line="256" w:lineRule="auto"/>
              <w:jc w:val="right"/>
              <w:rPr>
                <w:color w:val="000000"/>
                <w:sz w:val="20"/>
                <w:szCs w:val="20"/>
                <w:lang w:val="es-MX" w:eastAsia="es-MX"/>
              </w:rPr>
            </w:pPr>
            <w:r>
              <w:rPr>
                <w:color w:val="000000"/>
                <w:sz w:val="20"/>
                <w:szCs w:val="20"/>
                <w:lang w:val="es-MX" w:eastAsia="es-MX"/>
              </w:rPr>
              <w:t>230,272,687.00</w:t>
            </w:r>
          </w:p>
        </w:tc>
        <w:tc>
          <w:tcPr>
            <w:tcW w:w="1770" w:type="dxa"/>
            <w:tcBorders>
              <w:top w:val="nil"/>
              <w:left w:val="nil"/>
              <w:bottom w:val="single" w:sz="4" w:space="0" w:color="auto"/>
              <w:right w:val="single" w:sz="4" w:space="0" w:color="auto"/>
            </w:tcBorders>
            <w:noWrap/>
            <w:vAlign w:val="center"/>
            <w:hideMark/>
          </w:tcPr>
          <w:p w14:paraId="18FAD812" w14:textId="77777777" w:rsidR="004D7917" w:rsidRDefault="004D7917" w:rsidP="00AB35C5">
            <w:pPr>
              <w:spacing w:line="256" w:lineRule="auto"/>
              <w:jc w:val="right"/>
              <w:rPr>
                <w:color w:val="000000"/>
                <w:sz w:val="20"/>
                <w:szCs w:val="20"/>
                <w:lang w:val="es-MX" w:eastAsia="es-MX"/>
              </w:rPr>
            </w:pPr>
            <w:r>
              <w:rPr>
                <w:color w:val="000000"/>
                <w:sz w:val="20"/>
                <w:szCs w:val="20"/>
                <w:lang w:eastAsia="es-MX"/>
              </w:rPr>
              <w:t>59,210,027.00</w:t>
            </w:r>
          </w:p>
        </w:tc>
        <w:tc>
          <w:tcPr>
            <w:tcW w:w="698" w:type="dxa"/>
            <w:tcBorders>
              <w:top w:val="nil"/>
              <w:left w:val="nil"/>
              <w:bottom w:val="single" w:sz="4" w:space="0" w:color="auto"/>
              <w:right w:val="single" w:sz="4" w:space="0" w:color="auto"/>
            </w:tcBorders>
            <w:noWrap/>
            <w:vAlign w:val="center"/>
            <w:hideMark/>
          </w:tcPr>
          <w:p w14:paraId="6A3FE8E1" w14:textId="77777777" w:rsidR="004D7917" w:rsidRDefault="004D7917" w:rsidP="00AB35C5">
            <w:pPr>
              <w:spacing w:line="256" w:lineRule="auto"/>
              <w:jc w:val="center"/>
              <w:rPr>
                <w:color w:val="000000"/>
                <w:sz w:val="20"/>
                <w:szCs w:val="20"/>
                <w:lang w:val="es-MX" w:eastAsia="es-MX"/>
              </w:rPr>
            </w:pPr>
            <w:r>
              <w:rPr>
                <w:color w:val="000000"/>
                <w:sz w:val="20"/>
                <w:szCs w:val="20"/>
                <w:lang w:eastAsia="es-MX"/>
              </w:rPr>
              <w:t>34.6</w:t>
            </w:r>
          </w:p>
        </w:tc>
      </w:tr>
      <w:tr w:rsidR="004D7917" w14:paraId="70947174" w14:textId="77777777" w:rsidTr="00AB35C5">
        <w:trPr>
          <w:trHeight w:val="385"/>
          <w:jc w:val="center"/>
        </w:trPr>
        <w:tc>
          <w:tcPr>
            <w:tcW w:w="1720" w:type="dxa"/>
            <w:tcBorders>
              <w:top w:val="nil"/>
              <w:left w:val="single" w:sz="4" w:space="0" w:color="auto"/>
              <w:bottom w:val="single" w:sz="4" w:space="0" w:color="auto"/>
              <w:right w:val="single" w:sz="4" w:space="0" w:color="auto"/>
            </w:tcBorders>
            <w:vAlign w:val="center"/>
            <w:hideMark/>
          </w:tcPr>
          <w:p w14:paraId="17C0CC2A" w14:textId="77777777" w:rsidR="004D7917" w:rsidRDefault="004D7917" w:rsidP="00AB35C5">
            <w:pPr>
              <w:spacing w:line="256" w:lineRule="auto"/>
              <w:rPr>
                <w:sz w:val="20"/>
                <w:szCs w:val="20"/>
              </w:rPr>
            </w:pPr>
            <w:r>
              <w:rPr>
                <w:sz w:val="20"/>
                <w:szCs w:val="20"/>
              </w:rPr>
              <w:t>Educación</w:t>
            </w:r>
          </w:p>
        </w:tc>
        <w:tc>
          <w:tcPr>
            <w:tcW w:w="1660" w:type="dxa"/>
            <w:tcBorders>
              <w:top w:val="nil"/>
              <w:left w:val="nil"/>
              <w:bottom w:val="single" w:sz="4" w:space="0" w:color="auto"/>
              <w:right w:val="single" w:sz="4" w:space="0" w:color="auto"/>
            </w:tcBorders>
            <w:noWrap/>
            <w:vAlign w:val="center"/>
            <w:hideMark/>
          </w:tcPr>
          <w:p w14:paraId="5A651F14" w14:textId="77777777" w:rsidR="004D7917" w:rsidRDefault="004D7917" w:rsidP="00AB35C5">
            <w:pPr>
              <w:spacing w:line="256" w:lineRule="auto"/>
              <w:jc w:val="right"/>
              <w:rPr>
                <w:color w:val="000000"/>
                <w:sz w:val="20"/>
                <w:szCs w:val="20"/>
                <w:lang w:val="es-MX" w:eastAsia="es-MX"/>
              </w:rPr>
            </w:pPr>
            <w:r>
              <w:rPr>
                <w:color w:val="000000"/>
                <w:sz w:val="20"/>
                <w:szCs w:val="20"/>
                <w:lang w:eastAsia="es-MX"/>
              </w:rPr>
              <w:t>8,459,282,224.00</w:t>
            </w:r>
          </w:p>
        </w:tc>
        <w:tc>
          <w:tcPr>
            <w:tcW w:w="1660" w:type="dxa"/>
            <w:tcBorders>
              <w:top w:val="nil"/>
              <w:left w:val="nil"/>
              <w:bottom w:val="single" w:sz="4" w:space="0" w:color="auto"/>
              <w:right w:val="single" w:sz="4" w:space="0" w:color="auto"/>
            </w:tcBorders>
            <w:noWrap/>
            <w:vAlign w:val="center"/>
            <w:hideMark/>
          </w:tcPr>
          <w:p w14:paraId="74662877" w14:textId="77777777" w:rsidR="004D7917" w:rsidRDefault="004D7917" w:rsidP="00AB35C5">
            <w:pPr>
              <w:spacing w:line="256" w:lineRule="auto"/>
              <w:jc w:val="right"/>
              <w:rPr>
                <w:color w:val="000000"/>
                <w:sz w:val="20"/>
                <w:szCs w:val="20"/>
                <w:lang w:val="es-MX" w:eastAsia="es-MX"/>
              </w:rPr>
            </w:pPr>
            <w:r>
              <w:rPr>
                <w:color w:val="000000"/>
                <w:sz w:val="20"/>
                <w:szCs w:val="20"/>
                <w:lang w:val="es-MX" w:eastAsia="es-MX"/>
              </w:rPr>
              <w:t>9,461,836,535.00</w:t>
            </w:r>
          </w:p>
        </w:tc>
        <w:tc>
          <w:tcPr>
            <w:tcW w:w="1770" w:type="dxa"/>
            <w:tcBorders>
              <w:top w:val="nil"/>
              <w:left w:val="nil"/>
              <w:bottom w:val="single" w:sz="4" w:space="0" w:color="auto"/>
              <w:right w:val="single" w:sz="4" w:space="0" w:color="auto"/>
            </w:tcBorders>
            <w:noWrap/>
            <w:vAlign w:val="center"/>
            <w:hideMark/>
          </w:tcPr>
          <w:p w14:paraId="0E2B5425" w14:textId="77777777" w:rsidR="004D7917" w:rsidRDefault="004D7917" w:rsidP="00AB35C5">
            <w:pPr>
              <w:spacing w:line="256" w:lineRule="auto"/>
              <w:jc w:val="right"/>
              <w:rPr>
                <w:color w:val="000000"/>
                <w:sz w:val="20"/>
                <w:szCs w:val="20"/>
                <w:lang w:val="es-MX" w:eastAsia="es-MX"/>
              </w:rPr>
            </w:pPr>
            <w:r>
              <w:rPr>
                <w:color w:val="000000"/>
                <w:sz w:val="20"/>
                <w:szCs w:val="20"/>
                <w:lang w:val="es-MX" w:eastAsia="es-MX"/>
              </w:rPr>
              <w:t>1,002,554,311.00</w:t>
            </w:r>
          </w:p>
        </w:tc>
        <w:tc>
          <w:tcPr>
            <w:tcW w:w="698" w:type="dxa"/>
            <w:tcBorders>
              <w:top w:val="nil"/>
              <w:left w:val="nil"/>
              <w:bottom w:val="single" w:sz="4" w:space="0" w:color="auto"/>
              <w:right w:val="single" w:sz="4" w:space="0" w:color="auto"/>
            </w:tcBorders>
            <w:noWrap/>
            <w:vAlign w:val="center"/>
            <w:hideMark/>
          </w:tcPr>
          <w:p w14:paraId="2F47CD1C" w14:textId="77777777" w:rsidR="004D7917" w:rsidRDefault="004D7917" w:rsidP="00AB35C5">
            <w:pPr>
              <w:spacing w:line="256" w:lineRule="auto"/>
              <w:jc w:val="center"/>
              <w:rPr>
                <w:color w:val="000000"/>
                <w:sz w:val="20"/>
                <w:szCs w:val="20"/>
                <w:lang w:val="es-MX" w:eastAsia="es-MX"/>
              </w:rPr>
            </w:pPr>
            <w:r>
              <w:rPr>
                <w:color w:val="000000"/>
                <w:sz w:val="20"/>
                <w:szCs w:val="20"/>
                <w:lang w:val="es-MX" w:eastAsia="es-MX"/>
              </w:rPr>
              <w:t>11.9</w:t>
            </w:r>
          </w:p>
        </w:tc>
      </w:tr>
      <w:tr w:rsidR="004D7917" w14:paraId="5F714477" w14:textId="77777777" w:rsidTr="00AB35C5">
        <w:trPr>
          <w:trHeight w:val="437"/>
          <w:jc w:val="center"/>
        </w:trPr>
        <w:tc>
          <w:tcPr>
            <w:tcW w:w="1720" w:type="dxa"/>
            <w:tcBorders>
              <w:top w:val="nil"/>
              <w:left w:val="single" w:sz="4" w:space="0" w:color="auto"/>
              <w:bottom w:val="single" w:sz="4" w:space="0" w:color="auto"/>
              <w:right w:val="single" w:sz="4" w:space="0" w:color="auto"/>
            </w:tcBorders>
            <w:vAlign w:val="center"/>
            <w:hideMark/>
          </w:tcPr>
          <w:p w14:paraId="09D15785" w14:textId="77777777" w:rsidR="004D7917" w:rsidRDefault="004D7917" w:rsidP="00AB35C5">
            <w:pPr>
              <w:spacing w:line="256" w:lineRule="auto"/>
              <w:rPr>
                <w:sz w:val="20"/>
                <w:szCs w:val="20"/>
              </w:rPr>
            </w:pPr>
            <w:r>
              <w:rPr>
                <w:sz w:val="20"/>
                <w:szCs w:val="20"/>
              </w:rPr>
              <w:t>Salud</w:t>
            </w:r>
          </w:p>
        </w:tc>
        <w:tc>
          <w:tcPr>
            <w:tcW w:w="1660" w:type="dxa"/>
            <w:tcBorders>
              <w:top w:val="nil"/>
              <w:left w:val="nil"/>
              <w:bottom w:val="single" w:sz="4" w:space="0" w:color="auto"/>
              <w:right w:val="single" w:sz="4" w:space="0" w:color="auto"/>
            </w:tcBorders>
            <w:noWrap/>
            <w:vAlign w:val="center"/>
            <w:hideMark/>
          </w:tcPr>
          <w:p w14:paraId="3F173DD7" w14:textId="77777777" w:rsidR="004D7917" w:rsidRDefault="004D7917" w:rsidP="00AB35C5">
            <w:pPr>
              <w:spacing w:line="256" w:lineRule="auto"/>
              <w:jc w:val="right"/>
              <w:rPr>
                <w:color w:val="000000"/>
                <w:sz w:val="20"/>
                <w:szCs w:val="20"/>
                <w:lang w:val="es-MX" w:eastAsia="es-MX"/>
              </w:rPr>
            </w:pPr>
            <w:r>
              <w:rPr>
                <w:color w:val="000000"/>
                <w:sz w:val="20"/>
                <w:szCs w:val="20"/>
                <w:lang w:eastAsia="es-MX"/>
              </w:rPr>
              <w:t>2,821,859,990.00</w:t>
            </w:r>
          </w:p>
        </w:tc>
        <w:tc>
          <w:tcPr>
            <w:tcW w:w="1660" w:type="dxa"/>
            <w:tcBorders>
              <w:top w:val="nil"/>
              <w:left w:val="nil"/>
              <w:bottom w:val="single" w:sz="4" w:space="0" w:color="auto"/>
              <w:right w:val="single" w:sz="4" w:space="0" w:color="auto"/>
            </w:tcBorders>
            <w:noWrap/>
            <w:vAlign w:val="center"/>
            <w:hideMark/>
          </w:tcPr>
          <w:p w14:paraId="79AC479B" w14:textId="77777777" w:rsidR="004D7917" w:rsidRDefault="004D7917" w:rsidP="00AB35C5">
            <w:pPr>
              <w:spacing w:line="256" w:lineRule="auto"/>
              <w:jc w:val="right"/>
              <w:rPr>
                <w:color w:val="000000"/>
                <w:sz w:val="20"/>
                <w:szCs w:val="20"/>
                <w:lang w:val="es-MX" w:eastAsia="es-MX"/>
              </w:rPr>
            </w:pPr>
            <w:r>
              <w:rPr>
                <w:color w:val="000000"/>
                <w:sz w:val="20"/>
                <w:szCs w:val="20"/>
                <w:lang w:val="es-MX" w:eastAsia="es-MX"/>
              </w:rPr>
              <w:t>3,066,391,108.00</w:t>
            </w:r>
          </w:p>
        </w:tc>
        <w:tc>
          <w:tcPr>
            <w:tcW w:w="1770" w:type="dxa"/>
            <w:tcBorders>
              <w:top w:val="nil"/>
              <w:left w:val="nil"/>
              <w:bottom w:val="single" w:sz="4" w:space="0" w:color="auto"/>
              <w:right w:val="single" w:sz="4" w:space="0" w:color="auto"/>
            </w:tcBorders>
            <w:noWrap/>
            <w:vAlign w:val="center"/>
            <w:hideMark/>
          </w:tcPr>
          <w:p w14:paraId="6143F1BA" w14:textId="77777777" w:rsidR="004D7917" w:rsidRDefault="004D7917" w:rsidP="00AB35C5">
            <w:pPr>
              <w:spacing w:line="256" w:lineRule="auto"/>
              <w:jc w:val="right"/>
              <w:rPr>
                <w:color w:val="000000"/>
                <w:sz w:val="20"/>
                <w:szCs w:val="20"/>
                <w:lang w:val="es-MX" w:eastAsia="es-MX"/>
              </w:rPr>
            </w:pPr>
            <w:r>
              <w:rPr>
                <w:color w:val="000000"/>
                <w:sz w:val="20"/>
                <w:szCs w:val="20"/>
                <w:lang w:val="es-MX" w:eastAsia="es-MX"/>
              </w:rPr>
              <w:t>244,531,118.00</w:t>
            </w:r>
          </w:p>
        </w:tc>
        <w:tc>
          <w:tcPr>
            <w:tcW w:w="698" w:type="dxa"/>
            <w:tcBorders>
              <w:top w:val="nil"/>
              <w:left w:val="nil"/>
              <w:bottom w:val="single" w:sz="4" w:space="0" w:color="auto"/>
              <w:right w:val="single" w:sz="4" w:space="0" w:color="auto"/>
            </w:tcBorders>
            <w:noWrap/>
            <w:vAlign w:val="center"/>
            <w:hideMark/>
          </w:tcPr>
          <w:p w14:paraId="069D667C" w14:textId="77777777" w:rsidR="004D7917" w:rsidRDefault="004D7917" w:rsidP="00AB35C5">
            <w:pPr>
              <w:spacing w:line="256" w:lineRule="auto"/>
              <w:jc w:val="center"/>
              <w:rPr>
                <w:color w:val="000000"/>
                <w:sz w:val="20"/>
                <w:szCs w:val="20"/>
                <w:lang w:val="es-MX" w:eastAsia="es-MX"/>
              </w:rPr>
            </w:pPr>
            <w:r>
              <w:rPr>
                <w:color w:val="000000"/>
                <w:sz w:val="20"/>
                <w:szCs w:val="20"/>
                <w:lang w:val="es-MX" w:eastAsia="es-MX"/>
              </w:rPr>
              <w:t>8.7</w:t>
            </w:r>
          </w:p>
        </w:tc>
      </w:tr>
      <w:tr w:rsidR="004D7917" w14:paraId="7146761B" w14:textId="77777777" w:rsidTr="00AB35C5">
        <w:trPr>
          <w:trHeight w:val="513"/>
          <w:jc w:val="center"/>
        </w:trPr>
        <w:tc>
          <w:tcPr>
            <w:tcW w:w="1720" w:type="dxa"/>
            <w:tcBorders>
              <w:top w:val="nil"/>
              <w:left w:val="single" w:sz="4" w:space="0" w:color="auto"/>
              <w:bottom w:val="single" w:sz="4" w:space="0" w:color="auto"/>
              <w:right w:val="single" w:sz="4" w:space="0" w:color="auto"/>
            </w:tcBorders>
            <w:vAlign w:val="center"/>
            <w:hideMark/>
          </w:tcPr>
          <w:p w14:paraId="175C6386" w14:textId="77777777" w:rsidR="004D7917" w:rsidRDefault="004D7917" w:rsidP="00AB35C5">
            <w:pPr>
              <w:spacing w:line="256" w:lineRule="auto"/>
              <w:rPr>
                <w:sz w:val="20"/>
                <w:szCs w:val="20"/>
              </w:rPr>
            </w:pPr>
            <w:r>
              <w:rPr>
                <w:sz w:val="20"/>
                <w:szCs w:val="20"/>
              </w:rPr>
              <w:t>Gasto Social</w:t>
            </w:r>
          </w:p>
        </w:tc>
        <w:tc>
          <w:tcPr>
            <w:tcW w:w="1660" w:type="dxa"/>
            <w:tcBorders>
              <w:top w:val="nil"/>
              <w:left w:val="nil"/>
              <w:bottom w:val="single" w:sz="4" w:space="0" w:color="auto"/>
              <w:right w:val="single" w:sz="4" w:space="0" w:color="auto"/>
            </w:tcBorders>
            <w:noWrap/>
            <w:vAlign w:val="center"/>
            <w:hideMark/>
          </w:tcPr>
          <w:p w14:paraId="4E62BA6F" w14:textId="77777777" w:rsidR="004D7917" w:rsidRDefault="004D7917" w:rsidP="00AB35C5">
            <w:pPr>
              <w:spacing w:line="256" w:lineRule="auto"/>
              <w:jc w:val="right"/>
              <w:rPr>
                <w:color w:val="000000"/>
                <w:sz w:val="20"/>
                <w:szCs w:val="20"/>
                <w:lang w:val="es-MX" w:eastAsia="es-MX"/>
              </w:rPr>
            </w:pPr>
            <w:r>
              <w:rPr>
                <w:color w:val="000000"/>
                <w:sz w:val="20"/>
                <w:szCs w:val="20"/>
                <w:lang w:eastAsia="es-MX"/>
              </w:rPr>
              <w:t>2,879,553,051.00</w:t>
            </w:r>
          </w:p>
        </w:tc>
        <w:tc>
          <w:tcPr>
            <w:tcW w:w="1660" w:type="dxa"/>
            <w:tcBorders>
              <w:top w:val="nil"/>
              <w:left w:val="nil"/>
              <w:bottom w:val="single" w:sz="4" w:space="0" w:color="auto"/>
              <w:right w:val="single" w:sz="4" w:space="0" w:color="auto"/>
            </w:tcBorders>
            <w:noWrap/>
            <w:vAlign w:val="center"/>
            <w:hideMark/>
          </w:tcPr>
          <w:p w14:paraId="3C971B5A" w14:textId="77777777" w:rsidR="004D7917" w:rsidRDefault="004D7917" w:rsidP="00AB35C5">
            <w:pPr>
              <w:spacing w:line="256" w:lineRule="auto"/>
              <w:jc w:val="right"/>
              <w:rPr>
                <w:color w:val="000000"/>
                <w:sz w:val="20"/>
                <w:szCs w:val="20"/>
                <w:lang w:val="es-MX" w:eastAsia="es-MX"/>
              </w:rPr>
            </w:pPr>
            <w:r>
              <w:rPr>
                <w:color w:val="000000"/>
                <w:sz w:val="20"/>
                <w:szCs w:val="20"/>
                <w:lang w:val="es-MX" w:eastAsia="es-MX"/>
              </w:rPr>
              <w:t>3,166,550,869.00</w:t>
            </w:r>
          </w:p>
        </w:tc>
        <w:tc>
          <w:tcPr>
            <w:tcW w:w="1770" w:type="dxa"/>
            <w:tcBorders>
              <w:top w:val="nil"/>
              <w:left w:val="nil"/>
              <w:bottom w:val="single" w:sz="4" w:space="0" w:color="auto"/>
              <w:right w:val="single" w:sz="4" w:space="0" w:color="auto"/>
            </w:tcBorders>
            <w:noWrap/>
            <w:vAlign w:val="center"/>
            <w:hideMark/>
          </w:tcPr>
          <w:p w14:paraId="0C011C2C" w14:textId="77777777" w:rsidR="004D7917" w:rsidRDefault="004D7917" w:rsidP="00AB35C5">
            <w:pPr>
              <w:spacing w:line="256" w:lineRule="auto"/>
              <w:jc w:val="right"/>
              <w:rPr>
                <w:color w:val="000000"/>
                <w:sz w:val="20"/>
                <w:szCs w:val="20"/>
                <w:lang w:val="es-MX" w:eastAsia="es-MX"/>
              </w:rPr>
            </w:pPr>
            <w:r>
              <w:rPr>
                <w:color w:val="000000"/>
                <w:sz w:val="20"/>
                <w:szCs w:val="20"/>
                <w:lang w:val="es-MX" w:eastAsia="es-MX"/>
              </w:rPr>
              <w:t>286,997,818.00</w:t>
            </w:r>
          </w:p>
        </w:tc>
        <w:tc>
          <w:tcPr>
            <w:tcW w:w="698" w:type="dxa"/>
            <w:tcBorders>
              <w:top w:val="nil"/>
              <w:left w:val="nil"/>
              <w:bottom w:val="single" w:sz="4" w:space="0" w:color="auto"/>
              <w:right w:val="single" w:sz="4" w:space="0" w:color="auto"/>
            </w:tcBorders>
            <w:noWrap/>
            <w:vAlign w:val="center"/>
            <w:hideMark/>
          </w:tcPr>
          <w:p w14:paraId="21A27A9C" w14:textId="77777777" w:rsidR="004D7917" w:rsidRDefault="004D7917" w:rsidP="00AB35C5">
            <w:pPr>
              <w:spacing w:line="256" w:lineRule="auto"/>
              <w:jc w:val="center"/>
              <w:rPr>
                <w:color w:val="000000"/>
                <w:sz w:val="20"/>
                <w:szCs w:val="20"/>
                <w:lang w:val="es-MX" w:eastAsia="es-MX"/>
              </w:rPr>
            </w:pPr>
            <w:r>
              <w:rPr>
                <w:color w:val="000000"/>
                <w:sz w:val="20"/>
                <w:szCs w:val="20"/>
                <w:lang w:val="es-MX" w:eastAsia="es-MX"/>
              </w:rPr>
              <w:t>10.0</w:t>
            </w:r>
          </w:p>
        </w:tc>
      </w:tr>
      <w:tr w:rsidR="004D7917" w14:paraId="13E16E02" w14:textId="77777777" w:rsidTr="00AB35C5">
        <w:trPr>
          <w:trHeight w:val="525"/>
          <w:jc w:val="center"/>
        </w:trPr>
        <w:tc>
          <w:tcPr>
            <w:tcW w:w="1720" w:type="dxa"/>
            <w:tcBorders>
              <w:top w:val="nil"/>
              <w:left w:val="single" w:sz="4" w:space="0" w:color="auto"/>
              <w:bottom w:val="single" w:sz="4" w:space="0" w:color="auto"/>
              <w:right w:val="single" w:sz="4" w:space="0" w:color="auto"/>
            </w:tcBorders>
            <w:vAlign w:val="center"/>
            <w:hideMark/>
          </w:tcPr>
          <w:p w14:paraId="372DD5EE" w14:textId="77777777" w:rsidR="004D7917" w:rsidRDefault="004D7917" w:rsidP="00AB35C5">
            <w:pPr>
              <w:spacing w:line="256" w:lineRule="auto"/>
              <w:rPr>
                <w:sz w:val="20"/>
                <w:szCs w:val="20"/>
              </w:rPr>
            </w:pPr>
            <w:r>
              <w:rPr>
                <w:sz w:val="20"/>
                <w:szCs w:val="20"/>
              </w:rPr>
              <w:t>Gobierno y Seguridad</w:t>
            </w:r>
          </w:p>
        </w:tc>
        <w:tc>
          <w:tcPr>
            <w:tcW w:w="1660" w:type="dxa"/>
            <w:tcBorders>
              <w:top w:val="nil"/>
              <w:left w:val="nil"/>
              <w:bottom w:val="single" w:sz="4" w:space="0" w:color="auto"/>
              <w:right w:val="single" w:sz="4" w:space="0" w:color="auto"/>
            </w:tcBorders>
            <w:noWrap/>
            <w:vAlign w:val="center"/>
            <w:hideMark/>
          </w:tcPr>
          <w:p w14:paraId="7474E97E" w14:textId="77777777" w:rsidR="004D7917" w:rsidRDefault="004D7917" w:rsidP="00AB35C5">
            <w:pPr>
              <w:spacing w:line="256" w:lineRule="auto"/>
              <w:jc w:val="right"/>
              <w:rPr>
                <w:color w:val="000000"/>
                <w:sz w:val="20"/>
                <w:szCs w:val="20"/>
                <w:lang w:val="es-MX" w:eastAsia="es-MX"/>
              </w:rPr>
            </w:pPr>
            <w:r>
              <w:rPr>
                <w:color w:val="000000"/>
                <w:sz w:val="20"/>
                <w:szCs w:val="20"/>
                <w:lang w:eastAsia="es-MX"/>
              </w:rPr>
              <w:t>1,946,931,829.00</w:t>
            </w:r>
          </w:p>
        </w:tc>
        <w:tc>
          <w:tcPr>
            <w:tcW w:w="1660" w:type="dxa"/>
            <w:tcBorders>
              <w:top w:val="nil"/>
              <w:left w:val="nil"/>
              <w:bottom w:val="single" w:sz="4" w:space="0" w:color="auto"/>
              <w:right w:val="single" w:sz="4" w:space="0" w:color="auto"/>
            </w:tcBorders>
            <w:noWrap/>
            <w:vAlign w:val="center"/>
            <w:hideMark/>
          </w:tcPr>
          <w:p w14:paraId="442E8567" w14:textId="77777777" w:rsidR="004D7917" w:rsidRDefault="004D7917" w:rsidP="00AB35C5">
            <w:pPr>
              <w:spacing w:line="256" w:lineRule="auto"/>
              <w:jc w:val="right"/>
              <w:rPr>
                <w:color w:val="000000"/>
                <w:sz w:val="20"/>
                <w:szCs w:val="20"/>
                <w:lang w:val="es-MX" w:eastAsia="es-MX"/>
              </w:rPr>
            </w:pPr>
            <w:r>
              <w:rPr>
                <w:color w:val="000000"/>
                <w:sz w:val="20"/>
                <w:szCs w:val="20"/>
                <w:lang w:val="es-MX" w:eastAsia="es-MX"/>
              </w:rPr>
              <w:t>1,970,467,104.00</w:t>
            </w:r>
          </w:p>
        </w:tc>
        <w:tc>
          <w:tcPr>
            <w:tcW w:w="1770" w:type="dxa"/>
            <w:tcBorders>
              <w:top w:val="nil"/>
              <w:left w:val="nil"/>
              <w:bottom w:val="single" w:sz="4" w:space="0" w:color="auto"/>
              <w:right w:val="single" w:sz="4" w:space="0" w:color="auto"/>
            </w:tcBorders>
            <w:noWrap/>
            <w:vAlign w:val="center"/>
            <w:hideMark/>
          </w:tcPr>
          <w:p w14:paraId="47C0995C" w14:textId="77777777" w:rsidR="004D7917" w:rsidRDefault="004D7917" w:rsidP="00AB35C5">
            <w:pPr>
              <w:spacing w:line="256" w:lineRule="auto"/>
              <w:jc w:val="right"/>
              <w:rPr>
                <w:color w:val="000000"/>
                <w:sz w:val="20"/>
                <w:szCs w:val="20"/>
                <w:lang w:val="es-MX" w:eastAsia="es-MX"/>
              </w:rPr>
            </w:pPr>
            <w:r>
              <w:rPr>
                <w:color w:val="000000"/>
                <w:sz w:val="20"/>
                <w:szCs w:val="20"/>
                <w:lang w:val="es-MX" w:eastAsia="es-MX"/>
              </w:rPr>
              <w:t>23,535,275.00</w:t>
            </w:r>
          </w:p>
        </w:tc>
        <w:tc>
          <w:tcPr>
            <w:tcW w:w="698" w:type="dxa"/>
            <w:tcBorders>
              <w:top w:val="nil"/>
              <w:left w:val="nil"/>
              <w:bottom w:val="single" w:sz="4" w:space="0" w:color="auto"/>
              <w:right w:val="single" w:sz="4" w:space="0" w:color="auto"/>
            </w:tcBorders>
            <w:noWrap/>
            <w:vAlign w:val="center"/>
            <w:hideMark/>
          </w:tcPr>
          <w:p w14:paraId="42C82933" w14:textId="77777777" w:rsidR="004D7917" w:rsidRDefault="004D7917" w:rsidP="00AB35C5">
            <w:pPr>
              <w:spacing w:line="256" w:lineRule="auto"/>
              <w:jc w:val="center"/>
              <w:rPr>
                <w:color w:val="000000"/>
                <w:sz w:val="20"/>
                <w:szCs w:val="20"/>
                <w:lang w:val="es-MX" w:eastAsia="es-MX"/>
              </w:rPr>
            </w:pPr>
            <w:r>
              <w:rPr>
                <w:color w:val="000000"/>
                <w:sz w:val="20"/>
                <w:szCs w:val="20"/>
                <w:lang w:val="es-MX" w:eastAsia="es-MX"/>
              </w:rPr>
              <w:t>1.2</w:t>
            </w:r>
          </w:p>
        </w:tc>
      </w:tr>
      <w:tr w:rsidR="004D7917" w14:paraId="677A6602" w14:textId="77777777" w:rsidTr="00AB35C5">
        <w:trPr>
          <w:trHeight w:val="390"/>
          <w:jc w:val="center"/>
        </w:trPr>
        <w:tc>
          <w:tcPr>
            <w:tcW w:w="1720" w:type="dxa"/>
            <w:tcBorders>
              <w:top w:val="nil"/>
              <w:left w:val="single" w:sz="4" w:space="0" w:color="auto"/>
              <w:bottom w:val="single" w:sz="4" w:space="0" w:color="auto"/>
              <w:right w:val="single" w:sz="4" w:space="0" w:color="auto"/>
            </w:tcBorders>
            <w:vAlign w:val="center"/>
            <w:hideMark/>
          </w:tcPr>
          <w:p w14:paraId="4A460C75" w14:textId="77777777" w:rsidR="004D7917" w:rsidRDefault="004D7917" w:rsidP="00AB35C5">
            <w:pPr>
              <w:spacing w:line="256" w:lineRule="auto"/>
              <w:rPr>
                <w:sz w:val="20"/>
                <w:szCs w:val="20"/>
              </w:rPr>
            </w:pPr>
            <w:r>
              <w:rPr>
                <w:sz w:val="20"/>
                <w:szCs w:val="20"/>
              </w:rPr>
              <w:t>Economía y Turismo</w:t>
            </w:r>
          </w:p>
        </w:tc>
        <w:tc>
          <w:tcPr>
            <w:tcW w:w="1660" w:type="dxa"/>
            <w:tcBorders>
              <w:top w:val="nil"/>
              <w:left w:val="nil"/>
              <w:bottom w:val="single" w:sz="4" w:space="0" w:color="auto"/>
              <w:right w:val="single" w:sz="4" w:space="0" w:color="auto"/>
            </w:tcBorders>
            <w:noWrap/>
            <w:vAlign w:val="center"/>
            <w:hideMark/>
          </w:tcPr>
          <w:p w14:paraId="7C58B426" w14:textId="77777777" w:rsidR="004D7917" w:rsidRDefault="004D7917" w:rsidP="00AB35C5">
            <w:pPr>
              <w:spacing w:line="256" w:lineRule="auto"/>
              <w:jc w:val="right"/>
              <w:rPr>
                <w:color w:val="000000"/>
                <w:sz w:val="20"/>
                <w:szCs w:val="20"/>
                <w:lang w:val="es-MX" w:eastAsia="es-MX"/>
              </w:rPr>
            </w:pPr>
            <w:r>
              <w:rPr>
                <w:color w:val="000000"/>
                <w:sz w:val="20"/>
                <w:szCs w:val="20"/>
                <w:lang w:eastAsia="es-MX"/>
              </w:rPr>
              <w:t>252,980,636.00</w:t>
            </w:r>
          </w:p>
        </w:tc>
        <w:tc>
          <w:tcPr>
            <w:tcW w:w="1660" w:type="dxa"/>
            <w:tcBorders>
              <w:top w:val="nil"/>
              <w:left w:val="nil"/>
              <w:bottom w:val="single" w:sz="4" w:space="0" w:color="auto"/>
              <w:right w:val="single" w:sz="4" w:space="0" w:color="auto"/>
            </w:tcBorders>
            <w:noWrap/>
            <w:vAlign w:val="center"/>
            <w:hideMark/>
          </w:tcPr>
          <w:p w14:paraId="7204193A" w14:textId="77777777" w:rsidR="004D7917" w:rsidRDefault="004D7917" w:rsidP="00AB35C5">
            <w:pPr>
              <w:spacing w:line="256" w:lineRule="auto"/>
              <w:jc w:val="right"/>
              <w:rPr>
                <w:color w:val="000000"/>
                <w:sz w:val="20"/>
                <w:szCs w:val="20"/>
                <w:lang w:val="es-MX" w:eastAsia="es-MX"/>
              </w:rPr>
            </w:pPr>
            <w:r>
              <w:rPr>
                <w:color w:val="000000"/>
                <w:sz w:val="20"/>
                <w:szCs w:val="20"/>
                <w:lang w:val="es-MX" w:eastAsia="es-MX"/>
              </w:rPr>
              <w:t>400,953,967.00</w:t>
            </w:r>
          </w:p>
        </w:tc>
        <w:tc>
          <w:tcPr>
            <w:tcW w:w="1770" w:type="dxa"/>
            <w:tcBorders>
              <w:top w:val="nil"/>
              <w:left w:val="nil"/>
              <w:bottom w:val="single" w:sz="4" w:space="0" w:color="auto"/>
              <w:right w:val="single" w:sz="4" w:space="0" w:color="auto"/>
            </w:tcBorders>
            <w:noWrap/>
            <w:vAlign w:val="center"/>
            <w:hideMark/>
          </w:tcPr>
          <w:p w14:paraId="2248B6FD" w14:textId="77777777" w:rsidR="004D7917" w:rsidRDefault="004D7917" w:rsidP="00AB35C5">
            <w:pPr>
              <w:spacing w:line="256" w:lineRule="auto"/>
              <w:jc w:val="right"/>
              <w:rPr>
                <w:color w:val="000000"/>
                <w:sz w:val="20"/>
                <w:szCs w:val="20"/>
                <w:lang w:val="es-MX" w:eastAsia="es-MX"/>
              </w:rPr>
            </w:pPr>
            <w:r>
              <w:rPr>
                <w:color w:val="000000"/>
                <w:sz w:val="20"/>
                <w:szCs w:val="20"/>
                <w:lang w:val="es-MX" w:eastAsia="es-MX"/>
              </w:rPr>
              <w:t>147,973,331.00</w:t>
            </w:r>
          </w:p>
        </w:tc>
        <w:tc>
          <w:tcPr>
            <w:tcW w:w="698" w:type="dxa"/>
            <w:tcBorders>
              <w:top w:val="nil"/>
              <w:left w:val="nil"/>
              <w:bottom w:val="single" w:sz="4" w:space="0" w:color="auto"/>
              <w:right w:val="single" w:sz="4" w:space="0" w:color="auto"/>
            </w:tcBorders>
            <w:noWrap/>
            <w:vAlign w:val="center"/>
            <w:hideMark/>
          </w:tcPr>
          <w:p w14:paraId="5AA0D78F" w14:textId="77777777" w:rsidR="004D7917" w:rsidRDefault="004D7917" w:rsidP="00AB35C5">
            <w:pPr>
              <w:spacing w:line="256" w:lineRule="auto"/>
              <w:jc w:val="center"/>
              <w:rPr>
                <w:color w:val="000000"/>
                <w:sz w:val="20"/>
                <w:szCs w:val="20"/>
                <w:lang w:val="es-MX" w:eastAsia="es-MX"/>
              </w:rPr>
            </w:pPr>
            <w:r>
              <w:rPr>
                <w:color w:val="000000"/>
                <w:sz w:val="20"/>
                <w:szCs w:val="20"/>
                <w:lang w:val="es-MX" w:eastAsia="es-MX"/>
              </w:rPr>
              <w:t>58.5</w:t>
            </w:r>
          </w:p>
        </w:tc>
      </w:tr>
      <w:tr w:rsidR="004D7917" w14:paraId="2E7ED45B" w14:textId="77777777" w:rsidTr="00AB35C5">
        <w:trPr>
          <w:trHeight w:val="300"/>
          <w:jc w:val="center"/>
        </w:trPr>
        <w:tc>
          <w:tcPr>
            <w:tcW w:w="1720" w:type="dxa"/>
            <w:tcBorders>
              <w:top w:val="nil"/>
              <w:left w:val="single" w:sz="4" w:space="0" w:color="auto"/>
              <w:bottom w:val="single" w:sz="4" w:space="0" w:color="auto"/>
              <w:right w:val="single" w:sz="4" w:space="0" w:color="auto"/>
            </w:tcBorders>
            <w:vAlign w:val="center"/>
            <w:hideMark/>
          </w:tcPr>
          <w:p w14:paraId="5DA84B7E" w14:textId="77777777" w:rsidR="004D7917" w:rsidRDefault="004D7917" w:rsidP="00AB35C5">
            <w:pPr>
              <w:spacing w:line="256" w:lineRule="auto"/>
              <w:rPr>
                <w:sz w:val="20"/>
                <w:szCs w:val="20"/>
              </w:rPr>
            </w:pPr>
            <w:r>
              <w:rPr>
                <w:sz w:val="20"/>
                <w:szCs w:val="20"/>
              </w:rPr>
              <w:t>Administración</w:t>
            </w:r>
          </w:p>
        </w:tc>
        <w:tc>
          <w:tcPr>
            <w:tcW w:w="1660" w:type="dxa"/>
            <w:tcBorders>
              <w:top w:val="nil"/>
              <w:left w:val="nil"/>
              <w:bottom w:val="single" w:sz="4" w:space="0" w:color="auto"/>
              <w:right w:val="single" w:sz="4" w:space="0" w:color="auto"/>
            </w:tcBorders>
            <w:noWrap/>
            <w:vAlign w:val="center"/>
            <w:hideMark/>
          </w:tcPr>
          <w:p w14:paraId="1C6508C7" w14:textId="77777777" w:rsidR="004D7917" w:rsidRDefault="004D7917" w:rsidP="00AB35C5">
            <w:pPr>
              <w:spacing w:line="256" w:lineRule="auto"/>
              <w:jc w:val="right"/>
              <w:rPr>
                <w:color w:val="000000"/>
                <w:sz w:val="20"/>
                <w:szCs w:val="20"/>
                <w:lang w:val="es-MX" w:eastAsia="es-MX"/>
              </w:rPr>
            </w:pPr>
            <w:r>
              <w:rPr>
                <w:color w:val="000000"/>
                <w:sz w:val="20"/>
                <w:szCs w:val="20"/>
                <w:lang w:eastAsia="es-MX"/>
              </w:rPr>
              <w:t>768,427,248.00</w:t>
            </w:r>
          </w:p>
        </w:tc>
        <w:tc>
          <w:tcPr>
            <w:tcW w:w="1660" w:type="dxa"/>
            <w:tcBorders>
              <w:top w:val="nil"/>
              <w:left w:val="nil"/>
              <w:bottom w:val="single" w:sz="4" w:space="0" w:color="auto"/>
              <w:right w:val="single" w:sz="4" w:space="0" w:color="auto"/>
            </w:tcBorders>
            <w:noWrap/>
            <w:vAlign w:val="center"/>
            <w:hideMark/>
          </w:tcPr>
          <w:p w14:paraId="6B0E7243" w14:textId="77777777" w:rsidR="004D7917" w:rsidRDefault="004D7917" w:rsidP="00AB35C5">
            <w:pPr>
              <w:spacing w:line="256" w:lineRule="auto"/>
              <w:jc w:val="right"/>
              <w:rPr>
                <w:color w:val="000000"/>
                <w:sz w:val="20"/>
                <w:szCs w:val="20"/>
                <w:lang w:val="es-MX" w:eastAsia="es-MX"/>
              </w:rPr>
            </w:pPr>
            <w:r>
              <w:rPr>
                <w:color w:val="000000"/>
                <w:sz w:val="20"/>
                <w:szCs w:val="20"/>
                <w:lang w:val="es-MX" w:eastAsia="es-MX"/>
              </w:rPr>
              <w:t>1,196,049,199.00</w:t>
            </w:r>
          </w:p>
        </w:tc>
        <w:tc>
          <w:tcPr>
            <w:tcW w:w="1770" w:type="dxa"/>
            <w:tcBorders>
              <w:top w:val="nil"/>
              <w:left w:val="nil"/>
              <w:bottom w:val="single" w:sz="4" w:space="0" w:color="auto"/>
              <w:right w:val="single" w:sz="4" w:space="0" w:color="auto"/>
            </w:tcBorders>
            <w:noWrap/>
            <w:vAlign w:val="center"/>
            <w:hideMark/>
          </w:tcPr>
          <w:p w14:paraId="2442687B" w14:textId="77777777" w:rsidR="004D7917" w:rsidRDefault="004D7917" w:rsidP="00AB35C5">
            <w:pPr>
              <w:spacing w:line="256" w:lineRule="auto"/>
              <w:jc w:val="right"/>
              <w:rPr>
                <w:color w:val="000000"/>
                <w:sz w:val="20"/>
                <w:szCs w:val="20"/>
                <w:lang w:val="es-MX" w:eastAsia="es-MX"/>
              </w:rPr>
            </w:pPr>
            <w:r>
              <w:rPr>
                <w:color w:val="000000"/>
                <w:sz w:val="20"/>
                <w:szCs w:val="20"/>
                <w:lang w:val="es-MX" w:eastAsia="es-MX"/>
              </w:rPr>
              <w:t>427,621,951.00</w:t>
            </w:r>
          </w:p>
        </w:tc>
        <w:tc>
          <w:tcPr>
            <w:tcW w:w="698" w:type="dxa"/>
            <w:tcBorders>
              <w:top w:val="nil"/>
              <w:left w:val="nil"/>
              <w:bottom w:val="single" w:sz="4" w:space="0" w:color="auto"/>
              <w:right w:val="single" w:sz="4" w:space="0" w:color="auto"/>
            </w:tcBorders>
            <w:noWrap/>
            <w:vAlign w:val="center"/>
            <w:hideMark/>
          </w:tcPr>
          <w:p w14:paraId="22AEFF24" w14:textId="77777777" w:rsidR="004D7917" w:rsidRDefault="004D7917" w:rsidP="00AB35C5">
            <w:pPr>
              <w:spacing w:line="256" w:lineRule="auto"/>
              <w:jc w:val="center"/>
              <w:rPr>
                <w:color w:val="000000"/>
                <w:sz w:val="20"/>
                <w:szCs w:val="20"/>
                <w:lang w:val="es-MX" w:eastAsia="es-MX"/>
              </w:rPr>
            </w:pPr>
            <w:r>
              <w:rPr>
                <w:color w:val="000000"/>
                <w:sz w:val="20"/>
                <w:szCs w:val="20"/>
                <w:lang w:val="es-MX" w:eastAsia="es-MX"/>
              </w:rPr>
              <w:t>55.6</w:t>
            </w:r>
          </w:p>
        </w:tc>
      </w:tr>
      <w:tr w:rsidR="004D7917" w14:paraId="6B312C3C" w14:textId="77777777" w:rsidTr="00AB35C5">
        <w:trPr>
          <w:trHeight w:val="300"/>
          <w:jc w:val="center"/>
        </w:trPr>
        <w:tc>
          <w:tcPr>
            <w:tcW w:w="1720" w:type="dxa"/>
            <w:tcBorders>
              <w:top w:val="nil"/>
              <w:left w:val="single" w:sz="4" w:space="0" w:color="auto"/>
              <w:bottom w:val="single" w:sz="4" w:space="0" w:color="auto"/>
              <w:right w:val="single" w:sz="4" w:space="0" w:color="auto"/>
            </w:tcBorders>
            <w:shd w:val="clear" w:color="auto" w:fill="D9D9D9"/>
            <w:noWrap/>
            <w:vAlign w:val="center"/>
            <w:hideMark/>
          </w:tcPr>
          <w:p w14:paraId="52A57D73" w14:textId="77777777" w:rsidR="004D7917" w:rsidRDefault="004D7917" w:rsidP="00AB35C5">
            <w:pPr>
              <w:spacing w:line="256" w:lineRule="auto"/>
              <w:rPr>
                <w:b/>
                <w:bCs/>
                <w:sz w:val="20"/>
                <w:szCs w:val="20"/>
              </w:rPr>
            </w:pPr>
            <w:r>
              <w:rPr>
                <w:b/>
                <w:bCs/>
                <w:sz w:val="20"/>
                <w:szCs w:val="20"/>
              </w:rPr>
              <w:t>TOTAL</w:t>
            </w:r>
          </w:p>
        </w:tc>
        <w:tc>
          <w:tcPr>
            <w:tcW w:w="1660" w:type="dxa"/>
            <w:tcBorders>
              <w:top w:val="nil"/>
              <w:left w:val="nil"/>
              <w:bottom w:val="single" w:sz="4" w:space="0" w:color="auto"/>
              <w:right w:val="single" w:sz="4" w:space="0" w:color="auto"/>
            </w:tcBorders>
            <w:shd w:val="clear" w:color="auto" w:fill="D9D9D9"/>
            <w:noWrap/>
            <w:vAlign w:val="center"/>
            <w:hideMark/>
          </w:tcPr>
          <w:p w14:paraId="31CA8F2D" w14:textId="77777777" w:rsidR="004D7917" w:rsidRDefault="004D7917" w:rsidP="00AB35C5">
            <w:pPr>
              <w:spacing w:line="256" w:lineRule="auto"/>
              <w:jc w:val="right"/>
              <w:rPr>
                <w:b/>
                <w:bCs/>
                <w:color w:val="000000"/>
                <w:sz w:val="20"/>
                <w:szCs w:val="20"/>
                <w:lang w:val="es-MX" w:eastAsia="es-MX"/>
              </w:rPr>
            </w:pPr>
            <w:r>
              <w:rPr>
                <w:b/>
                <w:bCs/>
                <w:color w:val="000000"/>
                <w:sz w:val="20"/>
                <w:szCs w:val="20"/>
                <w:lang w:eastAsia="es-MX"/>
              </w:rPr>
              <w:t>17,309,306,931.00</w:t>
            </w:r>
          </w:p>
        </w:tc>
        <w:tc>
          <w:tcPr>
            <w:tcW w:w="1660" w:type="dxa"/>
            <w:tcBorders>
              <w:top w:val="nil"/>
              <w:left w:val="nil"/>
              <w:bottom w:val="single" w:sz="4" w:space="0" w:color="auto"/>
              <w:right w:val="single" w:sz="4" w:space="0" w:color="auto"/>
            </w:tcBorders>
            <w:shd w:val="clear" w:color="auto" w:fill="D9D9D9"/>
            <w:noWrap/>
            <w:vAlign w:val="center"/>
            <w:hideMark/>
          </w:tcPr>
          <w:p w14:paraId="42E3887D" w14:textId="77777777" w:rsidR="004D7917" w:rsidRDefault="004D7917" w:rsidP="00AB35C5">
            <w:pPr>
              <w:spacing w:line="256" w:lineRule="auto"/>
              <w:jc w:val="right"/>
              <w:rPr>
                <w:b/>
                <w:bCs/>
                <w:color w:val="000000"/>
                <w:sz w:val="20"/>
                <w:szCs w:val="20"/>
                <w:lang w:val="es-MX" w:eastAsia="es-MX"/>
              </w:rPr>
            </w:pPr>
            <w:r>
              <w:rPr>
                <w:b/>
                <w:bCs/>
                <w:color w:val="000000"/>
                <w:sz w:val="20"/>
                <w:szCs w:val="20"/>
                <w:lang w:eastAsia="es-MX"/>
              </w:rPr>
              <w:t>19,502,044,396.00</w:t>
            </w:r>
          </w:p>
        </w:tc>
        <w:tc>
          <w:tcPr>
            <w:tcW w:w="1770" w:type="dxa"/>
            <w:tcBorders>
              <w:top w:val="nil"/>
              <w:left w:val="nil"/>
              <w:bottom w:val="single" w:sz="4" w:space="0" w:color="auto"/>
              <w:right w:val="single" w:sz="4" w:space="0" w:color="auto"/>
            </w:tcBorders>
            <w:shd w:val="clear" w:color="auto" w:fill="D9D9D9"/>
            <w:noWrap/>
            <w:vAlign w:val="center"/>
            <w:hideMark/>
          </w:tcPr>
          <w:p w14:paraId="2DF806C4" w14:textId="77777777" w:rsidR="004D7917" w:rsidRDefault="004D7917" w:rsidP="00AB35C5">
            <w:pPr>
              <w:spacing w:line="256" w:lineRule="auto"/>
              <w:jc w:val="right"/>
              <w:rPr>
                <w:b/>
                <w:bCs/>
                <w:color w:val="000000"/>
                <w:sz w:val="20"/>
                <w:szCs w:val="20"/>
                <w:lang w:val="es-MX" w:eastAsia="es-MX"/>
              </w:rPr>
            </w:pPr>
            <w:r>
              <w:rPr>
                <w:b/>
                <w:bCs/>
                <w:color w:val="000000"/>
                <w:sz w:val="20"/>
                <w:szCs w:val="20"/>
                <w:lang w:val="es-MX" w:eastAsia="es-MX"/>
              </w:rPr>
              <w:t>2,192,737,465.00</w:t>
            </w:r>
          </w:p>
        </w:tc>
        <w:tc>
          <w:tcPr>
            <w:tcW w:w="698" w:type="dxa"/>
            <w:tcBorders>
              <w:top w:val="nil"/>
              <w:left w:val="nil"/>
              <w:bottom w:val="single" w:sz="4" w:space="0" w:color="auto"/>
              <w:right w:val="single" w:sz="4" w:space="0" w:color="auto"/>
            </w:tcBorders>
            <w:shd w:val="clear" w:color="auto" w:fill="D9D9D9"/>
            <w:noWrap/>
            <w:vAlign w:val="center"/>
            <w:hideMark/>
          </w:tcPr>
          <w:p w14:paraId="1F286180" w14:textId="77777777" w:rsidR="004D7917" w:rsidRDefault="004D7917" w:rsidP="00AB35C5">
            <w:pPr>
              <w:spacing w:line="256" w:lineRule="auto"/>
              <w:jc w:val="center"/>
              <w:rPr>
                <w:b/>
                <w:bCs/>
                <w:color w:val="000000"/>
                <w:sz w:val="20"/>
                <w:szCs w:val="20"/>
                <w:lang w:val="es-MX" w:eastAsia="es-MX"/>
              </w:rPr>
            </w:pPr>
            <w:r>
              <w:rPr>
                <w:b/>
                <w:bCs/>
                <w:color w:val="000000"/>
                <w:sz w:val="20"/>
                <w:szCs w:val="20"/>
                <w:lang w:val="es-MX" w:eastAsia="es-MX"/>
              </w:rPr>
              <w:t>12.7</w:t>
            </w:r>
          </w:p>
        </w:tc>
      </w:tr>
    </w:tbl>
    <w:p w14:paraId="1A9921F1" w14:textId="77777777" w:rsidR="00525B2B" w:rsidRPr="00CC0740" w:rsidRDefault="00525B2B" w:rsidP="00525B2B">
      <w:pPr>
        <w:spacing w:after="200" w:line="360" w:lineRule="auto"/>
        <w:jc w:val="both"/>
        <w:rPr>
          <w:rFonts w:eastAsia="Calibri"/>
          <w:b/>
          <w:color w:val="FF0000"/>
          <w:sz w:val="20"/>
          <w:szCs w:val="20"/>
        </w:rPr>
      </w:pPr>
    </w:p>
    <w:p w14:paraId="615DACB1" w14:textId="4592CEAA" w:rsidR="004C5D80" w:rsidRPr="006043CE" w:rsidRDefault="004C5D80" w:rsidP="004C5D80">
      <w:pPr>
        <w:spacing w:after="200" w:line="360" w:lineRule="auto"/>
        <w:jc w:val="both"/>
        <w:rPr>
          <w:rFonts w:eastAsia="Calibri"/>
          <w:sz w:val="20"/>
          <w:szCs w:val="20"/>
        </w:rPr>
      </w:pPr>
      <w:r w:rsidRPr="00E66F72">
        <w:rPr>
          <w:rFonts w:eastAsia="Calibri"/>
          <w:sz w:val="20"/>
          <w:szCs w:val="20"/>
        </w:rPr>
        <w:t>Como se puede observar en el cuadro anterior el mayor incremento nominal está destinado</w:t>
      </w:r>
      <w:r w:rsidR="00970C71">
        <w:rPr>
          <w:rFonts w:eastAsia="Calibri"/>
          <w:sz w:val="20"/>
          <w:szCs w:val="20"/>
        </w:rPr>
        <w:t xml:space="preserve"> a</w:t>
      </w:r>
      <w:r w:rsidRPr="00E66F72">
        <w:rPr>
          <w:rFonts w:eastAsia="Calibri"/>
          <w:sz w:val="20"/>
          <w:szCs w:val="20"/>
        </w:rPr>
        <w:t xml:space="preserve"> Educación, por el orden de los $</w:t>
      </w:r>
      <w:r w:rsidRPr="00DB6D01">
        <w:rPr>
          <w:sz w:val="20"/>
          <w:szCs w:val="20"/>
          <w:lang w:val="es-MX" w:eastAsia="es-MX"/>
        </w:rPr>
        <w:t>9,461,836,535.00</w:t>
      </w:r>
      <w:r w:rsidR="00970C71">
        <w:rPr>
          <w:rFonts w:eastAsia="Calibri"/>
          <w:sz w:val="20"/>
          <w:szCs w:val="20"/>
        </w:rPr>
        <w:t>,  seguido del G</w:t>
      </w:r>
      <w:r w:rsidRPr="00E66F72">
        <w:rPr>
          <w:rFonts w:eastAsia="Calibri"/>
          <w:sz w:val="20"/>
          <w:szCs w:val="20"/>
        </w:rPr>
        <w:t xml:space="preserve">asto </w:t>
      </w:r>
      <w:r w:rsidR="00970C71">
        <w:rPr>
          <w:rFonts w:eastAsia="Calibri"/>
          <w:sz w:val="20"/>
          <w:szCs w:val="20"/>
        </w:rPr>
        <w:t>S</w:t>
      </w:r>
      <w:r w:rsidRPr="00E66F72">
        <w:rPr>
          <w:rFonts w:eastAsia="Calibri"/>
          <w:sz w:val="20"/>
          <w:szCs w:val="20"/>
        </w:rPr>
        <w:t xml:space="preserve">ocial </w:t>
      </w:r>
      <w:r w:rsidR="00970C71">
        <w:rPr>
          <w:rFonts w:eastAsia="Calibri"/>
          <w:sz w:val="20"/>
          <w:szCs w:val="20"/>
        </w:rPr>
        <w:t xml:space="preserve">el </w:t>
      </w:r>
      <w:r w:rsidRPr="00E66F72">
        <w:rPr>
          <w:rFonts w:eastAsia="Calibri"/>
          <w:sz w:val="20"/>
          <w:szCs w:val="20"/>
        </w:rPr>
        <w:t xml:space="preserve">cual comprende acciones en infraestructura, que considera conceptos como la Escuela de Policías, Rehabilitación de Centros de Readaptación Social, Construcción de Edificio que Albergue Servicios Periciales, Rehabilitación del Hospital de la Mujer, Laboratorio Estatal, la segunda etapa del CRI, entre otros; </w:t>
      </w:r>
      <w:r w:rsidRPr="004343D4">
        <w:rPr>
          <w:rFonts w:eastAsia="Calibri"/>
          <w:sz w:val="20"/>
          <w:szCs w:val="20"/>
        </w:rPr>
        <w:t xml:space="preserve">con la finalidad de </w:t>
      </w:r>
      <w:r w:rsidRPr="004343D4">
        <w:rPr>
          <w:rFonts w:eastAsia="Calibri"/>
          <w:sz w:val="20"/>
          <w:szCs w:val="20"/>
        </w:rPr>
        <w:lastRenderedPageBreak/>
        <w:t>generar un tejido social entre la ciudadanía tlaxcalteca y reducir las brechas de desigualdad, se implementan programas</w:t>
      </w:r>
      <w:r>
        <w:rPr>
          <w:rFonts w:eastAsia="Calibri"/>
          <w:sz w:val="20"/>
          <w:szCs w:val="20"/>
        </w:rPr>
        <w:t xml:space="preserve"> para la</w:t>
      </w:r>
      <w:r>
        <w:rPr>
          <w:sz w:val="20"/>
          <w:szCs w:val="20"/>
        </w:rPr>
        <w:t xml:space="preserve"> Sociedad Organizada para el Bienestar, Atención a Grupos Vulnerables, Infraestructura Social Básica para el Bienestar y Vivienda para el Bienestar de la Secretaría de Bienestar</w:t>
      </w:r>
      <w:r w:rsidRPr="004343D4">
        <w:rPr>
          <w:rFonts w:eastAsia="Calibri"/>
          <w:sz w:val="20"/>
          <w:szCs w:val="20"/>
        </w:rPr>
        <w:t xml:space="preserve">;  después de pasar este fenómeno social en salud, el cuál mantuvo a nuestras familias en distanciamiento social, se </w:t>
      </w:r>
      <w:r>
        <w:rPr>
          <w:rFonts w:eastAsia="Calibri"/>
          <w:sz w:val="20"/>
          <w:szCs w:val="20"/>
        </w:rPr>
        <w:t>continua con</w:t>
      </w:r>
      <w:r w:rsidRPr="004343D4">
        <w:rPr>
          <w:rFonts w:eastAsia="Calibri"/>
          <w:sz w:val="20"/>
          <w:szCs w:val="20"/>
        </w:rPr>
        <w:t xml:space="preserve"> el programa de esparcimiento dominical; el compromiso que hizo la Titular del Ejecutivo con la población que trabaja el campo, se fortalecen programas destinados a</w:t>
      </w:r>
      <w:r>
        <w:rPr>
          <w:rFonts w:eastAsia="Calibri"/>
          <w:sz w:val="20"/>
          <w:szCs w:val="20"/>
        </w:rPr>
        <w:t>l Seguro Catastrófico y Programas prioritarios del campo</w:t>
      </w:r>
      <w:r w:rsidRPr="004343D4">
        <w:rPr>
          <w:rFonts w:eastAsia="Calibri"/>
          <w:sz w:val="20"/>
          <w:szCs w:val="20"/>
        </w:rPr>
        <w:t xml:space="preserve">. </w:t>
      </w:r>
    </w:p>
    <w:p w14:paraId="61B6DB64" w14:textId="29894BDE" w:rsidR="004C5D80" w:rsidRPr="008E391F" w:rsidRDefault="004C5D80" w:rsidP="004C5D80">
      <w:pPr>
        <w:spacing w:after="200" w:line="360" w:lineRule="auto"/>
        <w:jc w:val="both"/>
        <w:rPr>
          <w:rFonts w:eastAsia="Calibri"/>
          <w:sz w:val="20"/>
          <w:szCs w:val="20"/>
        </w:rPr>
      </w:pPr>
      <w:r w:rsidRPr="008E391F">
        <w:rPr>
          <w:rFonts w:eastAsia="Calibri"/>
          <w:sz w:val="20"/>
          <w:szCs w:val="20"/>
        </w:rPr>
        <w:t xml:space="preserve">Otro sector de impacto es el de Educación, en donde el Gobierno Federal, se compromete con el magisterio Tlaxcalteca y dota de recursos suficientes para sufragar los gastos correspondientes </w:t>
      </w:r>
      <w:r w:rsidR="00F034D9">
        <w:rPr>
          <w:rFonts w:eastAsia="Calibri"/>
          <w:sz w:val="20"/>
          <w:szCs w:val="20"/>
        </w:rPr>
        <w:t xml:space="preserve">a </w:t>
      </w:r>
      <w:r w:rsidRPr="008E391F">
        <w:rPr>
          <w:rFonts w:eastAsia="Calibri"/>
          <w:sz w:val="20"/>
          <w:szCs w:val="20"/>
        </w:rPr>
        <w:t>la nómina educativa. Por su parte, el Gobierno del Estado, con el fin de complementar las acciones correspondientes a la creación y mantenimiento de la infraestructura educativa, incrementa el presupuesto en ese rubro;</w:t>
      </w:r>
      <w:r w:rsidR="00D3774B">
        <w:rPr>
          <w:rFonts w:eastAsia="Calibri"/>
          <w:sz w:val="20"/>
          <w:szCs w:val="20"/>
        </w:rPr>
        <w:t xml:space="preserve"> así mismo</w:t>
      </w:r>
      <w:r>
        <w:rPr>
          <w:rFonts w:eastAsia="Calibri"/>
          <w:sz w:val="20"/>
          <w:szCs w:val="20"/>
        </w:rPr>
        <w:t xml:space="preserve"> se consideran recursos para el </w:t>
      </w:r>
      <w:r w:rsidRPr="008E391F">
        <w:rPr>
          <w:rFonts w:eastAsia="Calibri"/>
          <w:sz w:val="20"/>
          <w:szCs w:val="20"/>
        </w:rPr>
        <w:t>Mundial Voleibol “</w:t>
      </w:r>
      <w:r w:rsidRPr="008E391F">
        <w:rPr>
          <w:rFonts w:eastAsia="Calibri"/>
          <w:b/>
          <w:bCs/>
          <w:sz w:val="20"/>
          <w:szCs w:val="20"/>
          <w:lang w:val="en-US"/>
        </w:rPr>
        <w:t>Volleyball World Beach</w:t>
      </w:r>
      <w:r w:rsidRPr="008E391F">
        <w:rPr>
          <w:rFonts w:eastAsia="Calibri"/>
          <w:sz w:val="20"/>
          <w:szCs w:val="20"/>
          <w:lang w:val="en-US"/>
        </w:rPr>
        <w:t> Pro Tour”</w:t>
      </w:r>
      <w:r w:rsidRPr="008E391F">
        <w:rPr>
          <w:rFonts w:eastAsia="Calibri"/>
          <w:sz w:val="20"/>
          <w:szCs w:val="20"/>
        </w:rPr>
        <w:t>.</w:t>
      </w:r>
    </w:p>
    <w:p w14:paraId="25D1E792" w14:textId="2300EE81" w:rsidR="00525B2B" w:rsidRDefault="004C5D80" w:rsidP="004C5D80">
      <w:pPr>
        <w:spacing w:after="200" w:line="360" w:lineRule="auto"/>
        <w:jc w:val="both"/>
        <w:rPr>
          <w:sz w:val="20"/>
          <w:szCs w:val="20"/>
        </w:rPr>
      </w:pPr>
      <w:r w:rsidRPr="00F96B9D">
        <w:rPr>
          <w:sz w:val="20"/>
          <w:szCs w:val="20"/>
        </w:rPr>
        <w:t>Una de las prioridades de la actual administración es atender la exigencia de recuperar la seguridad pública, profundizar en la vida democrática, la tranquilidad y la paz, luchando en contra de la violencia y la impunidad, así como en contra de toda forma de corrupción, es por ello</w:t>
      </w:r>
      <w:r w:rsidR="00F034D9">
        <w:rPr>
          <w:sz w:val="20"/>
          <w:szCs w:val="20"/>
        </w:rPr>
        <w:t>,</w:t>
      </w:r>
      <w:r w:rsidRPr="00F96B9D">
        <w:rPr>
          <w:sz w:val="20"/>
          <w:szCs w:val="20"/>
        </w:rPr>
        <w:t xml:space="preserve"> que se </w:t>
      </w:r>
      <w:r>
        <w:rPr>
          <w:sz w:val="20"/>
          <w:szCs w:val="20"/>
        </w:rPr>
        <w:t>continua con</w:t>
      </w:r>
      <w:r w:rsidRPr="00F96B9D">
        <w:rPr>
          <w:sz w:val="20"/>
          <w:szCs w:val="20"/>
        </w:rPr>
        <w:t xml:space="preserve"> </w:t>
      </w:r>
      <w:r>
        <w:rPr>
          <w:sz w:val="20"/>
          <w:szCs w:val="20"/>
        </w:rPr>
        <w:t>el</w:t>
      </w:r>
      <w:r w:rsidRPr="00F96B9D">
        <w:rPr>
          <w:sz w:val="20"/>
          <w:szCs w:val="20"/>
        </w:rPr>
        <w:t xml:space="preserve"> Centro de Monitoreo C5</w:t>
      </w:r>
      <w:r>
        <w:rPr>
          <w:sz w:val="20"/>
          <w:szCs w:val="20"/>
        </w:rPr>
        <w:t xml:space="preserve"> (segunda etapa)</w:t>
      </w:r>
      <w:r w:rsidRPr="00F96B9D">
        <w:rPr>
          <w:sz w:val="20"/>
          <w:szCs w:val="20"/>
        </w:rPr>
        <w:t>,</w:t>
      </w:r>
      <w:r>
        <w:rPr>
          <w:sz w:val="20"/>
          <w:szCs w:val="20"/>
        </w:rPr>
        <w:t xml:space="preserve"> equipos de inteligencia, cámaras de reconocimiento facial, creación de Centros de Comando para los Municipios,</w:t>
      </w:r>
      <w:r w:rsidRPr="00F96B9D">
        <w:rPr>
          <w:sz w:val="20"/>
          <w:szCs w:val="20"/>
        </w:rPr>
        <w:t xml:space="preserve"> </w:t>
      </w:r>
      <w:r>
        <w:rPr>
          <w:sz w:val="20"/>
          <w:szCs w:val="20"/>
        </w:rPr>
        <w:t xml:space="preserve">se realiza una homologación de sueldos </w:t>
      </w:r>
      <w:r w:rsidRPr="00F96B9D">
        <w:rPr>
          <w:sz w:val="20"/>
          <w:szCs w:val="20"/>
        </w:rPr>
        <w:t>en el personal de la policía estatal</w:t>
      </w:r>
      <w:r>
        <w:rPr>
          <w:sz w:val="20"/>
          <w:szCs w:val="20"/>
        </w:rPr>
        <w:t xml:space="preserve">, adquisición de patrullas, se dota a los Centros de Readaptación Social con equipo de </w:t>
      </w:r>
      <w:r w:rsidR="00F034D9">
        <w:rPr>
          <w:sz w:val="20"/>
          <w:szCs w:val="20"/>
        </w:rPr>
        <w:t>“</w:t>
      </w:r>
      <w:r>
        <w:rPr>
          <w:sz w:val="20"/>
          <w:szCs w:val="20"/>
        </w:rPr>
        <w:t>rayos X</w:t>
      </w:r>
      <w:r w:rsidR="00F034D9">
        <w:rPr>
          <w:sz w:val="20"/>
          <w:szCs w:val="20"/>
        </w:rPr>
        <w:t>”</w:t>
      </w:r>
      <w:r>
        <w:rPr>
          <w:sz w:val="20"/>
          <w:szCs w:val="20"/>
        </w:rPr>
        <w:t>.</w:t>
      </w:r>
    </w:p>
    <w:p w14:paraId="00AD9745" w14:textId="77777777" w:rsidR="00525B2B" w:rsidRPr="00955A4C" w:rsidRDefault="00525B2B" w:rsidP="00525B2B">
      <w:pPr>
        <w:spacing w:after="200" w:line="360" w:lineRule="auto"/>
        <w:jc w:val="center"/>
        <w:rPr>
          <w:rFonts w:eastAsia="Calibri"/>
          <w:b/>
          <w:sz w:val="20"/>
          <w:szCs w:val="20"/>
        </w:rPr>
      </w:pPr>
      <w:r w:rsidRPr="00955A4C">
        <w:rPr>
          <w:rFonts w:eastAsia="Calibri"/>
          <w:b/>
          <w:sz w:val="20"/>
          <w:szCs w:val="20"/>
        </w:rPr>
        <w:t>PODERES Y ÓRGANOS AUTÓNOMOS</w:t>
      </w:r>
    </w:p>
    <w:tbl>
      <w:tblPr>
        <w:tblW w:w="7606" w:type="dxa"/>
        <w:jc w:val="center"/>
        <w:tblCellMar>
          <w:left w:w="70" w:type="dxa"/>
          <w:right w:w="70" w:type="dxa"/>
        </w:tblCellMar>
        <w:tblLook w:val="04A0" w:firstRow="1" w:lastRow="0" w:firstColumn="1" w:lastColumn="0" w:noHBand="0" w:noVBand="1"/>
      </w:tblPr>
      <w:tblGrid>
        <w:gridCol w:w="2696"/>
        <w:gridCol w:w="1540"/>
        <w:gridCol w:w="1830"/>
        <w:gridCol w:w="1540"/>
      </w:tblGrid>
      <w:tr w:rsidR="00CC0740" w:rsidRPr="007B09E5" w14:paraId="6FD3D946" w14:textId="77777777" w:rsidTr="00BF7D12">
        <w:trPr>
          <w:trHeight w:val="960"/>
          <w:tblHeader/>
          <w:jc w:val="center"/>
        </w:trPr>
        <w:tc>
          <w:tcPr>
            <w:tcW w:w="2696" w:type="dxa"/>
            <w:tcBorders>
              <w:top w:val="single" w:sz="8" w:space="0" w:color="A6A6A6"/>
              <w:left w:val="single" w:sz="8" w:space="0" w:color="A6A6A6"/>
              <w:bottom w:val="nil"/>
              <w:right w:val="single" w:sz="8" w:space="0" w:color="A6A6A6"/>
            </w:tcBorders>
            <w:shd w:val="clear" w:color="000000" w:fill="CCCCCC"/>
            <w:vAlign w:val="center"/>
            <w:hideMark/>
          </w:tcPr>
          <w:p w14:paraId="4A3021A9" w14:textId="77777777" w:rsidR="00CC0740" w:rsidRPr="007B09E5" w:rsidRDefault="00CC0740" w:rsidP="00BF7D12">
            <w:pPr>
              <w:spacing w:line="360" w:lineRule="auto"/>
              <w:jc w:val="center"/>
              <w:rPr>
                <w:b/>
                <w:bCs/>
                <w:color w:val="000000"/>
                <w:sz w:val="20"/>
                <w:szCs w:val="20"/>
                <w:lang w:val="es-MX" w:eastAsia="es-MX"/>
              </w:rPr>
            </w:pPr>
            <w:r w:rsidRPr="007B09E5">
              <w:rPr>
                <w:b/>
                <w:bCs/>
                <w:color w:val="000000"/>
                <w:sz w:val="20"/>
                <w:szCs w:val="20"/>
              </w:rPr>
              <w:t>PODERES Y ÓRGANOS AUTÓNOMOS</w:t>
            </w:r>
          </w:p>
        </w:tc>
        <w:tc>
          <w:tcPr>
            <w:tcW w:w="1540" w:type="dxa"/>
            <w:tcBorders>
              <w:top w:val="single" w:sz="8" w:space="0" w:color="A6A6A6"/>
              <w:left w:val="nil"/>
              <w:bottom w:val="nil"/>
              <w:right w:val="single" w:sz="8" w:space="0" w:color="A6A6A6"/>
            </w:tcBorders>
            <w:shd w:val="clear" w:color="000000" w:fill="CCCCCC"/>
            <w:vAlign w:val="center"/>
            <w:hideMark/>
          </w:tcPr>
          <w:p w14:paraId="3388230B" w14:textId="77777777" w:rsidR="00CC0740" w:rsidRDefault="00CC0740" w:rsidP="00BF7D12">
            <w:pPr>
              <w:spacing w:line="360" w:lineRule="auto"/>
              <w:jc w:val="center"/>
              <w:rPr>
                <w:b/>
                <w:bCs/>
                <w:color w:val="000000"/>
                <w:sz w:val="20"/>
                <w:szCs w:val="20"/>
              </w:rPr>
            </w:pPr>
            <w:r w:rsidRPr="007B09E5">
              <w:rPr>
                <w:b/>
                <w:bCs/>
                <w:color w:val="000000"/>
                <w:sz w:val="20"/>
                <w:szCs w:val="20"/>
              </w:rPr>
              <w:t>AUTORIZADO  202</w:t>
            </w:r>
            <w:r>
              <w:rPr>
                <w:b/>
                <w:bCs/>
                <w:color w:val="000000"/>
                <w:sz w:val="20"/>
                <w:szCs w:val="20"/>
              </w:rPr>
              <w:t>2</w:t>
            </w:r>
          </w:p>
          <w:p w14:paraId="08B51DE3" w14:textId="77777777" w:rsidR="00CC0740" w:rsidRPr="007B09E5" w:rsidRDefault="00CC0740" w:rsidP="00BF7D12">
            <w:pPr>
              <w:spacing w:line="360" w:lineRule="auto"/>
              <w:jc w:val="center"/>
              <w:rPr>
                <w:b/>
                <w:bCs/>
                <w:color w:val="000000"/>
                <w:sz w:val="20"/>
                <w:szCs w:val="20"/>
              </w:rPr>
            </w:pPr>
            <w:r>
              <w:rPr>
                <w:b/>
                <w:bCs/>
                <w:color w:val="000000"/>
                <w:sz w:val="20"/>
                <w:szCs w:val="20"/>
              </w:rPr>
              <w:t>($)</w:t>
            </w:r>
          </w:p>
        </w:tc>
        <w:tc>
          <w:tcPr>
            <w:tcW w:w="1830" w:type="dxa"/>
            <w:tcBorders>
              <w:top w:val="single" w:sz="8" w:space="0" w:color="A6A6A6"/>
              <w:left w:val="nil"/>
              <w:bottom w:val="nil"/>
              <w:right w:val="single" w:sz="8" w:space="0" w:color="A6A6A6"/>
            </w:tcBorders>
            <w:shd w:val="clear" w:color="000000" w:fill="CCCCCC"/>
            <w:vAlign w:val="center"/>
            <w:hideMark/>
          </w:tcPr>
          <w:p w14:paraId="27484C7B" w14:textId="77777777" w:rsidR="00CC0740" w:rsidRDefault="00CC0740" w:rsidP="00BF7D12">
            <w:pPr>
              <w:spacing w:line="360" w:lineRule="auto"/>
              <w:jc w:val="center"/>
              <w:rPr>
                <w:b/>
                <w:bCs/>
                <w:color w:val="000000"/>
                <w:sz w:val="20"/>
                <w:szCs w:val="20"/>
              </w:rPr>
            </w:pPr>
            <w:r w:rsidRPr="007B09E5">
              <w:rPr>
                <w:b/>
                <w:bCs/>
                <w:color w:val="000000"/>
                <w:sz w:val="20"/>
                <w:szCs w:val="20"/>
              </w:rPr>
              <w:t>ANTEPROYECTO 202</w:t>
            </w:r>
            <w:r>
              <w:rPr>
                <w:b/>
                <w:bCs/>
                <w:color w:val="000000"/>
                <w:sz w:val="20"/>
                <w:szCs w:val="20"/>
              </w:rPr>
              <w:t>3</w:t>
            </w:r>
          </w:p>
          <w:p w14:paraId="1BAADB4F" w14:textId="77777777" w:rsidR="00CC0740" w:rsidRPr="007B09E5" w:rsidRDefault="00CC0740" w:rsidP="00BF7D12">
            <w:pPr>
              <w:spacing w:line="360" w:lineRule="auto"/>
              <w:jc w:val="center"/>
              <w:rPr>
                <w:b/>
                <w:bCs/>
                <w:color w:val="000000"/>
                <w:sz w:val="20"/>
                <w:szCs w:val="20"/>
              </w:rPr>
            </w:pPr>
            <w:r>
              <w:rPr>
                <w:b/>
                <w:bCs/>
                <w:color w:val="000000"/>
                <w:sz w:val="20"/>
                <w:szCs w:val="20"/>
              </w:rPr>
              <w:t>($)</w:t>
            </w:r>
          </w:p>
        </w:tc>
        <w:tc>
          <w:tcPr>
            <w:tcW w:w="1540" w:type="dxa"/>
            <w:tcBorders>
              <w:top w:val="single" w:sz="8" w:space="0" w:color="A6A6A6"/>
              <w:left w:val="nil"/>
              <w:bottom w:val="nil"/>
              <w:right w:val="single" w:sz="8" w:space="0" w:color="A6A6A6"/>
            </w:tcBorders>
            <w:shd w:val="clear" w:color="000000" w:fill="CCCCCC"/>
            <w:vAlign w:val="center"/>
            <w:hideMark/>
          </w:tcPr>
          <w:p w14:paraId="04AC2A43" w14:textId="77777777" w:rsidR="00CC0740" w:rsidRDefault="00CC0740" w:rsidP="00BF7D12">
            <w:pPr>
              <w:spacing w:line="360" w:lineRule="auto"/>
              <w:jc w:val="center"/>
              <w:rPr>
                <w:b/>
                <w:bCs/>
                <w:color w:val="000000"/>
                <w:sz w:val="20"/>
                <w:szCs w:val="20"/>
              </w:rPr>
            </w:pPr>
            <w:r w:rsidRPr="007B09E5">
              <w:rPr>
                <w:b/>
                <w:bCs/>
                <w:color w:val="000000"/>
                <w:sz w:val="20"/>
                <w:szCs w:val="20"/>
              </w:rPr>
              <w:t>INICIATIVA FINAL PROPUESTA 202</w:t>
            </w:r>
            <w:r>
              <w:rPr>
                <w:b/>
                <w:bCs/>
                <w:color w:val="000000"/>
                <w:sz w:val="20"/>
                <w:szCs w:val="20"/>
              </w:rPr>
              <w:t>3</w:t>
            </w:r>
          </w:p>
          <w:p w14:paraId="5BDE0788" w14:textId="77777777" w:rsidR="00CC0740" w:rsidRPr="007B09E5" w:rsidRDefault="00CC0740" w:rsidP="00BF7D12">
            <w:pPr>
              <w:spacing w:line="360" w:lineRule="auto"/>
              <w:jc w:val="center"/>
              <w:rPr>
                <w:b/>
                <w:bCs/>
                <w:color w:val="000000"/>
                <w:sz w:val="20"/>
                <w:szCs w:val="20"/>
              </w:rPr>
            </w:pPr>
            <w:r>
              <w:rPr>
                <w:b/>
                <w:bCs/>
                <w:color w:val="000000"/>
                <w:sz w:val="20"/>
                <w:szCs w:val="20"/>
              </w:rPr>
              <w:t>($)</w:t>
            </w:r>
          </w:p>
        </w:tc>
      </w:tr>
      <w:tr w:rsidR="00CC0740" w:rsidRPr="007B09E5" w14:paraId="7D492390" w14:textId="77777777" w:rsidTr="00BF7D12">
        <w:trPr>
          <w:trHeight w:val="315"/>
          <w:jc w:val="center"/>
        </w:trPr>
        <w:tc>
          <w:tcPr>
            <w:tcW w:w="2696" w:type="dxa"/>
            <w:tcBorders>
              <w:top w:val="single" w:sz="8" w:space="0" w:color="A6A6A6"/>
              <w:left w:val="single" w:sz="8" w:space="0" w:color="A6A6A6"/>
              <w:bottom w:val="single" w:sz="8" w:space="0" w:color="A6A6A6"/>
              <w:right w:val="single" w:sz="8" w:space="0" w:color="A6A6A6"/>
            </w:tcBorders>
            <w:shd w:val="clear" w:color="auto" w:fill="auto"/>
            <w:vAlign w:val="center"/>
            <w:hideMark/>
          </w:tcPr>
          <w:p w14:paraId="2D434FB6" w14:textId="77777777" w:rsidR="00CC0740" w:rsidRPr="007B09E5" w:rsidRDefault="00CC0740" w:rsidP="00BF7D12">
            <w:pPr>
              <w:spacing w:line="360" w:lineRule="auto"/>
              <w:jc w:val="both"/>
              <w:rPr>
                <w:color w:val="000000"/>
                <w:sz w:val="20"/>
                <w:szCs w:val="20"/>
              </w:rPr>
            </w:pPr>
            <w:r w:rsidRPr="007B09E5">
              <w:rPr>
                <w:color w:val="000000"/>
                <w:sz w:val="20"/>
                <w:szCs w:val="20"/>
              </w:rPr>
              <w:t>Poder Legislativo</w:t>
            </w:r>
          </w:p>
        </w:tc>
        <w:tc>
          <w:tcPr>
            <w:tcW w:w="1540" w:type="dxa"/>
            <w:tcBorders>
              <w:top w:val="single" w:sz="8" w:space="0" w:color="A6A6A6"/>
              <w:left w:val="nil"/>
              <w:bottom w:val="single" w:sz="8" w:space="0" w:color="A6A6A6"/>
              <w:right w:val="single" w:sz="8" w:space="0" w:color="A6A6A6"/>
            </w:tcBorders>
            <w:shd w:val="clear" w:color="auto" w:fill="auto"/>
            <w:vAlign w:val="center"/>
          </w:tcPr>
          <w:p w14:paraId="0A55C792" w14:textId="77777777" w:rsidR="00CC0740" w:rsidRPr="006D66C4" w:rsidRDefault="00CC0740" w:rsidP="00BF7D12">
            <w:pPr>
              <w:jc w:val="right"/>
              <w:rPr>
                <w:color w:val="000000"/>
                <w:sz w:val="20"/>
                <w:szCs w:val="20"/>
                <w:lang w:val="es-MX" w:eastAsia="es-MX"/>
              </w:rPr>
            </w:pPr>
            <w:r w:rsidRPr="006D66C4">
              <w:rPr>
                <w:color w:val="000000"/>
                <w:sz w:val="20"/>
                <w:szCs w:val="20"/>
                <w:lang w:eastAsia="es-MX"/>
              </w:rPr>
              <w:t>373,294,227.00</w:t>
            </w:r>
          </w:p>
        </w:tc>
        <w:tc>
          <w:tcPr>
            <w:tcW w:w="1830" w:type="dxa"/>
            <w:tcBorders>
              <w:top w:val="single" w:sz="8" w:space="0" w:color="A6A6A6"/>
              <w:left w:val="nil"/>
              <w:bottom w:val="single" w:sz="8" w:space="0" w:color="A6A6A6"/>
              <w:right w:val="single" w:sz="8" w:space="0" w:color="A6A6A6"/>
            </w:tcBorders>
            <w:shd w:val="clear" w:color="auto" w:fill="auto"/>
            <w:vAlign w:val="center"/>
          </w:tcPr>
          <w:p w14:paraId="17D5E656" w14:textId="77777777" w:rsidR="00CC0740" w:rsidRPr="006D66C4" w:rsidRDefault="00CC0740" w:rsidP="00BF7D12">
            <w:pPr>
              <w:jc w:val="right"/>
              <w:rPr>
                <w:color w:val="000000"/>
                <w:sz w:val="20"/>
                <w:szCs w:val="20"/>
                <w:lang w:val="es-MX" w:eastAsia="es-MX"/>
              </w:rPr>
            </w:pPr>
            <w:r w:rsidRPr="006D66C4">
              <w:rPr>
                <w:color w:val="000000"/>
                <w:sz w:val="20"/>
                <w:szCs w:val="20"/>
                <w:lang w:val="es-MX" w:eastAsia="es-MX"/>
              </w:rPr>
              <w:t>418,615,666.00</w:t>
            </w:r>
          </w:p>
        </w:tc>
        <w:tc>
          <w:tcPr>
            <w:tcW w:w="1540" w:type="dxa"/>
            <w:tcBorders>
              <w:top w:val="single" w:sz="8" w:space="0" w:color="A6A6A6"/>
              <w:left w:val="nil"/>
              <w:bottom w:val="single" w:sz="8" w:space="0" w:color="A6A6A6"/>
              <w:right w:val="single" w:sz="8" w:space="0" w:color="A6A6A6"/>
            </w:tcBorders>
            <w:shd w:val="clear" w:color="auto" w:fill="auto"/>
            <w:vAlign w:val="center"/>
          </w:tcPr>
          <w:p w14:paraId="03F230DC" w14:textId="77777777" w:rsidR="00CC0740" w:rsidRPr="006D66C4" w:rsidRDefault="00CC0740" w:rsidP="00BF7D12">
            <w:pPr>
              <w:jc w:val="right"/>
              <w:rPr>
                <w:color w:val="000000"/>
                <w:sz w:val="20"/>
                <w:szCs w:val="20"/>
                <w:lang w:val="es-MX" w:eastAsia="es-MX"/>
              </w:rPr>
            </w:pPr>
            <w:r w:rsidRPr="006D66C4">
              <w:rPr>
                <w:color w:val="000000"/>
                <w:sz w:val="20"/>
                <w:szCs w:val="20"/>
                <w:lang w:val="es-MX" w:eastAsia="es-MX"/>
              </w:rPr>
              <w:t>418,615,666.00</w:t>
            </w:r>
          </w:p>
        </w:tc>
      </w:tr>
      <w:tr w:rsidR="00CC0740" w:rsidRPr="007B09E5" w14:paraId="549A7154" w14:textId="77777777" w:rsidTr="00BF7D12">
        <w:trPr>
          <w:trHeight w:val="315"/>
          <w:jc w:val="center"/>
        </w:trPr>
        <w:tc>
          <w:tcPr>
            <w:tcW w:w="2696" w:type="dxa"/>
            <w:tcBorders>
              <w:top w:val="nil"/>
              <w:left w:val="single" w:sz="8" w:space="0" w:color="A6A6A6"/>
              <w:bottom w:val="single" w:sz="8" w:space="0" w:color="A6A6A6"/>
              <w:right w:val="single" w:sz="8" w:space="0" w:color="A6A6A6"/>
            </w:tcBorders>
            <w:shd w:val="clear" w:color="auto" w:fill="auto"/>
            <w:vAlign w:val="center"/>
            <w:hideMark/>
          </w:tcPr>
          <w:p w14:paraId="79E63BA0" w14:textId="77777777" w:rsidR="00CC0740" w:rsidRPr="007B09E5" w:rsidRDefault="00CC0740" w:rsidP="00BF7D12">
            <w:pPr>
              <w:spacing w:line="360" w:lineRule="auto"/>
              <w:jc w:val="both"/>
              <w:rPr>
                <w:color w:val="000000"/>
                <w:sz w:val="20"/>
                <w:szCs w:val="20"/>
              </w:rPr>
            </w:pPr>
            <w:r w:rsidRPr="007B09E5">
              <w:rPr>
                <w:color w:val="000000"/>
                <w:sz w:val="20"/>
                <w:szCs w:val="20"/>
              </w:rPr>
              <w:t>Poder Judicial</w:t>
            </w:r>
          </w:p>
        </w:tc>
        <w:tc>
          <w:tcPr>
            <w:tcW w:w="1540" w:type="dxa"/>
            <w:tcBorders>
              <w:top w:val="nil"/>
              <w:left w:val="nil"/>
              <w:bottom w:val="single" w:sz="8" w:space="0" w:color="A6A6A6"/>
              <w:right w:val="single" w:sz="8" w:space="0" w:color="A6A6A6"/>
            </w:tcBorders>
            <w:shd w:val="clear" w:color="auto" w:fill="auto"/>
            <w:vAlign w:val="center"/>
          </w:tcPr>
          <w:p w14:paraId="108A741F" w14:textId="77777777" w:rsidR="00CC0740" w:rsidRPr="006D66C4" w:rsidRDefault="00CC0740" w:rsidP="00BF7D12">
            <w:pPr>
              <w:jc w:val="right"/>
              <w:rPr>
                <w:color w:val="000000"/>
                <w:sz w:val="20"/>
                <w:szCs w:val="20"/>
                <w:lang w:val="es-MX" w:eastAsia="es-MX"/>
              </w:rPr>
            </w:pPr>
            <w:r w:rsidRPr="006D66C4">
              <w:rPr>
                <w:color w:val="000000"/>
                <w:sz w:val="20"/>
                <w:szCs w:val="20"/>
                <w:lang w:val="es-MX" w:eastAsia="es-MX"/>
              </w:rPr>
              <w:t>391,835,107.00</w:t>
            </w:r>
          </w:p>
        </w:tc>
        <w:tc>
          <w:tcPr>
            <w:tcW w:w="1830" w:type="dxa"/>
            <w:tcBorders>
              <w:top w:val="nil"/>
              <w:left w:val="nil"/>
              <w:bottom w:val="single" w:sz="8" w:space="0" w:color="A6A6A6"/>
              <w:right w:val="single" w:sz="8" w:space="0" w:color="A6A6A6"/>
            </w:tcBorders>
            <w:shd w:val="clear" w:color="auto" w:fill="auto"/>
            <w:vAlign w:val="center"/>
          </w:tcPr>
          <w:p w14:paraId="2A957AA4" w14:textId="77777777" w:rsidR="00CC0740" w:rsidRPr="006D66C4" w:rsidRDefault="00CC0740" w:rsidP="00BF7D12">
            <w:pPr>
              <w:jc w:val="right"/>
              <w:rPr>
                <w:color w:val="000000"/>
                <w:sz w:val="20"/>
                <w:szCs w:val="20"/>
                <w:lang w:val="es-MX" w:eastAsia="es-MX"/>
              </w:rPr>
            </w:pPr>
            <w:r w:rsidRPr="006D66C4">
              <w:rPr>
                <w:color w:val="000000"/>
                <w:sz w:val="20"/>
                <w:szCs w:val="20"/>
                <w:lang w:val="es-MX" w:eastAsia="es-MX"/>
              </w:rPr>
              <w:t>450,610,019.00</w:t>
            </w:r>
          </w:p>
        </w:tc>
        <w:tc>
          <w:tcPr>
            <w:tcW w:w="1540" w:type="dxa"/>
            <w:tcBorders>
              <w:top w:val="nil"/>
              <w:left w:val="nil"/>
              <w:bottom w:val="single" w:sz="8" w:space="0" w:color="A6A6A6"/>
              <w:right w:val="single" w:sz="8" w:space="0" w:color="A6A6A6"/>
            </w:tcBorders>
            <w:shd w:val="clear" w:color="auto" w:fill="auto"/>
            <w:vAlign w:val="center"/>
          </w:tcPr>
          <w:p w14:paraId="438EB3F4" w14:textId="77777777" w:rsidR="00CC0740" w:rsidRPr="006D66C4" w:rsidRDefault="00CC0740" w:rsidP="00BF7D12">
            <w:pPr>
              <w:jc w:val="right"/>
              <w:rPr>
                <w:color w:val="000000"/>
                <w:sz w:val="20"/>
                <w:szCs w:val="20"/>
                <w:lang w:val="es-MX" w:eastAsia="es-MX"/>
              </w:rPr>
            </w:pPr>
            <w:r w:rsidRPr="006D66C4">
              <w:rPr>
                <w:color w:val="000000"/>
                <w:sz w:val="20"/>
                <w:szCs w:val="20"/>
                <w:lang w:val="es-MX" w:eastAsia="es-MX"/>
              </w:rPr>
              <w:t>450,610,019.00</w:t>
            </w:r>
          </w:p>
        </w:tc>
      </w:tr>
      <w:tr w:rsidR="00CC0740" w:rsidRPr="007B09E5" w14:paraId="678091E1" w14:textId="77777777" w:rsidTr="00BF7D12">
        <w:trPr>
          <w:trHeight w:val="553"/>
          <w:jc w:val="center"/>
        </w:trPr>
        <w:tc>
          <w:tcPr>
            <w:tcW w:w="2696" w:type="dxa"/>
            <w:tcBorders>
              <w:top w:val="nil"/>
              <w:left w:val="single" w:sz="8" w:space="0" w:color="A6A6A6"/>
              <w:bottom w:val="single" w:sz="8" w:space="0" w:color="A6A6A6"/>
              <w:right w:val="single" w:sz="8" w:space="0" w:color="A6A6A6"/>
            </w:tcBorders>
            <w:shd w:val="clear" w:color="auto" w:fill="auto"/>
            <w:vAlign w:val="center"/>
            <w:hideMark/>
          </w:tcPr>
          <w:p w14:paraId="43FA8D9D" w14:textId="77777777" w:rsidR="00CC0740" w:rsidRPr="007B09E5" w:rsidRDefault="00CC0740" w:rsidP="00BF7D12">
            <w:pPr>
              <w:spacing w:line="360" w:lineRule="auto"/>
              <w:jc w:val="both"/>
              <w:rPr>
                <w:color w:val="000000"/>
                <w:sz w:val="20"/>
                <w:szCs w:val="20"/>
              </w:rPr>
            </w:pPr>
            <w:r w:rsidRPr="007B09E5">
              <w:rPr>
                <w:color w:val="000000"/>
                <w:sz w:val="20"/>
                <w:szCs w:val="20"/>
              </w:rPr>
              <w:t>Universidad Autónoma de Tlaxcala</w:t>
            </w:r>
          </w:p>
        </w:tc>
        <w:tc>
          <w:tcPr>
            <w:tcW w:w="1540" w:type="dxa"/>
            <w:tcBorders>
              <w:top w:val="nil"/>
              <w:left w:val="nil"/>
              <w:bottom w:val="single" w:sz="8" w:space="0" w:color="A6A6A6"/>
              <w:right w:val="single" w:sz="8" w:space="0" w:color="A6A6A6"/>
            </w:tcBorders>
            <w:shd w:val="clear" w:color="auto" w:fill="auto"/>
            <w:vAlign w:val="center"/>
          </w:tcPr>
          <w:p w14:paraId="7E17A1AA" w14:textId="77777777" w:rsidR="00CC0740" w:rsidRPr="006D66C4" w:rsidRDefault="00CC0740" w:rsidP="00BF7D12">
            <w:pPr>
              <w:jc w:val="right"/>
              <w:rPr>
                <w:color w:val="000000"/>
                <w:sz w:val="20"/>
                <w:szCs w:val="20"/>
                <w:lang w:val="es-MX" w:eastAsia="es-MX"/>
              </w:rPr>
            </w:pPr>
            <w:r w:rsidRPr="006D66C4">
              <w:rPr>
                <w:color w:val="000000"/>
                <w:sz w:val="20"/>
                <w:szCs w:val="20"/>
                <w:lang w:eastAsia="es-MX"/>
              </w:rPr>
              <w:t>120,815,922.00</w:t>
            </w:r>
          </w:p>
        </w:tc>
        <w:tc>
          <w:tcPr>
            <w:tcW w:w="1830" w:type="dxa"/>
            <w:tcBorders>
              <w:top w:val="nil"/>
              <w:left w:val="nil"/>
              <w:bottom w:val="single" w:sz="8" w:space="0" w:color="A6A6A6"/>
              <w:right w:val="single" w:sz="8" w:space="0" w:color="A6A6A6"/>
            </w:tcBorders>
            <w:shd w:val="clear" w:color="auto" w:fill="auto"/>
            <w:vAlign w:val="center"/>
          </w:tcPr>
          <w:p w14:paraId="6BA1EA98" w14:textId="77777777" w:rsidR="00CC0740" w:rsidRPr="006D66C4" w:rsidRDefault="00CC0740" w:rsidP="00BF7D12">
            <w:pPr>
              <w:jc w:val="right"/>
              <w:rPr>
                <w:color w:val="000000"/>
                <w:sz w:val="20"/>
                <w:szCs w:val="20"/>
                <w:lang w:val="es-MX" w:eastAsia="es-MX"/>
              </w:rPr>
            </w:pPr>
            <w:r w:rsidRPr="006D66C4">
              <w:rPr>
                <w:color w:val="000000"/>
                <w:sz w:val="20"/>
                <w:szCs w:val="20"/>
                <w:lang w:val="es-MX" w:eastAsia="es-MX"/>
              </w:rPr>
              <w:t>129,419,950.00</w:t>
            </w:r>
          </w:p>
        </w:tc>
        <w:tc>
          <w:tcPr>
            <w:tcW w:w="1540" w:type="dxa"/>
            <w:tcBorders>
              <w:top w:val="nil"/>
              <w:left w:val="nil"/>
              <w:bottom w:val="single" w:sz="8" w:space="0" w:color="A6A6A6"/>
              <w:right w:val="single" w:sz="8" w:space="0" w:color="A6A6A6"/>
            </w:tcBorders>
            <w:shd w:val="clear" w:color="auto" w:fill="auto"/>
            <w:vAlign w:val="center"/>
          </w:tcPr>
          <w:p w14:paraId="3DB1C287" w14:textId="77777777" w:rsidR="00CC0740" w:rsidRPr="006D66C4" w:rsidRDefault="00CC0740" w:rsidP="00BF7D12">
            <w:pPr>
              <w:jc w:val="right"/>
              <w:rPr>
                <w:color w:val="000000"/>
                <w:sz w:val="20"/>
                <w:szCs w:val="20"/>
                <w:lang w:val="es-MX" w:eastAsia="es-MX"/>
              </w:rPr>
            </w:pPr>
            <w:r w:rsidRPr="006D66C4">
              <w:rPr>
                <w:color w:val="000000"/>
                <w:sz w:val="20"/>
                <w:szCs w:val="20"/>
                <w:lang w:val="es-MX" w:eastAsia="es-MX"/>
              </w:rPr>
              <w:t>129,419,950.00</w:t>
            </w:r>
          </w:p>
        </w:tc>
      </w:tr>
      <w:tr w:rsidR="00CC0740" w:rsidRPr="007B09E5" w14:paraId="67E4A87D" w14:textId="77777777" w:rsidTr="00BF7D12">
        <w:trPr>
          <w:trHeight w:val="615"/>
          <w:jc w:val="center"/>
        </w:trPr>
        <w:tc>
          <w:tcPr>
            <w:tcW w:w="2696" w:type="dxa"/>
            <w:tcBorders>
              <w:top w:val="nil"/>
              <w:left w:val="single" w:sz="8" w:space="0" w:color="A6A6A6"/>
              <w:bottom w:val="single" w:sz="8" w:space="0" w:color="A6A6A6"/>
              <w:right w:val="single" w:sz="8" w:space="0" w:color="A6A6A6"/>
            </w:tcBorders>
            <w:shd w:val="clear" w:color="auto" w:fill="auto"/>
            <w:vAlign w:val="center"/>
            <w:hideMark/>
          </w:tcPr>
          <w:p w14:paraId="4A69409A" w14:textId="77777777" w:rsidR="00CC0740" w:rsidRPr="007B09E5" w:rsidRDefault="00CC0740" w:rsidP="00BF7D12">
            <w:pPr>
              <w:spacing w:line="360" w:lineRule="auto"/>
              <w:jc w:val="both"/>
              <w:rPr>
                <w:color w:val="000000"/>
                <w:sz w:val="20"/>
                <w:szCs w:val="20"/>
              </w:rPr>
            </w:pPr>
            <w:r w:rsidRPr="007B09E5">
              <w:rPr>
                <w:color w:val="000000"/>
                <w:sz w:val="20"/>
                <w:szCs w:val="20"/>
              </w:rPr>
              <w:lastRenderedPageBreak/>
              <w:t>Comisión Estatal de Derechos Humanos</w:t>
            </w:r>
          </w:p>
        </w:tc>
        <w:tc>
          <w:tcPr>
            <w:tcW w:w="1540" w:type="dxa"/>
            <w:tcBorders>
              <w:top w:val="nil"/>
              <w:left w:val="nil"/>
              <w:bottom w:val="single" w:sz="8" w:space="0" w:color="A6A6A6"/>
              <w:right w:val="single" w:sz="8" w:space="0" w:color="A6A6A6"/>
            </w:tcBorders>
            <w:shd w:val="clear" w:color="auto" w:fill="auto"/>
            <w:vAlign w:val="center"/>
          </w:tcPr>
          <w:p w14:paraId="42E021F2" w14:textId="77777777" w:rsidR="00CC0740" w:rsidRPr="006D66C4" w:rsidRDefault="00CC0740" w:rsidP="00BF7D12">
            <w:pPr>
              <w:jc w:val="right"/>
              <w:rPr>
                <w:color w:val="000000"/>
                <w:sz w:val="20"/>
                <w:szCs w:val="20"/>
                <w:lang w:val="es-MX" w:eastAsia="es-MX"/>
              </w:rPr>
            </w:pPr>
            <w:r w:rsidRPr="006D66C4">
              <w:rPr>
                <w:color w:val="000000"/>
                <w:sz w:val="20"/>
                <w:szCs w:val="20"/>
                <w:lang w:eastAsia="es-MX"/>
              </w:rPr>
              <w:t>24,589,166.00</w:t>
            </w:r>
          </w:p>
        </w:tc>
        <w:tc>
          <w:tcPr>
            <w:tcW w:w="1830" w:type="dxa"/>
            <w:tcBorders>
              <w:top w:val="nil"/>
              <w:left w:val="nil"/>
              <w:bottom w:val="single" w:sz="8" w:space="0" w:color="A6A6A6"/>
              <w:right w:val="single" w:sz="8" w:space="0" w:color="A6A6A6"/>
            </w:tcBorders>
            <w:shd w:val="clear" w:color="auto" w:fill="auto"/>
            <w:vAlign w:val="center"/>
          </w:tcPr>
          <w:p w14:paraId="2B831E20" w14:textId="77777777" w:rsidR="00CC0740" w:rsidRPr="006D66C4" w:rsidRDefault="00CC0740" w:rsidP="00BF7D12">
            <w:pPr>
              <w:jc w:val="right"/>
              <w:rPr>
                <w:color w:val="000000"/>
                <w:sz w:val="20"/>
                <w:szCs w:val="20"/>
                <w:lang w:val="es-MX" w:eastAsia="es-MX"/>
              </w:rPr>
            </w:pPr>
            <w:r w:rsidRPr="006D66C4">
              <w:rPr>
                <w:color w:val="000000"/>
                <w:sz w:val="20"/>
                <w:szCs w:val="20"/>
                <w:lang w:val="es-MX" w:eastAsia="es-MX"/>
              </w:rPr>
              <w:t>25,352,221.00</w:t>
            </w:r>
          </w:p>
        </w:tc>
        <w:tc>
          <w:tcPr>
            <w:tcW w:w="1540" w:type="dxa"/>
            <w:tcBorders>
              <w:top w:val="nil"/>
              <w:left w:val="nil"/>
              <w:bottom w:val="single" w:sz="8" w:space="0" w:color="A6A6A6"/>
              <w:right w:val="single" w:sz="8" w:space="0" w:color="A6A6A6"/>
            </w:tcBorders>
            <w:shd w:val="clear" w:color="auto" w:fill="auto"/>
            <w:vAlign w:val="center"/>
          </w:tcPr>
          <w:p w14:paraId="602789F7" w14:textId="77777777" w:rsidR="00CC0740" w:rsidRPr="006D66C4" w:rsidRDefault="00CC0740" w:rsidP="00BF7D12">
            <w:pPr>
              <w:jc w:val="right"/>
              <w:rPr>
                <w:color w:val="000000"/>
                <w:sz w:val="20"/>
                <w:szCs w:val="20"/>
                <w:lang w:val="es-MX" w:eastAsia="es-MX"/>
              </w:rPr>
            </w:pPr>
            <w:r w:rsidRPr="006D66C4">
              <w:rPr>
                <w:color w:val="000000"/>
                <w:sz w:val="20"/>
                <w:szCs w:val="20"/>
                <w:lang w:val="es-MX" w:eastAsia="es-MX"/>
              </w:rPr>
              <w:t>25,352,221.00</w:t>
            </w:r>
          </w:p>
        </w:tc>
      </w:tr>
      <w:tr w:rsidR="00CC0740" w:rsidRPr="007B09E5" w14:paraId="5C3453C7" w14:textId="77777777" w:rsidTr="00BF7D12">
        <w:trPr>
          <w:trHeight w:val="615"/>
          <w:jc w:val="center"/>
        </w:trPr>
        <w:tc>
          <w:tcPr>
            <w:tcW w:w="2696" w:type="dxa"/>
            <w:tcBorders>
              <w:top w:val="nil"/>
              <w:left w:val="single" w:sz="8" w:space="0" w:color="A6A6A6"/>
              <w:bottom w:val="single" w:sz="8" w:space="0" w:color="A6A6A6"/>
              <w:right w:val="single" w:sz="8" w:space="0" w:color="A6A6A6"/>
            </w:tcBorders>
            <w:shd w:val="clear" w:color="auto" w:fill="auto"/>
            <w:vAlign w:val="center"/>
            <w:hideMark/>
          </w:tcPr>
          <w:p w14:paraId="4A20A27E" w14:textId="77777777" w:rsidR="00CC0740" w:rsidRPr="007B09E5" w:rsidRDefault="00CC0740" w:rsidP="00BF7D12">
            <w:pPr>
              <w:spacing w:line="360" w:lineRule="auto"/>
              <w:jc w:val="both"/>
              <w:rPr>
                <w:color w:val="000000"/>
                <w:sz w:val="20"/>
                <w:szCs w:val="20"/>
              </w:rPr>
            </w:pPr>
            <w:r w:rsidRPr="007B09E5">
              <w:rPr>
                <w:color w:val="000000"/>
                <w:sz w:val="20"/>
                <w:szCs w:val="20"/>
              </w:rPr>
              <w:t>Instituto Tlaxcalteca de Elecciones</w:t>
            </w:r>
          </w:p>
        </w:tc>
        <w:tc>
          <w:tcPr>
            <w:tcW w:w="1540" w:type="dxa"/>
            <w:tcBorders>
              <w:top w:val="nil"/>
              <w:left w:val="nil"/>
              <w:bottom w:val="single" w:sz="8" w:space="0" w:color="A6A6A6"/>
              <w:right w:val="single" w:sz="8" w:space="0" w:color="A6A6A6"/>
            </w:tcBorders>
            <w:shd w:val="clear" w:color="auto" w:fill="auto"/>
            <w:vAlign w:val="center"/>
          </w:tcPr>
          <w:p w14:paraId="6106A8DE" w14:textId="77777777" w:rsidR="00CC0740" w:rsidRPr="006D66C4" w:rsidRDefault="00CC0740" w:rsidP="00BF7D12">
            <w:pPr>
              <w:jc w:val="right"/>
              <w:rPr>
                <w:color w:val="000000"/>
                <w:sz w:val="20"/>
                <w:szCs w:val="20"/>
                <w:lang w:val="es-MX" w:eastAsia="es-MX"/>
              </w:rPr>
            </w:pPr>
            <w:r w:rsidRPr="006D66C4">
              <w:rPr>
                <w:color w:val="000000"/>
                <w:sz w:val="20"/>
                <w:szCs w:val="20"/>
                <w:lang w:eastAsia="es-MX"/>
              </w:rPr>
              <w:t>106,128,666.00</w:t>
            </w:r>
          </w:p>
        </w:tc>
        <w:tc>
          <w:tcPr>
            <w:tcW w:w="1830" w:type="dxa"/>
            <w:tcBorders>
              <w:top w:val="nil"/>
              <w:left w:val="nil"/>
              <w:bottom w:val="single" w:sz="8" w:space="0" w:color="A6A6A6"/>
              <w:right w:val="single" w:sz="8" w:space="0" w:color="A6A6A6"/>
            </w:tcBorders>
            <w:shd w:val="clear" w:color="auto" w:fill="auto"/>
            <w:vAlign w:val="center"/>
          </w:tcPr>
          <w:p w14:paraId="57893878" w14:textId="77777777" w:rsidR="00CC0740" w:rsidRPr="006D66C4" w:rsidRDefault="00CC0740" w:rsidP="00BF7D12">
            <w:pPr>
              <w:jc w:val="right"/>
              <w:rPr>
                <w:color w:val="000000"/>
                <w:sz w:val="20"/>
                <w:szCs w:val="20"/>
                <w:lang w:val="es-MX" w:eastAsia="es-MX"/>
              </w:rPr>
            </w:pPr>
            <w:r w:rsidRPr="006D66C4">
              <w:rPr>
                <w:color w:val="000000"/>
                <w:sz w:val="20"/>
                <w:szCs w:val="20"/>
                <w:lang w:val="es-MX" w:eastAsia="es-MX"/>
              </w:rPr>
              <w:t>116,890,308.00</w:t>
            </w:r>
          </w:p>
        </w:tc>
        <w:tc>
          <w:tcPr>
            <w:tcW w:w="1540" w:type="dxa"/>
            <w:tcBorders>
              <w:top w:val="nil"/>
              <w:left w:val="nil"/>
              <w:bottom w:val="single" w:sz="8" w:space="0" w:color="A6A6A6"/>
              <w:right w:val="single" w:sz="8" w:space="0" w:color="A6A6A6"/>
            </w:tcBorders>
            <w:shd w:val="clear" w:color="auto" w:fill="auto"/>
            <w:vAlign w:val="center"/>
          </w:tcPr>
          <w:p w14:paraId="46483C0B" w14:textId="77777777" w:rsidR="00CC0740" w:rsidRPr="006D66C4" w:rsidRDefault="00CC0740" w:rsidP="00BF7D12">
            <w:pPr>
              <w:jc w:val="right"/>
              <w:rPr>
                <w:color w:val="000000"/>
                <w:sz w:val="20"/>
                <w:szCs w:val="20"/>
                <w:lang w:val="es-MX" w:eastAsia="es-MX"/>
              </w:rPr>
            </w:pPr>
            <w:r w:rsidRPr="006D66C4">
              <w:rPr>
                <w:color w:val="000000"/>
                <w:sz w:val="20"/>
                <w:szCs w:val="20"/>
                <w:lang w:val="es-MX" w:eastAsia="es-MX"/>
              </w:rPr>
              <w:t>113,490,308.00</w:t>
            </w:r>
          </w:p>
        </w:tc>
      </w:tr>
      <w:tr w:rsidR="00CC0740" w:rsidRPr="007B09E5" w14:paraId="7D430633" w14:textId="77777777" w:rsidTr="00BF7D12">
        <w:trPr>
          <w:trHeight w:val="754"/>
          <w:jc w:val="center"/>
        </w:trPr>
        <w:tc>
          <w:tcPr>
            <w:tcW w:w="2696" w:type="dxa"/>
            <w:tcBorders>
              <w:top w:val="nil"/>
              <w:left w:val="single" w:sz="8" w:space="0" w:color="A6A6A6"/>
              <w:bottom w:val="single" w:sz="8" w:space="0" w:color="A6A6A6"/>
              <w:right w:val="single" w:sz="8" w:space="0" w:color="A6A6A6"/>
            </w:tcBorders>
            <w:shd w:val="clear" w:color="auto" w:fill="auto"/>
            <w:vAlign w:val="center"/>
            <w:hideMark/>
          </w:tcPr>
          <w:p w14:paraId="5E7ED4B4" w14:textId="77777777" w:rsidR="00CC0740" w:rsidRPr="007B09E5" w:rsidRDefault="00CC0740" w:rsidP="00BF7D12">
            <w:pPr>
              <w:spacing w:line="360" w:lineRule="auto"/>
              <w:jc w:val="both"/>
              <w:rPr>
                <w:color w:val="000000"/>
                <w:sz w:val="20"/>
                <w:szCs w:val="20"/>
              </w:rPr>
            </w:pPr>
            <w:r w:rsidRPr="007B09E5">
              <w:rPr>
                <w:color w:val="000000"/>
                <w:sz w:val="20"/>
                <w:szCs w:val="20"/>
              </w:rPr>
              <w:t>Instituto de Acceso a la Información Pública y Protección de Datos Personales</w:t>
            </w:r>
          </w:p>
        </w:tc>
        <w:tc>
          <w:tcPr>
            <w:tcW w:w="1540" w:type="dxa"/>
            <w:tcBorders>
              <w:top w:val="nil"/>
              <w:left w:val="nil"/>
              <w:bottom w:val="single" w:sz="8" w:space="0" w:color="A6A6A6"/>
              <w:right w:val="single" w:sz="8" w:space="0" w:color="A6A6A6"/>
            </w:tcBorders>
            <w:shd w:val="clear" w:color="auto" w:fill="auto"/>
            <w:vAlign w:val="center"/>
          </w:tcPr>
          <w:p w14:paraId="42B2EE4F" w14:textId="77777777" w:rsidR="00CC0740" w:rsidRPr="006D66C4" w:rsidRDefault="00CC0740" w:rsidP="00BF7D12">
            <w:pPr>
              <w:jc w:val="right"/>
              <w:rPr>
                <w:color w:val="000000"/>
                <w:sz w:val="20"/>
                <w:szCs w:val="20"/>
                <w:lang w:val="es-MX" w:eastAsia="es-MX"/>
              </w:rPr>
            </w:pPr>
            <w:r w:rsidRPr="006D66C4">
              <w:rPr>
                <w:color w:val="000000"/>
                <w:sz w:val="20"/>
                <w:szCs w:val="20"/>
                <w:lang w:eastAsia="es-MX"/>
              </w:rPr>
              <w:t>17,379,753.00</w:t>
            </w:r>
          </w:p>
        </w:tc>
        <w:tc>
          <w:tcPr>
            <w:tcW w:w="1830" w:type="dxa"/>
            <w:tcBorders>
              <w:top w:val="nil"/>
              <w:left w:val="nil"/>
              <w:bottom w:val="single" w:sz="8" w:space="0" w:color="A6A6A6"/>
              <w:right w:val="single" w:sz="8" w:space="0" w:color="A6A6A6"/>
            </w:tcBorders>
            <w:shd w:val="clear" w:color="auto" w:fill="auto"/>
            <w:vAlign w:val="center"/>
          </w:tcPr>
          <w:p w14:paraId="656D1C45" w14:textId="77777777" w:rsidR="00CC0740" w:rsidRPr="006D66C4" w:rsidRDefault="00CC0740" w:rsidP="00BF7D12">
            <w:pPr>
              <w:jc w:val="right"/>
              <w:rPr>
                <w:color w:val="000000"/>
                <w:sz w:val="20"/>
                <w:szCs w:val="20"/>
                <w:lang w:val="es-MX" w:eastAsia="es-MX"/>
              </w:rPr>
            </w:pPr>
            <w:r w:rsidRPr="006D66C4">
              <w:rPr>
                <w:color w:val="000000"/>
                <w:sz w:val="20"/>
                <w:szCs w:val="20"/>
                <w:lang w:val="es-MX" w:eastAsia="es-MX"/>
              </w:rPr>
              <w:t>19,043,057.00</w:t>
            </w:r>
          </w:p>
        </w:tc>
        <w:tc>
          <w:tcPr>
            <w:tcW w:w="1540" w:type="dxa"/>
            <w:tcBorders>
              <w:top w:val="nil"/>
              <w:left w:val="nil"/>
              <w:bottom w:val="single" w:sz="8" w:space="0" w:color="A6A6A6"/>
              <w:right w:val="single" w:sz="8" w:space="0" w:color="A6A6A6"/>
            </w:tcBorders>
            <w:shd w:val="clear" w:color="auto" w:fill="auto"/>
            <w:vAlign w:val="center"/>
          </w:tcPr>
          <w:p w14:paraId="25E27F86" w14:textId="77777777" w:rsidR="00CC0740" w:rsidRPr="006D66C4" w:rsidRDefault="00CC0740" w:rsidP="00BF7D12">
            <w:pPr>
              <w:jc w:val="right"/>
              <w:rPr>
                <w:color w:val="000000"/>
                <w:sz w:val="20"/>
                <w:szCs w:val="20"/>
                <w:lang w:val="es-MX" w:eastAsia="es-MX"/>
              </w:rPr>
            </w:pPr>
            <w:r w:rsidRPr="006D66C4">
              <w:rPr>
                <w:color w:val="000000"/>
                <w:sz w:val="20"/>
                <w:szCs w:val="20"/>
                <w:lang w:val="es-MX" w:eastAsia="es-MX"/>
              </w:rPr>
              <w:t>19,043,057.00</w:t>
            </w:r>
          </w:p>
        </w:tc>
      </w:tr>
      <w:tr w:rsidR="00CC0740" w:rsidRPr="007B09E5" w14:paraId="11B1B278" w14:textId="77777777" w:rsidTr="00BF7D12">
        <w:trPr>
          <w:trHeight w:val="611"/>
          <w:jc w:val="center"/>
        </w:trPr>
        <w:tc>
          <w:tcPr>
            <w:tcW w:w="2696" w:type="dxa"/>
            <w:tcBorders>
              <w:top w:val="nil"/>
              <w:left w:val="single" w:sz="8" w:space="0" w:color="A6A6A6"/>
              <w:bottom w:val="single" w:sz="8" w:space="0" w:color="A6A6A6"/>
              <w:right w:val="single" w:sz="8" w:space="0" w:color="A6A6A6"/>
            </w:tcBorders>
            <w:shd w:val="clear" w:color="auto" w:fill="auto"/>
            <w:vAlign w:val="center"/>
            <w:hideMark/>
          </w:tcPr>
          <w:p w14:paraId="0F51E085" w14:textId="77777777" w:rsidR="00CC0740" w:rsidRPr="007B09E5" w:rsidRDefault="00CC0740" w:rsidP="00BF7D12">
            <w:pPr>
              <w:spacing w:line="360" w:lineRule="auto"/>
              <w:jc w:val="both"/>
              <w:rPr>
                <w:color w:val="000000"/>
                <w:sz w:val="20"/>
                <w:szCs w:val="20"/>
              </w:rPr>
            </w:pPr>
            <w:r w:rsidRPr="007B09E5">
              <w:rPr>
                <w:color w:val="000000"/>
                <w:sz w:val="20"/>
                <w:szCs w:val="20"/>
              </w:rPr>
              <w:t>Tribunal de Conciliación y Arbitraje</w:t>
            </w:r>
          </w:p>
        </w:tc>
        <w:tc>
          <w:tcPr>
            <w:tcW w:w="1540" w:type="dxa"/>
            <w:tcBorders>
              <w:top w:val="nil"/>
              <w:left w:val="nil"/>
              <w:bottom w:val="single" w:sz="8" w:space="0" w:color="A6A6A6"/>
              <w:right w:val="single" w:sz="8" w:space="0" w:color="A6A6A6"/>
            </w:tcBorders>
            <w:shd w:val="clear" w:color="auto" w:fill="auto"/>
            <w:vAlign w:val="center"/>
          </w:tcPr>
          <w:p w14:paraId="531F09E2" w14:textId="77777777" w:rsidR="00CC0740" w:rsidRPr="006D66C4" w:rsidRDefault="00CC0740" w:rsidP="00BF7D12">
            <w:pPr>
              <w:jc w:val="right"/>
              <w:rPr>
                <w:color w:val="000000"/>
                <w:sz w:val="20"/>
                <w:szCs w:val="20"/>
                <w:lang w:val="es-MX" w:eastAsia="es-MX"/>
              </w:rPr>
            </w:pPr>
            <w:r w:rsidRPr="006D66C4">
              <w:rPr>
                <w:color w:val="000000"/>
                <w:sz w:val="20"/>
                <w:szCs w:val="20"/>
                <w:lang w:eastAsia="es-MX"/>
              </w:rPr>
              <w:t>17,022,339.00</w:t>
            </w:r>
          </w:p>
        </w:tc>
        <w:tc>
          <w:tcPr>
            <w:tcW w:w="1830" w:type="dxa"/>
            <w:tcBorders>
              <w:top w:val="nil"/>
              <w:left w:val="nil"/>
              <w:bottom w:val="single" w:sz="8" w:space="0" w:color="A6A6A6"/>
              <w:right w:val="single" w:sz="8" w:space="0" w:color="A6A6A6"/>
            </w:tcBorders>
            <w:shd w:val="clear" w:color="auto" w:fill="auto"/>
            <w:vAlign w:val="center"/>
          </w:tcPr>
          <w:p w14:paraId="68CB0C73" w14:textId="77777777" w:rsidR="00CC0740" w:rsidRPr="006D66C4" w:rsidRDefault="00CC0740" w:rsidP="00BF7D12">
            <w:pPr>
              <w:jc w:val="right"/>
              <w:rPr>
                <w:color w:val="000000"/>
                <w:sz w:val="20"/>
                <w:szCs w:val="20"/>
                <w:lang w:val="es-MX" w:eastAsia="es-MX"/>
              </w:rPr>
            </w:pPr>
            <w:r w:rsidRPr="006D66C4">
              <w:rPr>
                <w:color w:val="000000"/>
                <w:sz w:val="20"/>
                <w:szCs w:val="20"/>
                <w:lang w:val="es-MX" w:eastAsia="es-MX"/>
              </w:rPr>
              <w:t>17,481,909.00</w:t>
            </w:r>
          </w:p>
        </w:tc>
        <w:tc>
          <w:tcPr>
            <w:tcW w:w="1540" w:type="dxa"/>
            <w:tcBorders>
              <w:top w:val="nil"/>
              <w:left w:val="nil"/>
              <w:bottom w:val="single" w:sz="8" w:space="0" w:color="A6A6A6"/>
              <w:right w:val="single" w:sz="8" w:space="0" w:color="A6A6A6"/>
            </w:tcBorders>
            <w:shd w:val="clear" w:color="auto" w:fill="auto"/>
            <w:vAlign w:val="center"/>
          </w:tcPr>
          <w:p w14:paraId="50A98074" w14:textId="77777777" w:rsidR="00CC0740" w:rsidRPr="006D66C4" w:rsidRDefault="00CC0740" w:rsidP="00BF7D12">
            <w:pPr>
              <w:jc w:val="right"/>
              <w:rPr>
                <w:color w:val="000000"/>
                <w:sz w:val="20"/>
                <w:szCs w:val="20"/>
                <w:lang w:val="es-MX" w:eastAsia="es-MX"/>
              </w:rPr>
            </w:pPr>
            <w:r w:rsidRPr="006D66C4">
              <w:rPr>
                <w:color w:val="000000"/>
                <w:sz w:val="20"/>
                <w:szCs w:val="20"/>
                <w:lang w:val="es-MX" w:eastAsia="es-MX"/>
              </w:rPr>
              <w:t>17,481,909.00</w:t>
            </w:r>
          </w:p>
        </w:tc>
      </w:tr>
      <w:tr w:rsidR="00CC0740" w:rsidRPr="007B09E5" w14:paraId="59D21F42" w14:textId="77777777" w:rsidTr="00BF7D12">
        <w:trPr>
          <w:trHeight w:val="615"/>
          <w:jc w:val="center"/>
        </w:trPr>
        <w:tc>
          <w:tcPr>
            <w:tcW w:w="2696" w:type="dxa"/>
            <w:tcBorders>
              <w:top w:val="nil"/>
              <w:left w:val="single" w:sz="8" w:space="0" w:color="A6A6A6"/>
              <w:bottom w:val="single" w:sz="8" w:space="0" w:color="A6A6A6"/>
              <w:right w:val="single" w:sz="8" w:space="0" w:color="A6A6A6"/>
            </w:tcBorders>
            <w:shd w:val="clear" w:color="auto" w:fill="auto"/>
            <w:vAlign w:val="center"/>
            <w:hideMark/>
          </w:tcPr>
          <w:p w14:paraId="69184E47" w14:textId="77777777" w:rsidR="00CC0740" w:rsidRPr="007B09E5" w:rsidRDefault="00CC0740" w:rsidP="00BF7D12">
            <w:pPr>
              <w:spacing w:line="360" w:lineRule="auto"/>
              <w:jc w:val="both"/>
              <w:rPr>
                <w:color w:val="000000"/>
                <w:sz w:val="20"/>
                <w:szCs w:val="20"/>
              </w:rPr>
            </w:pPr>
            <w:r w:rsidRPr="007B09E5">
              <w:rPr>
                <w:color w:val="000000"/>
                <w:sz w:val="20"/>
                <w:szCs w:val="20"/>
              </w:rPr>
              <w:t>Tribunal Electoral de Tlaxcala</w:t>
            </w:r>
          </w:p>
        </w:tc>
        <w:tc>
          <w:tcPr>
            <w:tcW w:w="1540" w:type="dxa"/>
            <w:tcBorders>
              <w:top w:val="nil"/>
              <w:left w:val="nil"/>
              <w:bottom w:val="single" w:sz="8" w:space="0" w:color="A6A6A6"/>
              <w:right w:val="single" w:sz="8" w:space="0" w:color="A6A6A6"/>
            </w:tcBorders>
            <w:shd w:val="clear" w:color="auto" w:fill="auto"/>
            <w:vAlign w:val="center"/>
          </w:tcPr>
          <w:p w14:paraId="647FEBD5" w14:textId="77777777" w:rsidR="00CC0740" w:rsidRPr="006D66C4" w:rsidRDefault="00CC0740" w:rsidP="00BF7D12">
            <w:pPr>
              <w:jc w:val="right"/>
              <w:rPr>
                <w:color w:val="000000"/>
                <w:sz w:val="20"/>
                <w:szCs w:val="20"/>
                <w:lang w:val="es-MX" w:eastAsia="es-MX"/>
              </w:rPr>
            </w:pPr>
            <w:r w:rsidRPr="006D66C4">
              <w:rPr>
                <w:color w:val="000000"/>
                <w:sz w:val="20"/>
                <w:szCs w:val="20"/>
                <w:lang w:eastAsia="es-MX"/>
              </w:rPr>
              <w:t>34,121,343.00</w:t>
            </w:r>
          </w:p>
        </w:tc>
        <w:tc>
          <w:tcPr>
            <w:tcW w:w="1830" w:type="dxa"/>
            <w:tcBorders>
              <w:top w:val="nil"/>
              <w:left w:val="nil"/>
              <w:bottom w:val="single" w:sz="8" w:space="0" w:color="A6A6A6"/>
              <w:right w:val="single" w:sz="8" w:space="0" w:color="A6A6A6"/>
            </w:tcBorders>
            <w:shd w:val="clear" w:color="auto" w:fill="auto"/>
            <w:vAlign w:val="center"/>
          </w:tcPr>
          <w:p w14:paraId="1A8735C1" w14:textId="77777777" w:rsidR="00CC0740" w:rsidRPr="006D66C4" w:rsidRDefault="00CC0740" w:rsidP="00BF7D12">
            <w:pPr>
              <w:jc w:val="right"/>
              <w:rPr>
                <w:color w:val="000000"/>
                <w:sz w:val="20"/>
                <w:szCs w:val="20"/>
                <w:lang w:val="es-MX" w:eastAsia="es-MX"/>
              </w:rPr>
            </w:pPr>
            <w:r w:rsidRPr="006D66C4">
              <w:rPr>
                <w:color w:val="000000"/>
                <w:sz w:val="20"/>
                <w:szCs w:val="20"/>
                <w:lang w:val="es-MX" w:eastAsia="es-MX"/>
              </w:rPr>
              <w:t>35,715,123.00</w:t>
            </w:r>
          </w:p>
        </w:tc>
        <w:tc>
          <w:tcPr>
            <w:tcW w:w="1540" w:type="dxa"/>
            <w:tcBorders>
              <w:top w:val="nil"/>
              <w:left w:val="nil"/>
              <w:bottom w:val="single" w:sz="8" w:space="0" w:color="A6A6A6"/>
              <w:right w:val="single" w:sz="8" w:space="0" w:color="A6A6A6"/>
            </w:tcBorders>
            <w:shd w:val="clear" w:color="auto" w:fill="auto"/>
            <w:vAlign w:val="center"/>
          </w:tcPr>
          <w:p w14:paraId="5025EBC1" w14:textId="77777777" w:rsidR="00CC0740" w:rsidRPr="006D66C4" w:rsidRDefault="00CC0740" w:rsidP="00BF7D12">
            <w:pPr>
              <w:jc w:val="right"/>
              <w:rPr>
                <w:color w:val="000000"/>
                <w:sz w:val="20"/>
                <w:szCs w:val="20"/>
                <w:lang w:val="es-MX" w:eastAsia="es-MX"/>
              </w:rPr>
            </w:pPr>
            <w:r w:rsidRPr="006D66C4">
              <w:rPr>
                <w:color w:val="000000"/>
                <w:sz w:val="20"/>
                <w:szCs w:val="20"/>
                <w:lang w:val="es-MX" w:eastAsia="es-MX"/>
              </w:rPr>
              <w:t>35,715,123.00</w:t>
            </w:r>
          </w:p>
        </w:tc>
      </w:tr>
      <w:tr w:rsidR="00CC0740" w:rsidRPr="007B09E5" w14:paraId="59CDE7E5" w14:textId="77777777" w:rsidTr="00BF7D12">
        <w:trPr>
          <w:trHeight w:val="615"/>
          <w:jc w:val="center"/>
        </w:trPr>
        <w:tc>
          <w:tcPr>
            <w:tcW w:w="2696" w:type="dxa"/>
            <w:tcBorders>
              <w:top w:val="nil"/>
              <w:left w:val="single" w:sz="8" w:space="0" w:color="A6A6A6"/>
              <w:bottom w:val="single" w:sz="8" w:space="0" w:color="A6A6A6"/>
              <w:right w:val="single" w:sz="8" w:space="0" w:color="A6A6A6"/>
            </w:tcBorders>
            <w:shd w:val="clear" w:color="auto" w:fill="auto"/>
            <w:vAlign w:val="center"/>
          </w:tcPr>
          <w:p w14:paraId="6D060024" w14:textId="77777777" w:rsidR="00CC0740" w:rsidRPr="007B09E5" w:rsidRDefault="00CC0740" w:rsidP="00BF7D12">
            <w:pPr>
              <w:spacing w:line="360" w:lineRule="auto"/>
              <w:jc w:val="both"/>
              <w:rPr>
                <w:color w:val="000000"/>
                <w:sz w:val="20"/>
                <w:szCs w:val="20"/>
              </w:rPr>
            </w:pPr>
            <w:r w:rsidRPr="007B09E5">
              <w:rPr>
                <w:color w:val="000000"/>
                <w:sz w:val="20"/>
                <w:szCs w:val="20"/>
              </w:rPr>
              <w:t>Secretaría Ejecutiva del Sistema Anticorrupción del Estado de Tlaxcala</w:t>
            </w:r>
          </w:p>
        </w:tc>
        <w:tc>
          <w:tcPr>
            <w:tcW w:w="1540" w:type="dxa"/>
            <w:tcBorders>
              <w:top w:val="nil"/>
              <w:left w:val="nil"/>
              <w:bottom w:val="single" w:sz="8" w:space="0" w:color="A6A6A6"/>
              <w:right w:val="single" w:sz="8" w:space="0" w:color="A6A6A6"/>
            </w:tcBorders>
            <w:shd w:val="clear" w:color="auto" w:fill="auto"/>
            <w:vAlign w:val="center"/>
          </w:tcPr>
          <w:p w14:paraId="1A4044C4" w14:textId="77777777" w:rsidR="00CC0740" w:rsidRPr="006D66C4" w:rsidRDefault="00CC0740" w:rsidP="00BF7D12">
            <w:pPr>
              <w:jc w:val="right"/>
              <w:rPr>
                <w:color w:val="000000"/>
                <w:sz w:val="20"/>
                <w:szCs w:val="20"/>
                <w:lang w:val="es-MX" w:eastAsia="es-MX"/>
              </w:rPr>
            </w:pPr>
            <w:r w:rsidRPr="006D66C4">
              <w:rPr>
                <w:color w:val="000000"/>
                <w:sz w:val="20"/>
                <w:szCs w:val="20"/>
                <w:lang w:eastAsia="es-MX"/>
              </w:rPr>
              <w:t>12,233,186.00</w:t>
            </w:r>
          </w:p>
        </w:tc>
        <w:tc>
          <w:tcPr>
            <w:tcW w:w="1830" w:type="dxa"/>
            <w:tcBorders>
              <w:top w:val="nil"/>
              <w:left w:val="nil"/>
              <w:bottom w:val="single" w:sz="8" w:space="0" w:color="A6A6A6"/>
              <w:right w:val="single" w:sz="8" w:space="0" w:color="A6A6A6"/>
            </w:tcBorders>
            <w:shd w:val="clear" w:color="auto" w:fill="auto"/>
            <w:vAlign w:val="center"/>
          </w:tcPr>
          <w:p w14:paraId="2E9AC508" w14:textId="77777777" w:rsidR="00CC0740" w:rsidRPr="006D66C4" w:rsidRDefault="00CC0740" w:rsidP="00BF7D12">
            <w:pPr>
              <w:jc w:val="right"/>
              <w:rPr>
                <w:color w:val="000000"/>
                <w:sz w:val="20"/>
                <w:szCs w:val="20"/>
                <w:lang w:val="es-MX" w:eastAsia="es-MX"/>
              </w:rPr>
            </w:pPr>
            <w:r w:rsidRPr="006D66C4">
              <w:rPr>
                <w:color w:val="000000"/>
                <w:sz w:val="20"/>
                <w:szCs w:val="20"/>
                <w:lang w:val="es-MX" w:eastAsia="es-MX"/>
              </w:rPr>
              <w:t>12,600,182.00</w:t>
            </w:r>
          </w:p>
        </w:tc>
        <w:tc>
          <w:tcPr>
            <w:tcW w:w="1540" w:type="dxa"/>
            <w:tcBorders>
              <w:top w:val="nil"/>
              <w:left w:val="nil"/>
              <w:bottom w:val="single" w:sz="8" w:space="0" w:color="A6A6A6"/>
              <w:right w:val="single" w:sz="8" w:space="0" w:color="A6A6A6"/>
            </w:tcBorders>
            <w:shd w:val="clear" w:color="auto" w:fill="auto"/>
            <w:vAlign w:val="center"/>
          </w:tcPr>
          <w:p w14:paraId="028595BB" w14:textId="77777777" w:rsidR="00CC0740" w:rsidRPr="006D66C4" w:rsidRDefault="00CC0740" w:rsidP="00BF7D12">
            <w:pPr>
              <w:jc w:val="right"/>
              <w:rPr>
                <w:color w:val="000000"/>
                <w:sz w:val="20"/>
                <w:szCs w:val="20"/>
                <w:lang w:val="es-MX" w:eastAsia="es-MX"/>
              </w:rPr>
            </w:pPr>
            <w:r w:rsidRPr="006D66C4">
              <w:rPr>
                <w:color w:val="000000"/>
                <w:sz w:val="20"/>
                <w:szCs w:val="20"/>
                <w:lang w:val="es-MX" w:eastAsia="es-MX"/>
              </w:rPr>
              <w:t>12,600,182.00</w:t>
            </w:r>
          </w:p>
        </w:tc>
      </w:tr>
      <w:tr w:rsidR="00CC0740" w:rsidRPr="007B09E5" w14:paraId="261D7D9F" w14:textId="77777777" w:rsidTr="00BF7D12">
        <w:trPr>
          <w:trHeight w:val="615"/>
          <w:jc w:val="center"/>
        </w:trPr>
        <w:tc>
          <w:tcPr>
            <w:tcW w:w="2696" w:type="dxa"/>
            <w:tcBorders>
              <w:top w:val="nil"/>
              <w:left w:val="single" w:sz="8" w:space="0" w:color="A6A6A6"/>
              <w:bottom w:val="single" w:sz="8" w:space="0" w:color="A6A6A6"/>
              <w:right w:val="single" w:sz="8" w:space="0" w:color="A6A6A6"/>
            </w:tcBorders>
            <w:shd w:val="clear" w:color="auto" w:fill="auto"/>
            <w:vAlign w:val="center"/>
          </w:tcPr>
          <w:p w14:paraId="4B46288A" w14:textId="77777777" w:rsidR="00CC0740" w:rsidRPr="007B09E5" w:rsidRDefault="00CC0740" w:rsidP="00BF7D12">
            <w:pPr>
              <w:spacing w:line="360" w:lineRule="auto"/>
              <w:jc w:val="both"/>
              <w:rPr>
                <w:color w:val="000000"/>
                <w:sz w:val="20"/>
                <w:szCs w:val="20"/>
              </w:rPr>
            </w:pPr>
            <w:r w:rsidRPr="007B09E5">
              <w:rPr>
                <w:color w:val="000000"/>
                <w:sz w:val="20"/>
                <w:szCs w:val="20"/>
              </w:rPr>
              <w:t>Tribunal de Justicia Administrativa</w:t>
            </w:r>
          </w:p>
        </w:tc>
        <w:tc>
          <w:tcPr>
            <w:tcW w:w="1540" w:type="dxa"/>
            <w:tcBorders>
              <w:top w:val="nil"/>
              <w:left w:val="nil"/>
              <w:bottom w:val="single" w:sz="8" w:space="0" w:color="A6A6A6"/>
              <w:right w:val="single" w:sz="8" w:space="0" w:color="A6A6A6"/>
            </w:tcBorders>
            <w:shd w:val="clear" w:color="auto" w:fill="auto"/>
            <w:vAlign w:val="center"/>
          </w:tcPr>
          <w:p w14:paraId="5D8E19A3" w14:textId="77777777" w:rsidR="00CC0740" w:rsidRPr="006D66C4" w:rsidRDefault="00CC0740" w:rsidP="00BF7D12">
            <w:pPr>
              <w:jc w:val="right"/>
              <w:rPr>
                <w:color w:val="000000"/>
                <w:sz w:val="20"/>
                <w:szCs w:val="20"/>
                <w:lang w:val="es-MX" w:eastAsia="es-MX"/>
              </w:rPr>
            </w:pPr>
            <w:r w:rsidRPr="006D66C4">
              <w:rPr>
                <w:color w:val="000000"/>
                <w:sz w:val="20"/>
                <w:szCs w:val="20"/>
                <w:lang w:eastAsia="es-MX"/>
              </w:rPr>
              <w:t>50,481,622.00</w:t>
            </w:r>
          </w:p>
        </w:tc>
        <w:tc>
          <w:tcPr>
            <w:tcW w:w="1830" w:type="dxa"/>
            <w:tcBorders>
              <w:top w:val="nil"/>
              <w:left w:val="nil"/>
              <w:bottom w:val="single" w:sz="8" w:space="0" w:color="A6A6A6"/>
              <w:right w:val="single" w:sz="8" w:space="0" w:color="A6A6A6"/>
            </w:tcBorders>
            <w:shd w:val="clear" w:color="auto" w:fill="auto"/>
            <w:vAlign w:val="center"/>
          </w:tcPr>
          <w:p w14:paraId="2F7A6472" w14:textId="77777777" w:rsidR="00CC0740" w:rsidRPr="006D66C4" w:rsidRDefault="00CC0740" w:rsidP="00BF7D12">
            <w:pPr>
              <w:jc w:val="right"/>
              <w:rPr>
                <w:color w:val="000000"/>
                <w:sz w:val="20"/>
                <w:szCs w:val="20"/>
                <w:lang w:val="es-MX" w:eastAsia="es-MX"/>
              </w:rPr>
            </w:pPr>
            <w:r w:rsidRPr="006D66C4">
              <w:rPr>
                <w:color w:val="000000"/>
                <w:sz w:val="20"/>
                <w:szCs w:val="20"/>
                <w:lang w:val="es-MX" w:eastAsia="es-MX"/>
              </w:rPr>
              <w:t>53,052,716.00</w:t>
            </w:r>
          </w:p>
        </w:tc>
        <w:tc>
          <w:tcPr>
            <w:tcW w:w="1540" w:type="dxa"/>
            <w:tcBorders>
              <w:top w:val="nil"/>
              <w:left w:val="nil"/>
              <w:bottom w:val="single" w:sz="8" w:space="0" w:color="A6A6A6"/>
              <w:right w:val="single" w:sz="8" w:space="0" w:color="A6A6A6"/>
            </w:tcBorders>
            <w:shd w:val="clear" w:color="auto" w:fill="auto"/>
            <w:vAlign w:val="center"/>
          </w:tcPr>
          <w:p w14:paraId="056C4847" w14:textId="77777777" w:rsidR="00CC0740" w:rsidRPr="006D66C4" w:rsidRDefault="00CC0740" w:rsidP="00BF7D12">
            <w:pPr>
              <w:jc w:val="right"/>
              <w:rPr>
                <w:color w:val="000000"/>
                <w:sz w:val="20"/>
                <w:szCs w:val="20"/>
                <w:lang w:val="es-MX" w:eastAsia="es-MX"/>
              </w:rPr>
            </w:pPr>
            <w:r w:rsidRPr="006D66C4">
              <w:rPr>
                <w:color w:val="000000"/>
                <w:sz w:val="20"/>
                <w:szCs w:val="20"/>
                <w:lang w:val="es-MX" w:eastAsia="es-MX"/>
              </w:rPr>
              <w:t>53,052,716.00</w:t>
            </w:r>
          </w:p>
        </w:tc>
      </w:tr>
      <w:tr w:rsidR="00CC0740" w:rsidRPr="007B09E5" w14:paraId="1D3DB405" w14:textId="77777777" w:rsidTr="00BF7D12">
        <w:trPr>
          <w:trHeight w:val="330"/>
          <w:jc w:val="center"/>
        </w:trPr>
        <w:tc>
          <w:tcPr>
            <w:tcW w:w="2696" w:type="dxa"/>
            <w:tcBorders>
              <w:top w:val="nil"/>
              <w:left w:val="single" w:sz="8" w:space="0" w:color="A6A6A6"/>
              <w:bottom w:val="single" w:sz="8" w:space="0" w:color="A6A6A6"/>
              <w:right w:val="single" w:sz="8" w:space="0" w:color="A6A6A6"/>
            </w:tcBorders>
            <w:shd w:val="clear" w:color="000000" w:fill="CCCCCC"/>
            <w:vAlign w:val="center"/>
            <w:hideMark/>
          </w:tcPr>
          <w:p w14:paraId="54690E95" w14:textId="77777777" w:rsidR="00CC0740" w:rsidRPr="007B09E5" w:rsidRDefault="00CC0740" w:rsidP="00BF7D12">
            <w:pPr>
              <w:spacing w:line="360" w:lineRule="auto"/>
              <w:jc w:val="center"/>
              <w:rPr>
                <w:b/>
                <w:bCs/>
                <w:color w:val="000000"/>
                <w:sz w:val="20"/>
                <w:szCs w:val="20"/>
              </w:rPr>
            </w:pPr>
            <w:r w:rsidRPr="007B09E5">
              <w:rPr>
                <w:b/>
                <w:bCs/>
                <w:color w:val="000000"/>
                <w:sz w:val="20"/>
                <w:szCs w:val="20"/>
              </w:rPr>
              <w:t>TOTAL</w:t>
            </w:r>
          </w:p>
        </w:tc>
        <w:tc>
          <w:tcPr>
            <w:tcW w:w="1540" w:type="dxa"/>
            <w:tcBorders>
              <w:top w:val="nil"/>
              <w:left w:val="nil"/>
              <w:bottom w:val="single" w:sz="8" w:space="0" w:color="A6A6A6"/>
              <w:right w:val="single" w:sz="8" w:space="0" w:color="A6A6A6"/>
            </w:tcBorders>
            <w:shd w:val="clear" w:color="000000" w:fill="CCCCCC"/>
            <w:vAlign w:val="center"/>
          </w:tcPr>
          <w:p w14:paraId="5D615174" w14:textId="77777777" w:rsidR="00CC0740" w:rsidRPr="006D66C4" w:rsidRDefault="00CC0740" w:rsidP="00BF7D12">
            <w:pPr>
              <w:jc w:val="right"/>
              <w:rPr>
                <w:b/>
                <w:bCs/>
                <w:sz w:val="20"/>
                <w:szCs w:val="20"/>
                <w:lang w:val="es-MX" w:eastAsia="es-MX"/>
              </w:rPr>
            </w:pPr>
            <w:r w:rsidRPr="006D66C4">
              <w:rPr>
                <w:b/>
                <w:bCs/>
                <w:sz w:val="20"/>
                <w:szCs w:val="20"/>
                <w:lang w:eastAsia="es-MX"/>
              </w:rPr>
              <w:t>1,147,901,331.00</w:t>
            </w:r>
          </w:p>
        </w:tc>
        <w:tc>
          <w:tcPr>
            <w:tcW w:w="1830" w:type="dxa"/>
            <w:tcBorders>
              <w:top w:val="nil"/>
              <w:left w:val="nil"/>
              <w:bottom w:val="single" w:sz="8" w:space="0" w:color="A6A6A6"/>
              <w:right w:val="single" w:sz="8" w:space="0" w:color="A6A6A6"/>
            </w:tcBorders>
            <w:shd w:val="clear" w:color="000000" w:fill="CCCCCC"/>
            <w:vAlign w:val="center"/>
          </w:tcPr>
          <w:p w14:paraId="797EBB7C" w14:textId="77777777" w:rsidR="00CC0740" w:rsidRPr="006D66C4" w:rsidRDefault="00CC0740" w:rsidP="00BF7D12">
            <w:pPr>
              <w:jc w:val="right"/>
              <w:rPr>
                <w:b/>
                <w:bCs/>
                <w:sz w:val="20"/>
                <w:szCs w:val="20"/>
                <w:lang w:val="es-MX" w:eastAsia="es-MX"/>
              </w:rPr>
            </w:pPr>
            <w:r w:rsidRPr="006D66C4">
              <w:rPr>
                <w:b/>
                <w:bCs/>
                <w:sz w:val="20"/>
                <w:szCs w:val="20"/>
                <w:lang w:eastAsia="es-MX"/>
              </w:rPr>
              <w:t>1,278,781,151.00</w:t>
            </w:r>
          </w:p>
        </w:tc>
        <w:tc>
          <w:tcPr>
            <w:tcW w:w="1540" w:type="dxa"/>
            <w:tcBorders>
              <w:top w:val="nil"/>
              <w:left w:val="nil"/>
              <w:bottom w:val="single" w:sz="8" w:space="0" w:color="A6A6A6"/>
              <w:right w:val="single" w:sz="8" w:space="0" w:color="A6A6A6"/>
            </w:tcBorders>
            <w:shd w:val="clear" w:color="000000" w:fill="CCCCCC"/>
            <w:vAlign w:val="center"/>
          </w:tcPr>
          <w:p w14:paraId="0DEB76EA" w14:textId="77777777" w:rsidR="00CC0740" w:rsidRPr="006D66C4" w:rsidRDefault="00CC0740" w:rsidP="00BF7D12">
            <w:pPr>
              <w:jc w:val="right"/>
              <w:rPr>
                <w:b/>
                <w:bCs/>
                <w:sz w:val="20"/>
                <w:szCs w:val="20"/>
                <w:lang w:val="es-MX" w:eastAsia="es-MX"/>
              </w:rPr>
            </w:pPr>
            <w:r w:rsidRPr="006D66C4">
              <w:rPr>
                <w:b/>
                <w:bCs/>
                <w:sz w:val="20"/>
                <w:szCs w:val="20"/>
                <w:lang w:eastAsia="es-MX"/>
              </w:rPr>
              <w:t>1,275,381,151.00</w:t>
            </w:r>
          </w:p>
        </w:tc>
      </w:tr>
    </w:tbl>
    <w:p w14:paraId="3121E23A" w14:textId="337C2952" w:rsidR="00365F12" w:rsidRDefault="00365F12" w:rsidP="00CC0740">
      <w:pPr>
        <w:spacing w:line="360" w:lineRule="auto"/>
        <w:contextualSpacing/>
        <w:rPr>
          <w:rFonts w:eastAsia="Calibri"/>
          <w:b/>
          <w:sz w:val="20"/>
          <w:szCs w:val="20"/>
        </w:rPr>
      </w:pPr>
    </w:p>
    <w:sectPr w:rsidR="00365F12" w:rsidSect="00F7063E">
      <w:footerReference w:type="even" r:id="rId65"/>
      <w:footerReference w:type="default" r:id="rId66"/>
      <w:pgSz w:w="12240" w:h="15840"/>
      <w:pgMar w:top="2835" w:right="851" w:bottom="1242" w:left="3232"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D240FD" w14:textId="77777777" w:rsidR="00D175DE" w:rsidRDefault="00D175DE">
      <w:r>
        <w:separator/>
      </w:r>
    </w:p>
  </w:endnote>
  <w:endnote w:type="continuationSeparator" w:id="0">
    <w:p w14:paraId="42312ACD" w14:textId="77777777" w:rsidR="00D175DE" w:rsidRDefault="00D175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Univers LT">
    <w:altName w:val="Univers LT"/>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WenQuanYi Micro Hei">
    <w:altName w:val="MS Gothic"/>
    <w:charset w:val="80"/>
    <w:family w:val="auto"/>
    <w:pitch w:val="variable"/>
  </w:font>
  <w:font w:name="Lohit Hindi">
    <w:altName w:val="MS Mincho"/>
    <w:charset w:val="80"/>
    <w:family w:val="auto"/>
    <w:pitch w:val="variable"/>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7868D9" w14:textId="77777777" w:rsidR="00AB35C5" w:rsidRDefault="00AB35C5">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525B0CE5" w14:textId="77777777" w:rsidR="00AB35C5" w:rsidRDefault="00AB35C5">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A89B88" w14:textId="75CEDFFF" w:rsidR="00AB35C5" w:rsidRDefault="00AB35C5">
    <w:pPr>
      <w:pStyle w:val="Piedepgina"/>
      <w:framePr w:wrap="around" w:vAnchor="text" w:hAnchor="margin" w:xAlign="right" w:y="1"/>
      <w:rPr>
        <w:rStyle w:val="Nmerodepgina"/>
        <w:rFonts w:ascii="Arial" w:hAnsi="Arial" w:cs="Arial"/>
      </w:rPr>
    </w:pPr>
    <w:r>
      <w:rPr>
        <w:rStyle w:val="Nmerodepgina"/>
        <w:rFonts w:ascii="Arial" w:hAnsi="Arial" w:cs="Arial"/>
      </w:rPr>
      <w:fldChar w:fldCharType="begin"/>
    </w:r>
    <w:r>
      <w:rPr>
        <w:rStyle w:val="Nmerodepgina"/>
        <w:rFonts w:ascii="Arial" w:hAnsi="Arial" w:cs="Arial"/>
      </w:rPr>
      <w:instrText xml:space="preserve">PAGE  </w:instrText>
    </w:r>
    <w:r>
      <w:rPr>
        <w:rStyle w:val="Nmerodepgina"/>
        <w:rFonts w:ascii="Arial" w:hAnsi="Arial" w:cs="Arial"/>
      </w:rPr>
      <w:fldChar w:fldCharType="separate"/>
    </w:r>
    <w:r w:rsidR="00D10B38">
      <w:rPr>
        <w:rStyle w:val="Nmerodepgina"/>
        <w:rFonts w:ascii="Arial" w:hAnsi="Arial" w:cs="Arial"/>
        <w:noProof/>
      </w:rPr>
      <w:t>107</w:t>
    </w:r>
    <w:r>
      <w:rPr>
        <w:rStyle w:val="Nmerodepgina"/>
        <w:rFonts w:ascii="Arial" w:hAnsi="Arial" w:cs="Arial"/>
      </w:rPr>
      <w:fldChar w:fldCharType="end"/>
    </w:r>
  </w:p>
  <w:p w14:paraId="29639736" w14:textId="77777777" w:rsidR="00AB35C5" w:rsidRDefault="00AB35C5">
    <w:pPr>
      <w:pStyle w:val="Piedepgin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8EAB72" w14:textId="77777777" w:rsidR="00D175DE" w:rsidRDefault="00D175DE">
      <w:r>
        <w:separator/>
      </w:r>
    </w:p>
  </w:footnote>
  <w:footnote w:type="continuationSeparator" w:id="0">
    <w:p w14:paraId="3710FD3A" w14:textId="77777777" w:rsidR="00D175DE" w:rsidRDefault="00D175DE">
      <w:r>
        <w:continuationSeparator/>
      </w:r>
    </w:p>
  </w:footnote>
  <w:footnote w:id="1">
    <w:p w14:paraId="29EDBD99" w14:textId="77777777" w:rsidR="00AB35C5" w:rsidRPr="00BF377A" w:rsidRDefault="00AB35C5" w:rsidP="00916798">
      <w:pPr>
        <w:pStyle w:val="Textonotapie"/>
        <w:rPr>
          <w:rFonts w:ascii="Times New Roman" w:hAnsi="Times New Roman"/>
          <w:sz w:val="16"/>
        </w:rPr>
      </w:pPr>
      <w:r w:rsidRPr="00BF377A">
        <w:rPr>
          <w:rStyle w:val="Refdenotaalpie"/>
          <w:rFonts w:ascii="Times New Roman" w:hAnsi="Times New Roman"/>
          <w:b/>
          <w:sz w:val="16"/>
        </w:rPr>
        <w:footnoteRef/>
      </w:r>
      <w:r w:rsidRPr="00BF377A">
        <w:rPr>
          <w:rFonts w:ascii="Times New Roman" w:hAnsi="Times New Roman"/>
          <w:sz w:val="16"/>
        </w:rPr>
        <w:t xml:space="preserve"> Valuaciones Actuariales del Norte, S.C. Consultoría Actuarial.</w:t>
      </w:r>
    </w:p>
  </w:footnote>
  <w:footnote w:id="2">
    <w:p w14:paraId="31C849C5" w14:textId="77777777" w:rsidR="00AB35C5" w:rsidRDefault="00AB35C5" w:rsidP="00836AD0">
      <w:pPr>
        <w:pStyle w:val="Textonotapie"/>
        <w:rPr>
          <w:sz w:val="16"/>
        </w:rPr>
      </w:pPr>
      <w:r>
        <w:rPr>
          <w:rStyle w:val="Refdenotaalpie"/>
          <w:b/>
          <w:sz w:val="16"/>
        </w:rPr>
        <w:footnoteRef/>
      </w:r>
      <w:r>
        <w:rPr>
          <w:sz w:val="16"/>
        </w:rPr>
        <w:t xml:space="preserve"> Valuaciones Actuariales del Norte, S.C. Consultoría Actuarial.</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B"/>
    <w:multiLevelType w:val="multilevel"/>
    <w:tmpl w:val="F24A82B0"/>
    <w:lvl w:ilvl="0">
      <w:numFmt w:val="decimal"/>
      <w:pStyle w:val="Ttulo9"/>
      <w:lvlText w:val="%1"/>
      <w:legacy w:legacy="1" w:legacySpace="0" w:legacyIndent="0"/>
      <w:lvlJc w:val="left"/>
    </w:lvl>
    <w:lvl w:ilvl="1">
      <w:numFmt w:val="none"/>
      <w:lvlText w:val=""/>
      <w:lvlJc w:val="left"/>
    </w:lvl>
    <w:lvl w:ilvl="2">
      <w:numFmt w:val="none"/>
      <w:lvlText w:val=""/>
      <w:lvlJc w:val="left"/>
    </w:lvl>
    <w:lvl w:ilvl="3">
      <w:numFmt w:val="none"/>
      <w:lvlText w:val=""/>
      <w:lvlJc w:val="left"/>
    </w:lvl>
    <w:lvl w:ilvl="4">
      <w:numFmt w:val="none"/>
      <w:lvlText w:val=""/>
      <w:lvlJc w:val="left"/>
    </w:lvl>
    <w:lvl w:ilvl="5">
      <w:numFmt w:val="none"/>
      <w:lvlText w:val=""/>
      <w:lvlJc w:val="left"/>
    </w:lvl>
    <w:lvl w:ilvl="6">
      <w:numFmt w:val="none"/>
      <w:lvlText w:val=""/>
      <w:lvlJc w:val="left"/>
    </w:lvl>
    <w:lvl w:ilvl="7">
      <w:numFmt w:val="none"/>
      <w:lvlText w:val=""/>
      <w:lvlJc w:val="left"/>
    </w:lvl>
    <w:lvl w:ilvl="8">
      <w:numFmt w:val="none"/>
      <w:lvlText w:val=""/>
      <w:lvlJc w:val="left"/>
    </w:lvl>
  </w:abstractNum>
  <w:abstractNum w:abstractNumId="1">
    <w:nsid w:val="01ED221F"/>
    <w:multiLevelType w:val="hybridMultilevel"/>
    <w:tmpl w:val="540A89C4"/>
    <w:lvl w:ilvl="0" w:tplc="080A000F">
      <w:start w:val="1"/>
      <w:numFmt w:val="decimal"/>
      <w:lvlText w:val="%1."/>
      <w:lvlJc w:val="left"/>
      <w:pPr>
        <w:ind w:left="720" w:hanging="360"/>
      </w:pPr>
    </w:lvl>
    <w:lvl w:ilvl="1" w:tplc="080A000F">
      <w:start w:val="1"/>
      <w:numFmt w:val="decimal"/>
      <w:lvlText w:val="%2."/>
      <w:lvlJc w:val="left"/>
      <w:pPr>
        <w:ind w:left="1440" w:hanging="360"/>
      </w:pPr>
    </w:lvl>
    <w:lvl w:ilvl="2" w:tplc="B1B6402A">
      <w:start w:val="1"/>
      <w:numFmt w:val="lowerLetter"/>
      <w:lvlText w:val="%3)"/>
      <w:lvlJc w:val="left"/>
      <w:pPr>
        <w:ind w:left="2340" w:hanging="36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47643D5"/>
    <w:multiLevelType w:val="hybridMultilevel"/>
    <w:tmpl w:val="E402AF7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2D0A12C3"/>
    <w:multiLevelType w:val="hybridMultilevel"/>
    <w:tmpl w:val="FDB0F11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2D914A24"/>
    <w:multiLevelType w:val="hybridMultilevel"/>
    <w:tmpl w:val="17D4654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2EAA63A0"/>
    <w:multiLevelType w:val="hybridMultilevel"/>
    <w:tmpl w:val="5C06BF4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310B3844"/>
    <w:multiLevelType w:val="hybridMultilevel"/>
    <w:tmpl w:val="7F0A202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320933C2"/>
    <w:multiLevelType w:val="hybridMultilevel"/>
    <w:tmpl w:val="93EA0EE0"/>
    <w:lvl w:ilvl="0" w:tplc="080A000F">
      <w:start w:val="1"/>
      <w:numFmt w:val="decimal"/>
      <w:lvlText w:val="%1."/>
      <w:lvlJc w:val="left"/>
      <w:pPr>
        <w:ind w:left="709" w:hanging="360"/>
      </w:pPr>
    </w:lvl>
    <w:lvl w:ilvl="1" w:tplc="080A0019" w:tentative="1">
      <w:start w:val="1"/>
      <w:numFmt w:val="lowerLetter"/>
      <w:lvlText w:val="%2."/>
      <w:lvlJc w:val="left"/>
      <w:pPr>
        <w:ind w:left="1429" w:hanging="360"/>
      </w:pPr>
    </w:lvl>
    <w:lvl w:ilvl="2" w:tplc="080A001B" w:tentative="1">
      <w:start w:val="1"/>
      <w:numFmt w:val="lowerRoman"/>
      <w:lvlText w:val="%3."/>
      <w:lvlJc w:val="right"/>
      <w:pPr>
        <w:ind w:left="2149" w:hanging="180"/>
      </w:pPr>
    </w:lvl>
    <w:lvl w:ilvl="3" w:tplc="080A000F" w:tentative="1">
      <w:start w:val="1"/>
      <w:numFmt w:val="decimal"/>
      <w:lvlText w:val="%4."/>
      <w:lvlJc w:val="left"/>
      <w:pPr>
        <w:ind w:left="2869" w:hanging="360"/>
      </w:pPr>
    </w:lvl>
    <w:lvl w:ilvl="4" w:tplc="080A0019" w:tentative="1">
      <w:start w:val="1"/>
      <w:numFmt w:val="lowerLetter"/>
      <w:lvlText w:val="%5."/>
      <w:lvlJc w:val="left"/>
      <w:pPr>
        <w:ind w:left="3589" w:hanging="360"/>
      </w:pPr>
    </w:lvl>
    <w:lvl w:ilvl="5" w:tplc="080A001B" w:tentative="1">
      <w:start w:val="1"/>
      <w:numFmt w:val="lowerRoman"/>
      <w:lvlText w:val="%6."/>
      <w:lvlJc w:val="right"/>
      <w:pPr>
        <w:ind w:left="4309" w:hanging="180"/>
      </w:pPr>
    </w:lvl>
    <w:lvl w:ilvl="6" w:tplc="080A000F" w:tentative="1">
      <w:start w:val="1"/>
      <w:numFmt w:val="decimal"/>
      <w:lvlText w:val="%7."/>
      <w:lvlJc w:val="left"/>
      <w:pPr>
        <w:ind w:left="5029" w:hanging="360"/>
      </w:pPr>
    </w:lvl>
    <w:lvl w:ilvl="7" w:tplc="080A0019" w:tentative="1">
      <w:start w:val="1"/>
      <w:numFmt w:val="lowerLetter"/>
      <w:lvlText w:val="%8."/>
      <w:lvlJc w:val="left"/>
      <w:pPr>
        <w:ind w:left="5749" w:hanging="360"/>
      </w:pPr>
    </w:lvl>
    <w:lvl w:ilvl="8" w:tplc="080A001B" w:tentative="1">
      <w:start w:val="1"/>
      <w:numFmt w:val="lowerRoman"/>
      <w:lvlText w:val="%9."/>
      <w:lvlJc w:val="right"/>
      <w:pPr>
        <w:ind w:left="6469" w:hanging="180"/>
      </w:pPr>
    </w:lvl>
  </w:abstractNum>
  <w:abstractNum w:abstractNumId="8">
    <w:nsid w:val="3567788B"/>
    <w:multiLevelType w:val="hybridMultilevel"/>
    <w:tmpl w:val="B202AE24"/>
    <w:lvl w:ilvl="0" w:tplc="2DF69A96">
      <w:start w:val="1"/>
      <w:numFmt w:val="upperRoman"/>
      <w:pStyle w:val="Ttulo2"/>
      <w:lvlText w:val="%1."/>
      <w:lvlJc w:val="left"/>
      <w:pPr>
        <w:tabs>
          <w:tab w:val="num" w:pos="1080"/>
        </w:tabs>
        <w:ind w:left="1080" w:hanging="720"/>
      </w:pPr>
      <w:rPr>
        <w:rFonts w:hint="default"/>
      </w:rPr>
    </w:lvl>
    <w:lvl w:ilvl="1" w:tplc="0C0A0001">
      <w:start w:val="1"/>
      <w:numFmt w:val="bullet"/>
      <w:lvlText w:val=""/>
      <w:lvlJc w:val="left"/>
      <w:pPr>
        <w:tabs>
          <w:tab w:val="num" w:pos="1440"/>
        </w:tabs>
        <w:ind w:left="1440" w:hanging="360"/>
      </w:pPr>
      <w:rPr>
        <w:rFonts w:ascii="Symbol" w:hAnsi="Symbol"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
    <w:nsid w:val="361624AA"/>
    <w:multiLevelType w:val="hybridMultilevel"/>
    <w:tmpl w:val="AB7AFFF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38100893"/>
    <w:multiLevelType w:val="hybridMultilevel"/>
    <w:tmpl w:val="4B5C74B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3E4D4F63"/>
    <w:multiLevelType w:val="hybridMultilevel"/>
    <w:tmpl w:val="B6D8355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3F1A14E2"/>
    <w:multiLevelType w:val="hybridMultilevel"/>
    <w:tmpl w:val="18DC31CE"/>
    <w:lvl w:ilvl="0" w:tplc="A14C7A9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42DD4DA8"/>
    <w:multiLevelType w:val="hybridMultilevel"/>
    <w:tmpl w:val="E7843BA2"/>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4C900253"/>
    <w:multiLevelType w:val="hybridMultilevel"/>
    <w:tmpl w:val="83642934"/>
    <w:lvl w:ilvl="0" w:tplc="AA80740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4F13624C"/>
    <w:multiLevelType w:val="hybridMultilevel"/>
    <w:tmpl w:val="986AB80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55E03AE0"/>
    <w:multiLevelType w:val="hybridMultilevel"/>
    <w:tmpl w:val="E84AFDB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56751C0A"/>
    <w:multiLevelType w:val="hybridMultilevel"/>
    <w:tmpl w:val="BDEA5CF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5B4417C3"/>
    <w:multiLevelType w:val="hybridMultilevel"/>
    <w:tmpl w:val="71D0D3B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606264C7"/>
    <w:multiLevelType w:val="hybridMultilevel"/>
    <w:tmpl w:val="CDFCEE0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63C82FE9"/>
    <w:multiLevelType w:val="hybridMultilevel"/>
    <w:tmpl w:val="7F7C55D6"/>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1">
    <w:nsid w:val="6ADB2D86"/>
    <w:multiLevelType w:val="hybridMultilevel"/>
    <w:tmpl w:val="4B569FBC"/>
    <w:lvl w:ilvl="0" w:tplc="E2CAEB70">
      <w:start w:val="3"/>
      <w:numFmt w:val="upperRoman"/>
      <w:lvlText w:val="%1."/>
      <w:lvlJc w:val="left"/>
      <w:pPr>
        <w:ind w:left="1069"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70914B95"/>
    <w:multiLevelType w:val="hybridMultilevel"/>
    <w:tmpl w:val="C4EC3DB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71F87750"/>
    <w:multiLevelType w:val="hybridMultilevel"/>
    <w:tmpl w:val="0CB4A55A"/>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nsid w:val="73026661"/>
    <w:multiLevelType w:val="hybridMultilevel"/>
    <w:tmpl w:val="C10EBFD0"/>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0F">
      <w:start w:val="1"/>
      <w:numFmt w:val="decimal"/>
      <w:lvlText w:val="%3."/>
      <w:lvlJc w:val="left"/>
      <w:pPr>
        <w:ind w:left="2160" w:hanging="18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74C613A3"/>
    <w:multiLevelType w:val="hybridMultilevel"/>
    <w:tmpl w:val="FA5AE10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766A182C"/>
    <w:multiLevelType w:val="hybridMultilevel"/>
    <w:tmpl w:val="044E9818"/>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8"/>
  </w:num>
  <w:num w:numId="2">
    <w:abstractNumId w:val="0"/>
  </w:num>
  <w:num w:numId="3">
    <w:abstractNumId w:val="17"/>
  </w:num>
  <w:num w:numId="4">
    <w:abstractNumId w:val="1"/>
  </w:num>
  <w:num w:numId="5">
    <w:abstractNumId w:val="13"/>
  </w:num>
  <w:num w:numId="6">
    <w:abstractNumId w:val="2"/>
  </w:num>
  <w:num w:numId="7">
    <w:abstractNumId w:val="20"/>
  </w:num>
  <w:num w:numId="8">
    <w:abstractNumId w:val="11"/>
  </w:num>
  <w:num w:numId="9">
    <w:abstractNumId w:val="19"/>
  </w:num>
  <w:num w:numId="10">
    <w:abstractNumId w:val="12"/>
  </w:num>
  <w:num w:numId="11">
    <w:abstractNumId w:val="21"/>
  </w:num>
  <w:num w:numId="12">
    <w:abstractNumId w:val="24"/>
  </w:num>
  <w:num w:numId="13">
    <w:abstractNumId w:val="26"/>
  </w:num>
  <w:num w:numId="14">
    <w:abstractNumId w:val="23"/>
  </w:num>
  <w:num w:numId="15">
    <w:abstractNumId w:val="14"/>
  </w:num>
  <w:num w:numId="16">
    <w:abstractNumId w:val="16"/>
  </w:num>
  <w:num w:numId="17">
    <w:abstractNumId w:val="5"/>
  </w:num>
  <w:num w:numId="18">
    <w:abstractNumId w:val="9"/>
  </w:num>
  <w:num w:numId="19">
    <w:abstractNumId w:val="18"/>
  </w:num>
  <w:num w:numId="20">
    <w:abstractNumId w:val="4"/>
  </w:num>
  <w:num w:numId="21">
    <w:abstractNumId w:val="6"/>
  </w:num>
  <w:num w:numId="22">
    <w:abstractNumId w:val="10"/>
  </w:num>
  <w:num w:numId="23">
    <w:abstractNumId w:val="25"/>
  </w:num>
  <w:num w:numId="24">
    <w:abstractNumId w:val="15"/>
  </w:num>
  <w:num w:numId="25">
    <w:abstractNumId w:val="22"/>
  </w:num>
  <w:num w:numId="26">
    <w:abstractNumId w:val="3"/>
  </w:num>
  <w:num w:numId="27">
    <w:abstractNumId w:val="7"/>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00EF"/>
    <w:rsid w:val="0000030A"/>
    <w:rsid w:val="00000FA7"/>
    <w:rsid w:val="000016D4"/>
    <w:rsid w:val="00001E51"/>
    <w:rsid w:val="00003668"/>
    <w:rsid w:val="00003E69"/>
    <w:rsid w:val="00004492"/>
    <w:rsid w:val="00005E9A"/>
    <w:rsid w:val="00005EEF"/>
    <w:rsid w:val="000063F6"/>
    <w:rsid w:val="0000685C"/>
    <w:rsid w:val="00006F88"/>
    <w:rsid w:val="000072AB"/>
    <w:rsid w:val="000074C4"/>
    <w:rsid w:val="000077C3"/>
    <w:rsid w:val="000101E2"/>
    <w:rsid w:val="0001044C"/>
    <w:rsid w:val="000107BD"/>
    <w:rsid w:val="00010C6E"/>
    <w:rsid w:val="00010E5A"/>
    <w:rsid w:val="000112AE"/>
    <w:rsid w:val="00011FEF"/>
    <w:rsid w:val="0001293C"/>
    <w:rsid w:val="00014202"/>
    <w:rsid w:val="000144A5"/>
    <w:rsid w:val="000146F1"/>
    <w:rsid w:val="00014E2C"/>
    <w:rsid w:val="00015522"/>
    <w:rsid w:val="000164F7"/>
    <w:rsid w:val="00016B9D"/>
    <w:rsid w:val="00016F5C"/>
    <w:rsid w:val="000206DD"/>
    <w:rsid w:val="00021E5F"/>
    <w:rsid w:val="0002266C"/>
    <w:rsid w:val="00022F56"/>
    <w:rsid w:val="000230E7"/>
    <w:rsid w:val="00023C9E"/>
    <w:rsid w:val="00024051"/>
    <w:rsid w:val="0002434B"/>
    <w:rsid w:val="000243FF"/>
    <w:rsid w:val="000249C5"/>
    <w:rsid w:val="00025397"/>
    <w:rsid w:val="00025734"/>
    <w:rsid w:val="00025F64"/>
    <w:rsid w:val="000269AE"/>
    <w:rsid w:val="00026B01"/>
    <w:rsid w:val="00027340"/>
    <w:rsid w:val="00027687"/>
    <w:rsid w:val="000278F8"/>
    <w:rsid w:val="000278FB"/>
    <w:rsid w:val="00030E5A"/>
    <w:rsid w:val="00030F41"/>
    <w:rsid w:val="00030F48"/>
    <w:rsid w:val="00031372"/>
    <w:rsid w:val="00031482"/>
    <w:rsid w:val="0003195E"/>
    <w:rsid w:val="00031EAA"/>
    <w:rsid w:val="0003269E"/>
    <w:rsid w:val="00032945"/>
    <w:rsid w:val="00032997"/>
    <w:rsid w:val="000329CA"/>
    <w:rsid w:val="00032AD8"/>
    <w:rsid w:val="000332C8"/>
    <w:rsid w:val="00033F47"/>
    <w:rsid w:val="00034AAC"/>
    <w:rsid w:val="00035B46"/>
    <w:rsid w:val="00036390"/>
    <w:rsid w:val="00036443"/>
    <w:rsid w:val="00036CF5"/>
    <w:rsid w:val="00036EB0"/>
    <w:rsid w:val="00037244"/>
    <w:rsid w:val="0003793F"/>
    <w:rsid w:val="0004086F"/>
    <w:rsid w:val="00040FEE"/>
    <w:rsid w:val="00041251"/>
    <w:rsid w:val="0004185D"/>
    <w:rsid w:val="000419CB"/>
    <w:rsid w:val="00041C0F"/>
    <w:rsid w:val="00042618"/>
    <w:rsid w:val="00043A8D"/>
    <w:rsid w:val="000453AB"/>
    <w:rsid w:val="0004561E"/>
    <w:rsid w:val="0004563A"/>
    <w:rsid w:val="000457B8"/>
    <w:rsid w:val="00046154"/>
    <w:rsid w:val="000464D9"/>
    <w:rsid w:val="00046517"/>
    <w:rsid w:val="000465F6"/>
    <w:rsid w:val="0004781A"/>
    <w:rsid w:val="00050553"/>
    <w:rsid w:val="00051197"/>
    <w:rsid w:val="000514B9"/>
    <w:rsid w:val="00052956"/>
    <w:rsid w:val="0005391A"/>
    <w:rsid w:val="00054E52"/>
    <w:rsid w:val="00055622"/>
    <w:rsid w:val="00055F2E"/>
    <w:rsid w:val="00056063"/>
    <w:rsid w:val="000605CD"/>
    <w:rsid w:val="000608E1"/>
    <w:rsid w:val="000617EA"/>
    <w:rsid w:val="00061F28"/>
    <w:rsid w:val="000636B0"/>
    <w:rsid w:val="00064B2F"/>
    <w:rsid w:val="00065C33"/>
    <w:rsid w:val="00066384"/>
    <w:rsid w:val="00066A03"/>
    <w:rsid w:val="00066F0B"/>
    <w:rsid w:val="0006789E"/>
    <w:rsid w:val="00067DA5"/>
    <w:rsid w:val="00067F11"/>
    <w:rsid w:val="00070181"/>
    <w:rsid w:val="00070774"/>
    <w:rsid w:val="000712BA"/>
    <w:rsid w:val="00071DE8"/>
    <w:rsid w:val="0007248C"/>
    <w:rsid w:val="00072717"/>
    <w:rsid w:val="000732EF"/>
    <w:rsid w:val="00073F8A"/>
    <w:rsid w:val="000742E4"/>
    <w:rsid w:val="00075E18"/>
    <w:rsid w:val="000760AB"/>
    <w:rsid w:val="00076254"/>
    <w:rsid w:val="00076CFA"/>
    <w:rsid w:val="00077375"/>
    <w:rsid w:val="000777E1"/>
    <w:rsid w:val="00077991"/>
    <w:rsid w:val="0008023A"/>
    <w:rsid w:val="00080C8A"/>
    <w:rsid w:val="00081031"/>
    <w:rsid w:val="000821A9"/>
    <w:rsid w:val="00083089"/>
    <w:rsid w:val="000836E3"/>
    <w:rsid w:val="00085747"/>
    <w:rsid w:val="00086492"/>
    <w:rsid w:val="000876A7"/>
    <w:rsid w:val="00087FC6"/>
    <w:rsid w:val="000902B8"/>
    <w:rsid w:val="00091905"/>
    <w:rsid w:val="00091A03"/>
    <w:rsid w:val="00091AA8"/>
    <w:rsid w:val="00092209"/>
    <w:rsid w:val="000926BC"/>
    <w:rsid w:val="000930D1"/>
    <w:rsid w:val="000949F0"/>
    <w:rsid w:val="00095070"/>
    <w:rsid w:val="000954E8"/>
    <w:rsid w:val="00095A1B"/>
    <w:rsid w:val="00096368"/>
    <w:rsid w:val="000964D7"/>
    <w:rsid w:val="00096732"/>
    <w:rsid w:val="000967F0"/>
    <w:rsid w:val="00097A4E"/>
    <w:rsid w:val="000A177B"/>
    <w:rsid w:val="000A2328"/>
    <w:rsid w:val="000A27C1"/>
    <w:rsid w:val="000A2BD7"/>
    <w:rsid w:val="000A2F07"/>
    <w:rsid w:val="000A2FD9"/>
    <w:rsid w:val="000A3613"/>
    <w:rsid w:val="000A3C10"/>
    <w:rsid w:val="000A58D0"/>
    <w:rsid w:val="000A59C5"/>
    <w:rsid w:val="000A60F1"/>
    <w:rsid w:val="000A72EA"/>
    <w:rsid w:val="000A7D09"/>
    <w:rsid w:val="000B0026"/>
    <w:rsid w:val="000B0656"/>
    <w:rsid w:val="000B06A2"/>
    <w:rsid w:val="000B0FF2"/>
    <w:rsid w:val="000B1855"/>
    <w:rsid w:val="000B1865"/>
    <w:rsid w:val="000B200E"/>
    <w:rsid w:val="000B2A16"/>
    <w:rsid w:val="000B2C15"/>
    <w:rsid w:val="000B4BED"/>
    <w:rsid w:val="000B64B4"/>
    <w:rsid w:val="000B6BAE"/>
    <w:rsid w:val="000B6E2A"/>
    <w:rsid w:val="000B7018"/>
    <w:rsid w:val="000B70CA"/>
    <w:rsid w:val="000B7DD7"/>
    <w:rsid w:val="000C082B"/>
    <w:rsid w:val="000C0878"/>
    <w:rsid w:val="000C142B"/>
    <w:rsid w:val="000C1466"/>
    <w:rsid w:val="000C230C"/>
    <w:rsid w:val="000C2C43"/>
    <w:rsid w:val="000C422C"/>
    <w:rsid w:val="000C4845"/>
    <w:rsid w:val="000C4DEF"/>
    <w:rsid w:val="000C6D37"/>
    <w:rsid w:val="000C786F"/>
    <w:rsid w:val="000C7F14"/>
    <w:rsid w:val="000D029F"/>
    <w:rsid w:val="000D03EA"/>
    <w:rsid w:val="000D227D"/>
    <w:rsid w:val="000D292C"/>
    <w:rsid w:val="000D2F46"/>
    <w:rsid w:val="000D4121"/>
    <w:rsid w:val="000D4505"/>
    <w:rsid w:val="000D48BE"/>
    <w:rsid w:val="000D4CB0"/>
    <w:rsid w:val="000D5B2A"/>
    <w:rsid w:val="000D5B2D"/>
    <w:rsid w:val="000D5CF0"/>
    <w:rsid w:val="000D686F"/>
    <w:rsid w:val="000D75EF"/>
    <w:rsid w:val="000E0407"/>
    <w:rsid w:val="000E0916"/>
    <w:rsid w:val="000E191D"/>
    <w:rsid w:val="000E1A2E"/>
    <w:rsid w:val="000E2407"/>
    <w:rsid w:val="000E2642"/>
    <w:rsid w:val="000E2BF7"/>
    <w:rsid w:val="000E3EDA"/>
    <w:rsid w:val="000E4167"/>
    <w:rsid w:val="000E4844"/>
    <w:rsid w:val="000E506D"/>
    <w:rsid w:val="000E5260"/>
    <w:rsid w:val="000E6155"/>
    <w:rsid w:val="000E63DC"/>
    <w:rsid w:val="000E679D"/>
    <w:rsid w:val="000E6A24"/>
    <w:rsid w:val="000E6B68"/>
    <w:rsid w:val="000E6C28"/>
    <w:rsid w:val="000E6C2E"/>
    <w:rsid w:val="000E7443"/>
    <w:rsid w:val="000E7A2C"/>
    <w:rsid w:val="000E7BDF"/>
    <w:rsid w:val="000E7FCE"/>
    <w:rsid w:val="000F1429"/>
    <w:rsid w:val="000F29B8"/>
    <w:rsid w:val="000F2F5E"/>
    <w:rsid w:val="000F2F9A"/>
    <w:rsid w:val="000F3D74"/>
    <w:rsid w:val="000F4267"/>
    <w:rsid w:val="000F4813"/>
    <w:rsid w:val="000F4B37"/>
    <w:rsid w:val="000F50CE"/>
    <w:rsid w:val="000F59F2"/>
    <w:rsid w:val="000F693B"/>
    <w:rsid w:val="000F732D"/>
    <w:rsid w:val="000F7522"/>
    <w:rsid w:val="000F7599"/>
    <w:rsid w:val="000F7712"/>
    <w:rsid w:val="000F7840"/>
    <w:rsid w:val="000F7DBF"/>
    <w:rsid w:val="00100153"/>
    <w:rsid w:val="001006D7"/>
    <w:rsid w:val="00100924"/>
    <w:rsid w:val="00100D44"/>
    <w:rsid w:val="00101136"/>
    <w:rsid w:val="00101425"/>
    <w:rsid w:val="00101784"/>
    <w:rsid w:val="00101A28"/>
    <w:rsid w:val="00102539"/>
    <w:rsid w:val="00102796"/>
    <w:rsid w:val="0010294B"/>
    <w:rsid w:val="001037C8"/>
    <w:rsid w:val="00103A1C"/>
    <w:rsid w:val="00103E0C"/>
    <w:rsid w:val="001042E0"/>
    <w:rsid w:val="001054E2"/>
    <w:rsid w:val="001064D7"/>
    <w:rsid w:val="00106B6E"/>
    <w:rsid w:val="001078DE"/>
    <w:rsid w:val="00110428"/>
    <w:rsid w:val="001104EF"/>
    <w:rsid w:val="00110D17"/>
    <w:rsid w:val="00110DD7"/>
    <w:rsid w:val="00111E89"/>
    <w:rsid w:val="0011288E"/>
    <w:rsid w:val="00113204"/>
    <w:rsid w:val="00113DA7"/>
    <w:rsid w:val="00114166"/>
    <w:rsid w:val="0011434A"/>
    <w:rsid w:val="00114CC2"/>
    <w:rsid w:val="001155E9"/>
    <w:rsid w:val="001160D0"/>
    <w:rsid w:val="001160D6"/>
    <w:rsid w:val="00116B40"/>
    <w:rsid w:val="00117803"/>
    <w:rsid w:val="00117BB5"/>
    <w:rsid w:val="00120520"/>
    <w:rsid w:val="00121294"/>
    <w:rsid w:val="001215BA"/>
    <w:rsid w:val="00122CE6"/>
    <w:rsid w:val="001234C5"/>
    <w:rsid w:val="00123938"/>
    <w:rsid w:val="0012436C"/>
    <w:rsid w:val="0012456F"/>
    <w:rsid w:val="0012477B"/>
    <w:rsid w:val="00125023"/>
    <w:rsid w:val="0012505D"/>
    <w:rsid w:val="0012522F"/>
    <w:rsid w:val="00125402"/>
    <w:rsid w:val="00125A26"/>
    <w:rsid w:val="00125BC6"/>
    <w:rsid w:val="0012632B"/>
    <w:rsid w:val="00126B43"/>
    <w:rsid w:val="00126CF7"/>
    <w:rsid w:val="0012753B"/>
    <w:rsid w:val="0012754E"/>
    <w:rsid w:val="0012798F"/>
    <w:rsid w:val="00127ABD"/>
    <w:rsid w:val="00127B7C"/>
    <w:rsid w:val="001316A7"/>
    <w:rsid w:val="00132DB7"/>
    <w:rsid w:val="00133215"/>
    <w:rsid w:val="00133AD1"/>
    <w:rsid w:val="001346C5"/>
    <w:rsid w:val="0013471A"/>
    <w:rsid w:val="00134C6F"/>
    <w:rsid w:val="00134E10"/>
    <w:rsid w:val="001368D7"/>
    <w:rsid w:val="00137EB1"/>
    <w:rsid w:val="00140548"/>
    <w:rsid w:val="001409B9"/>
    <w:rsid w:val="00140CF4"/>
    <w:rsid w:val="00141589"/>
    <w:rsid w:val="00141D80"/>
    <w:rsid w:val="00141EB9"/>
    <w:rsid w:val="001423E3"/>
    <w:rsid w:val="001425C5"/>
    <w:rsid w:val="001431C4"/>
    <w:rsid w:val="00143271"/>
    <w:rsid w:val="001436B1"/>
    <w:rsid w:val="001438AF"/>
    <w:rsid w:val="001442E8"/>
    <w:rsid w:val="001446DA"/>
    <w:rsid w:val="0014472E"/>
    <w:rsid w:val="001449DD"/>
    <w:rsid w:val="001450FF"/>
    <w:rsid w:val="001451D3"/>
    <w:rsid w:val="00145B3A"/>
    <w:rsid w:val="0014604C"/>
    <w:rsid w:val="001470ED"/>
    <w:rsid w:val="001472B0"/>
    <w:rsid w:val="001474C9"/>
    <w:rsid w:val="0014757E"/>
    <w:rsid w:val="00147DF0"/>
    <w:rsid w:val="001505B5"/>
    <w:rsid w:val="00150716"/>
    <w:rsid w:val="00150A96"/>
    <w:rsid w:val="00150AEA"/>
    <w:rsid w:val="00151524"/>
    <w:rsid w:val="00153766"/>
    <w:rsid w:val="00153B83"/>
    <w:rsid w:val="0015418A"/>
    <w:rsid w:val="0015443B"/>
    <w:rsid w:val="00155340"/>
    <w:rsid w:val="001553CE"/>
    <w:rsid w:val="00156496"/>
    <w:rsid w:val="0015650C"/>
    <w:rsid w:val="001565AC"/>
    <w:rsid w:val="00157B6F"/>
    <w:rsid w:val="00157B86"/>
    <w:rsid w:val="00157C3C"/>
    <w:rsid w:val="00160102"/>
    <w:rsid w:val="00160920"/>
    <w:rsid w:val="00160B30"/>
    <w:rsid w:val="00160BAB"/>
    <w:rsid w:val="0016106E"/>
    <w:rsid w:val="00161E0F"/>
    <w:rsid w:val="00162070"/>
    <w:rsid w:val="00162501"/>
    <w:rsid w:val="00164D97"/>
    <w:rsid w:val="00164DE3"/>
    <w:rsid w:val="001656DC"/>
    <w:rsid w:val="00165784"/>
    <w:rsid w:val="00165AC4"/>
    <w:rsid w:val="00166652"/>
    <w:rsid w:val="001669CB"/>
    <w:rsid w:val="00167639"/>
    <w:rsid w:val="0016764B"/>
    <w:rsid w:val="00171068"/>
    <w:rsid w:val="00171807"/>
    <w:rsid w:val="00171F90"/>
    <w:rsid w:val="001721BC"/>
    <w:rsid w:val="00172593"/>
    <w:rsid w:val="00173664"/>
    <w:rsid w:val="00173694"/>
    <w:rsid w:val="001736D9"/>
    <w:rsid w:val="00174789"/>
    <w:rsid w:val="001761D9"/>
    <w:rsid w:val="00176E02"/>
    <w:rsid w:val="0017721D"/>
    <w:rsid w:val="001774D1"/>
    <w:rsid w:val="00177532"/>
    <w:rsid w:val="0018070B"/>
    <w:rsid w:val="00181573"/>
    <w:rsid w:val="001821CC"/>
    <w:rsid w:val="00182E26"/>
    <w:rsid w:val="00183BD1"/>
    <w:rsid w:val="001840B4"/>
    <w:rsid w:val="00184281"/>
    <w:rsid w:val="001843BA"/>
    <w:rsid w:val="001848FE"/>
    <w:rsid w:val="00184C2D"/>
    <w:rsid w:val="00185482"/>
    <w:rsid w:val="00185604"/>
    <w:rsid w:val="001856CF"/>
    <w:rsid w:val="00185AE2"/>
    <w:rsid w:val="00186F3F"/>
    <w:rsid w:val="00187141"/>
    <w:rsid w:val="0018794B"/>
    <w:rsid w:val="001910EA"/>
    <w:rsid w:val="0019118A"/>
    <w:rsid w:val="0019123F"/>
    <w:rsid w:val="00191340"/>
    <w:rsid w:val="00191766"/>
    <w:rsid w:val="0019184C"/>
    <w:rsid w:val="001924EF"/>
    <w:rsid w:val="0019272D"/>
    <w:rsid w:val="00192790"/>
    <w:rsid w:val="00192D12"/>
    <w:rsid w:val="00193BEB"/>
    <w:rsid w:val="00194146"/>
    <w:rsid w:val="001943B4"/>
    <w:rsid w:val="00194425"/>
    <w:rsid w:val="0019443B"/>
    <w:rsid w:val="001945FF"/>
    <w:rsid w:val="00195777"/>
    <w:rsid w:val="001966DD"/>
    <w:rsid w:val="0019680B"/>
    <w:rsid w:val="00196EDB"/>
    <w:rsid w:val="00197376"/>
    <w:rsid w:val="00197540"/>
    <w:rsid w:val="00197F9E"/>
    <w:rsid w:val="001A04E3"/>
    <w:rsid w:val="001A1203"/>
    <w:rsid w:val="001A1DCA"/>
    <w:rsid w:val="001A232A"/>
    <w:rsid w:val="001A27DB"/>
    <w:rsid w:val="001A435B"/>
    <w:rsid w:val="001A4FCA"/>
    <w:rsid w:val="001A5C69"/>
    <w:rsid w:val="001A5DB6"/>
    <w:rsid w:val="001A62B6"/>
    <w:rsid w:val="001A641E"/>
    <w:rsid w:val="001A6658"/>
    <w:rsid w:val="001A67F3"/>
    <w:rsid w:val="001A7D91"/>
    <w:rsid w:val="001A7E2B"/>
    <w:rsid w:val="001B00F7"/>
    <w:rsid w:val="001B122A"/>
    <w:rsid w:val="001B1429"/>
    <w:rsid w:val="001B1CA5"/>
    <w:rsid w:val="001B29D1"/>
    <w:rsid w:val="001B2AA1"/>
    <w:rsid w:val="001B2AA8"/>
    <w:rsid w:val="001B2F9E"/>
    <w:rsid w:val="001B3D7F"/>
    <w:rsid w:val="001B4384"/>
    <w:rsid w:val="001B49F9"/>
    <w:rsid w:val="001B4B22"/>
    <w:rsid w:val="001B4E57"/>
    <w:rsid w:val="001B50CC"/>
    <w:rsid w:val="001B5658"/>
    <w:rsid w:val="001B5C8A"/>
    <w:rsid w:val="001B673F"/>
    <w:rsid w:val="001B6F5D"/>
    <w:rsid w:val="001B7DED"/>
    <w:rsid w:val="001B7F4A"/>
    <w:rsid w:val="001C05DD"/>
    <w:rsid w:val="001C1847"/>
    <w:rsid w:val="001C1D47"/>
    <w:rsid w:val="001C1F0C"/>
    <w:rsid w:val="001C2C17"/>
    <w:rsid w:val="001C32E0"/>
    <w:rsid w:val="001C354D"/>
    <w:rsid w:val="001C3914"/>
    <w:rsid w:val="001C3DBE"/>
    <w:rsid w:val="001C4307"/>
    <w:rsid w:val="001C438A"/>
    <w:rsid w:val="001C4566"/>
    <w:rsid w:val="001C56E5"/>
    <w:rsid w:val="001C5727"/>
    <w:rsid w:val="001C5924"/>
    <w:rsid w:val="001C5C18"/>
    <w:rsid w:val="001C5FBA"/>
    <w:rsid w:val="001C66F8"/>
    <w:rsid w:val="001C6DD1"/>
    <w:rsid w:val="001C72CC"/>
    <w:rsid w:val="001D080D"/>
    <w:rsid w:val="001D0B07"/>
    <w:rsid w:val="001D0CA5"/>
    <w:rsid w:val="001D0D1B"/>
    <w:rsid w:val="001D0DC5"/>
    <w:rsid w:val="001D0DEF"/>
    <w:rsid w:val="001D143A"/>
    <w:rsid w:val="001D1953"/>
    <w:rsid w:val="001D2CE4"/>
    <w:rsid w:val="001D4C99"/>
    <w:rsid w:val="001D685A"/>
    <w:rsid w:val="001D7068"/>
    <w:rsid w:val="001E16F7"/>
    <w:rsid w:val="001E17CD"/>
    <w:rsid w:val="001E1C15"/>
    <w:rsid w:val="001E2413"/>
    <w:rsid w:val="001E29FA"/>
    <w:rsid w:val="001E2A7F"/>
    <w:rsid w:val="001E32AD"/>
    <w:rsid w:val="001E34A0"/>
    <w:rsid w:val="001E3F66"/>
    <w:rsid w:val="001E4424"/>
    <w:rsid w:val="001E44B0"/>
    <w:rsid w:val="001E44E5"/>
    <w:rsid w:val="001E4992"/>
    <w:rsid w:val="001E4CD6"/>
    <w:rsid w:val="001E503A"/>
    <w:rsid w:val="001E6F9F"/>
    <w:rsid w:val="001F0EEF"/>
    <w:rsid w:val="001F1111"/>
    <w:rsid w:val="001F1E48"/>
    <w:rsid w:val="001F1E88"/>
    <w:rsid w:val="001F2509"/>
    <w:rsid w:val="001F33B7"/>
    <w:rsid w:val="001F43B9"/>
    <w:rsid w:val="001F4BD1"/>
    <w:rsid w:val="001F5976"/>
    <w:rsid w:val="001F5A5A"/>
    <w:rsid w:val="001F61B1"/>
    <w:rsid w:val="001F6FE0"/>
    <w:rsid w:val="001F71C7"/>
    <w:rsid w:val="002014D7"/>
    <w:rsid w:val="00201903"/>
    <w:rsid w:val="00201EC9"/>
    <w:rsid w:val="00202597"/>
    <w:rsid w:val="0020280E"/>
    <w:rsid w:val="00202AAD"/>
    <w:rsid w:val="00202AAF"/>
    <w:rsid w:val="00202B2E"/>
    <w:rsid w:val="00203113"/>
    <w:rsid w:val="002038AC"/>
    <w:rsid w:val="00203CA3"/>
    <w:rsid w:val="00204070"/>
    <w:rsid w:val="00204CCC"/>
    <w:rsid w:val="00205676"/>
    <w:rsid w:val="00205787"/>
    <w:rsid w:val="002060D2"/>
    <w:rsid w:val="002067FF"/>
    <w:rsid w:val="00206B1F"/>
    <w:rsid w:val="0020741B"/>
    <w:rsid w:val="00210BF6"/>
    <w:rsid w:val="00211106"/>
    <w:rsid w:val="002115AE"/>
    <w:rsid w:val="00211D4A"/>
    <w:rsid w:val="0021295A"/>
    <w:rsid w:val="00214A10"/>
    <w:rsid w:val="00214CE4"/>
    <w:rsid w:val="00216141"/>
    <w:rsid w:val="002166D5"/>
    <w:rsid w:val="00216E69"/>
    <w:rsid w:val="002202EA"/>
    <w:rsid w:val="00220435"/>
    <w:rsid w:val="00220716"/>
    <w:rsid w:val="00220E77"/>
    <w:rsid w:val="002221B6"/>
    <w:rsid w:val="00222EA1"/>
    <w:rsid w:val="00223139"/>
    <w:rsid w:val="002234E7"/>
    <w:rsid w:val="0022376C"/>
    <w:rsid w:val="00223AC9"/>
    <w:rsid w:val="00223EE7"/>
    <w:rsid w:val="002240A6"/>
    <w:rsid w:val="00224146"/>
    <w:rsid w:val="00225A52"/>
    <w:rsid w:val="00225BC7"/>
    <w:rsid w:val="00225BDB"/>
    <w:rsid w:val="002261B0"/>
    <w:rsid w:val="00227080"/>
    <w:rsid w:val="0022760E"/>
    <w:rsid w:val="0023091F"/>
    <w:rsid w:val="00230B99"/>
    <w:rsid w:val="00230CDA"/>
    <w:rsid w:val="002314A7"/>
    <w:rsid w:val="00231973"/>
    <w:rsid w:val="00231A4F"/>
    <w:rsid w:val="00231DE8"/>
    <w:rsid w:val="00231E95"/>
    <w:rsid w:val="002321E1"/>
    <w:rsid w:val="00232341"/>
    <w:rsid w:val="0023266B"/>
    <w:rsid w:val="00233057"/>
    <w:rsid w:val="0023699E"/>
    <w:rsid w:val="002401B1"/>
    <w:rsid w:val="002402C8"/>
    <w:rsid w:val="00240B19"/>
    <w:rsid w:val="0024145B"/>
    <w:rsid w:val="00245236"/>
    <w:rsid w:val="002452A1"/>
    <w:rsid w:val="00246255"/>
    <w:rsid w:val="00246656"/>
    <w:rsid w:val="00246BE7"/>
    <w:rsid w:val="002472EF"/>
    <w:rsid w:val="00247389"/>
    <w:rsid w:val="00247996"/>
    <w:rsid w:val="0025024A"/>
    <w:rsid w:val="0025070E"/>
    <w:rsid w:val="00251314"/>
    <w:rsid w:val="00251C73"/>
    <w:rsid w:val="00251DDB"/>
    <w:rsid w:val="00251E15"/>
    <w:rsid w:val="00252236"/>
    <w:rsid w:val="00252C4F"/>
    <w:rsid w:val="002531FD"/>
    <w:rsid w:val="00253B00"/>
    <w:rsid w:val="00253DF4"/>
    <w:rsid w:val="002542AF"/>
    <w:rsid w:val="00254688"/>
    <w:rsid w:val="00254D8E"/>
    <w:rsid w:val="0025771B"/>
    <w:rsid w:val="002579A3"/>
    <w:rsid w:val="00257CE0"/>
    <w:rsid w:val="00260010"/>
    <w:rsid w:val="00260FDC"/>
    <w:rsid w:val="0026128E"/>
    <w:rsid w:val="002614AF"/>
    <w:rsid w:val="002619D8"/>
    <w:rsid w:val="00262475"/>
    <w:rsid w:val="00262898"/>
    <w:rsid w:val="002635C1"/>
    <w:rsid w:val="0026375E"/>
    <w:rsid w:val="002639DF"/>
    <w:rsid w:val="00263D39"/>
    <w:rsid w:val="00264952"/>
    <w:rsid w:val="00264F91"/>
    <w:rsid w:val="00265041"/>
    <w:rsid w:val="0026626B"/>
    <w:rsid w:val="00266647"/>
    <w:rsid w:val="0026666D"/>
    <w:rsid w:val="002667E7"/>
    <w:rsid w:val="00266834"/>
    <w:rsid w:val="0026749A"/>
    <w:rsid w:val="00267CD5"/>
    <w:rsid w:val="0027096B"/>
    <w:rsid w:val="00270DD8"/>
    <w:rsid w:val="00270F24"/>
    <w:rsid w:val="0027197C"/>
    <w:rsid w:val="00271A03"/>
    <w:rsid w:val="002724FD"/>
    <w:rsid w:val="002727EE"/>
    <w:rsid w:val="00273F1F"/>
    <w:rsid w:val="0027469B"/>
    <w:rsid w:val="00274D7C"/>
    <w:rsid w:val="00275788"/>
    <w:rsid w:val="00275D6A"/>
    <w:rsid w:val="00276774"/>
    <w:rsid w:val="00277C18"/>
    <w:rsid w:val="002807C0"/>
    <w:rsid w:val="002809BA"/>
    <w:rsid w:val="0028184E"/>
    <w:rsid w:val="0028284D"/>
    <w:rsid w:val="00282DD4"/>
    <w:rsid w:val="0028331E"/>
    <w:rsid w:val="002839BB"/>
    <w:rsid w:val="00283EB6"/>
    <w:rsid w:val="00284AD2"/>
    <w:rsid w:val="00284BA6"/>
    <w:rsid w:val="00284F9C"/>
    <w:rsid w:val="00285156"/>
    <w:rsid w:val="00285340"/>
    <w:rsid w:val="002856F8"/>
    <w:rsid w:val="0028641D"/>
    <w:rsid w:val="00286C4E"/>
    <w:rsid w:val="002875CA"/>
    <w:rsid w:val="00287900"/>
    <w:rsid w:val="00287A04"/>
    <w:rsid w:val="002907C3"/>
    <w:rsid w:val="00290E41"/>
    <w:rsid w:val="00291C85"/>
    <w:rsid w:val="00291F3E"/>
    <w:rsid w:val="00292A37"/>
    <w:rsid w:val="00292CD6"/>
    <w:rsid w:val="00292D1B"/>
    <w:rsid w:val="0029391C"/>
    <w:rsid w:val="00293FBF"/>
    <w:rsid w:val="002940F9"/>
    <w:rsid w:val="00294C20"/>
    <w:rsid w:val="00295A11"/>
    <w:rsid w:val="00295A1A"/>
    <w:rsid w:val="0029654D"/>
    <w:rsid w:val="0029696F"/>
    <w:rsid w:val="00296A49"/>
    <w:rsid w:val="00296A5C"/>
    <w:rsid w:val="0029771B"/>
    <w:rsid w:val="002A08C5"/>
    <w:rsid w:val="002A08CE"/>
    <w:rsid w:val="002A0B0A"/>
    <w:rsid w:val="002A0F7C"/>
    <w:rsid w:val="002A13FC"/>
    <w:rsid w:val="002A2A11"/>
    <w:rsid w:val="002A2DF5"/>
    <w:rsid w:val="002A329F"/>
    <w:rsid w:val="002A35C3"/>
    <w:rsid w:val="002A3AE8"/>
    <w:rsid w:val="002A400C"/>
    <w:rsid w:val="002A41F8"/>
    <w:rsid w:val="002A4E7E"/>
    <w:rsid w:val="002A5386"/>
    <w:rsid w:val="002A54F8"/>
    <w:rsid w:val="002A56DE"/>
    <w:rsid w:val="002A5F26"/>
    <w:rsid w:val="002A5FEB"/>
    <w:rsid w:val="002A6380"/>
    <w:rsid w:val="002A6692"/>
    <w:rsid w:val="002A66BB"/>
    <w:rsid w:val="002A6DF0"/>
    <w:rsid w:val="002A7475"/>
    <w:rsid w:val="002B029F"/>
    <w:rsid w:val="002B0B67"/>
    <w:rsid w:val="002B1655"/>
    <w:rsid w:val="002B168F"/>
    <w:rsid w:val="002B18DD"/>
    <w:rsid w:val="002B1C55"/>
    <w:rsid w:val="002B33B3"/>
    <w:rsid w:val="002B393A"/>
    <w:rsid w:val="002B3A24"/>
    <w:rsid w:val="002B3D6A"/>
    <w:rsid w:val="002B405D"/>
    <w:rsid w:val="002B4150"/>
    <w:rsid w:val="002B4D4D"/>
    <w:rsid w:val="002B52B4"/>
    <w:rsid w:val="002B5906"/>
    <w:rsid w:val="002B65E4"/>
    <w:rsid w:val="002B6741"/>
    <w:rsid w:val="002B78D1"/>
    <w:rsid w:val="002B7CC2"/>
    <w:rsid w:val="002C0122"/>
    <w:rsid w:val="002C0F95"/>
    <w:rsid w:val="002C126F"/>
    <w:rsid w:val="002C1CBA"/>
    <w:rsid w:val="002C1F9C"/>
    <w:rsid w:val="002C2247"/>
    <w:rsid w:val="002C3DD0"/>
    <w:rsid w:val="002C4404"/>
    <w:rsid w:val="002C44A4"/>
    <w:rsid w:val="002C5418"/>
    <w:rsid w:val="002C7ABC"/>
    <w:rsid w:val="002C7B5A"/>
    <w:rsid w:val="002D0598"/>
    <w:rsid w:val="002D0CA8"/>
    <w:rsid w:val="002D1AAC"/>
    <w:rsid w:val="002D22CA"/>
    <w:rsid w:val="002D2B4A"/>
    <w:rsid w:val="002D2CB6"/>
    <w:rsid w:val="002D311B"/>
    <w:rsid w:val="002D3125"/>
    <w:rsid w:val="002D3571"/>
    <w:rsid w:val="002D4203"/>
    <w:rsid w:val="002D46A1"/>
    <w:rsid w:val="002D56FF"/>
    <w:rsid w:val="002D6397"/>
    <w:rsid w:val="002D6C17"/>
    <w:rsid w:val="002D748E"/>
    <w:rsid w:val="002D784C"/>
    <w:rsid w:val="002E02DC"/>
    <w:rsid w:val="002E0BB4"/>
    <w:rsid w:val="002E0EA1"/>
    <w:rsid w:val="002E134C"/>
    <w:rsid w:val="002E1566"/>
    <w:rsid w:val="002E17A7"/>
    <w:rsid w:val="002E2358"/>
    <w:rsid w:val="002E368F"/>
    <w:rsid w:val="002E385E"/>
    <w:rsid w:val="002E398E"/>
    <w:rsid w:val="002E441F"/>
    <w:rsid w:val="002E4434"/>
    <w:rsid w:val="002E50CB"/>
    <w:rsid w:val="002E51BB"/>
    <w:rsid w:val="002E5CD0"/>
    <w:rsid w:val="002E5D7E"/>
    <w:rsid w:val="002E5DBB"/>
    <w:rsid w:val="002E6023"/>
    <w:rsid w:val="002E77A4"/>
    <w:rsid w:val="002E78E5"/>
    <w:rsid w:val="002E7E67"/>
    <w:rsid w:val="002F0231"/>
    <w:rsid w:val="002F0A6F"/>
    <w:rsid w:val="002F0F09"/>
    <w:rsid w:val="002F0FA0"/>
    <w:rsid w:val="002F107F"/>
    <w:rsid w:val="002F1DD8"/>
    <w:rsid w:val="002F2A18"/>
    <w:rsid w:val="002F2D11"/>
    <w:rsid w:val="002F3456"/>
    <w:rsid w:val="002F3769"/>
    <w:rsid w:val="002F3A5D"/>
    <w:rsid w:val="002F4347"/>
    <w:rsid w:val="002F4EF8"/>
    <w:rsid w:val="002F4FDF"/>
    <w:rsid w:val="002F53FE"/>
    <w:rsid w:val="002F655F"/>
    <w:rsid w:val="00300F32"/>
    <w:rsid w:val="003015E1"/>
    <w:rsid w:val="00301AE4"/>
    <w:rsid w:val="00301B67"/>
    <w:rsid w:val="003028D7"/>
    <w:rsid w:val="00303915"/>
    <w:rsid w:val="00304E9F"/>
    <w:rsid w:val="00305694"/>
    <w:rsid w:val="00305A4E"/>
    <w:rsid w:val="00305EED"/>
    <w:rsid w:val="003063BB"/>
    <w:rsid w:val="00306528"/>
    <w:rsid w:val="003066E9"/>
    <w:rsid w:val="00306A4A"/>
    <w:rsid w:val="00306F17"/>
    <w:rsid w:val="003072E3"/>
    <w:rsid w:val="0030742F"/>
    <w:rsid w:val="00307536"/>
    <w:rsid w:val="0030763E"/>
    <w:rsid w:val="00307EF1"/>
    <w:rsid w:val="00310184"/>
    <w:rsid w:val="0031173E"/>
    <w:rsid w:val="003117DB"/>
    <w:rsid w:val="003120D1"/>
    <w:rsid w:val="00312B6D"/>
    <w:rsid w:val="003136DA"/>
    <w:rsid w:val="0031372F"/>
    <w:rsid w:val="00313794"/>
    <w:rsid w:val="00313D08"/>
    <w:rsid w:val="00313F11"/>
    <w:rsid w:val="0031460C"/>
    <w:rsid w:val="00314E6B"/>
    <w:rsid w:val="0031620A"/>
    <w:rsid w:val="00316459"/>
    <w:rsid w:val="003176B7"/>
    <w:rsid w:val="00317F52"/>
    <w:rsid w:val="00320697"/>
    <w:rsid w:val="00320DEB"/>
    <w:rsid w:val="003210A3"/>
    <w:rsid w:val="003210E3"/>
    <w:rsid w:val="003211AE"/>
    <w:rsid w:val="0032292B"/>
    <w:rsid w:val="003229EB"/>
    <w:rsid w:val="00323A54"/>
    <w:rsid w:val="00324A65"/>
    <w:rsid w:val="00324FA6"/>
    <w:rsid w:val="003253A4"/>
    <w:rsid w:val="0032565E"/>
    <w:rsid w:val="003259D1"/>
    <w:rsid w:val="00326DB5"/>
    <w:rsid w:val="00327119"/>
    <w:rsid w:val="0032731A"/>
    <w:rsid w:val="00327D78"/>
    <w:rsid w:val="00327FE0"/>
    <w:rsid w:val="0033011C"/>
    <w:rsid w:val="00330AEA"/>
    <w:rsid w:val="003318BA"/>
    <w:rsid w:val="00331A9A"/>
    <w:rsid w:val="00331CBF"/>
    <w:rsid w:val="0033201D"/>
    <w:rsid w:val="003327F9"/>
    <w:rsid w:val="00333CDE"/>
    <w:rsid w:val="0033422B"/>
    <w:rsid w:val="0033436D"/>
    <w:rsid w:val="00334525"/>
    <w:rsid w:val="00335A01"/>
    <w:rsid w:val="00335A81"/>
    <w:rsid w:val="00336200"/>
    <w:rsid w:val="00336C54"/>
    <w:rsid w:val="00337351"/>
    <w:rsid w:val="00337382"/>
    <w:rsid w:val="0033758B"/>
    <w:rsid w:val="00337F86"/>
    <w:rsid w:val="0034068B"/>
    <w:rsid w:val="00340A58"/>
    <w:rsid w:val="003411C7"/>
    <w:rsid w:val="00341655"/>
    <w:rsid w:val="00341B98"/>
    <w:rsid w:val="00341C9E"/>
    <w:rsid w:val="00341D97"/>
    <w:rsid w:val="00342ECD"/>
    <w:rsid w:val="00344227"/>
    <w:rsid w:val="00344447"/>
    <w:rsid w:val="003456A6"/>
    <w:rsid w:val="00345C0D"/>
    <w:rsid w:val="00345FFA"/>
    <w:rsid w:val="0034611F"/>
    <w:rsid w:val="003470E2"/>
    <w:rsid w:val="00347980"/>
    <w:rsid w:val="003500EF"/>
    <w:rsid w:val="003504AC"/>
    <w:rsid w:val="00350FEA"/>
    <w:rsid w:val="00351288"/>
    <w:rsid w:val="0035151F"/>
    <w:rsid w:val="00352A64"/>
    <w:rsid w:val="0035386F"/>
    <w:rsid w:val="00353AE2"/>
    <w:rsid w:val="00353E2E"/>
    <w:rsid w:val="00353E4E"/>
    <w:rsid w:val="00354098"/>
    <w:rsid w:val="00354D9C"/>
    <w:rsid w:val="0035564B"/>
    <w:rsid w:val="0035656F"/>
    <w:rsid w:val="00356FDE"/>
    <w:rsid w:val="00357D7D"/>
    <w:rsid w:val="003619FC"/>
    <w:rsid w:val="00361D0D"/>
    <w:rsid w:val="003623EF"/>
    <w:rsid w:val="0036347D"/>
    <w:rsid w:val="0036363A"/>
    <w:rsid w:val="00363A7C"/>
    <w:rsid w:val="00364757"/>
    <w:rsid w:val="00364966"/>
    <w:rsid w:val="00364F81"/>
    <w:rsid w:val="00365183"/>
    <w:rsid w:val="00365343"/>
    <w:rsid w:val="00365B70"/>
    <w:rsid w:val="00365F12"/>
    <w:rsid w:val="00366612"/>
    <w:rsid w:val="003666E6"/>
    <w:rsid w:val="0036707D"/>
    <w:rsid w:val="003678E7"/>
    <w:rsid w:val="00367C35"/>
    <w:rsid w:val="00367D5E"/>
    <w:rsid w:val="00367D7D"/>
    <w:rsid w:val="00367E6A"/>
    <w:rsid w:val="003704B3"/>
    <w:rsid w:val="00370686"/>
    <w:rsid w:val="00370707"/>
    <w:rsid w:val="0037168B"/>
    <w:rsid w:val="003724BE"/>
    <w:rsid w:val="00372C9F"/>
    <w:rsid w:val="00373075"/>
    <w:rsid w:val="003738B1"/>
    <w:rsid w:val="0037475C"/>
    <w:rsid w:val="00374DAA"/>
    <w:rsid w:val="00374F42"/>
    <w:rsid w:val="003769AB"/>
    <w:rsid w:val="00376A0B"/>
    <w:rsid w:val="00376B10"/>
    <w:rsid w:val="00376D5C"/>
    <w:rsid w:val="00377313"/>
    <w:rsid w:val="003800F7"/>
    <w:rsid w:val="00380285"/>
    <w:rsid w:val="003808E8"/>
    <w:rsid w:val="0038120E"/>
    <w:rsid w:val="0038191C"/>
    <w:rsid w:val="00381AA6"/>
    <w:rsid w:val="00382A2C"/>
    <w:rsid w:val="0038328F"/>
    <w:rsid w:val="00383401"/>
    <w:rsid w:val="0038398F"/>
    <w:rsid w:val="00383EA4"/>
    <w:rsid w:val="00384061"/>
    <w:rsid w:val="00384457"/>
    <w:rsid w:val="00384A4C"/>
    <w:rsid w:val="00384CB7"/>
    <w:rsid w:val="00385149"/>
    <w:rsid w:val="00385CA0"/>
    <w:rsid w:val="003860C6"/>
    <w:rsid w:val="003866DA"/>
    <w:rsid w:val="00386F57"/>
    <w:rsid w:val="00387294"/>
    <w:rsid w:val="00387723"/>
    <w:rsid w:val="003906D6"/>
    <w:rsid w:val="003914F6"/>
    <w:rsid w:val="00391B4E"/>
    <w:rsid w:val="003921DA"/>
    <w:rsid w:val="00392CB5"/>
    <w:rsid w:val="00393314"/>
    <w:rsid w:val="003935EC"/>
    <w:rsid w:val="00393B3F"/>
    <w:rsid w:val="003940AD"/>
    <w:rsid w:val="00394BDC"/>
    <w:rsid w:val="00394ED5"/>
    <w:rsid w:val="00396424"/>
    <w:rsid w:val="00396EBF"/>
    <w:rsid w:val="003974B7"/>
    <w:rsid w:val="003979B9"/>
    <w:rsid w:val="00397E0B"/>
    <w:rsid w:val="003A0738"/>
    <w:rsid w:val="003A19C3"/>
    <w:rsid w:val="003A1A14"/>
    <w:rsid w:val="003A1ABF"/>
    <w:rsid w:val="003A1CDB"/>
    <w:rsid w:val="003A1DF2"/>
    <w:rsid w:val="003A297A"/>
    <w:rsid w:val="003A2E92"/>
    <w:rsid w:val="003A3702"/>
    <w:rsid w:val="003A38E5"/>
    <w:rsid w:val="003A40F9"/>
    <w:rsid w:val="003A46BE"/>
    <w:rsid w:val="003A4B0A"/>
    <w:rsid w:val="003A4F1C"/>
    <w:rsid w:val="003A4FFA"/>
    <w:rsid w:val="003A5147"/>
    <w:rsid w:val="003A7437"/>
    <w:rsid w:val="003A7F08"/>
    <w:rsid w:val="003B0175"/>
    <w:rsid w:val="003B03E9"/>
    <w:rsid w:val="003B0582"/>
    <w:rsid w:val="003B0BC0"/>
    <w:rsid w:val="003B0D2D"/>
    <w:rsid w:val="003B125A"/>
    <w:rsid w:val="003B21C0"/>
    <w:rsid w:val="003B2B20"/>
    <w:rsid w:val="003B2F1B"/>
    <w:rsid w:val="003B4BDB"/>
    <w:rsid w:val="003B4EA3"/>
    <w:rsid w:val="003C0A8E"/>
    <w:rsid w:val="003C1170"/>
    <w:rsid w:val="003C12EE"/>
    <w:rsid w:val="003C1635"/>
    <w:rsid w:val="003C17D4"/>
    <w:rsid w:val="003C18FA"/>
    <w:rsid w:val="003C1D02"/>
    <w:rsid w:val="003C2498"/>
    <w:rsid w:val="003C3149"/>
    <w:rsid w:val="003C3992"/>
    <w:rsid w:val="003C3C15"/>
    <w:rsid w:val="003C3E9E"/>
    <w:rsid w:val="003C4D09"/>
    <w:rsid w:val="003C50A1"/>
    <w:rsid w:val="003C56D1"/>
    <w:rsid w:val="003C6026"/>
    <w:rsid w:val="003C6ADC"/>
    <w:rsid w:val="003C7064"/>
    <w:rsid w:val="003C749E"/>
    <w:rsid w:val="003C782E"/>
    <w:rsid w:val="003C7A65"/>
    <w:rsid w:val="003C7E4F"/>
    <w:rsid w:val="003C7FE5"/>
    <w:rsid w:val="003D0094"/>
    <w:rsid w:val="003D0B04"/>
    <w:rsid w:val="003D13EE"/>
    <w:rsid w:val="003D191E"/>
    <w:rsid w:val="003D1993"/>
    <w:rsid w:val="003D2560"/>
    <w:rsid w:val="003D3372"/>
    <w:rsid w:val="003D3454"/>
    <w:rsid w:val="003D44E1"/>
    <w:rsid w:val="003D49C3"/>
    <w:rsid w:val="003D4D1C"/>
    <w:rsid w:val="003D56FD"/>
    <w:rsid w:val="003D6624"/>
    <w:rsid w:val="003D6802"/>
    <w:rsid w:val="003D73E0"/>
    <w:rsid w:val="003D7B22"/>
    <w:rsid w:val="003E004B"/>
    <w:rsid w:val="003E0599"/>
    <w:rsid w:val="003E0C6C"/>
    <w:rsid w:val="003E1368"/>
    <w:rsid w:val="003E18E5"/>
    <w:rsid w:val="003E1941"/>
    <w:rsid w:val="003E1DAD"/>
    <w:rsid w:val="003E2231"/>
    <w:rsid w:val="003E2240"/>
    <w:rsid w:val="003E2856"/>
    <w:rsid w:val="003E34A4"/>
    <w:rsid w:val="003E395F"/>
    <w:rsid w:val="003E3C67"/>
    <w:rsid w:val="003E5873"/>
    <w:rsid w:val="003E5B4F"/>
    <w:rsid w:val="003E5CF2"/>
    <w:rsid w:val="003E629C"/>
    <w:rsid w:val="003E6984"/>
    <w:rsid w:val="003E78DA"/>
    <w:rsid w:val="003E7C60"/>
    <w:rsid w:val="003E7CAB"/>
    <w:rsid w:val="003F08D3"/>
    <w:rsid w:val="003F128F"/>
    <w:rsid w:val="003F310A"/>
    <w:rsid w:val="003F3175"/>
    <w:rsid w:val="003F3E6F"/>
    <w:rsid w:val="003F45E7"/>
    <w:rsid w:val="003F46F7"/>
    <w:rsid w:val="003F56FA"/>
    <w:rsid w:val="003F5DE2"/>
    <w:rsid w:val="003F6470"/>
    <w:rsid w:val="003F6A20"/>
    <w:rsid w:val="003F7A4B"/>
    <w:rsid w:val="003F7DE8"/>
    <w:rsid w:val="003F7F32"/>
    <w:rsid w:val="004000C2"/>
    <w:rsid w:val="0040019B"/>
    <w:rsid w:val="004007E8"/>
    <w:rsid w:val="004012E9"/>
    <w:rsid w:val="004015CC"/>
    <w:rsid w:val="004021D9"/>
    <w:rsid w:val="00402374"/>
    <w:rsid w:val="00402784"/>
    <w:rsid w:val="00402CCE"/>
    <w:rsid w:val="00402EE9"/>
    <w:rsid w:val="004033AE"/>
    <w:rsid w:val="004036B0"/>
    <w:rsid w:val="00403C87"/>
    <w:rsid w:val="004040D4"/>
    <w:rsid w:val="0040500D"/>
    <w:rsid w:val="0040583E"/>
    <w:rsid w:val="00405922"/>
    <w:rsid w:val="00405D86"/>
    <w:rsid w:val="0040743F"/>
    <w:rsid w:val="00410420"/>
    <w:rsid w:val="00410A10"/>
    <w:rsid w:val="00410BD1"/>
    <w:rsid w:val="00410D6C"/>
    <w:rsid w:val="0041161A"/>
    <w:rsid w:val="00412187"/>
    <w:rsid w:val="004121EE"/>
    <w:rsid w:val="0041292A"/>
    <w:rsid w:val="004146F7"/>
    <w:rsid w:val="00414A1E"/>
    <w:rsid w:val="00414CDC"/>
    <w:rsid w:val="004154E8"/>
    <w:rsid w:val="0041572B"/>
    <w:rsid w:val="00416BAA"/>
    <w:rsid w:val="00416C4C"/>
    <w:rsid w:val="00416F42"/>
    <w:rsid w:val="00421C4D"/>
    <w:rsid w:val="00424C16"/>
    <w:rsid w:val="0042579D"/>
    <w:rsid w:val="004257BD"/>
    <w:rsid w:val="00425A8C"/>
    <w:rsid w:val="00426967"/>
    <w:rsid w:val="00426F1E"/>
    <w:rsid w:val="0042708D"/>
    <w:rsid w:val="004272A7"/>
    <w:rsid w:val="00427D8C"/>
    <w:rsid w:val="00430DC5"/>
    <w:rsid w:val="00431A4E"/>
    <w:rsid w:val="00431E3E"/>
    <w:rsid w:val="0043238C"/>
    <w:rsid w:val="004326DE"/>
    <w:rsid w:val="0043300C"/>
    <w:rsid w:val="0043409F"/>
    <w:rsid w:val="00435760"/>
    <w:rsid w:val="00435999"/>
    <w:rsid w:val="00436674"/>
    <w:rsid w:val="00436BB1"/>
    <w:rsid w:val="0043743C"/>
    <w:rsid w:val="00437827"/>
    <w:rsid w:val="00437FB3"/>
    <w:rsid w:val="004401FB"/>
    <w:rsid w:val="004406B8"/>
    <w:rsid w:val="004407EE"/>
    <w:rsid w:val="004410F9"/>
    <w:rsid w:val="00441FE8"/>
    <w:rsid w:val="00442215"/>
    <w:rsid w:val="00442B51"/>
    <w:rsid w:val="00443F0E"/>
    <w:rsid w:val="0044479C"/>
    <w:rsid w:val="0044529E"/>
    <w:rsid w:val="0044574C"/>
    <w:rsid w:val="004459D1"/>
    <w:rsid w:val="004502C2"/>
    <w:rsid w:val="00450453"/>
    <w:rsid w:val="00452088"/>
    <w:rsid w:val="0045324F"/>
    <w:rsid w:val="0045436D"/>
    <w:rsid w:val="004544EA"/>
    <w:rsid w:val="00454D99"/>
    <w:rsid w:val="00456272"/>
    <w:rsid w:val="004569C4"/>
    <w:rsid w:val="004569C6"/>
    <w:rsid w:val="00456C86"/>
    <w:rsid w:val="00460723"/>
    <w:rsid w:val="0046103A"/>
    <w:rsid w:val="00462330"/>
    <w:rsid w:val="00462CDF"/>
    <w:rsid w:val="00462ED2"/>
    <w:rsid w:val="00463A93"/>
    <w:rsid w:val="00464650"/>
    <w:rsid w:val="00464DA0"/>
    <w:rsid w:val="00464E77"/>
    <w:rsid w:val="0046526B"/>
    <w:rsid w:val="00465A71"/>
    <w:rsid w:val="00465C6A"/>
    <w:rsid w:val="0046782A"/>
    <w:rsid w:val="00467E70"/>
    <w:rsid w:val="00471008"/>
    <w:rsid w:val="0047117F"/>
    <w:rsid w:val="0047189B"/>
    <w:rsid w:val="0047190E"/>
    <w:rsid w:val="00471F6A"/>
    <w:rsid w:val="00472136"/>
    <w:rsid w:val="00472D1B"/>
    <w:rsid w:val="00473761"/>
    <w:rsid w:val="00474299"/>
    <w:rsid w:val="00474AA0"/>
    <w:rsid w:val="00475574"/>
    <w:rsid w:val="00475C08"/>
    <w:rsid w:val="00475C15"/>
    <w:rsid w:val="00476BBC"/>
    <w:rsid w:val="00480763"/>
    <w:rsid w:val="004809F3"/>
    <w:rsid w:val="00481451"/>
    <w:rsid w:val="00481EB2"/>
    <w:rsid w:val="00482155"/>
    <w:rsid w:val="004822FE"/>
    <w:rsid w:val="00482306"/>
    <w:rsid w:val="00482E0A"/>
    <w:rsid w:val="00483FCA"/>
    <w:rsid w:val="00485E60"/>
    <w:rsid w:val="0048748B"/>
    <w:rsid w:val="00487EBF"/>
    <w:rsid w:val="0049042F"/>
    <w:rsid w:val="00491618"/>
    <w:rsid w:val="004917EE"/>
    <w:rsid w:val="0049188D"/>
    <w:rsid w:val="004919A2"/>
    <w:rsid w:val="00491CE4"/>
    <w:rsid w:val="0049235E"/>
    <w:rsid w:val="004927EF"/>
    <w:rsid w:val="00492E1A"/>
    <w:rsid w:val="00492E3E"/>
    <w:rsid w:val="00492F00"/>
    <w:rsid w:val="00493075"/>
    <w:rsid w:val="004930F6"/>
    <w:rsid w:val="00493162"/>
    <w:rsid w:val="004945F9"/>
    <w:rsid w:val="00494F93"/>
    <w:rsid w:val="00495181"/>
    <w:rsid w:val="00495262"/>
    <w:rsid w:val="0049540A"/>
    <w:rsid w:val="004958E5"/>
    <w:rsid w:val="00496013"/>
    <w:rsid w:val="00496204"/>
    <w:rsid w:val="004973C2"/>
    <w:rsid w:val="00497FC3"/>
    <w:rsid w:val="004A0345"/>
    <w:rsid w:val="004A07D8"/>
    <w:rsid w:val="004A16D9"/>
    <w:rsid w:val="004A19C4"/>
    <w:rsid w:val="004A1ED1"/>
    <w:rsid w:val="004A3B16"/>
    <w:rsid w:val="004A40E2"/>
    <w:rsid w:val="004A4D84"/>
    <w:rsid w:val="004A57AD"/>
    <w:rsid w:val="004A59BD"/>
    <w:rsid w:val="004A5FFD"/>
    <w:rsid w:val="004A6EF1"/>
    <w:rsid w:val="004A70CF"/>
    <w:rsid w:val="004A754C"/>
    <w:rsid w:val="004B0A90"/>
    <w:rsid w:val="004B0E8A"/>
    <w:rsid w:val="004B2255"/>
    <w:rsid w:val="004B29C2"/>
    <w:rsid w:val="004B2AAC"/>
    <w:rsid w:val="004B2BAE"/>
    <w:rsid w:val="004B3955"/>
    <w:rsid w:val="004B3F3E"/>
    <w:rsid w:val="004B5116"/>
    <w:rsid w:val="004B7728"/>
    <w:rsid w:val="004B7C0A"/>
    <w:rsid w:val="004C0AB8"/>
    <w:rsid w:val="004C0C06"/>
    <w:rsid w:val="004C11B7"/>
    <w:rsid w:val="004C1CF5"/>
    <w:rsid w:val="004C21F4"/>
    <w:rsid w:val="004C2525"/>
    <w:rsid w:val="004C2A8A"/>
    <w:rsid w:val="004C2BD0"/>
    <w:rsid w:val="004C3EAC"/>
    <w:rsid w:val="004C4021"/>
    <w:rsid w:val="004C414B"/>
    <w:rsid w:val="004C552D"/>
    <w:rsid w:val="004C5BAA"/>
    <w:rsid w:val="004C5D80"/>
    <w:rsid w:val="004C67C0"/>
    <w:rsid w:val="004C689F"/>
    <w:rsid w:val="004C7AAB"/>
    <w:rsid w:val="004D0F22"/>
    <w:rsid w:val="004D14FE"/>
    <w:rsid w:val="004D1EBB"/>
    <w:rsid w:val="004D22E2"/>
    <w:rsid w:val="004D2B43"/>
    <w:rsid w:val="004D2F4A"/>
    <w:rsid w:val="004D3278"/>
    <w:rsid w:val="004D3D65"/>
    <w:rsid w:val="004D467E"/>
    <w:rsid w:val="004D4C75"/>
    <w:rsid w:val="004D5BEF"/>
    <w:rsid w:val="004D5CEE"/>
    <w:rsid w:val="004D6683"/>
    <w:rsid w:val="004D67E0"/>
    <w:rsid w:val="004D68B6"/>
    <w:rsid w:val="004D7778"/>
    <w:rsid w:val="004D7917"/>
    <w:rsid w:val="004E00DF"/>
    <w:rsid w:val="004E14A8"/>
    <w:rsid w:val="004E18FC"/>
    <w:rsid w:val="004E1C93"/>
    <w:rsid w:val="004E21F3"/>
    <w:rsid w:val="004E229C"/>
    <w:rsid w:val="004E3336"/>
    <w:rsid w:val="004E3A62"/>
    <w:rsid w:val="004E44AC"/>
    <w:rsid w:val="004E47C9"/>
    <w:rsid w:val="004E5409"/>
    <w:rsid w:val="004E54CC"/>
    <w:rsid w:val="004E5905"/>
    <w:rsid w:val="004E7B04"/>
    <w:rsid w:val="004E7EFE"/>
    <w:rsid w:val="004F0018"/>
    <w:rsid w:val="004F006B"/>
    <w:rsid w:val="004F0FC4"/>
    <w:rsid w:val="004F1503"/>
    <w:rsid w:val="004F193D"/>
    <w:rsid w:val="004F199B"/>
    <w:rsid w:val="004F246E"/>
    <w:rsid w:val="004F2967"/>
    <w:rsid w:val="004F2AB1"/>
    <w:rsid w:val="004F30FA"/>
    <w:rsid w:val="004F39E0"/>
    <w:rsid w:val="004F3EEA"/>
    <w:rsid w:val="004F3FAA"/>
    <w:rsid w:val="004F3FEC"/>
    <w:rsid w:val="004F40AB"/>
    <w:rsid w:val="004F5E82"/>
    <w:rsid w:val="004F5FD2"/>
    <w:rsid w:val="004F63D5"/>
    <w:rsid w:val="004F658F"/>
    <w:rsid w:val="004F7BF4"/>
    <w:rsid w:val="004F7C22"/>
    <w:rsid w:val="005006ED"/>
    <w:rsid w:val="00501637"/>
    <w:rsid w:val="0050219A"/>
    <w:rsid w:val="0050277A"/>
    <w:rsid w:val="005035CD"/>
    <w:rsid w:val="00503AF6"/>
    <w:rsid w:val="00504A8B"/>
    <w:rsid w:val="005056D9"/>
    <w:rsid w:val="005061C8"/>
    <w:rsid w:val="005079AE"/>
    <w:rsid w:val="00507E6F"/>
    <w:rsid w:val="00507F4F"/>
    <w:rsid w:val="005107BC"/>
    <w:rsid w:val="00511CC3"/>
    <w:rsid w:val="00512126"/>
    <w:rsid w:val="005123D6"/>
    <w:rsid w:val="005123F7"/>
    <w:rsid w:val="005124F0"/>
    <w:rsid w:val="00512D44"/>
    <w:rsid w:val="005136CD"/>
    <w:rsid w:val="00513A5D"/>
    <w:rsid w:val="00513B9E"/>
    <w:rsid w:val="00513EFD"/>
    <w:rsid w:val="0051401C"/>
    <w:rsid w:val="00514DA4"/>
    <w:rsid w:val="00515047"/>
    <w:rsid w:val="00515A70"/>
    <w:rsid w:val="00515A89"/>
    <w:rsid w:val="00516311"/>
    <w:rsid w:val="005176D5"/>
    <w:rsid w:val="00517C9E"/>
    <w:rsid w:val="00517CEC"/>
    <w:rsid w:val="00521186"/>
    <w:rsid w:val="005212BE"/>
    <w:rsid w:val="00521413"/>
    <w:rsid w:val="005215F4"/>
    <w:rsid w:val="00521802"/>
    <w:rsid w:val="005220B7"/>
    <w:rsid w:val="00522264"/>
    <w:rsid w:val="005226AC"/>
    <w:rsid w:val="005228FF"/>
    <w:rsid w:val="005232F4"/>
    <w:rsid w:val="00523CFE"/>
    <w:rsid w:val="00523DA1"/>
    <w:rsid w:val="00523FC3"/>
    <w:rsid w:val="00524B3D"/>
    <w:rsid w:val="00525B2B"/>
    <w:rsid w:val="005262E5"/>
    <w:rsid w:val="00526E6F"/>
    <w:rsid w:val="00527BBA"/>
    <w:rsid w:val="005300D8"/>
    <w:rsid w:val="005309CD"/>
    <w:rsid w:val="0053103A"/>
    <w:rsid w:val="00532058"/>
    <w:rsid w:val="005322C3"/>
    <w:rsid w:val="00532540"/>
    <w:rsid w:val="00533A3D"/>
    <w:rsid w:val="00534103"/>
    <w:rsid w:val="0053448E"/>
    <w:rsid w:val="00534853"/>
    <w:rsid w:val="005355BB"/>
    <w:rsid w:val="00536032"/>
    <w:rsid w:val="00536E69"/>
    <w:rsid w:val="005379F8"/>
    <w:rsid w:val="00537AAE"/>
    <w:rsid w:val="0054069D"/>
    <w:rsid w:val="00540F56"/>
    <w:rsid w:val="00540F85"/>
    <w:rsid w:val="005414F1"/>
    <w:rsid w:val="00541525"/>
    <w:rsid w:val="00542F6D"/>
    <w:rsid w:val="0054339D"/>
    <w:rsid w:val="005436E1"/>
    <w:rsid w:val="00543B39"/>
    <w:rsid w:val="005446B4"/>
    <w:rsid w:val="005447C3"/>
    <w:rsid w:val="00544877"/>
    <w:rsid w:val="00544AEC"/>
    <w:rsid w:val="00545006"/>
    <w:rsid w:val="00545173"/>
    <w:rsid w:val="00545603"/>
    <w:rsid w:val="0054614E"/>
    <w:rsid w:val="00547EC0"/>
    <w:rsid w:val="00550A7F"/>
    <w:rsid w:val="00553170"/>
    <w:rsid w:val="00553D4C"/>
    <w:rsid w:val="00554783"/>
    <w:rsid w:val="0055478A"/>
    <w:rsid w:val="00555490"/>
    <w:rsid w:val="00555985"/>
    <w:rsid w:val="00555F10"/>
    <w:rsid w:val="00556318"/>
    <w:rsid w:val="005569C2"/>
    <w:rsid w:val="00556C08"/>
    <w:rsid w:val="00557DF7"/>
    <w:rsid w:val="00560012"/>
    <w:rsid w:val="005607E5"/>
    <w:rsid w:val="00561799"/>
    <w:rsid w:val="00561911"/>
    <w:rsid w:val="00561E65"/>
    <w:rsid w:val="00561E66"/>
    <w:rsid w:val="005623DD"/>
    <w:rsid w:val="00562EA0"/>
    <w:rsid w:val="005632FE"/>
    <w:rsid w:val="00563CD2"/>
    <w:rsid w:val="00563DA2"/>
    <w:rsid w:val="005640F6"/>
    <w:rsid w:val="00564562"/>
    <w:rsid w:val="00564B7A"/>
    <w:rsid w:val="00565B50"/>
    <w:rsid w:val="0056652A"/>
    <w:rsid w:val="00566AAC"/>
    <w:rsid w:val="00566B79"/>
    <w:rsid w:val="0056782C"/>
    <w:rsid w:val="00570CCB"/>
    <w:rsid w:val="00571023"/>
    <w:rsid w:val="00572208"/>
    <w:rsid w:val="00572221"/>
    <w:rsid w:val="00572345"/>
    <w:rsid w:val="00572379"/>
    <w:rsid w:val="0057341A"/>
    <w:rsid w:val="0057355B"/>
    <w:rsid w:val="00573E60"/>
    <w:rsid w:val="005741A4"/>
    <w:rsid w:val="005741AE"/>
    <w:rsid w:val="005742BA"/>
    <w:rsid w:val="0057483A"/>
    <w:rsid w:val="00574A41"/>
    <w:rsid w:val="0057503D"/>
    <w:rsid w:val="0057594A"/>
    <w:rsid w:val="00575BC5"/>
    <w:rsid w:val="0057665E"/>
    <w:rsid w:val="0057778B"/>
    <w:rsid w:val="005779AE"/>
    <w:rsid w:val="00577A04"/>
    <w:rsid w:val="00577F1B"/>
    <w:rsid w:val="005800F6"/>
    <w:rsid w:val="0058040C"/>
    <w:rsid w:val="00580C2C"/>
    <w:rsid w:val="0058103D"/>
    <w:rsid w:val="005815B1"/>
    <w:rsid w:val="00581733"/>
    <w:rsid w:val="00581960"/>
    <w:rsid w:val="00581D15"/>
    <w:rsid w:val="00581F45"/>
    <w:rsid w:val="005832D0"/>
    <w:rsid w:val="0058337B"/>
    <w:rsid w:val="00583C1A"/>
    <w:rsid w:val="00583E2E"/>
    <w:rsid w:val="00584D0E"/>
    <w:rsid w:val="00584E19"/>
    <w:rsid w:val="00585374"/>
    <w:rsid w:val="00585928"/>
    <w:rsid w:val="00585D71"/>
    <w:rsid w:val="00586146"/>
    <w:rsid w:val="0058659D"/>
    <w:rsid w:val="005870D9"/>
    <w:rsid w:val="0058738E"/>
    <w:rsid w:val="00587997"/>
    <w:rsid w:val="00587CF5"/>
    <w:rsid w:val="00587D30"/>
    <w:rsid w:val="0059040A"/>
    <w:rsid w:val="00591FF7"/>
    <w:rsid w:val="00593078"/>
    <w:rsid w:val="0059433C"/>
    <w:rsid w:val="005946AB"/>
    <w:rsid w:val="0059490F"/>
    <w:rsid w:val="0059498B"/>
    <w:rsid w:val="00595D09"/>
    <w:rsid w:val="00595F30"/>
    <w:rsid w:val="0059601F"/>
    <w:rsid w:val="0059624A"/>
    <w:rsid w:val="00596B42"/>
    <w:rsid w:val="00596F83"/>
    <w:rsid w:val="005972AC"/>
    <w:rsid w:val="005979D0"/>
    <w:rsid w:val="00597E1E"/>
    <w:rsid w:val="005A0111"/>
    <w:rsid w:val="005A0436"/>
    <w:rsid w:val="005A15DF"/>
    <w:rsid w:val="005A2455"/>
    <w:rsid w:val="005A2C29"/>
    <w:rsid w:val="005A50FA"/>
    <w:rsid w:val="005A5BB0"/>
    <w:rsid w:val="005A60BD"/>
    <w:rsid w:val="005A6F2E"/>
    <w:rsid w:val="005A777B"/>
    <w:rsid w:val="005B014D"/>
    <w:rsid w:val="005B06F5"/>
    <w:rsid w:val="005B080A"/>
    <w:rsid w:val="005B1DF4"/>
    <w:rsid w:val="005B1FB3"/>
    <w:rsid w:val="005B2BDA"/>
    <w:rsid w:val="005B2F13"/>
    <w:rsid w:val="005B3D31"/>
    <w:rsid w:val="005B3D44"/>
    <w:rsid w:val="005B43DC"/>
    <w:rsid w:val="005B46BB"/>
    <w:rsid w:val="005B46C1"/>
    <w:rsid w:val="005B5FD3"/>
    <w:rsid w:val="005B6137"/>
    <w:rsid w:val="005B67E6"/>
    <w:rsid w:val="005B6C4C"/>
    <w:rsid w:val="005B7A7E"/>
    <w:rsid w:val="005C1791"/>
    <w:rsid w:val="005C1944"/>
    <w:rsid w:val="005C1B2F"/>
    <w:rsid w:val="005C1C69"/>
    <w:rsid w:val="005C21D6"/>
    <w:rsid w:val="005C21D8"/>
    <w:rsid w:val="005C3154"/>
    <w:rsid w:val="005C41C0"/>
    <w:rsid w:val="005C4511"/>
    <w:rsid w:val="005C4886"/>
    <w:rsid w:val="005C54B5"/>
    <w:rsid w:val="005C5EF7"/>
    <w:rsid w:val="005C7CA2"/>
    <w:rsid w:val="005D034D"/>
    <w:rsid w:val="005D0742"/>
    <w:rsid w:val="005D0E29"/>
    <w:rsid w:val="005D1598"/>
    <w:rsid w:val="005D159C"/>
    <w:rsid w:val="005D28B6"/>
    <w:rsid w:val="005D2F69"/>
    <w:rsid w:val="005D308D"/>
    <w:rsid w:val="005D415D"/>
    <w:rsid w:val="005D49CE"/>
    <w:rsid w:val="005D5152"/>
    <w:rsid w:val="005D52D2"/>
    <w:rsid w:val="005D5A41"/>
    <w:rsid w:val="005D5ABC"/>
    <w:rsid w:val="005D647C"/>
    <w:rsid w:val="005D6609"/>
    <w:rsid w:val="005D6621"/>
    <w:rsid w:val="005D7067"/>
    <w:rsid w:val="005D7209"/>
    <w:rsid w:val="005D72AC"/>
    <w:rsid w:val="005D7A00"/>
    <w:rsid w:val="005D7BE3"/>
    <w:rsid w:val="005D7CF6"/>
    <w:rsid w:val="005D7D58"/>
    <w:rsid w:val="005E0556"/>
    <w:rsid w:val="005E063E"/>
    <w:rsid w:val="005E076D"/>
    <w:rsid w:val="005E13A6"/>
    <w:rsid w:val="005E2A35"/>
    <w:rsid w:val="005E2E60"/>
    <w:rsid w:val="005E33E1"/>
    <w:rsid w:val="005E3791"/>
    <w:rsid w:val="005E3D6D"/>
    <w:rsid w:val="005E411A"/>
    <w:rsid w:val="005E70F6"/>
    <w:rsid w:val="005E73F9"/>
    <w:rsid w:val="005E75A9"/>
    <w:rsid w:val="005E7BDD"/>
    <w:rsid w:val="005F0514"/>
    <w:rsid w:val="005F0A66"/>
    <w:rsid w:val="005F0B87"/>
    <w:rsid w:val="005F0E12"/>
    <w:rsid w:val="005F1077"/>
    <w:rsid w:val="005F1233"/>
    <w:rsid w:val="005F2376"/>
    <w:rsid w:val="005F37E7"/>
    <w:rsid w:val="005F4280"/>
    <w:rsid w:val="005F4D4D"/>
    <w:rsid w:val="005F5204"/>
    <w:rsid w:val="005F5492"/>
    <w:rsid w:val="005F59AC"/>
    <w:rsid w:val="005F5A14"/>
    <w:rsid w:val="005F64C8"/>
    <w:rsid w:val="005F7415"/>
    <w:rsid w:val="005F7CF6"/>
    <w:rsid w:val="006003DF"/>
    <w:rsid w:val="0060085A"/>
    <w:rsid w:val="0060108F"/>
    <w:rsid w:val="00601F95"/>
    <w:rsid w:val="00602696"/>
    <w:rsid w:val="0060276B"/>
    <w:rsid w:val="00602B66"/>
    <w:rsid w:val="00603039"/>
    <w:rsid w:val="00604073"/>
    <w:rsid w:val="00604341"/>
    <w:rsid w:val="006048E8"/>
    <w:rsid w:val="00606AFE"/>
    <w:rsid w:val="00606E2F"/>
    <w:rsid w:val="00607934"/>
    <w:rsid w:val="00610000"/>
    <w:rsid w:val="0061035E"/>
    <w:rsid w:val="00610611"/>
    <w:rsid w:val="00611326"/>
    <w:rsid w:val="006113C5"/>
    <w:rsid w:val="0061140E"/>
    <w:rsid w:val="006128BB"/>
    <w:rsid w:val="0061324B"/>
    <w:rsid w:val="006139B8"/>
    <w:rsid w:val="00614704"/>
    <w:rsid w:val="00617E5E"/>
    <w:rsid w:val="0062064A"/>
    <w:rsid w:val="00620893"/>
    <w:rsid w:val="00621719"/>
    <w:rsid w:val="00621C8D"/>
    <w:rsid w:val="00621D16"/>
    <w:rsid w:val="00621D8B"/>
    <w:rsid w:val="00621E63"/>
    <w:rsid w:val="00623064"/>
    <w:rsid w:val="00623499"/>
    <w:rsid w:val="006234E9"/>
    <w:rsid w:val="006234EF"/>
    <w:rsid w:val="0062402F"/>
    <w:rsid w:val="0062422D"/>
    <w:rsid w:val="00624348"/>
    <w:rsid w:val="00624882"/>
    <w:rsid w:val="00624BCE"/>
    <w:rsid w:val="0062557A"/>
    <w:rsid w:val="006256A7"/>
    <w:rsid w:val="00625C1B"/>
    <w:rsid w:val="006272C1"/>
    <w:rsid w:val="00627949"/>
    <w:rsid w:val="00627A64"/>
    <w:rsid w:val="0063042A"/>
    <w:rsid w:val="0063049A"/>
    <w:rsid w:val="0063119A"/>
    <w:rsid w:val="00631643"/>
    <w:rsid w:val="00631F97"/>
    <w:rsid w:val="00633A82"/>
    <w:rsid w:val="00633C08"/>
    <w:rsid w:val="00634412"/>
    <w:rsid w:val="0063443A"/>
    <w:rsid w:val="00634B2C"/>
    <w:rsid w:val="00634FE6"/>
    <w:rsid w:val="006353FB"/>
    <w:rsid w:val="00635A87"/>
    <w:rsid w:val="006367EC"/>
    <w:rsid w:val="00636BDB"/>
    <w:rsid w:val="00637145"/>
    <w:rsid w:val="00637A27"/>
    <w:rsid w:val="00640953"/>
    <w:rsid w:val="00640CE3"/>
    <w:rsid w:val="00640F09"/>
    <w:rsid w:val="006428D2"/>
    <w:rsid w:val="006434E5"/>
    <w:rsid w:val="00643BBF"/>
    <w:rsid w:val="0064441F"/>
    <w:rsid w:val="00644425"/>
    <w:rsid w:val="0064462B"/>
    <w:rsid w:val="00645139"/>
    <w:rsid w:val="006472FA"/>
    <w:rsid w:val="00647849"/>
    <w:rsid w:val="006504A0"/>
    <w:rsid w:val="00650F68"/>
    <w:rsid w:val="006518D0"/>
    <w:rsid w:val="00651C79"/>
    <w:rsid w:val="00651D5F"/>
    <w:rsid w:val="00652DD5"/>
    <w:rsid w:val="006532B3"/>
    <w:rsid w:val="0065337E"/>
    <w:rsid w:val="00653480"/>
    <w:rsid w:val="0065373A"/>
    <w:rsid w:val="00654076"/>
    <w:rsid w:val="0065457E"/>
    <w:rsid w:val="006545C4"/>
    <w:rsid w:val="0065470A"/>
    <w:rsid w:val="00654AF5"/>
    <w:rsid w:val="0065505B"/>
    <w:rsid w:val="00655EEE"/>
    <w:rsid w:val="00656183"/>
    <w:rsid w:val="006561CE"/>
    <w:rsid w:val="006563E8"/>
    <w:rsid w:val="00657A12"/>
    <w:rsid w:val="00657B00"/>
    <w:rsid w:val="006604D5"/>
    <w:rsid w:val="00662503"/>
    <w:rsid w:val="006627E8"/>
    <w:rsid w:val="006632F7"/>
    <w:rsid w:val="00663BF2"/>
    <w:rsid w:val="006644BD"/>
    <w:rsid w:val="006644E7"/>
    <w:rsid w:val="00664A43"/>
    <w:rsid w:val="00665157"/>
    <w:rsid w:val="00665577"/>
    <w:rsid w:val="006655F8"/>
    <w:rsid w:val="00665E23"/>
    <w:rsid w:val="006670CE"/>
    <w:rsid w:val="0066736B"/>
    <w:rsid w:val="006676F1"/>
    <w:rsid w:val="00667825"/>
    <w:rsid w:val="006701B9"/>
    <w:rsid w:val="0067064A"/>
    <w:rsid w:val="00670720"/>
    <w:rsid w:val="00670E44"/>
    <w:rsid w:val="00672077"/>
    <w:rsid w:val="00672A76"/>
    <w:rsid w:val="00672BF3"/>
    <w:rsid w:val="00672C2E"/>
    <w:rsid w:val="00672D98"/>
    <w:rsid w:val="00672F48"/>
    <w:rsid w:val="00673FE0"/>
    <w:rsid w:val="00674216"/>
    <w:rsid w:val="00674262"/>
    <w:rsid w:val="0067663D"/>
    <w:rsid w:val="00680AAF"/>
    <w:rsid w:val="00680F39"/>
    <w:rsid w:val="0068124D"/>
    <w:rsid w:val="006812DE"/>
    <w:rsid w:val="00681D76"/>
    <w:rsid w:val="00682AD1"/>
    <w:rsid w:val="00683140"/>
    <w:rsid w:val="00683848"/>
    <w:rsid w:val="006849EE"/>
    <w:rsid w:val="00684BBE"/>
    <w:rsid w:val="00684C66"/>
    <w:rsid w:val="00685653"/>
    <w:rsid w:val="0068631D"/>
    <w:rsid w:val="00686AC1"/>
    <w:rsid w:val="00686E6E"/>
    <w:rsid w:val="00687FDF"/>
    <w:rsid w:val="006906AD"/>
    <w:rsid w:val="006913B9"/>
    <w:rsid w:val="00691515"/>
    <w:rsid w:val="0069186C"/>
    <w:rsid w:val="00691DAD"/>
    <w:rsid w:val="006928AC"/>
    <w:rsid w:val="00693141"/>
    <w:rsid w:val="006933D6"/>
    <w:rsid w:val="00693866"/>
    <w:rsid w:val="00695141"/>
    <w:rsid w:val="006951E5"/>
    <w:rsid w:val="00695221"/>
    <w:rsid w:val="006964E6"/>
    <w:rsid w:val="00696C92"/>
    <w:rsid w:val="006976BE"/>
    <w:rsid w:val="006976EB"/>
    <w:rsid w:val="0069799C"/>
    <w:rsid w:val="006979BD"/>
    <w:rsid w:val="00697A8E"/>
    <w:rsid w:val="006A0440"/>
    <w:rsid w:val="006A0D5D"/>
    <w:rsid w:val="006A0F20"/>
    <w:rsid w:val="006A1AC4"/>
    <w:rsid w:val="006A23AB"/>
    <w:rsid w:val="006A2631"/>
    <w:rsid w:val="006A329B"/>
    <w:rsid w:val="006A372F"/>
    <w:rsid w:val="006A40DD"/>
    <w:rsid w:val="006A464A"/>
    <w:rsid w:val="006A4DDC"/>
    <w:rsid w:val="006A624B"/>
    <w:rsid w:val="006A762F"/>
    <w:rsid w:val="006A765B"/>
    <w:rsid w:val="006B0A00"/>
    <w:rsid w:val="006B0C16"/>
    <w:rsid w:val="006B1001"/>
    <w:rsid w:val="006B168A"/>
    <w:rsid w:val="006B1711"/>
    <w:rsid w:val="006B1B5F"/>
    <w:rsid w:val="006B1DAD"/>
    <w:rsid w:val="006B218B"/>
    <w:rsid w:val="006B37E9"/>
    <w:rsid w:val="006B5D01"/>
    <w:rsid w:val="006B6CCB"/>
    <w:rsid w:val="006B6E45"/>
    <w:rsid w:val="006B771F"/>
    <w:rsid w:val="006B783E"/>
    <w:rsid w:val="006C052B"/>
    <w:rsid w:val="006C2306"/>
    <w:rsid w:val="006C350F"/>
    <w:rsid w:val="006C3AB1"/>
    <w:rsid w:val="006C3E72"/>
    <w:rsid w:val="006C4110"/>
    <w:rsid w:val="006C41AC"/>
    <w:rsid w:val="006C5348"/>
    <w:rsid w:val="006C54CF"/>
    <w:rsid w:val="006C696E"/>
    <w:rsid w:val="006C74D2"/>
    <w:rsid w:val="006C79BD"/>
    <w:rsid w:val="006C7BE6"/>
    <w:rsid w:val="006D1016"/>
    <w:rsid w:val="006D1B1D"/>
    <w:rsid w:val="006D2682"/>
    <w:rsid w:val="006D2B91"/>
    <w:rsid w:val="006D5150"/>
    <w:rsid w:val="006D5251"/>
    <w:rsid w:val="006D5B6F"/>
    <w:rsid w:val="006D6046"/>
    <w:rsid w:val="006D62EE"/>
    <w:rsid w:val="006D67E0"/>
    <w:rsid w:val="006D6981"/>
    <w:rsid w:val="006D7211"/>
    <w:rsid w:val="006D7593"/>
    <w:rsid w:val="006D7B57"/>
    <w:rsid w:val="006E0312"/>
    <w:rsid w:val="006E0DD3"/>
    <w:rsid w:val="006E1E26"/>
    <w:rsid w:val="006E2E63"/>
    <w:rsid w:val="006E31EA"/>
    <w:rsid w:val="006E32D8"/>
    <w:rsid w:val="006E3DEB"/>
    <w:rsid w:val="006E3EF4"/>
    <w:rsid w:val="006E458E"/>
    <w:rsid w:val="006E496A"/>
    <w:rsid w:val="006E4A38"/>
    <w:rsid w:val="006E4E70"/>
    <w:rsid w:val="006E5057"/>
    <w:rsid w:val="006E5643"/>
    <w:rsid w:val="006E56E6"/>
    <w:rsid w:val="006E6238"/>
    <w:rsid w:val="006E6A21"/>
    <w:rsid w:val="006E7218"/>
    <w:rsid w:val="006E74BD"/>
    <w:rsid w:val="006E760C"/>
    <w:rsid w:val="006E7E6E"/>
    <w:rsid w:val="006F0297"/>
    <w:rsid w:val="006F0679"/>
    <w:rsid w:val="006F0771"/>
    <w:rsid w:val="006F0A58"/>
    <w:rsid w:val="006F224D"/>
    <w:rsid w:val="006F2F9E"/>
    <w:rsid w:val="006F31C8"/>
    <w:rsid w:val="006F41E5"/>
    <w:rsid w:val="006F4B7F"/>
    <w:rsid w:val="006F521D"/>
    <w:rsid w:val="006F6820"/>
    <w:rsid w:val="006F6B14"/>
    <w:rsid w:val="006F72E5"/>
    <w:rsid w:val="007001DF"/>
    <w:rsid w:val="007002DF"/>
    <w:rsid w:val="00700646"/>
    <w:rsid w:val="007008B0"/>
    <w:rsid w:val="007009E2"/>
    <w:rsid w:val="00700E81"/>
    <w:rsid w:val="00701063"/>
    <w:rsid w:val="007011A4"/>
    <w:rsid w:val="007021B4"/>
    <w:rsid w:val="00702317"/>
    <w:rsid w:val="0070268D"/>
    <w:rsid w:val="00702C38"/>
    <w:rsid w:val="0070336A"/>
    <w:rsid w:val="00703760"/>
    <w:rsid w:val="0070420C"/>
    <w:rsid w:val="007044B8"/>
    <w:rsid w:val="00704586"/>
    <w:rsid w:val="0070548B"/>
    <w:rsid w:val="00705A7E"/>
    <w:rsid w:val="00705AA2"/>
    <w:rsid w:val="007073BE"/>
    <w:rsid w:val="00707453"/>
    <w:rsid w:val="007100C7"/>
    <w:rsid w:val="007119F1"/>
    <w:rsid w:val="0071254F"/>
    <w:rsid w:val="007133E9"/>
    <w:rsid w:val="0071370A"/>
    <w:rsid w:val="00713837"/>
    <w:rsid w:val="00713AA9"/>
    <w:rsid w:val="00713D96"/>
    <w:rsid w:val="007142A8"/>
    <w:rsid w:val="007159E7"/>
    <w:rsid w:val="007170D0"/>
    <w:rsid w:val="007176E3"/>
    <w:rsid w:val="007176EB"/>
    <w:rsid w:val="00720321"/>
    <w:rsid w:val="00720928"/>
    <w:rsid w:val="00721A7D"/>
    <w:rsid w:val="00722845"/>
    <w:rsid w:val="007239B0"/>
    <w:rsid w:val="00723A3F"/>
    <w:rsid w:val="00723EE3"/>
    <w:rsid w:val="007240C3"/>
    <w:rsid w:val="007247B4"/>
    <w:rsid w:val="007252A3"/>
    <w:rsid w:val="0072590E"/>
    <w:rsid w:val="00727028"/>
    <w:rsid w:val="00727B9D"/>
    <w:rsid w:val="00727D4A"/>
    <w:rsid w:val="00727F56"/>
    <w:rsid w:val="00730312"/>
    <w:rsid w:val="00730912"/>
    <w:rsid w:val="007315B8"/>
    <w:rsid w:val="00731FAA"/>
    <w:rsid w:val="007321DA"/>
    <w:rsid w:val="007331F4"/>
    <w:rsid w:val="007332DC"/>
    <w:rsid w:val="007333DC"/>
    <w:rsid w:val="007335C8"/>
    <w:rsid w:val="00733F13"/>
    <w:rsid w:val="00733F99"/>
    <w:rsid w:val="00735B67"/>
    <w:rsid w:val="00735D45"/>
    <w:rsid w:val="00736994"/>
    <w:rsid w:val="00736B48"/>
    <w:rsid w:val="00736E34"/>
    <w:rsid w:val="00737A69"/>
    <w:rsid w:val="00737AAA"/>
    <w:rsid w:val="00737C27"/>
    <w:rsid w:val="00740D4B"/>
    <w:rsid w:val="0074104B"/>
    <w:rsid w:val="007413FC"/>
    <w:rsid w:val="00742A69"/>
    <w:rsid w:val="00742A9D"/>
    <w:rsid w:val="0074310D"/>
    <w:rsid w:val="00743267"/>
    <w:rsid w:val="00744E44"/>
    <w:rsid w:val="00745FD2"/>
    <w:rsid w:val="00746BCF"/>
    <w:rsid w:val="007470B0"/>
    <w:rsid w:val="00747A29"/>
    <w:rsid w:val="00747BA1"/>
    <w:rsid w:val="007513C4"/>
    <w:rsid w:val="007515F3"/>
    <w:rsid w:val="00751669"/>
    <w:rsid w:val="00751C44"/>
    <w:rsid w:val="007529B5"/>
    <w:rsid w:val="0075346A"/>
    <w:rsid w:val="00753A6D"/>
    <w:rsid w:val="00753BB6"/>
    <w:rsid w:val="007542C2"/>
    <w:rsid w:val="00754BFF"/>
    <w:rsid w:val="00754CD5"/>
    <w:rsid w:val="007551C2"/>
    <w:rsid w:val="00755816"/>
    <w:rsid w:val="00755AD3"/>
    <w:rsid w:val="00755FFC"/>
    <w:rsid w:val="0075653B"/>
    <w:rsid w:val="00757973"/>
    <w:rsid w:val="00760CED"/>
    <w:rsid w:val="00760FF3"/>
    <w:rsid w:val="007610FB"/>
    <w:rsid w:val="0076180D"/>
    <w:rsid w:val="007630A3"/>
    <w:rsid w:val="0076316E"/>
    <w:rsid w:val="007631D5"/>
    <w:rsid w:val="007632DE"/>
    <w:rsid w:val="00763719"/>
    <w:rsid w:val="00763FF9"/>
    <w:rsid w:val="00764509"/>
    <w:rsid w:val="00766661"/>
    <w:rsid w:val="00766BA5"/>
    <w:rsid w:val="00766DE0"/>
    <w:rsid w:val="007675BA"/>
    <w:rsid w:val="007702B5"/>
    <w:rsid w:val="0077087B"/>
    <w:rsid w:val="00770954"/>
    <w:rsid w:val="007709BF"/>
    <w:rsid w:val="007712E2"/>
    <w:rsid w:val="007713BE"/>
    <w:rsid w:val="00771448"/>
    <w:rsid w:val="00771B4D"/>
    <w:rsid w:val="0077253C"/>
    <w:rsid w:val="0077340E"/>
    <w:rsid w:val="007734E8"/>
    <w:rsid w:val="00773D7C"/>
    <w:rsid w:val="00774057"/>
    <w:rsid w:val="00775FEF"/>
    <w:rsid w:val="00776062"/>
    <w:rsid w:val="00776384"/>
    <w:rsid w:val="0077667B"/>
    <w:rsid w:val="007768BB"/>
    <w:rsid w:val="00776A4B"/>
    <w:rsid w:val="00777390"/>
    <w:rsid w:val="007773E7"/>
    <w:rsid w:val="00777492"/>
    <w:rsid w:val="00777EA7"/>
    <w:rsid w:val="00780EBC"/>
    <w:rsid w:val="00780EF5"/>
    <w:rsid w:val="00780FD3"/>
    <w:rsid w:val="00781171"/>
    <w:rsid w:val="00781186"/>
    <w:rsid w:val="00781A26"/>
    <w:rsid w:val="007822A5"/>
    <w:rsid w:val="007833EB"/>
    <w:rsid w:val="00783E05"/>
    <w:rsid w:val="0078596F"/>
    <w:rsid w:val="00785E11"/>
    <w:rsid w:val="00786327"/>
    <w:rsid w:val="00786D69"/>
    <w:rsid w:val="00787460"/>
    <w:rsid w:val="00790D75"/>
    <w:rsid w:val="00792C47"/>
    <w:rsid w:val="00792DFD"/>
    <w:rsid w:val="00793354"/>
    <w:rsid w:val="00793380"/>
    <w:rsid w:val="00793791"/>
    <w:rsid w:val="00793B35"/>
    <w:rsid w:val="00793CB8"/>
    <w:rsid w:val="00793F99"/>
    <w:rsid w:val="0079416F"/>
    <w:rsid w:val="007955F6"/>
    <w:rsid w:val="007959DC"/>
    <w:rsid w:val="00795AA6"/>
    <w:rsid w:val="00795D53"/>
    <w:rsid w:val="007961EA"/>
    <w:rsid w:val="00796E12"/>
    <w:rsid w:val="0079753F"/>
    <w:rsid w:val="00797AB5"/>
    <w:rsid w:val="007A0ADF"/>
    <w:rsid w:val="007A18DC"/>
    <w:rsid w:val="007A2650"/>
    <w:rsid w:val="007A2F34"/>
    <w:rsid w:val="007A3306"/>
    <w:rsid w:val="007A34C8"/>
    <w:rsid w:val="007A3F16"/>
    <w:rsid w:val="007A5229"/>
    <w:rsid w:val="007A5779"/>
    <w:rsid w:val="007A5A8F"/>
    <w:rsid w:val="007A5BE5"/>
    <w:rsid w:val="007A5EED"/>
    <w:rsid w:val="007A6897"/>
    <w:rsid w:val="007A766E"/>
    <w:rsid w:val="007A7DB4"/>
    <w:rsid w:val="007B0297"/>
    <w:rsid w:val="007B09E5"/>
    <w:rsid w:val="007B0ACE"/>
    <w:rsid w:val="007B1E5D"/>
    <w:rsid w:val="007B24A5"/>
    <w:rsid w:val="007B2B9D"/>
    <w:rsid w:val="007B2CAC"/>
    <w:rsid w:val="007B308B"/>
    <w:rsid w:val="007B31B0"/>
    <w:rsid w:val="007B41EB"/>
    <w:rsid w:val="007B42A1"/>
    <w:rsid w:val="007B4F92"/>
    <w:rsid w:val="007B5010"/>
    <w:rsid w:val="007B5720"/>
    <w:rsid w:val="007B5BB5"/>
    <w:rsid w:val="007B6219"/>
    <w:rsid w:val="007B62E3"/>
    <w:rsid w:val="007B6BD7"/>
    <w:rsid w:val="007B6F82"/>
    <w:rsid w:val="007B707A"/>
    <w:rsid w:val="007B708B"/>
    <w:rsid w:val="007B7264"/>
    <w:rsid w:val="007B78E9"/>
    <w:rsid w:val="007B7CF6"/>
    <w:rsid w:val="007B7F47"/>
    <w:rsid w:val="007C1561"/>
    <w:rsid w:val="007C17AC"/>
    <w:rsid w:val="007C1E27"/>
    <w:rsid w:val="007C4593"/>
    <w:rsid w:val="007C4683"/>
    <w:rsid w:val="007C4CA5"/>
    <w:rsid w:val="007C4CB2"/>
    <w:rsid w:val="007C60DB"/>
    <w:rsid w:val="007C7445"/>
    <w:rsid w:val="007D10D9"/>
    <w:rsid w:val="007D1948"/>
    <w:rsid w:val="007D195F"/>
    <w:rsid w:val="007D1C07"/>
    <w:rsid w:val="007D2A5E"/>
    <w:rsid w:val="007D2FE3"/>
    <w:rsid w:val="007D319D"/>
    <w:rsid w:val="007D331C"/>
    <w:rsid w:val="007D34BD"/>
    <w:rsid w:val="007D4A3A"/>
    <w:rsid w:val="007D5FCC"/>
    <w:rsid w:val="007D6470"/>
    <w:rsid w:val="007D793A"/>
    <w:rsid w:val="007E01A6"/>
    <w:rsid w:val="007E035F"/>
    <w:rsid w:val="007E05E2"/>
    <w:rsid w:val="007E0976"/>
    <w:rsid w:val="007E0C48"/>
    <w:rsid w:val="007E0D50"/>
    <w:rsid w:val="007E0D62"/>
    <w:rsid w:val="007E0F49"/>
    <w:rsid w:val="007E158B"/>
    <w:rsid w:val="007E20B8"/>
    <w:rsid w:val="007E20C9"/>
    <w:rsid w:val="007E2EB9"/>
    <w:rsid w:val="007E32B0"/>
    <w:rsid w:val="007E374B"/>
    <w:rsid w:val="007E4BEE"/>
    <w:rsid w:val="007E50D2"/>
    <w:rsid w:val="007E6C9D"/>
    <w:rsid w:val="007E7A10"/>
    <w:rsid w:val="007F009E"/>
    <w:rsid w:val="007F0331"/>
    <w:rsid w:val="007F087F"/>
    <w:rsid w:val="007F0897"/>
    <w:rsid w:val="007F0945"/>
    <w:rsid w:val="007F0B71"/>
    <w:rsid w:val="007F0C9E"/>
    <w:rsid w:val="007F15A6"/>
    <w:rsid w:val="007F1688"/>
    <w:rsid w:val="007F19E7"/>
    <w:rsid w:val="007F2448"/>
    <w:rsid w:val="007F26E9"/>
    <w:rsid w:val="007F3251"/>
    <w:rsid w:val="007F3992"/>
    <w:rsid w:val="007F4C45"/>
    <w:rsid w:val="007F4E2A"/>
    <w:rsid w:val="007F6A0D"/>
    <w:rsid w:val="007F6ADE"/>
    <w:rsid w:val="007F73B8"/>
    <w:rsid w:val="007F7519"/>
    <w:rsid w:val="007F76D0"/>
    <w:rsid w:val="007F76FC"/>
    <w:rsid w:val="007F78C1"/>
    <w:rsid w:val="0080004A"/>
    <w:rsid w:val="00800CD9"/>
    <w:rsid w:val="00800CF7"/>
    <w:rsid w:val="00801045"/>
    <w:rsid w:val="00801668"/>
    <w:rsid w:val="008017BC"/>
    <w:rsid w:val="00802ACD"/>
    <w:rsid w:val="00803E46"/>
    <w:rsid w:val="00803ECB"/>
    <w:rsid w:val="00804A96"/>
    <w:rsid w:val="00804FA9"/>
    <w:rsid w:val="008055D1"/>
    <w:rsid w:val="0080576C"/>
    <w:rsid w:val="00805C43"/>
    <w:rsid w:val="00805C87"/>
    <w:rsid w:val="00805F8D"/>
    <w:rsid w:val="00806D9D"/>
    <w:rsid w:val="00807570"/>
    <w:rsid w:val="00811030"/>
    <w:rsid w:val="008111BF"/>
    <w:rsid w:val="00812B1F"/>
    <w:rsid w:val="00812EAA"/>
    <w:rsid w:val="008138DB"/>
    <w:rsid w:val="00814D05"/>
    <w:rsid w:val="0081506F"/>
    <w:rsid w:val="0081595A"/>
    <w:rsid w:val="00815A9B"/>
    <w:rsid w:val="00815F22"/>
    <w:rsid w:val="00816BBF"/>
    <w:rsid w:val="0081727B"/>
    <w:rsid w:val="008176B6"/>
    <w:rsid w:val="00817CF9"/>
    <w:rsid w:val="00817E5C"/>
    <w:rsid w:val="00820391"/>
    <w:rsid w:val="00820E3D"/>
    <w:rsid w:val="00821F0B"/>
    <w:rsid w:val="00821FDA"/>
    <w:rsid w:val="00822487"/>
    <w:rsid w:val="0082317A"/>
    <w:rsid w:val="00823222"/>
    <w:rsid w:val="008236F9"/>
    <w:rsid w:val="008244CC"/>
    <w:rsid w:val="00824AFB"/>
    <w:rsid w:val="00824DE9"/>
    <w:rsid w:val="0082523F"/>
    <w:rsid w:val="00826578"/>
    <w:rsid w:val="00826D20"/>
    <w:rsid w:val="00827206"/>
    <w:rsid w:val="00827D90"/>
    <w:rsid w:val="00827E5E"/>
    <w:rsid w:val="00827EA2"/>
    <w:rsid w:val="008317D0"/>
    <w:rsid w:val="00831C5B"/>
    <w:rsid w:val="00831F3F"/>
    <w:rsid w:val="00832423"/>
    <w:rsid w:val="00832872"/>
    <w:rsid w:val="008329D1"/>
    <w:rsid w:val="00832EB9"/>
    <w:rsid w:val="00833007"/>
    <w:rsid w:val="00833278"/>
    <w:rsid w:val="00833473"/>
    <w:rsid w:val="00833689"/>
    <w:rsid w:val="0083449F"/>
    <w:rsid w:val="008349A7"/>
    <w:rsid w:val="00836AD0"/>
    <w:rsid w:val="00837136"/>
    <w:rsid w:val="0083776F"/>
    <w:rsid w:val="00837CBB"/>
    <w:rsid w:val="00837DC7"/>
    <w:rsid w:val="00837DEE"/>
    <w:rsid w:val="00837F5D"/>
    <w:rsid w:val="00840066"/>
    <w:rsid w:val="0084052A"/>
    <w:rsid w:val="00840812"/>
    <w:rsid w:val="00840880"/>
    <w:rsid w:val="00840BD9"/>
    <w:rsid w:val="00840C9D"/>
    <w:rsid w:val="00841454"/>
    <w:rsid w:val="0084155E"/>
    <w:rsid w:val="00841E55"/>
    <w:rsid w:val="00842938"/>
    <w:rsid w:val="00842C8A"/>
    <w:rsid w:val="00843958"/>
    <w:rsid w:val="00843B6A"/>
    <w:rsid w:val="00843D2D"/>
    <w:rsid w:val="00843FA7"/>
    <w:rsid w:val="00845187"/>
    <w:rsid w:val="008451E2"/>
    <w:rsid w:val="0084554D"/>
    <w:rsid w:val="0084563A"/>
    <w:rsid w:val="00845983"/>
    <w:rsid w:val="00845B83"/>
    <w:rsid w:val="00846076"/>
    <w:rsid w:val="008461D0"/>
    <w:rsid w:val="00846931"/>
    <w:rsid w:val="00847907"/>
    <w:rsid w:val="00850741"/>
    <w:rsid w:val="0085182B"/>
    <w:rsid w:val="00852E1E"/>
    <w:rsid w:val="008531C7"/>
    <w:rsid w:val="00853255"/>
    <w:rsid w:val="00853343"/>
    <w:rsid w:val="008539C4"/>
    <w:rsid w:val="00854B45"/>
    <w:rsid w:val="008554A6"/>
    <w:rsid w:val="008578A2"/>
    <w:rsid w:val="00857CE9"/>
    <w:rsid w:val="00860EF3"/>
    <w:rsid w:val="00861BE5"/>
    <w:rsid w:val="008629E2"/>
    <w:rsid w:val="00862E1F"/>
    <w:rsid w:val="00863D59"/>
    <w:rsid w:val="00863FA4"/>
    <w:rsid w:val="008641B7"/>
    <w:rsid w:val="00864B5E"/>
    <w:rsid w:val="008656A4"/>
    <w:rsid w:val="00867E42"/>
    <w:rsid w:val="00870279"/>
    <w:rsid w:val="0087428A"/>
    <w:rsid w:val="008744EE"/>
    <w:rsid w:val="00874856"/>
    <w:rsid w:val="00874D04"/>
    <w:rsid w:val="008750B2"/>
    <w:rsid w:val="00875FCB"/>
    <w:rsid w:val="008761D2"/>
    <w:rsid w:val="00876A62"/>
    <w:rsid w:val="00876AC2"/>
    <w:rsid w:val="008804E1"/>
    <w:rsid w:val="0088157F"/>
    <w:rsid w:val="00881BFC"/>
    <w:rsid w:val="00882850"/>
    <w:rsid w:val="00882EB9"/>
    <w:rsid w:val="008839CC"/>
    <w:rsid w:val="00884581"/>
    <w:rsid w:val="0088477C"/>
    <w:rsid w:val="008847B2"/>
    <w:rsid w:val="0088494B"/>
    <w:rsid w:val="00884FFA"/>
    <w:rsid w:val="00885E28"/>
    <w:rsid w:val="008869F4"/>
    <w:rsid w:val="00887029"/>
    <w:rsid w:val="00887F6A"/>
    <w:rsid w:val="0089015E"/>
    <w:rsid w:val="00890AD4"/>
    <w:rsid w:val="00890DBE"/>
    <w:rsid w:val="00891269"/>
    <w:rsid w:val="008923E9"/>
    <w:rsid w:val="008926C0"/>
    <w:rsid w:val="00892AFC"/>
    <w:rsid w:val="00892ECD"/>
    <w:rsid w:val="008932CB"/>
    <w:rsid w:val="00893FB0"/>
    <w:rsid w:val="008944F3"/>
    <w:rsid w:val="00894E91"/>
    <w:rsid w:val="00894FA8"/>
    <w:rsid w:val="00895AC2"/>
    <w:rsid w:val="00896F3E"/>
    <w:rsid w:val="00897360"/>
    <w:rsid w:val="00897D76"/>
    <w:rsid w:val="008A0164"/>
    <w:rsid w:val="008A095D"/>
    <w:rsid w:val="008A0D6B"/>
    <w:rsid w:val="008A0ED0"/>
    <w:rsid w:val="008A141A"/>
    <w:rsid w:val="008A18B7"/>
    <w:rsid w:val="008A1FEE"/>
    <w:rsid w:val="008A24DF"/>
    <w:rsid w:val="008A2ADF"/>
    <w:rsid w:val="008A2CBD"/>
    <w:rsid w:val="008A315D"/>
    <w:rsid w:val="008A3560"/>
    <w:rsid w:val="008A4586"/>
    <w:rsid w:val="008A4D73"/>
    <w:rsid w:val="008A500A"/>
    <w:rsid w:val="008A54B2"/>
    <w:rsid w:val="008A5894"/>
    <w:rsid w:val="008A5DDB"/>
    <w:rsid w:val="008A5FB1"/>
    <w:rsid w:val="008A7303"/>
    <w:rsid w:val="008B0420"/>
    <w:rsid w:val="008B0559"/>
    <w:rsid w:val="008B131F"/>
    <w:rsid w:val="008B1493"/>
    <w:rsid w:val="008B23A2"/>
    <w:rsid w:val="008B2B0F"/>
    <w:rsid w:val="008B38A7"/>
    <w:rsid w:val="008B3AEB"/>
    <w:rsid w:val="008B5098"/>
    <w:rsid w:val="008B5282"/>
    <w:rsid w:val="008B5306"/>
    <w:rsid w:val="008B55CF"/>
    <w:rsid w:val="008B5DDC"/>
    <w:rsid w:val="008B6266"/>
    <w:rsid w:val="008B746E"/>
    <w:rsid w:val="008B79EE"/>
    <w:rsid w:val="008B7AE9"/>
    <w:rsid w:val="008C026A"/>
    <w:rsid w:val="008C0504"/>
    <w:rsid w:val="008C0E1A"/>
    <w:rsid w:val="008C0E47"/>
    <w:rsid w:val="008C157D"/>
    <w:rsid w:val="008C1A67"/>
    <w:rsid w:val="008C1FEB"/>
    <w:rsid w:val="008C2466"/>
    <w:rsid w:val="008C37F3"/>
    <w:rsid w:val="008C3E57"/>
    <w:rsid w:val="008C4D9B"/>
    <w:rsid w:val="008C55A3"/>
    <w:rsid w:val="008C5C76"/>
    <w:rsid w:val="008C6083"/>
    <w:rsid w:val="008C6E1E"/>
    <w:rsid w:val="008C6E3D"/>
    <w:rsid w:val="008D03F6"/>
    <w:rsid w:val="008D0636"/>
    <w:rsid w:val="008D0D3C"/>
    <w:rsid w:val="008D25CB"/>
    <w:rsid w:val="008D3728"/>
    <w:rsid w:val="008D385A"/>
    <w:rsid w:val="008D3ABB"/>
    <w:rsid w:val="008D3D16"/>
    <w:rsid w:val="008D3F97"/>
    <w:rsid w:val="008D4145"/>
    <w:rsid w:val="008D51A4"/>
    <w:rsid w:val="008D5540"/>
    <w:rsid w:val="008D5876"/>
    <w:rsid w:val="008D5DF5"/>
    <w:rsid w:val="008D63B5"/>
    <w:rsid w:val="008D6DC0"/>
    <w:rsid w:val="008D7984"/>
    <w:rsid w:val="008D7AC7"/>
    <w:rsid w:val="008D7D0A"/>
    <w:rsid w:val="008E0EB4"/>
    <w:rsid w:val="008E1533"/>
    <w:rsid w:val="008E16C8"/>
    <w:rsid w:val="008E1947"/>
    <w:rsid w:val="008E28FB"/>
    <w:rsid w:val="008E3BA4"/>
    <w:rsid w:val="008E60EB"/>
    <w:rsid w:val="008E62E2"/>
    <w:rsid w:val="008E6492"/>
    <w:rsid w:val="008E6583"/>
    <w:rsid w:val="008E6B67"/>
    <w:rsid w:val="008E6BA4"/>
    <w:rsid w:val="008E6F1C"/>
    <w:rsid w:val="008E76D9"/>
    <w:rsid w:val="008F0387"/>
    <w:rsid w:val="008F0BB7"/>
    <w:rsid w:val="008F3157"/>
    <w:rsid w:val="008F3598"/>
    <w:rsid w:val="008F5612"/>
    <w:rsid w:val="008F5AE7"/>
    <w:rsid w:val="008F6D4A"/>
    <w:rsid w:val="008F70CB"/>
    <w:rsid w:val="009001A5"/>
    <w:rsid w:val="0090196F"/>
    <w:rsid w:val="00902A3C"/>
    <w:rsid w:val="0090364E"/>
    <w:rsid w:val="00903730"/>
    <w:rsid w:val="00903E74"/>
    <w:rsid w:val="00903F6C"/>
    <w:rsid w:val="00904320"/>
    <w:rsid w:val="009046C1"/>
    <w:rsid w:val="009049D3"/>
    <w:rsid w:val="00905ECA"/>
    <w:rsid w:val="0090734C"/>
    <w:rsid w:val="00907A5A"/>
    <w:rsid w:val="00907B05"/>
    <w:rsid w:val="00907F2D"/>
    <w:rsid w:val="00910DD0"/>
    <w:rsid w:val="00910F13"/>
    <w:rsid w:val="00911B0D"/>
    <w:rsid w:val="00912CA4"/>
    <w:rsid w:val="00913852"/>
    <w:rsid w:val="00913AFE"/>
    <w:rsid w:val="00914314"/>
    <w:rsid w:val="00914DBD"/>
    <w:rsid w:val="009151B6"/>
    <w:rsid w:val="009152C9"/>
    <w:rsid w:val="009153AE"/>
    <w:rsid w:val="009159EF"/>
    <w:rsid w:val="00915A66"/>
    <w:rsid w:val="00916798"/>
    <w:rsid w:val="00916E3F"/>
    <w:rsid w:val="009179D3"/>
    <w:rsid w:val="00917D58"/>
    <w:rsid w:val="0092022D"/>
    <w:rsid w:val="00920D67"/>
    <w:rsid w:val="0092177F"/>
    <w:rsid w:val="00921F6C"/>
    <w:rsid w:val="00922001"/>
    <w:rsid w:val="0092245E"/>
    <w:rsid w:val="00922D66"/>
    <w:rsid w:val="00922FC2"/>
    <w:rsid w:val="00923266"/>
    <w:rsid w:val="00923316"/>
    <w:rsid w:val="00924464"/>
    <w:rsid w:val="00926ABD"/>
    <w:rsid w:val="00926F7C"/>
    <w:rsid w:val="00927DEF"/>
    <w:rsid w:val="0093005C"/>
    <w:rsid w:val="00930AE2"/>
    <w:rsid w:val="00930CBB"/>
    <w:rsid w:val="0093129F"/>
    <w:rsid w:val="009314DF"/>
    <w:rsid w:val="00932769"/>
    <w:rsid w:val="00932CCA"/>
    <w:rsid w:val="00932E86"/>
    <w:rsid w:val="009332CA"/>
    <w:rsid w:val="00933674"/>
    <w:rsid w:val="00933842"/>
    <w:rsid w:val="00933F3B"/>
    <w:rsid w:val="0093439D"/>
    <w:rsid w:val="009347A3"/>
    <w:rsid w:val="009358F9"/>
    <w:rsid w:val="00935916"/>
    <w:rsid w:val="00935B72"/>
    <w:rsid w:val="009360C0"/>
    <w:rsid w:val="00937847"/>
    <w:rsid w:val="00937A59"/>
    <w:rsid w:val="00937C04"/>
    <w:rsid w:val="009405D2"/>
    <w:rsid w:val="009407AB"/>
    <w:rsid w:val="009408D4"/>
    <w:rsid w:val="00941730"/>
    <w:rsid w:val="00942348"/>
    <w:rsid w:val="00942899"/>
    <w:rsid w:val="00942ADB"/>
    <w:rsid w:val="009434CF"/>
    <w:rsid w:val="009434D9"/>
    <w:rsid w:val="00943740"/>
    <w:rsid w:val="00944433"/>
    <w:rsid w:val="00944DB6"/>
    <w:rsid w:val="00945812"/>
    <w:rsid w:val="009458C3"/>
    <w:rsid w:val="009468BF"/>
    <w:rsid w:val="00946EA4"/>
    <w:rsid w:val="00947FA6"/>
    <w:rsid w:val="00950B1A"/>
    <w:rsid w:val="00951603"/>
    <w:rsid w:val="00951A2D"/>
    <w:rsid w:val="00951C18"/>
    <w:rsid w:val="00951EAE"/>
    <w:rsid w:val="009523F0"/>
    <w:rsid w:val="0095245D"/>
    <w:rsid w:val="00952CFC"/>
    <w:rsid w:val="009534B7"/>
    <w:rsid w:val="00953911"/>
    <w:rsid w:val="00954B48"/>
    <w:rsid w:val="0095500B"/>
    <w:rsid w:val="009550D9"/>
    <w:rsid w:val="00955437"/>
    <w:rsid w:val="00955A43"/>
    <w:rsid w:val="00955C9D"/>
    <w:rsid w:val="00956584"/>
    <w:rsid w:val="009603A3"/>
    <w:rsid w:val="0096059B"/>
    <w:rsid w:val="00960827"/>
    <w:rsid w:val="0096089D"/>
    <w:rsid w:val="009612A8"/>
    <w:rsid w:val="00961AA3"/>
    <w:rsid w:val="00961CFE"/>
    <w:rsid w:val="009621BC"/>
    <w:rsid w:val="009624C3"/>
    <w:rsid w:val="009632FE"/>
    <w:rsid w:val="00963CDF"/>
    <w:rsid w:val="009641E8"/>
    <w:rsid w:val="009649D7"/>
    <w:rsid w:val="00964C75"/>
    <w:rsid w:val="009652A7"/>
    <w:rsid w:val="00965DF9"/>
    <w:rsid w:val="009663A6"/>
    <w:rsid w:val="00967596"/>
    <w:rsid w:val="0096759B"/>
    <w:rsid w:val="00967B66"/>
    <w:rsid w:val="00967D7A"/>
    <w:rsid w:val="00967F37"/>
    <w:rsid w:val="00967F4F"/>
    <w:rsid w:val="0097072D"/>
    <w:rsid w:val="00970C71"/>
    <w:rsid w:val="00970C8C"/>
    <w:rsid w:val="0097262A"/>
    <w:rsid w:val="009726C6"/>
    <w:rsid w:val="009728A7"/>
    <w:rsid w:val="00973D75"/>
    <w:rsid w:val="00973DFC"/>
    <w:rsid w:val="00974BB9"/>
    <w:rsid w:val="009752AC"/>
    <w:rsid w:val="00975507"/>
    <w:rsid w:val="00975CF7"/>
    <w:rsid w:val="00976D36"/>
    <w:rsid w:val="0097758A"/>
    <w:rsid w:val="0097774E"/>
    <w:rsid w:val="0098088F"/>
    <w:rsid w:val="00980BD3"/>
    <w:rsid w:val="009810F9"/>
    <w:rsid w:val="009813F1"/>
    <w:rsid w:val="00981621"/>
    <w:rsid w:val="0098174D"/>
    <w:rsid w:val="00984072"/>
    <w:rsid w:val="00984296"/>
    <w:rsid w:val="009844B0"/>
    <w:rsid w:val="009844EA"/>
    <w:rsid w:val="00984707"/>
    <w:rsid w:val="00984F7C"/>
    <w:rsid w:val="00984FD5"/>
    <w:rsid w:val="00986EB8"/>
    <w:rsid w:val="00987C87"/>
    <w:rsid w:val="00987D88"/>
    <w:rsid w:val="0099070C"/>
    <w:rsid w:val="00991E32"/>
    <w:rsid w:val="00991FE0"/>
    <w:rsid w:val="00992F99"/>
    <w:rsid w:val="009930A9"/>
    <w:rsid w:val="0099361E"/>
    <w:rsid w:val="0099395B"/>
    <w:rsid w:val="009942E2"/>
    <w:rsid w:val="00994695"/>
    <w:rsid w:val="00995077"/>
    <w:rsid w:val="0099604F"/>
    <w:rsid w:val="009965A1"/>
    <w:rsid w:val="00997F54"/>
    <w:rsid w:val="009A01E7"/>
    <w:rsid w:val="009A04E1"/>
    <w:rsid w:val="009A05B7"/>
    <w:rsid w:val="009A0D96"/>
    <w:rsid w:val="009A1EDD"/>
    <w:rsid w:val="009A224E"/>
    <w:rsid w:val="009A2AD5"/>
    <w:rsid w:val="009A301C"/>
    <w:rsid w:val="009A3E94"/>
    <w:rsid w:val="009A3F8B"/>
    <w:rsid w:val="009A4B53"/>
    <w:rsid w:val="009A5366"/>
    <w:rsid w:val="009A545C"/>
    <w:rsid w:val="009A573C"/>
    <w:rsid w:val="009A75E9"/>
    <w:rsid w:val="009A7E2E"/>
    <w:rsid w:val="009B25AC"/>
    <w:rsid w:val="009B25F3"/>
    <w:rsid w:val="009B2F5E"/>
    <w:rsid w:val="009B2FB9"/>
    <w:rsid w:val="009B38F3"/>
    <w:rsid w:val="009B3CB3"/>
    <w:rsid w:val="009B4284"/>
    <w:rsid w:val="009B4343"/>
    <w:rsid w:val="009B4A60"/>
    <w:rsid w:val="009B4EEE"/>
    <w:rsid w:val="009B52A6"/>
    <w:rsid w:val="009B5A6C"/>
    <w:rsid w:val="009B6042"/>
    <w:rsid w:val="009B60CF"/>
    <w:rsid w:val="009B6277"/>
    <w:rsid w:val="009B6B72"/>
    <w:rsid w:val="009B6FE0"/>
    <w:rsid w:val="009B75FF"/>
    <w:rsid w:val="009B78D5"/>
    <w:rsid w:val="009C0276"/>
    <w:rsid w:val="009C1149"/>
    <w:rsid w:val="009C1C1D"/>
    <w:rsid w:val="009C2AB9"/>
    <w:rsid w:val="009C2BA8"/>
    <w:rsid w:val="009C4311"/>
    <w:rsid w:val="009C432D"/>
    <w:rsid w:val="009C46AB"/>
    <w:rsid w:val="009C4AF9"/>
    <w:rsid w:val="009C5299"/>
    <w:rsid w:val="009C5499"/>
    <w:rsid w:val="009C5546"/>
    <w:rsid w:val="009C6184"/>
    <w:rsid w:val="009C644E"/>
    <w:rsid w:val="009C6A60"/>
    <w:rsid w:val="009C751F"/>
    <w:rsid w:val="009C7C39"/>
    <w:rsid w:val="009D00A0"/>
    <w:rsid w:val="009D015E"/>
    <w:rsid w:val="009D0242"/>
    <w:rsid w:val="009D03C2"/>
    <w:rsid w:val="009D1104"/>
    <w:rsid w:val="009D1C67"/>
    <w:rsid w:val="009D2ADC"/>
    <w:rsid w:val="009D2AE3"/>
    <w:rsid w:val="009D3749"/>
    <w:rsid w:val="009D4175"/>
    <w:rsid w:val="009D4425"/>
    <w:rsid w:val="009D4548"/>
    <w:rsid w:val="009D51DC"/>
    <w:rsid w:val="009D62B3"/>
    <w:rsid w:val="009D65A9"/>
    <w:rsid w:val="009D6813"/>
    <w:rsid w:val="009D6848"/>
    <w:rsid w:val="009D6DEF"/>
    <w:rsid w:val="009D70BE"/>
    <w:rsid w:val="009E012E"/>
    <w:rsid w:val="009E01EA"/>
    <w:rsid w:val="009E10ED"/>
    <w:rsid w:val="009E15D0"/>
    <w:rsid w:val="009E2121"/>
    <w:rsid w:val="009E2B85"/>
    <w:rsid w:val="009E354B"/>
    <w:rsid w:val="009E3715"/>
    <w:rsid w:val="009E4292"/>
    <w:rsid w:val="009E4688"/>
    <w:rsid w:val="009E5E00"/>
    <w:rsid w:val="009E64D5"/>
    <w:rsid w:val="009E6519"/>
    <w:rsid w:val="009E6E53"/>
    <w:rsid w:val="009E7C10"/>
    <w:rsid w:val="009F02F1"/>
    <w:rsid w:val="009F040E"/>
    <w:rsid w:val="009F0CD1"/>
    <w:rsid w:val="009F1ABA"/>
    <w:rsid w:val="009F1E71"/>
    <w:rsid w:val="009F318F"/>
    <w:rsid w:val="009F397B"/>
    <w:rsid w:val="009F40B5"/>
    <w:rsid w:val="009F429F"/>
    <w:rsid w:val="009F4A3B"/>
    <w:rsid w:val="009F4F68"/>
    <w:rsid w:val="009F52B9"/>
    <w:rsid w:val="009F52C1"/>
    <w:rsid w:val="009F5C06"/>
    <w:rsid w:val="009F5CCF"/>
    <w:rsid w:val="009F6770"/>
    <w:rsid w:val="009F6ECD"/>
    <w:rsid w:val="009F7B63"/>
    <w:rsid w:val="00A004C0"/>
    <w:rsid w:val="00A0096A"/>
    <w:rsid w:val="00A00A6F"/>
    <w:rsid w:val="00A01A9D"/>
    <w:rsid w:val="00A01E36"/>
    <w:rsid w:val="00A024D9"/>
    <w:rsid w:val="00A03038"/>
    <w:rsid w:val="00A030CC"/>
    <w:rsid w:val="00A03B45"/>
    <w:rsid w:val="00A03F3D"/>
    <w:rsid w:val="00A04306"/>
    <w:rsid w:val="00A04762"/>
    <w:rsid w:val="00A058A1"/>
    <w:rsid w:val="00A05923"/>
    <w:rsid w:val="00A11083"/>
    <w:rsid w:val="00A11486"/>
    <w:rsid w:val="00A12046"/>
    <w:rsid w:val="00A12575"/>
    <w:rsid w:val="00A138C8"/>
    <w:rsid w:val="00A1401F"/>
    <w:rsid w:val="00A14915"/>
    <w:rsid w:val="00A14D3A"/>
    <w:rsid w:val="00A14DBD"/>
    <w:rsid w:val="00A14E51"/>
    <w:rsid w:val="00A1623B"/>
    <w:rsid w:val="00A163DD"/>
    <w:rsid w:val="00A164FD"/>
    <w:rsid w:val="00A16BE8"/>
    <w:rsid w:val="00A2054F"/>
    <w:rsid w:val="00A20830"/>
    <w:rsid w:val="00A2221A"/>
    <w:rsid w:val="00A22EE9"/>
    <w:rsid w:val="00A23A95"/>
    <w:rsid w:val="00A24AAC"/>
    <w:rsid w:val="00A24FF6"/>
    <w:rsid w:val="00A2544C"/>
    <w:rsid w:val="00A25679"/>
    <w:rsid w:val="00A25939"/>
    <w:rsid w:val="00A2606F"/>
    <w:rsid w:val="00A264E9"/>
    <w:rsid w:val="00A26605"/>
    <w:rsid w:val="00A27963"/>
    <w:rsid w:val="00A32018"/>
    <w:rsid w:val="00A3215B"/>
    <w:rsid w:val="00A32493"/>
    <w:rsid w:val="00A324C2"/>
    <w:rsid w:val="00A32AFB"/>
    <w:rsid w:val="00A3377A"/>
    <w:rsid w:val="00A33F1B"/>
    <w:rsid w:val="00A34028"/>
    <w:rsid w:val="00A34928"/>
    <w:rsid w:val="00A34D92"/>
    <w:rsid w:val="00A3511C"/>
    <w:rsid w:val="00A35C42"/>
    <w:rsid w:val="00A35D7E"/>
    <w:rsid w:val="00A35DC3"/>
    <w:rsid w:val="00A3670F"/>
    <w:rsid w:val="00A36C84"/>
    <w:rsid w:val="00A4102D"/>
    <w:rsid w:val="00A41FFA"/>
    <w:rsid w:val="00A4261E"/>
    <w:rsid w:val="00A42AF0"/>
    <w:rsid w:val="00A42DE9"/>
    <w:rsid w:val="00A43040"/>
    <w:rsid w:val="00A4308B"/>
    <w:rsid w:val="00A43491"/>
    <w:rsid w:val="00A43E13"/>
    <w:rsid w:val="00A4442A"/>
    <w:rsid w:val="00A45461"/>
    <w:rsid w:val="00A45F8F"/>
    <w:rsid w:val="00A46AD7"/>
    <w:rsid w:val="00A471D8"/>
    <w:rsid w:val="00A50450"/>
    <w:rsid w:val="00A5084D"/>
    <w:rsid w:val="00A50D0D"/>
    <w:rsid w:val="00A51974"/>
    <w:rsid w:val="00A5212B"/>
    <w:rsid w:val="00A5225D"/>
    <w:rsid w:val="00A52A91"/>
    <w:rsid w:val="00A53AD7"/>
    <w:rsid w:val="00A53B0E"/>
    <w:rsid w:val="00A54513"/>
    <w:rsid w:val="00A54B16"/>
    <w:rsid w:val="00A55145"/>
    <w:rsid w:val="00A5565C"/>
    <w:rsid w:val="00A55B1D"/>
    <w:rsid w:val="00A55EFB"/>
    <w:rsid w:val="00A5604A"/>
    <w:rsid w:val="00A5729F"/>
    <w:rsid w:val="00A5768E"/>
    <w:rsid w:val="00A57C44"/>
    <w:rsid w:val="00A60071"/>
    <w:rsid w:val="00A605A7"/>
    <w:rsid w:val="00A60670"/>
    <w:rsid w:val="00A60E2D"/>
    <w:rsid w:val="00A6101C"/>
    <w:rsid w:val="00A61514"/>
    <w:rsid w:val="00A6221A"/>
    <w:rsid w:val="00A6297A"/>
    <w:rsid w:val="00A6319E"/>
    <w:rsid w:val="00A63A00"/>
    <w:rsid w:val="00A6403A"/>
    <w:rsid w:val="00A64F79"/>
    <w:rsid w:val="00A6517E"/>
    <w:rsid w:val="00A65A4E"/>
    <w:rsid w:val="00A65C1F"/>
    <w:rsid w:val="00A666B7"/>
    <w:rsid w:val="00A674A7"/>
    <w:rsid w:val="00A676E8"/>
    <w:rsid w:val="00A7047B"/>
    <w:rsid w:val="00A70D0B"/>
    <w:rsid w:val="00A70ECC"/>
    <w:rsid w:val="00A717BA"/>
    <w:rsid w:val="00A71829"/>
    <w:rsid w:val="00A71A46"/>
    <w:rsid w:val="00A72991"/>
    <w:rsid w:val="00A72CAD"/>
    <w:rsid w:val="00A73D7C"/>
    <w:rsid w:val="00A754BA"/>
    <w:rsid w:val="00A7603E"/>
    <w:rsid w:val="00A7667D"/>
    <w:rsid w:val="00A77866"/>
    <w:rsid w:val="00A779F7"/>
    <w:rsid w:val="00A77ADB"/>
    <w:rsid w:val="00A809CD"/>
    <w:rsid w:val="00A80BDD"/>
    <w:rsid w:val="00A82581"/>
    <w:rsid w:val="00A83EEB"/>
    <w:rsid w:val="00A83EEF"/>
    <w:rsid w:val="00A83F52"/>
    <w:rsid w:val="00A8429A"/>
    <w:rsid w:val="00A84B08"/>
    <w:rsid w:val="00A84D8A"/>
    <w:rsid w:val="00A85F1A"/>
    <w:rsid w:val="00A862A4"/>
    <w:rsid w:val="00A8644F"/>
    <w:rsid w:val="00A90714"/>
    <w:rsid w:val="00A90B5C"/>
    <w:rsid w:val="00A911B3"/>
    <w:rsid w:val="00A91A9B"/>
    <w:rsid w:val="00A91D12"/>
    <w:rsid w:val="00A91F0E"/>
    <w:rsid w:val="00A91F47"/>
    <w:rsid w:val="00A9228C"/>
    <w:rsid w:val="00A92563"/>
    <w:rsid w:val="00A93D33"/>
    <w:rsid w:val="00A94073"/>
    <w:rsid w:val="00A94222"/>
    <w:rsid w:val="00A94330"/>
    <w:rsid w:val="00A95910"/>
    <w:rsid w:val="00A962B2"/>
    <w:rsid w:val="00A966F7"/>
    <w:rsid w:val="00A96D92"/>
    <w:rsid w:val="00A970CA"/>
    <w:rsid w:val="00A9745B"/>
    <w:rsid w:val="00A97978"/>
    <w:rsid w:val="00A97D74"/>
    <w:rsid w:val="00AA16B0"/>
    <w:rsid w:val="00AA196C"/>
    <w:rsid w:val="00AA1D96"/>
    <w:rsid w:val="00AA20EA"/>
    <w:rsid w:val="00AA27C6"/>
    <w:rsid w:val="00AA2D5B"/>
    <w:rsid w:val="00AA2E86"/>
    <w:rsid w:val="00AA2EA4"/>
    <w:rsid w:val="00AA2EF3"/>
    <w:rsid w:val="00AA36CB"/>
    <w:rsid w:val="00AA3AC3"/>
    <w:rsid w:val="00AA3CBB"/>
    <w:rsid w:val="00AA3D42"/>
    <w:rsid w:val="00AA4315"/>
    <w:rsid w:val="00AA4EDF"/>
    <w:rsid w:val="00AA5347"/>
    <w:rsid w:val="00AA58AF"/>
    <w:rsid w:val="00AA5C38"/>
    <w:rsid w:val="00AA6398"/>
    <w:rsid w:val="00AA6A0C"/>
    <w:rsid w:val="00AA7EA4"/>
    <w:rsid w:val="00AA7F4E"/>
    <w:rsid w:val="00AB1462"/>
    <w:rsid w:val="00AB17C8"/>
    <w:rsid w:val="00AB1E9A"/>
    <w:rsid w:val="00AB33CF"/>
    <w:rsid w:val="00AB35C5"/>
    <w:rsid w:val="00AB3FCF"/>
    <w:rsid w:val="00AB44F6"/>
    <w:rsid w:val="00AB47F8"/>
    <w:rsid w:val="00AB4897"/>
    <w:rsid w:val="00AB633B"/>
    <w:rsid w:val="00AB65AD"/>
    <w:rsid w:val="00AB661A"/>
    <w:rsid w:val="00AB6AB1"/>
    <w:rsid w:val="00AB7171"/>
    <w:rsid w:val="00AC0853"/>
    <w:rsid w:val="00AC1262"/>
    <w:rsid w:val="00AC1C1D"/>
    <w:rsid w:val="00AC2097"/>
    <w:rsid w:val="00AC2CFB"/>
    <w:rsid w:val="00AC34ED"/>
    <w:rsid w:val="00AC3625"/>
    <w:rsid w:val="00AC368C"/>
    <w:rsid w:val="00AC3F03"/>
    <w:rsid w:val="00AC4FB3"/>
    <w:rsid w:val="00AC583A"/>
    <w:rsid w:val="00AC5BBF"/>
    <w:rsid w:val="00AC7723"/>
    <w:rsid w:val="00AC7862"/>
    <w:rsid w:val="00AD1347"/>
    <w:rsid w:val="00AD1BEE"/>
    <w:rsid w:val="00AD1D44"/>
    <w:rsid w:val="00AD3030"/>
    <w:rsid w:val="00AD3CD2"/>
    <w:rsid w:val="00AD40F1"/>
    <w:rsid w:val="00AD4E10"/>
    <w:rsid w:val="00AD5785"/>
    <w:rsid w:val="00AD7DB0"/>
    <w:rsid w:val="00AE0C66"/>
    <w:rsid w:val="00AE0FBD"/>
    <w:rsid w:val="00AE1677"/>
    <w:rsid w:val="00AE1827"/>
    <w:rsid w:val="00AE1D1D"/>
    <w:rsid w:val="00AE1EDF"/>
    <w:rsid w:val="00AE1F33"/>
    <w:rsid w:val="00AE215F"/>
    <w:rsid w:val="00AE2577"/>
    <w:rsid w:val="00AE2EED"/>
    <w:rsid w:val="00AE384E"/>
    <w:rsid w:val="00AE4686"/>
    <w:rsid w:val="00AE47C5"/>
    <w:rsid w:val="00AE5484"/>
    <w:rsid w:val="00AE5925"/>
    <w:rsid w:val="00AE5D9F"/>
    <w:rsid w:val="00AE6061"/>
    <w:rsid w:val="00AE6269"/>
    <w:rsid w:val="00AF0223"/>
    <w:rsid w:val="00AF0284"/>
    <w:rsid w:val="00AF26BC"/>
    <w:rsid w:val="00AF3234"/>
    <w:rsid w:val="00AF4034"/>
    <w:rsid w:val="00AF45B3"/>
    <w:rsid w:val="00AF4829"/>
    <w:rsid w:val="00AF5B66"/>
    <w:rsid w:val="00AF6CD3"/>
    <w:rsid w:val="00AF74C2"/>
    <w:rsid w:val="00AF761D"/>
    <w:rsid w:val="00AF7A2E"/>
    <w:rsid w:val="00AF7B97"/>
    <w:rsid w:val="00B003FD"/>
    <w:rsid w:val="00B00BDC"/>
    <w:rsid w:val="00B01067"/>
    <w:rsid w:val="00B018A2"/>
    <w:rsid w:val="00B019B6"/>
    <w:rsid w:val="00B01A9F"/>
    <w:rsid w:val="00B01B14"/>
    <w:rsid w:val="00B01BD8"/>
    <w:rsid w:val="00B01CA9"/>
    <w:rsid w:val="00B023B7"/>
    <w:rsid w:val="00B045BA"/>
    <w:rsid w:val="00B04876"/>
    <w:rsid w:val="00B0532B"/>
    <w:rsid w:val="00B05857"/>
    <w:rsid w:val="00B05E82"/>
    <w:rsid w:val="00B05F12"/>
    <w:rsid w:val="00B076F9"/>
    <w:rsid w:val="00B07832"/>
    <w:rsid w:val="00B07CFB"/>
    <w:rsid w:val="00B07D1C"/>
    <w:rsid w:val="00B07FE0"/>
    <w:rsid w:val="00B103D3"/>
    <w:rsid w:val="00B1070F"/>
    <w:rsid w:val="00B10B0E"/>
    <w:rsid w:val="00B114F4"/>
    <w:rsid w:val="00B1164A"/>
    <w:rsid w:val="00B11A39"/>
    <w:rsid w:val="00B11B5D"/>
    <w:rsid w:val="00B11C31"/>
    <w:rsid w:val="00B140C9"/>
    <w:rsid w:val="00B1427F"/>
    <w:rsid w:val="00B14486"/>
    <w:rsid w:val="00B14518"/>
    <w:rsid w:val="00B14581"/>
    <w:rsid w:val="00B15570"/>
    <w:rsid w:val="00B15834"/>
    <w:rsid w:val="00B15C5A"/>
    <w:rsid w:val="00B1600E"/>
    <w:rsid w:val="00B164BC"/>
    <w:rsid w:val="00B16528"/>
    <w:rsid w:val="00B16572"/>
    <w:rsid w:val="00B1663F"/>
    <w:rsid w:val="00B16B8E"/>
    <w:rsid w:val="00B17195"/>
    <w:rsid w:val="00B17A69"/>
    <w:rsid w:val="00B17B2F"/>
    <w:rsid w:val="00B20218"/>
    <w:rsid w:val="00B2086F"/>
    <w:rsid w:val="00B20BD5"/>
    <w:rsid w:val="00B216E0"/>
    <w:rsid w:val="00B21A66"/>
    <w:rsid w:val="00B21FB3"/>
    <w:rsid w:val="00B22430"/>
    <w:rsid w:val="00B22481"/>
    <w:rsid w:val="00B23788"/>
    <w:rsid w:val="00B23FB1"/>
    <w:rsid w:val="00B244EE"/>
    <w:rsid w:val="00B2467D"/>
    <w:rsid w:val="00B24914"/>
    <w:rsid w:val="00B26136"/>
    <w:rsid w:val="00B26518"/>
    <w:rsid w:val="00B26901"/>
    <w:rsid w:val="00B27A2D"/>
    <w:rsid w:val="00B30B94"/>
    <w:rsid w:val="00B31E21"/>
    <w:rsid w:val="00B32784"/>
    <w:rsid w:val="00B33640"/>
    <w:rsid w:val="00B34432"/>
    <w:rsid w:val="00B34767"/>
    <w:rsid w:val="00B34FF4"/>
    <w:rsid w:val="00B363D8"/>
    <w:rsid w:val="00B402B2"/>
    <w:rsid w:val="00B406DB"/>
    <w:rsid w:val="00B4131F"/>
    <w:rsid w:val="00B4136C"/>
    <w:rsid w:val="00B41D06"/>
    <w:rsid w:val="00B43CB9"/>
    <w:rsid w:val="00B44693"/>
    <w:rsid w:val="00B449FF"/>
    <w:rsid w:val="00B44C0A"/>
    <w:rsid w:val="00B4578C"/>
    <w:rsid w:val="00B460DC"/>
    <w:rsid w:val="00B463B8"/>
    <w:rsid w:val="00B466C6"/>
    <w:rsid w:val="00B46DD4"/>
    <w:rsid w:val="00B47A4F"/>
    <w:rsid w:val="00B47B85"/>
    <w:rsid w:val="00B50446"/>
    <w:rsid w:val="00B51035"/>
    <w:rsid w:val="00B5124B"/>
    <w:rsid w:val="00B517B4"/>
    <w:rsid w:val="00B51856"/>
    <w:rsid w:val="00B52838"/>
    <w:rsid w:val="00B52D81"/>
    <w:rsid w:val="00B536FC"/>
    <w:rsid w:val="00B53E6D"/>
    <w:rsid w:val="00B54834"/>
    <w:rsid w:val="00B55646"/>
    <w:rsid w:val="00B5613B"/>
    <w:rsid w:val="00B56D44"/>
    <w:rsid w:val="00B57428"/>
    <w:rsid w:val="00B5771A"/>
    <w:rsid w:val="00B57DD0"/>
    <w:rsid w:val="00B61A02"/>
    <w:rsid w:val="00B6291E"/>
    <w:rsid w:val="00B62BC5"/>
    <w:rsid w:val="00B62E28"/>
    <w:rsid w:val="00B63433"/>
    <w:rsid w:val="00B634B4"/>
    <w:rsid w:val="00B63E7E"/>
    <w:rsid w:val="00B64CA4"/>
    <w:rsid w:val="00B652B1"/>
    <w:rsid w:val="00B663B4"/>
    <w:rsid w:val="00B66506"/>
    <w:rsid w:val="00B666E5"/>
    <w:rsid w:val="00B669E0"/>
    <w:rsid w:val="00B672EC"/>
    <w:rsid w:val="00B67CFD"/>
    <w:rsid w:val="00B704C1"/>
    <w:rsid w:val="00B70540"/>
    <w:rsid w:val="00B711B8"/>
    <w:rsid w:val="00B711DF"/>
    <w:rsid w:val="00B7178C"/>
    <w:rsid w:val="00B71F27"/>
    <w:rsid w:val="00B72154"/>
    <w:rsid w:val="00B7241E"/>
    <w:rsid w:val="00B72DC8"/>
    <w:rsid w:val="00B7331C"/>
    <w:rsid w:val="00B737DA"/>
    <w:rsid w:val="00B73A5E"/>
    <w:rsid w:val="00B75220"/>
    <w:rsid w:val="00B7607A"/>
    <w:rsid w:val="00B7610E"/>
    <w:rsid w:val="00B762D6"/>
    <w:rsid w:val="00B767A4"/>
    <w:rsid w:val="00B77C07"/>
    <w:rsid w:val="00B77D72"/>
    <w:rsid w:val="00B77F5D"/>
    <w:rsid w:val="00B80FE2"/>
    <w:rsid w:val="00B8114F"/>
    <w:rsid w:val="00B81187"/>
    <w:rsid w:val="00B82FAF"/>
    <w:rsid w:val="00B83768"/>
    <w:rsid w:val="00B840DA"/>
    <w:rsid w:val="00B8424C"/>
    <w:rsid w:val="00B8488F"/>
    <w:rsid w:val="00B84CB0"/>
    <w:rsid w:val="00B84F26"/>
    <w:rsid w:val="00B854E7"/>
    <w:rsid w:val="00B85A8F"/>
    <w:rsid w:val="00B8618D"/>
    <w:rsid w:val="00B86AFB"/>
    <w:rsid w:val="00B86B5D"/>
    <w:rsid w:val="00B86B9F"/>
    <w:rsid w:val="00B87196"/>
    <w:rsid w:val="00B87717"/>
    <w:rsid w:val="00B87D72"/>
    <w:rsid w:val="00B9023A"/>
    <w:rsid w:val="00B9079E"/>
    <w:rsid w:val="00B90C8B"/>
    <w:rsid w:val="00B92454"/>
    <w:rsid w:val="00B93650"/>
    <w:rsid w:val="00B949DC"/>
    <w:rsid w:val="00B94E90"/>
    <w:rsid w:val="00B94F8D"/>
    <w:rsid w:val="00B950DE"/>
    <w:rsid w:val="00B95122"/>
    <w:rsid w:val="00B951F6"/>
    <w:rsid w:val="00B9578B"/>
    <w:rsid w:val="00B96299"/>
    <w:rsid w:val="00B9676C"/>
    <w:rsid w:val="00B96978"/>
    <w:rsid w:val="00B96A40"/>
    <w:rsid w:val="00B978B3"/>
    <w:rsid w:val="00B97F5C"/>
    <w:rsid w:val="00BA037D"/>
    <w:rsid w:val="00BA20CF"/>
    <w:rsid w:val="00BA394E"/>
    <w:rsid w:val="00BA396D"/>
    <w:rsid w:val="00BA4D32"/>
    <w:rsid w:val="00BA5367"/>
    <w:rsid w:val="00BA5559"/>
    <w:rsid w:val="00BA5651"/>
    <w:rsid w:val="00BA5808"/>
    <w:rsid w:val="00BA652D"/>
    <w:rsid w:val="00BA696E"/>
    <w:rsid w:val="00BA7475"/>
    <w:rsid w:val="00BA7698"/>
    <w:rsid w:val="00BA7C95"/>
    <w:rsid w:val="00BB01BE"/>
    <w:rsid w:val="00BB0656"/>
    <w:rsid w:val="00BB099E"/>
    <w:rsid w:val="00BB0D7C"/>
    <w:rsid w:val="00BB1118"/>
    <w:rsid w:val="00BB1B00"/>
    <w:rsid w:val="00BB2E8A"/>
    <w:rsid w:val="00BB3822"/>
    <w:rsid w:val="00BB383F"/>
    <w:rsid w:val="00BB4204"/>
    <w:rsid w:val="00BB45D8"/>
    <w:rsid w:val="00BB47D4"/>
    <w:rsid w:val="00BB49F3"/>
    <w:rsid w:val="00BB4A43"/>
    <w:rsid w:val="00BB5C08"/>
    <w:rsid w:val="00BB5E59"/>
    <w:rsid w:val="00BC0F61"/>
    <w:rsid w:val="00BC127D"/>
    <w:rsid w:val="00BC18E2"/>
    <w:rsid w:val="00BC29DA"/>
    <w:rsid w:val="00BC327D"/>
    <w:rsid w:val="00BC3917"/>
    <w:rsid w:val="00BC440D"/>
    <w:rsid w:val="00BC466C"/>
    <w:rsid w:val="00BC4E1E"/>
    <w:rsid w:val="00BC5FE5"/>
    <w:rsid w:val="00BC72C9"/>
    <w:rsid w:val="00BC7BD7"/>
    <w:rsid w:val="00BC7DA9"/>
    <w:rsid w:val="00BC7F94"/>
    <w:rsid w:val="00BD0F13"/>
    <w:rsid w:val="00BD1F5A"/>
    <w:rsid w:val="00BD306E"/>
    <w:rsid w:val="00BD32BA"/>
    <w:rsid w:val="00BD3519"/>
    <w:rsid w:val="00BD3644"/>
    <w:rsid w:val="00BD3709"/>
    <w:rsid w:val="00BD37E4"/>
    <w:rsid w:val="00BD3D6A"/>
    <w:rsid w:val="00BD4ED4"/>
    <w:rsid w:val="00BD6173"/>
    <w:rsid w:val="00BD6AF0"/>
    <w:rsid w:val="00BD776B"/>
    <w:rsid w:val="00BD778F"/>
    <w:rsid w:val="00BD7893"/>
    <w:rsid w:val="00BD7C31"/>
    <w:rsid w:val="00BD7D7D"/>
    <w:rsid w:val="00BE02CB"/>
    <w:rsid w:val="00BE0F8E"/>
    <w:rsid w:val="00BE15CA"/>
    <w:rsid w:val="00BE1984"/>
    <w:rsid w:val="00BE1989"/>
    <w:rsid w:val="00BE1C47"/>
    <w:rsid w:val="00BE1DBC"/>
    <w:rsid w:val="00BE27FC"/>
    <w:rsid w:val="00BE2A8D"/>
    <w:rsid w:val="00BE3723"/>
    <w:rsid w:val="00BE436B"/>
    <w:rsid w:val="00BE4810"/>
    <w:rsid w:val="00BE4DBB"/>
    <w:rsid w:val="00BE5B3D"/>
    <w:rsid w:val="00BE5B45"/>
    <w:rsid w:val="00BE5F8E"/>
    <w:rsid w:val="00BE6597"/>
    <w:rsid w:val="00BE6840"/>
    <w:rsid w:val="00BE6D58"/>
    <w:rsid w:val="00BE6F3A"/>
    <w:rsid w:val="00BF0117"/>
    <w:rsid w:val="00BF01CE"/>
    <w:rsid w:val="00BF03F3"/>
    <w:rsid w:val="00BF0610"/>
    <w:rsid w:val="00BF144D"/>
    <w:rsid w:val="00BF1B7F"/>
    <w:rsid w:val="00BF2FD9"/>
    <w:rsid w:val="00BF377A"/>
    <w:rsid w:val="00BF3F83"/>
    <w:rsid w:val="00BF44FF"/>
    <w:rsid w:val="00BF4811"/>
    <w:rsid w:val="00BF5045"/>
    <w:rsid w:val="00BF54CF"/>
    <w:rsid w:val="00BF54D1"/>
    <w:rsid w:val="00BF5C34"/>
    <w:rsid w:val="00BF5D6C"/>
    <w:rsid w:val="00BF6243"/>
    <w:rsid w:val="00BF68A9"/>
    <w:rsid w:val="00BF717F"/>
    <w:rsid w:val="00BF7D12"/>
    <w:rsid w:val="00BF7E0B"/>
    <w:rsid w:val="00C001FB"/>
    <w:rsid w:val="00C005AB"/>
    <w:rsid w:val="00C01460"/>
    <w:rsid w:val="00C0167B"/>
    <w:rsid w:val="00C018DD"/>
    <w:rsid w:val="00C019C6"/>
    <w:rsid w:val="00C025E4"/>
    <w:rsid w:val="00C0269B"/>
    <w:rsid w:val="00C026C6"/>
    <w:rsid w:val="00C02B52"/>
    <w:rsid w:val="00C02CD2"/>
    <w:rsid w:val="00C037B4"/>
    <w:rsid w:val="00C03BCF"/>
    <w:rsid w:val="00C04328"/>
    <w:rsid w:val="00C0485F"/>
    <w:rsid w:val="00C057CF"/>
    <w:rsid w:val="00C05876"/>
    <w:rsid w:val="00C06739"/>
    <w:rsid w:val="00C06BF3"/>
    <w:rsid w:val="00C0710F"/>
    <w:rsid w:val="00C0746E"/>
    <w:rsid w:val="00C07D1B"/>
    <w:rsid w:val="00C10340"/>
    <w:rsid w:val="00C1081B"/>
    <w:rsid w:val="00C10998"/>
    <w:rsid w:val="00C11AE8"/>
    <w:rsid w:val="00C151D1"/>
    <w:rsid w:val="00C15556"/>
    <w:rsid w:val="00C15BA0"/>
    <w:rsid w:val="00C15EDA"/>
    <w:rsid w:val="00C167B8"/>
    <w:rsid w:val="00C167FA"/>
    <w:rsid w:val="00C16FCE"/>
    <w:rsid w:val="00C1715A"/>
    <w:rsid w:val="00C174A5"/>
    <w:rsid w:val="00C1792D"/>
    <w:rsid w:val="00C214B2"/>
    <w:rsid w:val="00C2162D"/>
    <w:rsid w:val="00C219CA"/>
    <w:rsid w:val="00C238CE"/>
    <w:rsid w:val="00C23C4E"/>
    <w:rsid w:val="00C23DF6"/>
    <w:rsid w:val="00C2447E"/>
    <w:rsid w:val="00C24CBB"/>
    <w:rsid w:val="00C25AEB"/>
    <w:rsid w:val="00C269A5"/>
    <w:rsid w:val="00C26D83"/>
    <w:rsid w:val="00C270AE"/>
    <w:rsid w:val="00C3195D"/>
    <w:rsid w:val="00C31B0B"/>
    <w:rsid w:val="00C32116"/>
    <w:rsid w:val="00C32DA2"/>
    <w:rsid w:val="00C33362"/>
    <w:rsid w:val="00C33CBE"/>
    <w:rsid w:val="00C344B1"/>
    <w:rsid w:val="00C34BC8"/>
    <w:rsid w:val="00C34DC1"/>
    <w:rsid w:val="00C3504B"/>
    <w:rsid w:val="00C353C8"/>
    <w:rsid w:val="00C356EB"/>
    <w:rsid w:val="00C35CF3"/>
    <w:rsid w:val="00C35DF4"/>
    <w:rsid w:val="00C3650D"/>
    <w:rsid w:val="00C36575"/>
    <w:rsid w:val="00C365A6"/>
    <w:rsid w:val="00C368CE"/>
    <w:rsid w:val="00C36E8C"/>
    <w:rsid w:val="00C37543"/>
    <w:rsid w:val="00C37829"/>
    <w:rsid w:val="00C403A6"/>
    <w:rsid w:val="00C403E3"/>
    <w:rsid w:val="00C40BA1"/>
    <w:rsid w:val="00C41230"/>
    <w:rsid w:val="00C41B84"/>
    <w:rsid w:val="00C429B4"/>
    <w:rsid w:val="00C42A9A"/>
    <w:rsid w:val="00C42FC5"/>
    <w:rsid w:val="00C434E5"/>
    <w:rsid w:val="00C43A64"/>
    <w:rsid w:val="00C43EFA"/>
    <w:rsid w:val="00C44866"/>
    <w:rsid w:val="00C45FEB"/>
    <w:rsid w:val="00C474ED"/>
    <w:rsid w:val="00C47DD8"/>
    <w:rsid w:val="00C50093"/>
    <w:rsid w:val="00C509A4"/>
    <w:rsid w:val="00C50B64"/>
    <w:rsid w:val="00C50BE2"/>
    <w:rsid w:val="00C51774"/>
    <w:rsid w:val="00C51BB4"/>
    <w:rsid w:val="00C51EF2"/>
    <w:rsid w:val="00C52EFF"/>
    <w:rsid w:val="00C532B2"/>
    <w:rsid w:val="00C53FA2"/>
    <w:rsid w:val="00C54186"/>
    <w:rsid w:val="00C545A8"/>
    <w:rsid w:val="00C5509C"/>
    <w:rsid w:val="00C56297"/>
    <w:rsid w:val="00C56911"/>
    <w:rsid w:val="00C56967"/>
    <w:rsid w:val="00C57439"/>
    <w:rsid w:val="00C603FE"/>
    <w:rsid w:val="00C6043F"/>
    <w:rsid w:val="00C60B69"/>
    <w:rsid w:val="00C60DB6"/>
    <w:rsid w:val="00C62E3E"/>
    <w:rsid w:val="00C62F28"/>
    <w:rsid w:val="00C632A9"/>
    <w:rsid w:val="00C63613"/>
    <w:rsid w:val="00C63909"/>
    <w:rsid w:val="00C63FAB"/>
    <w:rsid w:val="00C64E15"/>
    <w:rsid w:val="00C64EA5"/>
    <w:rsid w:val="00C6625D"/>
    <w:rsid w:val="00C67246"/>
    <w:rsid w:val="00C67395"/>
    <w:rsid w:val="00C67851"/>
    <w:rsid w:val="00C67956"/>
    <w:rsid w:val="00C67AEB"/>
    <w:rsid w:val="00C70E1E"/>
    <w:rsid w:val="00C70F69"/>
    <w:rsid w:val="00C711EE"/>
    <w:rsid w:val="00C7148C"/>
    <w:rsid w:val="00C7190B"/>
    <w:rsid w:val="00C71B6E"/>
    <w:rsid w:val="00C72083"/>
    <w:rsid w:val="00C72ED4"/>
    <w:rsid w:val="00C733CC"/>
    <w:rsid w:val="00C73C74"/>
    <w:rsid w:val="00C74E6D"/>
    <w:rsid w:val="00C7500E"/>
    <w:rsid w:val="00C762D9"/>
    <w:rsid w:val="00C77869"/>
    <w:rsid w:val="00C77910"/>
    <w:rsid w:val="00C77C87"/>
    <w:rsid w:val="00C804AA"/>
    <w:rsid w:val="00C81307"/>
    <w:rsid w:val="00C81615"/>
    <w:rsid w:val="00C8179A"/>
    <w:rsid w:val="00C82732"/>
    <w:rsid w:val="00C82908"/>
    <w:rsid w:val="00C82952"/>
    <w:rsid w:val="00C82C23"/>
    <w:rsid w:val="00C82CE5"/>
    <w:rsid w:val="00C831AF"/>
    <w:rsid w:val="00C8411A"/>
    <w:rsid w:val="00C84A21"/>
    <w:rsid w:val="00C85982"/>
    <w:rsid w:val="00C860B7"/>
    <w:rsid w:val="00C86629"/>
    <w:rsid w:val="00C8727A"/>
    <w:rsid w:val="00C9001C"/>
    <w:rsid w:val="00C9083C"/>
    <w:rsid w:val="00C926F4"/>
    <w:rsid w:val="00C942E8"/>
    <w:rsid w:val="00C94434"/>
    <w:rsid w:val="00C94AEA"/>
    <w:rsid w:val="00C94C75"/>
    <w:rsid w:val="00C94F20"/>
    <w:rsid w:val="00C9522E"/>
    <w:rsid w:val="00C96E3E"/>
    <w:rsid w:val="00C97224"/>
    <w:rsid w:val="00C97734"/>
    <w:rsid w:val="00C97E3D"/>
    <w:rsid w:val="00CA0964"/>
    <w:rsid w:val="00CA1DD6"/>
    <w:rsid w:val="00CA2372"/>
    <w:rsid w:val="00CA2EDC"/>
    <w:rsid w:val="00CA3342"/>
    <w:rsid w:val="00CA396E"/>
    <w:rsid w:val="00CA4244"/>
    <w:rsid w:val="00CA443C"/>
    <w:rsid w:val="00CA4E4F"/>
    <w:rsid w:val="00CA57B2"/>
    <w:rsid w:val="00CA6036"/>
    <w:rsid w:val="00CA6E11"/>
    <w:rsid w:val="00CA74BB"/>
    <w:rsid w:val="00CB0729"/>
    <w:rsid w:val="00CB076D"/>
    <w:rsid w:val="00CB094B"/>
    <w:rsid w:val="00CB1129"/>
    <w:rsid w:val="00CB18D0"/>
    <w:rsid w:val="00CB1E6D"/>
    <w:rsid w:val="00CB2409"/>
    <w:rsid w:val="00CB3F93"/>
    <w:rsid w:val="00CB4A07"/>
    <w:rsid w:val="00CB4EEE"/>
    <w:rsid w:val="00CB5626"/>
    <w:rsid w:val="00CB5B67"/>
    <w:rsid w:val="00CB61B4"/>
    <w:rsid w:val="00CB7176"/>
    <w:rsid w:val="00CB7371"/>
    <w:rsid w:val="00CB7A7A"/>
    <w:rsid w:val="00CB7AF1"/>
    <w:rsid w:val="00CC04F1"/>
    <w:rsid w:val="00CC0740"/>
    <w:rsid w:val="00CC18CB"/>
    <w:rsid w:val="00CC1B66"/>
    <w:rsid w:val="00CC22FE"/>
    <w:rsid w:val="00CC24CE"/>
    <w:rsid w:val="00CC2A12"/>
    <w:rsid w:val="00CC2BFD"/>
    <w:rsid w:val="00CC36C8"/>
    <w:rsid w:val="00CC3ADF"/>
    <w:rsid w:val="00CC3FCC"/>
    <w:rsid w:val="00CC4F96"/>
    <w:rsid w:val="00CC52DA"/>
    <w:rsid w:val="00CC69C0"/>
    <w:rsid w:val="00CC6C1C"/>
    <w:rsid w:val="00CC6D47"/>
    <w:rsid w:val="00CC771B"/>
    <w:rsid w:val="00CD0174"/>
    <w:rsid w:val="00CD02CD"/>
    <w:rsid w:val="00CD047D"/>
    <w:rsid w:val="00CD0C86"/>
    <w:rsid w:val="00CD1000"/>
    <w:rsid w:val="00CD16DC"/>
    <w:rsid w:val="00CD28D0"/>
    <w:rsid w:val="00CD396C"/>
    <w:rsid w:val="00CD39B7"/>
    <w:rsid w:val="00CD3C22"/>
    <w:rsid w:val="00CD419F"/>
    <w:rsid w:val="00CD4438"/>
    <w:rsid w:val="00CD48D5"/>
    <w:rsid w:val="00CD4F28"/>
    <w:rsid w:val="00CD50C8"/>
    <w:rsid w:val="00CD526F"/>
    <w:rsid w:val="00CD63CD"/>
    <w:rsid w:val="00CD678F"/>
    <w:rsid w:val="00CD692B"/>
    <w:rsid w:val="00CD6EA7"/>
    <w:rsid w:val="00CE01BF"/>
    <w:rsid w:val="00CE040B"/>
    <w:rsid w:val="00CE049F"/>
    <w:rsid w:val="00CE0C1A"/>
    <w:rsid w:val="00CE128F"/>
    <w:rsid w:val="00CE158E"/>
    <w:rsid w:val="00CE2047"/>
    <w:rsid w:val="00CE21B8"/>
    <w:rsid w:val="00CE38B2"/>
    <w:rsid w:val="00CE3A08"/>
    <w:rsid w:val="00CE420E"/>
    <w:rsid w:val="00CE49EC"/>
    <w:rsid w:val="00CE4A6A"/>
    <w:rsid w:val="00CE4D59"/>
    <w:rsid w:val="00CE50A0"/>
    <w:rsid w:val="00CE5FC9"/>
    <w:rsid w:val="00CE66DF"/>
    <w:rsid w:val="00CE6A90"/>
    <w:rsid w:val="00CE7924"/>
    <w:rsid w:val="00CF25E6"/>
    <w:rsid w:val="00CF2826"/>
    <w:rsid w:val="00CF295C"/>
    <w:rsid w:val="00CF2BC5"/>
    <w:rsid w:val="00CF2C41"/>
    <w:rsid w:val="00CF3859"/>
    <w:rsid w:val="00CF4F01"/>
    <w:rsid w:val="00CF571C"/>
    <w:rsid w:val="00CF7D85"/>
    <w:rsid w:val="00D00357"/>
    <w:rsid w:val="00D01BDC"/>
    <w:rsid w:val="00D02466"/>
    <w:rsid w:val="00D0373E"/>
    <w:rsid w:val="00D04131"/>
    <w:rsid w:val="00D04318"/>
    <w:rsid w:val="00D044FA"/>
    <w:rsid w:val="00D04AE2"/>
    <w:rsid w:val="00D051C5"/>
    <w:rsid w:val="00D05982"/>
    <w:rsid w:val="00D059EF"/>
    <w:rsid w:val="00D06C04"/>
    <w:rsid w:val="00D06FE8"/>
    <w:rsid w:val="00D07295"/>
    <w:rsid w:val="00D10B38"/>
    <w:rsid w:val="00D10B7A"/>
    <w:rsid w:val="00D10F2D"/>
    <w:rsid w:val="00D11578"/>
    <w:rsid w:val="00D11788"/>
    <w:rsid w:val="00D117E3"/>
    <w:rsid w:val="00D11DD6"/>
    <w:rsid w:val="00D12689"/>
    <w:rsid w:val="00D12A8B"/>
    <w:rsid w:val="00D12F9A"/>
    <w:rsid w:val="00D13037"/>
    <w:rsid w:val="00D130B2"/>
    <w:rsid w:val="00D1326B"/>
    <w:rsid w:val="00D132D6"/>
    <w:rsid w:val="00D13330"/>
    <w:rsid w:val="00D13B50"/>
    <w:rsid w:val="00D140F6"/>
    <w:rsid w:val="00D153A7"/>
    <w:rsid w:val="00D156AE"/>
    <w:rsid w:val="00D17276"/>
    <w:rsid w:val="00D17328"/>
    <w:rsid w:val="00D17489"/>
    <w:rsid w:val="00D175DE"/>
    <w:rsid w:val="00D2008F"/>
    <w:rsid w:val="00D21E68"/>
    <w:rsid w:val="00D224C4"/>
    <w:rsid w:val="00D2295F"/>
    <w:rsid w:val="00D24615"/>
    <w:rsid w:val="00D24983"/>
    <w:rsid w:val="00D25E96"/>
    <w:rsid w:val="00D26126"/>
    <w:rsid w:val="00D26808"/>
    <w:rsid w:val="00D27099"/>
    <w:rsid w:val="00D27DC9"/>
    <w:rsid w:val="00D308B9"/>
    <w:rsid w:val="00D312FD"/>
    <w:rsid w:val="00D31327"/>
    <w:rsid w:val="00D314AD"/>
    <w:rsid w:val="00D325CD"/>
    <w:rsid w:val="00D32CE5"/>
    <w:rsid w:val="00D337E0"/>
    <w:rsid w:val="00D337FD"/>
    <w:rsid w:val="00D33CA7"/>
    <w:rsid w:val="00D342BE"/>
    <w:rsid w:val="00D358B5"/>
    <w:rsid w:val="00D36EFE"/>
    <w:rsid w:val="00D37214"/>
    <w:rsid w:val="00D3774B"/>
    <w:rsid w:val="00D37D99"/>
    <w:rsid w:val="00D37E6B"/>
    <w:rsid w:val="00D40BAF"/>
    <w:rsid w:val="00D41537"/>
    <w:rsid w:val="00D41890"/>
    <w:rsid w:val="00D42996"/>
    <w:rsid w:val="00D42A28"/>
    <w:rsid w:val="00D43805"/>
    <w:rsid w:val="00D4439E"/>
    <w:rsid w:val="00D45070"/>
    <w:rsid w:val="00D45186"/>
    <w:rsid w:val="00D452D7"/>
    <w:rsid w:val="00D45BB7"/>
    <w:rsid w:val="00D4647C"/>
    <w:rsid w:val="00D467F7"/>
    <w:rsid w:val="00D46C8D"/>
    <w:rsid w:val="00D4725B"/>
    <w:rsid w:val="00D47EAA"/>
    <w:rsid w:val="00D50394"/>
    <w:rsid w:val="00D5064A"/>
    <w:rsid w:val="00D509A4"/>
    <w:rsid w:val="00D50D0F"/>
    <w:rsid w:val="00D50FA9"/>
    <w:rsid w:val="00D515FC"/>
    <w:rsid w:val="00D51C47"/>
    <w:rsid w:val="00D52AD8"/>
    <w:rsid w:val="00D5406E"/>
    <w:rsid w:val="00D54B4B"/>
    <w:rsid w:val="00D5536B"/>
    <w:rsid w:val="00D55888"/>
    <w:rsid w:val="00D558FA"/>
    <w:rsid w:val="00D56E57"/>
    <w:rsid w:val="00D570FC"/>
    <w:rsid w:val="00D57A87"/>
    <w:rsid w:val="00D57EF9"/>
    <w:rsid w:val="00D6028C"/>
    <w:rsid w:val="00D608CE"/>
    <w:rsid w:val="00D620AD"/>
    <w:rsid w:val="00D62626"/>
    <w:rsid w:val="00D627E8"/>
    <w:rsid w:val="00D632A0"/>
    <w:rsid w:val="00D632E5"/>
    <w:rsid w:val="00D63826"/>
    <w:rsid w:val="00D6432F"/>
    <w:rsid w:val="00D64AB4"/>
    <w:rsid w:val="00D6587F"/>
    <w:rsid w:val="00D65CE3"/>
    <w:rsid w:val="00D66010"/>
    <w:rsid w:val="00D671C6"/>
    <w:rsid w:val="00D67A7A"/>
    <w:rsid w:val="00D67BC4"/>
    <w:rsid w:val="00D67C5B"/>
    <w:rsid w:val="00D70009"/>
    <w:rsid w:val="00D70CD3"/>
    <w:rsid w:val="00D70E62"/>
    <w:rsid w:val="00D7166F"/>
    <w:rsid w:val="00D72CCB"/>
    <w:rsid w:val="00D72DDA"/>
    <w:rsid w:val="00D73C22"/>
    <w:rsid w:val="00D7469B"/>
    <w:rsid w:val="00D748C9"/>
    <w:rsid w:val="00D75099"/>
    <w:rsid w:val="00D76288"/>
    <w:rsid w:val="00D77271"/>
    <w:rsid w:val="00D77C7B"/>
    <w:rsid w:val="00D81C94"/>
    <w:rsid w:val="00D8236B"/>
    <w:rsid w:val="00D82D2B"/>
    <w:rsid w:val="00D83000"/>
    <w:rsid w:val="00D8348F"/>
    <w:rsid w:val="00D83B64"/>
    <w:rsid w:val="00D84841"/>
    <w:rsid w:val="00D849BA"/>
    <w:rsid w:val="00D85A67"/>
    <w:rsid w:val="00D85C71"/>
    <w:rsid w:val="00D85D57"/>
    <w:rsid w:val="00D867DC"/>
    <w:rsid w:val="00D90E45"/>
    <w:rsid w:val="00D91273"/>
    <w:rsid w:val="00D91504"/>
    <w:rsid w:val="00D91722"/>
    <w:rsid w:val="00D9232E"/>
    <w:rsid w:val="00D9280A"/>
    <w:rsid w:val="00D929C0"/>
    <w:rsid w:val="00D93648"/>
    <w:rsid w:val="00D948F3"/>
    <w:rsid w:val="00D94C87"/>
    <w:rsid w:val="00D94F3B"/>
    <w:rsid w:val="00D951B0"/>
    <w:rsid w:val="00D95EC3"/>
    <w:rsid w:val="00D972D1"/>
    <w:rsid w:val="00D9736A"/>
    <w:rsid w:val="00D976E7"/>
    <w:rsid w:val="00DA12F5"/>
    <w:rsid w:val="00DA27AA"/>
    <w:rsid w:val="00DA28D1"/>
    <w:rsid w:val="00DA2C1B"/>
    <w:rsid w:val="00DA35A2"/>
    <w:rsid w:val="00DA595F"/>
    <w:rsid w:val="00DA59C2"/>
    <w:rsid w:val="00DA6DD3"/>
    <w:rsid w:val="00DB045D"/>
    <w:rsid w:val="00DB0A9D"/>
    <w:rsid w:val="00DB0BD2"/>
    <w:rsid w:val="00DB0E90"/>
    <w:rsid w:val="00DB1F9F"/>
    <w:rsid w:val="00DB1FD4"/>
    <w:rsid w:val="00DB2638"/>
    <w:rsid w:val="00DB290A"/>
    <w:rsid w:val="00DB35F7"/>
    <w:rsid w:val="00DB3809"/>
    <w:rsid w:val="00DB3B00"/>
    <w:rsid w:val="00DB3B20"/>
    <w:rsid w:val="00DB51FE"/>
    <w:rsid w:val="00DB55E1"/>
    <w:rsid w:val="00DB570B"/>
    <w:rsid w:val="00DB6A8C"/>
    <w:rsid w:val="00DB6B17"/>
    <w:rsid w:val="00DB7496"/>
    <w:rsid w:val="00DC028B"/>
    <w:rsid w:val="00DC36F1"/>
    <w:rsid w:val="00DC3D8E"/>
    <w:rsid w:val="00DC4106"/>
    <w:rsid w:val="00DC4AA5"/>
    <w:rsid w:val="00DC4F21"/>
    <w:rsid w:val="00DC4F68"/>
    <w:rsid w:val="00DC529B"/>
    <w:rsid w:val="00DC56DC"/>
    <w:rsid w:val="00DC5CC9"/>
    <w:rsid w:val="00DC6038"/>
    <w:rsid w:val="00DC6224"/>
    <w:rsid w:val="00DC68A4"/>
    <w:rsid w:val="00DC71E4"/>
    <w:rsid w:val="00DC7478"/>
    <w:rsid w:val="00DC7D53"/>
    <w:rsid w:val="00DD00E2"/>
    <w:rsid w:val="00DD01CC"/>
    <w:rsid w:val="00DD02B1"/>
    <w:rsid w:val="00DD0CEE"/>
    <w:rsid w:val="00DD0E59"/>
    <w:rsid w:val="00DD1406"/>
    <w:rsid w:val="00DD1639"/>
    <w:rsid w:val="00DD1E78"/>
    <w:rsid w:val="00DD2EC6"/>
    <w:rsid w:val="00DD3A49"/>
    <w:rsid w:val="00DD3F22"/>
    <w:rsid w:val="00DD4251"/>
    <w:rsid w:val="00DD4D58"/>
    <w:rsid w:val="00DD6971"/>
    <w:rsid w:val="00DD7091"/>
    <w:rsid w:val="00DD79F9"/>
    <w:rsid w:val="00DE1113"/>
    <w:rsid w:val="00DE13C9"/>
    <w:rsid w:val="00DE187A"/>
    <w:rsid w:val="00DE2B2B"/>
    <w:rsid w:val="00DE2F8D"/>
    <w:rsid w:val="00DE366B"/>
    <w:rsid w:val="00DE4A1B"/>
    <w:rsid w:val="00DE4AE2"/>
    <w:rsid w:val="00DE4F23"/>
    <w:rsid w:val="00DE66C6"/>
    <w:rsid w:val="00DE6A64"/>
    <w:rsid w:val="00DE7128"/>
    <w:rsid w:val="00DE7ED7"/>
    <w:rsid w:val="00DF1CAE"/>
    <w:rsid w:val="00DF1E54"/>
    <w:rsid w:val="00DF2929"/>
    <w:rsid w:val="00DF2D6C"/>
    <w:rsid w:val="00DF3C04"/>
    <w:rsid w:val="00DF3D78"/>
    <w:rsid w:val="00DF446E"/>
    <w:rsid w:val="00DF44D9"/>
    <w:rsid w:val="00DF4DAA"/>
    <w:rsid w:val="00DF521A"/>
    <w:rsid w:val="00DF5493"/>
    <w:rsid w:val="00DF5CF8"/>
    <w:rsid w:val="00DF5EBC"/>
    <w:rsid w:val="00DF6072"/>
    <w:rsid w:val="00DF6CF8"/>
    <w:rsid w:val="00DF77BA"/>
    <w:rsid w:val="00DF7974"/>
    <w:rsid w:val="00DF79C4"/>
    <w:rsid w:val="00E00034"/>
    <w:rsid w:val="00E00718"/>
    <w:rsid w:val="00E012D3"/>
    <w:rsid w:val="00E017DF"/>
    <w:rsid w:val="00E02A80"/>
    <w:rsid w:val="00E02C1F"/>
    <w:rsid w:val="00E0329D"/>
    <w:rsid w:val="00E034A8"/>
    <w:rsid w:val="00E03FCC"/>
    <w:rsid w:val="00E04495"/>
    <w:rsid w:val="00E04518"/>
    <w:rsid w:val="00E0495D"/>
    <w:rsid w:val="00E04CC2"/>
    <w:rsid w:val="00E0589E"/>
    <w:rsid w:val="00E0615F"/>
    <w:rsid w:val="00E06684"/>
    <w:rsid w:val="00E07435"/>
    <w:rsid w:val="00E1065D"/>
    <w:rsid w:val="00E110FF"/>
    <w:rsid w:val="00E11349"/>
    <w:rsid w:val="00E1164E"/>
    <w:rsid w:val="00E128AC"/>
    <w:rsid w:val="00E12ACD"/>
    <w:rsid w:val="00E131C2"/>
    <w:rsid w:val="00E1374C"/>
    <w:rsid w:val="00E13977"/>
    <w:rsid w:val="00E1448D"/>
    <w:rsid w:val="00E148F7"/>
    <w:rsid w:val="00E14992"/>
    <w:rsid w:val="00E15C97"/>
    <w:rsid w:val="00E15E88"/>
    <w:rsid w:val="00E16576"/>
    <w:rsid w:val="00E16616"/>
    <w:rsid w:val="00E1683E"/>
    <w:rsid w:val="00E2027B"/>
    <w:rsid w:val="00E21517"/>
    <w:rsid w:val="00E219A0"/>
    <w:rsid w:val="00E21E72"/>
    <w:rsid w:val="00E222F1"/>
    <w:rsid w:val="00E22554"/>
    <w:rsid w:val="00E22D35"/>
    <w:rsid w:val="00E23422"/>
    <w:rsid w:val="00E23698"/>
    <w:rsid w:val="00E24875"/>
    <w:rsid w:val="00E24D5F"/>
    <w:rsid w:val="00E25784"/>
    <w:rsid w:val="00E264CF"/>
    <w:rsid w:val="00E270D4"/>
    <w:rsid w:val="00E2716E"/>
    <w:rsid w:val="00E27354"/>
    <w:rsid w:val="00E27917"/>
    <w:rsid w:val="00E31761"/>
    <w:rsid w:val="00E31B8C"/>
    <w:rsid w:val="00E322E1"/>
    <w:rsid w:val="00E324F9"/>
    <w:rsid w:val="00E329AF"/>
    <w:rsid w:val="00E32B47"/>
    <w:rsid w:val="00E33AED"/>
    <w:rsid w:val="00E351A4"/>
    <w:rsid w:val="00E373EB"/>
    <w:rsid w:val="00E377DB"/>
    <w:rsid w:val="00E37C7E"/>
    <w:rsid w:val="00E37E88"/>
    <w:rsid w:val="00E37FC5"/>
    <w:rsid w:val="00E405F3"/>
    <w:rsid w:val="00E40B3E"/>
    <w:rsid w:val="00E41025"/>
    <w:rsid w:val="00E41340"/>
    <w:rsid w:val="00E416BE"/>
    <w:rsid w:val="00E41D9C"/>
    <w:rsid w:val="00E42398"/>
    <w:rsid w:val="00E42416"/>
    <w:rsid w:val="00E4277F"/>
    <w:rsid w:val="00E43C55"/>
    <w:rsid w:val="00E44CEF"/>
    <w:rsid w:val="00E44CF0"/>
    <w:rsid w:val="00E4605A"/>
    <w:rsid w:val="00E46067"/>
    <w:rsid w:val="00E468DC"/>
    <w:rsid w:val="00E46FB5"/>
    <w:rsid w:val="00E4734A"/>
    <w:rsid w:val="00E4753D"/>
    <w:rsid w:val="00E476F2"/>
    <w:rsid w:val="00E47A2F"/>
    <w:rsid w:val="00E47FB7"/>
    <w:rsid w:val="00E51312"/>
    <w:rsid w:val="00E51921"/>
    <w:rsid w:val="00E51BFE"/>
    <w:rsid w:val="00E52073"/>
    <w:rsid w:val="00E52C51"/>
    <w:rsid w:val="00E52CDB"/>
    <w:rsid w:val="00E53586"/>
    <w:rsid w:val="00E53644"/>
    <w:rsid w:val="00E53733"/>
    <w:rsid w:val="00E53F3C"/>
    <w:rsid w:val="00E541F0"/>
    <w:rsid w:val="00E542A9"/>
    <w:rsid w:val="00E542B2"/>
    <w:rsid w:val="00E54A17"/>
    <w:rsid w:val="00E564F5"/>
    <w:rsid w:val="00E56CEB"/>
    <w:rsid w:val="00E5776A"/>
    <w:rsid w:val="00E57E7B"/>
    <w:rsid w:val="00E60693"/>
    <w:rsid w:val="00E606DC"/>
    <w:rsid w:val="00E60E06"/>
    <w:rsid w:val="00E60EE4"/>
    <w:rsid w:val="00E61EEB"/>
    <w:rsid w:val="00E61FBC"/>
    <w:rsid w:val="00E62560"/>
    <w:rsid w:val="00E62D0C"/>
    <w:rsid w:val="00E634D2"/>
    <w:rsid w:val="00E63A8F"/>
    <w:rsid w:val="00E64D7D"/>
    <w:rsid w:val="00E65300"/>
    <w:rsid w:val="00E66664"/>
    <w:rsid w:val="00E66B15"/>
    <w:rsid w:val="00E66DFA"/>
    <w:rsid w:val="00E6703A"/>
    <w:rsid w:val="00E6773F"/>
    <w:rsid w:val="00E70FA2"/>
    <w:rsid w:val="00E71EC1"/>
    <w:rsid w:val="00E72221"/>
    <w:rsid w:val="00E725D0"/>
    <w:rsid w:val="00E728F9"/>
    <w:rsid w:val="00E73238"/>
    <w:rsid w:val="00E7378E"/>
    <w:rsid w:val="00E73AEE"/>
    <w:rsid w:val="00E73DB5"/>
    <w:rsid w:val="00E740ED"/>
    <w:rsid w:val="00E766BF"/>
    <w:rsid w:val="00E77123"/>
    <w:rsid w:val="00E77CE2"/>
    <w:rsid w:val="00E819C0"/>
    <w:rsid w:val="00E81B73"/>
    <w:rsid w:val="00E81E9B"/>
    <w:rsid w:val="00E82472"/>
    <w:rsid w:val="00E82F05"/>
    <w:rsid w:val="00E838F7"/>
    <w:rsid w:val="00E8464F"/>
    <w:rsid w:val="00E84B10"/>
    <w:rsid w:val="00E851EB"/>
    <w:rsid w:val="00E85324"/>
    <w:rsid w:val="00E85CA3"/>
    <w:rsid w:val="00E902C9"/>
    <w:rsid w:val="00E907D3"/>
    <w:rsid w:val="00E91E6B"/>
    <w:rsid w:val="00E923D6"/>
    <w:rsid w:val="00E9373A"/>
    <w:rsid w:val="00E93DBD"/>
    <w:rsid w:val="00E945D5"/>
    <w:rsid w:val="00E94A1E"/>
    <w:rsid w:val="00E94ADD"/>
    <w:rsid w:val="00E95205"/>
    <w:rsid w:val="00E954FF"/>
    <w:rsid w:val="00E95513"/>
    <w:rsid w:val="00E955FB"/>
    <w:rsid w:val="00E95B9D"/>
    <w:rsid w:val="00E95FC5"/>
    <w:rsid w:val="00E966AD"/>
    <w:rsid w:val="00E96B36"/>
    <w:rsid w:val="00E971E9"/>
    <w:rsid w:val="00E97433"/>
    <w:rsid w:val="00E976E3"/>
    <w:rsid w:val="00E979C7"/>
    <w:rsid w:val="00E97C42"/>
    <w:rsid w:val="00E97E3F"/>
    <w:rsid w:val="00E97FF3"/>
    <w:rsid w:val="00EA00F4"/>
    <w:rsid w:val="00EA0A35"/>
    <w:rsid w:val="00EA1664"/>
    <w:rsid w:val="00EA18AA"/>
    <w:rsid w:val="00EA1CA2"/>
    <w:rsid w:val="00EA1EBC"/>
    <w:rsid w:val="00EA2849"/>
    <w:rsid w:val="00EA3A39"/>
    <w:rsid w:val="00EA3D78"/>
    <w:rsid w:val="00EA42D7"/>
    <w:rsid w:val="00EA48B3"/>
    <w:rsid w:val="00EA59D2"/>
    <w:rsid w:val="00EA5C56"/>
    <w:rsid w:val="00EA694C"/>
    <w:rsid w:val="00EA71A0"/>
    <w:rsid w:val="00EB09EB"/>
    <w:rsid w:val="00EB11BA"/>
    <w:rsid w:val="00EB2AA7"/>
    <w:rsid w:val="00EB30DA"/>
    <w:rsid w:val="00EB326D"/>
    <w:rsid w:val="00EB34DE"/>
    <w:rsid w:val="00EB39F0"/>
    <w:rsid w:val="00EB4139"/>
    <w:rsid w:val="00EB53D7"/>
    <w:rsid w:val="00EB56E0"/>
    <w:rsid w:val="00EB6727"/>
    <w:rsid w:val="00EB700F"/>
    <w:rsid w:val="00EB707B"/>
    <w:rsid w:val="00EB773F"/>
    <w:rsid w:val="00EC02E8"/>
    <w:rsid w:val="00EC11B5"/>
    <w:rsid w:val="00EC11F5"/>
    <w:rsid w:val="00EC12D7"/>
    <w:rsid w:val="00EC1608"/>
    <w:rsid w:val="00EC1D15"/>
    <w:rsid w:val="00EC25A6"/>
    <w:rsid w:val="00EC2B8B"/>
    <w:rsid w:val="00EC33FF"/>
    <w:rsid w:val="00EC3556"/>
    <w:rsid w:val="00EC38E3"/>
    <w:rsid w:val="00EC40D8"/>
    <w:rsid w:val="00EC41E7"/>
    <w:rsid w:val="00EC4588"/>
    <w:rsid w:val="00EC4625"/>
    <w:rsid w:val="00EC62DF"/>
    <w:rsid w:val="00EC6F41"/>
    <w:rsid w:val="00EC7881"/>
    <w:rsid w:val="00EC7A96"/>
    <w:rsid w:val="00ED182F"/>
    <w:rsid w:val="00ED283C"/>
    <w:rsid w:val="00ED313A"/>
    <w:rsid w:val="00ED4D86"/>
    <w:rsid w:val="00ED4E5E"/>
    <w:rsid w:val="00ED7542"/>
    <w:rsid w:val="00EE06BE"/>
    <w:rsid w:val="00EE09D1"/>
    <w:rsid w:val="00EE0BFA"/>
    <w:rsid w:val="00EE120F"/>
    <w:rsid w:val="00EE1411"/>
    <w:rsid w:val="00EE152F"/>
    <w:rsid w:val="00EE1C21"/>
    <w:rsid w:val="00EE1EFE"/>
    <w:rsid w:val="00EE2BE6"/>
    <w:rsid w:val="00EE2F03"/>
    <w:rsid w:val="00EE2F23"/>
    <w:rsid w:val="00EE365C"/>
    <w:rsid w:val="00EE3B16"/>
    <w:rsid w:val="00EE4CB9"/>
    <w:rsid w:val="00EE4E14"/>
    <w:rsid w:val="00EE5853"/>
    <w:rsid w:val="00EE58EA"/>
    <w:rsid w:val="00EE64BC"/>
    <w:rsid w:val="00EE6FCF"/>
    <w:rsid w:val="00EE79CF"/>
    <w:rsid w:val="00EE7EE5"/>
    <w:rsid w:val="00EF1F4D"/>
    <w:rsid w:val="00EF223D"/>
    <w:rsid w:val="00EF2340"/>
    <w:rsid w:val="00EF25F7"/>
    <w:rsid w:val="00EF2719"/>
    <w:rsid w:val="00EF2DBA"/>
    <w:rsid w:val="00EF3602"/>
    <w:rsid w:val="00EF372B"/>
    <w:rsid w:val="00EF3752"/>
    <w:rsid w:val="00EF3880"/>
    <w:rsid w:val="00EF3B35"/>
    <w:rsid w:val="00EF4A20"/>
    <w:rsid w:val="00EF4A28"/>
    <w:rsid w:val="00EF58FA"/>
    <w:rsid w:val="00EF660C"/>
    <w:rsid w:val="00EF7434"/>
    <w:rsid w:val="00EF74F7"/>
    <w:rsid w:val="00EF7893"/>
    <w:rsid w:val="00F00245"/>
    <w:rsid w:val="00F00D34"/>
    <w:rsid w:val="00F01595"/>
    <w:rsid w:val="00F015C7"/>
    <w:rsid w:val="00F01A99"/>
    <w:rsid w:val="00F01B48"/>
    <w:rsid w:val="00F02490"/>
    <w:rsid w:val="00F026A5"/>
    <w:rsid w:val="00F027B1"/>
    <w:rsid w:val="00F0283A"/>
    <w:rsid w:val="00F028E1"/>
    <w:rsid w:val="00F034D9"/>
    <w:rsid w:val="00F036DE"/>
    <w:rsid w:val="00F03A11"/>
    <w:rsid w:val="00F0444E"/>
    <w:rsid w:val="00F04BD8"/>
    <w:rsid w:val="00F06B90"/>
    <w:rsid w:val="00F07755"/>
    <w:rsid w:val="00F07978"/>
    <w:rsid w:val="00F079C5"/>
    <w:rsid w:val="00F102F7"/>
    <w:rsid w:val="00F113BF"/>
    <w:rsid w:val="00F127EA"/>
    <w:rsid w:val="00F12879"/>
    <w:rsid w:val="00F12C48"/>
    <w:rsid w:val="00F12E88"/>
    <w:rsid w:val="00F148B1"/>
    <w:rsid w:val="00F14EAB"/>
    <w:rsid w:val="00F14FCB"/>
    <w:rsid w:val="00F1595C"/>
    <w:rsid w:val="00F164EA"/>
    <w:rsid w:val="00F16B86"/>
    <w:rsid w:val="00F179B6"/>
    <w:rsid w:val="00F2011C"/>
    <w:rsid w:val="00F204BC"/>
    <w:rsid w:val="00F20F8B"/>
    <w:rsid w:val="00F2161F"/>
    <w:rsid w:val="00F216B8"/>
    <w:rsid w:val="00F21A60"/>
    <w:rsid w:val="00F220FB"/>
    <w:rsid w:val="00F22628"/>
    <w:rsid w:val="00F22B0A"/>
    <w:rsid w:val="00F230BD"/>
    <w:rsid w:val="00F240D7"/>
    <w:rsid w:val="00F241CB"/>
    <w:rsid w:val="00F24583"/>
    <w:rsid w:val="00F24D3C"/>
    <w:rsid w:val="00F26219"/>
    <w:rsid w:val="00F264E3"/>
    <w:rsid w:val="00F26813"/>
    <w:rsid w:val="00F26DBB"/>
    <w:rsid w:val="00F2745D"/>
    <w:rsid w:val="00F27F70"/>
    <w:rsid w:val="00F3018C"/>
    <w:rsid w:val="00F30254"/>
    <w:rsid w:val="00F3056C"/>
    <w:rsid w:val="00F310D9"/>
    <w:rsid w:val="00F313F6"/>
    <w:rsid w:val="00F31499"/>
    <w:rsid w:val="00F3188B"/>
    <w:rsid w:val="00F31E61"/>
    <w:rsid w:val="00F326C7"/>
    <w:rsid w:val="00F329D9"/>
    <w:rsid w:val="00F33FA0"/>
    <w:rsid w:val="00F34B29"/>
    <w:rsid w:val="00F35203"/>
    <w:rsid w:val="00F352FF"/>
    <w:rsid w:val="00F35482"/>
    <w:rsid w:val="00F358A4"/>
    <w:rsid w:val="00F37961"/>
    <w:rsid w:val="00F37EBE"/>
    <w:rsid w:val="00F40E5A"/>
    <w:rsid w:val="00F40F50"/>
    <w:rsid w:val="00F4127B"/>
    <w:rsid w:val="00F412BF"/>
    <w:rsid w:val="00F42F11"/>
    <w:rsid w:val="00F443DA"/>
    <w:rsid w:val="00F457A0"/>
    <w:rsid w:val="00F45E11"/>
    <w:rsid w:val="00F45E42"/>
    <w:rsid w:val="00F4645A"/>
    <w:rsid w:val="00F4651E"/>
    <w:rsid w:val="00F468B3"/>
    <w:rsid w:val="00F47727"/>
    <w:rsid w:val="00F47753"/>
    <w:rsid w:val="00F47980"/>
    <w:rsid w:val="00F50133"/>
    <w:rsid w:val="00F50F3B"/>
    <w:rsid w:val="00F51062"/>
    <w:rsid w:val="00F51474"/>
    <w:rsid w:val="00F51F46"/>
    <w:rsid w:val="00F5202E"/>
    <w:rsid w:val="00F52384"/>
    <w:rsid w:val="00F52894"/>
    <w:rsid w:val="00F53130"/>
    <w:rsid w:val="00F532D5"/>
    <w:rsid w:val="00F5366A"/>
    <w:rsid w:val="00F537C8"/>
    <w:rsid w:val="00F54069"/>
    <w:rsid w:val="00F54489"/>
    <w:rsid w:val="00F54E44"/>
    <w:rsid w:val="00F5588E"/>
    <w:rsid w:val="00F558A4"/>
    <w:rsid w:val="00F55B6A"/>
    <w:rsid w:val="00F56779"/>
    <w:rsid w:val="00F578C5"/>
    <w:rsid w:val="00F57BDF"/>
    <w:rsid w:val="00F607D9"/>
    <w:rsid w:val="00F61433"/>
    <w:rsid w:val="00F61B3E"/>
    <w:rsid w:val="00F62843"/>
    <w:rsid w:val="00F63F97"/>
    <w:rsid w:val="00F64F83"/>
    <w:rsid w:val="00F669AB"/>
    <w:rsid w:val="00F670A0"/>
    <w:rsid w:val="00F6740A"/>
    <w:rsid w:val="00F67DCB"/>
    <w:rsid w:val="00F7063E"/>
    <w:rsid w:val="00F70F52"/>
    <w:rsid w:val="00F7156F"/>
    <w:rsid w:val="00F71802"/>
    <w:rsid w:val="00F71A1D"/>
    <w:rsid w:val="00F7217B"/>
    <w:rsid w:val="00F73011"/>
    <w:rsid w:val="00F734F9"/>
    <w:rsid w:val="00F7391B"/>
    <w:rsid w:val="00F7394D"/>
    <w:rsid w:val="00F73C5E"/>
    <w:rsid w:val="00F74B9D"/>
    <w:rsid w:val="00F74DDF"/>
    <w:rsid w:val="00F7577A"/>
    <w:rsid w:val="00F759B5"/>
    <w:rsid w:val="00F75A56"/>
    <w:rsid w:val="00F763D7"/>
    <w:rsid w:val="00F77067"/>
    <w:rsid w:val="00F775B5"/>
    <w:rsid w:val="00F80076"/>
    <w:rsid w:val="00F80510"/>
    <w:rsid w:val="00F813B0"/>
    <w:rsid w:val="00F81AED"/>
    <w:rsid w:val="00F83114"/>
    <w:rsid w:val="00F8315F"/>
    <w:rsid w:val="00F84ADC"/>
    <w:rsid w:val="00F85845"/>
    <w:rsid w:val="00F87047"/>
    <w:rsid w:val="00F87134"/>
    <w:rsid w:val="00F87630"/>
    <w:rsid w:val="00F877D6"/>
    <w:rsid w:val="00F90316"/>
    <w:rsid w:val="00F90744"/>
    <w:rsid w:val="00F90B53"/>
    <w:rsid w:val="00F90D4F"/>
    <w:rsid w:val="00F916BC"/>
    <w:rsid w:val="00F9189D"/>
    <w:rsid w:val="00F91B53"/>
    <w:rsid w:val="00F925C8"/>
    <w:rsid w:val="00F92A14"/>
    <w:rsid w:val="00F92AB0"/>
    <w:rsid w:val="00F92B2B"/>
    <w:rsid w:val="00F93A90"/>
    <w:rsid w:val="00F9415F"/>
    <w:rsid w:val="00F94718"/>
    <w:rsid w:val="00F95E83"/>
    <w:rsid w:val="00F9602B"/>
    <w:rsid w:val="00F97B53"/>
    <w:rsid w:val="00F97B5E"/>
    <w:rsid w:val="00FA0042"/>
    <w:rsid w:val="00FA24D2"/>
    <w:rsid w:val="00FA2C99"/>
    <w:rsid w:val="00FA2EB5"/>
    <w:rsid w:val="00FA32F6"/>
    <w:rsid w:val="00FA331F"/>
    <w:rsid w:val="00FA38E1"/>
    <w:rsid w:val="00FA39D8"/>
    <w:rsid w:val="00FA4C2F"/>
    <w:rsid w:val="00FA5406"/>
    <w:rsid w:val="00FA5EE1"/>
    <w:rsid w:val="00FA69A4"/>
    <w:rsid w:val="00FA6E0B"/>
    <w:rsid w:val="00FA71F8"/>
    <w:rsid w:val="00FA7CE0"/>
    <w:rsid w:val="00FB0462"/>
    <w:rsid w:val="00FB0540"/>
    <w:rsid w:val="00FB0659"/>
    <w:rsid w:val="00FB0D7C"/>
    <w:rsid w:val="00FB0F08"/>
    <w:rsid w:val="00FB1739"/>
    <w:rsid w:val="00FB17E0"/>
    <w:rsid w:val="00FB1EE0"/>
    <w:rsid w:val="00FB240B"/>
    <w:rsid w:val="00FB2C4C"/>
    <w:rsid w:val="00FB3210"/>
    <w:rsid w:val="00FB350C"/>
    <w:rsid w:val="00FB3D6B"/>
    <w:rsid w:val="00FB591B"/>
    <w:rsid w:val="00FB6027"/>
    <w:rsid w:val="00FB6F8C"/>
    <w:rsid w:val="00FC1E14"/>
    <w:rsid w:val="00FC2948"/>
    <w:rsid w:val="00FC2D4B"/>
    <w:rsid w:val="00FC2FCE"/>
    <w:rsid w:val="00FC36CF"/>
    <w:rsid w:val="00FC4674"/>
    <w:rsid w:val="00FC4BAE"/>
    <w:rsid w:val="00FC592B"/>
    <w:rsid w:val="00FC5983"/>
    <w:rsid w:val="00FC61B9"/>
    <w:rsid w:val="00FC62CB"/>
    <w:rsid w:val="00FC6AFB"/>
    <w:rsid w:val="00FC6E55"/>
    <w:rsid w:val="00FD01B8"/>
    <w:rsid w:val="00FD02D7"/>
    <w:rsid w:val="00FD0688"/>
    <w:rsid w:val="00FD0C73"/>
    <w:rsid w:val="00FD14ED"/>
    <w:rsid w:val="00FD17F3"/>
    <w:rsid w:val="00FD23A6"/>
    <w:rsid w:val="00FD332D"/>
    <w:rsid w:val="00FD34E2"/>
    <w:rsid w:val="00FD582E"/>
    <w:rsid w:val="00FD5952"/>
    <w:rsid w:val="00FD637E"/>
    <w:rsid w:val="00FD6553"/>
    <w:rsid w:val="00FD66CC"/>
    <w:rsid w:val="00FD6EB8"/>
    <w:rsid w:val="00FD71AE"/>
    <w:rsid w:val="00FD74F0"/>
    <w:rsid w:val="00FD7A25"/>
    <w:rsid w:val="00FD7E17"/>
    <w:rsid w:val="00FE14D2"/>
    <w:rsid w:val="00FE220D"/>
    <w:rsid w:val="00FE24A4"/>
    <w:rsid w:val="00FE2AFB"/>
    <w:rsid w:val="00FE4A37"/>
    <w:rsid w:val="00FE4C8D"/>
    <w:rsid w:val="00FE51D6"/>
    <w:rsid w:val="00FE5A52"/>
    <w:rsid w:val="00FE6CFB"/>
    <w:rsid w:val="00FE6E38"/>
    <w:rsid w:val="00FE720C"/>
    <w:rsid w:val="00FF124E"/>
    <w:rsid w:val="00FF1667"/>
    <w:rsid w:val="00FF286D"/>
    <w:rsid w:val="00FF3B55"/>
    <w:rsid w:val="00FF419C"/>
    <w:rsid w:val="00FF4265"/>
    <w:rsid w:val="00FF65C8"/>
    <w:rsid w:val="00FF6AEB"/>
    <w:rsid w:val="00FF6DB5"/>
    <w:rsid w:val="00FF790E"/>
    <w:rsid w:val="00FF7F3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E11DB05"/>
  <w15:docId w15:val="{EB48496F-18B0-4D56-8E84-6D0A105B18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MX" w:eastAsia="es-MX"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F128F"/>
    <w:rPr>
      <w:sz w:val="24"/>
      <w:szCs w:val="24"/>
      <w:lang w:val="es-ES" w:eastAsia="es-ES"/>
    </w:rPr>
  </w:style>
  <w:style w:type="paragraph" w:styleId="Ttulo1">
    <w:name w:val="heading 1"/>
    <w:basedOn w:val="Normal"/>
    <w:next w:val="Normal"/>
    <w:link w:val="Ttulo1Car"/>
    <w:qFormat/>
    <w:rsid w:val="003F128F"/>
    <w:pPr>
      <w:keepNext/>
      <w:tabs>
        <w:tab w:val="left" w:pos="5580"/>
      </w:tabs>
      <w:jc w:val="center"/>
      <w:outlineLvl w:val="0"/>
    </w:pPr>
    <w:rPr>
      <w:b/>
      <w:lang w:val="en-US"/>
    </w:rPr>
  </w:style>
  <w:style w:type="paragraph" w:styleId="Ttulo2">
    <w:name w:val="heading 2"/>
    <w:basedOn w:val="Normal"/>
    <w:next w:val="Normal"/>
    <w:link w:val="Ttulo2Car"/>
    <w:qFormat/>
    <w:rsid w:val="003F128F"/>
    <w:pPr>
      <w:keepNext/>
      <w:numPr>
        <w:numId w:val="1"/>
      </w:numPr>
      <w:tabs>
        <w:tab w:val="clear" w:pos="1080"/>
      </w:tabs>
      <w:ind w:left="0" w:firstLine="0"/>
      <w:outlineLvl w:val="1"/>
    </w:pPr>
    <w:rPr>
      <w:b/>
      <w:bCs/>
      <w:lang w:val="es-MX"/>
    </w:rPr>
  </w:style>
  <w:style w:type="paragraph" w:styleId="Ttulo3">
    <w:name w:val="heading 3"/>
    <w:basedOn w:val="Normal"/>
    <w:next w:val="Normal"/>
    <w:link w:val="Ttulo3Car"/>
    <w:qFormat/>
    <w:rsid w:val="003F128F"/>
    <w:pPr>
      <w:keepNext/>
      <w:ind w:left="1080"/>
      <w:jc w:val="center"/>
      <w:outlineLvl w:val="2"/>
    </w:pPr>
    <w:rPr>
      <w:rFonts w:ascii="Arial Narrow" w:hAnsi="Arial Narrow" w:cs="Arial"/>
      <w:b/>
      <w:sz w:val="22"/>
    </w:rPr>
  </w:style>
  <w:style w:type="paragraph" w:styleId="Ttulo4">
    <w:name w:val="heading 4"/>
    <w:basedOn w:val="Normal"/>
    <w:next w:val="Normal"/>
    <w:link w:val="Ttulo4Car"/>
    <w:qFormat/>
    <w:rsid w:val="003F128F"/>
    <w:pPr>
      <w:keepNext/>
      <w:tabs>
        <w:tab w:val="left" w:pos="1800"/>
      </w:tabs>
      <w:jc w:val="both"/>
      <w:outlineLvl w:val="3"/>
    </w:pPr>
    <w:rPr>
      <w:rFonts w:ascii="Arial" w:hAnsi="Arial" w:cs="Arial"/>
      <w:sz w:val="28"/>
    </w:rPr>
  </w:style>
  <w:style w:type="paragraph" w:styleId="Ttulo5">
    <w:name w:val="heading 5"/>
    <w:basedOn w:val="Normal"/>
    <w:next w:val="Normal"/>
    <w:link w:val="Ttulo5Car"/>
    <w:qFormat/>
    <w:rsid w:val="003F128F"/>
    <w:pPr>
      <w:keepNext/>
      <w:ind w:left="110"/>
      <w:jc w:val="center"/>
      <w:outlineLvl w:val="4"/>
    </w:pPr>
    <w:rPr>
      <w:rFonts w:ascii="Arial Narrow" w:hAnsi="Arial Narrow" w:cs="Arial"/>
      <w:b/>
      <w:color w:val="FF0000"/>
      <w:sz w:val="22"/>
    </w:rPr>
  </w:style>
  <w:style w:type="paragraph" w:styleId="Ttulo6">
    <w:name w:val="heading 6"/>
    <w:basedOn w:val="Normal"/>
    <w:next w:val="Normal"/>
    <w:link w:val="Ttulo6Car"/>
    <w:qFormat/>
    <w:rsid w:val="003F128F"/>
    <w:pPr>
      <w:keepNext/>
      <w:ind w:left="110"/>
      <w:jc w:val="center"/>
      <w:outlineLvl w:val="5"/>
    </w:pPr>
    <w:rPr>
      <w:rFonts w:ascii="Arial Narrow" w:hAnsi="Arial Narrow" w:cs="Arial"/>
      <w:b/>
      <w:sz w:val="22"/>
    </w:rPr>
  </w:style>
  <w:style w:type="paragraph" w:styleId="Ttulo7">
    <w:name w:val="heading 7"/>
    <w:basedOn w:val="Normal"/>
    <w:next w:val="Normal"/>
    <w:link w:val="Ttulo7Car"/>
    <w:qFormat/>
    <w:rsid w:val="003F128F"/>
    <w:pPr>
      <w:keepNext/>
      <w:tabs>
        <w:tab w:val="left" w:pos="1756"/>
        <w:tab w:val="left" w:pos="2834"/>
        <w:tab w:val="left" w:pos="4790"/>
        <w:tab w:val="left" w:pos="5668"/>
        <w:tab w:val="left" w:pos="7936"/>
        <w:tab w:val="left" w:pos="8560"/>
      </w:tabs>
      <w:jc w:val="center"/>
      <w:outlineLvl w:val="6"/>
    </w:pPr>
    <w:rPr>
      <w:rFonts w:ascii="Arial" w:hAnsi="Arial" w:cs="Arial"/>
      <w:b/>
      <w:bCs/>
      <w:sz w:val="20"/>
    </w:rPr>
  </w:style>
  <w:style w:type="paragraph" w:styleId="Ttulo8">
    <w:name w:val="heading 8"/>
    <w:basedOn w:val="Normal"/>
    <w:next w:val="Normal"/>
    <w:link w:val="Ttulo8Car"/>
    <w:qFormat/>
    <w:rsid w:val="003F128F"/>
    <w:pPr>
      <w:keepNext/>
      <w:jc w:val="both"/>
      <w:outlineLvl w:val="7"/>
    </w:pPr>
    <w:rPr>
      <w:rFonts w:ascii="Arial" w:hAnsi="Arial" w:cs="Arial"/>
      <w:b/>
      <w:bCs/>
      <w:color w:val="FF0000"/>
    </w:rPr>
  </w:style>
  <w:style w:type="paragraph" w:styleId="Ttulo9">
    <w:name w:val="heading 9"/>
    <w:basedOn w:val="Normal"/>
    <w:next w:val="Normal"/>
    <w:link w:val="Ttulo9Car"/>
    <w:qFormat/>
    <w:rsid w:val="003F128F"/>
    <w:pPr>
      <w:keepNext/>
      <w:numPr>
        <w:numId w:val="2"/>
      </w:numPr>
      <w:tabs>
        <w:tab w:val="left" w:pos="720"/>
        <w:tab w:val="right" w:pos="8000"/>
      </w:tabs>
      <w:overflowPunct w:val="0"/>
      <w:autoSpaceDE w:val="0"/>
      <w:autoSpaceDN w:val="0"/>
      <w:adjustRightInd w:val="0"/>
      <w:ind w:left="720" w:right="-89" w:hanging="720"/>
      <w:jc w:val="both"/>
      <w:textAlignment w:val="baseline"/>
      <w:outlineLvl w:val="8"/>
    </w:pPr>
    <w:rPr>
      <w:rFonts w:ascii="Arial" w:hAnsi="Arial"/>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FB1EE0"/>
    <w:rPr>
      <w:b/>
      <w:sz w:val="24"/>
      <w:szCs w:val="24"/>
      <w:lang w:val="en-US" w:eastAsia="es-ES"/>
    </w:rPr>
  </w:style>
  <w:style w:type="character" w:customStyle="1" w:styleId="Ttulo2Car">
    <w:name w:val="Título 2 Car"/>
    <w:basedOn w:val="Fuentedeprrafopredeter"/>
    <w:link w:val="Ttulo2"/>
    <w:rsid w:val="00FB1EE0"/>
    <w:rPr>
      <w:b/>
      <w:bCs/>
      <w:sz w:val="24"/>
      <w:szCs w:val="24"/>
      <w:lang w:eastAsia="es-ES"/>
    </w:rPr>
  </w:style>
  <w:style w:type="character" w:customStyle="1" w:styleId="Ttulo3Car">
    <w:name w:val="Título 3 Car"/>
    <w:basedOn w:val="Fuentedeprrafopredeter"/>
    <w:link w:val="Ttulo3"/>
    <w:rsid w:val="00FB1EE0"/>
    <w:rPr>
      <w:rFonts w:ascii="Arial Narrow" w:hAnsi="Arial Narrow" w:cs="Arial"/>
      <w:b/>
      <w:sz w:val="22"/>
      <w:szCs w:val="24"/>
      <w:lang w:val="es-ES" w:eastAsia="es-ES"/>
    </w:rPr>
  </w:style>
  <w:style w:type="character" w:customStyle="1" w:styleId="Ttulo4Car">
    <w:name w:val="Título 4 Car"/>
    <w:basedOn w:val="Fuentedeprrafopredeter"/>
    <w:link w:val="Ttulo4"/>
    <w:rsid w:val="00FB1EE0"/>
    <w:rPr>
      <w:rFonts w:ascii="Arial" w:hAnsi="Arial" w:cs="Arial"/>
      <w:sz w:val="28"/>
      <w:szCs w:val="24"/>
      <w:lang w:val="es-ES" w:eastAsia="es-ES"/>
    </w:rPr>
  </w:style>
  <w:style w:type="character" w:customStyle="1" w:styleId="Ttulo5Car">
    <w:name w:val="Título 5 Car"/>
    <w:basedOn w:val="Fuentedeprrafopredeter"/>
    <w:link w:val="Ttulo5"/>
    <w:rsid w:val="00FB1EE0"/>
    <w:rPr>
      <w:rFonts w:ascii="Arial Narrow" w:hAnsi="Arial Narrow" w:cs="Arial"/>
      <w:b/>
      <w:color w:val="FF0000"/>
      <w:sz w:val="22"/>
      <w:szCs w:val="24"/>
      <w:lang w:val="es-ES" w:eastAsia="es-ES"/>
    </w:rPr>
  </w:style>
  <w:style w:type="character" w:customStyle="1" w:styleId="Ttulo6Car">
    <w:name w:val="Título 6 Car"/>
    <w:basedOn w:val="Fuentedeprrafopredeter"/>
    <w:link w:val="Ttulo6"/>
    <w:rsid w:val="00FB1EE0"/>
    <w:rPr>
      <w:rFonts w:ascii="Arial Narrow" w:hAnsi="Arial Narrow" w:cs="Arial"/>
      <w:b/>
      <w:sz w:val="22"/>
      <w:szCs w:val="24"/>
      <w:lang w:val="es-ES" w:eastAsia="es-ES"/>
    </w:rPr>
  </w:style>
  <w:style w:type="character" w:customStyle="1" w:styleId="Ttulo7Car">
    <w:name w:val="Título 7 Car"/>
    <w:basedOn w:val="Fuentedeprrafopredeter"/>
    <w:link w:val="Ttulo7"/>
    <w:rsid w:val="00FB1EE0"/>
    <w:rPr>
      <w:rFonts w:ascii="Arial" w:hAnsi="Arial" w:cs="Arial"/>
      <w:b/>
      <w:bCs/>
      <w:szCs w:val="24"/>
      <w:lang w:val="es-ES" w:eastAsia="es-ES"/>
    </w:rPr>
  </w:style>
  <w:style w:type="character" w:customStyle="1" w:styleId="Ttulo8Car">
    <w:name w:val="Título 8 Car"/>
    <w:basedOn w:val="Fuentedeprrafopredeter"/>
    <w:link w:val="Ttulo8"/>
    <w:rsid w:val="00FB1EE0"/>
    <w:rPr>
      <w:rFonts w:ascii="Arial" w:hAnsi="Arial" w:cs="Arial"/>
      <w:b/>
      <w:bCs/>
      <w:color w:val="FF0000"/>
      <w:sz w:val="24"/>
      <w:szCs w:val="24"/>
      <w:lang w:val="es-ES" w:eastAsia="es-ES"/>
    </w:rPr>
  </w:style>
  <w:style w:type="character" w:customStyle="1" w:styleId="Ttulo9Car">
    <w:name w:val="Título 9 Car"/>
    <w:basedOn w:val="Fuentedeprrafopredeter"/>
    <w:link w:val="Ttulo9"/>
    <w:rsid w:val="00FB1EE0"/>
    <w:rPr>
      <w:rFonts w:ascii="Arial" w:hAnsi="Arial"/>
      <w:sz w:val="24"/>
      <w:lang w:val="es-ES" w:eastAsia="es-ES"/>
    </w:rPr>
  </w:style>
  <w:style w:type="paragraph" w:styleId="Textoindependiente">
    <w:name w:val="Body Text"/>
    <w:basedOn w:val="Normal"/>
    <w:link w:val="TextoindependienteCar"/>
    <w:qFormat/>
    <w:rsid w:val="003F128F"/>
    <w:pPr>
      <w:spacing w:line="360" w:lineRule="auto"/>
      <w:jc w:val="both"/>
    </w:pPr>
    <w:rPr>
      <w:rFonts w:ascii="Arial" w:hAnsi="Arial" w:cs="Arial"/>
      <w:b/>
      <w:bCs/>
      <w:sz w:val="20"/>
    </w:rPr>
  </w:style>
  <w:style w:type="character" w:customStyle="1" w:styleId="TextoindependienteCar">
    <w:name w:val="Texto independiente Car"/>
    <w:basedOn w:val="Fuentedeprrafopredeter"/>
    <w:link w:val="Textoindependiente"/>
    <w:rsid w:val="00FB1EE0"/>
    <w:rPr>
      <w:rFonts w:ascii="Arial" w:hAnsi="Arial" w:cs="Arial"/>
      <w:b/>
      <w:bCs/>
      <w:szCs w:val="24"/>
      <w:lang w:val="es-ES" w:eastAsia="es-ES"/>
    </w:rPr>
  </w:style>
  <w:style w:type="paragraph" w:styleId="Textoindependiente3">
    <w:name w:val="Body Text 3"/>
    <w:basedOn w:val="Normal"/>
    <w:link w:val="Textoindependiente3Car"/>
    <w:rsid w:val="003F128F"/>
    <w:pPr>
      <w:spacing w:line="360" w:lineRule="auto"/>
      <w:jc w:val="both"/>
    </w:pPr>
    <w:rPr>
      <w:rFonts w:ascii="Arial" w:hAnsi="Arial"/>
      <w:sz w:val="20"/>
    </w:rPr>
  </w:style>
  <w:style w:type="character" w:customStyle="1" w:styleId="Textoindependiente3Car">
    <w:name w:val="Texto independiente 3 Car"/>
    <w:link w:val="Textoindependiente3"/>
    <w:rsid w:val="00F8315F"/>
    <w:rPr>
      <w:rFonts w:ascii="Arial" w:hAnsi="Arial" w:cs="Arial"/>
      <w:szCs w:val="24"/>
      <w:lang w:val="es-ES" w:eastAsia="es-ES"/>
    </w:rPr>
  </w:style>
  <w:style w:type="paragraph" w:styleId="Textoindependiente2">
    <w:name w:val="Body Text 2"/>
    <w:basedOn w:val="Normal"/>
    <w:link w:val="Textoindependiente2Car"/>
    <w:rsid w:val="003F128F"/>
    <w:rPr>
      <w:rFonts w:ascii="Tahoma" w:hAnsi="Tahoma" w:cs="Tahoma"/>
      <w:sz w:val="28"/>
      <w:lang w:val="es-MX"/>
    </w:rPr>
  </w:style>
  <w:style w:type="character" w:customStyle="1" w:styleId="Textoindependiente2Car">
    <w:name w:val="Texto independiente 2 Car"/>
    <w:basedOn w:val="Fuentedeprrafopredeter"/>
    <w:link w:val="Textoindependiente2"/>
    <w:rsid w:val="00FB1EE0"/>
    <w:rPr>
      <w:rFonts w:ascii="Tahoma" w:hAnsi="Tahoma" w:cs="Tahoma"/>
      <w:sz w:val="28"/>
      <w:szCs w:val="24"/>
      <w:lang w:eastAsia="es-ES"/>
    </w:rPr>
  </w:style>
  <w:style w:type="paragraph" w:customStyle="1" w:styleId="PRIMERAPLANA">
    <w:name w:val="PRIMERA PLANA"/>
    <w:basedOn w:val="Normal"/>
    <w:rsid w:val="003F128F"/>
    <w:pPr>
      <w:jc w:val="both"/>
    </w:pPr>
    <w:rPr>
      <w:rFonts w:ascii="Arial" w:hAnsi="Arial"/>
      <w:sz w:val="20"/>
      <w:szCs w:val="20"/>
      <w:lang w:val="es-ES_tradnl"/>
    </w:rPr>
  </w:style>
  <w:style w:type="paragraph" w:styleId="NormalWeb">
    <w:name w:val="Normal (Web)"/>
    <w:basedOn w:val="Normal"/>
    <w:uiPriority w:val="99"/>
    <w:rsid w:val="003F128F"/>
    <w:pPr>
      <w:spacing w:before="100" w:beforeAutospacing="1" w:after="100" w:afterAutospacing="1"/>
    </w:pPr>
  </w:style>
  <w:style w:type="paragraph" w:customStyle="1" w:styleId="Default">
    <w:name w:val="Default"/>
    <w:rsid w:val="003F128F"/>
    <w:pPr>
      <w:autoSpaceDE w:val="0"/>
      <w:autoSpaceDN w:val="0"/>
      <w:adjustRightInd w:val="0"/>
    </w:pPr>
    <w:rPr>
      <w:color w:val="000000"/>
      <w:sz w:val="24"/>
      <w:szCs w:val="24"/>
      <w:lang w:val="es-ES" w:eastAsia="es-ES"/>
    </w:rPr>
  </w:style>
  <w:style w:type="paragraph" w:styleId="Piedepgina">
    <w:name w:val="footer"/>
    <w:basedOn w:val="Normal"/>
    <w:link w:val="PiedepginaCar"/>
    <w:rsid w:val="003F128F"/>
    <w:pPr>
      <w:tabs>
        <w:tab w:val="center" w:pos="4419"/>
        <w:tab w:val="right" w:pos="8838"/>
      </w:tabs>
    </w:pPr>
  </w:style>
  <w:style w:type="character" w:customStyle="1" w:styleId="PiedepginaCar">
    <w:name w:val="Pie de página Car"/>
    <w:basedOn w:val="Fuentedeprrafopredeter"/>
    <w:link w:val="Piedepgina"/>
    <w:rsid w:val="00FB1EE0"/>
    <w:rPr>
      <w:sz w:val="24"/>
      <w:szCs w:val="24"/>
      <w:lang w:val="es-ES" w:eastAsia="es-ES"/>
    </w:rPr>
  </w:style>
  <w:style w:type="character" w:styleId="Nmerodepgina">
    <w:name w:val="page number"/>
    <w:basedOn w:val="Fuentedeprrafopredeter"/>
    <w:rsid w:val="003F128F"/>
  </w:style>
  <w:style w:type="paragraph" w:styleId="Encabezado">
    <w:name w:val="header"/>
    <w:basedOn w:val="Normal"/>
    <w:link w:val="EncabezadoCar"/>
    <w:rsid w:val="003F128F"/>
    <w:pPr>
      <w:tabs>
        <w:tab w:val="center" w:pos="4419"/>
        <w:tab w:val="right" w:pos="8838"/>
      </w:tabs>
    </w:pPr>
  </w:style>
  <w:style w:type="character" w:customStyle="1" w:styleId="EncabezadoCar">
    <w:name w:val="Encabezado Car"/>
    <w:basedOn w:val="Fuentedeprrafopredeter"/>
    <w:link w:val="Encabezado"/>
    <w:rsid w:val="00FB1EE0"/>
    <w:rPr>
      <w:sz w:val="24"/>
      <w:szCs w:val="24"/>
      <w:lang w:val="es-ES" w:eastAsia="es-ES"/>
    </w:rPr>
  </w:style>
  <w:style w:type="character" w:styleId="Hipervnculo">
    <w:name w:val="Hyperlink"/>
    <w:uiPriority w:val="99"/>
    <w:unhideWhenUsed/>
    <w:rsid w:val="003C7E4F"/>
    <w:rPr>
      <w:color w:val="0000FF"/>
      <w:u w:val="single"/>
    </w:rPr>
  </w:style>
  <w:style w:type="paragraph" w:styleId="Prrafodelista">
    <w:name w:val="List Paragraph"/>
    <w:basedOn w:val="Normal"/>
    <w:uiPriority w:val="34"/>
    <w:qFormat/>
    <w:rsid w:val="006627E8"/>
    <w:pPr>
      <w:ind w:left="708"/>
    </w:pPr>
  </w:style>
  <w:style w:type="paragraph" w:styleId="Sangra2detindependiente">
    <w:name w:val="Body Text Indent 2"/>
    <w:basedOn w:val="Normal"/>
    <w:link w:val="Sangra2detindependienteCar"/>
    <w:uiPriority w:val="99"/>
    <w:semiHidden/>
    <w:unhideWhenUsed/>
    <w:rsid w:val="008E0EB4"/>
    <w:pPr>
      <w:spacing w:after="120" w:line="480" w:lineRule="auto"/>
      <w:ind w:left="283"/>
    </w:pPr>
  </w:style>
  <w:style w:type="character" w:customStyle="1" w:styleId="Sangra2detindependienteCar">
    <w:name w:val="Sangría 2 de t. independiente Car"/>
    <w:link w:val="Sangra2detindependiente"/>
    <w:uiPriority w:val="99"/>
    <w:semiHidden/>
    <w:rsid w:val="008E0EB4"/>
    <w:rPr>
      <w:sz w:val="24"/>
      <w:szCs w:val="24"/>
      <w:lang w:val="es-ES" w:eastAsia="es-ES"/>
    </w:rPr>
  </w:style>
  <w:style w:type="table" w:styleId="Tablaconcuadrcula">
    <w:name w:val="Table Grid"/>
    <w:basedOn w:val="Tablanormal"/>
    <w:uiPriority w:val="39"/>
    <w:rsid w:val="006933D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12">
    <w:name w:val="A12"/>
    <w:uiPriority w:val="99"/>
    <w:rsid w:val="004C11B7"/>
    <w:rPr>
      <w:rFonts w:cs="Univers LT"/>
      <w:b/>
      <w:bCs/>
      <w:color w:val="000000"/>
      <w:sz w:val="97"/>
      <w:szCs w:val="97"/>
    </w:rPr>
  </w:style>
  <w:style w:type="paragraph" w:styleId="Textodeglobo">
    <w:name w:val="Balloon Text"/>
    <w:basedOn w:val="Normal"/>
    <w:link w:val="TextodegloboCar"/>
    <w:uiPriority w:val="99"/>
    <w:unhideWhenUsed/>
    <w:rsid w:val="0070336A"/>
    <w:rPr>
      <w:rFonts w:ascii="Tahoma" w:hAnsi="Tahoma"/>
      <w:sz w:val="16"/>
      <w:szCs w:val="16"/>
    </w:rPr>
  </w:style>
  <w:style w:type="character" w:customStyle="1" w:styleId="TextodegloboCar">
    <w:name w:val="Texto de globo Car"/>
    <w:link w:val="Textodeglobo"/>
    <w:uiPriority w:val="99"/>
    <w:rsid w:val="0070336A"/>
    <w:rPr>
      <w:rFonts w:ascii="Tahoma" w:hAnsi="Tahoma" w:cs="Tahoma"/>
      <w:sz w:val="16"/>
      <w:szCs w:val="16"/>
    </w:rPr>
  </w:style>
  <w:style w:type="character" w:styleId="nfasis">
    <w:name w:val="Emphasis"/>
    <w:uiPriority w:val="20"/>
    <w:qFormat/>
    <w:rsid w:val="003C3149"/>
    <w:rPr>
      <w:i/>
      <w:iCs/>
    </w:rPr>
  </w:style>
  <w:style w:type="paragraph" w:styleId="Citadestacada">
    <w:name w:val="Intense Quote"/>
    <w:basedOn w:val="Normal"/>
    <w:next w:val="Normal"/>
    <w:link w:val="CitadestacadaCar"/>
    <w:uiPriority w:val="30"/>
    <w:qFormat/>
    <w:rsid w:val="00563CD2"/>
    <w:pPr>
      <w:pBdr>
        <w:bottom w:val="single" w:sz="4" w:space="4" w:color="4F81BD"/>
      </w:pBdr>
      <w:spacing w:before="200" w:after="280" w:line="276" w:lineRule="auto"/>
      <w:ind w:left="936" w:right="936"/>
    </w:pPr>
    <w:rPr>
      <w:rFonts w:ascii="Calibri" w:eastAsia="Calibri" w:hAnsi="Calibri"/>
      <w:b/>
      <w:bCs/>
      <w:i/>
      <w:iCs/>
      <w:color w:val="4F81BD"/>
      <w:sz w:val="22"/>
      <w:szCs w:val="22"/>
      <w:lang w:eastAsia="en-US"/>
    </w:rPr>
  </w:style>
  <w:style w:type="character" w:customStyle="1" w:styleId="CitadestacadaCar">
    <w:name w:val="Cita destacada Car"/>
    <w:link w:val="Citadestacada"/>
    <w:uiPriority w:val="30"/>
    <w:rsid w:val="00563CD2"/>
    <w:rPr>
      <w:rFonts w:ascii="Calibri" w:eastAsia="Calibri" w:hAnsi="Calibri" w:cs="Times New Roman"/>
      <w:b/>
      <w:bCs/>
      <w:i/>
      <w:iCs/>
      <w:color w:val="4F81BD"/>
      <w:sz w:val="22"/>
      <w:szCs w:val="22"/>
      <w:lang w:eastAsia="en-US"/>
    </w:rPr>
  </w:style>
  <w:style w:type="paragraph" w:styleId="Textonotapie">
    <w:name w:val="footnote text"/>
    <w:basedOn w:val="Normal"/>
    <w:link w:val="TextonotapieCar"/>
    <w:uiPriority w:val="99"/>
    <w:semiHidden/>
    <w:unhideWhenUsed/>
    <w:rsid w:val="00563CD2"/>
    <w:rPr>
      <w:rFonts w:ascii="Calibri" w:eastAsia="Calibri" w:hAnsi="Calibri"/>
      <w:sz w:val="20"/>
      <w:szCs w:val="20"/>
      <w:lang w:eastAsia="en-US"/>
    </w:rPr>
  </w:style>
  <w:style w:type="character" w:customStyle="1" w:styleId="TextonotapieCar">
    <w:name w:val="Texto nota pie Car"/>
    <w:link w:val="Textonotapie"/>
    <w:uiPriority w:val="99"/>
    <w:semiHidden/>
    <w:rsid w:val="00563CD2"/>
    <w:rPr>
      <w:rFonts w:ascii="Calibri" w:eastAsia="Calibri" w:hAnsi="Calibri" w:cs="Times New Roman"/>
      <w:lang w:eastAsia="en-US"/>
    </w:rPr>
  </w:style>
  <w:style w:type="character" w:styleId="Refdenotaalpie">
    <w:name w:val="footnote reference"/>
    <w:uiPriority w:val="99"/>
    <w:semiHidden/>
    <w:unhideWhenUsed/>
    <w:rsid w:val="00563CD2"/>
    <w:rPr>
      <w:vertAlign w:val="superscript"/>
    </w:rPr>
  </w:style>
  <w:style w:type="character" w:customStyle="1" w:styleId="apple-converted-space">
    <w:name w:val="apple-converted-space"/>
    <w:basedOn w:val="Fuentedeprrafopredeter"/>
    <w:rsid w:val="00BA696E"/>
  </w:style>
  <w:style w:type="character" w:styleId="Textoennegrita">
    <w:name w:val="Strong"/>
    <w:uiPriority w:val="22"/>
    <w:qFormat/>
    <w:rsid w:val="00846076"/>
    <w:rPr>
      <w:b/>
      <w:bCs/>
    </w:rPr>
  </w:style>
  <w:style w:type="character" w:styleId="Hipervnculovisitado">
    <w:name w:val="FollowedHyperlink"/>
    <w:basedOn w:val="Fuentedeprrafopredeter"/>
    <w:uiPriority w:val="99"/>
    <w:semiHidden/>
    <w:unhideWhenUsed/>
    <w:rsid w:val="00C16FCE"/>
    <w:rPr>
      <w:color w:val="954F72"/>
      <w:u w:val="single"/>
    </w:rPr>
  </w:style>
  <w:style w:type="paragraph" w:customStyle="1" w:styleId="xl63">
    <w:name w:val="xl63"/>
    <w:basedOn w:val="Normal"/>
    <w:rsid w:val="00C16FCE"/>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b/>
      <w:bCs/>
      <w:sz w:val="16"/>
      <w:szCs w:val="16"/>
      <w:u w:val="single"/>
      <w:lang w:val="es-MX" w:eastAsia="es-MX"/>
    </w:rPr>
  </w:style>
  <w:style w:type="paragraph" w:customStyle="1" w:styleId="xl64">
    <w:name w:val="xl64"/>
    <w:basedOn w:val="Normal"/>
    <w:rsid w:val="00C16FCE"/>
    <w:pPr>
      <w:pBdr>
        <w:top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65">
    <w:name w:val="xl65"/>
    <w:basedOn w:val="Normal"/>
    <w:rsid w:val="00C16FCE"/>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66">
    <w:name w:val="xl66"/>
    <w:basedOn w:val="Normal"/>
    <w:rsid w:val="00C16FCE"/>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67">
    <w:name w:val="xl67"/>
    <w:basedOn w:val="Normal"/>
    <w:rsid w:val="00C16FCE"/>
    <w:pPr>
      <w:pBdr>
        <w:top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68">
    <w:name w:val="xl68"/>
    <w:basedOn w:val="Normal"/>
    <w:rsid w:val="00C16FCE"/>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69">
    <w:name w:val="xl69"/>
    <w:basedOn w:val="Normal"/>
    <w:rsid w:val="00C16F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6"/>
      <w:szCs w:val="16"/>
      <w:lang w:val="es-MX" w:eastAsia="es-MX"/>
    </w:rPr>
  </w:style>
  <w:style w:type="paragraph" w:customStyle="1" w:styleId="xl70">
    <w:name w:val="xl70"/>
    <w:basedOn w:val="Normal"/>
    <w:rsid w:val="00C16FC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6"/>
      <w:szCs w:val="16"/>
      <w:lang w:val="es-MX" w:eastAsia="es-MX"/>
    </w:rPr>
  </w:style>
  <w:style w:type="paragraph" w:customStyle="1" w:styleId="xl71">
    <w:name w:val="xl71"/>
    <w:basedOn w:val="Normal"/>
    <w:rsid w:val="00C16FC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6"/>
      <w:szCs w:val="16"/>
      <w:lang w:val="es-MX" w:eastAsia="es-MX"/>
    </w:rPr>
  </w:style>
  <w:style w:type="paragraph" w:customStyle="1" w:styleId="xl72">
    <w:name w:val="xl72"/>
    <w:basedOn w:val="Normal"/>
    <w:rsid w:val="00C16FC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lang w:val="es-MX" w:eastAsia="es-MX"/>
    </w:rPr>
  </w:style>
  <w:style w:type="paragraph" w:customStyle="1" w:styleId="xl73">
    <w:name w:val="xl73"/>
    <w:basedOn w:val="Normal"/>
    <w:rsid w:val="00C16FC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16"/>
      <w:szCs w:val="16"/>
      <w:lang w:val="es-MX" w:eastAsia="es-MX"/>
    </w:rPr>
  </w:style>
  <w:style w:type="paragraph" w:customStyle="1" w:styleId="xl74">
    <w:name w:val="xl74"/>
    <w:basedOn w:val="Normal"/>
    <w:rsid w:val="00C16FC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16"/>
      <w:szCs w:val="16"/>
      <w:lang w:val="es-MX" w:eastAsia="es-MX"/>
    </w:rPr>
  </w:style>
  <w:style w:type="paragraph" w:customStyle="1" w:styleId="xl75">
    <w:name w:val="xl75"/>
    <w:basedOn w:val="Normal"/>
    <w:rsid w:val="00C16FCE"/>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lang w:val="es-MX" w:eastAsia="es-MX"/>
    </w:rPr>
  </w:style>
  <w:style w:type="paragraph" w:customStyle="1" w:styleId="xl76">
    <w:name w:val="xl76"/>
    <w:basedOn w:val="Normal"/>
    <w:rsid w:val="00C16FCE"/>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Arial" w:hAnsi="Arial" w:cs="Arial"/>
      <w:sz w:val="16"/>
      <w:szCs w:val="16"/>
      <w:lang w:val="es-MX" w:eastAsia="es-MX"/>
    </w:rPr>
  </w:style>
  <w:style w:type="paragraph" w:customStyle="1" w:styleId="xl77">
    <w:name w:val="xl77"/>
    <w:basedOn w:val="Normal"/>
    <w:rsid w:val="00C16FCE"/>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Arial" w:hAnsi="Arial" w:cs="Arial"/>
      <w:b/>
      <w:bCs/>
      <w:sz w:val="16"/>
      <w:szCs w:val="16"/>
      <w:lang w:val="es-MX" w:eastAsia="es-MX"/>
    </w:rPr>
  </w:style>
  <w:style w:type="paragraph" w:customStyle="1" w:styleId="xl78">
    <w:name w:val="xl78"/>
    <w:basedOn w:val="Normal"/>
    <w:rsid w:val="00C16FC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6"/>
      <w:szCs w:val="16"/>
      <w:lang w:val="es-MX" w:eastAsia="es-MX"/>
    </w:rPr>
  </w:style>
  <w:style w:type="paragraph" w:customStyle="1" w:styleId="xl79">
    <w:name w:val="xl79"/>
    <w:basedOn w:val="Normal"/>
    <w:rsid w:val="00C16FC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16"/>
      <w:szCs w:val="16"/>
      <w:lang w:val="es-MX" w:eastAsia="es-MX"/>
    </w:rPr>
  </w:style>
  <w:style w:type="paragraph" w:customStyle="1" w:styleId="xl80">
    <w:name w:val="xl80"/>
    <w:basedOn w:val="Normal"/>
    <w:rsid w:val="00C16FC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MX" w:eastAsia="es-MX"/>
    </w:rPr>
  </w:style>
  <w:style w:type="paragraph" w:customStyle="1" w:styleId="xl81">
    <w:name w:val="xl81"/>
    <w:basedOn w:val="Normal"/>
    <w:rsid w:val="00C16F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6"/>
      <w:szCs w:val="16"/>
      <w:lang w:val="es-MX" w:eastAsia="es-MX"/>
    </w:rPr>
  </w:style>
  <w:style w:type="paragraph" w:customStyle="1" w:styleId="xl82">
    <w:name w:val="xl82"/>
    <w:basedOn w:val="Normal"/>
    <w:rsid w:val="00C16FC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16"/>
      <w:szCs w:val="16"/>
      <w:lang w:val="es-MX" w:eastAsia="es-MX"/>
    </w:rPr>
  </w:style>
  <w:style w:type="paragraph" w:customStyle="1" w:styleId="xl83">
    <w:name w:val="xl83"/>
    <w:basedOn w:val="Normal"/>
    <w:rsid w:val="00C16FC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sz w:val="16"/>
      <w:szCs w:val="16"/>
      <w:lang w:val="es-MX" w:eastAsia="es-MX"/>
    </w:rPr>
  </w:style>
  <w:style w:type="paragraph" w:customStyle="1" w:styleId="xl84">
    <w:name w:val="xl84"/>
    <w:basedOn w:val="Normal"/>
    <w:rsid w:val="00C16FC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MX" w:eastAsia="es-MX"/>
    </w:rPr>
  </w:style>
  <w:style w:type="paragraph" w:customStyle="1" w:styleId="xl85">
    <w:name w:val="xl85"/>
    <w:basedOn w:val="Normal"/>
    <w:rsid w:val="00C16FC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6"/>
      <w:szCs w:val="16"/>
      <w:lang w:val="es-MX" w:eastAsia="es-MX"/>
    </w:rPr>
  </w:style>
  <w:style w:type="paragraph" w:customStyle="1" w:styleId="xl86">
    <w:name w:val="xl86"/>
    <w:basedOn w:val="Normal"/>
    <w:rsid w:val="00C16FC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b/>
      <w:bCs/>
      <w:sz w:val="16"/>
      <w:szCs w:val="16"/>
      <w:lang w:val="es-MX" w:eastAsia="es-MX"/>
    </w:rPr>
  </w:style>
  <w:style w:type="paragraph" w:customStyle="1" w:styleId="xl87">
    <w:name w:val="xl87"/>
    <w:basedOn w:val="Normal"/>
    <w:rsid w:val="00C16FCE"/>
    <w:pPr>
      <w:pBdr>
        <w:top w:val="single" w:sz="4" w:space="0" w:color="auto"/>
        <w:left w:val="single" w:sz="4" w:space="0" w:color="auto"/>
        <w:bottom w:val="single" w:sz="4" w:space="0" w:color="auto"/>
      </w:pBdr>
      <w:spacing w:before="100" w:beforeAutospacing="1" w:after="100" w:afterAutospacing="1"/>
      <w:jc w:val="center"/>
    </w:pPr>
    <w:rPr>
      <w:b/>
      <w:bCs/>
      <w:sz w:val="16"/>
      <w:szCs w:val="16"/>
      <w:lang w:val="es-MX" w:eastAsia="es-MX"/>
    </w:rPr>
  </w:style>
  <w:style w:type="paragraph" w:customStyle="1" w:styleId="xl88">
    <w:name w:val="xl88"/>
    <w:basedOn w:val="Normal"/>
    <w:rsid w:val="00C16FCE"/>
    <w:pPr>
      <w:pBdr>
        <w:top w:val="single" w:sz="4" w:space="0" w:color="auto"/>
        <w:bottom w:val="single" w:sz="4" w:space="0" w:color="auto"/>
      </w:pBdr>
      <w:spacing w:before="100" w:beforeAutospacing="1" w:after="100" w:afterAutospacing="1"/>
      <w:jc w:val="center"/>
    </w:pPr>
    <w:rPr>
      <w:b/>
      <w:bCs/>
      <w:sz w:val="16"/>
      <w:szCs w:val="16"/>
      <w:lang w:val="es-MX" w:eastAsia="es-MX"/>
    </w:rPr>
  </w:style>
  <w:style w:type="paragraph" w:customStyle="1" w:styleId="xl89">
    <w:name w:val="xl89"/>
    <w:basedOn w:val="Normal"/>
    <w:rsid w:val="00C16FCE"/>
    <w:pPr>
      <w:pBdr>
        <w:top w:val="single" w:sz="4" w:space="0" w:color="auto"/>
        <w:bottom w:val="single" w:sz="4" w:space="0" w:color="auto"/>
        <w:right w:val="single" w:sz="4" w:space="0" w:color="auto"/>
      </w:pBdr>
      <w:spacing w:before="100" w:beforeAutospacing="1" w:after="100" w:afterAutospacing="1"/>
      <w:jc w:val="center"/>
    </w:pPr>
    <w:rPr>
      <w:b/>
      <w:bCs/>
      <w:sz w:val="16"/>
      <w:szCs w:val="16"/>
      <w:lang w:val="es-MX" w:eastAsia="es-MX"/>
    </w:rPr>
  </w:style>
  <w:style w:type="paragraph" w:customStyle="1" w:styleId="xl90">
    <w:name w:val="xl90"/>
    <w:basedOn w:val="Normal"/>
    <w:rsid w:val="00C16FCE"/>
    <w:pPr>
      <w:spacing w:before="100" w:beforeAutospacing="1" w:after="100" w:afterAutospacing="1"/>
    </w:pPr>
    <w:rPr>
      <w:sz w:val="16"/>
      <w:szCs w:val="16"/>
      <w:lang w:val="es-MX" w:eastAsia="es-MX"/>
    </w:rPr>
  </w:style>
  <w:style w:type="paragraph" w:customStyle="1" w:styleId="xl91">
    <w:name w:val="xl91"/>
    <w:basedOn w:val="Normal"/>
    <w:rsid w:val="00C16FCE"/>
    <w:pPr>
      <w:spacing w:before="100" w:beforeAutospacing="1" w:after="100" w:afterAutospacing="1"/>
    </w:pPr>
    <w:rPr>
      <w:sz w:val="16"/>
      <w:szCs w:val="16"/>
      <w:lang w:val="es-MX" w:eastAsia="es-MX"/>
    </w:rPr>
  </w:style>
  <w:style w:type="paragraph" w:customStyle="1" w:styleId="xl92">
    <w:name w:val="xl92"/>
    <w:basedOn w:val="Normal"/>
    <w:rsid w:val="00C16FCE"/>
    <w:pPr>
      <w:spacing w:before="100" w:beforeAutospacing="1" w:after="100" w:afterAutospacing="1"/>
      <w:textAlignment w:val="center"/>
    </w:pPr>
    <w:rPr>
      <w:sz w:val="16"/>
      <w:szCs w:val="16"/>
      <w:lang w:val="es-MX" w:eastAsia="es-MX"/>
    </w:rPr>
  </w:style>
  <w:style w:type="paragraph" w:customStyle="1" w:styleId="xl93">
    <w:name w:val="xl93"/>
    <w:basedOn w:val="Normal"/>
    <w:rsid w:val="00C16FCE"/>
    <w:pPr>
      <w:shd w:val="clear" w:color="000000" w:fill="FFFFFF"/>
      <w:spacing w:before="100" w:beforeAutospacing="1" w:after="100" w:afterAutospacing="1"/>
      <w:textAlignment w:val="center"/>
    </w:pPr>
    <w:rPr>
      <w:sz w:val="16"/>
      <w:szCs w:val="16"/>
      <w:lang w:val="es-MX" w:eastAsia="es-MX"/>
    </w:rPr>
  </w:style>
  <w:style w:type="paragraph" w:customStyle="1" w:styleId="xl94">
    <w:name w:val="xl94"/>
    <w:basedOn w:val="Normal"/>
    <w:rsid w:val="00C16FCE"/>
    <w:pPr>
      <w:shd w:val="clear" w:color="000000" w:fill="FFFFFF"/>
      <w:spacing w:before="100" w:beforeAutospacing="1" w:after="100" w:afterAutospacing="1"/>
      <w:textAlignment w:val="center"/>
    </w:pPr>
    <w:rPr>
      <w:b/>
      <w:bCs/>
      <w:sz w:val="16"/>
      <w:szCs w:val="16"/>
      <w:lang w:val="es-MX" w:eastAsia="es-MX"/>
    </w:rPr>
  </w:style>
  <w:style w:type="paragraph" w:customStyle="1" w:styleId="xl95">
    <w:name w:val="xl95"/>
    <w:basedOn w:val="Normal"/>
    <w:rsid w:val="00C16FC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sz w:val="16"/>
      <w:szCs w:val="16"/>
      <w:lang w:val="es-MX" w:eastAsia="es-MX"/>
    </w:rPr>
  </w:style>
  <w:style w:type="paragraph" w:customStyle="1" w:styleId="xl96">
    <w:name w:val="xl96"/>
    <w:basedOn w:val="Normal"/>
    <w:rsid w:val="00C16FC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b/>
      <w:bCs/>
      <w:sz w:val="16"/>
      <w:szCs w:val="16"/>
      <w:lang w:val="es-MX" w:eastAsia="es-MX"/>
    </w:rPr>
  </w:style>
  <w:style w:type="paragraph" w:customStyle="1" w:styleId="xl97">
    <w:name w:val="xl97"/>
    <w:basedOn w:val="Normal"/>
    <w:rsid w:val="00C16FCE"/>
    <w:pPr>
      <w:spacing w:before="100" w:beforeAutospacing="1" w:after="100" w:afterAutospacing="1"/>
    </w:pPr>
    <w:rPr>
      <w:sz w:val="16"/>
      <w:szCs w:val="16"/>
      <w:lang w:val="es-MX" w:eastAsia="es-MX"/>
    </w:rPr>
  </w:style>
  <w:style w:type="character" w:styleId="Refdecomentario">
    <w:name w:val="annotation reference"/>
    <w:basedOn w:val="Fuentedeprrafopredeter"/>
    <w:uiPriority w:val="99"/>
    <w:semiHidden/>
    <w:unhideWhenUsed/>
    <w:rsid w:val="00FC592B"/>
    <w:rPr>
      <w:sz w:val="16"/>
      <w:szCs w:val="16"/>
    </w:rPr>
  </w:style>
  <w:style w:type="paragraph" w:styleId="Textocomentario">
    <w:name w:val="annotation text"/>
    <w:basedOn w:val="Normal"/>
    <w:link w:val="TextocomentarioCar"/>
    <w:uiPriority w:val="99"/>
    <w:unhideWhenUsed/>
    <w:rsid w:val="00FC592B"/>
    <w:rPr>
      <w:sz w:val="20"/>
      <w:szCs w:val="20"/>
    </w:rPr>
  </w:style>
  <w:style w:type="character" w:customStyle="1" w:styleId="TextocomentarioCar">
    <w:name w:val="Texto comentario Car"/>
    <w:basedOn w:val="Fuentedeprrafopredeter"/>
    <w:link w:val="Textocomentario"/>
    <w:uiPriority w:val="99"/>
    <w:rsid w:val="00FC592B"/>
    <w:rPr>
      <w:lang w:val="es-ES" w:eastAsia="es-ES"/>
    </w:rPr>
  </w:style>
  <w:style w:type="paragraph" w:styleId="Asuntodelcomentario">
    <w:name w:val="annotation subject"/>
    <w:basedOn w:val="Textocomentario"/>
    <w:next w:val="Textocomentario"/>
    <w:link w:val="AsuntodelcomentarioCar"/>
    <w:uiPriority w:val="99"/>
    <w:semiHidden/>
    <w:unhideWhenUsed/>
    <w:rsid w:val="00FC592B"/>
    <w:rPr>
      <w:b/>
      <w:bCs/>
    </w:rPr>
  </w:style>
  <w:style w:type="character" w:customStyle="1" w:styleId="AsuntodelcomentarioCar">
    <w:name w:val="Asunto del comentario Car"/>
    <w:basedOn w:val="TextocomentarioCar"/>
    <w:link w:val="Asuntodelcomentario"/>
    <w:uiPriority w:val="99"/>
    <w:semiHidden/>
    <w:rsid w:val="00FC592B"/>
    <w:rPr>
      <w:b/>
      <w:bCs/>
      <w:lang w:val="es-ES" w:eastAsia="es-ES"/>
    </w:rPr>
  </w:style>
  <w:style w:type="paragraph" w:customStyle="1" w:styleId="Texto">
    <w:name w:val="Texto"/>
    <w:basedOn w:val="Normal"/>
    <w:link w:val="TextoCar"/>
    <w:qFormat/>
    <w:rsid w:val="00426F1E"/>
    <w:pPr>
      <w:spacing w:after="101" w:line="216" w:lineRule="exact"/>
      <w:ind w:firstLine="288"/>
      <w:jc w:val="both"/>
    </w:pPr>
    <w:rPr>
      <w:rFonts w:ascii="Arial" w:hAnsi="Arial" w:cs="Arial"/>
      <w:sz w:val="18"/>
      <w:szCs w:val="20"/>
    </w:rPr>
  </w:style>
  <w:style w:type="character" w:customStyle="1" w:styleId="TextoCar">
    <w:name w:val="Texto Car"/>
    <w:link w:val="Texto"/>
    <w:locked/>
    <w:rsid w:val="00426F1E"/>
    <w:rPr>
      <w:rFonts w:ascii="Arial" w:hAnsi="Arial" w:cs="Arial"/>
      <w:sz w:val="18"/>
      <w:lang w:val="es-ES" w:eastAsia="es-ES"/>
    </w:rPr>
  </w:style>
  <w:style w:type="paragraph" w:styleId="Textosinformato">
    <w:name w:val="Plain Text"/>
    <w:basedOn w:val="Normal"/>
    <w:link w:val="TextosinformatoCar"/>
    <w:rsid w:val="00426F1E"/>
    <w:rPr>
      <w:rFonts w:ascii="Courier New" w:hAnsi="Courier New" w:cs="Courier New"/>
      <w:sz w:val="20"/>
      <w:szCs w:val="20"/>
    </w:rPr>
  </w:style>
  <w:style w:type="character" w:customStyle="1" w:styleId="TextosinformatoCar">
    <w:name w:val="Texto sin formato Car"/>
    <w:basedOn w:val="Fuentedeprrafopredeter"/>
    <w:link w:val="Textosinformato"/>
    <w:rsid w:val="00426F1E"/>
    <w:rPr>
      <w:rFonts w:ascii="Courier New" w:hAnsi="Courier New" w:cs="Courier New"/>
      <w:lang w:val="es-ES" w:eastAsia="es-ES"/>
    </w:rPr>
  </w:style>
  <w:style w:type="numbering" w:customStyle="1" w:styleId="Sinlista1">
    <w:name w:val="Sin lista1"/>
    <w:next w:val="Sinlista"/>
    <w:uiPriority w:val="99"/>
    <w:semiHidden/>
    <w:unhideWhenUsed/>
    <w:rsid w:val="0008023A"/>
  </w:style>
  <w:style w:type="paragraph" w:styleId="Revisin">
    <w:name w:val="Revision"/>
    <w:hidden/>
    <w:uiPriority w:val="99"/>
    <w:semiHidden/>
    <w:rsid w:val="0008023A"/>
    <w:rPr>
      <w:rFonts w:ascii="Arial" w:eastAsia="Calibri" w:hAnsi="Arial" w:cs="Arial"/>
      <w:sz w:val="24"/>
      <w:szCs w:val="24"/>
      <w:lang w:eastAsia="en-US"/>
    </w:rPr>
  </w:style>
  <w:style w:type="numbering" w:customStyle="1" w:styleId="Sinlista11">
    <w:name w:val="Sin lista11"/>
    <w:next w:val="Sinlista"/>
    <w:uiPriority w:val="99"/>
    <w:semiHidden/>
    <w:unhideWhenUsed/>
    <w:rsid w:val="0008023A"/>
  </w:style>
  <w:style w:type="paragraph" w:customStyle="1" w:styleId="Estilo">
    <w:name w:val="Estilo"/>
    <w:basedOn w:val="Sinespaciado"/>
    <w:link w:val="EstiloCar"/>
    <w:qFormat/>
    <w:rsid w:val="0008023A"/>
    <w:rPr>
      <w:rFonts w:ascii="Arial" w:eastAsia="Times New Roman" w:hAnsi="Arial"/>
      <w:sz w:val="20"/>
    </w:rPr>
  </w:style>
  <w:style w:type="paragraph" w:styleId="Sinespaciado">
    <w:name w:val="No Spacing"/>
    <w:link w:val="SinespaciadoCar"/>
    <w:uiPriority w:val="1"/>
    <w:qFormat/>
    <w:rsid w:val="0008023A"/>
    <w:pPr>
      <w:jc w:val="both"/>
    </w:pPr>
    <w:rPr>
      <w:rFonts w:ascii="Calibri" w:eastAsia="Calibri" w:hAnsi="Calibri"/>
      <w:sz w:val="22"/>
      <w:szCs w:val="22"/>
      <w:lang w:val="es-ES" w:eastAsia="es-ES"/>
    </w:rPr>
  </w:style>
  <w:style w:type="character" w:customStyle="1" w:styleId="EstiloCar">
    <w:name w:val="Estilo Car"/>
    <w:link w:val="Estilo"/>
    <w:rsid w:val="0008023A"/>
    <w:rPr>
      <w:rFonts w:ascii="Arial" w:hAnsi="Arial"/>
      <w:szCs w:val="22"/>
      <w:lang w:val="es-ES" w:eastAsia="es-ES"/>
    </w:rPr>
  </w:style>
  <w:style w:type="character" w:customStyle="1" w:styleId="TextodegloboCar1">
    <w:name w:val="Texto de globo Car1"/>
    <w:uiPriority w:val="99"/>
    <w:semiHidden/>
    <w:rsid w:val="0008023A"/>
    <w:rPr>
      <w:rFonts w:ascii="Tahoma" w:hAnsi="Tahoma" w:cs="Tahoma"/>
      <w:sz w:val="16"/>
      <w:szCs w:val="16"/>
    </w:rPr>
  </w:style>
  <w:style w:type="character" w:customStyle="1" w:styleId="PuestoCar">
    <w:name w:val="Puesto Car"/>
    <w:link w:val="Puesto"/>
    <w:rsid w:val="0008023A"/>
    <w:rPr>
      <w:rFonts w:ascii="Cambria" w:hAnsi="Cambria"/>
      <w:color w:val="17365D"/>
      <w:spacing w:val="5"/>
      <w:kern w:val="28"/>
      <w:sz w:val="52"/>
      <w:szCs w:val="52"/>
      <w:lang w:val="es-ES" w:eastAsia="es-ES"/>
    </w:rPr>
  </w:style>
  <w:style w:type="character" w:styleId="Ttulodellibro">
    <w:name w:val="Book Title"/>
    <w:uiPriority w:val="33"/>
    <w:qFormat/>
    <w:rsid w:val="0008023A"/>
    <w:rPr>
      <w:b/>
      <w:bCs/>
      <w:smallCaps/>
      <w:spacing w:val="5"/>
    </w:rPr>
  </w:style>
  <w:style w:type="character" w:styleId="Referenciasutil">
    <w:name w:val="Subtle Reference"/>
    <w:uiPriority w:val="31"/>
    <w:qFormat/>
    <w:rsid w:val="0008023A"/>
    <w:rPr>
      <w:smallCaps/>
      <w:color w:val="C0504D"/>
      <w:u w:val="single"/>
    </w:rPr>
  </w:style>
  <w:style w:type="paragraph" w:customStyle="1" w:styleId="Estilo2">
    <w:name w:val="Estilo2"/>
    <w:basedOn w:val="Estilo"/>
    <w:link w:val="Estilo2Car"/>
    <w:rsid w:val="0008023A"/>
    <w:pPr>
      <w:spacing w:line="360" w:lineRule="auto"/>
    </w:pPr>
  </w:style>
  <w:style w:type="character" w:customStyle="1" w:styleId="Estilo2Car">
    <w:name w:val="Estilo2 Car"/>
    <w:link w:val="Estilo2"/>
    <w:rsid w:val="0008023A"/>
    <w:rPr>
      <w:rFonts w:ascii="Arial" w:hAnsi="Arial"/>
      <w:szCs w:val="22"/>
      <w:lang w:val="es-ES" w:eastAsia="es-ES"/>
    </w:rPr>
  </w:style>
  <w:style w:type="paragraph" w:customStyle="1" w:styleId="WW-BodyText2">
    <w:name w:val="WW-Body Text 2"/>
    <w:basedOn w:val="Normal"/>
    <w:rsid w:val="0008023A"/>
    <w:pPr>
      <w:suppressAutoHyphens/>
      <w:ind w:right="424"/>
      <w:jc w:val="both"/>
    </w:pPr>
    <w:rPr>
      <w:rFonts w:ascii="Arial" w:hAnsi="Arial" w:cs="Arial"/>
      <w:szCs w:val="20"/>
      <w:lang w:val="es-ES_tradnl" w:eastAsia="ar-SA"/>
    </w:rPr>
  </w:style>
  <w:style w:type="character" w:customStyle="1" w:styleId="AsuntodelcomentarioCar1">
    <w:name w:val="Asunto del comentario Car1"/>
    <w:basedOn w:val="TextocomentarioCar"/>
    <w:uiPriority w:val="99"/>
    <w:rsid w:val="0008023A"/>
    <w:rPr>
      <w:rFonts w:ascii="Calibri" w:eastAsia="Times New Roman" w:hAnsi="Calibri" w:cs="Times New Roman"/>
      <w:b/>
      <w:bCs/>
      <w:sz w:val="20"/>
      <w:szCs w:val="20"/>
      <w:lang w:val="es-ES" w:eastAsia="es-ES"/>
    </w:rPr>
  </w:style>
  <w:style w:type="paragraph" w:customStyle="1" w:styleId="Textoindependiente22">
    <w:name w:val="Texto independiente 22"/>
    <w:basedOn w:val="Normal"/>
    <w:rsid w:val="0008023A"/>
    <w:pPr>
      <w:overflowPunct w:val="0"/>
      <w:autoSpaceDE w:val="0"/>
      <w:autoSpaceDN w:val="0"/>
      <w:adjustRightInd w:val="0"/>
      <w:ind w:right="424"/>
      <w:jc w:val="both"/>
      <w:textAlignment w:val="baseline"/>
    </w:pPr>
    <w:rPr>
      <w:rFonts w:ascii="Arial" w:hAnsi="Arial"/>
      <w:szCs w:val="20"/>
      <w:lang w:val="es-ES_tradnl"/>
    </w:rPr>
  </w:style>
  <w:style w:type="paragraph" w:styleId="Sangra3detindependiente">
    <w:name w:val="Body Text Indent 3"/>
    <w:basedOn w:val="Normal"/>
    <w:link w:val="Sangra3detindependienteCar"/>
    <w:rsid w:val="0008023A"/>
    <w:pPr>
      <w:spacing w:after="120"/>
      <w:ind w:left="283"/>
    </w:pPr>
    <w:rPr>
      <w:sz w:val="16"/>
      <w:szCs w:val="16"/>
      <w:lang w:val="es-MX" w:eastAsia="es-MX"/>
    </w:rPr>
  </w:style>
  <w:style w:type="character" w:customStyle="1" w:styleId="Sangra3detindependienteCar">
    <w:name w:val="Sangría 3 de t. independiente Car"/>
    <w:basedOn w:val="Fuentedeprrafopredeter"/>
    <w:link w:val="Sangra3detindependiente"/>
    <w:rsid w:val="0008023A"/>
    <w:rPr>
      <w:sz w:val="16"/>
      <w:szCs w:val="16"/>
    </w:rPr>
  </w:style>
  <w:style w:type="paragraph" w:customStyle="1" w:styleId="xl30">
    <w:name w:val="xl30"/>
    <w:basedOn w:val="Normal"/>
    <w:rsid w:val="0008023A"/>
    <w:pPr>
      <w:spacing w:before="100" w:beforeAutospacing="1" w:after="100" w:afterAutospacing="1"/>
    </w:pPr>
    <w:rPr>
      <w:rFonts w:ascii="Arial" w:eastAsia="Arial Unicode MS" w:hAnsi="Arial" w:cs="Arial"/>
    </w:rPr>
  </w:style>
  <w:style w:type="character" w:customStyle="1" w:styleId="SinespaciadoCar">
    <w:name w:val="Sin espaciado Car"/>
    <w:link w:val="Sinespaciado"/>
    <w:uiPriority w:val="1"/>
    <w:rsid w:val="0008023A"/>
    <w:rPr>
      <w:rFonts w:ascii="Calibri" w:eastAsia="Calibri" w:hAnsi="Calibri"/>
      <w:sz w:val="22"/>
      <w:szCs w:val="22"/>
      <w:lang w:val="es-ES" w:eastAsia="es-ES"/>
    </w:rPr>
  </w:style>
  <w:style w:type="character" w:customStyle="1" w:styleId="ANOTACIONCar">
    <w:name w:val="ANOTACION Car"/>
    <w:link w:val="ANOTACION"/>
    <w:locked/>
    <w:rsid w:val="0008023A"/>
    <w:rPr>
      <w:b/>
      <w:bCs/>
      <w:lang w:eastAsia="es-ES"/>
    </w:rPr>
  </w:style>
  <w:style w:type="paragraph" w:customStyle="1" w:styleId="ANOTACION">
    <w:name w:val="ANOTACION"/>
    <w:basedOn w:val="Normal"/>
    <w:link w:val="ANOTACIONCar"/>
    <w:rsid w:val="0008023A"/>
    <w:pPr>
      <w:spacing w:before="101" w:after="101" w:line="216" w:lineRule="atLeast"/>
      <w:jc w:val="center"/>
    </w:pPr>
    <w:rPr>
      <w:b/>
      <w:bCs/>
      <w:sz w:val="20"/>
      <w:szCs w:val="20"/>
      <w:lang w:val="es-MX"/>
    </w:rPr>
  </w:style>
  <w:style w:type="character" w:customStyle="1" w:styleId="estilocorreo34">
    <w:name w:val="estilocorreo34"/>
    <w:semiHidden/>
    <w:rsid w:val="0008023A"/>
    <w:rPr>
      <w:rFonts w:ascii="Calibri" w:hAnsi="Calibri" w:cs="Calibri" w:hint="default"/>
      <w:color w:val="auto"/>
    </w:rPr>
  </w:style>
  <w:style w:type="numbering" w:customStyle="1" w:styleId="Sinlista111">
    <w:name w:val="Sin lista111"/>
    <w:next w:val="Sinlista"/>
    <w:uiPriority w:val="99"/>
    <w:semiHidden/>
    <w:unhideWhenUsed/>
    <w:rsid w:val="0008023A"/>
  </w:style>
  <w:style w:type="table" w:customStyle="1" w:styleId="Tablaconcuadrcula1">
    <w:name w:val="Tabla con cuadrícula1"/>
    <w:basedOn w:val="Tablanormal"/>
    <w:next w:val="Tablaconcuadrcula"/>
    <w:uiPriority w:val="59"/>
    <w:rsid w:val="0008023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98">
    <w:name w:val="xl98"/>
    <w:basedOn w:val="Normal"/>
    <w:rsid w:val="0008023A"/>
    <w:pPr>
      <w:pBdr>
        <w:top w:val="single" w:sz="8" w:space="0" w:color="auto"/>
        <w:left w:val="single" w:sz="8" w:space="0" w:color="auto"/>
        <w:right w:val="single" w:sz="8" w:space="0" w:color="auto"/>
      </w:pBdr>
      <w:spacing w:before="100" w:beforeAutospacing="1" w:after="100" w:afterAutospacing="1"/>
      <w:jc w:val="right"/>
      <w:textAlignment w:val="center"/>
    </w:pPr>
    <w:rPr>
      <w:color w:val="000000"/>
      <w:sz w:val="16"/>
      <w:szCs w:val="16"/>
      <w:lang w:val="es-MX" w:eastAsia="es-MX"/>
    </w:rPr>
  </w:style>
  <w:style w:type="paragraph" w:customStyle="1" w:styleId="xl99">
    <w:name w:val="xl99"/>
    <w:basedOn w:val="Normal"/>
    <w:rsid w:val="0008023A"/>
    <w:pPr>
      <w:pBdr>
        <w:left w:val="single" w:sz="8" w:space="0" w:color="auto"/>
        <w:bottom w:val="single" w:sz="8" w:space="0" w:color="auto"/>
        <w:right w:val="single" w:sz="8" w:space="0" w:color="auto"/>
      </w:pBdr>
      <w:spacing w:before="100" w:beforeAutospacing="1" w:after="100" w:afterAutospacing="1"/>
      <w:jc w:val="right"/>
      <w:textAlignment w:val="center"/>
    </w:pPr>
    <w:rPr>
      <w:color w:val="000000"/>
      <w:sz w:val="16"/>
      <w:szCs w:val="16"/>
      <w:lang w:val="es-MX" w:eastAsia="es-MX"/>
    </w:rPr>
  </w:style>
  <w:style w:type="paragraph" w:customStyle="1" w:styleId="xl100">
    <w:name w:val="xl100"/>
    <w:basedOn w:val="Normal"/>
    <w:rsid w:val="0008023A"/>
    <w:pPr>
      <w:pBdr>
        <w:top w:val="single" w:sz="8" w:space="0" w:color="auto"/>
        <w:left w:val="single" w:sz="8" w:space="0" w:color="auto"/>
        <w:right w:val="single" w:sz="8" w:space="0" w:color="auto"/>
      </w:pBdr>
      <w:spacing w:before="100" w:beforeAutospacing="1" w:after="100" w:afterAutospacing="1"/>
      <w:jc w:val="both"/>
      <w:textAlignment w:val="center"/>
    </w:pPr>
    <w:rPr>
      <w:b/>
      <w:bCs/>
      <w:color w:val="000000"/>
      <w:sz w:val="18"/>
      <w:szCs w:val="18"/>
      <w:lang w:val="es-MX" w:eastAsia="es-MX"/>
    </w:rPr>
  </w:style>
  <w:style w:type="paragraph" w:customStyle="1" w:styleId="xl101">
    <w:name w:val="xl101"/>
    <w:basedOn w:val="Normal"/>
    <w:rsid w:val="0008023A"/>
    <w:pPr>
      <w:pBdr>
        <w:top w:val="single" w:sz="8" w:space="0" w:color="auto"/>
        <w:left w:val="single" w:sz="8" w:space="0" w:color="auto"/>
      </w:pBdr>
      <w:spacing w:before="100" w:beforeAutospacing="1" w:after="100" w:afterAutospacing="1"/>
      <w:textAlignment w:val="top"/>
    </w:pPr>
    <w:rPr>
      <w:lang w:val="es-MX" w:eastAsia="es-MX"/>
    </w:rPr>
  </w:style>
  <w:style w:type="paragraph" w:customStyle="1" w:styleId="xl102">
    <w:name w:val="xl102"/>
    <w:basedOn w:val="Normal"/>
    <w:rsid w:val="0008023A"/>
    <w:pPr>
      <w:pBdr>
        <w:top w:val="single" w:sz="8" w:space="0" w:color="auto"/>
      </w:pBdr>
      <w:spacing w:before="100" w:beforeAutospacing="1" w:after="100" w:afterAutospacing="1"/>
      <w:textAlignment w:val="top"/>
    </w:pPr>
    <w:rPr>
      <w:lang w:val="es-MX" w:eastAsia="es-MX"/>
    </w:rPr>
  </w:style>
  <w:style w:type="paragraph" w:customStyle="1" w:styleId="xl103">
    <w:name w:val="xl103"/>
    <w:basedOn w:val="Normal"/>
    <w:rsid w:val="0008023A"/>
    <w:pPr>
      <w:pBdr>
        <w:top w:val="single" w:sz="8" w:space="0" w:color="auto"/>
        <w:right w:val="single" w:sz="8" w:space="0" w:color="auto"/>
      </w:pBdr>
      <w:spacing w:before="100" w:beforeAutospacing="1" w:after="100" w:afterAutospacing="1"/>
      <w:textAlignment w:val="top"/>
    </w:pPr>
    <w:rPr>
      <w:lang w:val="es-MX" w:eastAsia="es-MX"/>
    </w:rPr>
  </w:style>
  <w:style w:type="paragraph" w:customStyle="1" w:styleId="xl104">
    <w:name w:val="xl104"/>
    <w:basedOn w:val="Normal"/>
    <w:rsid w:val="0008023A"/>
    <w:pPr>
      <w:pBdr>
        <w:left w:val="single" w:sz="8" w:space="0" w:color="auto"/>
        <w:bottom w:val="single" w:sz="8" w:space="0" w:color="auto"/>
      </w:pBdr>
      <w:spacing w:before="100" w:beforeAutospacing="1" w:after="100" w:afterAutospacing="1"/>
      <w:textAlignment w:val="top"/>
    </w:pPr>
    <w:rPr>
      <w:lang w:val="es-MX" w:eastAsia="es-MX"/>
    </w:rPr>
  </w:style>
  <w:style w:type="paragraph" w:customStyle="1" w:styleId="xl105">
    <w:name w:val="xl105"/>
    <w:basedOn w:val="Normal"/>
    <w:rsid w:val="0008023A"/>
    <w:pPr>
      <w:pBdr>
        <w:bottom w:val="single" w:sz="8" w:space="0" w:color="auto"/>
      </w:pBdr>
      <w:spacing w:before="100" w:beforeAutospacing="1" w:after="100" w:afterAutospacing="1"/>
      <w:textAlignment w:val="top"/>
    </w:pPr>
    <w:rPr>
      <w:lang w:val="es-MX" w:eastAsia="es-MX"/>
    </w:rPr>
  </w:style>
  <w:style w:type="paragraph" w:customStyle="1" w:styleId="xl106">
    <w:name w:val="xl106"/>
    <w:basedOn w:val="Normal"/>
    <w:rsid w:val="0008023A"/>
    <w:pPr>
      <w:pBdr>
        <w:top w:val="single" w:sz="8" w:space="0" w:color="auto"/>
        <w:left w:val="single" w:sz="8" w:space="0" w:color="auto"/>
        <w:right w:val="single" w:sz="8" w:space="0" w:color="auto"/>
      </w:pBdr>
      <w:spacing w:before="100" w:beforeAutospacing="1" w:after="100" w:afterAutospacing="1"/>
      <w:jc w:val="right"/>
      <w:textAlignment w:val="center"/>
    </w:pPr>
    <w:rPr>
      <w:b/>
      <w:bCs/>
      <w:color w:val="000000"/>
      <w:sz w:val="16"/>
      <w:szCs w:val="16"/>
      <w:lang w:val="es-MX" w:eastAsia="es-MX"/>
    </w:rPr>
  </w:style>
  <w:style w:type="paragraph" w:customStyle="1" w:styleId="xl107">
    <w:name w:val="xl107"/>
    <w:basedOn w:val="Normal"/>
    <w:rsid w:val="0008023A"/>
    <w:pPr>
      <w:pBdr>
        <w:left w:val="single" w:sz="8" w:space="0" w:color="auto"/>
        <w:bottom w:val="single" w:sz="8" w:space="0" w:color="auto"/>
        <w:right w:val="single" w:sz="8" w:space="0" w:color="auto"/>
      </w:pBdr>
      <w:spacing w:before="100" w:beforeAutospacing="1" w:after="100" w:afterAutospacing="1"/>
      <w:jc w:val="right"/>
      <w:textAlignment w:val="center"/>
    </w:pPr>
    <w:rPr>
      <w:b/>
      <w:bCs/>
      <w:color w:val="000000"/>
      <w:sz w:val="16"/>
      <w:szCs w:val="16"/>
      <w:lang w:val="es-MX" w:eastAsia="es-MX"/>
    </w:rPr>
  </w:style>
  <w:style w:type="paragraph" w:customStyle="1" w:styleId="xl108">
    <w:name w:val="xl108"/>
    <w:basedOn w:val="Normal"/>
    <w:rsid w:val="0008023A"/>
    <w:pPr>
      <w:pBdr>
        <w:top w:val="single" w:sz="8" w:space="0" w:color="auto"/>
        <w:left w:val="single" w:sz="8" w:space="0" w:color="auto"/>
        <w:right w:val="single" w:sz="8" w:space="0" w:color="auto"/>
      </w:pBdr>
      <w:spacing w:before="100" w:beforeAutospacing="1" w:after="100" w:afterAutospacing="1"/>
      <w:textAlignment w:val="top"/>
    </w:pPr>
    <w:rPr>
      <w:lang w:val="es-MX" w:eastAsia="es-MX"/>
    </w:rPr>
  </w:style>
  <w:style w:type="paragraph" w:customStyle="1" w:styleId="xl109">
    <w:name w:val="xl109"/>
    <w:basedOn w:val="Normal"/>
    <w:rsid w:val="0008023A"/>
    <w:pPr>
      <w:pBdr>
        <w:left w:val="single" w:sz="8" w:space="0" w:color="auto"/>
        <w:bottom w:val="single" w:sz="8" w:space="0" w:color="auto"/>
        <w:right w:val="single" w:sz="8" w:space="0" w:color="auto"/>
      </w:pBdr>
      <w:spacing w:before="100" w:beforeAutospacing="1" w:after="100" w:afterAutospacing="1"/>
      <w:textAlignment w:val="top"/>
    </w:pPr>
    <w:rPr>
      <w:lang w:val="es-MX" w:eastAsia="es-MX"/>
    </w:rPr>
  </w:style>
  <w:style w:type="paragraph" w:customStyle="1" w:styleId="xl110">
    <w:name w:val="xl110"/>
    <w:basedOn w:val="Normal"/>
    <w:rsid w:val="0008023A"/>
    <w:pPr>
      <w:pBdr>
        <w:top w:val="single" w:sz="8" w:space="0" w:color="auto"/>
        <w:left w:val="single" w:sz="8" w:space="0" w:color="auto"/>
        <w:bottom w:val="single" w:sz="8" w:space="0" w:color="auto"/>
      </w:pBdr>
      <w:spacing w:before="100" w:beforeAutospacing="1" w:after="100" w:afterAutospacing="1"/>
      <w:textAlignment w:val="top"/>
    </w:pPr>
    <w:rPr>
      <w:b/>
      <w:bCs/>
      <w:sz w:val="18"/>
      <w:szCs w:val="18"/>
      <w:lang w:val="es-MX" w:eastAsia="es-MX"/>
    </w:rPr>
  </w:style>
  <w:style w:type="paragraph" w:customStyle="1" w:styleId="xl111">
    <w:name w:val="xl111"/>
    <w:basedOn w:val="Normal"/>
    <w:rsid w:val="0008023A"/>
    <w:pPr>
      <w:pBdr>
        <w:top w:val="single" w:sz="8" w:space="0" w:color="auto"/>
        <w:bottom w:val="single" w:sz="8" w:space="0" w:color="auto"/>
      </w:pBdr>
      <w:spacing w:before="100" w:beforeAutospacing="1" w:after="100" w:afterAutospacing="1"/>
      <w:textAlignment w:val="top"/>
    </w:pPr>
    <w:rPr>
      <w:b/>
      <w:bCs/>
      <w:sz w:val="18"/>
      <w:szCs w:val="18"/>
      <w:lang w:val="es-MX" w:eastAsia="es-MX"/>
    </w:rPr>
  </w:style>
  <w:style w:type="paragraph" w:customStyle="1" w:styleId="xl112">
    <w:name w:val="xl112"/>
    <w:basedOn w:val="Normal"/>
    <w:rsid w:val="0008023A"/>
    <w:pPr>
      <w:pBdr>
        <w:top w:val="single" w:sz="8" w:space="0" w:color="auto"/>
        <w:bottom w:val="single" w:sz="8" w:space="0" w:color="auto"/>
        <w:right w:val="single" w:sz="8" w:space="0" w:color="auto"/>
      </w:pBdr>
      <w:spacing w:before="100" w:beforeAutospacing="1" w:after="100" w:afterAutospacing="1"/>
      <w:textAlignment w:val="top"/>
    </w:pPr>
    <w:rPr>
      <w:b/>
      <w:bCs/>
      <w:sz w:val="18"/>
      <w:szCs w:val="18"/>
      <w:lang w:val="es-MX" w:eastAsia="es-MX"/>
    </w:rPr>
  </w:style>
  <w:style w:type="paragraph" w:customStyle="1" w:styleId="xl113">
    <w:name w:val="xl113"/>
    <w:basedOn w:val="Normal"/>
    <w:rsid w:val="0008023A"/>
    <w:pPr>
      <w:pBdr>
        <w:left w:val="single" w:sz="8" w:space="0" w:color="auto"/>
        <w:right w:val="single" w:sz="8" w:space="0" w:color="auto"/>
      </w:pBdr>
      <w:spacing w:before="100" w:beforeAutospacing="1" w:after="100" w:afterAutospacing="1"/>
      <w:jc w:val="both"/>
      <w:textAlignment w:val="center"/>
    </w:pPr>
    <w:rPr>
      <w:color w:val="000000"/>
      <w:sz w:val="18"/>
      <w:szCs w:val="18"/>
      <w:lang w:val="es-MX" w:eastAsia="es-MX"/>
    </w:rPr>
  </w:style>
  <w:style w:type="paragraph" w:customStyle="1" w:styleId="xl114">
    <w:name w:val="xl114"/>
    <w:basedOn w:val="Normal"/>
    <w:rsid w:val="0008023A"/>
    <w:pPr>
      <w:pBdr>
        <w:top w:val="single" w:sz="8" w:space="0" w:color="auto"/>
        <w:left w:val="single" w:sz="8" w:space="0" w:color="auto"/>
        <w:right w:val="single" w:sz="8" w:space="0" w:color="auto"/>
      </w:pBdr>
      <w:spacing w:before="100" w:beforeAutospacing="1" w:after="100" w:afterAutospacing="1"/>
      <w:jc w:val="right"/>
      <w:textAlignment w:val="center"/>
    </w:pPr>
    <w:rPr>
      <w:b/>
      <w:bCs/>
      <w:color w:val="000000"/>
      <w:sz w:val="16"/>
      <w:szCs w:val="16"/>
      <w:lang w:val="es-MX" w:eastAsia="es-MX"/>
    </w:rPr>
  </w:style>
  <w:style w:type="paragraph" w:customStyle="1" w:styleId="xl115">
    <w:name w:val="xl115"/>
    <w:basedOn w:val="Normal"/>
    <w:rsid w:val="0008023A"/>
    <w:pPr>
      <w:pBdr>
        <w:left w:val="single" w:sz="8" w:space="0" w:color="auto"/>
        <w:bottom w:val="single" w:sz="8" w:space="0" w:color="auto"/>
        <w:right w:val="single" w:sz="8" w:space="0" w:color="auto"/>
      </w:pBdr>
      <w:spacing w:before="100" w:beforeAutospacing="1" w:after="100" w:afterAutospacing="1"/>
      <w:jc w:val="right"/>
      <w:textAlignment w:val="center"/>
    </w:pPr>
    <w:rPr>
      <w:b/>
      <w:bCs/>
      <w:color w:val="000000"/>
      <w:sz w:val="16"/>
      <w:szCs w:val="16"/>
      <w:lang w:val="es-MX" w:eastAsia="es-MX"/>
    </w:rPr>
  </w:style>
  <w:style w:type="paragraph" w:customStyle="1" w:styleId="xl116">
    <w:name w:val="xl116"/>
    <w:basedOn w:val="Normal"/>
    <w:rsid w:val="0008023A"/>
    <w:pPr>
      <w:pBdr>
        <w:top w:val="single" w:sz="8" w:space="0" w:color="auto"/>
        <w:left w:val="single" w:sz="8" w:space="0" w:color="auto"/>
        <w:bottom w:val="single" w:sz="8" w:space="0" w:color="auto"/>
      </w:pBdr>
      <w:spacing w:before="100" w:beforeAutospacing="1" w:after="100" w:afterAutospacing="1"/>
      <w:jc w:val="right"/>
      <w:textAlignment w:val="center"/>
    </w:pPr>
    <w:rPr>
      <w:color w:val="000000"/>
      <w:sz w:val="16"/>
      <w:szCs w:val="16"/>
      <w:lang w:val="es-MX" w:eastAsia="es-MX"/>
    </w:rPr>
  </w:style>
  <w:style w:type="paragraph" w:customStyle="1" w:styleId="xl117">
    <w:name w:val="xl117"/>
    <w:basedOn w:val="Normal"/>
    <w:rsid w:val="0008023A"/>
    <w:pPr>
      <w:pBdr>
        <w:top w:val="single" w:sz="8" w:space="0" w:color="auto"/>
        <w:bottom w:val="single" w:sz="8" w:space="0" w:color="auto"/>
      </w:pBdr>
      <w:spacing w:before="100" w:beforeAutospacing="1" w:after="100" w:afterAutospacing="1"/>
      <w:jc w:val="right"/>
      <w:textAlignment w:val="center"/>
    </w:pPr>
    <w:rPr>
      <w:color w:val="000000"/>
      <w:sz w:val="16"/>
      <w:szCs w:val="16"/>
      <w:lang w:val="es-MX" w:eastAsia="es-MX"/>
    </w:rPr>
  </w:style>
  <w:style w:type="paragraph" w:customStyle="1" w:styleId="xl118">
    <w:name w:val="xl118"/>
    <w:basedOn w:val="Normal"/>
    <w:rsid w:val="0008023A"/>
    <w:pPr>
      <w:pBdr>
        <w:top w:val="single" w:sz="8" w:space="0" w:color="auto"/>
        <w:bottom w:val="single" w:sz="8" w:space="0" w:color="auto"/>
        <w:right w:val="single" w:sz="8" w:space="0" w:color="auto"/>
      </w:pBdr>
      <w:spacing w:before="100" w:beforeAutospacing="1" w:after="100" w:afterAutospacing="1"/>
      <w:jc w:val="right"/>
      <w:textAlignment w:val="center"/>
    </w:pPr>
    <w:rPr>
      <w:color w:val="000000"/>
      <w:sz w:val="16"/>
      <w:szCs w:val="16"/>
      <w:lang w:val="es-MX" w:eastAsia="es-MX"/>
    </w:rPr>
  </w:style>
  <w:style w:type="paragraph" w:customStyle="1" w:styleId="xl119">
    <w:name w:val="xl119"/>
    <w:basedOn w:val="Normal"/>
    <w:rsid w:val="0008023A"/>
    <w:pPr>
      <w:pBdr>
        <w:bottom w:val="single" w:sz="8" w:space="0" w:color="auto"/>
        <w:right w:val="single" w:sz="8" w:space="0" w:color="auto"/>
      </w:pBdr>
      <w:spacing w:before="100" w:beforeAutospacing="1" w:after="100" w:afterAutospacing="1"/>
      <w:jc w:val="right"/>
      <w:textAlignment w:val="center"/>
    </w:pPr>
    <w:rPr>
      <w:b/>
      <w:bCs/>
      <w:color w:val="000000"/>
      <w:sz w:val="16"/>
      <w:szCs w:val="16"/>
      <w:lang w:val="es-MX" w:eastAsia="es-MX"/>
    </w:rPr>
  </w:style>
  <w:style w:type="paragraph" w:customStyle="1" w:styleId="xl120">
    <w:name w:val="xl120"/>
    <w:basedOn w:val="Normal"/>
    <w:rsid w:val="0008023A"/>
    <w:pPr>
      <w:pBdr>
        <w:bottom w:val="single" w:sz="8" w:space="0" w:color="auto"/>
        <w:right w:val="single" w:sz="8" w:space="0" w:color="auto"/>
      </w:pBdr>
      <w:spacing w:before="100" w:beforeAutospacing="1" w:after="100" w:afterAutospacing="1"/>
      <w:jc w:val="both"/>
      <w:textAlignment w:val="center"/>
    </w:pPr>
    <w:rPr>
      <w:color w:val="000000"/>
      <w:sz w:val="18"/>
      <w:szCs w:val="18"/>
      <w:lang w:val="es-MX" w:eastAsia="es-MX"/>
    </w:rPr>
  </w:style>
  <w:style w:type="paragraph" w:customStyle="1" w:styleId="xl121">
    <w:name w:val="xl121"/>
    <w:basedOn w:val="Normal"/>
    <w:rsid w:val="0008023A"/>
    <w:pPr>
      <w:pBdr>
        <w:bottom w:val="single" w:sz="8" w:space="0" w:color="auto"/>
        <w:right w:val="single" w:sz="8" w:space="0" w:color="auto"/>
      </w:pBdr>
      <w:spacing w:before="100" w:beforeAutospacing="1" w:after="100" w:afterAutospacing="1"/>
      <w:jc w:val="right"/>
      <w:textAlignment w:val="center"/>
    </w:pPr>
    <w:rPr>
      <w:color w:val="000000"/>
      <w:sz w:val="16"/>
      <w:szCs w:val="16"/>
      <w:lang w:val="es-MX" w:eastAsia="es-MX"/>
    </w:rPr>
  </w:style>
  <w:style w:type="paragraph" w:customStyle="1" w:styleId="xl122">
    <w:name w:val="xl122"/>
    <w:basedOn w:val="Normal"/>
    <w:rsid w:val="0008023A"/>
    <w:pPr>
      <w:pBdr>
        <w:bottom w:val="single" w:sz="8" w:space="0" w:color="auto"/>
        <w:right w:val="single" w:sz="8" w:space="0" w:color="auto"/>
      </w:pBdr>
      <w:spacing w:before="100" w:beforeAutospacing="1" w:after="100" w:afterAutospacing="1"/>
      <w:jc w:val="right"/>
      <w:textAlignment w:val="center"/>
    </w:pPr>
    <w:rPr>
      <w:color w:val="000000"/>
      <w:sz w:val="16"/>
      <w:szCs w:val="16"/>
      <w:lang w:val="es-MX" w:eastAsia="es-MX"/>
    </w:rPr>
  </w:style>
  <w:style w:type="paragraph" w:customStyle="1" w:styleId="xl123">
    <w:name w:val="xl123"/>
    <w:basedOn w:val="Normal"/>
    <w:rsid w:val="0008023A"/>
    <w:pPr>
      <w:pBdr>
        <w:left w:val="single" w:sz="8" w:space="0" w:color="auto"/>
        <w:bottom w:val="single" w:sz="8" w:space="0" w:color="auto"/>
        <w:right w:val="single" w:sz="8" w:space="0" w:color="auto"/>
      </w:pBdr>
      <w:spacing w:before="100" w:beforeAutospacing="1" w:after="100" w:afterAutospacing="1"/>
      <w:jc w:val="center"/>
      <w:textAlignment w:val="center"/>
    </w:pPr>
    <w:rPr>
      <w:color w:val="000000"/>
      <w:sz w:val="18"/>
      <w:szCs w:val="18"/>
      <w:lang w:val="es-MX" w:eastAsia="es-MX"/>
    </w:rPr>
  </w:style>
  <w:style w:type="paragraph" w:customStyle="1" w:styleId="xl124">
    <w:name w:val="xl124"/>
    <w:basedOn w:val="Normal"/>
    <w:rsid w:val="0008023A"/>
    <w:pPr>
      <w:pBdr>
        <w:right w:val="single" w:sz="8" w:space="0" w:color="auto"/>
      </w:pBdr>
      <w:spacing w:before="100" w:beforeAutospacing="1" w:after="100" w:afterAutospacing="1"/>
      <w:jc w:val="center"/>
      <w:textAlignment w:val="center"/>
    </w:pPr>
    <w:rPr>
      <w:b/>
      <w:bCs/>
      <w:color w:val="000000"/>
      <w:sz w:val="18"/>
      <w:szCs w:val="18"/>
      <w:lang w:val="es-MX" w:eastAsia="es-MX"/>
    </w:rPr>
  </w:style>
  <w:style w:type="paragraph" w:customStyle="1" w:styleId="xl125">
    <w:name w:val="xl125"/>
    <w:basedOn w:val="Normal"/>
    <w:rsid w:val="0008023A"/>
    <w:pPr>
      <w:pBdr>
        <w:right w:val="single" w:sz="8" w:space="0" w:color="auto"/>
      </w:pBdr>
      <w:spacing w:before="100" w:beforeAutospacing="1" w:after="100" w:afterAutospacing="1"/>
      <w:jc w:val="right"/>
      <w:textAlignment w:val="center"/>
    </w:pPr>
    <w:rPr>
      <w:b/>
      <w:bCs/>
      <w:color w:val="000000"/>
      <w:sz w:val="16"/>
      <w:szCs w:val="16"/>
      <w:lang w:val="es-MX" w:eastAsia="es-MX"/>
    </w:rPr>
  </w:style>
  <w:style w:type="paragraph" w:customStyle="1" w:styleId="xl126">
    <w:name w:val="xl126"/>
    <w:basedOn w:val="Normal"/>
    <w:rsid w:val="0008023A"/>
    <w:pPr>
      <w:pBdr>
        <w:bottom w:val="single" w:sz="8" w:space="0" w:color="auto"/>
        <w:right w:val="single" w:sz="8" w:space="0" w:color="auto"/>
      </w:pBdr>
      <w:spacing w:before="100" w:beforeAutospacing="1" w:after="100" w:afterAutospacing="1"/>
      <w:jc w:val="center"/>
      <w:textAlignment w:val="center"/>
    </w:pPr>
    <w:rPr>
      <w:color w:val="000000"/>
      <w:sz w:val="18"/>
      <w:szCs w:val="18"/>
      <w:lang w:val="es-MX" w:eastAsia="es-MX"/>
    </w:rPr>
  </w:style>
  <w:style w:type="paragraph" w:customStyle="1" w:styleId="xl127">
    <w:name w:val="xl127"/>
    <w:basedOn w:val="Normal"/>
    <w:rsid w:val="0008023A"/>
    <w:pPr>
      <w:pBdr>
        <w:bottom w:val="single" w:sz="8" w:space="0" w:color="auto"/>
        <w:right w:val="single" w:sz="8" w:space="0" w:color="auto"/>
      </w:pBdr>
      <w:spacing w:before="100" w:beforeAutospacing="1" w:after="100" w:afterAutospacing="1"/>
      <w:textAlignment w:val="center"/>
    </w:pPr>
    <w:rPr>
      <w:color w:val="000000"/>
      <w:sz w:val="18"/>
      <w:szCs w:val="18"/>
      <w:lang w:val="es-MX" w:eastAsia="es-MX"/>
    </w:rPr>
  </w:style>
  <w:style w:type="paragraph" w:customStyle="1" w:styleId="xl128">
    <w:name w:val="xl128"/>
    <w:basedOn w:val="Normal"/>
    <w:rsid w:val="0008023A"/>
    <w:pPr>
      <w:pBdr>
        <w:right w:val="single" w:sz="8" w:space="0" w:color="auto"/>
      </w:pBdr>
      <w:spacing w:before="100" w:beforeAutospacing="1" w:after="100" w:afterAutospacing="1"/>
      <w:jc w:val="both"/>
      <w:textAlignment w:val="center"/>
    </w:pPr>
    <w:rPr>
      <w:color w:val="000000"/>
      <w:sz w:val="18"/>
      <w:szCs w:val="18"/>
      <w:lang w:val="es-MX" w:eastAsia="es-MX"/>
    </w:rPr>
  </w:style>
  <w:style w:type="paragraph" w:customStyle="1" w:styleId="xl129">
    <w:name w:val="xl129"/>
    <w:basedOn w:val="Normal"/>
    <w:rsid w:val="0008023A"/>
    <w:pPr>
      <w:pBdr>
        <w:right w:val="single" w:sz="8" w:space="0" w:color="auto"/>
      </w:pBdr>
      <w:spacing w:before="100" w:beforeAutospacing="1" w:after="100" w:afterAutospacing="1"/>
      <w:jc w:val="right"/>
      <w:textAlignment w:val="center"/>
    </w:pPr>
    <w:rPr>
      <w:color w:val="000000"/>
      <w:sz w:val="16"/>
      <w:szCs w:val="16"/>
      <w:lang w:val="es-MX" w:eastAsia="es-MX"/>
    </w:rPr>
  </w:style>
  <w:style w:type="paragraph" w:customStyle="1" w:styleId="xl130">
    <w:name w:val="xl130"/>
    <w:basedOn w:val="Normal"/>
    <w:rsid w:val="0008023A"/>
    <w:pPr>
      <w:pBdr>
        <w:right w:val="single" w:sz="8" w:space="0" w:color="auto"/>
      </w:pBdr>
      <w:spacing w:before="100" w:beforeAutospacing="1" w:after="100" w:afterAutospacing="1"/>
      <w:jc w:val="right"/>
      <w:textAlignment w:val="center"/>
    </w:pPr>
    <w:rPr>
      <w:color w:val="000000"/>
      <w:sz w:val="16"/>
      <w:szCs w:val="16"/>
      <w:lang w:val="es-MX" w:eastAsia="es-MX"/>
    </w:rPr>
  </w:style>
  <w:style w:type="paragraph" w:customStyle="1" w:styleId="xl131">
    <w:name w:val="xl131"/>
    <w:basedOn w:val="Normal"/>
    <w:rsid w:val="0008023A"/>
    <w:pPr>
      <w:pBdr>
        <w:left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18"/>
      <w:szCs w:val="18"/>
      <w:lang w:val="es-MX" w:eastAsia="es-MX"/>
    </w:rPr>
  </w:style>
  <w:style w:type="paragraph" w:customStyle="1" w:styleId="xl132">
    <w:name w:val="xl132"/>
    <w:basedOn w:val="Normal"/>
    <w:rsid w:val="0008023A"/>
    <w:pPr>
      <w:pBdr>
        <w:right w:val="single" w:sz="8" w:space="0" w:color="auto"/>
      </w:pBdr>
      <w:spacing w:before="100" w:beforeAutospacing="1" w:after="100" w:afterAutospacing="1"/>
      <w:jc w:val="center"/>
      <w:textAlignment w:val="center"/>
    </w:pPr>
    <w:rPr>
      <w:b/>
      <w:bCs/>
      <w:color w:val="000000"/>
      <w:sz w:val="16"/>
      <w:szCs w:val="16"/>
      <w:lang w:val="es-MX" w:eastAsia="es-MX"/>
    </w:rPr>
  </w:style>
  <w:style w:type="paragraph" w:customStyle="1" w:styleId="xl133">
    <w:name w:val="xl133"/>
    <w:basedOn w:val="Normal"/>
    <w:rsid w:val="0008023A"/>
    <w:pPr>
      <w:pBdr>
        <w:bottom w:val="single" w:sz="8" w:space="0" w:color="auto"/>
        <w:right w:val="single" w:sz="8" w:space="0" w:color="auto"/>
      </w:pBdr>
      <w:spacing w:before="100" w:beforeAutospacing="1" w:after="100" w:afterAutospacing="1"/>
      <w:jc w:val="center"/>
      <w:textAlignment w:val="center"/>
    </w:pPr>
    <w:rPr>
      <w:b/>
      <w:bCs/>
      <w:color w:val="000000"/>
      <w:sz w:val="16"/>
      <w:szCs w:val="16"/>
      <w:lang w:val="es-MX" w:eastAsia="es-MX"/>
    </w:rPr>
  </w:style>
  <w:style w:type="paragraph" w:customStyle="1" w:styleId="xl134">
    <w:name w:val="xl134"/>
    <w:basedOn w:val="Normal"/>
    <w:rsid w:val="0008023A"/>
    <w:pPr>
      <w:pBdr>
        <w:left w:val="single" w:sz="8" w:space="0" w:color="auto"/>
        <w:bottom w:val="single" w:sz="8" w:space="0" w:color="auto"/>
        <w:right w:val="single" w:sz="8" w:space="0" w:color="auto"/>
      </w:pBdr>
      <w:spacing w:before="100" w:beforeAutospacing="1" w:after="100" w:afterAutospacing="1"/>
      <w:jc w:val="both"/>
      <w:textAlignment w:val="center"/>
    </w:pPr>
    <w:rPr>
      <w:b/>
      <w:bCs/>
      <w:color w:val="000000"/>
      <w:sz w:val="18"/>
      <w:szCs w:val="18"/>
      <w:lang w:val="es-MX" w:eastAsia="es-MX"/>
    </w:rPr>
  </w:style>
  <w:style w:type="paragraph" w:customStyle="1" w:styleId="xl135">
    <w:name w:val="xl135"/>
    <w:basedOn w:val="Normal"/>
    <w:rsid w:val="0008023A"/>
    <w:pPr>
      <w:pBdr>
        <w:right w:val="single" w:sz="8" w:space="0" w:color="auto"/>
      </w:pBdr>
      <w:spacing w:before="100" w:beforeAutospacing="1" w:after="100" w:afterAutospacing="1"/>
      <w:jc w:val="right"/>
      <w:textAlignment w:val="center"/>
    </w:pPr>
    <w:rPr>
      <w:b/>
      <w:bCs/>
      <w:color w:val="000000"/>
      <w:sz w:val="16"/>
      <w:szCs w:val="16"/>
      <w:lang w:val="es-MX" w:eastAsia="es-MX"/>
    </w:rPr>
  </w:style>
  <w:style w:type="paragraph" w:customStyle="1" w:styleId="xl136">
    <w:name w:val="xl136"/>
    <w:basedOn w:val="Normal"/>
    <w:rsid w:val="0008023A"/>
    <w:pPr>
      <w:pBdr>
        <w:top w:val="single" w:sz="8" w:space="0" w:color="auto"/>
        <w:left w:val="single" w:sz="8" w:space="0" w:color="auto"/>
      </w:pBdr>
      <w:spacing w:before="100" w:beforeAutospacing="1" w:after="100" w:afterAutospacing="1"/>
      <w:jc w:val="center"/>
      <w:textAlignment w:val="center"/>
    </w:pPr>
    <w:rPr>
      <w:b/>
      <w:bCs/>
      <w:color w:val="000000"/>
      <w:sz w:val="18"/>
      <w:szCs w:val="18"/>
      <w:lang w:val="es-MX" w:eastAsia="es-MX"/>
    </w:rPr>
  </w:style>
  <w:style w:type="paragraph" w:customStyle="1" w:styleId="xl137">
    <w:name w:val="xl137"/>
    <w:basedOn w:val="Normal"/>
    <w:rsid w:val="0008023A"/>
    <w:pPr>
      <w:pBdr>
        <w:top w:val="single" w:sz="8" w:space="0" w:color="auto"/>
        <w:right w:val="single" w:sz="8" w:space="0" w:color="auto"/>
      </w:pBdr>
      <w:spacing w:before="100" w:beforeAutospacing="1" w:after="100" w:afterAutospacing="1"/>
      <w:jc w:val="center"/>
      <w:textAlignment w:val="center"/>
    </w:pPr>
    <w:rPr>
      <w:b/>
      <w:bCs/>
      <w:color w:val="000000"/>
      <w:sz w:val="18"/>
      <w:szCs w:val="18"/>
      <w:lang w:val="es-MX" w:eastAsia="es-MX"/>
    </w:rPr>
  </w:style>
  <w:style w:type="paragraph" w:customStyle="1" w:styleId="xl138">
    <w:name w:val="xl138"/>
    <w:basedOn w:val="Normal"/>
    <w:rsid w:val="0008023A"/>
    <w:pPr>
      <w:pBdr>
        <w:left w:val="single" w:sz="8" w:space="0" w:color="auto"/>
        <w:bottom w:val="single" w:sz="8" w:space="0" w:color="auto"/>
      </w:pBdr>
      <w:spacing w:before="100" w:beforeAutospacing="1" w:after="100" w:afterAutospacing="1"/>
      <w:jc w:val="center"/>
      <w:textAlignment w:val="center"/>
    </w:pPr>
    <w:rPr>
      <w:b/>
      <w:bCs/>
      <w:color w:val="000000"/>
      <w:sz w:val="18"/>
      <w:szCs w:val="18"/>
      <w:lang w:val="es-MX" w:eastAsia="es-MX"/>
    </w:rPr>
  </w:style>
  <w:style w:type="paragraph" w:customStyle="1" w:styleId="xl139">
    <w:name w:val="xl139"/>
    <w:basedOn w:val="Normal"/>
    <w:rsid w:val="0008023A"/>
    <w:pPr>
      <w:pBdr>
        <w:top w:val="single" w:sz="8" w:space="0" w:color="auto"/>
        <w:left w:val="single" w:sz="8" w:space="0" w:color="auto"/>
        <w:right w:val="single" w:sz="8" w:space="0" w:color="auto"/>
      </w:pBdr>
      <w:spacing w:before="100" w:beforeAutospacing="1" w:after="100" w:afterAutospacing="1"/>
      <w:jc w:val="center"/>
      <w:textAlignment w:val="center"/>
    </w:pPr>
    <w:rPr>
      <w:b/>
      <w:bCs/>
      <w:color w:val="000000"/>
      <w:sz w:val="18"/>
      <w:szCs w:val="18"/>
      <w:lang w:val="es-MX" w:eastAsia="es-MX"/>
    </w:rPr>
  </w:style>
  <w:style w:type="paragraph" w:customStyle="1" w:styleId="xl140">
    <w:name w:val="xl140"/>
    <w:basedOn w:val="Normal"/>
    <w:rsid w:val="0008023A"/>
    <w:pPr>
      <w:pBdr>
        <w:top w:val="single" w:sz="8" w:space="0" w:color="auto"/>
        <w:left w:val="single" w:sz="8" w:space="0" w:color="auto"/>
        <w:right w:val="single" w:sz="8" w:space="0" w:color="auto"/>
      </w:pBdr>
      <w:spacing w:before="100" w:beforeAutospacing="1" w:after="100" w:afterAutospacing="1"/>
      <w:jc w:val="center"/>
      <w:textAlignment w:val="center"/>
    </w:pPr>
    <w:rPr>
      <w:color w:val="000000"/>
      <w:sz w:val="18"/>
      <w:szCs w:val="18"/>
      <w:lang w:val="es-MX" w:eastAsia="es-MX"/>
    </w:rPr>
  </w:style>
  <w:style w:type="paragraph" w:customStyle="1" w:styleId="xl141">
    <w:name w:val="xl141"/>
    <w:basedOn w:val="Normal"/>
    <w:rsid w:val="0008023A"/>
    <w:pPr>
      <w:pBdr>
        <w:top w:val="single" w:sz="8" w:space="0" w:color="auto"/>
        <w:left w:val="single" w:sz="8" w:space="0" w:color="auto"/>
        <w:right w:val="single" w:sz="8" w:space="0" w:color="auto"/>
      </w:pBdr>
      <w:spacing w:before="100" w:beforeAutospacing="1" w:after="100" w:afterAutospacing="1"/>
      <w:jc w:val="both"/>
      <w:textAlignment w:val="center"/>
    </w:pPr>
    <w:rPr>
      <w:color w:val="000000"/>
      <w:sz w:val="18"/>
      <w:szCs w:val="18"/>
      <w:lang w:val="es-MX" w:eastAsia="es-MX"/>
    </w:rPr>
  </w:style>
  <w:style w:type="paragraph" w:customStyle="1" w:styleId="xl142">
    <w:name w:val="xl142"/>
    <w:basedOn w:val="Normal"/>
    <w:rsid w:val="0008023A"/>
    <w:pPr>
      <w:pBdr>
        <w:top w:val="single" w:sz="8" w:space="0" w:color="auto"/>
        <w:left w:val="single" w:sz="8" w:space="0" w:color="auto"/>
        <w:right w:val="single" w:sz="8" w:space="0" w:color="auto"/>
      </w:pBdr>
      <w:spacing w:before="100" w:beforeAutospacing="1" w:after="100" w:afterAutospacing="1"/>
      <w:jc w:val="right"/>
      <w:textAlignment w:val="center"/>
    </w:pPr>
    <w:rPr>
      <w:color w:val="000000"/>
      <w:sz w:val="16"/>
      <w:szCs w:val="16"/>
      <w:lang w:val="es-MX" w:eastAsia="es-MX"/>
    </w:rPr>
  </w:style>
  <w:style w:type="paragraph" w:customStyle="1" w:styleId="xl143">
    <w:name w:val="xl143"/>
    <w:basedOn w:val="Normal"/>
    <w:rsid w:val="0008023A"/>
    <w:pPr>
      <w:pBdr>
        <w:left w:val="single" w:sz="8" w:space="0" w:color="auto"/>
        <w:bottom w:val="single" w:sz="8" w:space="0" w:color="auto"/>
        <w:right w:val="single" w:sz="8" w:space="0" w:color="auto"/>
      </w:pBdr>
      <w:spacing w:before="100" w:beforeAutospacing="1" w:after="100" w:afterAutospacing="1"/>
      <w:jc w:val="right"/>
      <w:textAlignment w:val="center"/>
    </w:pPr>
    <w:rPr>
      <w:color w:val="000000"/>
      <w:sz w:val="16"/>
      <w:szCs w:val="16"/>
      <w:lang w:val="es-MX" w:eastAsia="es-MX"/>
    </w:rPr>
  </w:style>
  <w:style w:type="paragraph" w:customStyle="1" w:styleId="xl144">
    <w:name w:val="xl144"/>
    <w:basedOn w:val="Normal"/>
    <w:rsid w:val="0008023A"/>
    <w:pPr>
      <w:pBdr>
        <w:top w:val="single" w:sz="8" w:space="0" w:color="auto"/>
        <w:left w:val="single" w:sz="8" w:space="0" w:color="auto"/>
        <w:bottom w:val="single" w:sz="8" w:space="0" w:color="auto"/>
      </w:pBdr>
      <w:spacing w:before="100" w:beforeAutospacing="1" w:after="100" w:afterAutospacing="1"/>
      <w:jc w:val="center"/>
      <w:textAlignment w:val="center"/>
    </w:pPr>
    <w:rPr>
      <w:b/>
      <w:bCs/>
      <w:color w:val="000000"/>
      <w:sz w:val="18"/>
      <w:szCs w:val="18"/>
      <w:lang w:val="es-MX" w:eastAsia="es-MX"/>
    </w:rPr>
  </w:style>
  <w:style w:type="paragraph" w:customStyle="1" w:styleId="xl145">
    <w:name w:val="xl145"/>
    <w:basedOn w:val="Normal"/>
    <w:rsid w:val="0008023A"/>
    <w:pPr>
      <w:pBdr>
        <w:top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18"/>
      <w:szCs w:val="18"/>
      <w:lang w:val="es-MX" w:eastAsia="es-MX"/>
    </w:rPr>
  </w:style>
  <w:style w:type="paragraph" w:customStyle="1" w:styleId="xl146">
    <w:name w:val="xl146"/>
    <w:basedOn w:val="Normal"/>
    <w:rsid w:val="0008023A"/>
    <w:pPr>
      <w:pBdr>
        <w:top w:val="single" w:sz="8" w:space="0" w:color="auto"/>
        <w:left w:val="single" w:sz="8" w:space="0" w:color="auto"/>
        <w:right w:val="single" w:sz="8" w:space="0" w:color="auto"/>
      </w:pBdr>
      <w:spacing w:before="100" w:beforeAutospacing="1" w:after="100" w:afterAutospacing="1"/>
      <w:jc w:val="both"/>
      <w:textAlignment w:val="center"/>
    </w:pPr>
    <w:rPr>
      <w:b/>
      <w:bCs/>
      <w:color w:val="000000"/>
      <w:sz w:val="18"/>
      <w:szCs w:val="18"/>
      <w:lang w:val="es-MX" w:eastAsia="es-MX"/>
    </w:rPr>
  </w:style>
  <w:style w:type="paragraph" w:customStyle="1" w:styleId="xl147">
    <w:name w:val="xl147"/>
    <w:basedOn w:val="Normal"/>
    <w:rsid w:val="0008023A"/>
    <w:pPr>
      <w:pBdr>
        <w:top w:val="single" w:sz="8" w:space="0" w:color="auto"/>
        <w:left w:val="single" w:sz="8" w:space="0" w:color="auto"/>
      </w:pBdr>
      <w:spacing w:before="100" w:beforeAutospacing="1" w:after="100" w:afterAutospacing="1"/>
      <w:textAlignment w:val="top"/>
    </w:pPr>
    <w:rPr>
      <w:lang w:val="es-MX" w:eastAsia="es-MX"/>
    </w:rPr>
  </w:style>
  <w:style w:type="paragraph" w:customStyle="1" w:styleId="xl148">
    <w:name w:val="xl148"/>
    <w:basedOn w:val="Normal"/>
    <w:rsid w:val="0008023A"/>
    <w:pPr>
      <w:pBdr>
        <w:top w:val="single" w:sz="8" w:space="0" w:color="auto"/>
      </w:pBdr>
      <w:spacing w:before="100" w:beforeAutospacing="1" w:after="100" w:afterAutospacing="1"/>
      <w:textAlignment w:val="top"/>
    </w:pPr>
    <w:rPr>
      <w:lang w:val="es-MX" w:eastAsia="es-MX"/>
    </w:rPr>
  </w:style>
  <w:style w:type="paragraph" w:customStyle="1" w:styleId="xl149">
    <w:name w:val="xl149"/>
    <w:basedOn w:val="Normal"/>
    <w:rsid w:val="0008023A"/>
    <w:pPr>
      <w:pBdr>
        <w:top w:val="single" w:sz="8" w:space="0" w:color="auto"/>
        <w:right w:val="single" w:sz="8" w:space="0" w:color="auto"/>
      </w:pBdr>
      <w:spacing w:before="100" w:beforeAutospacing="1" w:after="100" w:afterAutospacing="1"/>
      <w:textAlignment w:val="top"/>
    </w:pPr>
    <w:rPr>
      <w:lang w:val="es-MX" w:eastAsia="es-MX"/>
    </w:rPr>
  </w:style>
  <w:style w:type="paragraph" w:customStyle="1" w:styleId="xl150">
    <w:name w:val="xl150"/>
    <w:basedOn w:val="Normal"/>
    <w:rsid w:val="0008023A"/>
    <w:pPr>
      <w:pBdr>
        <w:left w:val="single" w:sz="8" w:space="0" w:color="auto"/>
        <w:bottom w:val="single" w:sz="8" w:space="0" w:color="auto"/>
      </w:pBdr>
      <w:spacing w:before="100" w:beforeAutospacing="1" w:after="100" w:afterAutospacing="1"/>
      <w:textAlignment w:val="top"/>
    </w:pPr>
    <w:rPr>
      <w:lang w:val="es-MX" w:eastAsia="es-MX"/>
    </w:rPr>
  </w:style>
  <w:style w:type="paragraph" w:customStyle="1" w:styleId="xl151">
    <w:name w:val="xl151"/>
    <w:basedOn w:val="Normal"/>
    <w:rsid w:val="0008023A"/>
    <w:pPr>
      <w:pBdr>
        <w:bottom w:val="single" w:sz="8" w:space="0" w:color="auto"/>
      </w:pBdr>
      <w:spacing w:before="100" w:beforeAutospacing="1" w:after="100" w:afterAutospacing="1"/>
      <w:textAlignment w:val="top"/>
    </w:pPr>
    <w:rPr>
      <w:lang w:val="es-MX" w:eastAsia="es-MX"/>
    </w:rPr>
  </w:style>
  <w:style w:type="paragraph" w:customStyle="1" w:styleId="xl152">
    <w:name w:val="xl152"/>
    <w:basedOn w:val="Normal"/>
    <w:rsid w:val="0008023A"/>
    <w:pPr>
      <w:pBdr>
        <w:top w:val="single" w:sz="8" w:space="0" w:color="auto"/>
        <w:left w:val="single" w:sz="8" w:space="0" w:color="auto"/>
        <w:right w:val="single" w:sz="8" w:space="0" w:color="auto"/>
      </w:pBdr>
      <w:spacing w:before="100" w:beforeAutospacing="1" w:after="100" w:afterAutospacing="1"/>
      <w:jc w:val="right"/>
      <w:textAlignment w:val="center"/>
    </w:pPr>
    <w:rPr>
      <w:b/>
      <w:bCs/>
      <w:color w:val="000000"/>
      <w:sz w:val="16"/>
      <w:szCs w:val="16"/>
      <w:lang w:val="es-MX" w:eastAsia="es-MX"/>
    </w:rPr>
  </w:style>
  <w:style w:type="paragraph" w:customStyle="1" w:styleId="xl153">
    <w:name w:val="xl153"/>
    <w:basedOn w:val="Normal"/>
    <w:rsid w:val="0008023A"/>
    <w:pPr>
      <w:pBdr>
        <w:left w:val="single" w:sz="8" w:space="0" w:color="auto"/>
        <w:bottom w:val="single" w:sz="8" w:space="0" w:color="auto"/>
        <w:right w:val="single" w:sz="8" w:space="0" w:color="auto"/>
      </w:pBdr>
      <w:spacing w:before="100" w:beforeAutospacing="1" w:after="100" w:afterAutospacing="1"/>
      <w:jc w:val="right"/>
      <w:textAlignment w:val="center"/>
    </w:pPr>
    <w:rPr>
      <w:b/>
      <w:bCs/>
      <w:color w:val="000000"/>
      <w:sz w:val="16"/>
      <w:szCs w:val="16"/>
      <w:lang w:val="es-MX" w:eastAsia="es-MX"/>
    </w:rPr>
  </w:style>
  <w:style w:type="paragraph" w:customStyle="1" w:styleId="xl154">
    <w:name w:val="xl154"/>
    <w:basedOn w:val="Normal"/>
    <w:rsid w:val="0008023A"/>
    <w:pPr>
      <w:pBdr>
        <w:top w:val="single" w:sz="8" w:space="0" w:color="auto"/>
        <w:left w:val="single" w:sz="8" w:space="0" w:color="auto"/>
        <w:right w:val="single" w:sz="8" w:space="0" w:color="auto"/>
      </w:pBdr>
      <w:spacing w:before="100" w:beforeAutospacing="1" w:after="100" w:afterAutospacing="1"/>
      <w:textAlignment w:val="top"/>
    </w:pPr>
    <w:rPr>
      <w:lang w:val="es-MX" w:eastAsia="es-MX"/>
    </w:rPr>
  </w:style>
  <w:style w:type="paragraph" w:customStyle="1" w:styleId="xl155">
    <w:name w:val="xl155"/>
    <w:basedOn w:val="Normal"/>
    <w:rsid w:val="0008023A"/>
    <w:pPr>
      <w:pBdr>
        <w:left w:val="single" w:sz="8" w:space="0" w:color="auto"/>
        <w:bottom w:val="single" w:sz="8" w:space="0" w:color="auto"/>
        <w:right w:val="single" w:sz="8" w:space="0" w:color="auto"/>
      </w:pBdr>
      <w:spacing w:before="100" w:beforeAutospacing="1" w:after="100" w:afterAutospacing="1"/>
      <w:textAlignment w:val="top"/>
    </w:pPr>
    <w:rPr>
      <w:lang w:val="es-MX" w:eastAsia="es-MX"/>
    </w:rPr>
  </w:style>
  <w:style w:type="paragraph" w:customStyle="1" w:styleId="xl156">
    <w:name w:val="xl156"/>
    <w:basedOn w:val="Normal"/>
    <w:rsid w:val="0008023A"/>
    <w:pPr>
      <w:pBdr>
        <w:top w:val="single" w:sz="8" w:space="0" w:color="auto"/>
        <w:left w:val="single" w:sz="8" w:space="0" w:color="auto"/>
        <w:bottom w:val="single" w:sz="8" w:space="0" w:color="auto"/>
      </w:pBdr>
      <w:spacing w:before="100" w:beforeAutospacing="1" w:after="100" w:afterAutospacing="1"/>
      <w:textAlignment w:val="top"/>
    </w:pPr>
    <w:rPr>
      <w:b/>
      <w:bCs/>
      <w:sz w:val="18"/>
      <w:szCs w:val="18"/>
      <w:lang w:val="es-MX" w:eastAsia="es-MX"/>
    </w:rPr>
  </w:style>
  <w:style w:type="paragraph" w:customStyle="1" w:styleId="xl157">
    <w:name w:val="xl157"/>
    <w:basedOn w:val="Normal"/>
    <w:rsid w:val="0008023A"/>
    <w:pPr>
      <w:pBdr>
        <w:top w:val="single" w:sz="8" w:space="0" w:color="auto"/>
        <w:bottom w:val="single" w:sz="8" w:space="0" w:color="auto"/>
      </w:pBdr>
      <w:spacing w:before="100" w:beforeAutospacing="1" w:after="100" w:afterAutospacing="1"/>
      <w:textAlignment w:val="top"/>
    </w:pPr>
    <w:rPr>
      <w:b/>
      <w:bCs/>
      <w:sz w:val="18"/>
      <w:szCs w:val="18"/>
      <w:lang w:val="es-MX" w:eastAsia="es-MX"/>
    </w:rPr>
  </w:style>
  <w:style w:type="paragraph" w:customStyle="1" w:styleId="xl158">
    <w:name w:val="xl158"/>
    <w:basedOn w:val="Normal"/>
    <w:rsid w:val="0008023A"/>
    <w:pPr>
      <w:pBdr>
        <w:top w:val="single" w:sz="8" w:space="0" w:color="auto"/>
        <w:bottom w:val="single" w:sz="8" w:space="0" w:color="auto"/>
        <w:right w:val="single" w:sz="8" w:space="0" w:color="auto"/>
      </w:pBdr>
      <w:spacing w:before="100" w:beforeAutospacing="1" w:after="100" w:afterAutospacing="1"/>
      <w:textAlignment w:val="top"/>
    </w:pPr>
    <w:rPr>
      <w:b/>
      <w:bCs/>
      <w:sz w:val="18"/>
      <w:szCs w:val="18"/>
      <w:lang w:val="es-MX" w:eastAsia="es-MX"/>
    </w:rPr>
  </w:style>
  <w:style w:type="paragraph" w:customStyle="1" w:styleId="xl159">
    <w:name w:val="xl159"/>
    <w:basedOn w:val="Normal"/>
    <w:rsid w:val="0008023A"/>
    <w:pPr>
      <w:pBdr>
        <w:left w:val="single" w:sz="8" w:space="0" w:color="auto"/>
        <w:right w:val="single" w:sz="8" w:space="0" w:color="auto"/>
      </w:pBdr>
      <w:spacing w:before="100" w:beforeAutospacing="1" w:after="100" w:afterAutospacing="1"/>
      <w:jc w:val="both"/>
      <w:textAlignment w:val="center"/>
    </w:pPr>
    <w:rPr>
      <w:color w:val="000000"/>
      <w:sz w:val="18"/>
      <w:szCs w:val="18"/>
      <w:lang w:val="es-MX" w:eastAsia="es-MX"/>
    </w:rPr>
  </w:style>
  <w:style w:type="paragraph" w:customStyle="1" w:styleId="xl160">
    <w:name w:val="xl160"/>
    <w:basedOn w:val="Normal"/>
    <w:rsid w:val="0008023A"/>
    <w:pPr>
      <w:pBdr>
        <w:top w:val="single" w:sz="8" w:space="0" w:color="auto"/>
        <w:left w:val="single" w:sz="8" w:space="0" w:color="auto"/>
        <w:bottom w:val="single" w:sz="8" w:space="0" w:color="auto"/>
      </w:pBdr>
      <w:spacing w:before="100" w:beforeAutospacing="1" w:after="100" w:afterAutospacing="1"/>
      <w:jc w:val="right"/>
      <w:textAlignment w:val="center"/>
    </w:pPr>
    <w:rPr>
      <w:color w:val="000000"/>
      <w:sz w:val="16"/>
      <w:szCs w:val="16"/>
      <w:lang w:val="es-MX" w:eastAsia="es-MX"/>
    </w:rPr>
  </w:style>
  <w:style w:type="paragraph" w:customStyle="1" w:styleId="xl161">
    <w:name w:val="xl161"/>
    <w:basedOn w:val="Normal"/>
    <w:rsid w:val="0008023A"/>
    <w:pPr>
      <w:pBdr>
        <w:top w:val="single" w:sz="8" w:space="0" w:color="auto"/>
        <w:bottom w:val="single" w:sz="8" w:space="0" w:color="auto"/>
      </w:pBdr>
      <w:spacing w:before="100" w:beforeAutospacing="1" w:after="100" w:afterAutospacing="1"/>
      <w:jc w:val="right"/>
      <w:textAlignment w:val="center"/>
    </w:pPr>
    <w:rPr>
      <w:color w:val="000000"/>
      <w:sz w:val="16"/>
      <w:szCs w:val="16"/>
      <w:lang w:val="es-MX" w:eastAsia="es-MX"/>
    </w:rPr>
  </w:style>
  <w:style w:type="paragraph" w:customStyle="1" w:styleId="xl162">
    <w:name w:val="xl162"/>
    <w:basedOn w:val="Normal"/>
    <w:rsid w:val="0008023A"/>
    <w:pPr>
      <w:pBdr>
        <w:top w:val="single" w:sz="8" w:space="0" w:color="auto"/>
        <w:bottom w:val="single" w:sz="8" w:space="0" w:color="auto"/>
        <w:right w:val="single" w:sz="8" w:space="0" w:color="auto"/>
      </w:pBdr>
      <w:spacing w:before="100" w:beforeAutospacing="1" w:after="100" w:afterAutospacing="1"/>
      <w:jc w:val="right"/>
      <w:textAlignment w:val="center"/>
    </w:pPr>
    <w:rPr>
      <w:color w:val="000000"/>
      <w:sz w:val="16"/>
      <w:szCs w:val="16"/>
      <w:lang w:val="es-MX" w:eastAsia="es-MX"/>
    </w:rPr>
  </w:style>
  <w:style w:type="paragraph" w:customStyle="1" w:styleId="ecxmsonormal">
    <w:name w:val="ecxmsonormal"/>
    <w:basedOn w:val="Normal"/>
    <w:rsid w:val="0008023A"/>
    <w:pPr>
      <w:spacing w:after="324"/>
    </w:pPr>
    <w:rPr>
      <w:lang w:val="es-MX" w:eastAsia="es-MX"/>
    </w:rPr>
  </w:style>
  <w:style w:type="paragraph" w:customStyle="1" w:styleId="font5">
    <w:name w:val="font5"/>
    <w:basedOn w:val="Normal"/>
    <w:rsid w:val="0008023A"/>
    <w:pPr>
      <w:spacing w:before="100" w:beforeAutospacing="1" w:after="100" w:afterAutospacing="1"/>
    </w:pPr>
    <w:rPr>
      <w:rFonts w:ascii="Arial" w:hAnsi="Arial" w:cs="Arial"/>
      <w:b/>
      <w:bCs/>
      <w:sz w:val="16"/>
      <w:szCs w:val="16"/>
      <w:lang w:val="es-MX" w:eastAsia="es-MX"/>
    </w:rPr>
  </w:style>
  <w:style w:type="paragraph" w:customStyle="1" w:styleId="xl163">
    <w:name w:val="xl163"/>
    <w:basedOn w:val="Normal"/>
    <w:rsid w:val="0008023A"/>
    <w:pPr>
      <w:pBdr>
        <w:top w:val="single" w:sz="8" w:space="0" w:color="auto"/>
        <w:left w:val="single" w:sz="8" w:space="0" w:color="auto"/>
        <w:bottom w:val="single" w:sz="8" w:space="0" w:color="333333"/>
      </w:pBdr>
      <w:shd w:val="clear" w:color="000000" w:fill="FFFFFF"/>
      <w:spacing w:before="100" w:beforeAutospacing="1" w:after="100" w:afterAutospacing="1"/>
      <w:textAlignment w:val="center"/>
    </w:pPr>
    <w:rPr>
      <w:color w:val="000000"/>
      <w:sz w:val="16"/>
      <w:szCs w:val="16"/>
      <w:lang w:val="es-MX" w:eastAsia="es-MX"/>
    </w:rPr>
  </w:style>
  <w:style w:type="paragraph" w:customStyle="1" w:styleId="xl164">
    <w:name w:val="xl164"/>
    <w:basedOn w:val="Normal"/>
    <w:rsid w:val="0008023A"/>
    <w:pPr>
      <w:pBdr>
        <w:top w:val="single" w:sz="8" w:space="0" w:color="auto"/>
        <w:bottom w:val="single" w:sz="8" w:space="0" w:color="333333"/>
      </w:pBdr>
      <w:shd w:val="clear" w:color="000000" w:fill="FFFFFF"/>
      <w:spacing w:before="100" w:beforeAutospacing="1" w:after="100" w:afterAutospacing="1"/>
      <w:textAlignment w:val="center"/>
    </w:pPr>
    <w:rPr>
      <w:color w:val="000000"/>
      <w:sz w:val="16"/>
      <w:szCs w:val="16"/>
      <w:lang w:val="es-MX" w:eastAsia="es-MX"/>
    </w:rPr>
  </w:style>
  <w:style w:type="paragraph" w:customStyle="1" w:styleId="xl165">
    <w:name w:val="xl165"/>
    <w:basedOn w:val="Normal"/>
    <w:rsid w:val="0008023A"/>
    <w:pPr>
      <w:pBdr>
        <w:top w:val="single" w:sz="8" w:space="0" w:color="333333"/>
        <w:left w:val="single" w:sz="8" w:space="0" w:color="auto"/>
        <w:bottom w:val="single" w:sz="8" w:space="0" w:color="333333"/>
      </w:pBdr>
      <w:shd w:val="clear" w:color="000000" w:fill="FFFFFF"/>
      <w:spacing w:before="100" w:beforeAutospacing="1" w:after="100" w:afterAutospacing="1"/>
      <w:textAlignment w:val="center"/>
    </w:pPr>
    <w:rPr>
      <w:color w:val="000000"/>
      <w:sz w:val="16"/>
      <w:szCs w:val="16"/>
      <w:lang w:val="es-MX" w:eastAsia="es-MX"/>
    </w:rPr>
  </w:style>
  <w:style w:type="paragraph" w:customStyle="1" w:styleId="xl166">
    <w:name w:val="xl166"/>
    <w:basedOn w:val="Normal"/>
    <w:rsid w:val="0008023A"/>
    <w:pPr>
      <w:pBdr>
        <w:top w:val="single" w:sz="8" w:space="0" w:color="333333"/>
        <w:bottom w:val="single" w:sz="8" w:space="0" w:color="333333"/>
      </w:pBdr>
      <w:shd w:val="clear" w:color="000000" w:fill="FFFFFF"/>
      <w:spacing w:before="100" w:beforeAutospacing="1" w:after="100" w:afterAutospacing="1"/>
      <w:textAlignment w:val="center"/>
    </w:pPr>
    <w:rPr>
      <w:color w:val="000000"/>
      <w:sz w:val="16"/>
      <w:szCs w:val="16"/>
      <w:lang w:val="es-MX" w:eastAsia="es-MX"/>
    </w:rPr>
  </w:style>
  <w:style w:type="paragraph" w:customStyle="1" w:styleId="xl167">
    <w:name w:val="xl167"/>
    <w:basedOn w:val="Normal"/>
    <w:rsid w:val="0008023A"/>
    <w:pPr>
      <w:pBdr>
        <w:top w:val="single" w:sz="8" w:space="0" w:color="333333"/>
        <w:left w:val="single" w:sz="8" w:space="0" w:color="auto"/>
        <w:bottom w:val="single" w:sz="8" w:space="0" w:color="auto"/>
      </w:pBdr>
      <w:shd w:val="clear" w:color="000000" w:fill="FFFFFF"/>
      <w:spacing w:before="100" w:beforeAutospacing="1" w:after="100" w:afterAutospacing="1"/>
      <w:textAlignment w:val="center"/>
    </w:pPr>
    <w:rPr>
      <w:color w:val="000000"/>
      <w:sz w:val="16"/>
      <w:szCs w:val="16"/>
      <w:lang w:val="es-MX" w:eastAsia="es-MX"/>
    </w:rPr>
  </w:style>
  <w:style w:type="paragraph" w:customStyle="1" w:styleId="xl168">
    <w:name w:val="xl168"/>
    <w:basedOn w:val="Normal"/>
    <w:rsid w:val="0008023A"/>
    <w:pPr>
      <w:pBdr>
        <w:top w:val="single" w:sz="8" w:space="0" w:color="333333"/>
        <w:bottom w:val="single" w:sz="8" w:space="0" w:color="auto"/>
      </w:pBdr>
      <w:shd w:val="clear" w:color="000000" w:fill="FFFFFF"/>
      <w:spacing w:before="100" w:beforeAutospacing="1" w:after="100" w:afterAutospacing="1"/>
      <w:textAlignment w:val="center"/>
    </w:pPr>
    <w:rPr>
      <w:color w:val="000000"/>
      <w:sz w:val="16"/>
      <w:szCs w:val="16"/>
      <w:lang w:val="es-MX" w:eastAsia="es-MX"/>
    </w:rPr>
  </w:style>
  <w:style w:type="paragraph" w:customStyle="1" w:styleId="xl169">
    <w:name w:val="xl169"/>
    <w:basedOn w:val="Normal"/>
    <w:rsid w:val="0008023A"/>
    <w:pPr>
      <w:pBdr>
        <w:top w:val="single" w:sz="8" w:space="0" w:color="auto"/>
        <w:left w:val="single" w:sz="8" w:space="0" w:color="auto"/>
        <w:bottom w:val="single" w:sz="8" w:space="0" w:color="auto"/>
      </w:pBdr>
      <w:shd w:val="clear" w:color="000000" w:fill="FFFFFF"/>
      <w:spacing w:before="100" w:beforeAutospacing="1" w:after="100" w:afterAutospacing="1"/>
      <w:textAlignment w:val="center"/>
    </w:pPr>
    <w:rPr>
      <w:b/>
      <w:bCs/>
      <w:color w:val="000000"/>
      <w:sz w:val="16"/>
      <w:szCs w:val="16"/>
      <w:lang w:val="es-MX" w:eastAsia="es-MX"/>
    </w:rPr>
  </w:style>
  <w:style w:type="paragraph" w:customStyle="1" w:styleId="xl170">
    <w:name w:val="xl170"/>
    <w:basedOn w:val="Normal"/>
    <w:rsid w:val="0008023A"/>
    <w:pPr>
      <w:pBdr>
        <w:top w:val="single" w:sz="8" w:space="0" w:color="auto"/>
        <w:bottom w:val="single" w:sz="8" w:space="0" w:color="auto"/>
        <w:right w:val="single" w:sz="8" w:space="0" w:color="333333"/>
      </w:pBdr>
      <w:shd w:val="clear" w:color="000000" w:fill="FFFFFF"/>
      <w:spacing w:before="100" w:beforeAutospacing="1" w:after="100" w:afterAutospacing="1"/>
      <w:textAlignment w:val="center"/>
    </w:pPr>
    <w:rPr>
      <w:b/>
      <w:bCs/>
      <w:color w:val="000000"/>
      <w:sz w:val="16"/>
      <w:szCs w:val="16"/>
      <w:lang w:val="es-MX" w:eastAsia="es-MX"/>
    </w:rPr>
  </w:style>
  <w:style w:type="paragraph" w:customStyle="1" w:styleId="xl171">
    <w:name w:val="xl171"/>
    <w:basedOn w:val="Normal"/>
    <w:rsid w:val="0008023A"/>
    <w:pPr>
      <w:pBdr>
        <w:top w:val="single" w:sz="8" w:space="0" w:color="auto"/>
        <w:left w:val="single" w:sz="8" w:space="0" w:color="auto"/>
        <w:bottom w:val="single" w:sz="8" w:space="0" w:color="333333"/>
      </w:pBdr>
      <w:shd w:val="clear" w:color="000000" w:fill="FFFFFF"/>
      <w:spacing w:before="100" w:beforeAutospacing="1" w:after="100" w:afterAutospacing="1"/>
      <w:textAlignment w:val="center"/>
    </w:pPr>
    <w:rPr>
      <w:b/>
      <w:bCs/>
      <w:color w:val="000000"/>
      <w:sz w:val="16"/>
      <w:szCs w:val="16"/>
      <w:lang w:val="es-MX" w:eastAsia="es-MX"/>
    </w:rPr>
  </w:style>
  <w:style w:type="paragraph" w:customStyle="1" w:styleId="xl172">
    <w:name w:val="xl172"/>
    <w:basedOn w:val="Normal"/>
    <w:rsid w:val="0008023A"/>
    <w:pPr>
      <w:pBdr>
        <w:top w:val="single" w:sz="8" w:space="0" w:color="auto"/>
        <w:bottom w:val="single" w:sz="8" w:space="0" w:color="333333"/>
      </w:pBdr>
      <w:shd w:val="clear" w:color="000000" w:fill="FFFFFF"/>
      <w:spacing w:before="100" w:beforeAutospacing="1" w:after="100" w:afterAutospacing="1"/>
      <w:textAlignment w:val="center"/>
    </w:pPr>
    <w:rPr>
      <w:b/>
      <w:bCs/>
      <w:color w:val="000000"/>
      <w:sz w:val="16"/>
      <w:szCs w:val="16"/>
      <w:lang w:val="es-MX" w:eastAsia="es-MX"/>
    </w:rPr>
  </w:style>
  <w:style w:type="paragraph" w:customStyle="1" w:styleId="xl173">
    <w:name w:val="xl173"/>
    <w:basedOn w:val="Normal"/>
    <w:rsid w:val="0008023A"/>
    <w:pPr>
      <w:pBdr>
        <w:top w:val="single" w:sz="8" w:space="0" w:color="auto"/>
        <w:bottom w:val="single" w:sz="8" w:space="0" w:color="333333"/>
        <w:right w:val="single" w:sz="8" w:space="0" w:color="333333"/>
      </w:pBdr>
      <w:shd w:val="clear" w:color="000000" w:fill="FFFFFF"/>
      <w:spacing w:before="100" w:beforeAutospacing="1" w:after="100" w:afterAutospacing="1"/>
      <w:textAlignment w:val="center"/>
    </w:pPr>
    <w:rPr>
      <w:b/>
      <w:bCs/>
      <w:color w:val="000000"/>
      <w:sz w:val="16"/>
      <w:szCs w:val="16"/>
      <w:lang w:val="es-MX" w:eastAsia="es-MX"/>
    </w:rPr>
  </w:style>
  <w:style w:type="paragraph" w:customStyle="1" w:styleId="xl174">
    <w:name w:val="xl174"/>
    <w:basedOn w:val="Normal"/>
    <w:rsid w:val="0008023A"/>
    <w:pPr>
      <w:pBdr>
        <w:top w:val="single" w:sz="8" w:space="0" w:color="333333"/>
        <w:left w:val="single" w:sz="8" w:space="0" w:color="auto"/>
        <w:bottom w:val="single" w:sz="8" w:space="0" w:color="auto"/>
      </w:pBdr>
      <w:shd w:val="clear" w:color="000000" w:fill="FFFFFF"/>
      <w:spacing w:before="100" w:beforeAutospacing="1" w:after="100" w:afterAutospacing="1"/>
      <w:textAlignment w:val="center"/>
    </w:pPr>
    <w:rPr>
      <w:b/>
      <w:bCs/>
      <w:color w:val="000000"/>
      <w:sz w:val="16"/>
      <w:szCs w:val="16"/>
      <w:lang w:val="es-MX" w:eastAsia="es-MX"/>
    </w:rPr>
  </w:style>
  <w:style w:type="paragraph" w:customStyle="1" w:styleId="xl175">
    <w:name w:val="xl175"/>
    <w:basedOn w:val="Normal"/>
    <w:rsid w:val="0008023A"/>
    <w:pPr>
      <w:pBdr>
        <w:top w:val="single" w:sz="8" w:space="0" w:color="333333"/>
        <w:bottom w:val="single" w:sz="8" w:space="0" w:color="auto"/>
      </w:pBdr>
      <w:shd w:val="clear" w:color="000000" w:fill="FFFFFF"/>
      <w:spacing w:before="100" w:beforeAutospacing="1" w:after="100" w:afterAutospacing="1"/>
      <w:textAlignment w:val="center"/>
    </w:pPr>
    <w:rPr>
      <w:b/>
      <w:bCs/>
      <w:color w:val="000000"/>
      <w:sz w:val="16"/>
      <w:szCs w:val="16"/>
      <w:lang w:val="es-MX" w:eastAsia="es-MX"/>
    </w:rPr>
  </w:style>
  <w:style w:type="paragraph" w:customStyle="1" w:styleId="xl176">
    <w:name w:val="xl176"/>
    <w:basedOn w:val="Normal"/>
    <w:rsid w:val="0008023A"/>
    <w:pPr>
      <w:pBdr>
        <w:top w:val="single" w:sz="8" w:space="0" w:color="333333"/>
        <w:bottom w:val="single" w:sz="8" w:space="0" w:color="auto"/>
        <w:right w:val="single" w:sz="8" w:space="0" w:color="333333"/>
      </w:pBdr>
      <w:shd w:val="clear" w:color="000000" w:fill="FFFFFF"/>
      <w:spacing w:before="100" w:beforeAutospacing="1" w:after="100" w:afterAutospacing="1"/>
      <w:textAlignment w:val="center"/>
    </w:pPr>
    <w:rPr>
      <w:b/>
      <w:bCs/>
      <w:color w:val="000000"/>
      <w:sz w:val="16"/>
      <w:szCs w:val="16"/>
      <w:lang w:val="es-MX" w:eastAsia="es-MX"/>
    </w:rPr>
  </w:style>
  <w:style w:type="paragraph" w:customStyle="1" w:styleId="xl177">
    <w:name w:val="xl177"/>
    <w:basedOn w:val="Normal"/>
    <w:rsid w:val="0008023A"/>
    <w:pPr>
      <w:pBdr>
        <w:top w:val="single" w:sz="8" w:space="0" w:color="333333"/>
        <w:left w:val="single" w:sz="8" w:space="0" w:color="auto"/>
        <w:bottom w:val="single" w:sz="8" w:space="0" w:color="333333"/>
      </w:pBdr>
      <w:shd w:val="clear" w:color="000000" w:fill="FFFFFF"/>
      <w:spacing w:before="100" w:beforeAutospacing="1" w:after="100" w:afterAutospacing="1"/>
      <w:textAlignment w:val="center"/>
    </w:pPr>
    <w:rPr>
      <w:b/>
      <w:bCs/>
      <w:color w:val="000000"/>
      <w:sz w:val="16"/>
      <w:szCs w:val="16"/>
      <w:lang w:val="es-MX" w:eastAsia="es-MX"/>
    </w:rPr>
  </w:style>
  <w:style w:type="paragraph" w:customStyle="1" w:styleId="xl178">
    <w:name w:val="xl178"/>
    <w:basedOn w:val="Normal"/>
    <w:rsid w:val="0008023A"/>
    <w:pPr>
      <w:pBdr>
        <w:top w:val="single" w:sz="8" w:space="0" w:color="333333"/>
        <w:bottom w:val="single" w:sz="8" w:space="0" w:color="333333"/>
      </w:pBdr>
      <w:shd w:val="clear" w:color="000000" w:fill="FFFFFF"/>
      <w:spacing w:before="100" w:beforeAutospacing="1" w:after="100" w:afterAutospacing="1"/>
      <w:textAlignment w:val="center"/>
    </w:pPr>
    <w:rPr>
      <w:b/>
      <w:bCs/>
      <w:color w:val="000000"/>
      <w:sz w:val="16"/>
      <w:szCs w:val="16"/>
      <w:lang w:val="es-MX" w:eastAsia="es-MX"/>
    </w:rPr>
  </w:style>
  <w:style w:type="paragraph" w:customStyle="1" w:styleId="xl179">
    <w:name w:val="xl179"/>
    <w:basedOn w:val="Normal"/>
    <w:rsid w:val="0008023A"/>
    <w:pPr>
      <w:pBdr>
        <w:top w:val="single" w:sz="8" w:space="0" w:color="333333"/>
        <w:bottom w:val="single" w:sz="8" w:space="0" w:color="333333"/>
        <w:right w:val="single" w:sz="8" w:space="0" w:color="333333"/>
      </w:pBdr>
      <w:shd w:val="clear" w:color="000000" w:fill="FFFFFF"/>
      <w:spacing w:before="100" w:beforeAutospacing="1" w:after="100" w:afterAutospacing="1"/>
      <w:textAlignment w:val="center"/>
    </w:pPr>
    <w:rPr>
      <w:b/>
      <w:bCs/>
      <w:color w:val="000000"/>
      <w:sz w:val="16"/>
      <w:szCs w:val="16"/>
      <w:lang w:val="es-MX" w:eastAsia="es-MX"/>
    </w:rPr>
  </w:style>
  <w:style w:type="paragraph" w:customStyle="1" w:styleId="xl180">
    <w:name w:val="xl180"/>
    <w:basedOn w:val="Normal"/>
    <w:rsid w:val="0008023A"/>
    <w:pPr>
      <w:pBdr>
        <w:top w:val="single" w:sz="8" w:space="0" w:color="333333"/>
        <w:bottom w:val="single" w:sz="8" w:space="0" w:color="333333"/>
        <w:right w:val="single" w:sz="8" w:space="0" w:color="auto"/>
      </w:pBdr>
      <w:shd w:val="clear" w:color="000000" w:fill="FFFFFF"/>
      <w:spacing w:before="100" w:beforeAutospacing="1" w:after="100" w:afterAutospacing="1"/>
      <w:textAlignment w:val="center"/>
    </w:pPr>
    <w:rPr>
      <w:b/>
      <w:bCs/>
      <w:color w:val="000000"/>
      <w:sz w:val="16"/>
      <w:szCs w:val="16"/>
      <w:lang w:val="es-MX" w:eastAsia="es-MX"/>
    </w:rPr>
  </w:style>
  <w:style w:type="paragraph" w:customStyle="1" w:styleId="xl181">
    <w:name w:val="xl181"/>
    <w:basedOn w:val="Normal"/>
    <w:rsid w:val="0008023A"/>
    <w:pPr>
      <w:pBdr>
        <w:top w:val="single" w:sz="8" w:space="0" w:color="333333"/>
        <w:bottom w:val="single" w:sz="8" w:space="0" w:color="auto"/>
        <w:right w:val="single" w:sz="8" w:space="0" w:color="auto"/>
      </w:pBdr>
      <w:shd w:val="clear" w:color="000000" w:fill="FFFFFF"/>
      <w:spacing w:before="100" w:beforeAutospacing="1" w:after="100" w:afterAutospacing="1"/>
      <w:textAlignment w:val="center"/>
    </w:pPr>
    <w:rPr>
      <w:b/>
      <w:bCs/>
      <w:color w:val="000000"/>
      <w:sz w:val="16"/>
      <w:szCs w:val="16"/>
      <w:lang w:val="es-MX" w:eastAsia="es-MX"/>
    </w:rPr>
  </w:style>
  <w:style w:type="paragraph" w:customStyle="1" w:styleId="xl182">
    <w:name w:val="xl182"/>
    <w:basedOn w:val="Normal"/>
    <w:rsid w:val="0008023A"/>
    <w:pPr>
      <w:pBdr>
        <w:top w:val="single" w:sz="8" w:space="0" w:color="auto"/>
        <w:bottom w:val="single" w:sz="8" w:space="0" w:color="333333"/>
        <w:right w:val="single" w:sz="8" w:space="0" w:color="auto"/>
      </w:pBdr>
      <w:shd w:val="clear" w:color="000000" w:fill="FFFFFF"/>
      <w:spacing w:before="100" w:beforeAutospacing="1" w:after="100" w:afterAutospacing="1"/>
      <w:textAlignment w:val="center"/>
    </w:pPr>
    <w:rPr>
      <w:b/>
      <w:bCs/>
      <w:color w:val="000000"/>
      <w:sz w:val="16"/>
      <w:szCs w:val="16"/>
      <w:lang w:val="es-MX" w:eastAsia="es-MX"/>
    </w:rPr>
  </w:style>
  <w:style w:type="paragraph" w:customStyle="1" w:styleId="xl183">
    <w:name w:val="xl183"/>
    <w:basedOn w:val="Normal"/>
    <w:rsid w:val="0008023A"/>
    <w:pPr>
      <w:pBdr>
        <w:top w:val="single" w:sz="8" w:space="0" w:color="auto"/>
        <w:left w:val="single" w:sz="8" w:space="0" w:color="auto"/>
      </w:pBdr>
      <w:shd w:val="clear" w:color="000000" w:fill="FFFFFF"/>
      <w:spacing w:before="100" w:beforeAutospacing="1" w:after="100" w:afterAutospacing="1"/>
      <w:jc w:val="center"/>
      <w:textAlignment w:val="center"/>
    </w:pPr>
    <w:rPr>
      <w:color w:val="000000"/>
      <w:sz w:val="16"/>
      <w:szCs w:val="16"/>
      <w:lang w:val="es-MX" w:eastAsia="es-MX"/>
    </w:rPr>
  </w:style>
  <w:style w:type="paragraph" w:customStyle="1" w:styleId="xl184">
    <w:name w:val="xl184"/>
    <w:basedOn w:val="Normal"/>
    <w:rsid w:val="0008023A"/>
    <w:pPr>
      <w:pBdr>
        <w:top w:val="single" w:sz="8" w:space="0" w:color="auto"/>
      </w:pBdr>
      <w:shd w:val="clear" w:color="000000" w:fill="FFFFFF"/>
      <w:spacing w:before="100" w:beforeAutospacing="1" w:after="100" w:afterAutospacing="1"/>
      <w:jc w:val="center"/>
      <w:textAlignment w:val="center"/>
    </w:pPr>
    <w:rPr>
      <w:color w:val="000000"/>
      <w:sz w:val="16"/>
      <w:szCs w:val="16"/>
      <w:lang w:val="es-MX" w:eastAsia="es-MX"/>
    </w:rPr>
  </w:style>
  <w:style w:type="paragraph" w:customStyle="1" w:styleId="xl185">
    <w:name w:val="xl185"/>
    <w:basedOn w:val="Normal"/>
    <w:rsid w:val="0008023A"/>
    <w:pPr>
      <w:pBdr>
        <w:top w:val="single" w:sz="8" w:space="0" w:color="auto"/>
        <w:right w:val="single" w:sz="8" w:space="0" w:color="auto"/>
      </w:pBdr>
      <w:shd w:val="clear" w:color="000000" w:fill="FFFFFF"/>
      <w:spacing w:before="100" w:beforeAutospacing="1" w:after="100" w:afterAutospacing="1"/>
      <w:jc w:val="center"/>
      <w:textAlignment w:val="center"/>
    </w:pPr>
    <w:rPr>
      <w:color w:val="000000"/>
      <w:sz w:val="16"/>
      <w:szCs w:val="16"/>
      <w:lang w:val="es-MX" w:eastAsia="es-MX"/>
    </w:rPr>
  </w:style>
  <w:style w:type="paragraph" w:customStyle="1" w:styleId="xl186">
    <w:name w:val="xl186"/>
    <w:basedOn w:val="Normal"/>
    <w:rsid w:val="0008023A"/>
    <w:pPr>
      <w:pBdr>
        <w:left w:val="single" w:sz="8" w:space="0" w:color="auto"/>
        <w:bottom w:val="single" w:sz="8" w:space="0" w:color="auto"/>
      </w:pBdr>
      <w:shd w:val="clear" w:color="000000" w:fill="FFFFFF"/>
      <w:spacing w:before="100" w:beforeAutospacing="1" w:after="100" w:afterAutospacing="1"/>
      <w:jc w:val="center"/>
      <w:textAlignment w:val="center"/>
    </w:pPr>
    <w:rPr>
      <w:color w:val="000000"/>
      <w:sz w:val="16"/>
      <w:szCs w:val="16"/>
      <w:lang w:val="es-MX" w:eastAsia="es-MX"/>
    </w:rPr>
  </w:style>
  <w:style w:type="paragraph" w:customStyle="1" w:styleId="xl187">
    <w:name w:val="xl187"/>
    <w:basedOn w:val="Normal"/>
    <w:rsid w:val="0008023A"/>
    <w:pPr>
      <w:pBdr>
        <w:bottom w:val="single" w:sz="8" w:space="0" w:color="auto"/>
      </w:pBdr>
      <w:shd w:val="clear" w:color="000000" w:fill="FFFFFF"/>
      <w:spacing w:before="100" w:beforeAutospacing="1" w:after="100" w:afterAutospacing="1"/>
      <w:jc w:val="center"/>
      <w:textAlignment w:val="center"/>
    </w:pPr>
    <w:rPr>
      <w:color w:val="000000"/>
      <w:sz w:val="16"/>
      <w:szCs w:val="16"/>
      <w:lang w:val="es-MX" w:eastAsia="es-MX"/>
    </w:rPr>
  </w:style>
  <w:style w:type="paragraph" w:customStyle="1" w:styleId="xl188">
    <w:name w:val="xl188"/>
    <w:basedOn w:val="Normal"/>
    <w:rsid w:val="0008023A"/>
    <w:pPr>
      <w:pBdr>
        <w:bottom w:val="single" w:sz="8" w:space="0" w:color="auto"/>
        <w:right w:val="single" w:sz="8" w:space="0" w:color="auto"/>
      </w:pBdr>
      <w:shd w:val="clear" w:color="000000" w:fill="FFFFFF"/>
      <w:spacing w:before="100" w:beforeAutospacing="1" w:after="100" w:afterAutospacing="1"/>
      <w:jc w:val="center"/>
      <w:textAlignment w:val="center"/>
    </w:pPr>
    <w:rPr>
      <w:color w:val="000000"/>
      <w:sz w:val="16"/>
      <w:szCs w:val="16"/>
      <w:lang w:val="es-MX" w:eastAsia="es-MX"/>
    </w:rPr>
  </w:style>
  <w:style w:type="paragraph" w:customStyle="1" w:styleId="xl189">
    <w:name w:val="xl189"/>
    <w:basedOn w:val="Normal"/>
    <w:rsid w:val="0008023A"/>
    <w:pPr>
      <w:pBdr>
        <w:right w:val="single" w:sz="8" w:space="0" w:color="333333"/>
      </w:pBdr>
      <w:shd w:val="clear" w:color="000000" w:fill="FFFFFF"/>
      <w:spacing w:before="100" w:beforeAutospacing="1" w:after="100" w:afterAutospacing="1"/>
      <w:textAlignment w:val="center"/>
    </w:pPr>
    <w:rPr>
      <w:color w:val="000000"/>
      <w:sz w:val="16"/>
      <w:szCs w:val="16"/>
      <w:lang w:val="es-MX" w:eastAsia="es-MX"/>
    </w:rPr>
  </w:style>
  <w:style w:type="paragraph" w:customStyle="1" w:styleId="xl190">
    <w:name w:val="xl190"/>
    <w:basedOn w:val="Normal"/>
    <w:rsid w:val="0008023A"/>
    <w:pPr>
      <w:pBdr>
        <w:top w:val="single" w:sz="8" w:space="0" w:color="auto"/>
        <w:left w:val="single" w:sz="8" w:space="0" w:color="auto"/>
      </w:pBdr>
      <w:shd w:val="clear" w:color="000000" w:fill="FFFFFF"/>
      <w:spacing w:before="100" w:beforeAutospacing="1" w:after="100" w:afterAutospacing="1"/>
      <w:textAlignment w:val="center"/>
    </w:pPr>
    <w:rPr>
      <w:color w:val="000000"/>
      <w:sz w:val="16"/>
      <w:szCs w:val="16"/>
      <w:lang w:val="es-MX" w:eastAsia="es-MX"/>
    </w:rPr>
  </w:style>
  <w:style w:type="paragraph" w:customStyle="1" w:styleId="xl191">
    <w:name w:val="xl191"/>
    <w:basedOn w:val="Normal"/>
    <w:rsid w:val="0008023A"/>
    <w:pPr>
      <w:pBdr>
        <w:top w:val="single" w:sz="8" w:space="0" w:color="auto"/>
      </w:pBdr>
      <w:shd w:val="clear" w:color="000000" w:fill="FFFFFF"/>
      <w:spacing w:before="100" w:beforeAutospacing="1" w:after="100" w:afterAutospacing="1"/>
      <w:textAlignment w:val="center"/>
    </w:pPr>
    <w:rPr>
      <w:color w:val="000000"/>
      <w:sz w:val="16"/>
      <w:szCs w:val="16"/>
      <w:lang w:val="es-MX" w:eastAsia="es-MX"/>
    </w:rPr>
  </w:style>
  <w:style w:type="paragraph" w:customStyle="1" w:styleId="xl192">
    <w:name w:val="xl192"/>
    <w:basedOn w:val="Normal"/>
    <w:rsid w:val="0008023A"/>
    <w:pPr>
      <w:pBdr>
        <w:bottom w:val="single" w:sz="8" w:space="0" w:color="auto"/>
      </w:pBdr>
      <w:shd w:val="clear" w:color="000000" w:fill="FFFFFF"/>
      <w:spacing w:before="100" w:beforeAutospacing="1" w:after="100" w:afterAutospacing="1"/>
      <w:textAlignment w:val="center"/>
    </w:pPr>
    <w:rPr>
      <w:b/>
      <w:bCs/>
      <w:color w:val="000000"/>
      <w:sz w:val="16"/>
      <w:szCs w:val="16"/>
      <w:lang w:val="es-MX" w:eastAsia="es-MX"/>
    </w:rPr>
  </w:style>
  <w:style w:type="paragraph" w:customStyle="1" w:styleId="xl193">
    <w:name w:val="xl193"/>
    <w:basedOn w:val="Normal"/>
    <w:rsid w:val="0008023A"/>
    <w:pPr>
      <w:pBdr>
        <w:bottom w:val="single" w:sz="8" w:space="0" w:color="auto"/>
        <w:right w:val="single" w:sz="8" w:space="0" w:color="333333"/>
      </w:pBdr>
      <w:shd w:val="clear" w:color="000000" w:fill="FFFFFF"/>
      <w:spacing w:before="100" w:beforeAutospacing="1" w:after="100" w:afterAutospacing="1"/>
      <w:textAlignment w:val="center"/>
    </w:pPr>
    <w:rPr>
      <w:b/>
      <w:bCs/>
      <w:color w:val="000000"/>
      <w:sz w:val="16"/>
      <w:szCs w:val="16"/>
      <w:lang w:val="es-MX" w:eastAsia="es-MX"/>
    </w:rPr>
  </w:style>
  <w:style w:type="paragraph" w:customStyle="1" w:styleId="xl194">
    <w:name w:val="xl194"/>
    <w:basedOn w:val="Normal"/>
    <w:rsid w:val="0008023A"/>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color w:val="000000"/>
      <w:sz w:val="16"/>
      <w:szCs w:val="16"/>
      <w:lang w:val="es-MX" w:eastAsia="es-MX"/>
    </w:rPr>
  </w:style>
  <w:style w:type="paragraph" w:customStyle="1" w:styleId="xl195">
    <w:name w:val="xl195"/>
    <w:basedOn w:val="Normal"/>
    <w:rsid w:val="0008023A"/>
    <w:pPr>
      <w:pBdr>
        <w:top w:val="single" w:sz="8" w:space="0" w:color="auto"/>
        <w:bottom w:val="single" w:sz="8" w:space="0" w:color="auto"/>
      </w:pBdr>
      <w:shd w:val="clear" w:color="000000" w:fill="FFFFFF"/>
      <w:spacing w:before="100" w:beforeAutospacing="1" w:after="100" w:afterAutospacing="1"/>
      <w:textAlignment w:val="center"/>
    </w:pPr>
    <w:rPr>
      <w:b/>
      <w:bCs/>
      <w:color w:val="000000"/>
      <w:sz w:val="16"/>
      <w:szCs w:val="16"/>
      <w:lang w:val="es-MX" w:eastAsia="es-MX"/>
    </w:rPr>
  </w:style>
  <w:style w:type="paragraph" w:customStyle="1" w:styleId="xl196">
    <w:name w:val="xl196"/>
    <w:basedOn w:val="Normal"/>
    <w:rsid w:val="0008023A"/>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b/>
      <w:bCs/>
      <w:color w:val="000000"/>
      <w:sz w:val="16"/>
      <w:szCs w:val="16"/>
      <w:lang w:val="es-MX" w:eastAsia="es-MX"/>
    </w:rPr>
  </w:style>
  <w:style w:type="paragraph" w:customStyle="1" w:styleId="xl197">
    <w:name w:val="xl197"/>
    <w:basedOn w:val="Normal"/>
    <w:rsid w:val="0008023A"/>
    <w:pPr>
      <w:pBdr>
        <w:top w:val="single" w:sz="8" w:space="0" w:color="auto"/>
        <w:bottom w:val="single" w:sz="8" w:space="0" w:color="auto"/>
      </w:pBdr>
      <w:shd w:val="clear" w:color="000000" w:fill="FFFFFF"/>
      <w:spacing w:before="100" w:beforeAutospacing="1" w:after="100" w:afterAutospacing="1"/>
      <w:jc w:val="center"/>
      <w:textAlignment w:val="center"/>
    </w:pPr>
    <w:rPr>
      <w:b/>
      <w:bCs/>
      <w:color w:val="000000"/>
      <w:sz w:val="16"/>
      <w:szCs w:val="16"/>
      <w:lang w:val="es-MX" w:eastAsia="es-MX"/>
    </w:rPr>
  </w:style>
  <w:style w:type="paragraph" w:customStyle="1" w:styleId="xl198">
    <w:name w:val="xl198"/>
    <w:basedOn w:val="Normal"/>
    <w:rsid w:val="0008023A"/>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color w:val="000000"/>
      <w:sz w:val="16"/>
      <w:szCs w:val="16"/>
      <w:lang w:val="es-MX" w:eastAsia="es-MX"/>
    </w:rPr>
  </w:style>
  <w:style w:type="paragraph" w:customStyle="1" w:styleId="xl199">
    <w:name w:val="xl199"/>
    <w:basedOn w:val="Normal"/>
    <w:rsid w:val="0008023A"/>
    <w:pPr>
      <w:pBdr>
        <w:bottom w:val="single" w:sz="8" w:space="0" w:color="333333"/>
        <w:right w:val="single" w:sz="8" w:space="0" w:color="auto"/>
      </w:pBdr>
      <w:shd w:val="clear" w:color="000000" w:fill="FFFFFF"/>
      <w:spacing w:before="100" w:beforeAutospacing="1" w:after="100" w:afterAutospacing="1"/>
      <w:jc w:val="right"/>
      <w:textAlignment w:val="center"/>
    </w:pPr>
    <w:rPr>
      <w:b/>
      <w:bCs/>
      <w:color w:val="000000"/>
      <w:sz w:val="16"/>
      <w:szCs w:val="16"/>
      <w:lang w:val="es-MX" w:eastAsia="es-MX"/>
    </w:rPr>
  </w:style>
  <w:style w:type="paragraph" w:customStyle="1" w:styleId="xl200">
    <w:name w:val="xl200"/>
    <w:basedOn w:val="Normal"/>
    <w:rsid w:val="0008023A"/>
    <w:pPr>
      <w:pBdr>
        <w:bottom w:val="single" w:sz="8" w:space="0" w:color="333333"/>
        <w:right w:val="single" w:sz="8" w:space="0" w:color="auto"/>
      </w:pBdr>
      <w:shd w:val="clear" w:color="000000" w:fill="FFFFFF"/>
      <w:spacing w:before="100" w:beforeAutospacing="1" w:after="100" w:afterAutospacing="1"/>
      <w:jc w:val="right"/>
      <w:textAlignment w:val="center"/>
    </w:pPr>
    <w:rPr>
      <w:color w:val="000000"/>
      <w:sz w:val="16"/>
      <w:szCs w:val="16"/>
      <w:lang w:val="es-MX" w:eastAsia="es-MX"/>
    </w:rPr>
  </w:style>
  <w:style w:type="paragraph" w:customStyle="1" w:styleId="xl201">
    <w:name w:val="xl201"/>
    <w:basedOn w:val="Normal"/>
    <w:rsid w:val="0008023A"/>
    <w:pPr>
      <w:pBdr>
        <w:bottom w:val="single" w:sz="8" w:space="0" w:color="auto"/>
        <w:right w:val="single" w:sz="8" w:space="0" w:color="auto"/>
      </w:pBdr>
      <w:shd w:val="clear" w:color="000000" w:fill="FFFFFF"/>
      <w:spacing w:before="100" w:beforeAutospacing="1" w:after="100" w:afterAutospacing="1"/>
      <w:jc w:val="right"/>
      <w:textAlignment w:val="center"/>
    </w:pPr>
    <w:rPr>
      <w:color w:val="000000"/>
      <w:sz w:val="16"/>
      <w:szCs w:val="16"/>
      <w:lang w:val="es-MX" w:eastAsia="es-MX"/>
    </w:rPr>
  </w:style>
  <w:style w:type="paragraph" w:customStyle="1" w:styleId="xl202">
    <w:name w:val="xl202"/>
    <w:basedOn w:val="Normal"/>
    <w:rsid w:val="0008023A"/>
    <w:pPr>
      <w:pBdr>
        <w:top w:val="single" w:sz="8" w:space="0" w:color="auto"/>
        <w:left w:val="single" w:sz="8" w:space="0" w:color="auto"/>
        <w:right w:val="single" w:sz="8" w:space="0" w:color="auto"/>
      </w:pBdr>
      <w:shd w:val="clear" w:color="000000" w:fill="FFFFFF"/>
      <w:spacing w:before="100" w:beforeAutospacing="1" w:after="100" w:afterAutospacing="1"/>
      <w:jc w:val="right"/>
      <w:textAlignment w:val="center"/>
    </w:pPr>
    <w:rPr>
      <w:color w:val="000000"/>
      <w:sz w:val="16"/>
      <w:szCs w:val="16"/>
      <w:lang w:val="es-MX" w:eastAsia="es-MX"/>
    </w:rPr>
  </w:style>
  <w:style w:type="paragraph" w:customStyle="1" w:styleId="xl203">
    <w:name w:val="xl203"/>
    <w:basedOn w:val="Normal"/>
    <w:rsid w:val="0008023A"/>
    <w:pPr>
      <w:pBdr>
        <w:left w:val="single" w:sz="8" w:space="0" w:color="auto"/>
        <w:bottom w:val="single" w:sz="8" w:space="0" w:color="auto"/>
        <w:right w:val="single" w:sz="8" w:space="0" w:color="auto"/>
      </w:pBdr>
      <w:shd w:val="clear" w:color="000000" w:fill="FFFFFF"/>
      <w:spacing w:before="100" w:beforeAutospacing="1" w:after="100" w:afterAutospacing="1"/>
      <w:jc w:val="right"/>
      <w:textAlignment w:val="center"/>
    </w:pPr>
    <w:rPr>
      <w:color w:val="000000"/>
      <w:sz w:val="16"/>
      <w:szCs w:val="16"/>
      <w:lang w:val="es-MX" w:eastAsia="es-MX"/>
    </w:rPr>
  </w:style>
  <w:style w:type="paragraph" w:customStyle="1" w:styleId="xl204">
    <w:name w:val="xl204"/>
    <w:basedOn w:val="Normal"/>
    <w:rsid w:val="0008023A"/>
    <w:pPr>
      <w:pBdr>
        <w:bottom w:val="single" w:sz="8" w:space="0" w:color="auto"/>
        <w:right w:val="single" w:sz="8" w:space="0" w:color="auto"/>
      </w:pBdr>
      <w:shd w:val="clear" w:color="000000" w:fill="FFFFFF"/>
      <w:spacing w:before="100" w:beforeAutospacing="1" w:after="100" w:afterAutospacing="1"/>
      <w:jc w:val="right"/>
      <w:textAlignment w:val="center"/>
    </w:pPr>
    <w:rPr>
      <w:b/>
      <w:bCs/>
      <w:color w:val="000000"/>
      <w:sz w:val="16"/>
      <w:szCs w:val="16"/>
      <w:lang w:val="es-MX" w:eastAsia="es-MX"/>
    </w:rPr>
  </w:style>
  <w:style w:type="paragraph" w:customStyle="1" w:styleId="xl205">
    <w:name w:val="xl205"/>
    <w:basedOn w:val="Normal"/>
    <w:rsid w:val="0008023A"/>
    <w:pPr>
      <w:pBdr>
        <w:bottom w:val="single" w:sz="8" w:space="0" w:color="333333"/>
        <w:right w:val="single" w:sz="8" w:space="0" w:color="auto"/>
      </w:pBdr>
      <w:shd w:val="clear" w:color="000000" w:fill="FFFFFF"/>
      <w:spacing w:before="100" w:beforeAutospacing="1" w:after="100" w:afterAutospacing="1"/>
      <w:jc w:val="right"/>
      <w:textAlignment w:val="center"/>
    </w:pPr>
    <w:rPr>
      <w:rFonts w:ascii="Arial Narrow" w:hAnsi="Arial Narrow"/>
      <w:b/>
      <w:bCs/>
      <w:color w:val="000000"/>
      <w:sz w:val="20"/>
      <w:szCs w:val="20"/>
      <w:lang w:val="es-MX" w:eastAsia="es-MX"/>
    </w:rPr>
  </w:style>
  <w:style w:type="paragraph" w:customStyle="1" w:styleId="xl206">
    <w:name w:val="xl206"/>
    <w:basedOn w:val="Normal"/>
    <w:rsid w:val="0008023A"/>
    <w:pPr>
      <w:pBdr>
        <w:bottom w:val="single" w:sz="8" w:space="0" w:color="333333"/>
        <w:right w:val="single" w:sz="8" w:space="0" w:color="auto"/>
      </w:pBdr>
      <w:shd w:val="clear" w:color="000000" w:fill="FFFFFF"/>
      <w:spacing w:before="100" w:beforeAutospacing="1" w:after="100" w:afterAutospacing="1"/>
      <w:jc w:val="right"/>
      <w:textAlignment w:val="center"/>
    </w:pPr>
    <w:rPr>
      <w:rFonts w:ascii="Arial Narrow" w:hAnsi="Arial Narrow"/>
      <w:color w:val="000000"/>
      <w:sz w:val="20"/>
      <w:szCs w:val="20"/>
      <w:lang w:val="es-MX" w:eastAsia="es-MX"/>
    </w:rPr>
  </w:style>
  <w:style w:type="paragraph" w:customStyle="1" w:styleId="xl207">
    <w:name w:val="xl207"/>
    <w:basedOn w:val="Normal"/>
    <w:rsid w:val="0008023A"/>
    <w:pPr>
      <w:pBdr>
        <w:right w:val="single" w:sz="8" w:space="0" w:color="auto"/>
      </w:pBdr>
      <w:shd w:val="clear" w:color="000000" w:fill="FFFFFF"/>
      <w:spacing w:before="100" w:beforeAutospacing="1" w:after="100" w:afterAutospacing="1"/>
      <w:jc w:val="right"/>
      <w:textAlignment w:val="center"/>
    </w:pPr>
    <w:rPr>
      <w:color w:val="000000"/>
      <w:sz w:val="16"/>
      <w:szCs w:val="16"/>
      <w:lang w:val="es-MX" w:eastAsia="es-MX"/>
    </w:rPr>
  </w:style>
  <w:style w:type="paragraph" w:customStyle="1" w:styleId="xl208">
    <w:name w:val="xl208"/>
    <w:basedOn w:val="Normal"/>
    <w:rsid w:val="0008023A"/>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right"/>
      <w:textAlignment w:val="center"/>
    </w:pPr>
    <w:rPr>
      <w:b/>
      <w:bCs/>
      <w:color w:val="000000"/>
      <w:sz w:val="16"/>
      <w:szCs w:val="16"/>
      <w:lang w:val="es-MX" w:eastAsia="es-MX"/>
    </w:rPr>
  </w:style>
  <w:style w:type="paragraph" w:customStyle="1" w:styleId="xl209">
    <w:name w:val="xl209"/>
    <w:basedOn w:val="Normal"/>
    <w:rsid w:val="0008023A"/>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right"/>
      <w:textAlignment w:val="center"/>
    </w:pPr>
    <w:rPr>
      <w:color w:val="000000"/>
      <w:sz w:val="16"/>
      <w:szCs w:val="16"/>
      <w:lang w:val="es-MX" w:eastAsia="es-MX"/>
    </w:rPr>
  </w:style>
  <w:style w:type="paragraph" w:customStyle="1" w:styleId="xl210">
    <w:name w:val="xl210"/>
    <w:basedOn w:val="Normal"/>
    <w:rsid w:val="0008023A"/>
    <w:pPr>
      <w:pBdr>
        <w:top w:val="single" w:sz="8" w:space="0" w:color="auto"/>
      </w:pBdr>
      <w:shd w:val="clear" w:color="000000" w:fill="FFFFFF"/>
      <w:spacing w:before="100" w:beforeAutospacing="1" w:after="100" w:afterAutospacing="1"/>
      <w:jc w:val="center"/>
      <w:textAlignment w:val="center"/>
    </w:pPr>
    <w:rPr>
      <w:color w:val="000000"/>
      <w:sz w:val="16"/>
      <w:szCs w:val="16"/>
      <w:lang w:val="es-MX" w:eastAsia="es-MX"/>
    </w:rPr>
  </w:style>
  <w:style w:type="paragraph" w:customStyle="1" w:styleId="xl211">
    <w:name w:val="xl211"/>
    <w:basedOn w:val="Normal"/>
    <w:rsid w:val="0008023A"/>
    <w:pPr>
      <w:pBdr>
        <w:top w:val="single" w:sz="8" w:space="0" w:color="auto"/>
        <w:right w:val="single" w:sz="8" w:space="0" w:color="auto"/>
      </w:pBdr>
      <w:shd w:val="clear" w:color="000000" w:fill="FFFFFF"/>
      <w:spacing w:before="100" w:beforeAutospacing="1" w:after="100" w:afterAutospacing="1"/>
      <w:jc w:val="center"/>
      <w:textAlignment w:val="center"/>
    </w:pPr>
    <w:rPr>
      <w:color w:val="000000"/>
      <w:sz w:val="16"/>
      <w:szCs w:val="16"/>
      <w:lang w:val="es-MX" w:eastAsia="es-MX"/>
    </w:rPr>
  </w:style>
  <w:style w:type="paragraph" w:customStyle="1" w:styleId="xl212">
    <w:name w:val="xl212"/>
    <w:basedOn w:val="Normal"/>
    <w:rsid w:val="0008023A"/>
    <w:pPr>
      <w:pBdr>
        <w:top w:val="single" w:sz="8" w:space="0" w:color="auto"/>
        <w:left w:val="single" w:sz="8" w:space="0" w:color="auto"/>
        <w:right w:val="single" w:sz="8" w:space="0" w:color="auto"/>
      </w:pBdr>
      <w:shd w:val="clear" w:color="000000" w:fill="FFFFFF"/>
      <w:spacing w:before="100" w:beforeAutospacing="1" w:after="100" w:afterAutospacing="1"/>
      <w:jc w:val="right"/>
      <w:textAlignment w:val="center"/>
    </w:pPr>
    <w:rPr>
      <w:color w:val="000000"/>
      <w:sz w:val="16"/>
      <w:szCs w:val="16"/>
      <w:lang w:val="es-MX" w:eastAsia="es-MX"/>
    </w:rPr>
  </w:style>
  <w:style w:type="paragraph" w:customStyle="1" w:styleId="xl213">
    <w:name w:val="xl213"/>
    <w:basedOn w:val="Normal"/>
    <w:rsid w:val="0008023A"/>
    <w:pPr>
      <w:pBdr>
        <w:left w:val="single" w:sz="8" w:space="0" w:color="auto"/>
        <w:bottom w:val="single" w:sz="8" w:space="0" w:color="auto"/>
        <w:right w:val="single" w:sz="8" w:space="0" w:color="auto"/>
      </w:pBdr>
      <w:shd w:val="clear" w:color="000000" w:fill="FFFFFF"/>
      <w:spacing w:before="100" w:beforeAutospacing="1" w:after="100" w:afterAutospacing="1"/>
      <w:jc w:val="right"/>
      <w:textAlignment w:val="center"/>
    </w:pPr>
    <w:rPr>
      <w:color w:val="000000"/>
      <w:sz w:val="16"/>
      <w:szCs w:val="16"/>
      <w:lang w:val="es-MX" w:eastAsia="es-MX"/>
    </w:rPr>
  </w:style>
  <w:style w:type="paragraph" w:customStyle="1" w:styleId="xl214">
    <w:name w:val="xl214"/>
    <w:basedOn w:val="Normal"/>
    <w:rsid w:val="0008023A"/>
    <w:pPr>
      <w:pBdr>
        <w:top w:val="single" w:sz="8" w:space="0" w:color="auto"/>
        <w:left w:val="single" w:sz="8" w:space="0" w:color="auto"/>
      </w:pBdr>
      <w:shd w:val="clear" w:color="000000" w:fill="FFFFFF"/>
      <w:spacing w:before="100" w:beforeAutospacing="1" w:after="100" w:afterAutospacing="1"/>
      <w:jc w:val="right"/>
      <w:textAlignment w:val="center"/>
    </w:pPr>
    <w:rPr>
      <w:color w:val="000000"/>
      <w:sz w:val="16"/>
      <w:szCs w:val="16"/>
      <w:lang w:val="es-MX" w:eastAsia="es-MX"/>
    </w:rPr>
  </w:style>
  <w:style w:type="paragraph" w:customStyle="1" w:styleId="xl215">
    <w:name w:val="xl215"/>
    <w:basedOn w:val="Normal"/>
    <w:rsid w:val="0008023A"/>
    <w:pPr>
      <w:pBdr>
        <w:top w:val="single" w:sz="8" w:space="0" w:color="auto"/>
      </w:pBdr>
      <w:shd w:val="clear" w:color="000000" w:fill="FFFFFF"/>
      <w:spacing w:before="100" w:beforeAutospacing="1" w:after="100" w:afterAutospacing="1"/>
      <w:jc w:val="right"/>
      <w:textAlignment w:val="center"/>
    </w:pPr>
    <w:rPr>
      <w:color w:val="000000"/>
      <w:sz w:val="16"/>
      <w:szCs w:val="16"/>
      <w:lang w:val="es-MX" w:eastAsia="es-MX"/>
    </w:rPr>
  </w:style>
  <w:style w:type="paragraph" w:customStyle="1" w:styleId="xl216">
    <w:name w:val="xl216"/>
    <w:basedOn w:val="Normal"/>
    <w:rsid w:val="0008023A"/>
    <w:pPr>
      <w:pBdr>
        <w:top w:val="single" w:sz="8" w:space="0" w:color="auto"/>
        <w:right w:val="single" w:sz="8" w:space="0" w:color="auto"/>
      </w:pBdr>
      <w:shd w:val="clear" w:color="000000" w:fill="FFFFFF"/>
      <w:spacing w:before="100" w:beforeAutospacing="1" w:after="100" w:afterAutospacing="1"/>
      <w:jc w:val="right"/>
      <w:textAlignment w:val="center"/>
    </w:pPr>
    <w:rPr>
      <w:color w:val="000000"/>
      <w:sz w:val="16"/>
      <w:szCs w:val="16"/>
      <w:lang w:val="es-MX" w:eastAsia="es-MX"/>
    </w:rPr>
  </w:style>
  <w:style w:type="paragraph" w:customStyle="1" w:styleId="xl217">
    <w:name w:val="xl217"/>
    <w:basedOn w:val="Normal"/>
    <w:rsid w:val="0008023A"/>
    <w:pPr>
      <w:pBdr>
        <w:left w:val="single" w:sz="8" w:space="0" w:color="auto"/>
        <w:bottom w:val="single" w:sz="8" w:space="0" w:color="auto"/>
      </w:pBdr>
      <w:shd w:val="clear" w:color="000000" w:fill="FFFFFF"/>
      <w:spacing w:before="100" w:beforeAutospacing="1" w:after="100" w:afterAutospacing="1"/>
      <w:jc w:val="right"/>
      <w:textAlignment w:val="center"/>
    </w:pPr>
    <w:rPr>
      <w:color w:val="000000"/>
      <w:sz w:val="16"/>
      <w:szCs w:val="16"/>
      <w:lang w:val="es-MX" w:eastAsia="es-MX"/>
    </w:rPr>
  </w:style>
  <w:style w:type="paragraph" w:customStyle="1" w:styleId="xl218">
    <w:name w:val="xl218"/>
    <w:basedOn w:val="Normal"/>
    <w:rsid w:val="0008023A"/>
    <w:pPr>
      <w:pBdr>
        <w:bottom w:val="single" w:sz="8" w:space="0" w:color="auto"/>
      </w:pBdr>
      <w:shd w:val="clear" w:color="000000" w:fill="FFFFFF"/>
      <w:spacing w:before="100" w:beforeAutospacing="1" w:after="100" w:afterAutospacing="1"/>
      <w:jc w:val="right"/>
      <w:textAlignment w:val="center"/>
    </w:pPr>
    <w:rPr>
      <w:color w:val="000000"/>
      <w:sz w:val="16"/>
      <w:szCs w:val="16"/>
      <w:lang w:val="es-MX" w:eastAsia="es-MX"/>
    </w:rPr>
  </w:style>
  <w:style w:type="paragraph" w:customStyle="1" w:styleId="xl219">
    <w:name w:val="xl219"/>
    <w:basedOn w:val="Normal"/>
    <w:rsid w:val="0008023A"/>
    <w:pPr>
      <w:pBdr>
        <w:bottom w:val="single" w:sz="8" w:space="0" w:color="auto"/>
        <w:right w:val="single" w:sz="8" w:space="0" w:color="auto"/>
      </w:pBdr>
      <w:shd w:val="clear" w:color="000000" w:fill="FFFFFF"/>
      <w:spacing w:before="100" w:beforeAutospacing="1" w:after="100" w:afterAutospacing="1"/>
      <w:jc w:val="right"/>
      <w:textAlignment w:val="center"/>
    </w:pPr>
    <w:rPr>
      <w:color w:val="000000"/>
      <w:sz w:val="16"/>
      <w:szCs w:val="16"/>
      <w:lang w:val="es-MX" w:eastAsia="es-MX"/>
    </w:rPr>
  </w:style>
  <w:style w:type="paragraph" w:customStyle="1" w:styleId="xl220">
    <w:name w:val="xl220"/>
    <w:basedOn w:val="Normal"/>
    <w:rsid w:val="0008023A"/>
    <w:pPr>
      <w:pBdr>
        <w:top w:val="single" w:sz="8" w:space="0" w:color="333333"/>
        <w:bottom w:val="single" w:sz="8" w:space="0" w:color="333333"/>
      </w:pBdr>
      <w:shd w:val="clear" w:color="000000" w:fill="FFFFFF"/>
      <w:spacing w:before="100" w:beforeAutospacing="1" w:after="100" w:afterAutospacing="1"/>
      <w:textAlignment w:val="center"/>
    </w:pPr>
    <w:rPr>
      <w:b/>
      <w:bCs/>
      <w:color w:val="000000"/>
      <w:sz w:val="16"/>
      <w:szCs w:val="16"/>
      <w:lang w:val="es-MX" w:eastAsia="es-MX"/>
    </w:rPr>
  </w:style>
  <w:style w:type="paragraph" w:customStyle="1" w:styleId="xl221">
    <w:name w:val="xl221"/>
    <w:basedOn w:val="Normal"/>
    <w:rsid w:val="0008023A"/>
    <w:pPr>
      <w:pBdr>
        <w:top w:val="single" w:sz="8" w:space="0" w:color="333333"/>
        <w:bottom w:val="single" w:sz="8" w:space="0" w:color="333333"/>
        <w:right w:val="single" w:sz="8" w:space="0" w:color="333333"/>
      </w:pBdr>
      <w:shd w:val="clear" w:color="000000" w:fill="FFFFFF"/>
      <w:spacing w:before="100" w:beforeAutospacing="1" w:after="100" w:afterAutospacing="1"/>
      <w:textAlignment w:val="center"/>
    </w:pPr>
    <w:rPr>
      <w:b/>
      <w:bCs/>
      <w:color w:val="000000"/>
      <w:sz w:val="16"/>
      <w:szCs w:val="16"/>
      <w:lang w:val="es-MX" w:eastAsia="es-MX"/>
    </w:rPr>
  </w:style>
  <w:style w:type="character" w:customStyle="1" w:styleId="Absatz-Standardschriftart">
    <w:name w:val="Absatz-Standardschriftart"/>
    <w:rsid w:val="0008023A"/>
  </w:style>
  <w:style w:type="character" w:customStyle="1" w:styleId="WW-Absatz-Standardschriftart">
    <w:name w:val="WW-Absatz-Standardschriftart"/>
    <w:rsid w:val="0008023A"/>
  </w:style>
  <w:style w:type="character" w:customStyle="1" w:styleId="WW-Absatz-Standardschriftart1">
    <w:name w:val="WW-Absatz-Standardschriftart1"/>
    <w:rsid w:val="0008023A"/>
  </w:style>
  <w:style w:type="character" w:customStyle="1" w:styleId="WW-Absatz-Standardschriftart11">
    <w:name w:val="WW-Absatz-Standardschriftart11"/>
    <w:rsid w:val="0008023A"/>
  </w:style>
  <w:style w:type="character" w:customStyle="1" w:styleId="WW-Absatz-Standardschriftart111">
    <w:name w:val="WW-Absatz-Standardschriftart111"/>
    <w:rsid w:val="0008023A"/>
  </w:style>
  <w:style w:type="character" w:customStyle="1" w:styleId="WW8Num2z0">
    <w:name w:val="WW8Num2z0"/>
    <w:rsid w:val="0008023A"/>
    <w:rPr>
      <w:rFonts w:ascii="Wingdings" w:hAnsi="Wingdings" w:cs="Wingdings"/>
    </w:rPr>
  </w:style>
  <w:style w:type="character" w:customStyle="1" w:styleId="WW8Num3z0">
    <w:name w:val="WW8Num3z0"/>
    <w:rsid w:val="0008023A"/>
    <w:rPr>
      <w:rFonts w:ascii="Symbol" w:hAnsi="Symbol" w:cs="Symbol"/>
    </w:rPr>
  </w:style>
  <w:style w:type="character" w:customStyle="1" w:styleId="WW8Num3z1">
    <w:name w:val="WW8Num3z1"/>
    <w:rsid w:val="0008023A"/>
    <w:rPr>
      <w:rFonts w:ascii="Courier New" w:hAnsi="Courier New" w:cs="Courier New"/>
    </w:rPr>
  </w:style>
  <w:style w:type="character" w:customStyle="1" w:styleId="WW8Num3z2">
    <w:name w:val="WW8Num3z2"/>
    <w:rsid w:val="0008023A"/>
    <w:rPr>
      <w:rFonts w:ascii="Wingdings" w:hAnsi="Wingdings" w:cs="Wingdings"/>
    </w:rPr>
  </w:style>
  <w:style w:type="character" w:customStyle="1" w:styleId="WW8Num4z0">
    <w:name w:val="WW8Num4z0"/>
    <w:rsid w:val="0008023A"/>
    <w:rPr>
      <w:rFonts w:ascii="Symbol" w:hAnsi="Symbol" w:cs="Symbol"/>
    </w:rPr>
  </w:style>
  <w:style w:type="character" w:customStyle="1" w:styleId="WW8Num4z1">
    <w:name w:val="WW8Num4z1"/>
    <w:rsid w:val="0008023A"/>
    <w:rPr>
      <w:rFonts w:ascii="Courier New" w:hAnsi="Courier New" w:cs="Courier New"/>
    </w:rPr>
  </w:style>
  <w:style w:type="character" w:customStyle="1" w:styleId="WW8Num4z2">
    <w:name w:val="WW8Num4z2"/>
    <w:rsid w:val="0008023A"/>
    <w:rPr>
      <w:rFonts w:ascii="Wingdings" w:hAnsi="Wingdings" w:cs="Wingdings"/>
    </w:rPr>
  </w:style>
  <w:style w:type="character" w:customStyle="1" w:styleId="WW8Num5z0">
    <w:name w:val="WW8Num5z0"/>
    <w:rsid w:val="0008023A"/>
    <w:rPr>
      <w:rFonts w:ascii="Symbol" w:hAnsi="Symbol" w:cs="Symbol"/>
    </w:rPr>
  </w:style>
  <w:style w:type="character" w:customStyle="1" w:styleId="WW8Num5z1">
    <w:name w:val="WW8Num5z1"/>
    <w:rsid w:val="0008023A"/>
    <w:rPr>
      <w:rFonts w:ascii="Courier New" w:hAnsi="Courier New" w:cs="Courier New"/>
    </w:rPr>
  </w:style>
  <w:style w:type="character" w:customStyle="1" w:styleId="WW8Num5z2">
    <w:name w:val="WW8Num5z2"/>
    <w:rsid w:val="0008023A"/>
    <w:rPr>
      <w:rFonts w:ascii="Wingdings" w:hAnsi="Wingdings" w:cs="Wingdings"/>
    </w:rPr>
  </w:style>
  <w:style w:type="character" w:customStyle="1" w:styleId="WW8Num6z0">
    <w:name w:val="WW8Num6z0"/>
    <w:rsid w:val="0008023A"/>
    <w:rPr>
      <w:rFonts w:ascii="Symbol" w:hAnsi="Symbol" w:cs="Symbol"/>
    </w:rPr>
  </w:style>
  <w:style w:type="character" w:customStyle="1" w:styleId="WW8Num6z1">
    <w:name w:val="WW8Num6z1"/>
    <w:rsid w:val="0008023A"/>
    <w:rPr>
      <w:rFonts w:ascii="Courier New" w:hAnsi="Courier New" w:cs="Courier New"/>
    </w:rPr>
  </w:style>
  <w:style w:type="character" w:customStyle="1" w:styleId="WW8Num6z2">
    <w:name w:val="WW8Num6z2"/>
    <w:rsid w:val="0008023A"/>
    <w:rPr>
      <w:rFonts w:ascii="Wingdings" w:hAnsi="Wingdings" w:cs="Wingdings"/>
    </w:rPr>
  </w:style>
  <w:style w:type="character" w:customStyle="1" w:styleId="WW8Num7z0">
    <w:name w:val="WW8Num7z0"/>
    <w:rsid w:val="0008023A"/>
    <w:rPr>
      <w:rFonts w:ascii="Symbol" w:hAnsi="Symbol" w:cs="Symbol"/>
    </w:rPr>
  </w:style>
  <w:style w:type="character" w:customStyle="1" w:styleId="WW8Num8z0">
    <w:name w:val="WW8Num8z0"/>
    <w:rsid w:val="0008023A"/>
    <w:rPr>
      <w:rFonts w:ascii="Wingdings" w:hAnsi="Wingdings" w:cs="Wingdings"/>
    </w:rPr>
  </w:style>
  <w:style w:type="character" w:customStyle="1" w:styleId="WW8Num9z0">
    <w:name w:val="WW8Num9z0"/>
    <w:rsid w:val="0008023A"/>
    <w:rPr>
      <w:rFonts w:ascii="Wingdings" w:hAnsi="Wingdings" w:cs="Wingdings"/>
    </w:rPr>
  </w:style>
  <w:style w:type="character" w:customStyle="1" w:styleId="WW8NumSt3z0">
    <w:name w:val="WW8NumSt3z0"/>
    <w:rsid w:val="0008023A"/>
    <w:rPr>
      <w:rFonts w:ascii="Arial" w:hAnsi="Arial" w:cs="Arial"/>
      <w:sz w:val="32"/>
    </w:rPr>
  </w:style>
  <w:style w:type="character" w:customStyle="1" w:styleId="Fuentedeprrafopredeter1">
    <w:name w:val="Fuente de párrafo predeter.1"/>
    <w:rsid w:val="0008023A"/>
  </w:style>
  <w:style w:type="paragraph" w:customStyle="1" w:styleId="Encabezado1">
    <w:name w:val="Encabezado1"/>
    <w:basedOn w:val="Normal"/>
    <w:next w:val="Textoindependiente"/>
    <w:rsid w:val="0008023A"/>
    <w:pPr>
      <w:keepNext/>
      <w:suppressAutoHyphens/>
      <w:spacing w:before="240" w:after="120"/>
    </w:pPr>
    <w:rPr>
      <w:rFonts w:ascii="Arial" w:eastAsia="WenQuanYi Micro Hei" w:hAnsi="Arial" w:cs="Lohit Hindi"/>
      <w:sz w:val="28"/>
      <w:szCs w:val="28"/>
      <w:lang w:eastAsia="ar-SA"/>
    </w:rPr>
  </w:style>
  <w:style w:type="paragraph" w:styleId="Lista">
    <w:name w:val="List"/>
    <w:basedOn w:val="Textoindependiente"/>
    <w:rsid w:val="0008023A"/>
    <w:pPr>
      <w:suppressAutoHyphens/>
      <w:spacing w:line="240" w:lineRule="auto"/>
      <w:jc w:val="left"/>
    </w:pPr>
    <w:rPr>
      <w:rFonts w:cs="Lohit Hindi"/>
      <w:b w:val="0"/>
      <w:bCs w:val="0"/>
      <w:sz w:val="16"/>
      <w:szCs w:val="20"/>
      <w:lang w:eastAsia="ar-SA"/>
    </w:rPr>
  </w:style>
  <w:style w:type="paragraph" w:customStyle="1" w:styleId="Etiqueta">
    <w:name w:val="Etiqueta"/>
    <w:basedOn w:val="Normal"/>
    <w:rsid w:val="0008023A"/>
    <w:pPr>
      <w:suppressLineNumbers/>
      <w:suppressAutoHyphens/>
      <w:spacing w:before="120" w:after="120"/>
    </w:pPr>
    <w:rPr>
      <w:rFonts w:cs="Lohit Hindi"/>
      <w:i/>
      <w:iCs/>
      <w:lang w:eastAsia="ar-SA"/>
    </w:rPr>
  </w:style>
  <w:style w:type="paragraph" w:customStyle="1" w:styleId="ndice">
    <w:name w:val="Índice"/>
    <w:basedOn w:val="Normal"/>
    <w:rsid w:val="0008023A"/>
    <w:pPr>
      <w:suppressLineNumbers/>
      <w:suppressAutoHyphens/>
    </w:pPr>
    <w:rPr>
      <w:rFonts w:cs="Lohit Hindi"/>
      <w:sz w:val="20"/>
      <w:szCs w:val="20"/>
      <w:lang w:eastAsia="ar-SA"/>
    </w:rPr>
  </w:style>
  <w:style w:type="paragraph" w:customStyle="1" w:styleId="Contenidodelatabla">
    <w:name w:val="Contenido de la tabla"/>
    <w:basedOn w:val="Normal"/>
    <w:rsid w:val="0008023A"/>
    <w:pPr>
      <w:suppressLineNumbers/>
      <w:suppressAutoHyphens/>
    </w:pPr>
    <w:rPr>
      <w:sz w:val="20"/>
      <w:szCs w:val="20"/>
      <w:lang w:eastAsia="ar-SA"/>
    </w:rPr>
  </w:style>
  <w:style w:type="paragraph" w:customStyle="1" w:styleId="Encabezadodelatabla">
    <w:name w:val="Encabezado de la tabla"/>
    <w:basedOn w:val="Contenidodelatabla"/>
    <w:rsid w:val="0008023A"/>
    <w:pPr>
      <w:jc w:val="center"/>
    </w:pPr>
    <w:rPr>
      <w:b/>
      <w:bCs/>
    </w:rPr>
  </w:style>
  <w:style w:type="paragraph" w:customStyle="1" w:styleId="Contenidodelmarco">
    <w:name w:val="Contenido del marco"/>
    <w:basedOn w:val="Textoindependiente"/>
    <w:rsid w:val="0008023A"/>
    <w:pPr>
      <w:suppressAutoHyphens/>
      <w:spacing w:line="240" w:lineRule="auto"/>
      <w:jc w:val="left"/>
    </w:pPr>
    <w:rPr>
      <w:b w:val="0"/>
      <w:bCs w:val="0"/>
      <w:sz w:val="16"/>
      <w:szCs w:val="20"/>
      <w:lang w:eastAsia="ar-SA"/>
    </w:rPr>
  </w:style>
  <w:style w:type="paragraph" w:customStyle="1" w:styleId="xl222">
    <w:name w:val="xl222"/>
    <w:basedOn w:val="Normal"/>
    <w:rsid w:val="0008023A"/>
    <w:pPr>
      <w:pBdr>
        <w:top w:val="single" w:sz="8" w:space="0" w:color="auto"/>
        <w:left w:val="single" w:sz="8" w:space="0" w:color="auto"/>
      </w:pBdr>
      <w:shd w:val="clear" w:color="000000" w:fill="FFFFFF"/>
      <w:spacing w:before="100" w:beforeAutospacing="1" w:after="100" w:afterAutospacing="1"/>
      <w:jc w:val="right"/>
      <w:textAlignment w:val="center"/>
    </w:pPr>
    <w:rPr>
      <w:color w:val="000000"/>
      <w:sz w:val="16"/>
      <w:szCs w:val="16"/>
      <w:lang w:val="es-MX" w:eastAsia="es-MX"/>
    </w:rPr>
  </w:style>
  <w:style w:type="paragraph" w:customStyle="1" w:styleId="xl223">
    <w:name w:val="xl223"/>
    <w:basedOn w:val="Normal"/>
    <w:rsid w:val="0008023A"/>
    <w:pPr>
      <w:pBdr>
        <w:top w:val="single" w:sz="8" w:space="0" w:color="auto"/>
      </w:pBdr>
      <w:shd w:val="clear" w:color="000000" w:fill="FFFFFF"/>
      <w:spacing w:before="100" w:beforeAutospacing="1" w:after="100" w:afterAutospacing="1"/>
      <w:jc w:val="right"/>
      <w:textAlignment w:val="center"/>
    </w:pPr>
    <w:rPr>
      <w:color w:val="000000"/>
      <w:sz w:val="16"/>
      <w:szCs w:val="16"/>
      <w:lang w:val="es-MX" w:eastAsia="es-MX"/>
    </w:rPr>
  </w:style>
  <w:style w:type="paragraph" w:customStyle="1" w:styleId="xl224">
    <w:name w:val="xl224"/>
    <w:basedOn w:val="Normal"/>
    <w:rsid w:val="0008023A"/>
    <w:pPr>
      <w:pBdr>
        <w:top w:val="single" w:sz="8" w:space="0" w:color="auto"/>
        <w:right w:val="single" w:sz="8" w:space="0" w:color="auto"/>
      </w:pBdr>
      <w:shd w:val="clear" w:color="000000" w:fill="FFFFFF"/>
      <w:spacing w:before="100" w:beforeAutospacing="1" w:after="100" w:afterAutospacing="1"/>
      <w:jc w:val="right"/>
      <w:textAlignment w:val="center"/>
    </w:pPr>
    <w:rPr>
      <w:color w:val="000000"/>
      <w:sz w:val="16"/>
      <w:szCs w:val="16"/>
      <w:lang w:val="es-MX" w:eastAsia="es-MX"/>
    </w:rPr>
  </w:style>
  <w:style w:type="paragraph" w:customStyle="1" w:styleId="xl225">
    <w:name w:val="xl225"/>
    <w:basedOn w:val="Normal"/>
    <w:rsid w:val="0008023A"/>
    <w:pPr>
      <w:pBdr>
        <w:top w:val="single" w:sz="8" w:space="0" w:color="333333"/>
        <w:left w:val="single" w:sz="8" w:space="0" w:color="333333"/>
        <w:bottom w:val="single" w:sz="8" w:space="0" w:color="333333"/>
        <w:right w:val="single" w:sz="8" w:space="0" w:color="auto"/>
      </w:pBdr>
      <w:spacing w:before="100" w:beforeAutospacing="1" w:after="100" w:afterAutospacing="1"/>
      <w:jc w:val="right"/>
      <w:textAlignment w:val="center"/>
    </w:pPr>
    <w:rPr>
      <w:color w:val="000000"/>
      <w:sz w:val="16"/>
      <w:szCs w:val="16"/>
      <w:lang w:val="es-MX" w:eastAsia="es-MX"/>
    </w:rPr>
  </w:style>
  <w:style w:type="paragraph" w:customStyle="1" w:styleId="xl226">
    <w:name w:val="xl226"/>
    <w:basedOn w:val="Normal"/>
    <w:rsid w:val="0008023A"/>
    <w:pPr>
      <w:pBdr>
        <w:top w:val="single" w:sz="8" w:space="0" w:color="333333"/>
        <w:left w:val="single" w:sz="8" w:space="0" w:color="333333"/>
        <w:bottom w:val="single" w:sz="8" w:space="0" w:color="auto"/>
        <w:right w:val="single" w:sz="8" w:space="0" w:color="auto"/>
      </w:pBdr>
      <w:shd w:val="clear" w:color="000000" w:fill="FFFFFF"/>
      <w:spacing w:before="100" w:beforeAutospacing="1" w:after="100" w:afterAutospacing="1"/>
      <w:jc w:val="right"/>
      <w:textAlignment w:val="center"/>
    </w:pPr>
    <w:rPr>
      <w:color w:val="000000"/>
      <w:sz w:val="16"/>
      <w:szCs w:val="16"/>
      <w:lang w:val="es-MX" w:eastAsia="es-MX"/>
    </w:rPr>
  </w:style>
  <w:style w:type="paragraph" w:customStyle="1" w:styleId="xl227">
    <w:name w:val="xl227"/>
    <w:basedOn w:val="Normal"/>
    <w:rsid w:val="0008023A"/>
    <w:pPr>
      <w:pBdr>
        <w:bottom w:val="single" w:sz="8" w:space="0" w:color="333333"/>
        <w:right w:val="single" w:sz="8" w:space="0" w:color="333333"/>
      </w:pBdr>
      <w:shd w:val="clear" w:color="000000" w:fill="FFFF00"/>
      <w:spacing w:before="100" w:beforeAutospacing="1" w:after="100" w:afterAutospacing="1"/>
      <w:jc w:val="right"/>
      <w:textAlignment w:val="center"/>
    </w:pPr>
    <w:rPr>
      <w:b/>
      <w:bCs/>
      <w:color w:val="000000"/>
      <w:sz w:val="16"/>
      <w:szCs w:val="16"/>
      <w:lang w:val="es-MX" w:eastAsia="es-MX"/>
    </w:rPr>
  </w:style>
  <w:style w:type="paragraph" w:customStyle="1" w:styleId="xl228">
    <w:name w:val="xl228"/>
    <w:basedOn w:val="Normal"/>
    <w:rsid w:val="0008023A"/>
    <w:pPr>
      <w:pBdr>
        <w:bottom w:val="single" w:sz="8" w:space="0" w:color="333333"/>
        <w:right w:val="single" w:sz="8" w:space="0" w:color="333333"/>
      </w:pBdr>
      <w:shd w:val="clear" w:color="000000" w:fill="FFC000"/>
      <w:spacing w:before="100" w:beforeAutospacing="1" w:after="100" w:afterAutospacing="1"/>
      <w:jc w:val="right"/>
      <w:textAlignment w:val="center"/>
    </w:pPr>
    <w:rPr>
      <w:b/>
      <w:bCs/>
      <w:color w:val="000000"/>
      <w:sz w:val="16"/>
      <w:szCs w:val="16"/>
      <w:lang w:val="es-MX" w:eastAsia="es-MX"/>
    </w:rPr>
  </w:style>
  <w:style w:type="paragraph" w:customStyle="1" w:styleId="xl229">
    <w:name w:val="xl229"/>
    <w:basedOn w:val="Normal"/>
    <w:rsid w:val="0008023A"/>
    <w:pPr>
      <w:pBdr>
        <w:top w:val="single" w:sz="8" w:space="0" w:color="auto"/>
        <w:bottom w:val="single" w:sz="8" w:space="0" w:color="auto"/>
        <w:right w:val="single" w:sz="8" w:space="0" w:color="auto"/>
      </w:pBdr>
      <w:shd w:val="clear" w:color="000000" w:fill="92D050"/>
      <w:spacing w:before="100" w:beforeAutospacing="1" w:after="100" w:afterAutospacing="1"/>
      <w:jc w:val="right"/>
      <w:textAlignment w:val="center"/>
    </w:pPr>
    <w:rPr>
      <w:b/>
      <w:bCs/>
      <w:color w:val="000000"/>
      <w:sz w:val="16"/>
      <w:szCs w:val="16"/>
      <w:lang w:val="es-MX" w:eastAsia="es-MX"/>
    </w:rPr>
  </w:style>
  <w:style w:type="paragraph" w:customStyle="1" w:styleId="xl230">
    <w:name w:val="xl230"/>
    <w:basedOn w:val="Normal"/>
    <w:rsid w:val="0008023A"/>
    <w:pPr>
      <w:pBdr>
        <w:bottom w:val="single" w:sz="8" w:space="0" w:color="auto"/>
        <w:right w:val="single" w:sz="8" w:space="0" w:color="auto"/>
      </w:pBdr>
      <w:shd w:val="clear" w:color="000000" w:fill="92D050"/>
      <w:spacing w:before="100" w:beforeAutospacing="1" w:after="100" w:afterAutospacing="1"/>
      <w:jc w:val="right"/>
      <w:textAlignment w:val="center"/>
    </w:pPr>
    <w:rPr>
      <w:b/>
      <w:bCs/>
      <w:color w:val="000000"/>
      <w:sz w:val="16"/>
      <w:szCs w:val="16"/>
      <w:lang w:val="es-MX" w:eastAsia="es-MX"/>
    </w:rPr>
  </w:style>
  <w:style w:type="paragraph" w:customStyle="1" w:styleId="xl231">
    <w:name w:val="xl231"/>
    <w:basedOn w:val="Normal"/>
    <w:rsid w:val="0008023A"/>
    <w:pPr>
      <w:pBdr>
        <w:bottom w:val="single" w:sz="8" w:space="0" w:color="auto"/>
        <w:right w:val="single" w:sz="8" w:space="0" w:color="auto"/>
      </w:pBdr>
      <w:shd w:val="clear" w:color="000000" w:fill="FF0000"/>
      <w:spacing w:before="100" w:beforeAutospacing="1" w:after="100" w:afterAutospacing="1"/>
      <w:jc w:val="right"/>
      <w:textAlignment w:val="center"/>
    </w:pPr>
    <w:rPr>
      <w:b/>
      <w:bCs/>
      <w:color w:val="000000"/>
      <w:sz w:val="16"/>
      <w:szCs w:val="16"/>
      <w:lang w:val="es-MX" w:eastAsia="es-MX"/>
    </w:rPr>
  </w:style>
  <w:style w:type="table" w:customStyle="1" w:styleId="Sombreadoclaro1">
    <w:name w:val="Sombreado claro1"/>
    <w:basedOn w:val="Tablanormal"/>
    <w:uiPriority w:val="60"/>
    <w:rsid w:val="0008023A"/>
    <w:rPr>
      <w:rFonts w:ascii="Calibri" w:eastAsia="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concuadrcula2">
    <w:name w:val="Tabla con cuadrícula2"/>
    <w:basedOn w:val="Tablanormal"/>
    <w:next w:val="Tablaconcuadrcula"/>
    <w:uiPriority w:val="59"/>
    <w:rsid w:val="0008023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
    <w:name w:val="Tabla con cuadrícula3"/>
    <w:basedOn w:val="Tablanormal"/>
    <w:next w:val="Tablaconcuadrcula"/>
    <w:uiPriority w:val="59"/>
    <w:rsid w:val="0008023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
    <w:name w:val="Tabla con cuadrícula4"/>
    <w:basedOn w:val="Tablanormal"/>
    <w:next w:val="Tablaconcuadrcula"/>
    <w:uiPriority w:val="59"/>
    <w:rsid w:val="0008023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5">
    <w:name w:val="Tabla con cuadrícula5"/>
    <w:basedOn w:val="Tablanormal"/>
    <w:next w:val="Tablaconcuadrcula"/>
    <w:uiPriority w:val="59"/>
    <w:rsid w:val="0008023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
    <w:name w:val="Tabla con cuadrícula6"/>
    <w:basedOn w:val="Tablanormal"/>
    <w:next w:val="Tablaconcuadrcula"/>
    <w:uiPriority w:val="59"/>
    <w:rsid w:val="0008023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
    <w:name w:val="Sin lista2"/>
    <w:next w:val="Sinlista"/>
    <w:uiPriority w:val="99"/>
    <w:semiHidden/>
    <w:unhideWhenUsed/>
    <w:rsid w:val="0008023A"/>
  </w:style>
  <w:style w:type="table" w:customStyle="1" w:styleId="Tablaconcuadrcula51">
    <w:name w:val="Tabla con cuadrícula51"/>
    <w:basedOn w:val="Tablanormal"/>
    <w:next w:val="Tablaconcuadrcula"/>
    <w:uiPriority w:val="59"/>
    <w:rsid w:val="0008023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7">
    <w:name w:val="Tabla con cuadrícula7"/>
    <w:basedOn w:val="Tablanormal"/>
    <w:next w:val="Tablaconcuadrcula"/>
    <w:uiPriority w:val="59"/>
    <w:rsid w:val="0008023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1">
    <w:name w:val="Tabla con cuadrícula61"/>
    <w:basedOn w:val="Tablanormal"/>
    <w:next w:val="Tablaconcuadrcula"/>
    <w:uiPriority w:val="59"/>
    <w:rsid w:val="0008023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52">
    <w:name w:val="Tabla con cuadrícula52"/>
    <w:basedOn w:val="Tablanormal"/>
    <w:next w:val="Tablaconcuadrcula"/>
    <w:uiPriority w:val="59"/>
    <w:rsid w:val="0008023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2">
    <w:name w:val="Tabla con cuadrícula62"/>
    <w:basedOn w:val="Tablanormal"/>
    <w:next w:val="Tablaconcuadrcula"/>
    <w:uiPriority w:val="59"/>
    <w:rsid w:val="0008023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3">
    <w:name w:val="Sin lista3"/>
    <w:next w:val="Sinlista"/>
    <w:uiPriority w:val="99"/>
    <w:semiHidden/>
    <w:unhideWhenUsed/>
    <w:rsid w:val="0008023A"/>
  </w:style>
  <w:style w:type="paragraph" w:customStyle="1" w:styleId="ecxmsolistparagraph">
    <w:name w:val="ecxmsolistparagraph"/>
    <w:basedOn w:val="Normal"/>
    <w:rsid w:val="0008023A"/>
    <w:pPr>
      <w:spacing w:after="324"/>
    </w:pPr>
    <w:rPr>
      <w:lang w:val="es-MX" w:eastAsia="es-MX"/>
    </w:rPr>
  </w:style>
  <w:style w:type="numbering" w:customStyle="1" w:styleId="Sinlista4">
    <w:name w:val="Sin lista4"/>
    <w:next w:val="Sinlista"/>
    <w:uiPriority w:val="99"/>
    <w:semiHidden/>
    <w:unhideWhenUsed/>
    <w:rsid w:val="0008023A"/>
  </w:style>
  <w:style w:type="table" w:customStyle="1" w:styleId="Tablaconcuadrcula53">
    <w:name w:val="Tabla con cuadrícula53"/>
    <w:basedOn w:val="Tablanormal"/>
    <w:next w:val="Tablaconcuadrcula"/>
    <w:uiPriority w:val="59"/>
    <w:rsid w:val="0008023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8">
    <w:name w:val="Tabla con cuadrícula8"/>
    <w:basedOn w:val="Tablanormal"/>
    <w:next w:val="Tablaconcuadrcula"/>
    <w:uiPriority w:val="59"/>
    <w:rsid w:val="0008023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3">
    <w:name w:val="Tabla con cuadrícula63"/>
    <w:basedOn w:val="Tablanormal"/>
    <w:next w:val="Tablaconcuadrcula"/>
    <w:uiPriority w:val="59"/>
    <w:rsid w:val="0008023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
    <w:name w:val="TableGrid"/>
    <w:rsid w:val="0008023A"/>
    <w:pPr>
      <w:jc w:val="both"/>
    </w:pPr>
    <w:rPr>
      <w:rFonts w:ascii="Calibri" w:hAnsi="Calibri"/>
      <w:sz w:val="22"/>
      <w:szCs w:val="22"/>
    </w:rPr>
    <w:tblPr>
      <w:tblCellMar>
        <w:top w:w="0" w:type="dxa"/>
        <w:left w:w="0" w:type="dxa"/>
        <w:bottom w:w="0" w:type="dxa"/>
        <w:right w:w="0" w:type="dxa"/>
      </w:tblCellMar>
    </w:tblPr>
  </w:style>
  <w:style w:type="numbering" w:customStyle="1" w:styleId="Sinlista5">
    <w:name w:val="Sin lista5"/>
    <w:next w:val="Sinlista"/>
    <w:uiPriority w:val="99"/>
    <w:semiHidden/>
    <w:unhideWhenUsed/>
    <w:rsid w:val="0008023A"/>
  </w:style>
  <w:style w:type="numbering" w:customStyle="1" w:styleId="Sinlista12">
    <w:name w:val="Sin lista12"/>
    <w:next w:val="Sinlista"/>
    <w:uiPriority w:val="99"/>
    <w:semiHidden/>
    <w:unhideWhenUsed/>
    <w:rsid w:val="0008023A"/>
  </w:style>
  <w:style w:type="table" w:customStyle="1" w:styleId="Tablaconcuadrcula9">
    <w:name w:val="Tabla con cuadrícula9"/>
    <w:basedOn w:val="Tablanormal"/>
    <w:next w:val="Tablaconcuadrcula"/>
    <w:uiPriority w:val="59"/>
    <w:rsid w:val="0008023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1">
    <w:name w:val="Sin lista1111"/>
    <w:next w:val="Sinlista"/>
    <w:uiPriority w:val="99"/>
    <w:semiHidden/>
    <w:unhideWhenUsed/>
    <w:rsid w:val="0008023A"/>
  </w:style>
  <w:style w:type="table" w:customStyle="1" w:styleId="Tablaconcuadrcula11">
    <w:name w:val="Tabla con cuadrícula11"/>
    <w:basedOn w:val="Tablanormal"/>
    <w:next w:val="Tablaconcuadrcula"/>
    <w:uiPriority w:val="59"/>
    <w:rsid w:val="0008023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ombreadoclaro11">
    <w:name w:val="Sombreado claro11"/>
    <w:basedOn w:val="Tablanormal"/>
    <w:uiPriority w:val="60"/>
    <w:rsid w:val="0008023A"/>
    <w:rPr>
      <w:rFonts w:ascii="Calibri" w:eastAsia="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concuadrcula21">
    <w:name w:val="Tabla con cuadrícula21"/>
    <w:basedOn w:val="Tablanormal"/>
    <w:next w:val="Tablaconcuadrcula"/>
    <w:uiPriority w:val="59"/>
    <w:rsid w:val="0008023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
    <w:name w:val="Tabla con cuadrícula31"/>
    <w:basedOn w:val="Tablanormal"/>
    <w:next w:val="Tablaconcuadrcula"/>
    <w:uiPriority w:val="59"/>
    <w:rsid w:val="0008023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1">
    <w:name w:val="Tabla con cuadrícula41"/>
    <w:basedOn w:val="Tablanormal"/>
    <w:next w:val="Tablaconcuadrcula"/>
    <w:uiPriority w:val="59"/>
    <w:rsid w:val="0008023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54">
    <w:name w:val="Tabla con cuadrícula54"/>
    <w:basedOn w:val="Tablanormal"/>
    <w:next w:val="Tablaconcuadrcula"/>
    <w:uiPriority w:val="59"/>
    <w:rsid w:val="0008023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4">
    <w:name w:val="Tabla con cuadrícula64"/>
    <w:basedOn w:val="Tablanormal"/>
    <w:next w:val="Tablaconcuadrcula"/>
    <w:uiPriority w:val="59"/>
    <w:rsid w:val="0008023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
    <w:name w:val="Sin lista21"/>
    <w:next w:val="Sinlista"/>
    <w:uiPriority w:val="99"/>
    <w:semiHidden/>
    <w:unhideWhenUsed/>
    <w:rsid w:val="0008023A"/>
  </w:style>
  <w:style w:type="table" w:customStyle="1" w:styleId="Tablaconcuadrcula511">
    <w:name w:val="Tabla con cuadrícula511"/>
    <w:basedOn w:val="Tablanormal"/>
    <w:next w:val="Tablaconcuadrcula"/>
    <w:uiPriority w:val="59"/>
    <w:rsid w:val="0008023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71">
    <w:name w:val="Tabla con cuadrícula71"/>
    <w:basedOn w:val="Tablanormal"/>
    <w:next w:val="Tablaconcuadrcula"/>
    <w:uiPriority w:val="59"/>
    <w:rsid w:val="0008023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11">
    <w:name w:val="Tabla con cuadrícula611"/>
    <w:basedOn w:val="Tablanormal"/>
    <w:next w:val="Tablaconcuadrcula"/>
    <w:uiPriority w:val="59"/>
    <w:rsid w:val="0008023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521">
    <w:name w:val="Tabla con cuadrícula521"/>
    <w:basedOn w:val="Tablanormal"/>
    <w:next w:val="Tablaconcuadrcula"/>
    <w:uiPriority w:val="59"/>
    <w:rsid w:val="0008023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21">
    <w:name w:val="Tabla con cuadrícula621"/>
    <w:basedOn w:val="Tablanormal"/>
    <w:next w:val="Tablaconcuadrcula"/>
    <w:uiPriority w:val="59"/>
    <w:rsid w:val="0008023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31">
    <w:name w:val="Sin lista31"/>
    <w:next w:val="Sinlista"/>
    <w:uiPriority w:val="99"/>
    <w:semiHidden/>
    <w:unhideWhenUsed/>
    <w:rsid w:val="0008023A"/>
  </w:style>
  <w:style w:type="numbering" w:customStyle="1" w:styleId="Sinlista41">
    <w:name w:val="Sin lista41"/>
    <w:next w:val="Sinlista"/>
    <w:uiPriority w:val="99"/>
    <w:semiHidden/>
    <w:unhideWhenUsed/>
    <w:rsid w:val="0008023A"/>
  </w:style>
  <w:style w:type="table" w:customStyle="1" w:styleId="Tablaconcuadrcula531">
    <w:name w:val="Tabla con cuadrícula531"/>
    <w:basedOn w:val="Tablanormal"/>
    <w:next w:val="Tablaconcuadrcula"/>
    <w:uiPriority w:val="59"/>
    <w:rsid w:val="0008023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81">
    <w:name w:val="Tabla con cuadrícula81"/>
    <w:basedOn w:val="Tablanormal"/>
    <w:next w:val="Tablaconcuadrcula"/>
    <w:uiPriority w:val="59"/>
    <w:rsid w:val="0008023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31">
    <w:name w:val="Tabla con cuadrícula631"/>
    <w:basedOn w:val="Tablanormal"/>
    <w:next w:val="Tablaconcuadrcula"/>
    <w:uiPriority w:val="59"/>
    <w:rsid w:val="0008023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Grid1"/>
    <w:rsid w:val="0008023A"/>
    <w:pPr>
      <w:jc w:val="both"/>
    </w:pPr>
    <w:rPr>
      <w:rFonts w:ascii="Calibri" w:hAnsi="Calibri"/>
      <w:sz w:val="22"/>
      <w:szCs w:val="22"/>
    </w:rPr>
    <w:tblPr>
      <w:tblCellMar>
        <w:top w:w="0" w:type="dxa"/>
        <w:left w:w="0" w:type="dxa"/>
        <w:bottom w:w="0" w:type="dxa"/>
        <w:right w:w="0" w:type="dxa"/>
      </w:tblCellMar>
    </w:tblPr>
  </w:style>
  <w:style w:type="table" w:customStyle="1" w:styleId="Tablaconcuadrcula12">
    <w:name w:val="Tabla con cuadrícula12"/>
    <w:basedOn w:val="Tablanormal"/>
    <w:next w:val="Tablaconcuadrcula"/>
    <w:uiPriority w:val="59"/>
    <w:rsid w:val="0008023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0">
    <w:name w:val="Tabla con cuadrícula10"/>
    <w:basedOn w:val="Tablanormal"/>
    <w:next w:val="Tablaconcuadrcula"/>
    <w:uiPriority w:val="39"/>
    <w:rsid w:val="0008023A"/>
    <w:rPr>
      <w:rFonts w:ascii="Calibri" w:eastAsia="Calibri" w:hAnsi="Calibri"/>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msonormal">
    <w:name w:val="x_msonormal"/>
    <w:basedOn w:val="Normal"/>
    <w:rsid w:val="0008023A"/>
    <w:pPr>
      <w:spacing w:before="100" w:beforeAutospacing="1" w:after="100" w:afterAutospacing="1"/>
    </w:pPr>
    <w:rPr>
      <w:lang w:val="es-MX" w:eastAsia="es-MX"/>
    </w:rPr>
  </w:style>
  <w:style w:type="table" w:customStyle="1" w:styleId="Tablaconcuadrcula42">
    <w:name w:val="Tabla con cuadrícula42"/>
    <w:basedOn w:val="Tablanormal"/>
    <w:uiPriority w:val="59"/>
    <w:rsid w:val="0008023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3">
    <w:name w:val="Tabla con cuadrícula43"/>
    <w:basedOn w:val="Tablanormal"/>
    <w:uiPriority w:val="59"/>
    <w:rsid w:val="0008023A"/>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Car">
    <w:name w:val="Título Car"/>
    <w:uiPriority w:val="10"/>
    <w:rsid w:val="0008023A"/>
    <w:rPr>
      <w:rFonts w:ascii="Cambria" w:eastAsia="Times New Roman" w:hAnsi="Cambria" w:cs="Times New Roman"/>
      <w:color w:val="17365D"/>
      <w:spacing w:val="5"/>
      <w:kern w:val="28"/>
      <w:sz w:val="52"/>
      <w:szCs w:val="52"/>
    </w:rPr>
  </w:style>
  <w:style w:type="character" w:customStyle="1" w:styleId="PuestoCar1">
    <w:name w:val="Puesto Car1"/>
    <w:uiPriority w:val="10"/>
    <w:rsid w:val="0008023A"/>
    <w:rPr>
      <w:rFonts w:ascii="Cambria" w:eastAsia="Times New Roman" w:hAnsi="Cambria" w:cs="Times New Roman"/>
      <w:spacing w:val="-10"/>
      <w:kern w:val="28"/>
      <w:sz w:val="56"/>
      <w:szCs w:val="56"/>
    </w:rPr>
  </w:style>
  <w:style w:type="table" w:customStyle="1" w:styleId="Tablaconcuadrcula13">
    <w:name w:val="Tabla con cuadrícula13"/>
    <w:basedOn w:val="Tablanormal"/>
    <w:next w:val="Tablaconcuadrcula"/>
    <w:uiPriority w:val="39"/>
    <w:rsid w:val="0008023A"/>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4">
    <w:name w:val="Tabla con cuadrícula14"/>
    <w:basedOn w:val="Tablanormal"/>
    <w:next w:val="Tablaconcuadrcula"/>
    <w:uiPriority w:val="39"/>
    <w:rsid w:val="0008023A"/>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angra2detindependienteCar1">
    <w:name w:val="Sangría 2 de t. independiente Car1"/>
    <w:basedOn w:val="Fuentedeprrafopredeter"/>
    <w:uiPriority w:val="99"/>
    <w:semiHidden/>
    <w:rsid w:val="0008023A"/>
  </w:style>
  <w:style w:type="paragraph" w:styleId="Puesto">
    <w:name w:val="Title"/>
    <w:basedOn w:val="Normal"/>
    <w:next w:val="Normal"/>
    <w:link w:val="PuestoCar"/>
    <w:qFormat/>
    <w:rsid w:val="0008023A"/>
    <w:pPr>
      <w:contextualSpacing/>
    </w:pPr>
    <w:rPr>
      <w:rFonts w:ascii="Cambria" w:hAnsi="Cambria"/>
      <w:color w:val="17365D"/>
      <w:spacing w:val="5"/>
      <w:kern w:val="28"/>
      <w:sz w:val="52"/>
      <w:szCs w:val="52"/>
    </w:rPr>
  </w:style>
  <w:style w:type="character" w:customStyle="1" w:styleId="TtuloCar1">
    <w:name w:val="Título Car1"/>
    <w:basedOn w:val="Fuentedeprrafopredeter"/>
    <w:uiPriority w:val="10"/>
    <w:rsid w:val="0008023A"/>
    <w:rPr>
      <w:rFonts w:asciiTheme="majorHAnsi" w:eastAsiaTheme="majorEastAsia" w:hAnsiTheme="majorHAnsi" w:cstheme="majorBidi"/>
      <w:spacing w:val="-10"/>
      <w:kern w:val="28"/>
      <w:sz w:val="56"/>
      <w:szCs w:val="56"/>
      <w:lang w:val="es-ES" w:eastAsia="es-ES"/>
    </w:rPr>
  </w:style>
  <w:style w:type="table" w:customStyle="1" w:styleId="TableNormal">
    <w:name w:val="Table Normal"/>
    <w:uiPriority w:val="2"/>
    <w:semiHidden/>
    <w:unhideWhenUsed/>
    <w:qFormat/>
    <w:rsid w:val="0008023A"/>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08023A"/>
    <w:pPr>
      <w:widowControl w:val="0"/>
      <w:autoSpaceDE w:val="0"/>
      <w:autoSpaceDN w:val="0"/>
    </w:pPr>
    <w:rPr>
      <w:sz w:val="22"/>
      <w:szCs w:val="22"/>
      <w:lang w:val="es-MX"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004658">
      <w:bodyDiv w:val="1"/>
      <w:marLeft w:val="0"/>
      <w:marRight w:val="0"/>
      <w:marTop w:val="0"/>
      <w:marBottom w:val="0"/>
      <w:divBdr>
        <w:top w:val="none" w:sz="0" w:space="0" w:color="auto"/>
        <w:left w:val="none" w:sz="0" w:space="0" w:color="auto"/>
        <w:bottom w:val="none" w:sz="0" w:space="0" w:color="auto"/>
        <w:right w:val="none" w:sz="0" w:space="0" w:color="auto"/>
      </w:divBdr>
    </w:div>
    <w:div w:id="12192320">
      <w:bodyDiv w:val="1"/>
      <w:marLeft w:val="0"/>
      <w:marRight w:val="0"/>
      <w:marTop w:val="0"/>
      <w:marBottom w:val="0"/>
      <w:divBdr>
        <w:top w:val="none" w:sz="0" w:space="0" w:color="auto"/>
        <w:left w:val="none" w:sz="0" w:space="0" w:color="auto"/>
        <w:bottom w:val="none" w:sz="0" w:space="0" w:color="auto"/>
        <w:right w:val="none" w:sz="0" w:space="0" w:color="auto"/>
      </w:divBdr>
    </w:div>
    <w:div w:id="16198209">
      <w:bodyDiv w:val="1"/>
      <w:marLeft w:val="0"/>
      <w:marRight w:val="0"/>
      <w:marTop w:val="0"/>
      <w:marBottom w:val="0"/>
      <w:divBdr>
        <w:top w:val="none" w:sz="0" w:space="0" w:color="auto"/>
        <w:left w:val="none" w:sz="0" w:space="0" w:color="auto"/>
        <w:bottom w:val="none" w:sz="0" w:space="0" w:color="auto"/>
        <w:right w:val="none" w:sz="0" w:space="0" w:color="auto"/>
      </w:divBdr>
      <w:divsChild>
        <w:div w:id="489756299">
          <w:marLeft w:val="0"/>
          <w:marRight w:val="0"/>
          <w:marTop w:val="0"/>
          <w:marBottom w:val="0"/>
          <w:divBdr>
            <w:top w:val="none" w:sz="0" w:space="0" w:color="auto"/>
            <w:left w:val="none" w:sz="0" w:space="0" w:color="auto"/>
            <w:bottom w:val="none" w:sz="0" w:space="0" w:color="auto"/>
            <w:right w:val="none" w:sz="0" w:space="0" w:color="auto"/>
          </w:divBdr>
        </w:div>
        <w:div w:id="632172948">
          <w:marLeft w:val="0"/>
          <w:marRight w:val="0"/>
          <w:marTop w:val="0"/>
          <w:marBottom w:val="0"/>
          <w:divBdr>
            <w:top w:val="none" w:sz="0" w:space="0" w:color="auto"/>
            <w:left w:val="none" w:sz="0" w:space="0" w:color="auto"/>
            <w:bottom w:val="none" w:sz="0" w:space="0" w:color="auto"/>
            <w:right w:val="none" w:sz="0" w:space="0" w:color="auto"/>
          </w:divBdr>
        </w:div>
        <w:div w:id="698776159">
          <w:marLeft w:val="0"/>
          <w:marRight w:val="0"/>
          <w:marTop w:val="0"/>
          <w:marBottom w:val="0"/>
          <w:divBdr>
            <w:top w:val="none" w:sz="0" w:space="0" w:color="auto"/>
            <w:left w:val="none" w:sz="0" w:space="0" w:color="auto"/>
            <w:bottom w:val="none" w:sz="0" w:space="0" w:color="auto"/>
            <w:right w:val="none" w:sz="0" w:space="0" w:color="auto"/>
          </w:divBdr>
        </w:div>
        <w:div w:id="1011225830">
          <w:marLeft w:val="0"/>
          <w:marRight w:val="0"/>
          <w:marTop w:val="0"/>
          <w:marBottom w:val="0"/>
          <w:divBdr>
            <w:top w:val="none" w:sz="0" w:space="0" w:color="auto"/>
            <w:left w:val="none" w:sz="0" w:space="0" w:color="auto"/>
            <w:bottom w:val="none" w:sz="0" w:space="0" w:color="auto"/>
            <w:right w:val="none" w:sz="0" w:space="0" w:color="auto"/>
          </w:divBdr>
        </w:div>
        <w:div w:id="1028143673">
          <w:marLeft w:val="0"/>
          <w:marRight w:val="0"/>
          <w:marTop w:val="0"/>
          <w:marBottom w:val="0"/>
          <w:divBdr>
            <w:top w:val="none" w:sz="0" w:space="0" w:color="auto"/>
            <w:left w:val="none" w:sz="0" w:space="0" w:color="auto"/>
            <w:bottom w:val="none" w:sz="0" w:space="0" w:color="auto"/>
            <w:right w:val="none" w:sz="0" w:space="0" w:color="auto"/>
          </w:divBdr>
        </w:div>
        <w:div w:id="1077023111">
          <w:marLeft w:val="0"/>
          <w:marRight w:val="0"/>
          <w:marTop w:val="0"/>
          <w:marBottom w:val="0"/>
          <w:divBdr>
            <w:top w:val="none" w:sz="0" w:space="0" w:color="auto"/>
            <w:left w:val="none" w:sz="0" w:space="0" w:color="auto"/>
            <w:bottom w:val="none" w:sz="0" w:space="0" w:color="auto"/>
            <w:right w:val="none" w:sz="0" w:space="0" w:color="auto"/>
          </w:divBdr>
        </w:div>
        <w:div w:id="1309361602">
          <w:marLeft w:val="0"/>
          <w:marRight w:val="0"/>
          <w:marTop w:val="0"/>
          <w:marBottom w:val="0"/>
          <w:divBdr>
            <w:top w:val="none" w:sz="0" w:space="0" w:color="auto"/>
            <w:left w:val="none" w:sz="0" w:space="0" w:color="auto"/>
            <w:bottom w:val="none" w:sz="0" w:space="0" w:color="auto"/>
            <w:right w:val="none" w:sz="0" w:space="0" w:color="auto"/>
          </w:divBdr>
        </w:div>
        <w:div w:id="1379356091">
          <w:marLeft w:val="0"/>
          <w:marRight w:val="0"/>
          <w:marTop w:val="0"/>
          <w:marBottom w:val="0"/>
          <w:divBdr>
            <w:top w:val="none" w:sz="0" w:space="0" w:color="auto"/>
            <w:left w:val="none" w:sz="0" w:space="0" w:color="auto"/>
            <w:bottom w:val="none" w:sz="0" w:space="0" w:color="auto"/>
            <w:right w:val="none" w:sz="0" w:space="0" w:color="auto"/>
          </w:divBdr>
        </w:div>
        <w:div w:id="1402630343">
          <w:marLeft w:val="0"/>
          <w:marRight w:val="0"/>
          <w:marTop w:val="0"/>
          <w:marBottom w:val="0"/>
          <w:divBdr>
            <w:top w:val="none" w:sz="0" w:space="0" w:color="auto"/>
            <w:left w:val="none" w:sz="0" w:space="0" w:color="auto"/>
            <w:bottom w:val="none" w:sz="0" w:space="0" w:color="auto"/>
            <w:right w:val="none" w:sz="0" w:space="0" w:color="auto"/>
          </w:divBdr>
        </w:div>
        <w:div w:id="1426488813">
          <w:marLeft w:val="0"/>
          <w:marRight w:val="0"/>
          <w:marTop w:val="0"/>
          <w:marBottom w:val="0"/>
          <w:divBdr>
            <w:top w:val="none" w:sz="0" w:space="0" w:color="auto"/>
            <w:left w:val="none" w:sz="0" w:space="0" w:color="auto"/>
            <w:bottom w:val="none" w:sz="0" w:space="0" w:color="auto"/>
            <w:right w:val="none" w:sz="0" w:space="0" w:color="auto"/>
          </w:divBdr>
        </w:div>
        <w:div w:id="1444376446">
          <w:marLeft w:val="0"/>
          <w:marRight w:val="0"/>
          <w:marTop w:val="0"/>
          <w:marBottom w:val="0"/>
          <w:divBdr>
            <w:top w:val="none" w:sz="0" w:space="0" w:color="auto"/>
            <w:left w:val="none" w:sz="0" w:space="0" w:color="auto"/>
            <w:bottom w:val="none" w:sz="0" w:space="0" w:color="auto"/>
            <w:right w:val="none" w:sz="0" w:space="0" w:color="auto"/>
          </w:divBdr>
        </w:div>
        <w:div w:id="1742213218">
          <w:marLeft w:val="0"/>
          <w:marRight w:val="0"/>
          <w:marTop w:val="0"/>
          <w:marBottom w:val="0"/>
          <w:divBdr>
            <w:top w:val="none" w:sz="0" w:space="0" w:color="auto"/>
            <w:left w:val="none" w:sz="0" w:space="0" w:color="auto"/>
            <w:bottom w:val="none" w:sz="0" w:space="0" w:color="auto"/>
            <w:right w:val="none" w:sz="0" w:space="0" w:color="auto"/>
          </w:divBdr>
        </w:div>
        <w:div w:id="1751733133">
          <w:marLeft w:val="0"/>
          <w:marRight w:val="0"/>
          <w:marTop w:val="0"/>
          <w:marBottom w:val="0"/>
          <w:divBdr>
            <w:top w:val="none" w:sz="0" w:space="0" w:color="auto"/>
            <w:left w:val="none" w:sz="0" w:space="0" w:color="auto"/>
            <w:bottom w:val="none" w:sz="0" w:space="0" w:color="auto"/>
            <w:right w:val="none" w:sz="0" w:space="0" w:color="auto"/>
          </w:divBdr>
        </w:div>
        <w:div w:id="2091077186">
          <w:marLeft w:val="0"/>
          <w:marRight w:val="0"/>
          <w:marTop w:val="0"/>
          <w:marBottom w:val="0"/>
          <w:divBdr>
            <w:top w:val="none" w:sz="0" w:space="0" w:color="auto"/>
            <w:left w:val="none" w:sz="0" w:space="0" w:color="auto"/>
            <w:bottom w:val="none" w:sz="0" w:space="0" w:color="auto"/>
            <w:right w:val="none" w:sz="0" w:space="0" w:color="auto"/>
          </w:divBdr>
        </w:div>
        <w:div w:id="2120757088">
          <w:marLeft w:val="0"/>
          <w:marRight w:val="0"/>
          <w:marTop w:val="0"/>
          <w:marBottom w:val="0"/>
          <w:divBdr>
            <w:top w:val="none" w:sz="0" w:space="0" w:color="auto"/>
            <w:left w:val="none" w:sz="0" w:space="0" w:color="auto"/>
            <w:bottom w:val="none" w:sz="0" w:space="0" w:color="auto"/>
            <w:right w:val="none" w:sz="0" w:space="0" w:color="auto"/>
          </w:divBdr>
        </w:div>
      </w:divsChild>
    </w:div>
    <w:div w:id="17706385">
      <w:bodyDiv w:val="1"/>
      <w:marLeft w:val="0"/>
      <w:marRight w:val="0"/>
      <w:marTop w:val="0"/>
      <w:marBottom w:val="0"/>
      <w:divBdr>
        <w:top w:val="none" w:sz="0" w:space="0" w:color="auto"/>
        <w:left w:val="none" w:sz="0" w:space="0" w:color="auto"/>
        <w:bottom w:val="none" w:sz="0" w:space="0" w:color="auto"/>
        <w:right w:val="none" w:sz="0" w:space="0" w:color="auto"/>
      </w:divBdr>
      <w:divsChild>
        <w:div w:id="451241714">
          <w:marLeft w:val="0"/>
          <w:marRight w:val="0"/>
          <w:marTop w:val="0"/>
          <w:marBottom w:val="0"/>
          <w:divBdr>
            <w:top w:val="none" w:sz="0" w:space="0" w:color="auto"/>
            <w:left w:val="none" w:sz="0" w:space="0" w:color="auto"/>
            <w:bottom w:val="none" w:sz="0" w:space="0" w:color="auto"/>
            <w:right w:val="none" w:sz="0" w:space="0" w:color="auto"/>
          </w:divBdr>
        </w:div>
        <w:div w:id="1144614810">
          <w:marLeft w:val="0"/>
          <w:marRight w:val="0"/>
          <w:marTop w:val="0"/>
          <w:marBottom w:val="0"/>
          <w:divBdr>
            <w:top w:val="none" w:sz="0" w:space="0" w:color="auto"/>
            <w:left w:val="none" w:sz="0" w:space="0" w:color="auto"/>
            <w:bottom w:val="none" w:sz="0" w:space="0" w:color="auto"/>
            <w:right w:val="none" w:sz="0" w:space="0" w:color="auto"/>
          </w:divBdr>
        </w:div>
        <w:div w:id="1733310177">
          <w:marLeft w:val="0"/>
          <w:marRight w:val="0"/>
          <w:marTop w:val="0"/>
          <w:marBottom w:val="0"/>
          <w:divBdr>
            <w:top w:val="none" w:sz="0" w:space="0" w:color="auto"/>
            <w:left w:val="none" w:sz="0" w:space="0" w:color="auto"/>
            <w:bottom w:val="none" w:sz="0" w:space="0" w:color="auto"/>
            <w:right w:val="none" w:sz="0" w:space="0" w:color="auto"/>
          </w:divBdr>
        </w:div>
      </w:divsChild>
    </w:div>
    <w:div w:id="66852626">
      <w:bodyDiv w:val="1"/>
      <w:marLeft w:val="0"/>
      <w:marRight w:val="0"/>
      <w:marTop w:val="0"/>
      <w:marBottom w:val="0"/>
      <w:divBdr>
        <w:top w:val="none" w:sz="0" w:space="0" w:color="auto"/>
        <w:left w:val="none" w:sz="0" w:space="0" w:color="auto"/>
        <w:bottom w:val="none" w:sz="0" w:space="0" w:color="auto"/>
        <w:right w:val="none" w:sz="0" w:space="0" w:color="auto"/>
      </w:divBdr>
    </w:div>
    <w:div w:id="71894091">
      <w:bodyDiv w:val="1"/>
      <w:marLeft w:val="0"/>
      <w:marRight w:val="0"/>
      <w:marTop w:val="0"/>
      <w:marBottom w:val="0"/>
      <w:divBdr>
        <w:top w:val="none" w:sz="0" w:space="0" w:color="auto"/>
        <w:left w:val="none" w:sz="0" w:space="0" w:color="auto"/>
        <w:bottom w:val="none" w:sz="0" w:space="0" w:color="auto"/>
        <w:right w:val="none" w:sz="0" w:space="0" w:color="auto"/>
      </w:divBdr>
      <w:divsChild>
        <w:div w:id="32925512">
          <w:marLeft w:val="0"/>
          <w:marRight w:val="0"/>
          <w:marTop w:val="0"/>
          <w:marBottom w:val="0"/>
          <w:divBdr>
            <w:top w:val="none" w:sz="0" w:space="0" w:color="auto"/>
            <w:left w:val="none" w:sz="0" w:space="0" w:color="auto"/>
            <w:bottom w:val="none" w:sz="0" w:space="0" w:color="auto"/>
            <w:right w:val="none" w:sz="0" w:space="0" w:color="auto"/>
          </w:divBdr>
        </w:div>
        <w:div w:id="92478448">
          <w:marLeft w:val="0"/>
          <w:marRight w:val="0"/>
          <w:marTop w:val="0"/>
          <w:marBottom w:val="0"/>
          <w:divBdr>
            <w:top w:val="none" w:sz="0" w:space="0" w:color="auto"/>
            <w:left w:val="none" w:sz="0" w:space="0" w:color="auto"/>
            <w:bottom w:val="none" w:sz="0" w:space="0" w:color="auto"/>
            <w:right w:val="none" w:sz="0" w:space="0" w:color="auto"/>
          </w:divBdr>
        </w:div>
        <w:div w:id="178391196">
          <w:marLeft w:val="0"/>
          <w:marRight w:val="0"/>
          <w:marTop w:val="0"/>
          <w:marBottom w:val="0"/>
          <w:divBdr>
            <w:top w:val="none" w:sz="0" w:space="0" w:color="auto"/>
            <w:left w:val="none" w:sz="0" w:space="0" w:color="auto"/>
            <w:bottom w:val="none" w:sz="0" w:space="0" w:color="auto"/>
            <w:right w:val="none" w:sz="0" w:space="0" w:color="auto"/>
          </w:divBdr>
        </w:div>
        <w:div w:id="196889228">
          <w:marLeft w:val="0"/>
          <w:marRight w:val="0"/>
          <w:marTop w:val="0"/>
          <w:marBottom w:val="0"/>
          <w:divBdr>
            <w:top w:val="none" w:sz="0" w:space="0" w:color="auto"/>
            <w:left w:val="none" w:sz="0" w:space="0" w:color="auto"/>
            <w:bottom w:val="none" w:sz="0" w:space="0" w:color="auto"/>
            <w:right w:val="none" w:sz="0" w:space="0" w:color="auto"/>
          </w:divBdr>
        </w:div>
        <w:div w:id="264769050">
          <w:marLeft w:val="0"/>
          <w:marRight w:val="0"/>
          <w:marTop w:val="0"/>
          <w:marBottom w:val="0"/>
          <w:divBdr>
            <w:top w:val="none" w:sz="0" w:space="0" w:color="auto"/>
            <w:left w:val="none" w:sz="0" w:space="0" w:color="auto"/>
            <w:bottom w:val="none" w:sz="0" w:space="0" w:color="auto"/>
            <w:right w:val="none" w:sz="0" w:space="0" w:color="auto"/>
          </w:divBdr>
        </w:div>
        <w:div w:id="350958788">
          <w:marLeft w:val="0"/>
          <w:marRight w:val="0"/>
          <w:marTop w:val="0"/>
          <w:marBottom w:val="0"/>
          <w:divBdr>
            <w:top w:val="none" w:sz="0" w:space="0" w:color="auto"/>
            <w:left w:val="none" w:sz="0" w:space="0" w:color="auto"/>
            <w:bottom w:val="none" w:sz="0" w:space="0" w:color="auto"/>
            <w:right w:val="none" w:sz="0" w:space="0" w:color="auto"/>
          </w:divBdr>
        </w:div>
        <w:div w:id="410156415">
          <w:marLeft w:val="0"/>
          <w:marRight w:val="0"/>
          <w:marTop w:val="0"/>
          <w:marBottom w:val="0"/>
          <w:divBdr>
            <w:top w:val="none" w:sz="0" w:space="0" w:color="auto"/>
            <w:left w:val="none" w:sz="0" w:space="0" w:color="auto"/>
            <w:bottom w:val="none" w:sz="0" w:space="0" w:color="auto"/>
            <w:right w:val="none" w:sz="0" w:space="0" w:color="auto"/>
          </w:divBdr>
        </w:div>
        <w:div w:id="431319286">
          <w:marLeft w:val="0"/>
          <w:marRight w:val="0"/>
          <w:marTop w:val="0"/>
          <w:marBottom w:val="0"/>
          <w:divBdr>
            <w:top w:val="none" w:sz="0" w:space="0" w:color="auto"/>
            <w:left w:val="none" w:sz="0" w:space="0" w:color="auto"/>
            <w:bottom w:val="none" w:sz="0" w:space="0" w:color="auto"/>
            <w:right w:val="none" w:sz="0" w:space="0" w:color="auto"/>
          </w:divBdr>
        </w:div>
        <w:div w:id="487788995">
          <w:marLeft w:val="0"/>
          <w:marRight w:val="0"/>
          <w:marTop w:val="0"/>
          <w:marBottom w:val="0"/>
          <w:divBdr>
            <w:top w:val="none" w:sz="0" w:space="0" w:color="auto"/>
            <w:left w:val="none" w:sz="0" w:space="0" w:color="auto"/>
            <w:bottom w:val="none" w:sz="0" w:space="0" w:color="auto"/>
            <w:right w:val="none" w:sz="0" w:space="0" w:color="auto"/>
          </w:divBdr>
        </w:div>
        <w:div w:id="494414460">
          <w:marLeft w:val="0"/>
          <w:marRight w:val="0"/>
          <w:marTop w:val="0"/>
          <w:marBottom w:val="0"/>
          <w:divBdr>
            <w:top w:val="none" w:sz="0" w:space="0" w:color="auto"/>
            <w:left w:val="none" w:sz="0" w:space="0" w:color="auto"/>
            <w:bottom w:val="none" w:sz="0" w:space="0" w:color="auto"/>
            <w:right w:val="none" w:sz="0" w:space="0" w:color="auto"/>
          </w:divBdr>
        </w:div>
        <w:div w:id="510267519">
          <w:marLeft w:val="0"/>
          <w:marRight w:val="0"/>
          <w:marTop w:val="0"/>
          <w:marBottom w:val="0"/>
          <w:divBdr>
            <w:top w:val="none" w:sz="0" w:space="0" w:color="auto"/>
            <w:left w:val="none" w:sz="0" w:space="0" w:color="auto"/>
            <w:bottom w:val="none" w:sz="0" w:space="0" w:color="auto"/>
            <w:right w:val="none" w:sz="0" w:space="0" w:color="auto"/>
          </w:divBdr>
        </w:div>
        <w:div w:id="514004801">
          <w:marLeft w:val="0"/>
          <w:marRight w:val="0"/>
          <w:marTop w:val="0"/>
          <w:marBottom w:val="0"/>
          <w:divBdr>
            <w:top w:val="none" w:sz="0" w:space="0" w:color="auto"/>
            <w:left w:val="none" w:sz="0" w:space="0" w:color="auto"/>
            <w:bottom w:val="none" w:sz="0" w:space="0" w:color="auto"/>
            <w:right w:val="none" w:sz="0" w:space="0" w:color="auto"/>
          </w:divBdr>
        </w:div>
        <w:div w:id="526214768">
          <w:marLeft w:val="0"/>
          <w:marRight w:val="0"/>
          <w:marTop w:val="0"/>
          <w:marBottom w:val="0"/>
          <w:divBdr>
            <w:top w:val="none" w:sz="0" w:space="0" w:color="auto"/>
            <w:left w:val="none" w:sz="0" w:space="0" w:color="auto"/>
            <w:bottom w:val="none" w:sz="0" w:space="0" w:color="auto"/>
            <w:right w:val="none" w:sz="0" w:space="0" w:color="auto"/>
          </w:divBdr>
        </w:div>
        <w:div w:id="618755729">
          <w:marLeft w:val="0"/>
          <w:marRight w:val="0"/>
          <w:marTop w:val="0"/>
          <w:marBottom w:val="0"/>
          <w:divBdr>
            <w:top w:val="none" w:sz="0" w:space="0" w:color="auto"/>
            <w:left w:val="none" w:sz="0" w:space="0" w:color="auto"/>
            <w:bottom w:val="none" w:sz="0" w:space="0" w:color="auto"/>
            <w:right w:val="none" w:sz="0" w:space="0" w:color="auto"/>
          </w:divBdr>
        </w:div>
        <w:div w:id="650990215">
          <w:marLeft w:val="0"/>
          <w:marRight w:val="0"/>
          <w:marTop w:val="0"/>
          <w:marBottom w:val="0"/>
          <w:divBdr>
            <w:top w:val="none" w:sz="0" w:space="0" w:color="auto"/>
            <w:left w:val="none" w:sz="0" w:space="0" w:color="auto"/>
            <w:bottom w:val="none" w:sz="0" w:space="0" w:color="auto"/>
            <w:right w:val="none" w:sz="0" w:space="0" w:color="auto"/>
          </w:divBdr>
        </w:div>
        <w:div w:id="675763125">
          <w:marLeft w:val="0"/>
          <w:marRight w:val="0"/>
          <w:marTop w:val="0"/>
          <w:marBottom w:val="0"/>
          <w:divBdr>
            <w:top w:val="none" w:sz="0" w:space="0" w:color="auto"/>
            <w:left w:val="none" w:sz="0" w:space="0" w:color="auto"/>
            <w:bottom w:val="none" w:sz="0" w:space="0" w:color="auto"/>
            <w:right w:val="none" w:sz="0" w:space="0" w:color="auto"/>
          </w:divBdr>
        </w:div>
        <w:div w:id="696470248">
          <w:marLeft w:val="0"/>
          <w:marRight w:val="0"/>
          <w:marTop w:val="0"/>
          <w:marBottom w:val="0"/>
          <w:divBdr>
            <w:top w:val="none" w:sz="0" w:space="0" w:color="auto"/>
            <w:left w:val="none" w:sz="0" w:space="0" w:color="auto"/>
            <w:bottom w:val="none" w:sz="0" w:space="0" w:color="auto"/>
            <w:right w:val="none" w:sz="0" w:space="0" w:color="auto"/>
          </w:divBdr>
        </w:div>
        <w:div w:id="799227182">
          <w:marLeft w:val="0"/>
          <w:marRight w:val="0"/>
          <w:marTop w:val="0"/>
          <w:marBottom w:val="0"/>
          <w:divBdr>
            <w:top w:val="none" w:sz="0" w:space="0" w:color="auto"/>
            <w:left w:val="none" w:sz="0" w:space="0" w:color="auto"/>
            <w:bottom w:val="none" w:sz="0" w:space="0" w:color="auto"/>
            <w:right w:val="none" w:sz="0" w:space="0" w:color="auto"/>
          </w:divBdr>
        </w:div>
        <w:div w:id="850333985">
          <w:marLeft w:val="0"/>
          <w:marRight w:val="0"/>
          <w:marTop w:val="0"/>
          <w:marBottom w:val="0"/>
          <w:divBdr>
            <w:top w:val="none" w:sz="0" w:space="0" w:color="auto"/>
            <w:left w:val="none" w:sz="0" w:space="0" w:color="auto"/>
            <w:bottom w:val="none" w:sz="0" w:space="0" w:color="auto"/>
            <w:right w:val="none" w:sz="0" w:space="0" w:color="auto"/>
          </w:divBdr>
        </w:div>
        <w:div w:id="878593116">
          <w:marLeft w:val="0"/>
          <w:marRight w:val="0"/>
          <w:marTop w:val="0"/>
          <w:marBottom w:val="0"/>
          <w:divBdr>
            <w:top w:val="none" w:sz="0" w:space="0" w:color="auto"/>
            <w:left w:val="none" w:sz="0" w:space="0" w:color="auto"/>
            <w:bottom w:val="none" w:sz="0" w:space="0" w:color="auto"/>
            <w:right w:val="none" w:sz="0" w:space="0" w:color="auto"/>
          </w:divBdr>
        </w:div>
        <w:div w:id="929701003">
          <w:marLeft w:val="0"/>
          <w:marRight w:val="0"/>
          <w:marTop w:val="0"/>
          <w:marBottom w:val="0"/>
          <w:divBdr>
            <w:top w:val="none" w:sz="0" w:space="0" w:color="auto"/>
            <w:left w:val="none" w:sz="0" w:space="0" w:color="auto"/>
            <w:bottom w:val="none" w:sz="0" w:space="0" w:color="auto"/>
            <w:right w:val="none" w:sz="0" w:space="0" w:color="auto"/>
          </w:divBdr>
        </w:div>
        <w:div w:id="960456817">
          <w:marLeft w:val="0"/>
          <w:marRight w:val="0"/>
          <w:marTop w:val="0"/>
          <w:marBottom w:val="0"/>
          <w:divBdr>
            <w:top w:val="none" w:sz="0" w:space="0" w:color="auto"/>
            <w:left w:val="none" w:sz="0" w:space="0" w:color="auto"/>
            <w:bottom w:val="none" w:sz="0" w:space="0" w:color="auto"/>
            <w:right w:val="none" w:sz="0" w:space="0" w:color="auto"/>
          </w:divBdr>
        </w:div>
        <w:div w:id="981928862">
          <w:marLeft w:val="0"/>
          <w:marRight w:val="0"/>
          <w:marTop w:val="0"/>
          <w:marBottom w:val="0"/>
          <w:divBdr>
            <w:top w:val="none" w:sz="0" w:space="0" w:color="auto"/>
            <w:left w:val="none" w:sz="0" w:space="0" w:color="auto"/>
            <w:bottom w:val="none" w:sz="0" w:space="0" w:color="auto"/>
            <w:right w:val="none" w:sz="0" w:space="0" w:color="auto"/>
          </w:divBdr>
        </w:div>
        <w:div w:id="1010525561">
          <w:marLeft w:val="0"/>
          <w:marRight w:val="0"/>
          <w:marTop w:val="0"/>
          <w:marBottom w:val="0"/>
          <w:divBdr>
            <w:top w:val="none" w:sz="0" w:space="0" w:color="auto"/>
            <w:left w:val="none" w:sz="0" w:space="0" w:color="auto"/>
            <w:bottom w:val="none" w:sz="0" w:space="0" w:color="auto"/>
            <w:right w:val="none" w:sz="0" w:space="0" w:color="auto"/>
          </w:divBdr>
        </w:div>
        <w:div w:id="1047606329">
          <w:marLeft w:val="0"/>
          <w:marRight w:val="0"/>
          <w:marTop w:val="0"/>
          <w:marBottom w:val="0"/>
          <w:divBdr>
            <w:top w:val="none" w:sz="0" w:space="0" w:color="auto"/>
            <w:left w:val="none" w:sz="0" w:space="0" w:color="auto"/>
            <w:bottom w:val="none" w:sz="0" w:space="0" w:color="auto"/>
            <w:right w:val="none" w:sz="0" w:space="0" w:color="auto"/>
          </w:divBdr>
        </w:div>
        <w:div w:id="1066493241">
          <w:marLeft w:val="0"/>
          <w:marRight w:val="0"/>
          <w:marTop w:val="0"/>
          <w:marBottom w:val="0"/>
          <w:divBdr>
            <w:top w:val="none" w:sz="0" w:space="0" w:color="auto"/>
            <w:left w:val="none" w:sz="0" w:space="0" w:color="auto"/>
            <w:bottom w:val="none" w:sz="0" w:space="0" w:color="auto"/>
            <w:right w:val="none" w:sz="0" w:space="0" w:color="auto"/>
          </w:divBdr>
        </w:div>
        <w:div w:id="1112092152">
          <w:marLeft w:val="0"/>
          <w:marRight w:val="0"/>
          <w:marTop w:val="0"/>
          <w:marBottom w:val="0"/>
          <w:divBdr>
            <w:top w:val="none" w:sz="0" w:space="0" w:color="auto"/>
            <w:left w:val="none" w:sz="0" w:space="0" w:color="auto"/>
            <w:bottom w:val="none" w:sz="0" w:space="0" w:color="auto"/>
            <w:right w:val="none" w:sz="0" w:space="0" w:color="auto"/>
          </w:divBdr>
        </w:div>
        <w:div w:id="1136335712">
          <w:marLeft w:val="0"/>
          <w:marRight w:val="0"/>
          <w:marTop w:val="0"/>
          <w:marBottom w:val="0"/>
          <w:divBdr>
            <w:top w:val="none" w:sz="0" w:space="0" w:color="auto"/>
            <w:left w:val="none" w:sz="0" w:space="0" w:color="auto"/>
            <w:bottom w:val="none" w:sz="0" w:space="0" w:color="auto"/>
            <w:right w:val="none" w:sz="0" w:space="0" w:color="auto"/>
          </w:divBdr>
        </w:div>
        <w:div w:id="1195387496">
          <w:marLeft w:val="0"/>
          <w:marRight w:val="0"/>
          <w:marTop w:val="0"/>
          <w:marBottom w:val="0"/>
          <w:divBdr>
            <w:top w:val="none" w:sz="0" w:space="0" w:color="auto"/>
            <w:left w:val="none" w:sz="0" w:space="0" w:color="auto"/>
            <w:bottom w:val="none" w:sz="0" w:space="0" w:color="auto"/>
            <w:right w:val="none" w:sz="0" w:space="0" w:color="auto"/>
          </w:divBdr>
        </w:div>
        <w:div w:id="1305617464">
          <w:marLeft w:val="0"/>
          <w:marRight w:val="0"/>
          <w:marTop w:val="0"/>
          <w:marBottom w:val="0"/>
          <w:divBdr>
            <w:top w:val="none" w:sz="0" w:space="0" w:color="auto"/>
            <w:left w:val="none" w:sz="0" w:space="0" w:color="auto"/>
            <w:bottom w:val="none" w:sz="0" w:space="0" w:color="auto"/>
            <w:right w:val="none" w:sz="0" w:space="0" w:color="auto"/>
          </w:divBdr>
        </w:div>
        <w:div w:id="1383990368">
          <w:marLeft w:val="0"/>
          <w:marRight w:val="0"/>
          <w:marTop w:val="0"/>
          <w:marBottom w:val="0"/>
          <w:divBdr>
            <w:top w:val="none" w:sz="0" w:space="0" w:color="auto"/>
            <w:left w:val="none" w:sz="0" w:space="0" w:color="auto"/>
            <w:bottom w:val="none" w:sz="0" w:space="0" w:color="auto"/>
            <w:right w:val="none" w:sz="0" w:space="0" w:color="auto"/>
          </w:divBdr>
        </w:div>
        <w:div w:id="1473206711">
          <w:marLeft w:val="0"/>
          <w:marRight w:val="0"/>
          <w:marTop w:val="0"/>
          <w:marBottom w:val="0"/>
          <w:divBdr>
            <w:top w:val="none" w:sz="0" w:space="0" w:color="auto"/>
            <w:left w:val="none" w:sz="0" w:space="0" w:color="auto"/>
            <w:bottom w:val="none" w:sz="0" w:space="0" w:color="auto"/>
            <w:right w:val="none" w:sz="0" w:space="0" w:color="auto"/>
          </w:divBdr>
        </w:div>
        <w:div w:id="1536235569">
          <w:marLeft w:val="0"/>
          <w:marRight w:val="0"/>
          <w:marTop w:val="0"/>
          <w:marBottom w:val="0"/>
          <w:divBdr>
            <w:top w:val="none" w:sz="0" w:space="0" w:color="auto"/>
            <w:left w:val="none" w:sz="0" w:space="0" w:color="auto"/>
            <w:bottom w:val="none" w:sz="0" w:space="0" w:color="auto"/>
            <w:right w:val="none" w:sz="0" w:space="0" w:color="auto"/>
          </w:divBdr>
        </w:div>
        <w:div w:id="1617299093">
          <w:marLeft w:val="0"/>
          <w:marRight w:val="0"/>
          <w:marTop w:val="0"/>
          <w:marBottom w:val="0"/>
          <w:divBdr>
            <w:top w:val="none" w:sz="0" w:space="0" w:color="auto"/>
            <w:left w:val="none" w:sz="0" w:space="0" w:color="auto"/>
            <w:bottom w:val="none" w:sz="0" w:space="0" w:color="auto"/>
            <w:right w:val="none" w:sz="0" w:space="0" w:color="auto"/>
          </w:divBdr>
        </w:div>
        <w:div w:id="1690911807">
          <w:marLeft w:val="0"/>
          <w:marRight w:val="0"/>
          <w:marTop w:val="0"/>
          <w:marBottom w:val="0"/>
          <w:divBdr>
            <w:top w:val="none" w:sz="0" w:space="0" w:color="auto"/>
            <w:left w:val="none" w:sz="0" w:space="0" w:color="auto"/>
            <w:bottom w:val="none" w:sz="0" w:space="0" w:color="auto"/>
            <w:right w:val="none" w:sz="0" w:space="0" w:color="auto"/>
          </w:divBdr>
        </w:div>
        <w:div w:id="1710689209">
          <w:marLeft w:val="0"/>
          <w:marRight w:val="0"/>
          <w:marTop w:val="0"/>
          <w:marBottom w:val="0"/>
          <w:divBdr>
            <w:top w:val="none" w:sz="0" w:space="0" w:color="auto"/>
            <w:left w:val="none" w:sz="0" w:space="0" w:color="auto"/>
            <w:bottom w:val="none" w:sz="0" w:space="0" w:color="auto"/>
            <w:right w:val="none" w:sz="0" w:space="0" w:color="auto"/>
          </w:divBdr>
        </w:div>
        <w:div w:id="1711832637">
          <w:marLeft w:val="0"/>
          <w:marRight w:val="0"/>
          <w:marTop w:val="0"/>
          <w:marBottom w:val="0"/>
          <w:divBdr>
            <w:top w:val="none" w:sz="0" w:space="0" w:color="auto"/>
            <w:left w:val="none" w:sz="0" w:space="0" w:color="auto"/>
            <w:bottom w:val="none" w:sz="0" w:space="0" w:color="auto"/>
            <w:right w:val="none" w:sz="0" w:space="0" w:color="auto"/>
          </w:divBdr>
        </w:div>
        <w:div w:id="1741908066">
          <w:marLeft w:val="0"/>
          <w:marRight w:val="0"/>
          <w:marTop w:val="0"/>
          <w:marBottom w:val="0"/>
          <w:divBdr>
            <w:top w:val="none" w:sz="0" w:space="0" w:color="auto"/>
            <w:left w:val="none" w:sz="0" w:space="0" w:color="auto"/>
            <w:bottom w:val="none" w:sz="0" w:space="0" w:color="auto"/>
            <w:right w:val="none" w:sz="0" w:space="0" w:color="auto"/>
          </w:divBdr>
        </w:div>
        <w:div w:id="1765608506">
          <w:marLeft w:val="0"/>
          <w:marRight w:val="0"/>
          <w:marTop w:val="0"/>
          <w:marBottom w:val="0"/>
          <w:divBdr>
            <w:top w:val="none" w:sz="0" w:space="0" w:color="auto"/>
            <w:left w:val="none" w:sz="0" w:space="0" w:color="auto"/>
            <w:bottom w:val="none" w:sz="0" w:space="0" w:color="auto"/>
            <w:right w:val="none" w:sz="0" w:space="0" w:color="auto"/>
          </w:divBdr>
        </w:div>
        <w:div w:id="1827085932">
          <w:marLeft w:val="0"/>
          <w:marRight w:val="0"/>
          <w:marTop w:val="0"/>
          <w:marBottom w:val="0"/>
          <w:divBdr>
            <w:top w:val="none" w:sz="0" w:space="0" w:color="auto"/>
            <w:left w:val="none" w:sz="0" w:space="0" w:color="auto"/>
            <w:bottom w:val="none" w:sz="0" w:space="0" w:color="auto"/>
            <w:right w:val="none" w:sz="0" w:space="0" w:color="auto"/>
          </w:divBdr>
        </w:div>
        <w:div w:id="1854108942">
          <w:marLeft w:val="0"/>
          <w:marRight w:val="0"/>
          <w:marTop w:val="0"/>
          <w:marBottom w:val="0"/>
          <w:divBdr>
            <w:top w:val="none" w:sz="0" w:space="0" w:color="auto"/>
            <w:left w:val="none" w:sz="0" w:space="0" w:color="auto"/>
            <w:bottom w:val="none" w:sz="0" w:space="0" w:color="auto"/>
            <w:right w:val="none" w:sz="0" w:space="0" w:color="auto"/>
          </w:divBdr>
        </w:div>
        <w:div w:id="1983654012">
          <w:marLeft w:val="0"/>
          <w:marRight w:val="0"/>
          <w:marTop w:val="0"/>
          <w:marBottom w:val="0"/>
          <w:divBdr>
            <w:top w:val="none" w:sz="0" w:space="0" w:color="auto"/>
            <w:left w:val="none" w:sz="0" w:space="0" w:color="auto"/>
            <w:bottom w:val="none" w:sz="0" w:space="0" w:color="auto"/>
            <w:right w:val="none" w:sz="0" w:space="0" w:color="auto"/>
          </w:divBdr>
        </w:div>
        <w:div w:id="2065445071">
          <w:marLeft w:val="0"/>
          <w:marRight w:val="0"/>
          <w:marTop w:val="0"/>
          <w:marBottom w:val="0"/>
          <w:divBdr>
            <w:top w:val="none" w:sz="0" w:space="0" w:color="auto"/>
            <w:left w:val="none" w:sz="0" w:space="0" w:color="auto"/>
            <w:bottom w:val="none" w:sz="0" w:space="0" w:color="auto"/>
            <w:right w:val="none" w:sz="0" w:space="0" w:color="auto"/>
          </w:divBdr>
        </w:div>
      </w:divsChild>
    </w:div>
    <w:div w:id="98381503">
      <w:bodyDiv w:val="1"/>
      <w:marLeft w:val="0"/>
      <w:marRight w:val="0"/>
      <w:marTop w:val="0"/>
      <w:marBottom w:val="0"/>
      <w:divBdr>
        <w:top w:val="none" w:sz="0" w:space="0" w:color="auto"/>
        <w:left w:val="none" w:sz="0" w:space="0" w:color="auto"/>
        <w:bottom w:val="none" w:sz="0" w:space="0" w:color="auto"/>
        <w:right w:val="none" w:sz="0" w:space="0" w:color="auto"/>
      </w:divBdr>
    </w:div>
    <w:div w:id="102195339">
      <w:bodyDiv w:val="1"/>
      <w:marLeft w:val="0"/>
      <w:marRight w:val="0"/>
      <w:marTop w:val="0"/>
      <w:marBottom w:val="0"/>
      <w:divBdr>
        <w:top w:val="none" w:sz="0" w:space="0" w:color="auto"/>
        <w:left w:val="none" w:sz="0" w:space="0" w:color="auto"/>
        <w:bottom w:val="none" w:sz="0" w:space="0" w:color="auto"/>
        <w:right w:val="none" w:sz="0" w:space="0" w:color="auto"/>
      </w:divBdr>
    </w:div>
    <w:div w:id="117989317">
      <w:bodyDiv w:val="1"/>
      <w:marLeft w:val="0"/>
      <w:marRight w:val="0"/>
      <w:marTop w:val="0"/>
      <w:marBottom w:val="0"/>
      <w:divBdr>
        <w:top w:val="none" w:sz="0" w:space="0" w:color="auto"/>
        <w:left w:val="none" w:sz="0" w:space="0" w:color="auto"/>
        <w:bottom w:val="none" w:sz="0" w:space="0" w:color="auto"/>
        <w:right w:val="none" w:sz="0" w:space="0" w:color="auto"/>
      </w:divBdr>
    </w:div>
    <w:div w:id="128130615">
      <w:bodyDiv w:val="1"/>
      <w:marLeft w:val="0"/>
      <w:marRight w:val="0"/>
      <w:marTop w:val="0"/>
      <w:marBottom w:val="0"/>
      <w:divBdr>
        <w:top w:val="none" w:sz="0" w:space="0" w:color="auto"/>
        <w:left w:val="none" w:sz="0" w:space="0" w:color="auto"/>
        <w:bottom w:val="none" w:sz="0" w:space="0" w:color="auto"/>
        <w:right w:val="none" w:sz="0" w:space="0" w:color="auto"/>
      </w:divBdr>
    </w:div>
    <w:div w:id="135150296">
      <w:bodyDiv w:val="1"/>
      <w:marLeft w:val="0"/>
      <w:marRight w:val="0"/>
      <w:marTop w:val="0"/>
      <w:marBottom w:val="0"/>
      <w:divBdr>
        <w:top w:val="none" w:sz="0" w:space="0" w:color="auto"/>
        <w:left w:val="none" w:sz="0" w:space="0" w:color="auto"/>
        <w:bottom w:val="none" w:sz="0" w:space="0" w:color="auto"/>
        <w:right w:val="none" w:sz="0" w:space="0" w:color="auto"/>
      </w:divBdr>
    </w:div>
    <w:div w:id="155389584">
      <w:bodyDiv w:val="1"/>
      <w:marLeft w:val="0"/>
      <w:marRight w:val="0"/>
      <w:marTop w:val="0"/>
      <w:marBottom w:val="0"/>
      <w:divBdr>
        <w:top w:val="none" w:sz="0" w:space="0" w:color="auto"/>
        <w:left w:val="none" w:sz="0" w:space="0" w:color="auto"/>
        <w:bottom w:val="none" w:sz="0" w:space="0" w:color="auto"/>
        <w:right w:val="none" w:sz="0" w:space="0" w:color="auto"/>
      </w:divBdr>
      <w:divsChild>
        <w:div w:id="104928510">
          <w:marLeft w:val="0"/>
          <w:marRight w:val="0"/>
          <w:marTop w:val="0"/>
          <w:marBottom w:val="0"/>
          <w:divBdr>
            <w:top w:val="none" w:sz="0" w:space="0" w:color="auto"/>
            <w:left w:val="none" w:sz="0" w:space="0" w:color="auto"/>
            <w:bottom w:val="none" w:sz="0" w:space="0" w:color="auto"/>
            <w:right w:val="none" w:sz="0" w:space="0" w:color="auto"/>
          </w:divBdr>
        </w:div>
        <w:div w:id="351414653">
          <w:marLeft w:val="0"/>
          <w:marRight w:val="0"/>
          <w:marTop w:val="0"/>
          <w:marBottom w:val="0"/>
          <w:divBdr>
            <w:top w:val="none" w:sz="0" w:space="0" w:color="auto"/>
            <w:left w:val="none" w:sz="0" w:space="0" w:color="auto"/>
            <w:bottom w:val="none" w:sz="0" w:space="0" w:color="auto"/>
            <w:right w:val="none" w:sz="0" w:space="0" w:color="auto"/>
          </w:divBdr>
        </w:div>
        <w:div w:id="375933241">
          <w:marLeft w:val="0"/>
          <w:marRight w:val="0"/>
          <w:marTop w:val="0"/>
          <w:marBottom w:val="0"/>
          <w:divBdr>
            <w:top w:val="none" w:sz="0" w:space="0" w:color="auto"/>
            <w:left w:val="none" w:sz="0" w:space="0" w:color="auto"/>
            <w:bottom w:val="none" w:sz="0" w:space="0" w:color="auto"/>
            <w:right w:val="none" w:sz="0" w:space="0" w:color="auto"/>
          </w:divBdr>
        </w:div>
        <w:div w:id="409235169">
          <w:marLeft w:val="0"/>
          <w:marRight w:val="0"/>
          <w:marTop w:val="0"/>
          <w:marBottom w:val="0"/>
          <w:divBdr>
            <w:top w:val="none" w:sz="0" w:space="0" w:color="auto"/>
            <w:left w:val="none" w:sz="0" w:space="0" w:color="auto"/>
            <w:bottom w:val="none" w:sz="0" w:space="0" w:color="auto"/>
            <w:right w:val="none" w:sz="0" w:space="0" w:color="auto"/>
          </w:divBdr>
        </w:div>
        <w:div w:id="464736771">
          <w:marLeft w:val="0"/>
          <w:marRight w:val="0"/>
          <w:marTop w:val="0"/>
          <w:marBottom w:val="0"/>
          <w:divBdr>
            <w:top w:val="none" w:sz="0" w:space="0" w:color="auto"/>
            <w:left w:val="none" w:sz="0" w:space="0" w:color="auto"/>
            <w:bottom w:val="none" w:sz="0" w:space="0" w:color="auto"/>
            <w:right w:val="none" w:sz="0" w:space="0" w:color="auto"/>
          </w:divBdr>
        </w:div>
        <w:div w:id="513767513">
          <w:marLeft w:val="0"/>
          <w:marRight w:val="0"/>
          <w:marTop w:val="0"/>
          <w:marBottom w:val="0"/>
          <w:divBdr>
            <w:top w:val="none" w:sz="0" w:space="0" w:color="auto"/>
            <w:left w:val="none" w:sz="0" w:space="0" w:color="auto"/>
            <w:bottom w:val="none" w:sz="0" w:space="0" w:color="auto"/>
            <w:right w:val="none" w:sz="0" w:space="0" w:color="auto"/>
          </w:divBdr>
        </w:div>
        <w:div w:id="523446531">
          <w:marLeft w:val="0"/>
          <w:marRight w:val="0"/>
          <w:marTop w:val="0"/>
          <w:marBottom w:val="0"/>
          <w:divBdr>
            <w:top w:val="none" w:sz="0" w:space="0" w:color="auto"/>
            <w:left w:val="none" w:sz="0" w:space="0" w:color="auto"/>
            <w:bottom w:val="none" w:sz="0" w:space="0" w:color="auto"/>
            <w:right w:val="none" w:sz="0" w:space="0" w:color="auto"/>
          </w:divBdr>
        </w:div>
        <w:div w:id="688606599">
          <w:marLeft w:val="0"/>
          <w:marRight w:val="0"/>
          <w:marTop w:val="0"/>
          <w:marBottom w:val="0"/>
          <w:divBdr>
            <w:top w:val="none" w:sz="0" w:space="0" w:color="auto"/>
            <w:left w:val="none" w:sz="0" w:space="0" w:color="auto"/>
            <w:bottom w:val="none" w:sz="0" w:space="0" w:color="auto"/>
            <w:right w:val="none" w:sz="0" w:space="0" w:color="auto"/>
          </w:divBdr>
        </w:div>
        <w:div w:id="1024597347">
          <w:marLeft w:val="0"/>
          <w:marRight w:val="0"/>
          <w:marTop w:val="0"/>
          <w:marBottom w:val="0"/>
          <w:divBdr>
            <w:top w:val="none" w:sz="0" w:space="0" w:color="auto"/>
            <w:left w:val="none" w:sz="0" w:space="0" w:color="auto"/>
            <w:bottom w:val="none" w:sz="0" w:space="0" w:color="auto"/>
            <w:right w:val="none" w:sz="0" w:space="0" w:color="auto"/>
          </w:divBdr>
        </w:div>
        <w:div w:id="1055009437">
          <w:marLeft w:val="0"/>
          <w:marRight w:val="0"/>
          <w:marTop w:val="0"/>
          <w:marBottom w:val="0"/>
          <w:divBdr>
            <w:top w:val="none" w:sz="0" w:space="0" w:color="auto"/>
            <w:left w:val="none" w:sz="0" w:space="0" w:color="auto"/>
            <w:bottom w:val="none" w:sz="0" w:space="0" w:color="auto"/>
            <w:right w:val="none" w:sz="0" w:space="0" w:color="auto"/>
          </w:divBdr>
        </w:div>
        <w:div w:id="1215116765">
          <w:marLeft w:val="0"/>
          <w:marRight w:val="0"/>
          <w:marTop w:val="0"/>
          <w:marBottom w:val="0"/>
          <w:divBdr>
            <w:top w:val="none" w:sz="0" w:space="0" w:color="auto"/>
            <w:left w:val="none" w:sz="0" w:space="0" w:color="auto"/>
            <w:bottom w:val="none" w:sz="0" w:space="0" w:color="auto"/>
            <w:right w:val="none" w:sz="0" w:space="0" w:color="auto"/>
          </w:divBdr>
        </w:div>
        <w:div w:id="1482190499">
          <w:marLeft w:val="0"/>
          <w:marRight w:val="0"/>
          <w:marTop w:val="0"/>
          <w:marBottom w:val="0"/>
          <w:divBdr>
            <w:top w:val="none" w:sz="0" w:space="0" w:color="auto"/>
            <w:left w:val="none" w:sz="0" w:space="0" w:color="auto"/>
            <w:bottom w:val="none" w:sz="0" w:space="0" w:color="auto"/>
            <w:right w:val="none" w:sz="0" w:space="0" w:color="auto"/>
          </w:divBdr>
        </w:div>
        <w:div w:id="1600064658">
          <w:marLeft w:val="0"/>
          <w:marRight w:val="0"/>
          <w:marTop w:val="0"/>
          <w:marBottom w:val="0"/>
          <w:divBdr>
            <w:top w:val="none" w:sz="0" w:space="0" w:color="auto"/>
            <w:left w:val="none" w:sz="0" w:space="0" w:color="auto"/>
            <w:bottom w:val="none" w:sz="0" w:space="0" w:color="auto"/>
            <w:right w:val="none" w:sz="0" w:space="0" w:color="auto"/>
          </w:divBdr>
        </w:div>
        <w:div w:id="1627542780">
          <w:marLeft w:val="0"/>
          <w:marRight w:val="0"/>
          <w:marTop w:val="0"/>
          <w:marBottom w:val="0"/>
          <w:divBdr>
            <w:top w:val="none" w:sz="0" w:space="0" w:color="auto"/>
            <w:left w:val="none" w:sz="0" w:space="0" w:color="auto"/>
            <w:bottom w:val="none" w:sz="0" w:space="0" w:color="auto"/>
            <w:right w:val="none" w:sz="0" w:space="0" w:color="auto"/>
          </w:divBdr>
        </w:div>
        <w:div w:id="1658142284">
          <w:marLeft w:val="0"/>
          <w:marRight w:val="0"/>
          <w:marTop w:val="0"/>
          <w:marBottom w:val="0"/>
          <w:divBdr>
            <w:top w:val="none" w:sz="0" w:space="0" w:color="auto"/>
            <w:left w:val="none" w:sz="0" w:space="0" w:color="auto"/>
            <w:bottom w:val="none" w:sz="0" w:space="0" w:color="auto"/>
            <w:right w:val="none" w:sz="0" w:space="0" w:color="auto"/>
          </w:divBdr>
        </w:div>
        <w:div w:id="1660305653">
          <w:marLeft w:val="0"/>
          <w:marRight w:val="0"/>
          <w:marTop w:val="0"/>
          <w:marBottom w:val="0"/>
          <w:divBdr>
            <w:top w:val="none" w:sz="0" w:space="0" w:color="auto"/>
            <w:left w:val="none" w:sz="0" w:space="0" w:color="auto"/>
            <w:bottom w:val="none" w:sz="0" w:space="0" w:color="auto"/>
            <w:right w:val="none" w:sz="0" w:space="0" w:color="auto"/>
          </w:divBdr>
        </w:div>
        <w:div w:id="1667702966">
          <w:marLeft w:val="0"/>
          <w:marRight w:val="0"/>
          <w:marTop w:val="0"/>
          <w:marBottom w:val="0"/>
          <w:divBdr>
            <w:top w:val="none" w:sz="0" w:space="0" w:color="auto"/>
            <w:left w:val="none" w:sz="0" w:space="0" w:color="auto"/>
            <w:bottom w:val="none" w:sz="0" w:space="0" w:color="auto"/>
            <w:right w:val="none" w:sz="0" w:space="0" w:color="auto"/>
          </w:divBdr>
        </w:div>
        <w:div w:id="1721587017">
          <w:marLeft w:val="0"/>
          <w:marRight w:val="0"/>
          <w:marTop w:val="0"/>
          <w:marBottom w:val="0"/>
          <w:divBdr>
            <w:top w:val="none" w:sz="0" w:space="0" w:color="auto"/>
            <w:left w:val="none" w:sz="0" w:space="0" w:color="auto"/>
            <w:bottom w:val="none" w:sz="0" w:space="0" w:color="auto"/>
            <w:right w:val="none" w:sz="0" w:space="0" w:color="auto"/>
          </w:divBdr>
        </w:div>
        <w:div w:id="1769423456">
          <w:marLeft w:val="0"/>
          <w:marRight w:val="0"/>
          <w:marTop w:val="0"/>
          <w:marBottom w:val="0"/>
          <w:divBdr>
            <w:top w:val="none" w:sz="0" w:space="0" w:color="auto"/>
            <w:left w:val="none" w:sz="0" w:space="0" w:color="auto"/>
            <w:bottom w:val="none" w:sz="0" w:space="0" w:color="auto"/>
            <w:right w:val="none" w:sz="0" w:space="0" w:color="auto"/>
          </w:divBdr>
        </w:div>
        <w:div w:id="1810787056">
          <w:marLeft w:val="0"/>
          <w:marRight w:val="0"/>
          <w:marTop w:val="0"/>
          <w:marBottom w:val="0"/>
          <w:divBdr>
            <w:top w:val="none" w:sz="0" w:space="0" w:color="auto"/>
            <w:left w:val="none" w:sz="0" w:space="0" w:color="auto"/>
            <w:bottom w:val="none" w:sz="0" w:space="0" w:color="auto"/>
            <w:right w:val="none" w:sz="0" w:space="0" w:color="auto"/>
          </w:divBdr>
        </w:div>
        <w:div w:id="1837914768">
          <w:marLeft w:val="0"/>
          <w:marRight w:val="0"/>
          <w:marTop w:val="0"/>
          <w:marBottom w:val="0"/>
          <w:divBdr>
            <w:top w:val="none" w:sz="0" w:space="0" w:color="auto"/>
            <w:left w:val="none" w:sz="0" w:space="0" w:color="auto"/>
            <w:bottom w:val="none" w:sz="0" w:space="0" w:color="auto"/>
            <w:right w:val="none" w:sz="0" w:space="0" w:color="auto"/>
          </w:divBdr>
        </w:div>
        <w:div w:id="1959989512">
          <w:marLeft w:val="0"/>
          <w:marRight w:val="0"/>
          <w:marTop w:val="0"/>
          <w:marBottom w:val="0"/>
          <w:divBdr>
            <w:top w:val="none" w:sz="0" w:space="0" w:color="auto"/>
            <w:left w:val="none" w:sz="0" w:space="0" w:color="auto"/>
            <w:bottom w:val="none" w:sz="0" w:space="0" w:color="auto"/>
            <w:right w:val="none" w:sz="0" w:space="0" w:color="auto"/>
          </w:divBdr>
        </w:div>
        <w:div w:id="2020498989">
          <w:marLeft w:val="0"/>
          <w:marRight w:val="0"/>
          <w:marTop w:val="0"/>
          <w:marBottom w:val="0"/>
          <w:divBdr>
            <w:top w:val="none" w:sz="0" w:space="0" w:color="auto"/>
            <w:left w:val="none" w:sz="0" w:space="0" w:color="auto"/>
            <w:bottom w:val="none" w:sz="0" w:space="0" w:color="auto"/>
            <w:right w:val="none" w:sz="0" w:space="0" w:color="auto"/>
          </w:divBdr>
        </w:div>
        <w:div w:id="2096583141">
          <w:marLeft w:val="0"/>
          <w:marRight w:val="0"/>
          <w:marTop w:val="0"/>
          <w:marBottom w:val="0"/>
          <w:divBdr>
            <w:top w:val="none" w:sz="0" w:space="0" w:color="auto"/>
            <w:left w:val="none" w:sz="0" w:space="0" w:color="auto"/>
            <w:bottom w:val="none" w:sz="0" w:space="0" w:color="auto"/>
            <w:right w:val="none" w:sz="0" w:space="0" w:color="auto"/>
          </w:divBdr>
        </w:div>
      </w:divsChild>
    </w:div>
    <w:div w:id="158078174">
      <w:bodyDiv w:val="1"/>
      <w:marLeft w:val="0"/>
      <w:marRight w:val="0"/>
      <w:marTop w:val="0"/>
      <w:marBottom w:val="0"/>
      <w:divBdr>
        <w:top w:val="none" w:sz="0" w:space="0" w:color="auto"/>
        <w:left w:val="none" w:sz="0" w:space="0" w:color="auto"/>
        <w:bottom w:val="none" w:sz="0" w:space="0" w:color="auto"/>
        <w:right w:val="none" w:sz="0" w:space="0" w:color="auto"/>
      </w:divBdr>
    </w:div>
    <w:div w:id="166218166">
      <w:bodyDiv w:val="1"/>
      <w:marLeft w:val="0"/>
      <w:marRight w:val="0"/>
      <w:marTop w:val="0"/>
      <w:marBottom w:val="0"/>
      <w:divBdr>
        <w:top w:val="none" w:sz="0" w:space="0" w:color="auto"/>
        <w:left w:val="none" w:sz="0" w:space="0" w:color="auto"/>
        <w:bottom w:val="none" w:sz="0" w:space="0" w:color="auto"/>
        <w:right w:val="none" w:sz="0" w:space="0" w:color="auto"/>
      </w:divBdr>
    </w:div>
    <w:div w:id="199251181">
      <w:bodyDiv w:val="1"/>
      <w:marLeft w:val="0"/>
      <w:marRight w:val="0"/>
      <w:marTop w:val="0"/>
      <w:marBottom w:val="0"/>
      <w:divBdr>
        <w:top w:val="none" w:sz="0" w:space="0" w:color="auto"/>
        <w:left w:val="none" w:sz="0" w:space="0" w:color="auto"/>
        <w:bottom w:val="none" w:sz="0" w:space="0" w:color="auto"/>
        <w:right w:val="none" w:sz="0" w:space="0" w:color="auto"/>
      </w:divBdr>
    </w:div>
    <w:div w:id="229342811">
      <w:bodyDiv w:val="1"/>
      <w:marLeft w:val="0"/>
      <w:marRight w:val="0"/>
      <w:marTop w:val="0"/>
      <w:marBottom w:val="0"/>
      <w:divBdr>
        <w:top w:val="none" w:sz="0" w:space="0" w:color="auto"/>
        <w:left w:val="none" w:sz="0" w:space="0" w:color="auto"/>
        <w:bottom w:val="none" w:sz="0" w:space="0" w:color="auto"/>
        <w:right w:val="none" w:sz="0" w:space="0" w:color="auto"/>
      </w:divBdr>
    </w:div>
    <w:div w:id="233243704">
      <w:bodyDiv w:val="1"/>
      <w:marLeft w:val="0"/>
      <w:marRight w:val="0"/>
      <w:marTop w:val="0"/>
      <w:marBottom w:val="0"/>
      <w:divBdr>
        <w:top w:val="none" w:sz="0" w:space="0" w:color="auto"/>
        <w:left w:val="none" w:sz="0" w:space="0" w:color="auto"/>
        <w:bottom w:val="none" w:sz="0" w:space="0" w:color="auto"/>
        <w:right w:val="none" w:sz="0" w:space="0" w:color="auto"/>
      </w:divBdr>
    </w:div>
    <w:div w:id="244069606">
      <w:bodyDiv w:val="1"/>
      <w:marLeft w:val="0"/>
      <w:marRight w:val="0"/>
      <w:marTop w:val="0"/>
      <w:marBottom w:val="0"/>
      <w:divBdr>
        <w:top w:val="none" w:sz="0" w:space="0" w:color="auto"/>
        <w:left w:val="none" w:sz="0" w:space="0" w:color="auto"/>
        <w:bottom w:val="none" w:sz="0" w:space="0" w:color="auto"/>
        <w:right w:val="none" w:sz="0" w:space="0" w:color="auto"/>
      </w:divBdr>
    </w:div>
    <w:div w:id="257911456">
      <w:bodyDiv w:val="1"/>
      <w:marLeft w:val="0"/>
      <w:marRight w:val="0"/>
      <w:marTop w:val="0"/>
      <w:marBottom w:val="0"/>
      <w:divBdr>
        <w:top w:val="none" w:sz="0" w:space="0" w:color="auto"/>
        <w:left w:val="none" w:sz="0" w:space="0" w:color="auto"/>
        <w:bottom w:val="none" w:sz="0" w:space="0" w:color="auto"/>
        <w:right w:val="none" w:sz="0" w:space="0" w:color="auto"/>
      </w:divBdr>
      <w:divsChild>
        <w:div w:id="636451409">
          <w:marLeft w:val="0"/>
          <w:marRight w:val="0"/>
          <w:marTop w:val="0"/>
          <w:marBottom w:val="0"/>
          <w:divBdr>
            <w:top w:val="none" w:sz="0" w:space="0" w:color="auto"/>
            <w:left w:val="none" w:sz="0" w:space="0" w:color="auto"/>
            <w:bottom w:val="none" w:sz="0" w:space="0" w:color="auto"/>
            <w:right w:val="none" w:sz="0" w:space="0" w:color="auto"/>
          </w:divBdr>
        </w:div>
        <w:div w:id="747189388">
          <w:marLeft w:val="0"/>
          <w:marRight w:val="0"/>
          <w:marTop w:val="0"/>
          <w:marBottom w:val="0"/>
          <w:divBdr>
            <w:top w:val="none" w:sz="0" w:space="0" w:color="auto"/>
            <w:left w:val="none" w:sz="0" w:space="0" w:color="auto"/>
            <w:bottom w:val="none" w:sz="0" w:space="0" w:color="auto"/>
            <w:right w:val="none" w:sz="0" w:space="0" w:color="auto"/>
          </w:divBdr>
        </w:div>
        <w:div w:id="783773281">
          <w:marLeft w:val="0"/>
          <w:marRight w:val="0"/>
          <w:marTop w:val="0"/>
          <w:marBottom w:val="0"/>
          <w:divBdr>
            <w:top w:val="none" w:sz="0" w:space="0" w:color="auto"/>
            <w:left w:val="none" w:sz="0" w:space="0" w:color="auto"/>
            <w:bottom w:val="none" w:sz="0" w:space="0" w:color="auto"/>
            <w:right w:val="none" w:sz="0" w:space="0" w:color="auto"/>
          </w:divBdr>
        </w:div>
        <w:div w:id="1230733129">
          <w:marLeft w:val="0"/>
          <w:marRight w:val="0"/>
          <w:marTop w:val="0"/>
          <w:marBottom w:val="0"/>
          <w:divBdr>
            <w:top w:val="none" w:sz="0" w:space="0" w:color="auto"/>
            <w:left w:val="none" w:sz="0" w:space="0" w:color="auto"/>
            <w:bottom w:val="none" w:sz="0" w:space="0" w:color="auto"/>
            <w:right w:val="none" w:sz="0" w:space="0" w:color="auto"/>
          </w:divBdr>
        </w:div>
        <w:div w:id="1309286701">
          <w:marLeft w:val="0"/>
          <w:marRight w:val="0"/>
          <w:marTop w:val="0"/>
          <w:marBottom w:val="0"/>
          <w:divBdr>
            <w:top w:val="none" w:sz="0" w:space="0" w:color="auto"/>
            <w:left w:val="none" w:sz="0" w:space="0" w:color="auto"/>
            <w:bottom w:val="none" w:sz="0" w:space="0" w:color="auto"/>
            <w:right w:val="none" w:sz="0" w:space="0" w:color="auto"/>
          </w:divBdr>
        </w:div>
        <w:div w:id="1324776745">
          <w:marLeft w:val="0"/>
          <w:marRight w:val="0"/>
          <w:marTop w:val="0"/>
          <w:marBottom w:val="0"/>
          <w:divBdr>
            <w:top w:val="none" w:sz="0" w:space="0" w:color="auto"/>
            <w:left w:val="none" w:sz="0" w:space="0" w:color="auto"/>
            <w:bottom w:val="none" w:sz="0" w:space="0" w:color="auto"/>
            <w:right w:val="none" w:sz="0" w:space="0" w:color="auto"/>
          </w:divBdr>
        </w:div>
        <w:div w:id="2010448748">
          <w:marLeft w:val="0"/>
          <w:marRight w:val="0"/>
          <w:marTop w:val="0"/>
          <w:marBottom w:val="0"/>
          <w:divBdr>
            <w:top w:val="none" w:sz="0" w:space="0" w:color="auto"/>
            <w:left w:val="none" w:sz="0" w:space="0" w:color="auto"/>
            <w:bottom w:val="none" w:sz="0" w:space="0" w:color="auto"/>
            <w:right w:val="none" w:sz="0" w:space="0" w:color="auto"/>
          </w:divBdr>
        </w:div>
      </w:divsChild>
    </w:div>
    <w:div w:id="262960586">
      <w:bodyDiv w:val="1"/>
      <w:marLeft w:val="0"/>
      <w:marRight w:val="0"/>
      <w:marTop w:val="0"/>
      <w:marBottom w:val="0"/>
      <w:divBdr>
        <w:top w:val="none" w:sz="0" w:space="0" w:color="auto"/>
        <w:left w:val="none" w:sz="0" w:space="0" w:color="auto"/>
        <w:bottom w:val="none" w:sz="0" w:space="0" w:color="auto"/>
        <w:right w:val="none" w:sz="0" w:space="0" w:color="auto"/>
      </w:divBdr>
      <w:divsChild>
        <w:div w:id="22487569">
          <w:marLeft w:val="0"/>
          <w:marRight w:val="0"/>
          <w:marTop w:val="0"/>
          <w:marBottom w:val="0"/>
          <w:divBdr>
            <w:top w:val="none" w:sz="0" w:space="0" w:color="auto"/>
            <w:left w:val="none" w:sz="0" w:space="0" w:color="auto"/>
            <w:bottom w:val="none" w:sz="0" w:space="0" w:color="auto"/>
            <w:right w:val="none" w:sz="0" w:space="0" w:color="auto"/>
          </w:divBdr>
        </w:div>
        <w:div w:id="213204328">
          <w:marLeft w:val="0"/>
          <w:marRight w:val="0"/>
          <w:marTop w:val="0"/>
          <w:marBottom w:val="0"/>
          <w:divBdr>
            <w:top w:val="none" w:sz="0" w:space="0" w:color="auto"/>
            <w:left w:val="none" w:sz="0" w:space="0" w:color="auto"/>
            <w:bottom w:val="none" w:sz="0" w:space="0" w:color="auto"/>
            <w:right w:val="none" w:sz="0" w:space="0" w:color="auto"/>
          </w:divBdr>
        </w:div>
        <w:div w:id="217787282">
          <w:marLeft w:val="0"/>
          <w:marRight w:val="0"/>
          <w:marTop w:val="0"/>
          <w:marBottom w:val="0"/>
          <w:divBdr>
            <w:top w:val="none" w:sz="0" w:space="0" w:color="auto"/>
            <w:left w:val="none" w:sz="0" w:space="0" w:color="auto"/>
            <w:bottom w:val="none" w:sz="0" w:space="0" w:color="auto"/>
            <w:right w:val="none" w:sz="0" w:space="0" w:color="auto"/>
          </w:divBdr>
        </w:div>
        <w:div w:id="217933508">
          <w:marLeft w:val="0"/>
          <w:marRight w:val="0"/>
          <w:marTop w:val="0"/>
          <w:marBottom w:val="0"/>
          <w:divBdr>
            <w:top w:val="none" w:sz="0" w:space="0" w:color="auto"/>
            <w:left w:val="none" w:sz="0" w:space="0" w:color="auto"/>
            <w:bottom w:val="none" w:sz="0" w:space="0" w:color="auto"/>
            <w:right w:val="none" w:sz="0" w:space="0" w:color="auto"/>
          </w:divBdr>
        </w:div>
        <w:div w:id="387649309">
          <w:marLeft w:val="0"/>
          <w:marRight w:val="0"/>
          <w:marTop w:val="0"/>
          <w:marBottom w:val="0"/>
          <w:divBdr>
            <w:top w:val="none" w:sz="0" w:space="0" w:color="auto"/>
            <w:left w:val="none" w:sz="0" w:space="0" w:color="auto"/>
            <w:bottom w:val="none" w:sz="0" w:space="0" w:color="auto"/>
            <w:right w:val="none" w:sz="0" w:space="0" w:color="auto"/>
          </w:divBdr>
        </w:div>
        <w:div w:id="1255043787">
          <w:marLeft w:val="0"/>
          <w:marRight w:val="0"/>
          <w:marTop w:val="0"/>
          <w:marBottom w:val="0"/>
          <w:divBdr>
            <w:top w:val="none" w:sz="0" w:space="0" w:color="auto"/>
            <w:left w:val="none" w:sz="0" w:space="0" w:color="auto"/>
            <w:bottom w:val="none" w:sz="0" w:space="0" w:color="auto"/>
            <w:right w:val="none" w:sz="0" w:space="0" w:color="auto"/>
          </w:divBdr>
        </w:div>
        <w:div w:id="1671172528">
          <w:marLeft w:val="0"/>
          <w:marRight w:val="0"/>
          <w:marTop w:val="0"/>
          <w:marBottom w:val="0"/>
          <w:divBdr>
            <w:top w:val="none" w:sz="0" w:space="0" w:color="auto"/>
            <w:left w:val="none" w:sz="0" w:space="0" w:color="auto"/>
            <w:bottom w:val="none" w:sz="0" w:space="0" w:color="auto"/>
            <w:right w:val="none" w:sz="0" w:space="0" w:color="auto"/>
          </w:divBdr>
        </w:div>
        <w:div w:id="1676804263">
          <w:marLeft w:val="0"/>
          <w:marRight w:val="0"/>
          <w:marTop w:val="0"/>
          <w:marBottom w:val="0"/>
          <w:divBdr>
            <w:top w:val="none" w:sz="0" w:space="0" w:color="auto"/>
            <w:left w:val="none" w:sz="0" w:space="0" w:color="auto"/>
            <w:bottom w:val="none" w:sz="0" w:space="0" w:color="auto"/>
            <w:right w:val="none" w:sz="0" w:space="0" w:color="auto"/>
          </w:divBdr>
        </w:div>
        <w:div w:id="1703440368">
          <w:marLeft w:val="0"/>
          <w:marRight w:val="0"/>
          <w:marTop w:val="0"/>
          <w:marBottom w:val="0"/>
          <w:divBdr>
            <w:top w:val="none" w:sz="0" w:space="0" w:color="auto"/>
            <w:left w:val="none" w:sz="0" w:space="0" w:color="auto"/>
            <w:bottom w:val="none" w:sz="0" w:space="0" w:color="auto"/>
            <w:right w:val="none" w:sz="0" w:space="0" w:color="auto"/>
          </w:divBdr>
        </w:div>
        <w:div w:id="1761025613">
          <w:marLeft w:val="0"/>
          <w:marRight w:val="0"/>
          <w:marTop w:val="0"/>
          <w:marBottom w:val="0"/>
          <w:divBdr>
            <w:top w:val="none" w:sz="0" w:space="0" w:color="auto"/>
            <w:left w:val="none" w:sz="0" w:space="0" w:color="auto"/>
            <w:bottom w:val="none" w:sz="0" w:space="0" w:color="auto"/>
            <w:right w:val="none" w:sz="0" w:space="0" w:color="auto"/>
          </w:divBdr>
        </w:div>
        <w:div w:id="1788894079">
          <w:marLeft w:val="0"/>
          <w:marRight w:val="0"/>
          <w:marTop w:val="0"/>
          <w:marBottom w:val="0"/>
          <w:divBdr>
            <w:top w:val="none" w:sz="0" w:space="0" w:color="auto"/>
            <w:left w:val="none" w:sz="0" w:space="0" w:color="auto"/>
            <w:bottom w:val="none" w:sz="0" w:space="0" w:color="auto"/>
            <w:right w:val="none" w:sz="0" w:space="0" w:color="auto"/>
          </w:divBdr>
        </w:div>
        <w:div w:id="1872914325">
          <w:marLeft w:val="0"/>
          <w:marRight w:val="0"/>
          <w:marTop w:val="0"/>
          <w:marBottom w:val="0"/>
          <w:divBdr>
            <w:top w:val="none" w:sz="0" w:space="0" w:color="auto"/>
            <w:left w:val="none" w:sz="0" w:space="0" w:color="auto"/>
            <w:bottom w:val="none" w:sz="0" w:space="0" w:color="auto"/>
            <w:right w:val="none" w:sz="0" w:space="0" w:color="auto"/>
          </w:divBdr>
        </w:div>
        <w:div w:id="1993026269">
          <w:marLeft w:val="0"/>
          <w:marRight w:val="0"/>
          <w:marTop w:val="0"/>
          <w:marBottom w:val="0"/>
          <w:divBdr>
            <w:top w:val="none" w:sz="0" w:space="0" w:color="auto"/>
            <w:left w:val="none" w:sz="0" w:space="0" w:color="auto"/>
            <w:bottom w:val="none" w:sz="0" w:space="0" w:color="auto"/>
            <w:right w:val="none" w:sz="0" w:space="0" w:color="auto"/>
          </w:divBdr>
        </w:div>
      </w:divsChild>
    </w:div>
    <w:div w:id="300499240">
      <w:bodyDiv w:val="1"/>
      <w:marLeft w:val="0"/>
      <w:marRight w:val="0"/>
      <w:marTop w:val="0"/>
      <w:marBottom w:val="0"/>
      <w:divBdr>
        <w:top w:val="none" w:sz="0" w:space="0" w:color="auto"/>
        <w:left w:val="none" w:sz="0" w:space="0" w:color="auto"/>
        <w:bottom w:val="none" w:sz="0" w:space="0" w:color="auto"/>
        <w:right w:val="none" w:sz="0" w:space="0" w:color="auto"/>
      </w:divBdr>
    </w:div>
    <w:div w:id="303972720">
      <w:bodyDiv w:val="1"/>
      <w:marLeft w:val="0"/>
      <w:marRight w:val="0"/>
      <w:marTop w:val="0"/>
      <w:marBottom w:val="0"/>
      <w:divBdr>
        <w:top w:val="none" w:sz="0" w:space="0" w:color="auto"/>
        <w:left w:val="none" w:sz="0" w:space="0" w:color="auto"/>
        <w:bottom w:val="none" w:sz="0" w:space="0" w:color="auto"/>
        <w:right w:val="none" w:sz="0" w:space="0" w:color="auto"/>
      </w:divBdr>
    </w:div>
    <w:div w:id="305166370">
      <w:bodyDiv w:val="1"/>
      <w:marLeft w:val="0"/>
      <w:marRight w:val="0"/>
      <w:marTop w:val="0"/>
      <w:marBottom w:val="0"/>
      <w:divBdr>
        <w:top w:val="none" w:sz="0" w:space="0" w:color="auto"/>
        <w:left w:val="none" w:sz="0" w:space="0" w:color="auto"/>
        <w:bottom w:val="none" w:sz="0" w:space="0" w:color="auto"/>
        <w:right w:val="none" w:sz="0" w:space="0" w:color="auto"/>
      </w:divBdr>
    </w:div>
    <w:div w:id="321587481">
      <w:bodyDiv w:val="1"/>
      <w:marLeft w:val="0"/>
      <w:marRight w:val="0"/>
      <w:marTop w:val="0"/>
      <w:marBottom w:val="0"/>
      <w:divBdr>
        <w:top w:val="none" w:sz="0" w:space="0" w:color="auto"/>
        <w:left w:val="none" w:sz="0" w:space="0" w:color="auto"/>
        <w:bottom w:val="none" w:sz="0" w:space="0" w:color="auto"/>
        <w:right w:val="none" w:sz="0" w:space="0" w:color="auto"/>
      </w:divBdr>
    </w:div>
    <w:div w:id="325715867">
      <w:bodyDiv w:val="1"/>
      <w:marLeft w:val="0"/>
      <w:marRight w:val="0"/>
      <w:marTop w:val="0"/>
      <w:marBottom w:val="0"/>
      <w:divBdr>
        <w:top w:val="none" w:sz="0" w:space="0" w:color="auto"/>
        <w:left w:val="none" w:sz="0" w:space="0" w:color="auto"/>
        <w:bottom w:val="none" w:sz="0" w:space="0" w:color="auto"/>
        <w:right w:val="none" w:sz="0" w:space="0" w:color="auto"/>
      </w:divBdr>
    </w:div>
    <w:div w:id="335424179">
      <w:bodyDiv w:val="1"/>
      <w:marLeft w:val="0"/>
      <w:marRight w:val="0"/>
      <w:marTop w:val="0"/>
      <w:marBottom w:val="0"/>
      <w:divBdr>
        <w:top w:val="none" w:sz="0" w:space="0" w:color="auto"/>
        <w:left w:val="none" w:sz="0" w:space="0" w:color="auto"/>
        <w:bottom w:val="none" w:sz="0" w:space="0" w:color="auto"/>
        <w:right w:val="none" w:sz="0" w:space="0" w:color="auto"/>
      </w:divBdr>
    </w:div>
    <w:div w:id="348874069">
      <w:bodyDiv w:val="1"/>
      <w:marLeft w:val="0"/>
      <w:marRight w:val="0"/>
      <w:marTop w:val="0"/>
      <w:marBottom w:val="0"/>
      <w:divBdr>
        <w:top w:val="none" w:sz="0" w:space="0" w:color="auto"/>
        <w:left w:val="none" w:sz="0" w:space="0" w:color="auto"/>
        <w:bottom w:val="none" w:sz="0" w:space="0" w:color="auto"/>
        <w:right w:val="none" w:sz="0" w:space="0" w:color="auto"/>
      </w:divBdr>
    </w:div>
    <w:div w:id="353575156">
      <w:bodyDiv w:val="1"/>
      <w:marLeft w:val="0"/>
      <w:marRight w:val="0"/>
      <w:marTop w:val="0"/>
      <w:marBottom w:val="0"/>
      <w:divBdr>
        <w:top w:val="none" w:sz="0" w:space="0" w:color="auto"/>
        <w:left w:val="none" w:sz="0" w:space="0" w:color="auto"/>
        <w:bottom w:val="none" w:sz="0" w:space="0" w:color="auto"/>
        <w:right w:val="none" w:sz="0" w:space="0" w:color="auto"/>
      </w:divBdr>
    </w:div>
    <w:div w:id="358551960">
      <w:bodyDiv w:val="1"/>
      <w:marLeft w:val="0"/>
      <w:marRight w:val="0"/>
      <w:marTop w:val="0"/>
      <w:marBottom w:val="0"/>
      <w:divBdr>
        <w:top w:val="none" w:sz="0" w:space="0" w:color="auto"/>
        <w:left w:val="none" w:sz="0" w:space="0" w:color="auto"/>
        <w:bottom w:val="none" w:sz="0" w:space="0" w:color="auto"/>
        <w:right w:val="none" w:sz="0" w:space="0" w:color="auto"/>
      </w:divBdr>
    </w:div>
    <w:div w:id="376710306">
      <w:bodyDiv w:val="1"/>
      <w:marLeft w:val="0"/>
      <w:marRight w:val="0"/>
      <w:marTop w:val="0"/>
      <w:marBottom w:val="0"/>
      <w:divBdr>
        <w:top w:val="none" w:sz="0" w:space="0" w:color="auto"/>
        <w:left w:val="none" w:sz="0" w:space="0" w:color="auto"/>
        <w:bottom w:val="none" w:sz="0" w:space="0" w:color="auto"/>
        <w:right w:val="none" w:sz="0" w:space="0" w:color="auto"/>
      </w:divBdr>
    </w:div>
    <w:div w:id="377899524">
      <w:bodyDiv w:val="1"/>
      <w:marLeft w:val="0"/>
      <w:marRight w:val="0"/>
      <w:marTop w:val="0"/>
      <w:marBottom w:val="0"/>
      <w:divBdr>
        <w:top w:val="none" w:sz="0" w:space="0" w:color="auto"/>
        <w:left w:val="none" w:sz="0" w:space="0" w:color="auto"/>
        <w:bottom w:val="none" w:sz="0" w:space="0" w:color="auto"/>
        <w:right w:val="none" w:sz="0" w:space="0" w:color="auto"/>
      </w:divBdr>
    </w:div>
    <w:div w:id="397678974">
      <w:bodyDiv w:val="1"/>
      <w:marLeft w:val="0"/>
      <w:marRight w:val="0"/>
      <w:marTop w:val="0"/>
      <w:marBottom w:val="0"/>
      <w:divBdr>
        <w:top w:val="none" w:sz="0" w:space="0" w:color="auto"/>
        <w:left w:val="none" w:sz="0" w:space="0" w:color="auto"/>
        <w:bottom w:val="none" w:sz="0" w:space="0" w:color="auto"/>
        <w:right w:val="none" w:sz="0" w:space="0" w:color="auto"/>
      </w:divBdr>
    </w:div>
    <w:div w:id="420949679">
      <w:bodyDiv w:val="1"/>
      <w:marLeft w:val="0"/>
      <w:marRight w:val="0"/>
      <w:marTop w:val="0"/>
      <w:marBottom w:val="0"/>
      <w:divBdr>
        <w:top w:val="none" w:sz="0" w:space="0" w:color="auto"/>
        <w:left w:val="none" w:sz="0" w:space="0" w:color="auto"/>
        <w:bottom w:val="none" w:sz="0" w:space="0" w:color="auto"/>
        <w:right w:val="none" w:sz="0" w:space="0" w:color="auto"/>
      </w:divBdr>
    </w:div>
    <w:div w:id="432744595">
      <w:bodyDiv w:val="1"/>
      <w:marLeft w:val="0"/>
      <w:marRight w:val="0"/>
      <w:marTop w:val="0"/>
      <w:marBottom w:val="0"/>
      <w:divBdr>
        <w:top w:val="none" w:sz="0" w:space="0" w:color="auto"/>
        <w:left w:val="none" w:sz="0" w:space="0" w:color="auto"/>
        <w:bottom w:val="none" w:sz="0" w:space="0" w:color="auto"/>
        <w:right w:val="none" w:sz="0" w:space="0" w:color="auto"/>
      </w:divBdr>
    </w:div>
    <w:div w:id="445468482">
      <w:bodyDiv w:val="1"/>
      <w:marLeft w:val="0"/>
      <w:marRight w:val="0"/>
      <w:marTop w:val="0"/>
      <w:marBottom w:val="0"/>
      <w:divBdr>
        <w:top w:val="none" w:sz="0" w:space="0" w:color="auto"/>
        <w:left w:val="none" w:sz="0" w:space="0" w:color="auto"/>
        <w:bottom w:val="none" w:sz="0" w:space="0" w:color="auto"/>
        <w:right w:val="none" w:sz="0" w:space="0" w:color="auto"/>
      </w:divBdr>
    </w:div>
    <w:div w:id="447891779">
      <w:bodyDiv w:val="1"/>
      <w:marLeft w:val="0"/>
      <w:marRight w:val="0"/>
      <w:marTop w:val="0"/>
      <w:marBottom w:val="0"/>
      <w:divBdr>
        <w:top w:val="none" w:sz="0" w:space="0" w:color="auto"/>
        <w:left w:val="none" w:sz="0" w:space="0" w:color="auto"/>
        <w:bottom w:val="none" w:sz="0" w:space="0" w:color="auto"/>
        <w:right w:val="none" w:sz="0" w:space="0" w:color="auto"/>
      </w:divBdr>
    </w:div>
    <w:div w:id="461461209">
      <w:bodyDiv w:val="1"/>
      <w:marLeft w:val="0"/>
      <w:marRight w:val="0"/>
      <w:marTop w:val="0"/>
      <w:marBottom w:val="0"/>
      <w:divBdr>
        <w:top w:val="none" w:sz="0" w:space="0" w:color="auto"/>
        <w:left w:val="none" w:sz="0" w:space="0" w:color="auto"/>
        <w:bottom w:val="none" w:sz="0" w:space="0" w:color="auto"/>
        <w:right w:val="none" w:sz="0" w:space="0" w:color="auto"/>
      </w:divBdr>
    </w:div>
    <w:div w:id="528028946">
      <w:bodyDiv w:val="1"/>
      <w:marLeft w:val="0"/>
      <w:marRight w:val="0"/>
      <w:marTop w:val="0"/>
      <w:marBottom w:val="0"/>
      <w:divBdr>
        <w:top w:val="none" w:sz="0" w:space="0" w:color="auto"/>
        <w:left w:val="none" w:sz="0" w:space="0" w:color="auto"/>
        <w:bottom w:val="none" w:sz="0" w:space="0" w:color="auto"/>
        <w:right w:val="none" w:sz="0" w:space="0" w:color="auto"/>
      </w:divBdr>
    </w:div>
    <w:div w:id="536091754">
      <w:bodyDiv w:val="1"/>
      <w:marLeft w:val="0"/>
      <w:marRight w:val="0"/>
      <w:marTop w:val="0"/>
      <w:marBottom w:val="0"/>
      <w:divBdr>
        <w:top w:val="none" w:sz="0" w:space="0" w:color="auto"/>
        <w:left w:val="none" w:sz="0" w:space="0" w:color="auto"/>
        <w:bottom w:val="none" w:sz="0" w:space="0" w:color="auto"/>
        <w:right w:val="none" w:sz="0" w:space="0" w:color="auto"/>
      </w:divBdr>
      <w:divsChild>
        <w:div w:id="42751447">
          <w:marLeft w:val="0"/>
          <w:marRight w:val="0"/>
          <w:marTop w:val="0"/>
          <w:marBottom w:val="0"/>
          <w:divBdr>
            <w:top w:val="none" w:sz="0" w:space="0" w:color="auto"/>
            <w:left w:val="none" w:sz="0" w:space="0" w:color="auto"/>
            <w:bottom w:val="none" w:sz="0" w:space="0" w:color="auto"/>
            <w:right w:val="none" w:sz="0" w:space="0" w:color="auto"/>
          </w:divBdr>
        </w:div>
        <w:div w:id="867910320">
          <w:marLeft w:val="0"/>
          <w:marRight w:val="0"/>
          <w:marTop w:val="0"/>
          <w:marBottom w:val="0"/>
          <w:divBdr>
            <w:top w:val="none" w:sz="0" w:space="0" w:color="auto"/>
            <w:left w:val="none" w:sz="0" w:space="0" w:color="auto"/>
            <w:bottom w:val="none" w:sz="0" w:space="0" w:color="auto"/>
            <w:right w:val="none" w:sz="0" w:space="0" w:color="auto"/>
          </w:divBdr>
        </w:div>
        <w:div w:id="1468888018">
          <w:marLeft w:val="0"/>
          <w:marRight w:val="0"/>
          <w:marTop w:val="0"/>
          <w:marBottom w:val="0"/>
          <w:divBdr>
            <w:top w:val="none" w:sz="0" w:space="0" w:color="auto"/>
            <w:left w:val="none" w:sz="0" w:space="0" w:color="auto"/>
            <w:bottom w:val="none" w:sz="0" w:space="0" w:color="auto"/>
            <w:right w:val="none" w:sz="0" w:space="0" w:color="auto"/>
          </w:divBdr>
        </w:div>
        <w:div w:id="1588467226">
          <w:marLeft w:val="0"/>
          <w:marRight w:val="0"/>
          <w:marTop w:val="0"/>
          <w:marBottom w:val="0"/>
          <w:divBdr>
            <w:top w:val="none" w:sz="0" w:space="0" w:color="auto"/>
            <w:left w:val="none" w:sz="0" w:space="0" w:color="auto"/>
            <w:bottom w:val="none" w:sz="0" w:space="0" w:color="auto"/>
            <w:right w:val="none" w:sz="0" w:space="0" w:color="auto"/>
          </w:divBdr>
        </w:div>
        <w:div w:id="1858886550">
          <w:marLeft w:val="0"/>
          <w:marRight w:val="0"/>
          <w:marTop w:val="0"/>
          <w:marBottom w:val="0"/>
          <w:divBdr>
            <w:top w:val="none" w:sz="0" w:space="0" w:color="auto"/>
            <w:left w:val="none" w:sz="0" w:space="0" w:color="auto"/>
            <w:bottom w:val="none" w:sz="0" w:space="0" w:color="auto"/>
            <w:right w:val="none" w:sz="0" w:space="0" w:color="auto"/>
          </w:divBdr>
        </w:div>
        <w:div w:id="1888566202">
          <w:marLeft w:val="0"/>
          <w:marRight w:val="0"/>
          <w:marTop w:val="0"/>
          <w:marBottom w:val="0"/>
          <w:divBdr>
            <w:top w:val="none" w:sz="0" w:space="0" w:color="auto"/>
            <w:left w:val="none" w:sz="0" w:space="0" w:color="auto"/>
            <w:bottom w:val="none" w:sz="0" w:space="0" w:color="auto"/>
            <w:right w:val="none" w:sz="0" w:space="0" w:color="auto"/>
          </w:divBdr>
        </w:div>
        <w:div w:id="1889224644">
          <w:marLeft w:val="0"/>
          <w:marRight w:val="0"/>
          <w:marTop w:val="0"/>
          <w:marBottom w:val="0"/>
          <w:divBdr>
            <w:top w:val="none" w:sz="0" w:space="0" w:color="auto"/>
            <w:left w:val="none" w:sz="0" w:space="0" w:color="auto"/>
            <w:bottom w:val="none" w:sz="0" w:space="0" w:color="auto"/>
            <w:right w:val="none" w:sz="0" w:space="0" w:color="auto"/>
          </w:divBdr>
        </w:div>
        <w:div w:id="2008823247">
          <w:marLeft w:val="0"/>
          <w:marRight w:val="0"/>
          <w:marTop w:val="0"/>
          <w:marBottom w:val="0"/>
          <w:divBdr>
            <w:top w:val="none" w:sz="0" w:space="0" w:color="auto"/>
            <w:left w:val="none" w:sz="0" w:space="0" w:color="auto"/>
            <w:bottom w:val="none" w:sz="0" w:space="0" w:color="auto"/>
            <w:right w:val="none" w:sz="0" w:space="0" w:color="auto"/>
          </w:divBdr>
        </w:div>
      </w:divsChild>
    </w:div>
    <w:div w:id="550769866">
      <w:bodyDiv w:val="1"/>
      <w:marLeft w:val="0"/>
      <w:marRight w:val="0"/>
      <w:marTop w:val="0"/>
      <w:marBottom w:val="0"/>
      <w:divBdr>
        <w:top w:val="none" w:sz="0" w:space="0" w:color="auto"/>
        <w:left w:val="none" w:sz="0" w:space="0" w:color="auto"/>
        <w:bottom w:val="none" w:sz="0" w:space="0" w:color="auto"/>
        <w:right w:val="none" w:sz="0" w:space="0" w:color="auto"/>
      </w:divBdr>
    </w:div>
    <w:div w:id="552540324">
      <w:bodyDiv w:val="1"/>
      <w:marLeft w:val="0"/>
      <w:marRight w:val="0"/>
      <w:marTop w:val="0"/>
      <w:marBottom w:val="0"/>
      <w:divBdr>
        <w:top w:val="none" w:sz="0" w:space="0" w:color="auto"/>
        <w:left w:val="none" w:sz="0" w:space="0" w:color="auto"/>
        <w:bottom w:val="none" w:sz="0" w:space="0" w:color="auto"/>
        <w:right w:val="none" w:sz="0" w:space="0" w:color="auto"/>
      </w:divBdr>
    </w:div>
    <w:div w:id="556821113">
      <w:bodyDiv w:val="1"/>
      <w:marLeft w:val="0"/>
      <w:marRight w:val="0"/>
      <w:marTop w:val="0"/>
      <w:marBottom w:val="0"/>
      <w:divBdr>
        <w:top w:val="none" w:sz="0" w:space="0" w:color="auto"/>
        <w:left w:val="none" w:sz="0" w:space="0" w:color="auto"/>
        <w:bottom w:val="none" w:sz="0" w:space="0" w:color="auto"/>
        <w:right w:val="none" w:sz="0" w:space="0" w:color="auto"/>
      </w:divBdr>
    </w:div>
    <w:div w:id="562722342">
      <w:bodyDiv w:val="1"/>
      <w:marLeft w:val="0"/>
      <w:marRight w:val="0"/>
      <w:marTop w:val="0"/>
      <w:marBottom w:val="0"/>
      <w:divBdr>
        <w:top w:val="none" w:sz="0" w:space="0" w:color="auto"/>
        <w:left w:val="none" w:sz="0" w:space="0" w:color="auto"/>
        <w:bottom w:val="none" w:sz="0" w:space="0" w:color="auto"/>
        <w:right w:val="none" w:sz="0" w:space="0" w:color="auto"/>
      </w:divBdr>
    </w:div>
    <w:div w:id="566381051">
      <w:bodyDiv w:val="1"/>
      <w:marLeft w:val="0"/>
      <w:marRight w:val="0"/>
      <w:marTop w:val="0"/>
      <w:marBottom w:val="0"/>
      <w:divBdr>
        <w:top w:val="none" w:sz="0" w:space="0" w:color="auto"/>
        <w:left w:val="none" w:sz="0" w:space="0" w:color="auto"/>
        <w:bottom w:val="none" w:sz="0" w:space="0" w:color="auto"/>
        <w:right w:val="none" w:sz="0" w:space="0" w:color="auto"/>
      </w:divBdr>
    </w:div>
    <w:div w:id="585069159">
      <w:bodyDiv w:val="1"/>
      <w:marLeft w:val="0"/>
      <w:marRight w:val="0"/>
      <w:marTop w:val="0"/>
      <w:marBottom w:val="0"/>
      <w:divBdr>
        <w:top w:val="none" w:sz="0" w:space="0" w:color="auto"/>
        <w:left w:val="none" w:sz="0" w:space="0" w:color="auto"/>
        <w:bottom w:val="none" w:sz="0" w:space="0" w:color="auto"/>
        <w:right w:val="none" w:sz="0" w:space="0" w:color="auto"/>
      </w:divBdr>
      <w:divsChild>
        <w:div w:id="214780695">
          <w:marLeft w:val="0"/>
          <w:marRight w:val="0"/>
          <w:marTop w:val="0"/>
          <w:marBottom w:val="0"/>
          <w:divBdr>
            <w:top w:val="none" w:sz="0" w:space="0" w:color="auto"/>
            <w:left w:val="none" w:sz="0" w:space="0" w:color="auto"/>
            <w:bottom w:val="none" w:sz="0" w:space="0" w:color="auto"/>
            <w:right w:val="none" w:sz="0" w:space="0" w:color="auto"/>
          </w:divBdr>
        </w:div>
        <w:div w:id="216670044">
          <w:marLeft w:val="0"/>
          <w:marRight w:val="0"/>
          <w:marTop w:val="0"/>
          <w:marBottom w:val="0"/>
          <w:divBdr>
            <w:top w:val="none" w:sz="0" w:space="0" w:color="auto"/>
            <w:left w:val="none" w:sz="0" w:space="0" w:color="auto"/>
            <w:bottom w:val="none" w:sz="0" w:space="0" w:color="auto"/>
            <w:right w:val="none" w:sz="0" w:space="0" w:color="auto"/>
          </w:divBdr>
        </w:div>
        <w:div w:id="226577943">
          <w:marLeft w:val="0"/>
          <w:marRight w:val="0"/>
          <w:marTop w:val="0"/>
          <w:marBottom w:val="0"/>
          <w:divBdr>
            <w:top w:val="none" w:sz="0" w:space="0" w:color="auto"/>
            <w:left w:val="none" w:sz="0" w:space="0" w:color="auto"/>
            <w:bottom w:val="none" w:sz="0" w:space="0" w:color="auto"/>
            <w:right w:val="none" w:sz="0" w:space="0" w:color="auto"/>
          </w:divBdr>
        </w:div>
        <w:div w:id="652879615">
          <w:marLeft w:val="0"/>
          <w:marRight w:val="0"/>
          <w:marTop w:val="0"/>
          <w:marBottom w:val="0"/>
          <w:divBdr>
            <w:top w:val="none" w:sz="0" w:space="0" w:color="auto"/>
            <w:left w:val="none" w:sz="0" w:space="0" w:color="auto"/>
            <w:bottom w:val="none" w:sz="0" w:space="0" w:color="auto"/>
            <w:right w:val="none" w:sz="0" w:space="0" w:color="auto"/>
          </w:divBdr>
        </w:div>
        <w:div w:id="951203074">
          <w:marLeft w:val="0"/>
          <w:marRight w:val="0"/>
          <w:marTop w:val="0"/>
          <w:marBottom w:val="0"/>
          <w:divBdr>
            <w:top w:val="none" w:sz="0" w:space="0" w:color="auto"/>
            <w:left w:val="none" w:sz="0" w:space="0" w:color="auto"/>
            <w:bottom w:val="none" w:sz="0" w:space="0" w:color="auto"/>
            <w:right w:val="none" w:sz="0" w:space="0" w:color="auto"/>
          </w:divBdr>
        </w:div>
        <w:div w:id="1056930036">
          <w:marLeft w:val="0"/>
          <w:marRight w:val="0"/>
          <w:marTop w:val="0"/>
          <w:marBottom w:val="0"/>
          <w:divBdr>
            <w:top w:val="none" w:sz="0" w:space="0" w:color="auto"/>
            <w:left w:val="none" w:sz="0" w:space="0" w:color="auto"/>
            <w:bottom w:val="none" w:sz="0" w:space="0" w:color="auto"/>
            <w:right w:val="none" w:sz="0" w:space="0" w:color="auto"/>
          </w:divBdr>
        </w:div>
        <w:div w:id="1189173623">
          <w:marLeft w:val="0"/>
          <w:marRight w:val="0"/>
          <w:marTop w:val="0"/>
          <w:marBottom w:val="0"/>
          <w:divBdr>
            <w:top w:val="none" w:sz="0" w:space="0" w:color="auto"/>
            <w:left w:val="none" w:sz="0" w:space="0" w:color="auto"/>
            <w:bottom w:val="none" w:sz="0" w:space="0" w:color="auto"/>
            <w:right w:val="none" w:sz="0" w:space="0" w:color="auto"/>
          </w:divBdr>
        </w:div>
        <w:div w:id="1461877843">
          <w:marLeft w:val="0"/>
          <w:marRight w:val="0"/>
          <w:marTop w:val="0"/>
          <w:marBottom w:val="0"/>
          <w:divBdr>
            <w:top w:val="none" w:sz="0" w:space="0" w:color="auto"/>
            <w:left w:val="none" w:sz="0" w:space="0" w:color="auto"/>
            <w:bottom w:val="none" w:sz="0" w:space="0" w:color="auto"/>
            <w:right w:val="none" w:sz="0" w:space="0" w:color="auto"/>
          </w:divBdr>
        </w:div>
        <w:div w:id="1495339790">
          <w:marLeft w:val="0"/>
          <w:marRight w:val="0"/>
          <w:marTop w:val="0"/>
          <w:marBottom w:val="0"/>
          <w:divBdr>
            <w:top w:val="none" w:sz="0" w:space="0" w:color="auto"/>
            <w:left w:val="none" w:sz="0" w:space="0" w:color="auto"/>
            <w:bottom w:val="none" w:sz="0" w:space="0" w:color="auto"/>
            <w:right w:val="none" w:sz="0" w:space="0" w:color="auto"/>
          </w:divBdr>
        </w:div>
        <w:div w:id="1500802597">
          <w:marLeft w:val="0"/>
          <w:marRight w:val="0"/>
          <w:marTop w:val="0"/>
          <w:marBottom w:val="0"/>
          <w:divBdr>
            <w:top w:val="none" w:sz="0" w:space="0" w:color="auto"/>
            <w:left w:val="none" w:sz="0" w:space="0" w:color="auto"/>
            <w:bottom w:val="none" w:sz="0" w:space="0" w:color="auto"/>
            <w:right w:val="none" w:sz="0" w:space="0" w:color="auto"/>
          </w:divBdr>
        </w:div>
        <w:div w:id="1621841645">
          <w:marLeft w:val="0"/>
          <w:marRight w:val="0"/>
          <w:marTop w:val="0"/>
          <w:marBottom w:val="0"/>
          <w:divBdr>
            <w:top w:val="none" w:sz="0" w:space="0" w:color="auto"/>
            <w:left w:val="none" w:sz="0" w:space="0" w:color="auto"/>
            <w:bottom w:val="none" w:sz="0" w:space="0" w:color="auto"/>
            <w:right w:val="none" w:sz="0" w:space="0" w:color="auto"/>
          </w:divBdr>
        </w:div>
        <w:div w:id="1625038496">
          <w:marLeft w:val="0"/>
          <w:marRight w:val="0"/>
          <w:marTop w:val="0"/>
          <w:marBottom w:val="0"/>
          <w:divBdr>
            <w:top w:val="none" w:sz="0" w:space="0" w:color="auto"/>
            <w:left w:val="none" w:sz="0" w:space="0" w:color="auto"/>
            <w:bottom w:val="none" w:sz="0" w:space="0" w:color="auto"/>
            <w:right w:val="none" w:sz="0" w:space="0" w:color="auto"/>
          </w:divBdr>
        </w:div>
      </w:divsChild>
    </w:div>
    <w:div w:id="593628856">
      <w:bodyDiv w:val="1"/>
      <w:marLeft w:val="0"/>
      <w:marRight w:val="0"/>
      <w:marTop w:val="0"/>
      <w:marBottom w:val="0"/>
      <w:divBdr>
        <w:top w:val="none" w:sz="0" w:space="0" w:color="auto"/>
        <w:left w:val="none" w:sz="0" w:space="0" w:color="auto"/>
        <w:bottom w:val="none" w:sz="0" w:space="0" w:color="auto"/>
        <w:right w:val="none" w:sz="0" w:space="0" w:color="auto"/>
      </w:divBdr>
    </w:div>
    <w:div w:id="623196700">
      <w:bodyDiv w:val="1"/>
      <w:marLeft w:val="0"/>
      <w:marRight w:val="0"/>
      <w:marTop w:val="0"/>
      <w:marBottom w:val="0"/>
      <w:divBdr>
        <w:top w:val="none" w:sz="0" w:space="0" w:color="auto"/>
        <w:left w:val="none" w:sz="0" w:space="0" w:color="auto"/>
        <w:bottom w:val="none" w:sz="0" w:space="0" w:color="auto"/>
        <w:right w:val="none" w:sz="0" w:space="0" w:color="auto"/>
      </w:divBdr>
    </w:div>
    <w:div w:id="629242136">
      <w:bodyDiv w:val="1"/>
      <w:marLeft w:val="0"/>
      <w:marRight w:val="0"/>
      <w:marTop w:val="0"/>
      <w:marBottom w:val="0"/>
      <w:divBdr>
        <w:top w:val="none" w:sz="0" w:space="0" w:color="auto"/>
        <w:left w:val="none" w:sz="0" w:space="0" w:color="auto"/>
        <w:bottom w:val="none" w:sz="0" w:space="0" w:color="auto"/>
        <w:right w:val="none" w:sz="0" w:space="0" w:color="auto"/>
      </w:divBdr>
      <w:divsChild>
        <w:div w:id="13770418">
          <w:marLeft w:val="0"/>
          <w:marRight w:val="0"/>
          <w:marTop w:val="0"/>
          <w:marBottom w:val="0"/>
          <w:divBdr>
            <w:top w:val="none" w:sz="0" w:space="0" w:color="auto"/>
            <w:left w:val="none" w:sz="0" w:space="0" w:color="auto"/>
            <w:bottom w:val="none" w:sz="0" w:space="0" w:color="auto"/>
            <w:right w:val="none" w:sz="0" w:space="0" w:color="auto"/>
          </w:divBdr>
        </w:div>
        <w:div w:id="65424882">
          <w:marLeft w:val="0"/>
          <w:marRight w:val="0"/>
          <w:marTop w:val="0"/>
          <w:marBottom w:val="0"/>
          <w:divBdr>
            <w:top w:val="none" w:sz="0" w:space="0" w:color="auto"/>
            <w:left w:val="none" w:sz="0" w:space="0" w:color="auto"/>
            <w:bottom w:val="none" w:sz="0" w:space="0" w:color="auto"/>
            <w:right w:val="none" w:sz="0" w:space="0" w:color="auto"/>
          </w:divBdr>
        </w:div>
        <w:div w:id="102381458">
          <w:marLeft w:val="0"/>
          <w:marRight w:val="0"/>
          <w:marTop w:val="0"/>
          <w:marBottom w:val="0"/>
          <w:divBdr>
            <w:top w:val="none" w:sz="0" w:space="0" w:color="auto"/>
            <w:left w:val="none" w:sz="0" w:space="0" w:color="auto"/>
            <w:bottom w:val="none" w:sz="0" w:space="0" w:color="auto"/>
            <w:right w:val="none" w:sz="0" w:space="0" w:color="auto"/>
          </w:divBdr>
        </w:div>
        <w:div w:id="106125538">
          <w:marLeft w:val="0"/>
          <w:marRight w:val="0"/>
          <w:marTop w:val="0"/>
          <w:marBottom w:val="0"/>
          <w:divBdr>
            <w:top w:val="none" w:sz="0" w:space="0" w:color="auto"/>
            <w:left w:val="none" w:sz="0" w:space="0" w:color="auto"/>
            <w:bottom w:val="none" w:sz="0" w:space="0" w:color="auto"/>
            <w:right w:val="none" w:sz="0" w:space="0" w:color="auto"/>
          </w:divBdr>
        </w:div>
        <w:div w:id="106196646">
          <w:marLeft w:val="0"/>
          <w:marRight w:val="0"/>
          <w:marTop w:val="0"/>
          <w:marBottom w:val="0"/>
          <w:divBdr>
            <w:top w:val="none" w:sz="0" w:space="0" w:color="auto"/>
            <w:left w:val="none" w:sz="0" w:space="0" w:color="auto"/>
            <w:bottom w:val="none" w:sz="0" w:space="0" w:color="auto"/>
            <w:right w:val="none" w:sz="0" w:space="0" w:color="auto"/>
          </w:divBdr>
        </w:div>
        <w:div w:id="289752225">
          <w:marLeft w:val="0"/>
          <w:marRight w:val="0"/>
          <w:marTop w:val="0"/>
          <w:marBottom w:val="0"/>
          <w:divBdr>
            <w:top w:val="none" w:sz="0" w:space="0" w:color="auto"/>
            <w:left w:val="none" w:sz="0" w:space="0" w:color="auto"/>
            <w:bottom w:val="none" w:sz="0" w:space="0" w:color="auto"/>
            <w:right w:val="none" w:sz="0" w:space="0" w:color="auto"/>
          </w:divBdr>
        </w:div>
        <w:div w:id="353919931">
          <w:marLeft w:val="0"/>
          <w:marRight w:val="0"/>
          <w:marTop w:val="0"/>
          <w:marBottom w:val="0"/>
          <w:divBdr>
            <w:top w:val="none" w:sz="0" w:space="0" w:color="auto"/>
            <w:left w:val="none" w:sz="0" w:space="0" w:color="auto"/>
            <w:bottom w:val="none" w:sz="0" w:space="0" w:color="auto"/>
            <w:right w:val="none" w:sz="0" w:space="0" w:color="auto"/>
          </w:divBdr>
        </w:div>
        <w:div w:id="396322773">
          <w:marLeft w:val="0"/>
          <w:marRight w:val="0"/>
          <w:marTop w:val="0"/>
          <w:marBottom w:val="0"/>
          <w:divBdr>
            <w:top w:val="none" w:sz="0" w:space="0" w:color="auto"/>
            <w:left w:val="none" w:sz="0" w:space="0" w:color="auto"/>
            <w:bottom w:val="none" w:sz="0" w:space="0" w:color="auto"/>
            <w:right w:val="none" w:sz="0" w:space="0" w:color="auto"/>
          </w:divBdr>
        </w:div>
        <w:div w:id="590771995">
          <w:marLeft w:val="0"/>
          <w:marRight w:val="0"/>
          <w:marTop w:val="0"/>
          <w:marBottom w:val="0"/>
          <w:divBdr>
            <w:top w:val="none" w:sz="0" w:space="0" w:color="auto"/>
            <w:left w:val="none" w:sz="0" w:space="0" w:color="auto"/>
            <w:bottom w:val="none" w:sz="0" w:space="0" w:color="auto"/>
            <w:right w:val="none" w:sz="0" w:space="0" w:color="auto"/>
          </w:divBdr>
        </w:div>
        <w:div w:id="642855173">
          <w:marLeft w:val="0"/>
          <w:marRight w:val="0"/>
          <w:marTop w:val="0"/>
          <w:marBottom w:val="0"/>
          <w:divBdr>
            <w:top w:val="none" w:sz="0" w:space="0" w:color="auto"/>
            <w:left w:val="none" w:sz="0" w:space="0" w:color="auto"/>
            <w:bottom w:val="none" w:sz="0" w:space="0" w:color="auto"/>
            <w:right w:val="none" w:sz="0" w:space="0" w:color="auto"/>
          </w:divBdr>
        </w:div>
        <w:div w:id="683826240">
          <w:marLeft w:val="0"/>
          <w:marRight w:val="0"/>
          <w:marTop w:val="0"/>
          <w:marBottom w:val="0"/>
          <w:divBdr>
            <w:top w:val="none" w:sz="0" w:space="0" w:color="auto"/>
            <w:left w:val="none" w:sz="0" w:space="0" w:color="auto"/>
            <w:bottom w:val="none" w:sz="0" w:space="0" w:color="auto"/>
            <w:right w:val="none" w:sz="0" w:space="0" w:color="auto"/>
          </w:divBdr>
        </w:div>
        <w:div w:id="741291387">
          <w:marLeft w:val="0"/>
          <w:marRight w:val="0"/>
          <w:marTop w:val="0"/>
          <w:marBottom w:val="0"/>
          <w:divBdr>
            <w:top w:val="none" w:sz="0" w:space="0" w:color="auto"/>
            <w:left w:val="none" w:sz="0" w:space="0" w:color="auto"/>
            <w:bottom w:val="none" w:sz="0" w:space="0" w:color="auto"/>
            <w:right w:val="none" w:sz="0" w:space="0" w:color="auto"/>
          </w:divBdr>
        </w:div>
        <w:div w:id="759645312">
          <w:marLeft w:val="0"/>
          <w:marRight w:val="0"/>
          <w:marTop w:val="0"/>
          <w:marBottom w:val="0"/>
          <w:divBdr>
            <w:top w:val="none" w:sz="0" w:space="0" w:color="auto"/>
            <w:left w:val="none" w:sz="0" w:space="0" w:color="auto"/>
            <w:bottom w:val="none" w:sz="0" w:space="0" w:color="auto"/>
            <w:right w:val="none" w:sz="0" w:space="0" w:color="auto"/>
          </w:divBdr>
        </w:div>
        <w:div w:id="893472337">
          <w:marLeft w:val="0"/>
          <w:marRight w:val="0"/>
          <w:marTop w:val="0"/>
          <w:marBottom w:val="0"/>
          <w:divBdr>
            <w:top w:val="none" w:sz="0" w:space="0" w:color="auto"/>
            <w:left w:val="none" w:sz="0" w:space="0" w:color="auto"/>
            <w:bottom w:val="none" w:sz="0" w:space="0" w:color="auto"/>
            <w:right w:val="none" w:sz="0" w:space="0" w:color="auto"/>
          </w:divBdr>
        </w:div>
        <w:div w:id="973171024">
          <w:marLeft w:val="0"/>
          <w:marRight w:val="0"/>
          <w:marTop w:val="0"/>
          <w:marBottom w:val="0"/>
          <w:divBdr>
            <w:top w:val="none" w:sz="0" w:space="0" w:color="auto"/>
            <w:left w:val="none" w:sz="0" w:space="0" w:color="auto"/>
            <w:bottom w:val="none" w:sz="0" w:space="0" w:color="auto"/>
            <w:right w:val="none" w:sz="0" w:space="0" w:color="auto"/>
          </w:divBdr>
        </w:div>
        <w:div w:id="993995979">
          <w:marLeft w:val="0"/>
          <w:marRight w:val="0"/>
          <w:marTop w:val="0"/>
          <w:marBottom w:val="0"/>
          <w:divBdr>
            <w:top w:val="none" w:sz="0" w:space="0" w:color="auto"/>
            <w:left w:val="none" w:sz="0" w:space="0" w:color="auto"/>
            <w:bottom w:val="none" w:sz="0" w:space="0" w:color="auto"/>
            <w:right w:val="none" w:sz="0" w:space="0" w:color="auto"/>
          </w:divBdr>
        </w:div>
        <w:div w:id="1019546001">
          <w:marLeft w:val="0"/>
          <w:marRight w:val="0"/>
          <w:marTop w:val="0"/>
          <w:marBottom w:val="0"/>
          <w:divBdr>
            <w:top w:val="none" w:sz="0" w:space="0" w:color="auto"/>
            <w:left w:val="none" w:sz="0" w:space="0" w:color="auto"/>
            <w:bottom w:val="none" w:sz="0" w:space="0" w:color="auto"/>
            <w:right w:val="none" w:sz="0" w:space="0" w:color="auto"/>
          </w:divBdr>
        </w:div>
        <w:div w:id="1075979306">
          <w:marLeft w:val="0"/>
          <w:marRight w:val="0"/>
          <w:marTop w:val="0"/>
          <w:marBottom w:val="0"/>
          <w:divBdr>
            <w:top w:val="none" w:sz="0" w:space="0" w:color="auto"/>
            <w:left w:val="none" w:sz="0" w:space="0" w:color="auto"/>
            <w:bottom w:val="none" w:sz="0" w:space="0" w:color="auto"/>
            <w:right w:val="none" w:sz="0" w:space="0" w:color="auto"/>
          </w:divBdr>
        </w:div>
        <w:div w:id="1093891749">
          <w:marLeft w:val="0"/>
          <w:marRight w:val="0"/>
          <w:marTop w:val="0"/>
          <w:marBottom w:val="0"/>
          <w:divBdr>
            <w:top w:val="none" w:sz="0" w:space="0" w:color="auto"/>
            <w:left w:val="none" w:sz="0" w:space="0" w:color="auto"/>
            <w:bottom w:val="none" w:sz="0" w:space="0" w:color="auto"/>
            <w:right w:val="none" w:sz="0" w:space="0" w:color="auto"/>
          </w:divBdr>
        </w:div>
        <w:div w:id="1190559675">
          <w:marLeft w:val="0"/>
          <w:marRight w:val="0"/>
          <w:marTop w:val="0"/>
          <w:marBottom w:val="0"/>
          <w:divBdr>
            <w:top w:val="none" w:sz="0" w:space="0" w:color="auto"/>
            <w:left w:val="none" w:sz="0" w:space="0" w:color="auto"/>
            <w:bottom w:val="none" w:sz="0" w:space="0" w:color="auto"/>
            <w:right w:val="none" w:sz="0" w:space="0" w:color="auto"/>
          </w:divBdr>
        </w:div>
        <w:div w:id="1277568248">
          <w:marLeft w:val="0"/>
          <w:marRight w:val="0"/>
          <w:marTop w:val="0"/>
          <w:marBottom w:val="0"/>
          <w:divBdr>
            <w:top w:val="none" w:sz="0" w:space="0" w:color="auto"/>
            <w:left w:val="none" w:sz="0" w:space="0" w:color="auto"/>
            <w:bottom w:val="none" w:sz="0" w:space="0" w:color="auto"/>
            <w:right w:val="none" w:sz="0" w:space="0" w:color="auto"/>
          </w:divBdr>
        </w:div>
        <w:div w:id="1284921225">
          <w:marLeft w:val="0"/>
          <w:marRight w:val="0"/>
          <w:marTop w:val="0"/>
          <w:marBottom w:val="0"/>
          <w:divBdr>
            <w:top w:val="none" w:sz="0" w:space="0" w:color="auto"/>
            <w:left w:val="none" w:sz="0" w:space="0" w:color="auto"/>
            <w:bottom w:val="none" w:sz="0" w:space="0" w:color="auto"/>
            <w:right w:val="none" w:sz="0" w:space="0" w:color="auto"/>
          </w:divBdr>
        </w:div>
        <w:div w:id="1309555204">
          <w:marLeft w:val="0"/>
          <w:marRight w:val="0"/>
          <w:marTop w:val="0"/>
          <w:marBottom w:val="0"/>
          <w:divBdr>
            <w:top w:val="none" w:sz="0" w:space="0" w:color="auto"/>
            <w:left w:val="none" w:sz="0" w:space="0" w:color="auto"/>
            <w:bottom w:val="none" w:sz="0" w:space="0" w:color="auto"/>
            <w:right w:val="none" w:sz="0" w:space="0" w:color="auto"/>
          </w:divBdr>
        </w:div>
        <w:div w:id="1311983369">
          <w:marLeft w:val="0"/>
          <w:marRight w:val="0"/>
          <w:marTop w:val="0"/>
          <w:marBottom w:val="0"/>
          <w:divBdr>
            <w:top w:val="none" w:sz="0" w:space="0" w:color="auto"/>
            <w:left w:val="none" w:sz="0" w:space="0" w:color="auto"/>
            <w:bottom w:val="none" w:sz="0" w:space="0" w:color="auto"/>
            <w:right w:val="none" w:sz="0" w:space="0" w:color="auto"/>
          </w:divBdr>
        </w:div>
        <w:div w:id="1333024740">
          <w:marLeft w:val="0"/>
          <w:marRight w:val="0"/>
          <w:marTop w:val="0"/>
          <w:marBottom w:val="0"/>
          <w:divBdr>
            <w:top w:val="none" w:sz="0" w:space="0" w:color="auto"/>
            <w:left w:val="none" w:sz="0" w:space="0" w:color="auto"/>
            <w:bottom w:val="none" w:sz="0" w:space="0" w:color="auto"/>
            <w:right w:val="none" w:sz="0" w:space="0" w:color="auto"/>
          </w:divBdr>
        </w:div>
        <w:div w:id="1346521472">
          <w:marLeft w:val="0"/>
          <w:marRight w:val="0"/>
          <w:marTop w:val="0"/>
          <w:marBottom w:val="0"/>
          <w:divBdr>
            <w:top w:val="none" w:sz="0" w:space="0" w:color="auto"/>
            <w:left w:val="none" w:sz="0" w:space="0" w:color="auto"/>
            <w:bottom w:val="none" w:sz="0" w:space="0" w:color="auto"/>
            <w:right w:val="none" w:sz="0" w:space="0" w:color="auto"/>
          </w:divBdr>
        </w:div>
        <w:div w:id="1353798901">
          <w:marLeft w:val="0"/>
          <w:marRight w:val="0"/>
          <w:marTop w:val="0"/>
          <w:marBottom w:val="0"/>
          <w:divBdr>
            <w:top w:val="none" w:sz="0" w:space="0" w:color="auto"/>
            <w:left w:val="none" w:sz="0" w:space="0" w:color="auto"/>
            <w:bottom w:val="none" w:sz="0" w:space="0" w:color="auto"/>
            <w:right w:val="none" w:sz="0" w:space="0" w:color="auto"/>
          </w:divBdr>
        </w:div>
        <w:div w:id="1355691977">
          <w:marLeft w:val="0"/>
          <w:marRight w:val="0"/>
          <w:marTop w:val="0"/>
          <w:marBottom w:val="0"/>
          <w:divBdr>
            <w:top w:val="none" w:sz="0" w:space="0" w:color="auto"/>
            <w:left w:val="none" w:sz="0" w:space="0" w:color="auto"/>
            <w:bottom w:val="none" w:sz="0" w:space="0" w:color="auto"/>
            <w:right w:val="none" w:sz="0" w:space="0" w:color="auto"/>
          </w:divBdr>
        </w:div>
        <w:div w:id="1364401518">
          <w:marLeft w:val="0"/>
          <w:marRight w:val="0"/>
          <w:marTop w:val="0"/>
          <w:marBottom w:val="0"/>
          <w:divBdr>
            <w:top w:val="none" w:sz="0" w:space="0" w:color="auto"/>
            <w:left w:val="none" w:sz="0" w:space="0" w:color="auto"/>
            <w:bottom w:val="none" w:sz="0" w:space="0" w:color="auto"/>
            <w:right w:val="none" w:sz="0" w:space="0" w:color="auto"/>
          </w:divBdr>
        </w:div>
        <w:div w:id="1391461626">
          <w:marLeft w:val="0"/>
          <w:marRight w:val="0"/>
          <w:marTop w:val="0"/>
          <w:marBottom w:val="0"/>
          <w:divBdr>
            <w:top w:val="none" w:sz="0" w:space="0" w:color="auto"/>
            <w:left w:val="none" w:sz="0" w:space="0" w:color="auto"/>
            <w:bottom w:val="none" w:sz="0" w:space="0" w:color="auto"/>
            <w:right w:val="none" w:sz="0" w:space="0" w:color="auto"/>
          </w:divBdr>
        </w:div>
        <w:div w:id="1428387066">
          <w:marLeft w:val="0"/>
          <w:marRight w:val="0"/>
          <w:marTop w:val="0"/>
          <w:marBottom w:val="0"/>
          <w:divBdr>
            <w:top w:val="none" w:sz="0" w:space="0" w:color="auto"/>
            <w:left w:val="none" w:sz="0" w:space="0" w:color="auto"/>
            <w:bottom w:val="none" w:sz="0" w:space="0" w:color="auto"/>
            <w:right w:val="none" w:sz="0" w:space="0" w:color="auto"/>
          </w:divBdr>
        </w:div>
        <w:div w:id="1506557841">
          <w:marLeft w:val="0"/>
          <w:marRight w:val="0"/>
          <w:marTop w:val="0"/>
          <w:marBottom w:val="0"/>
          <w:divBdr>
            <w:top w:val="none" w:sz="0" w:space="0" w:color="auto"/>
            <w:left w:val="none" w:sz="0" w:space="0" w:color="auto"/>
            <w:bottom w:val="none" w:sz="0" w:space="0" w:color="auto"/>
            <w:right w:val="none" w:sz="0" w:space="0" w:color="auto"/>
          </w:divBdr>
        </w:div>
        <w:div w:id="1653212005">
          <w:marLeft w:val="0"/>
          <w:marRight w:val="0"/>
          <w:marTop w:val="0"/>
          <w:marBottom w:val="0"/>
          <w:divBdr>
            <w:top w:val="none" w:sz="0" w:space="0" w:color="auto"/>
            <w:left w:val="none" w:sz="0" w:space="0" w:color="auto"/>
            <w:bottom w:val="none" w:sz="0" w:space="0" w:color="auto"/>
            <w:right w:val="none" w:sz="0" w:space="0" w:color="auto"/>
          </w:divBdr>
        </w:div>
        <w:div w:id="1665015799">
          <w:marLeft w:val="0"/>
          <w:marRight w:val="0"/>
          <w:marTop w:val="0"/>
          <w:marBottom w:val="0"/>
          <w:divBdr>
            <w:top w:val="none" w:sz="0" w:space="0" w:color="auto"/>
            <w:left w:val="none" w:sz="0" w:space="0" w:color="auto"/>
            <w:bottom w:val="none" w:sz="0" w:space="0" w:color="auto"/>
            <w:right w:val="none" w:sz="0" w:space="0" w:color="auto"/>
          </w:divBdr>
        </w:div>
        <w:div w:id="1721248662">
          <w:marLeft w:val="0"/>
          <w:marRight w:val="0"/>
          <w:marTop w:val="0"/>
          <w:marBottom w:val="0"/>
          <w:divBdr>
            <w:top w:val="none" w:sz="0" w:space="0" w:color="auto"/>
            <w:left w:val="none" w:sz="0" w:space="0" w:color="auto"/>
            <w:bottom w:val="none" w:sz="0" w:space="0" w:color="auto"/>
            <w:right w:val="none" w:sz="0" w:space="0" w:color="auto"/>
          </w:divBdr>
        </w:div>
        <w:div w:id="1826579683">
          <w:marLeft w:val="0"/>
          <w:marRight w:val="0"/>
          <w:marTop w:val="0"/>
          <w:marBottom w:val="0"/>
          <w:divBdr>
            <w:top w:val="none" w:sz="0" w:space="0" w:color="auto"/>
            <w:left w:val="none" w:sz="0" w:space="0" w:color="auto"/>
            <w:bottom w:val="none" w:sz="0" w:space="0" w:color="auto"/>
            <w:right w:val="none" w:sz="0" w:space="0" w:color="auto"/>
          </w:divBdr>
        </w:div>
        <w:div w:id="1830559458">
          <w:marLeft w:val="0"/>
          <w:marRight w:val="0"/>
          <w:marTop w:val="0"/>
          <w:marBottom w:val="0"/>
          <w:divBdr>
            <w:top w:val="none" w:sz="0" w:space="0" w:color="auto"/>
            <w:left w:val="none" w:sz="0" w:space="0" w:color="auto"/>
            <w:bottom w:val="none" w:sz="0" w:space="0" w:color="auto"/>
            <w:right w:val="none" w:sz="0" w:space="0" w:color="auto"/>
          </w:divBdr>
        </w:div>
        <w:div w:id="1839349874">
          <w:marLeft w:val="0"/>
          <w:marRight w:val="0"/>
          <w:marTop w:val="0"/>
          <w:marBottom w:val="0"/>
          <w:divBdr>
            <w:top w:val="none" w:sz="0" w:space="0" w:color="auto"/>
            <w:left w:val="none" w:sz="0" w:space="0" w:color="auto"/>
            <w:bottom w:val="none" w:sz="0" w:space="0" w:color="auto"/>
            <w:right w:val="none" w:sz="0" w:space="0" w:color="auto"/>
          </w:divBdr>
        </w:div>
        <w:div w:id="1855877597">
          <w:marLeft w:val="0"/>
          <w:marRight w:val="0"/>
          <w:marTop w:val="0"/>
          <w:marBottom w:val="0"/>
          <w:divBdr>
            <w:top w:val="none" w:sz="0" w:space="0" w:color="auto"/>
            <w:left w:val="none" w:sz="0" w:space="0" w:color="auto"/>
            <w:bottom w:val="none" w:sz="0" w:space="0" w:color="auto"/>
            <w:right w:val="none" w:sz="0" w:space="0" w:color="auto"/>
          </w:divBdr>
        </w:div>
        <w:div w:id="1885479657">
          <w:marLeft w:val="0"/>
          <w:marRight w:val="0"/>
          <w:marTop w:val="0"/>
          <w:marBottom w:val="0"/>
          <w:divBdr>
            <w:top w:val="none" w:sz="0" w:space="0" w:color="auto"/>
            <w:left w:val="none" w:sz="0" w:space="0" w:color="auto"/>
            <w:bottom w:val="none" w:sz="0" w:space="0" w:color="auto"/>
            <w:right w:val="none" w:sz="0" w:space="0" w:color="auto"/>
          </w:divBdr>
        </w:div>
        <w:div w:id="1939824862">
          <w:marLeft w:val="0"/>
          <w:marRight w:val="0"/>
          <w:marTop w:val="0"/>
          <w:marBottom w:val="0"/>
          <w:divBdr>
            <w:top w:val="none" w:sz="0" w:space="0" w:color="auto"/>
            <w:left w:val="none" w:sz="0" w:space="0" w:color="auto"/>
            <w:bottom w:val="none" w:sz="0" w:space="0" w:color="auto"/>
            <w:right w:val="none" w:sz="0" w:space="0" w:color="auto"/>
          </w:divBdr>
        </w:div>
        <w:div w:id="2030719159">
          <w:marLeft w:val="0"/>
          <w:marRight w:val="0"/>
          <w:marTop w:val="0"/>
          <w:marBottom w:val="0"/>
          <w:divBdr>
            <w:top w:val="none" w:sz="0" w:space="0" w:color="auto"/>
            <w:left w:val="none" w:sz="0" w:space="0" w:color="auto"/>
            <w:bottom w:val="none" w:sz="0" w:space="0" w:color="auto"/>
            <w:right w:val="none" w:sz="0" w:space="0" w:color="auto"/>
          </w:divBdr>
        </w:div>
        <w:div w:id="2113544363">
          <w:marLeft w:val="0"/>
          <w:marRight w:val="0"/>
          <w:marTop w:val="0"/>
          <w:marBottom w:val="0"/>
          <w:divBdr>
            <w:top w:val="none" w:sz="0" w:space="0" w:color="auto"/>
            <w:left w:val="none" w:sz="0" w:space="0" w:color="auto"/>
            <w:bottom w:val="none" w:sz="0" w:space="0" w:color="auto"/>
            <w:right w:val="none" w:sz="0" w:space="0" w:color="auto"/>
          </w:divBdr>
        </w:div>
        <w:div w:id="2122676048">
          <w:marLeft w:val="0"/>
          <w:marRight w:val="0"/>
          <w:marTop w:val="0"/>
          <w:marBottom w:val="0"/>
          <w:divBdr>
            <w:top w:val="none" w:sz="0" w:space="0" w:color="auto"/>
            <w:left w:val="none" w:sz="0" w:space="0" w:color="auto"/>
            <w:bottom w:val="none" w:sz="0" w:space="0" w:color="auto"/>
            <w:right w:val="none" w:sz="0" w:space="0" w:color="auto"/>
          </w:divBdr>
        </w:div>
      </w:divsChild>
    </w:div>
    <w:div w:id="680469331">
      <w:bodyDiv w:val="1"/>
      <w:marLeft w:val="0"/>
      <w:marRight w:val="0"/>
      <w:marTop w:val="0"/>
      <w:marBottom w:val="0"/>
      <w:divBdr>
        <w:top w:val="none" w:sz="0" w:space="0" w:color="auto"/>
        <w:left w:val="none" w:sz="0" w:space="0" w:color="auto"/>
        <w:bottom w:val="none" w:sz="0" w:space="0" w:color="auto"/>
        <w:right w:val="none" w:sz="0" w:space="0" w:color="auto"/>
      </w:divBdr>
    </w:div>
    <w:div w:id="684677190">
      <w:bodyDiv w:val="1"/>
      <w:marLeft w:val="0"/>
      <w:marRight w:val="0"/>
      <w:marTop w:val="0"/>
      <w:marBottom w:val="0"/>
      <w:divBdr>
        <w:top w:val="none" w:sz="0" w:space="0" w:color="auto"/>
        <w:left w:val="none" w:sz="0" w:space="0" w:color="auto"/>
        <w:bottom w:val="none" w:sz="0" w:space="0" w:color="auto"/>
        <w:right w:val="none" w:sz="0" w:space="0" w:color="auto"/>
      </w:divBdr>
      <w:divsChild>
        <w:div w:id="19355237">
          <w:marLeft w:val="0"/>
          <w:marRight w:val="0"/>
          <w:marTop w:val="0"/>
          <w:marBottom w:val="0"/>
          <w:divBdr>
            <w:top w:val="none" w:sz="0" w:space="0" w:color="auto"/>
            <w:left w:val="none" w:sz="0" w:space="0" w:color="auto"/>
            <w:bottom w:val="none" w:sz="0" w:space="0" w:color="auto"/>
            <w:right w:val="none" w:sz="0" w:space="0" w:color="auto"/>
          </w:divBdr>
        </w:div>
        <w:div w:id="29646261">
          <w:marLeft w:val="0"/>
          <w:marRight w:val="0"/>
          <w:marTop w:val="0"/>
          <w:marBottom w:val="0"/>
          <w:divBdr>
            <w:top w:val="none" w:sz="0" w:space="0" w:color="auto"/>
            <w:left w:val="none" w:sz="0" w:space="0" w:color="auto"/>
            <w:bottom w:val="none" w:sz="0" w:space="0" w:color="auto"/>
            <w:right w:val="none" w:sz="0" w:space="0" w:color="auto"/>
          </w:divBdr>
        </w:div>
        <w:div w:id="124855286">
          <w:marLeft w:val="0"/>
          <w:marRight w:val="0"/>
          <w:marTop w:val="0"/>
          <w:marBottom w:val="0"/>
          <w:divBdr>
            <w:top w:val="none" w:sz="0" w:space="0" w:color="auto"/>
            <w:left w:val="none" w:sz="0" w:space="0" w:color="auto"/>
            <w:bottom w:val="none" w:sz="0" w:space="0" w:color="auto"/>
            <w:right w:val="none" w:sz="0" w:space="0" w:color="auto"/>
          </w:divBdr>
        </w:div>
        <w:div w:id="146408146">
          <w:marLeft w:val="0"/>
          <w:marRight w:val="0"/>
          <w:marTop w:val="0"/>
          <w:marBottom w:val="0"/>
          <w:divBdr>
            <w:top w:val="none" w:sz="0" w:space="0" w:color="auto"/>
            <w:left w:val="none" w:sz="0" w:space="0" w:color="auto"/>
            <w:bottom w:val="none" w:sz="0" w:space="0" w:color="auto"/>
            <w:right w:val="none" w:sz="0" w:space="0" w:color="auto"/>
          </w:divBdr>
        </w:div>
        <w:div w:id="470901659">
          <w:marLeft w:val="0"/>
          <w:marRight w:val="0"/>
          <w:marTop w:val="0"/>
          <w:marBottom w:val="0"/>
          <w:divBdr>
            <w:top w:val="none" w:sz="0" w:space="0" w:color="auto"/>
            <w:left w:val="none" w:sz="0" w:space="0" w:color="auto"/>
            <w:bottom w:val="none" w:sz="0" w:space="0" w:color="auto"/>
            <w:right w:val="none" w:sz="0" w:space="0" w:color="auto"/>
          </w:divBdr>
        </w:div>
        <w:div w:id="530799119">
          <w:marLeft w:val="0"/>
          <w:marRight w:val="0"/>
          <w:marTop w:val="0"/>
          <w:marBottom w:val="0"/>
          <w:divBdr>
            <w:top w:val="none" w:sz="0" w:space="0" w:color="auto"/>
            <w:left w:val="none" w:sz="0" w:space="0" w:color="auto"/>
            <w:bottom w:val="none" w:sz="0" w:space="0" w:color="auto"/>
            <w:right w:val="none" w:sz="0" w:space="0" w:color="auto"/>
          </w:divBdr>
        </w:div>
        <w:div w:id="592668741">
          <w:marLeft w:val="0"/>
          <w:marRight w:val="0"/>
          <w:marTop w:val="0"/>
          <w:marBottom w:val="0"/>
          <w:divBdr>
            <w:top w:val="none" w:sz="0" w:space="0" w:color="auto"/>
            <w:left w:val="none" w:sz="0" w:space="0" w:color="auto"/>
            <w:bottom w:val="none" w:sz="0" w:space="0" w:color="auto"/>
            <w:right w:val="none" w:sz="0" w:space="0" w:color="auto"/>
          </w:divBdr>
        </w:div>
        <w:div w:id="600991215">
          <w:marLeft w:val="0"/>
          <w:marRight w:val="0"/>
          <w:marTop w:val="0"/>
          <w:marBottom w:val="0"/>
          <w:divBdr>
            <w:top w:val="none" w:sz="0" w:space="0" w:color="auto"/>
            <w:left w:val="none" w:sz="0" w:space="0" w:color="auto"/>
            <w:bottom w:val="none" w:sz="0" w:space="0" w:color="auto"/>
            <w:right w:val="none" w:sz="0" w:space="0" w:color="auto"/>
          </w:divBdr>
        </w:div>
        <w:div w:id="611742820">
          <w:marLeft w:val="0"/>
          <w:marRight w:val="0"/>
          <w:marTop w:val="0"/>
          <w:marBottom w:val="0"/>
          <w:divBdr>
            <w:top w:val="none" w:sz="0" w:space="0" w:color="auto"/>
            <w:left w:val="none" w:sz="0" w:space="0" w:color="auto"/>
            <w:bottom w:val="none" w:sz="0" w:space="0" w:color="auto"/>
            <w:right w:val="none" w:sz="0" w:space="0" w:color="auto"/>
          </w:divBdr>
        </w:div>
        <w:div w:id="614480126">
          <w:marLeft w:val="0"/>
          <w:marRight w:val="0"/>
          <w:marTop w:val="0"/>
          <w:marBottom w:val="0"/>
          <w:divBdr>
            <w:top w:val="none" w:sz="0" w:space="0" w:color="auto"/>
            <w:left w:val="none" w:sz="0" w:space="0" w:color="auto"/>
            <w:bottom w:val="none" w:sz="0" w:space="0" w:color="auto"/>
            <w:right w:val="none" w:sz="0" w:space="0" w:color="auto"/>
          </w:divBdr>
        </w:div>
        <w:div w:id="630942476">
          <w:marLeft w:val="0"/>
          <w:marRight w:val="0"/>
          <w:marTop w:val="0"/>
          <w:marBottom w:val="0"/>
          <w:divBdr>
            <w:top w:val="none" w:sz="0" w:space="0" w:color="auto"/>
            <w:left w:val="none" w:sz="0" w:space="0" w:color="auto"/>
            <w:bottom w:val="none" w:sz="0" w:space="0" w:color="auto"/>
            <w:right w:val="none" w:sz="0" w:space="0" w:color="auto"/>
          </w:divBdr>
        </w:div>
        <w:div w:id="680280242">
          <w:marLeft w:val="0"/>
          <w:marRight w:val="0"/>
          <w:marTop w:val="0"/>
          <w:marBottom w:val="0"/>
          <w:divBdr>
            <w:top w:val="none" w:sz="0" w:space="0" w:color="auto"/>
            <w:left w:val="none" w:sz="0" w:space="0" w:color="auto"/>
            <w:bottom w:val="none" w:sz="0" w:space="0" w:color="auto"/>
            <w:right w:val="none" w:sz="0" w:space="0" w:color="auto"/>
          </w:divBdr>
        </w:div>
        <w:div w:id="1012338457">
          <w:marLeft w:val="0"/>
          <w:marRight w:val="0"/>
          <w:marTop w:val="0"/>
          <w:marBottom w:val="0"/>
          <w:divBdr>
            <w:top w:val="none" w:sz="0" w:space="0" w:color="auto"/>
            <w:left w:val="none" w:sz="0" w:space="0" w:color="auto"/>
            <w:bottom w:val="none" w:sz="0" w:space="0" w:color="auto"/>
            <w:right w:val="none" w:sz="0" w:space="0" w:color="auto"/>
          </w:divBdr>
        </w:div>
        <w:div w:id="1067995874">
          <w:marLeft w:val="0"/>
          <w:marRight w:val="0"/>
          <w:marTop w:val="0"/>
          <w:marBottom w:val="0"/>
          <w:divBdr>
            <w:top w:val="none" w:sz="0" w:space="0" w:color="auto"/>
            <w:left w:val="none" w:sz="0" w:space="0" w:color="auto"/>
            <w:bottom w:val="none" w:sz="0" w:space="0" w:color="auto"/>
            <w:right w:val="none" w:sz="0" w:space="0" w:color="auto"/>
          </w:divBdr>
        </w:div>
        <w:div w:id="1108620651">
          <w:marLeft w:val="0"/>
          <w:marRight w:val="0"/>
          <w:marTop w:val="0"/>
          <w:marBottom w:val="0"/>
          <w:divBdr>
            <w:top w:val="none" w:sz="0" w:space="0" w:color="auto"/>
            <w:left w:val="none" w:sz="0" w:space="0" w:color="auto"/>
            <w:bottom w:val="none" w:sz="0" w:space="0" w:color="auto"/>
            <w:right w:val="none" w:sz="0" w:space="0" w:color="auto"/>
          </w:divBdr>
        </w:div>
        <w:div w:id="1164780826">
          <w:marLeft w:val="0"/>
          <w:marRight w:val="0"/>
          <w:marTop w:val="0"/>
          <w:marBottom w:val="0"/>
          <w:divBdr>
            <w:top w:val="none" w:sz="0" w:space="0" w:color="auto"/>
            <w:left w:val="none" w:sz="0" w:space="0" w:color="auto"/>
            <w:bottom w:val="none" w:sz="0" w:space="0" w:color="auto"/>
            <w:right w:val="none" w:sz="0" w:space="0" w:color="auto"/>
          </w:divBdr>
        </w:div>
        <w:div w:id="1319581075">
          <w:marLeft w:val="0"/>
          <w:marRight w:val="0"/>
          <w:marTop w:val="0"/>
          <w:marBottom w:val="0"/>
          <w:divBdr>
            <w:top w:val="none" w:sz="0" w:space="0" w:color="auto"/>
            <w:left w:val="none" w:sz="0" w:space="0" w:color="auto"/>
            <w:bottom w:val="none" w:sz="0" w:space="0" w:color="auto"/>
            <w:right w:val="none" w:sz="0" w:space="0" w:color="auto"/>
          </w:divBdr>
        </w:div>
        <w:div w:id="1324160946">
          <w:marLeft w:val="0"/>
          <w:marRight w:val="0"/>
          <w:marTop w:val="0"/>
          <w:marBottom w:val="0"/>
          <w:divBdr>
            <w:top w:val="none" w:sz="0" w:space="0" w:color="auto"/>
            <w:left w:val="none" w:sz="0" w:space="0" w:color="auto"/>
            <w:bottom w:val="none" w:sz="0" w:space="0" w:color="auto"/>
            <w:right w:val="none" w:sz="0" w:space="0" w:color="auto"/>
          </w:divBdr>
        </w:div>
        <w:div w:id="1416631211">
          <w:marLeft w:val="0"/>
          <w:marRight w:val="0"/>
          <w:marTop w:val="0"/>
          <w:marBottom w:val="0"/>
          <w:divBdr>
            <w:top w:val="none" w:sz="0" w:space="0" w:color="auto"/>
            <w:left w:val="none" w:sz="0" w:space="0" w:color="auto"/>
            <w:bottom w:val="none" w:sz="0" w:space="0" w:color="auto"/>
            <w:right w:val="none" w:sz="0" w:space="0" w:color="auto"/>
          </w:divBdr>
        </w:div>
        <w:div w:id="1496458123">
          <w:marLeft w:val="0"/>
          <w:marRight w:val="0"/>
          <w:marTop w:val="0"/>
          <w:marBottom w:val="0"/>
          <w:divBdr>
            <w:top w:val="none" w:sz="0" w:space="0" w:color="auto"/>
            <w:left w:val="none" w:sz="0" w:space="0" w:color="auto"/>
            <w:bottom w:val="none" w:sz="0" w:space="0" w:color="auto"/>
            <w:right w:val="none" w:sz="0" w:space="0" w:color="auto"/>
          </w:divBdr>
        </w:div>
        <w:div w:id="1532650603">
          <w:marLeft w:val="0"/>
          <w:marRight w:val="0"/>
          <w:marTop w:val="0"/>
          <w:marBottom w:val="0"/>
          <w:divBdr>
            <w:top w:val="none" w:sz="0" w:space="0" w:color="auto"/>
            <w:left w:val="none" w:sz="0" w:space="0" w:color="auto"/>
            <w:bottom w:val="none" w:sz="0" w:space="0" w:color="auto"/>
            <w:right w:val="none" w:sz="0" w:space="0" w:color="auto"/>
          </w:divBdr>
        </w:div>
        <w:div w:id="1567643903">
          <w:marLeft w:val="0"/>
          <w:marRight w:val="0"/>
          <w:marTop w:val="0"/>
          <w:marBottom w:val="0"/>
          <w:divBdr>
            <w:top w:val="none" w:sz="0" w:space="0" w:color="auto"/>
            <w:left w:val="none" w:sz="0" w:space="0" w:color="auto"/>
            <w:bottom w:val="none" w:sz="0" w:space="0" w:color="auto"/>
            <w:right w:val="none" w:sz="0" w:space="0" w:color="auto"/>
          </w:divBdr>
        </w:div>
        <w:div w:id="1683119404">
          <w:marLeft w:val="0"/>
          <w:marRight w:val="0"/>
          <w:marTop w:val="0"/>
          <w:marBottom w:val="0"/>
          <w:divBdr>
            <w:top w:val="none" w:sz="0" w:space="0" w:color="auto"/>
            <w:left w:val="none" w:sz="0" w:space="0" w:color="auto"/>
            <w:bottom w:val="none" w:sz="0" w:space="0" w:color="auto"/>
            <w:right w:val="none" w:sz="0" w:space="0" w:color="auto"/>
          </w:divBdr>
        </w:div>
        <w:div w:id="1721200308">
          <w:marLeft w:val="0"/>
          <w:marRight w:val="0"/>
          <w:marTop w:val="0"/>
          <w:marBottom w:val="0"/>
          <w:divBdr>
            <w:top w:val="none" w:sz="0" w:space="0" w:color="auto"/>
            <w:left w:val="none" w:sz="0" w:space="0" w:color="auto"/>
            <w:bottom w:val="none" w:sz="0" w:space="0" w:color="auto"/>
            <w:right w:val="none" w:sz="0" w:space="0" w:color="auto"/>
          </w:divBdr>
        </w:div>
        <w:div w:id="1850102219">
          <w:marLeft w:val="0"/>
          <w:marRight w:val="0"/>
          <w:marTop w:val="0"/>
          <w:marBottom w:val="0"/>
          <w:divBdr>
            <w:top w:val="none" w:sz="0" w:space="0" w:color="auto"/>
            <w:left w:val="none" w:sz="0" w:space="0" w:color="auto"/>
            <w:bottom w:val="none" w:sz="0" w:space="0" w:color="auto"/>
            <w:right w:val="none" w:sz="0" w:space="0" w:color="auto"/>
          </w:divBdr>
        </w:div>
        <w:div w:id="1919167212">
          <w:marLeft w:val="0"/>
          <w:marRight w:val="0"/>
          <w:marTop w:val="0"/>
          <w:marBottom w:val="0"/>
          <w:divBdr>
            <w:top w:val="none" w:sz="0" w:space="0" w:color="auto"/>
            <w:left w:val="none" w:sz="0" w:space="0" w:color="auto"/>
            <w:bottom w:val="none" w:sz="0" w:space="0" w:color="auto"/>
            <w:right w:val="none" w:sz="0" w:space="0" w:color="auto"/>
          </w:divBdr>
        </w:div>
        <w:div w:id="1926762588">
          <w:marLeft w:val="0"/>
          <w:marRight w:val="0"/>
          <w:marTop w:val="0"/>
          <w:marBottom w:val="0"/>
          <w:divBdr>
            <w:top w:val="none" w:sz="0" w:space="0" w:color="auto"/>
            <w:left w:val="none" w:sz="0" w:space="0" w:color="auto"/>
            <w:bottom w:val="none" w:sz="0" w:space="0" w:color="auto"/>
            <w:right w:val="none" w:sz="0" w:space="0" w:color="auto"/>
          </w:divBdr>
        </w:div>
        <w:div w:id="2050909896">
          <w:marLeft w:val="0"/>
          <w:marRight w:val="0"/>
          <w:marTop w:val="0"/>
          <w:marBottom w:val="0"/>
          <w:divBdr>
            <w:top w:val="none" w:sz="0" w:space="0" w:color="auto"/>
            <w:left w:val="none" w:sz="0" w:space="0" w:color="auto"/>
            <w:bottom w:val="none" w:sz="0" w:space="0" w:color="auto"/>
            <w:right w:val="none" w:sz="0" w:space="0" w:color="auto"/>
          </w:divBdr>
        </w:div>
        <w:div w:id="2122721194">
          <w:marLeft w:val="0"/>
          <w:marRight w:val="0"/>
          <w:marTop w:val="0"/>
          <w:marBottom w:val="0"/>
          <w:divBdr>
            <w:top w:val="none" w:sz="0" w:space="0" w:color="auto"/>
            <w:left w:val="none" w:sz="0" w:space="0" w:color="auto"/>
            <w:bottom w:val="none" w:sz="0" w:space="0" w:color="auto"/>
            <w:right w:val="none" w:sz="0" w:space="0" w:color="auto"/>
          </w:divBdr>
        </w:div>
      </w:divsChild>
    </w:div>
    <w:div w:id="690451005">
      <w:bodyDiv w:val="1"/>
      <w:marLeft w:val="0"/>
      <w:marRight w:val="0"/>
      <w:marTop w:val="0"/>
      <w:marBottom w:val="0"/>
      <w:divBdr>
        <w:top w:val="none" w:sz="0" w:space="0" w:color="auto"/>
        <w:left w:val="none" w:sz="0" w:space="0" w:color="auto"/>
        <w:bottom w:val="none" w:sz="0" w:space="0" w:color="auto"/>
        <w:right w:val="none" w:sz="0" w:space="0" w:color="auto"/>
      </w:divBdr>
    </w:div>
    <w:div w:id="706873996">
      <w:bodyDiv w:val="1"/>
      <w:marLeft w:val="0"/>
      <w:marRight w:val="0"/>
      <w:marTop w:val="0"/>
      <w:marBottom w:val="0"/>
      <w:divBdr>
        <w:top w:val="none" w:sz="0" w:space="0" w:color="auto"/>
        <w:left w:val="none" w:sz="0" w:space="0" w:color="auto"/>
        <w:bottom w:val="none" w:sz="0" w:space="0" w:color="auto"/>
        <w:right w:val="none" w:sz="0" w:space="0" w:color="auto"/>
      </w:divBdr>
    </w:div>
    <w:div w:id="714239852">
      <w:bodyDiv w:val="1"/>
      <w:marLeft w:val="0"/>
      <w:marRight w:val="0"/>
      <w:marTop w:val="0"/>
      <w:marBottom w:val="0"/>
      <w:divBdr>
        <w:top w:val="none" w:sz="0" w:space="0" w:color="auto"/>
        <w:left w:val="none" w:sz="0" w:space="0" w:color="auto"/>
        <w:bottom w:val="none" w:sz="0" w:space="0" w:color="auto"/>
        <w:right w:val="none" w:sz="0" w:space="0" w:color="auto"/>
      </w:divBdr>
    </w:div>
    <w:div w:id="721366913">
      <w:bodyDiv w:val="1"/>
      <w:marLeft w:val="0"/>
      <w:marRight w:val="0"/>
      <w:marTop w:val="0"/>
      <w:marBottom w:val="0"/>
      <w:divBdr>
        <w:top w:val="none" w:sz="0" w:space="0" w:color="auto"/>
        <w:left w:val="none" w:sz="0" w:space="0" w:color="auto"/>
        <w:bottom w:val="none" w:sz="0" w:space="0" w:color="auto"/>
        <w:right w:val="none" w:sz="0" w:space="0" w:color="auto"/>
      </w:divBdr>
    </w:div>
    <w:div w:id="726489739">
      <w:bodyDiv w:val="1"/>
      <w:marLeft w:val="0"/>
      <w:marRight w:val="0"/>
      <w:marTop w:val="0"/>
      <w:marBottom w:val="0"/>
      <w:divBdr>
        <w:top w:val="none" w:sz="0" w:space="0" w:color="auto"/>
        <w:left w:val="none" w:sz="0" w:space="0" w:color="auto"/>
        <w:bottom w:val="none" w:sz="0" w:space="0" w:color="auto"/>
        <w:right w:val="none" w:sz="0" w:space="0" w:color="auto"/>
      </w:divBdr>
      <w:divsChild>
        <w:div w:id="15157242">
          <w:marLeft w:val="0"/>
          <w:marRight w:val="0"/>
          <w:marTop w:val="0"/>
          <w:marBottom w:val="0"/>
          <w:divBdr>
            <w:top w:val="none" w:sz="0" w:space="0" w:color="auto"/>
            <w:left w:val="none" w:sz="0" w:space="0" w:color="auto"/>
            <w:bottom w:val="none" w:sz="0" w:space="0" w:color="auto"/>
            <w:right w:val="none" w:sz="0" w:space="0" w:color="auto"/>
          </w:divBdr>
        </w:div>
        <w:div w:id="83301645">
          <w:marLeft w:val="0"/>
          <w:marRight w:val="0"/>
          <w:marTop w:val="0"/>
          <w:marBottom w:val="0"/>
          <w:divBdr>
            <w:top w:val="none" w:sz="0" w:space="0" w:color="auto"/>
            <w:left w:val="none" w:sz="0" w:space="0" w:color="auto"/>
            <w:bottom w:val="none" w:sz="0" w:space="0" w:color="auto"/>
            <w:right w:val="none" w:sz="0" w:space="0" w:color="auto"/>
          </w:divBdr>
        </w:div>
        <w:div w:id="155343102">
          <w:marLeft w:val="0"/>
          <w:marRight w:val="0"/>
          <w:marTop w:val="0"/>
          <w:marBottom w:val="0"/>
          <w:divBdr>
            <w:top w:val="none" w:sz="0" w:space="0" w:color="auto"/>
            <w:left w:val="none" w:sz="0" w:space="0" w:color="auto"/>
            <w:bottom w:val="none" w:sz="0" w:space="0" w:color="auto"/>
            <w:right w:val="none" w:sz="0" w:space="0" w:color="auto"/>
          </w:divBdr>
        </w:div>
        <w:div w:id="362095425">
          <w:marLeft w:val="0"/>
          <w:marRight w:val="0"/>
          <w:marTop w:val="0"/>
          <w:marBottom w:val="0"/>
          <w:divBdr>
            <w:top w:val="none" w:sz="0" w:space="0" w:color="auto"/>
            <w:left w:val="none" w:sz="0" w:space="0" w:color="auto"/>
            <w:bottom w:val="none" w:sz="0" w:space="0" w:color="auto"/>
            <w:right w:val="none" w:sz="0" w:space="0" w:color="auto"/>
          </w:divBdr>
        </w:div>
        <w:div w:id="368339930">
          <w:marLeft w:val="0"/>
          <w:marRight w:val="0"/>
          <w:marTop w:val="0"/>
          <w:marBottom w:val="0"/>
          <w:divBdr>
            <w:top w:val="none" w:sz="0" w:space="0" w:color="auto"/>
            <w:left w:val="none" w:sz="0" w:space="0" w:color="auto"/>
            <w:bottom w:val="none" w:sz="0" w:space="0" w:color="auto"/>
            <w:right w:val="none" w:sz="0" w:space="0" w:color="auto"/>
          </w:divBdr>
        </w:div>
        <w:div w:id="384303295">
          <w:marLeft w:val="0"/>
          <w:marRight w:val="0"/>
          <w:marTop w:val="0"/>
          <w:marBottom w:val="0"/>
          <w:divBdr>
            <w:top w:val="none" w:sz="0" w:space="0" w:color="auto"/>
            <w:left w:val="none" w:sz="0" w:space="0" w:color="auto"/>
            <w:bottom w:val="none" w:sz="0" w:space="0" w:color="auto"/>
            <w:right w:val="none" w:sz="0" w:space="0" w:color="auto"/>
          </w:divBdr>
        </w:div>
        <w:div w:id="551044870">
          <w:marLeft w:val="0"/>
          <w:marRight w:val="0"/>
          <w:marTop w:val="0"/>
          <w:marBottom w:val="0"/>
          <w:divBdr>
            <w:top w:val="none" w:sz="0" w:space="0" w:color="auto"/>
            <w:left w:val="none" w:sz="0" w:space="0" w:color="auto"/>
            <w:bottom w:val="none" w:sz="0" w:space="0" w:color="auto"/>
            <w:right w:val="none" w:sz="0" w:space="0" w:color="auto"/>
          </w:divBdr>
        </w:div>
        <w:div w:id="745999764">
          <w:marLeft w:val="0"/>
          <w:marRight w:val="0"/>
          <w:marTop w:val="0"/>
          <w:marBottom w:val="0"/>
          <w:divBdr>
            <w:top w:val="none" w:sz="0" w:space="0" w:color="auto"/>
            <w:left w:val="none" w:sz="0" w:space="0" w:color="auto"/>
            <w:bottom w:val="none" w:sz="0" w:space="0" w:color="auto"/>
            <w:right w:val="none" w:sz="0" w:space="0" w:color="auto"/>
          </w:divBdr>
        </w:div>
        <w:div w:id="899442528">
          <w:marLeft w:val="0"/>
          <w:marRight w:val="0"/>
          <w:marTop w:val="0"/>
          <w:marBottom w:val="0"/>
          <w:divBdr>
            <w:top w:val="none" w:sz="0" w:space="0" w:color="auto"/>
            <w:left w:val="none" w:sz="0" w:space="0" w:color="auto"/>
            <w:bottom w:val="none" w:sz="0" w:space="0" w:color="auto"/>
            <w:right w:val="none" w:sz="0" w:space="0" w:color="auto"/>
          </w:divBdr>
        </w:div>
        <w:div w:id="1119032449">
          <w:marLeft w:val="0"/>
          <w:marRight w:val="0"/>
          <w:marTop w:val="0"/>
          <w:marBottom w:val="0"/>
          <w:divBdr>
            <w:top w:val="none" w:sz="0" w:space="0" w:color="auto"/>
            <w:left w:val="none" w:sz="0" w:space="0" w:color="auto"/>
            <w:bottom w:val="none" w:sz="0" w:space="0" w:color="auto"/>
            <w:right w:val="none" w:sz="0" w:space="0" w:color="auto"/>
          </w:divBdr>
        </w:div>
        <w:div w:id="1175848385">
          <w:marLeft w:val="0"/>
          <w:marRight w:val="0"/>
          <w:marTop w:val="0"/>
          <w:marBottom w:val="0"/>
          <w:divBdr>
            <w:top w:val="none" w:sz="0" w:space="0" w:color="auto"/>
            <w:left w:val="none" w:sz="0" w:space="0" w:color="auto"/>
            <w:bottom w:val="none" w:sz="0" w:space="0" w:color="auto"/>
            <w:right w:val="none" w:sz="0" w:space="0" w:color="auto"/>
          </w:divBdr>
        </w:div>
        <w:div w:id="1181092778">
          <w:marLeft w:val="0"/>
          <w:marRight w:val="0"/>
          <w:marTop w:val="0"/>
          <w:marBottom w:val="0"/>
          <w:divBdr>
            <w:top w:val="none" w:sz="0" w:space="0" w:color="auto"/>
            <w:left w:val="none" w:sz="0" w:space="0" w:color="auto"/>
            <w:bottom w:val="none" w:sz="0" w:space="0" w:color="auto"/>
            <w:right w:val="none" w:sz="0" w:space="0" w:color="auto"/>
          </w:divBdr>
        </w:div>
        <w:div w:id="1493987511">
          <w:marLeft w:val="0"/>
          <w:marRight w:val="0"/>
          <w:marTop w:val="0"/>
          <w:marBottom w:val="0"/>
          <w:divBdr>
            <w:top w:val="none" w:sz="0" w:space="0" w:color="auto"/>
            <w:left w:val="none" w:sz="0" w:space="0" w:color="auto"/>
            <w:bottom w:val="none" w:sz="0" w:space="0" w:color="auto"/>
            <w:right w:val="none" w:sz="0" w:space="0" w:color="auto"/>
          </w:divBdr>
        </w:div>
        <w:div w:id="1614897233">
          <w:marLeft w:val="0"/>
          <w:marRight w:val="0"/>
          <w:marTop w:val="0"/>
          <w:marBottom w:val="0"/>
          <w:divBdr>
            <w:top w:val="none" w:sz="0" w:space="0" w:color="auto"/>
            <w:left w:val="none" w:sz="0" w:space="0" w:color="auto"/>
            <w:bottom w:val="none" w:sz="0" w:space="0" w:color="auto"/>
            <w:right w:val="none" w:sz="0" w:space="0" w:color="auto"/>
          </w:divBdr>
        </w:div>
        <w:div w:id="1817646614">
          <w:marLeft w:val="0"/>
          <w:marRight w:val="0"/>
          <w:marTop w:val="0"/>
          <w:marBottom w:val="0"/>
          <w:divBdr>
            <w:top w:val="none" w:sz="0" w:space="0" w:color="auto"/>
            <w:left w:val="none" w:sz="0" w:space="0" w:color="auto"/>
            <w:bottom w:val="none" w:sz="0" w:space="0" w:color="auto"/>
            <w:right w:val="none" w:sz="0" w:space="0" w:color="auto"/>
          </w:divBdr>
        </w:div>
      </w:divsChild>
    </w:div>
    <w:div w:id="727534707">
      <w:bodyDiv w:val="1"/>
      <w:marLeft w:val="0"/>
      <w:marRight w:val="0"/>
      <w:marTop w:val="0"/>
      <w:marBottom w:val="0"/>
      <w:divBdr>
        <w:top w:val="none" w:sz="0" w:space="0" w:color="auto"/>
        <w:left w:val="none" w:sz="0" w:space="0" w:color="auto"/>
        <w:bottom w:val="none" w:sz="0" w:space="0" w:color="auto"/>
        <w:right w:val="none" w:sz="0" w:space="0" w:color="auto"/>
      </w:divBdr>
    </w:div>
    <w:div w:id="743645067">
      <w:bodyDiv w:val="1"/>
      <w:marLeft w:val="0"/>
      <w:marRight w:val="0"/>
      <w:marTop w:val="0"/>
      <w:marBottom w:val="0"/>
      <w:divBdr>
        <w:top w:val="none" w:sz="0" w:space="0" w:color="auto"/>
        <w:left w:val="none" w:sz="0" w:space="0" w:color="auto"/>
        <w:bottom w:val="none" w:sz="0" w:space="0" w:color="auto"/>
        <w:right w:val="none" w:sz="0" w:space="0" w:color="auto"/>
      </w:divBdr>
    </w:div>
    <w:div w:id="744717541">
      <w:bodyDiv w:val="1"/>
      <w:marLeft w:val="0"/>
      <w:marRight w:val="0"/>
      <w:marTop w:val="0"/>
      <w:marBottom w:val="0"/>
      <w:divBdr>
        <w:top w:val="none" w:sz="0" w:space="0" w:color="auto"/>
        <w:left w:val="none" w:sz="0" w:space="0" w:color="auto"/>
        <w:bottom w:val="none" w:sz="0" w:space="0" w:color="auto"/>
        <w:right w:val="none" w:sz="0" w:space="0" w:color="auto"/>
      </w:divBdr>
    </w:div>
    <w:div w:id="749891635">
      <w:bodyDiv w:val="1"/>
      <w:marLeft w:val="0"/>
      <w:marRight w:val="0"/>
      <w:marTop w:val="0"/>
      <w:marBottom w:val="0"/>
      <w:divBdr>
        <w:top w:val="none" w:sz="0" w:space="0" w:color="auto"/>
        <w:left w:val="none" w:sz="0" w:space="0" w:color="auto"/>
        <w:bottom w:val="none" w:sz="0" w:space="0" w:color="auto"/>
        <w:right w:val="none" w:sz="0" w:space="0" w:color="auto"/>
      </w:divBdr>
      <w:divsChild>
        <w:div w:id="865867336">
          <w:marLeft w:val="0"/>
          <w:marRight w:val="0"/>
          <w:marTop w:val="0"/>
          <w:marBottom w:val="0"/>
          <w:divBdr>
            <w:top w:val="none" w:sz="0" w:space="0" w:color="auto"/>
            <w:left w:val="none" w:sz="0" w:space="0" w:color="auto"/>
            <w:bottom w:val="none" w:sz="0" w:space="0" w:color="auto"/>
            <w:right w:val="none" w:sz="0" w:space="0" w:color="auto"/>
          </w:divBdr>
        </w:div>
        <w:div w:id="1299802861">
          <w:marLeft w:val="0"/>
          <w:marRight w:val="0"/>
          <w:marTop w:val="0"/>
          <w:marBottom w:val="0"/>
          <w:divBdr>
            <w:top w:val="none" w:sz="0" w:space="0" w:color="auto"/>
            <w:left w:val="none" w:sz="0" w:space="0" w:color="auto"/>
            <w:bottom w:val="none" w:sz="0" w:space="0" w:color="auto"/>
            <w:right w:val="none" w:sz="0" w:space="0" w:color="auto"/>
          </w:divBdr>
        </w:div>
        <w:div w:id="1571039661">
          <w:marLeft w:val="0"/>
          <w:marRight w:val="0"/>
          <w:marTop w:val="0"/>
          <w:marBottom w:val="0"/>
          <w:divBdr>
            <w:top w:val="none" w:sz="0" w:space="0" w:color="auto"/>
            <w:left w:val="none" w:sz="0" w:space="0" w:color="auto"/>
            <w:bottom w:val="none" w:sz="0" w:space="0" w:color="auto"/>
            <w:right w:val="none" w:sz="0" w:space="0" w:color="auto"/>
          </w:divBdr>
        </w:div>
        <w:div w:id="1845973443">
          <w:marLeft w:val="0"/>
          <w:marRight w:val="0"/>
          <w:marTop w:val="0"/>
          <w:marBottom w:val="0"/>
          <w:divBdr>
            <w:top w:val="none" w:sz="0" w:space="0" w:color="auto"/>
            <w:left w:val="none" w:sz="0" w:space="0" w:color="auto"/>
            <w:bottom w:val="none" w:sz="0" w:space="0" w:color="auto"/>
            <w:right w:val="none" w:sz="0" w:space="0" w:color="auto"/>
          </w:divBdr>
        </w:div>
      </w:divsChild>
    </w:div>
    <w:div w:id="751047187">
      <w:bodyDiv w:val="1"/>
      <w:marLeft w:val="0"/>
      <w:marRight w:val="0"/>
      <w:marTop w:val="0"/>
      <w:marBottom w:val="0"/>
      <w:divBdr>
        <w:top w:val="none" w:sz="0" w:space="0" w:color="auto"/>
        <w:left w:val="none" w:sz="0" w:space="0" w:color="auto"/>
        <w:bottom w:val="none" w:sz="0" w:space="0" w:color="auto"/>
        <w:right w:val="none" w:sz="0" w:space="0" w:color="auto"/>
      </w:divBdr>
      <w:divsChild>
        <w:div w:id="92937493">
          <w:marLeft w:val="0"/>
          <w:marRight w:val="0"/>
          <w:marTop w:val="0"/>
          <w:marBottom w:val="0"/>
          <w:divBdr>
            <w:top w:val="none" w:sz="0" w:space="0" w:color="auto"/>
            <w:left w:val="none" w:sz="0" w:space="0" w:color="auto"/>
            <w:bottom w:val="none" w:sz="0" w:space="0" w:color="auto"/>
            <w:right w:val="none" w:sz="0" w:space="0" w:color="auto"/>
          </w:divBdr>
        </w:div>
        <w:div w:id="516819485">
          <w:marLeft w:val="0"/>
          <w:marRight w:val="0"/>
          <w:marTop w:val="0"/>
          <w:marBottom w:val="0"/>
          <w:divBdr>
            <w:top w:val="none" w:sz="0" w:space="0" w:color="auto"/>
            <w:left w:val="none" w:sz="0" w:space="0" w:color="auto"/>
            <w:bottom w:val="none" w:sz="0" w:space="0" w:color="auto"/>
            <w:right w:val="none" w:sz="0" w:space="0" w:color="auto"/>
          </w:divBdr>
        </w:div>
        <w:div w:id="1738357308">
          <w:marLeft w:val="0"/>
          <w:marRight w:val="0"/>
          <w:marTop w:val="0"/>
          <w:marBottom w:val="0"/>
          <w:divBdr>
            <w:top w:val="none" w:sz="0" w:space="0" w:color="auto"/>
            <w:left w:val="none" w:sz="0" w:space="0" w:color="auto"/>
            <w:bottom w:val="none" w:sz="0" w:space="0" w:color="auto"/>
            <w:right w:val="none" w:sz="0" w:space="0" w:color="auto"/>
          </w:divBdr>
        </w:div>
      </w:divsChild>
    </w:div>
    <w:div w:id="770052888">
      <w:bodyDiv w:val="1"/>
      <w:marLeft w:val="0"/>
      <w:marRight w:val="0"/>
      <w:marTop w:val="0"/>
      <w:marBottom w:val="0"/>
      <w:divBdr>
        <w:top w:val="none" w:sz="0" w:space="0" w:color="auto"/>
        <w:left w:val="none" w:sz="0" w:space="0" w:color="auto"/>
        <w:bottom w:val="none" w:sz="0" w:space="0" w:color="auto"/>
        <w:right w:val="none" w:sz="0" w:space="0" w:color="auto"/>
      </w:divBdr>
    </w:div>
    <w:div w:id="783765003">
      <w:bodyDiv w:val="1"/>
      <w:marLeft w:val="0"/>
      <w:marRight w:val="0"/>
      <w:marTop w:val="0"/>
      <w:marBottom w:val="0"/>
      <w:divBdr>
        <w:top w:val="none" w:sz="0" w:space="0" w:color="auto"/>
        <w:left w:val="none" w:sz="0" w:space="0" w:color="auto"/>
        <w:bottom w:val="none" w:sz="0" w:space="0" w:color="auto"/>
        <w:right w:val="none" w:sz="0" w:space="0" w:color="auto"/>
      </w:divBdr>
    </w:div>
    <w:div w:id="783816539">
      <w:bodyDiv w:val="1"/>
      <w:marLeft w:val="0"/>
      <w:marRight w:val="0"/>
      <w:marTop w:val="0"/>
      <w:marBottom w:val="0"/>
      <w:divBdr>
        <w:top w:val="none" w:sz="0" w:space="0" w:color="auto"/>
        <w:left w:val="none" w:sz="0" w:space="0" w:color="auto"/>
        <w:bottom w:val="none" w:sz="0" w:space="0" w:color="auto"/>
        <w:right w:val="none" w:sz="0" w:space="0" w:color="auto"/>
      </w:divBdr>
    </w:div>
    <w:div w:id="786508554">
      <w:bodyDiv w:val="1"/>
      <w:marLeft w:val="0"/>
      <w:marRight w:val="0"/>
      <w:marTop w:val="0"/>
      <w:marBottom w:val="0"/>
      <w:divBdr>
        <w:top w:val="none" w:sz="0" w:space="0" w:color="auto"/>
        <w:left w:val="none" w:sz="0" w:space="0" w:color="auto"/>
        <w:bottom w:val="none" w:sz="0" w:space="0" w:color="auto"/>
        <w:right w:val="none" w:sz="0" w:space="0" w:color="auto"/>
      </w:divBdr>
    </w:div>
    <w:div w:id="824013993">
      <w:bodyDiv w:val="1"/>
      <w:marLeft w:val="0"/>
      <w:marRight w:val="0"/>
      <w:marTop w:val="0"/>
      <w:marBottom w:val="0"/>
      <w:divBdr>
        <w:top w:val="none" w:sz="0" w:space="0" w:color="auto"/>
        <w:left w:val="none" w:sz="0" w:space="0" w:color="auto"/>
        <w:bottom w:val="none" w:sz="0" w:space="0" w:color="auto"/>
        <w:right w:val="none" w:sz="0" w:space="0" w:color="auto"/>
      </w:divBdr>
    </w:div>
    <w:div w:id="831259139">
      <w:bodyDiv w:val="1"/>
      <w:marLeft w:val="0"/>
      <w:marRight w:val="0"/>
      <w:marTop w:val="0"/>
      <w:marBottom w:val="0"/>
      <w:divBdr>
        <w:top w:val="none" w:sz="0" w:space="0" w:color="auto"/>
        <w:left w:val="none" w:sz="0" w:space="0" w:color="auto"/>
        <w:bottom w:val="none" w:sz="0" w:space="0" w:color="auto"/>
        <w:right w:val="none" w:sz="0" w:space="0" w:color="auto"/>
      </w:divBdr>
    </w:div>
    <w:div w:id="858078926">
      <w:bodyDiv w:val="1"/>
      <w:marLeft w:val="0"/>
      <w:marRight w:val="0"/>
      <w:marTop w:val="0"/>
      <w:marBottom w:val="0"/>
      <w:divBdr>
        <w:top w:val="none" w:sz="0" w:space="0" w:color="auto"/>
        <w:left w:val="none" w:sz="0" w:space="0" w:color="auto"/>
        <w:bottom w:val="none" w:sz="0" w:space="0" w:color="auto"/>
        <w:right w:val="none" w:sz="0" w:space="0" w:color="auto"/>
      </w:divBdr>
      <w:divsChild>
        <w:div w:id="351028181">
          <w:marLeft w:val="0"/>
          <w:marRight w:val="0"/>
          <w:marTop w:val="0"/>
          <w:marBottom w:val="0"/>
          <w:divBdr>
            <w:top w:val="none" w:sz="0" w:space="0" w:color="auto"/>
            <w:left w:val="none" w:sz="0" w:space="0" w:color="auto"/>
            <w:bottom w:val="none" w:sz="0" w:space="0" w:color="auto"/>
            <w:right w:val="none" w:sz="0" w:space="0" w:color="auto"/>
          </w:divBdr>
        </w:div>
        <w:div w:id="521894156">
          <w:marLeft w:val="0"/>
          <w:marRight w:val="0"/>
          <w:marTop w:val="0"/>
          <w:marBottom w:val="0"/>
          <w:divBdr>
            <w:top w:val="none" w:sz="0" w:space="0" w:color="auto"/>
            <w:left w:val="none" w:sz="0" w:space="0" w:color="auto"/>
            <w:bottom w:val="none" w:sz="0" w:space="0" w:color="auto"/>
            <w:right w:val="none" w:sz="0" w:space="0" w:color="auto"/>
          </w:divBdr>
        </w:div>
        <w:div w:id="982975803">
          <w:marLeft w:val="0"/>
          <w:marRight w:val="0"/>
          <w:marTop w:val="0"/>
          <w:marBottom w:val="0"/>
          <w:divBdr>
            <w:top w:val="none" w:sz="0" w:space="0" w:color="auto"/>
            <w:left w:val="none" w:sz="0" w:space="0" w:color="auto"/>
            <w:bottom w:val="none" w:sz="0" w:space="0" w:color="auto"/>
            <w:right w:val="none" w:sz="0" w:space="0" w:color="auto"/>
          </w:divBdr>
        </w:div>
        <w:div w:id="1604726495">
          <w:marLeft w:val="0"/>
          <w:marRight w:val="0"/>
          <w:marTop w:val="0"/>
          <w:marBottom w:val="0"/>
          <w:divBdr>
            <w:top w:val="none" w:sz="0" w:space="0" w:color="auto"/>
            <w:left w:val="none" w:sz="0" w:space="0" w:color="auto"/>
            <w:bottom w:val="none" w:sz="0" w:space="0" w:color="auto"/>
            <w:right w:val="none" w:sz="0" w:space="0" w:color="auto"/>
          </w:divBdr>
        </w:div>
        <w:div w:id="1648582408">
          <w:marLeft w:val="0"/>
          <w:marRight w:val="0"/>
          <w:marTop w:val="0"/>
          <w:marBottom w:val="0"/>
          <w:divBdr>
            <w:top w:val="none" w:sz="0" w:space="0" w:color="auto"/>
            <w:left w:val="none" w:sz="0" w:space="0" w:color="auto"/>
            <w:bottom w:val="none" w:sz="0" w:space="0" w:color="auto"/>
            <w:right w:val="none" w:sz="0" w:space="0" w:color="auto"/>
          </w:divBdr>
        </w:div>
        <w:div w:id="2005737818">
          <w:marLeft w:val="0"/>
          <w:marRight w:val="0"/>
          <w:marTop w:val="0"/>
          <w:marBottom w:val="0"/>
          <w:divBdr>
            <w:top w:val="none" w:sz="0" w:space="0" w:color="auto"/>
            <w:left w:val="none" w:sz="0" w:space="0" w:color="auto"/>
            <w:bottom w:val="none" w:sz="0" w:space="0" w:color="auto"/>
            <w:right w:val="none" w:sz="0" w:space="0" w:color="auto"/>
          </w:divBdr>
        </w:div>
      </w:divsChild>
    </w:div>
    <w:div w:id="861357577">
      <w:bodyDiv w:val="1"/>
      <w:marLeft w:val="0"/>
      <w:marRight w:val="0"/>
      <w:marTop w:val="0"/>
      <w:marBottom w:val="0"/>
      <w:divBdr>
        <w:top w:val="none" w:sz="0" w:space="0" w:color="auto"/>
        <w:left w:val="none" w:sz="0" w:space="0" w:color="auto"/>
        <w:bottom w:val="none" w:sz="0" w:space="0" w:color="auto"/>
        <w:right w:val="none" w:sz="0" w:space="0" w:color="auto"/>
      </w:divBdr>
    </w:div>
    <w:div w:id="867720353">
      <w:bodyDiv w:val="1"/>
      <w:marLeft w:val="0"/>
      <w:marRight w:val="0"/>
      <w:marTop w:val="0"/>
      <w:marBottom w:val="0"/>
      <w:divBdr>
        <w:top w:val="none" w:sz="0" w:space="0" w:color="auto"/>
        <w:left w:val="none" w:sz="0" w:space="0" w:color="auto"/>
        <w:bottom w:val="none" w:sz="0" w:space="0" w:color="auto"/>
        <w:right w:val="none" w:sz="0" w:space="0" w:color="auto"/>
      </w:divBdr>
    </w:div>
    <w:div w:id="882670961">
      <w:bodyDiv w:val="1"/>
      <w:marLeft w:val="0"/>
      <w:marRight w:val="0"/>
      <w:marTop w:val="0"/>
      <w:marBottom w:val="0"/>
      <w:divBdr>
        <w:top w:val="none" w:sz="0" w:space="0" w:color="auto"/>
        <w:left w:val="none" w:sz="0" w:space="0" w:color="auto"/>
        <w:bottom w:val="none" w:sz="0" w:space="0" w:color="auto"/>
        <w:right w:val="none" w:sz="0" w:space="0" w:color="auto"/>
      </w:divBdr>
    </w:div>
    <w:div w:id="895506550">
      <w:bodyDiv w:val="1"/>
      <w:marLeft w:val="0"/>
      <w:marRight w:val="0"/>
      <w:marTop w:val="0"/>
      <w:marBottom w:val="0"/>
      <w:divBdr>
        <w:top w:val="none" w:sz="0" w:space="0" w:color="auto"/>
        <w:left w:val="none" w:sz="0" w:space="0" w:color="auto"/>
        <w:bottom w:val="none" w:sz="0" w:space="0" w:color="auto"/>
        <w:right w:val="none" w:sz="0" w:space="0" w:color="auto"/>
      </w:divBdr>
    </w:div>
    <w:div w:id="908880326">
      <w:bodyDiv w:val="1"/>
      <w:marLeft w:val="0"/>
      <w:marRight w:val="0"/>
      <w:marTop w:val="0"/>
      <w:marBottom w:val="0"/>
      <w:divBdr>
        <w:top w:val="none" w:sz="0" w:space="0" w:color="auto"/>
        <w:left w:val="none" w:sz="0" w:space="0" w:color="auto"/>
        <w:bottom w:val="none" w:sz="0" w:space="0" w:color="auto"/>
        <w:right w:val="none" w:sz="0" w:space="0" w:color="auto"/>
      </w:divBdr>
    </w:div>
    <w:div w:id="961154648">
      <w:bodyDiv w:val="1"/>
      <w:marLeft w:val="0"/>
      <w:marRight w:val="0"/>
      <w:marTop w:val="0"/>
      <w:marBottom w:val="0"/>
      <w:divBdr>
        <w:top w:val="none" w:sz="0" w:space="0" w:color="auto"/>
        <w:left w:val="none" w:sz="0" w:space="0" w:color="auto"/>
        <w:bottom w:val="none" w:sz="0" w:space="0" w:color="auto"/>
        <w:right w:val="none" w:sz="0" w:space="0" w:color="auto"/>
      </w:divBdr>
    </w:div>
    <w:div w:id="981616873">
      <w:bodyDiv w:val="1"/>
      <w:marLeft w:val="0"/>
      <w:marRight w:val="0"/>
      <w:marTop w:val="0"/>
      <w:marBottom w:val="0"/>
      <w:divBdr>
        <w:top w:val="none" w:sz="0" w:space="0" w:color="auto"/>
        <w:left w:val="none" w:sz="0" w:space="0" w:color="auto"/>
        <w:bottom w:val="none" w:sz="0" w:space="0" w:color="auto"/>
        <w:right w:val="none" w:sz="0" w:space="0" w:color="auto"/>
      </w:divBdr>
    </w:div>
    <w:div w:id="990989888">
      <w:bodyDiv w:val="1"/>
      <w:marLeft w:val="0"/>
      <w:marRight w:val="0"/>
      <w:marTop w:val="0"/>
      <w:marBottom w:val="0"/>
      <w:divBdr>
        <w:top w:val="none" w:sz="0" w:space="0" w:color="auto"/>
        <w:left w:val="none" w:sz="0" w:space="0" w:color="auto"/>
        <w:bottom w:val="none" w:sz="0" w:space="0" w:color="auto"/>
        <w:right w:val="none" w:sz="0" w:space="0" w:color="auto"/>
      </w:divBdr>
      <w:divsChild>
        <w:div w:id="102578866">
          <w:marLeft w:val="0"/>
          <w:marRight w:val="0"/>
          <w:marTop w:val="0"/>
          <w:marBottom w:val="0"/>
          <w:divBdr>
            <w:top w:val="none" w:sz="0" w:space="0" w:color="auto"/>
            <w:left w:val="none" w:sz="0" w:space="0" w:color="auto"/>
            <w:bottom w:val="none" w:sz="0" w:space="0" w:color="auto"/>
            <w:right w:val="none" w:sz="0" w:space="0" w:color="auto"/>
          </w:divBdr>
        </w:div>
        <w:div w:id="225650979">
          <w:marLeft w:val="0"/>
          <w:marRight w:val="0"/>
          <w:marTop w:val="0"/>
          <w:marBottom w:val="0"/>
          <w:divBdr>
            <w:top w:val="none" w:sz="0" w:space="0" w:color="auto"/>
            <w:left w:val="none" w:sz="0" w:space="0" w:color="auto"/>
            <w:bottom w:val="none" w:sz="0" w:space="0" w:color="auto"/>
            <w:right w:val="none" w:sz="0" w:space="0" w:color="auto"/>
          </w:divBdr>
        </w:div>
        <w:div w:id="243145458">
          <w:marLeft w:val="0"/>
          <w:marRight w:val="0"/>
          <w:marTop w:val="0"/>
          <w:marBottom w:val="0"/>
          <w:divBdr>
            <w:top w:val="none" w:sz="0" w:space="0" w:color="auto"/>
            <w:left w:val="none" w:sz="0" w:space="0" w:color="auto"/>
            <w:bottom w:val="none" w:sz="0" w:space="0" w:color="auto"/>
            <w:right w:val="none" w:sz="0" w:space="0" w:color="auto"/>
          </w:divBdr>
        </w:div>
        <w:div w:id="263808538">
          <w:marLeft w:val="0"/>
          <w:marRight w:val="0"/>
          <w:marTop w:val="0"/>
          <w:marBottom w:val="0"/>
          <w:divBdr>
            <w:top w:val="none" w:sz="0" w:space="0" w:color="auto"/>
            <w:left w:val="none" w:sz="0" w:space="0" w:color="auto"/>
            <w:bottom w:val="none" w:sz="0" w:space="0" w:color="auto"/>
            <w:right w:val="none" w:sz="0" w:space="0" w:color="auto"/>
          </w:divBdr>
        </w:div>
        <w:div w:id="514342506">
          <w:marLeft w:val="0"/>
          <w:marRight w:val="0"/>
          <w:marTop w:val="0"/>
          <w:marBottom w:val="0"/>
          <w:divBdr>
            <w:top w:val="none" w:sz="0" w:space="0" w:color="auto"/>
            <w:left w:val="none" w:sz="0" w:space="0" w:color="auto"/>
            <w:bottom w:val="none" w:sz="0" w:space="0" w:color="auto"/>
            <w:right w:val="none" w:sz="0" w:space="0" w:color="auto"/>
          </w:divBdr>
        </w:div>
        <w:div w:id="554318716">
          <w:marLeft w:val="0"/>
          <w:marRight w:val="0"/>
          <w:marTop w:val="0"/>
          <w:marBottom w:val="0"/>
          <w:divBdr>
            <w:top w:val="none" w:sz="0" w:space="0" w:color="auto"/>
            <w:left w:val="none" w:sz="0" w:space="0" w:color="auto"/>
            <w:bottom w:val="none" w:sz="0" w:space="0" w:color="auto"/>
            <w:right w:val="none" w:sz="0" w:space="0" w:color="auto"/>
          </w:divBdr>
        </w:div>
        <w:div w:id="710227895">
          <w:marLeft w:val="0"/>
          <w:marRight w:val="0"/>
          <w:marTop w:val="0"/>
          <w:marBottom w:val="0"/>
          <w:divBdr>
            <w:top w:val="none" w:sz="0" w:space="0" w:color="auto"/>
            <w:left w:val="none" w:sz="0" w:space="0" w:color="auto"/>
            <w:bottom w:val="none" w:sz="0" w:space="0" w:color="auto"/>
            <w:right w:val="none" w:sz="0" w:space="0" w:color="auto"/>
          </w:divBdr>
        </w:div>
        <w:div w:id="935669100">
          <w:marLeft w:val="0"/>
          <w:marRight w:val="0"/>
          <w:marTop w:val="0"/>
          <w:marBottom w:val="0"/>
          <w:divBdr>
            <w:top w:val="none" w:sz="0" w:space="0" w:color="auto"/>
            <w:left w:val="none" w:sz="0" w:space="0" w:color="auto"/>
            <w:bottom w:val="none" w:sz="0" w:space="0" w:color="auto"/>
            <w:right w:val="none" w:sz="0" w:space="0" w:color="auto"/>
          </w:divBdr>
        </w:div>
        <w:div w:id="1146975245">
          <w:marLeft w:val="0"/>
          <w:marRight w:val="0"/>
          <w:marTop w:val="0"/>
          <w:marBottom w:val="0"/>
          <w:divBdr>
            <w:top w:val="none" w:sz="0" w:space="0" w:color="auto"/>
            <w:left w:val="none" w:sz="0" w:space="0" w:color="auto"/>
            <w:bottom w:val="none" w:sz="0" w:space="0" w:color="auto"/>
            <w:right w:val="none" w:sz="0" w:space="0" w:color="auto"/>
          </w:divBdr>
        </w:div>
        <w:div w:id="1378092164">
          <w:marLeft w:val="0"/>
          <w:marRight w:val="0"/>
          <w:marTop w:val="0"/>
          <w:marBottom w:val="0"/>
          <w:divBdr>
            <w:top w:val="none" w:sz="0" w:space="0" w:color="auto"/>
            <w:left w:val="none" w:sz="0" w:space="0" w:color="auto"/>
            <w:bottom w:val="none" w:sz="0" w:space="0" w:color="auto"/>
            <w:right w:val="none" w:sz="0" w:space="0" w:color="auto"/>
          </w:divBdr>
        </w:div>
        <w:div w:id="1419794099">
          <w:marLeft w:val="0"/>
          <w:marRight w:val="0"/>
          <w:marTop w:val="0"/>
          <w:marBottom w:val="0"/>
          <w:divBdr>
            <w:top w:val="none" w:sz="0" w:space="0" w:color="auto"/>
            <w:left w:val="none" w:sz="0" w:space="0" w:color="auto"/>
            <w:bottom w:val="none" w:sz="0" w:space="0" w:color="auto"/>
            <w:right w:val="none" w:sz="0" w:space="0" w:color="auto"/>
          </w:divBdr>
        </w:div>
        <w:div w:id="1428388070">
          <w:marLeft w:val="0"/>
          <w:marRight w:val="0"/>
          <w:marTop w:val="0"/>
          <w:marBottom w:val="0"/>
          <w:divBdr>
            <w:top w:val="none" w:sz="0" w:space="0" w:color="auto"/>
            <w:left w:val="none" w:sz="0" w:space="0" w:color="auto"/>
            <w:bottom w:val="none" w:sz="0" w:space="0" w:color="auto"/>
            <w:right w:val="none" w:sz="0" w:space="0" w:color="auto"/>
          </w:divBdr>
        </w:div>
        <w:div w:id="1605185603">
          <w:marLeft w:val="0"/>
          <w:marRight w:val="0"/>
          <w:marTop w:val="0"/>
          <w:marBottom w:val="0"/>
          <w:divBdr>
            <w:top w:val="none" w:sz="0" w:space="0" w:color="auto"/>
            <w:left w:val="none" w:sz="0" w:space="0" w:color="auto"/>
            <w:bottom w:val="none" w:sz="0" w:space="0" w:color="auto"/>
            <w:right w:val="none" w:sz="0" w:space="0" w:color="auto"/>
          </w:divBdr>
        </w:div>
        <w:div w:id="1729569143">
          <w:marLeft w:val="0"/>
          <w:marRight w:val="0"/>
          <w:marTop w:val="0"/>
          <w:marBottom w:val="0"/>
          <w:divBdr>
            <w:top w:val="none" w:sz="0" w:space="0" w:color="auto"/>
            <w:left w:val="none" w:sz="0" w:space="0" w:color="auto"/>
            <w:bottom w:val="none" w:sz="0" w:space="0" w:color="auto"/>
            <w:right w:val="none" w:sz="0" w:space="0" w:color="auto"/>
          </w:divBdr>
        </w:div>
        <w:div w:id="1732387048">
          <w:marLeft w:val="0"/>
          <w:marRight w:val="0"/>
          <w:marTop w:val="0"/>
          <w:marBottom w:val="0"/>
          <w:divBdr>
            <w:top w:val="none" w:sz="0" w:space="0" w:color="auto"/>
            <w:left w:val="none" w:sz="0" w:space="0" w:color="auto"/>
            <w:bottom w:val="none" w:sz="0" w:space="0" w:color="auto"/>
            <w:right w:val="none" w:sz="0" w:space="0" w:color="auto"/>
          </w:divBdr>
        </w:div>
        <w:div w:id="2080595925">
          <w:marLeft w:val="0"/>
          <w:marRight w:val="0"/>
          <w:marTop w:val="0"/>
          <w:marBottom w:val="0"/>
          <w:divBdr>
            <w:top w:val="none" w:sz="0" w:space="0" w:color="auto"/>
            <w:left w:val="none" w:sz="0" w:space="0" w:color="auto"/>
            <w:bottom w:val="none" w:sz="0" w:space="0" w:color="auto"/>
            <w:right w:val="none" w:sz="0" w:space="0" w:color="auto"/>
          </w:divBdr>
        </w:div>
      </w:divsChild>
    </w:div>
    <w:div w:id="995380448">
      <w:bodyDiv w:val="1"/>
      <w:marLeft w:val="0"/>
      <w:marRight w:val="0"/>
      <w:marTop w:val="0"/>
      <w:marBottom w:val="0"/>
      <w:divBdr>
        <w:top w:val="none" w:sz="0" w:space="0" w:color="auto"/>
        <w:left w:val="none" w:sz="0" w:space="0" w:color="auto"/>
        <w:bottom w:val="none" w:sz="0" w:space="0" w:color="auto"/>
        <w:right w:val="none" w:sz="0" w:space="0" w:color="auto"/>
      </w:divBdr>
    </w:div>
    <w:div w:id="1008023078">
      <w:bodyDiv w:val="1"/>
      <w:marLeft w:val="0"/>
      <w:marRight w:val="0"/>
      <w:marTop w:val="0"/>
      <w:marBottom w:val="0"/>
      <w:divBdr>
        <w:top w:val="none" w:sz="0" w:space="0" w:color="auto"/>
        <w:left w:val="none" w:sz="0" w:space="0" w:color="auto"/>
        <w:bottom w:val="none" w:sz="0" w:space="0" w:color="auto"/>
        <w:right w:val="none" w:sz="0" w:space="0" w:color="auto"/>
      </w:divBdr>
      <w:divsChild>
        <w:div w:id="15928318">
          <w:marLeft w:val="0"/>
          <w:marRight w:val="0"/>
          <w:marTop w:val="0"/>
          <w:marBottom w:val="0"/>
          <w:divBdr>
            <w:top w:val="none" w:sz="0" w:space="0" w:color="auto"/>
            <w:left w:val="none" w:sz="0" w:space="0" w:color="auto"/>
            <w:bottom w:val="none" w:sz="0" w:space="0" w:color="auto"/>
            <w:right w:val="none" w:sz="0" w:space="0" w:color="auto"/>
          </w:divBdr>
        </w:div>
        <w:div w:id="229004583">
          <w:marLeft w:val="0"/>
          <w:marRight w:val="0"/>
          <w:marTop w:val="0"/>
          <w:marBottom w:val="0"/>
          <w:divBdr>
            <w:top w:val="none" w:sz="0" w:space="0" w:color="auto"/>
            <w:left w:val="none" w:sz="0" w:space="0" w:color="auto"/>
            <w:bottom w:val="none" w:sz="0" w:space="0" w:color="auto"/>
            <w:right w:val="none" w:sz="0" w:space="0" w:color="auto"/>
          </w:divBdr>
        </w:div>
        <w:div w:id="476918543">
          <w:marLeft w:val="0"/>
          <w:marRight w:val="0"/>
          <w:marTop w:val="0"/>
          <w:marBottom w:val="0"/>
          <w:divBdr>
            <w:top w:val="none" w:sz="0" w:space="0" w:color="auto"/>
            <w:left w:val="none" w:sz="0" w:space="0" w:color="auto"/>
            <w:bottom w:val="none" w:sz="0" w:space="0" w:color="auto"/>
            <w:right w:val="none" w:sz="0" w:space="0" w:color="auto"/>
          </w:divBdr>
        </w:div>
        <w:div w:id="532502355">
          <w:marLeft w:val="0"/>
          <w:marRight w:val="0"/>
          <w:marTop w:val="0"/>
          <w:marBottom w:val="0"/>
          <w:divBdr>
            <w:top w:val="none" w:sz="0" w:space="0" w:color="auto"/>
            <w:left w:val="none" w:sz="0" w:space="0" w:color="auto"/>
            <w:bottom w:val="none" w:sz="0" w:space="0" w:color="auto"/>
            <w:right w:val="none" w:sz="0" w:space="0" w:color="auto"/>
          </w:divBdr>
        </w:div>
        <w:div w:id="788546968">
          <w:marLeft w:val="0"/>
          <w:marRight w:val="0"/>
          <w:marTop w:val="0"/>
          <w:marBottom w:val="0"/>
          <w:divBdr>
            <w:top w:val="none" w:sz="0" w:space="0" w:color="auto"/>
            <w:left w:val="none" w:sz="0" w:space="0" w:color="auto"/>
            <w:bottom w:val="none" w:sz="0" w:space="0" w:color="auto"/>
            <w:right w:val="none" w:sz="0" w:space="0" w:color="auto"/>
          </w:divBdr>
        </w:div>
        <w:div w:id="804083466">
          <w:marLeft w:val="0"/>
          <w:marRight w:val="0"/>
          <w:marTop w:val="0"/>
          <w:marBottom w:val="0"/>
          <w:divBdr>
            <w:top w:val="none" w:sz="0" w:space="0" w:color="auto"/>
            <w:left w:val="none" w:sz="0" w:space="0" w:color="auto"/>
            <w:bottom w:val="none" w:sz="0" w:space="0" w:color="auto"/>
            <w:right w:val="none" w:sz="0" w:space="0" w:color="auto"/>
          </w:divBdr>
        </w:div>
        <w:div w:id="1254513861">
          <w:marLeft w:val="0"/>
          <w:marRight w:val="0"/>
          <w:marTop w:val="0"/>
          <w:marBottom w:val="0"/>
          <w:divBdr>
            <w:top w:val="none" w:sz="0" w:space="0" w:color="auto"/>
            <w:left w:val="none" w:sz="0" w:space="0" w:color="auto"/>
            <w:bottom w:val="none" w:sz="0" w:space="0" w:color="auto"/>
            <w:right w:val="none" w:sz="0" w:space="0" w:color="auto"/>
          </w:divBdr>
        </w:div>
        <w:div w:id="1309241487">
          <w:marLeft w:val="0"/>
          <w:marRight w:val="0"/>
          <w:marTop w:val="0"/>
          <w:marBottom w:val="0"/>
          <w:divBdr>
            <w:top w:val="none" w:sz="0" w:space="0" w:color="auto"/>
            <w:left w:val="none" w:sz="0" w:space="0" w:color="auto"/>
            <w:bottom w:val="none" w:sz="0" w:space="0" w:color="auto"/>
            <w:right w:val="none" w:sz="0" w:space="0" w:color="auto"/>
          </w:divBdr>
        </w:div>
      </w:divsChild>
    </w:div>
    <w:div w:id="1009797725">
      <w:bodyDiv w:val="1"/>
      <w:marLeft w:val="0"/>
      <w:marRight w:val="0"/>
      <w:marTop w:val="0"/>
      <w:marBottom w:val="0"/>
      <w:divBdr>
        <w:top w:val="none" w:sz="0" w:space="0" w:color="auto"/>
        <w:left w:val="none" w:sz="0" w:space="0" w:color="auto"/>
        <w:bottom w:val="none" w:sz="0" w:space="0" w:color="auto"/>
        <w:right w:val="none" w:sz="0" w:space="0" w:color="auto"/>
      </w:divBdr>
      <w:divsChild>
        <w:div w:id="60760309">
          <w:marLeft w:val="0"/>
          <w:marRight w:val="0"/>
          <w:marTop w:val="0"/>
          <w:marBottom w:val="0"/>
          <w:divBdr>
            <w:top w:val="none" w:sz="0" w:space="0" w:color="auto"/>
            <w:left w:val="none" w:sz="0" w:space="0" w:color="auto"/>
            <w:bottom w:val="none" w:sz="0" w:space="0" w:color="auto"/>
            <w:right w:val="none" w:sz="0" w:space="0" w:color="auto"/>
          </w:divBdr>
        </w:div>
        <w:div w:id="157309865">
          <w:marLeft w:val="0"/>
          <w:marRight w:val="0"/>
          <w:marTop w:val="0"/>
          <w:marBottom w:val="0"/>
          <w:divBdr>
            <w:top w:val="none" w:sz="0" w:space="0" w:color="auto"/>
            <w:left w:val="none" w:sz="0" w:space="0" w:color="auto"/>
            <w:bottom w:val="none" w:sz="0" w:space="0" w:color="auto"/>
            <w:right w:val="none" w:sz="0" w:space="0" w:color="auto"/>
          </w:divBdr>
        </w:div>
        <w:div w:id="224031019">
          <w:marLeft w:val="0"/>
          <w:marRight w:val="0"/>
          <w:marTop w:val="0"/>
          <w:marBottom w:val="0"/>
          <w:divBdr>
            <w:top w:val="none" w:sz="0" w:space="0" w:color="auto"/>
            <w:left w:val="none" w:sz="0" w:space="0" w:color="auto"/>
            <w:bottom w:val="none" w:sz="0" w:space="0" w:color="auto"/>
            <w:right w:val="none" w:sz="0" w:space="0" w:color="auto"/>
          </w:divBdr>
        </w:div>
        <w:div w:id="299724839">
          <w:marLeft w:val="0"/>
          <w:marRight w:val="0"/>
          <w:marTop w:val="0"/>
          <w:marBottom w:val="0"/>
          <w:divBdr>
            <w:top w:val="none" w:sz="0" w:space="0" w:color="auto"/>
            <w:left w:val="none" w:sz="0" w:space="0" w:color="auto"/>
            <w:bottom w:val="none" w:sz="0" w:space="0" w:color="auto"/>
            <w:right w:val="none" w:sz="0" w:space="0" w:color="auto"/>
          </w:divBdr>
        </w:div>
        <w:div w:id="384790872">
          <w:marLeft w:val="0"/>
          <w:marRight w:val="0"/>
          <w:marTop w:val="0"/>
          <w:marBottom w:val="0"/>
          <w:divBdr>
            <w:top w:val="none" w:sz="0" w:space="0" w:color="auto"/>
            <w:left w:val="none" w:sz="0" w:space="0" w:color="auto"/>
            <w:bottom w:val="none" w:sz="0" w:space="0" w:color="auto"/>
            <w:right w:val="none" w:sz="0" w:space="0" w:color="auto"/>
          </w:divBdr>
        </w:div>
        <w:div w:id="541330344">
          <w:marLeft w:val="0"/>
          <w:marRight w:val="0"/>
          <w:marTop w:val="0"/>
          <w:marBottom w:val="0"/>
          <w:divBdr>
            <w:top w:val="none" w:sz="0" w:space="0" w:color="auto"/>
            <w:left w:val="none" w:sz="0" w:space="0" w:color="auto"/>
            <w:bottom w:val="none" w:sz="0" w:space="0" w:color="auto"/>
            <w:right w:val="none" w:sz="0" w:space="0" w:color="auto"/>
          </w:divBdr>
        </w:div>
        <w:div w:id="647442460">
          <w:marLeft w:val="0"/>
          <w:marRight w:val="0"/>
          <w:marTop w:val="0"/>
          <w:marBottom w:val="0"/>
          <w:divBdr>
            <w:top w:val="none" w:sz="0" w:space="0" w:color="auto"/>
            <w:left w:val="none" w:sz="0" w:space="0" w:color="auto"/>
            <w:bottom w:val="none" w:sz="0" w:space="0" w:color="auto"/>
            <w:right w:val="none" w:sz="0" w:space="0" w:color="auto"/>
          </w:divBdr>
        </w:div>
        <w:div w:id="736821454">
          <w:marLeft w:val="0"/>
          <w:marRight w:val="0"/>
          <w:marTop w:val="0"/>
          <w:marBottom w:val="0"/>
          <w:divBdr>
            <w:top w:val="none" w:sz="0" w:space="0" w:color="auto"/>
            <w:left w:val="none" w:sz="0" w:space="0" w:color="auto"/>
            <w:bottom w:val="none" w:sz="0" w:space="0" w:color="auto"/>
            <w:right w:val="none" w:sz="0" w:space="0" w:color="auto"/>
          </w:divBdr>
        </w:div>
        <w:div w:id="785076619">
          <w:marLeft w:val="0"/>
          <w:marRight w:val="0"/>
          <w:marTop w:val="0"/>
          <w:marBottom w:val="0"/>
          <w:divBdr>
            <w:top w:val="none" w:sz="0" w:space="0" w:color="auto"/>
            <w:left w:val="none" w:sz="0" w:space="0" w:color="auto"/>
            <w:bottom w:val="none" w:sz="0" w:space="0" w:color="auto"/>
            <w:right w:val="none" w:sz="0" w:space="0" w:color="auto"/>
          </w:divBdr>
        </w:div>
        <w:div w:id="987635969">
          <w:marLeft w:val="0"/>
          <w:marRight w:val="0"/>
          <w:marTop w:val="0"/>
          <w:marBottom w:val="0"/>
          <w:divBdr>
            <w:top w:val="none" w:sz="0" w:space="0" w:color="auto"/>
            <w:left w:val="none" w:sz="0" w:space="0" w:color="auto"/>
            <w:bottom w:val="none" w:sz="0" w:space="0" w:color="auto"/>
            <w:right w:val="none" w:sz="0" w:space="0" w:color="auto"/>
          </w:divBdr>
        </w:div>
        <w:div w:id="1032077257">
          <w:marLeft w:val="0"/>
          <w:marRight w:val="0"/>
          <w:marTop w:val="0"/>
          <w:marBottom w:val="0"/>
          <w:divBdr>
            <w:top w:val="none" w:sz="0" w:space="0" w:color="auto"/>
            <w:left w:val="none" w:sz="0" w:space="0" w:color="auto"/>
            <w:bottom w:val="none" w:sz="0" w:space="0" w:color="auto"/>
            <w:right w:val="none" w:sz="0" w:space="0" w:color="auto"/>
          </w:divBdr>
        </w:div>
        <w:div w:id="1428961133">
          <w:marLeft w:val="0"/>
          <w:marRight w:val="0"/>
          <w:marTop w:val="0"/>
          <w:marBottom w:val="0"/>
          <w:divBdr>
            <w:top w:val="none" w:sz="0" w:space="0" w:color="auto"/>
            <w:left w:val="none" w:sz="0" w:space="0" w:color="auto"/>
            <w:bottom w:val="none" w:sz="0" w:space="0" w:color="auto"/>
            <w:right w:val="none" w:sz="0" w:space="0" w:color="auto"/>
          </w:divBdr>
        </w:div>
        <w:div w:id="1476606790">
          <w:marLeft w:val="0"/>
          <w:marRight w:val="0"/>
          <w:marTop w:val="0"/>
          <w:marBottom w:val="0"/>
          <w:divBdr>
            <w:top w:val="none" w:sz="0" w:space="0" w:color="auto"/>
            <w:left w:val="none" w:sz="0" w:space="0" w:color="auto"/>
            <w:bottom w:val="none" w:sz="0" w:space="0" w:color="auto"/>
            <w:right w:val="none" w:sz="0" w:space="0" w:color="auto"/>
          </w:divBdr>
        </w:div>
        <w:div w:id="1586450555">
          <w:marLeft w:val="0"/>
          <w:marRight w:val="0"/>
          <w:marTop w:val="0"/>
          <w:marBottom w:val="0"/>
          <w:divBdr>
            <w:top w:val="none" w:sz="0" w:space="0" w:color="auto"/>
            <w:left w:val="none" w:sz="0" w:space="0" w:color="auto"/>
            <w:bottom w:val="none" w:sz="0" w:space="0" w:color="auto"/>
            <w:right w:val="none" w:sz="0" w:space="0" w:color="auto"/>
          </w:divBdr>
        </w:div>
        <w:div w:id="1602640306">
          <w:marLeft w:val="0"/>
          <w:marRight w:val="0"/>
          <w:marTop w:val="0"/>
          <w:marBottom w:val="0"/>
          <w:divBdr>
            <w:top w:val="none" w:sz="0" w:space="0" w:color="auto"/>
            <w:left w:val="none" w:sz="0" w:space="0" w:color="auto"/>
            <w:bottom w:val="none" w:sz="0" w:space="0" w:color="auto"/>
            <w:right w:val="none" w:sz="0" w:space="0" w:color="auto"/>
          </w:divBdr>
        </w:div>
        <w:div w:id="1732849648">
          <w:marLeft w:val="0"/>
          <w:marRight w:val="0"/>
          <w:marTop w:val="0"/>
          <w:marBottom w:val="0"/>
          <w:divBdr>
            <w:top w:val="none" w:sz="0" w:space="0" w:color="auto"/>
            <w:left w:val="none" w:sz="0" w:space="0" w:color="auto"/>
            <w:bottom w:val="none" w:sz="0" w:space="0" w:color="auto"/>
            <w:right w:val="none" w:sz="0" w:space="0" w:color="auto"/>
          </w:divBdr>
        </w:div>
        <w:div w:id="1907185821">
          <w:marLeft w:val="0"/>
          <w:marRight w:val="0"/>
          <w:marTop w:val="0"/>
          <w:marBottom w:val="0"/>
          <w:divBdr>
            <w:top w:val="none" w:sz="0" w:space="0" w:color="auto"/>
            <w:left w:val="none" w:sz="0" w:space="0" w:color="auto"/>
            <w:bottom w:val="none" w:sz="0" w:space="0" w:color="auto"/>
            <w:right w:val="none" w:sz="0" w:space="0" w:color="auto"/>
          </w:divBdr>
        </w:div>
        <w:div w:id="1910189835">
          <w:marLeft w:val="0"/>
          <w:marRight w:val="0"/>
          <w:marTop w:val="0"/>
          <w:marBottom w:val="0"/>
          <w:divBdr>
            <w:top w:val="none" w:sz="0" w:space="0" w:color="auto"/>
            <w:left w:val="none" w:sz="0" w:space="0" w:color="auto"/>
            <w:bottom w:val="none" w:sz="0" w:space="0" w:color="auto"/>
            <w:right w:val="none" w:sz="0" w:space="0" w:color="auto"/>
          </w:divBdr>
        </w:div>
        <w:div w:id="1973291061">
          <w:marLeft w:val="0"/>
          <w:marRight w:val="0"/>
          <w:marTop w:val="0"/>
          <w:marBottom w:val="0"/>
          <w:divBdr>
            <w:top w:val="none" w:sz="0" w:space="0" w:color="auto"/>
            <w:left w:val="none" w:sz="0" w:space="0" w:color="auto"/>
            <w:bottom w:val="none" w:sz="0" w:space="0" w:color="auto"/>
            <w:right w:val="none" w:sz="0" w:space="0" w:color="auto"/>
          </w:divBdr>
        </w:div>
        <w:div w:id="2063557726">
          <w:marLeft w:val="0"/>
          <w:marRight w:val="0"/>
          <w:marTop w:val="0"/>
          <w:marBottom w:val="0"/>
          <w:divBdr>
            <w:top w:val="none" w:sz="0" w:space="0" w:color="auto"/>
            <w:left w:val="none" w:sz="0" w:space="0" w:color="auto"/>
            <w:bottom w:val="none" w:sz="0" w:space="0" w:color="auto"/>
            <w:right w:val="none" w:sz="0" w:space="0" w:color="auto"/>
          </w:divBdr>
        </w:div>
        <w:div w:id="2099061929">
          <w:marLeft w:val="0"/>
          <w:marRight w:val="0"/>
          <w:marTop w:val="0"/>
          <w:marBottom w:val="0"/>
          <w:divBdr>
            <w:top w:val="none" w:sz="0" w:space="0" w:color="auto"/>
            <w:left w:val="none" w:sz="0" w:space="0" w:color="auto"/>
            <w:bottom w:val="none" w:sz="0" w:space="0" w:color="auto"/>
            <w:right w:val="none" w:sz="0" w:space="0" w:color="auto"/>
          </w:divBdr>
        </w:div>
      </w:divsChild>
    </w:div>
    <w:div w:id="1026098045">
      <w:bodyDiv w:val="1"/>
      <w:marLeft w:val="0"/>
      <w:marRight w:val="0"/>
      <w:marTop w:val="0"/>
      <w:marBottom w:val="0"/>
      <w:divBdr>
        <w:top w:val="none" w:sz="0" w:space="0" w:color="auto"/>
        <w:left w:val="none" w:sz="0" w:space="0" w:color="auto"/>
        <w:bottom w:val="none" w:sz="0" w:space="0" w:color="auto"/>
        <w:right w:val="none" w:sz="0" w:space="0" w:color="auto"/>
      </w:divBdr>
    </w:div>
    <w:div w:id="1039818232">
      <w:bodyDiv w:val="1"/>
      <w:marLeft w:val="0"/>
      <w:marRight w:val="0"/>
      <w:marTop w:val="0"/>
      <w:marBottom w:val="0"/>
      <w:divBdr>
        <w:top w:val="none" w:sz="0" w:space="0" w:color="auto"/>
        <w:left w:val="none" w:sz="0" w:space="0" w:color="auto"/>
        <w:bottom w:val="none" w:sz="0" w:space="0" w:color="auto"/>
        <w:right w:val="none" w:sz="0" w:space="0" w:color="auto"/>
      </w:divBdr>
    </w:div>
    <w:div w:id="1044908475">
      <w:bodyDiv w:val="1"/>
      <w:marLeft w:val="0"/>
      <w:marRight w:val="0"/>
      <w:marTop w:val="0"/>
      <w:marBottom w:val="0"/>
      <w:divBdr>
        <w:top w:val="none" w:sz="0" w:space="0" w:color="auto"/>
        <w:left w:val="none" w:sz="0" w:space="0" w:color="auto"/>
        <w:bottom w:val="none" w:sz="0" w:space="0" w:color="auto"/>
        <w:right w:val="none" w:sz="0" w:space="0" w:color="auto"/>
      </w:divBdr>
    </w:div>
    <w:div w:id="1046221134">
      <w:bodyDiv w:val="1"/>
      <w:marLeft w:val="0"/>
      <w:marRight w:val="0"/>
      <w:marTop w:val="0"/>
      <w:marBottom w:val="0"/>
      <w:divBdr>
        <w:top w:val="none" w:sz="0" w:space="0" w:color="auto"/>
        <w:left w:val="none" w:sz="0" w:space="0" w:color="auto"/>
        <w:bottom w:val="none" w:sz="0" w:space="0" w:color="auto"/>
        <w:right w:val="none" w:sz="0" w:space="0" w:color="auto"/>
      </w:divBdr>
    </w:div>
    <w:div w:id="1050687492">
      <w:bodyDiv w:val="1"/>
      <w:marLeft w:val="0"/>
      <w:marRight w:val="0"/>
      <w:marTop w:val="0"/>
      <w:marBottom w:val="0"/>
      <w:divBdr>
        <w:top w:val="none" w:sz="0" w:space="0" w:color="auto"/>
        <w:left w:val="none" w:sz="0" w:space="0" w:color="auto"/>
        <w:bottom w:val="none" w:sz="0" w:space="0" w:color="auto"/>
        <w:right w:val="none" w:sz="0" w:space="0" w:color="auto"/>
      </w:divBdr>
      <w:divsChild>
        <w:div w:id="121001925">
          <w:marLeft w:val="0"/>
          <w:marRight w:val="0"/>
          <w:marTop w:val="0"/>
          <w:marBottom w:val="0"/>
          <w:divBdr>
            <w:top w:val="none" w:sz="0" w:space="0" w:color="auto"/>
            <w:left w:val="none" w:sz="0" w:space="0" w:color="auto"/>
            <w:bottom w:val="none" w:sz="0" w:space="0" w:color="auto"/>
            <w:right w:val="none" w:sz="0" w:space="0" w:color="auto"/>
          </w:divBdr>
        </w:div>
        <w:div w:id="551426126">
          <w:marLeft w:val="0"/>
          <w:marRight w:val="0"/>
          <w:marTop w:val="0"/>
          <w:marBottom w:val="0"/>
          <w:divBdr>
            <w:top w:val="none" w:sz="0" w:space="0" w:color="auto"/>
            <w:left w:val="none" w:sz="0" w:space="0" w:color="auto"/>
            <w:bottom w:val="none" w:sz="0" w:space="0" w:color="auto"/>
            <w:right w:val="none" w:sz="0" w:space="0" w:color="auto"/>
          </w:divBdr>
        </w:div>
        <w:div w:id="593444018">
          <w:marLeft w:val="0"/>
          <w:marRight w:val="0"/>
          <w:marTop w:val="0"/>
          <w:marBottom w:val="0"/>
          <w:divBdr>
            <w:top w:val="none" w:sz="0" w:space="0" w:color="auto"/>
            <w:left w:val="none" w:sz="0" w:space="0" w:color="auto"/>
            <w:bottom w:val="none" w:sz="0" w:space="0" w:color="auto"/>
            <w:right w:val="none" w:sz="0" w:space="0" w:color="auto"/>
          </w:divBdr>
        </w:div>
        <w:div w:id="838812323">
          <w:marLeft w:val="0"/>
          <w:marRight w:val="0"/>
          <w:marTop w:val="0"/>
          <w:marBottom w:val="0"/>
          <w:divBdr>
            <w:top w:val="none" w:sz="0" w:space="0" w:color="auto"/>
            <w:left w:val="none" w:sz="0" w:space="0" w:color="auto"/>
            <w:bottom w:val="none" w:sz="0" w:space="0" w:color="auto"/>
            <w:right w:val="none" w:sz="0" w:space="0" w:color="auto"/>
          </w:divBdr>
        </w:div>
        <w:div w:id="1170364827">
          <w:marLeft w:val="0"/>
          <w:marRight w:val="0"/>
          <w:marTop w:val="0"/>
          <w:marBottom w:val="0"/>
          <w:divBdr>
            <w:top w:val="none" w:sz="0" w:space="0" w:color="auto"/>
            <w:left w:val="none" w:sz="0" w:space="0" w:color="auto"/>
            <w:bottom w:val="none" w:sz="0" w:space="0" w:color="auto"/>
            <w:right w:val="none" w:sz="0" w:space="0" w:color="auto"/>
          </w:divBdr>
        </w:div>
        <w:div w:id="1953508974">
          <w:marLeft w:val="0"/>
          <w:marRight w:val="0"/>
          <w:marTop w:val="0"/>
          <w:marBottom w:val="0"/>
          <w:divBdr>
            <w:top w:val="none" w:sz="0" w:space="0" w:color="auto"/>
            <w:left w:val="none" w:sz="0" w:space="0" w:color="auto"/>
            <w:bottom w:val="none" w:sz="0" w:space="0" w:color="auto"/>
            <w:right w:val="none" w:sz="0" w:space="0" w:color="auto"/>
          </w:divBdr>
        </w:div>
        <w:div w:id="2094619482">
          <w:marLeft w:val="0"/>
          <w:marRight w:val="0"/>
          <w:marTop w:val="0"/>
          <w:marBottom w:val="0"/>
          <w:divBdr>
            <w:top w:val="none" w:sz="0" w:space="0" w:color="auto"/>
            <w:left w:val="none" w:sz="0" w:space="0" w:color="auto"/>
            <w:bottom w:val="none" w:sz="0" w:space="0" w:color="auto"/>
            <w:right w:val="none" w:sz="0" w:space="0" w:color="auto"/>
          </w:divBdr>
        </w:div>
      </w:divsChild>
    </w:div>
    <w:div w:id="1080755330">
      <w:bodyDiv w:val="1"/>
      <w:marLeft w:val="0"/>
      <w:marRight w:val="0"/>
      <w:marTop w:val="0"/>
      <w:marBottom w:val="0"/>
      <w:divBdr>
        <w:top w:val="none" w:sz="0" w:space="0" w:color="auto"/>
        <w:left w:val="none" w:sz="0" w:space="0" w:color="auto"/>
        <w:bottom w:val="none" w:sz="0" w:space="0" w:color="auto"/>
        <w:right w:val="none" w:sz="0" w:space="0" w:color="auto"/>
      </w:divBdr>
    </w:div>
    <w:div w:id="1083179989">
      <w:bodyDiv w:val="1"/>
      <w:marLeft w:val="0"/>
      <w:marRight w:val="0"/>
      <w:marTop w:val="0"/>
      <w:marBottom w:val="0"/>
      <w:divBdr>
        <w:top w:val="none" w:sz="0" w:space="0" w:color="auto"/>
        <w:left w:val="none" w:sz="0" w:space="0" w:color="auto"/>
        <w:bottom w:val="none" w:sz="0" w:space="0" w:color="auto"/>
        <w:right w:val="none" w:sz="0" w:space="0" w:color="auto"/>
      </w:divBdr>
      <w:divsChild>
        <w:div w:id="564607999">
          <w:marLeft w:val="0"/>
          <w:marRight w:val="0"/>
          <w:marTop w:val="0"/>
          <w:marBottom w:val="0"/>
          <w:divBdr>
            <w:top w:val="none" w:sz="0" w:space="0" w:color="auto"/>
            <w:left w:val="none" w:sz="0" w:space="0" w:color="auto"/>
            <w:bottom w:val="none" w:sz="0" w:space="0" w:color="auto"/>
            <w:right w:val="none" w:sz="0" w:space="0" w:color="auto"/>
          </w:divBdr>
        </w:div>
        <w:div w:id="698706416">
          <w:marLeft w:val="0"/>
          <w:marRight w:val="0"/>
          <w:marTop w:val="0"/>
          <w:marBottom w:val="0"/>
          <w:divBdr>
            <w:top w:val="none" w:sz="0" w:space="0" w:color="auto"/>
            <w:left w:val="none" w:sz="0" w:space="0" w:color="auto"/>
            <w:bottom w:val="none" w:sz="0" w:space="0" w:color="auto"/>
            <w:right w:val="none" w:sz="0" w:space="0" w:color="auto"/>
          </w:divBdr>
        </w:div>
        <w:div w:id="938148058">
          <w:marLeft w:val="0"/>
          <w:marRight w:val="0"/>
          <w:marTop w:val="0"/>
          <w:marBottom w:val="0"/>
          <w:divBdr>
            <w:top w:val="none" w:sz="0" w:space="0" w:color="auto"/>
            <w:left w:val="none" w:sz="0" w:space="0" w:color="auto"/>
            <w:bottom w:val="none" w:sz="0" w:space="0" w:color="auto"/>
            <w:right w:val="none" w:sz="0" w:space="0" w:color="auto"/>
          </w:divBdr>
        </w:div>
        <w:div w:id="1002049598">
          <w:marLeft w:val="0"/>
          <w:marRight w:val="0"/>
          <w:marTop w:val="0"/>
          <w:marBottom w:val="0"/>
          <w:divBdr>
            <w:top w:val="none" w:sz="0" w:space="0" w:color="auto"/>
            <w:left w:val="none" w:sz="0" w:space="0" w:color="auto"/>
            <w:bottom w:val="none" w:sz="0" w:space="0" w:color="auto"/>
            <w:right w:val="none" w:sz="0" w:space="0" w:color="auto"/>
          </w:divBdr>
        </w:div>
        <w:div w:id="1025597157">
          <w:marLeft w:val="0"/>
          <w:marRight w:val="0"/>
          <w:marTop w:val="0"/>
          <w:marBottom w:val="0"/>
          <w:divBdr>
            <w:top w:val="none" w:sz="0" w:space="0" w:color="auto"/>
            <w:left w:val="none" w:sz="0" w:space="0" w:color="auto"/>
            <w:bottom w:val="none" w:sz="0" w:space="0" w:color="auto"/>
            <w:right w:val="none" w:sz="0" w:space="0" w:color="auto"/>
          </w:divBdr>
        </w:div>
        <w:div w:id="1329089252">
          <w:marLeft w:val="0"/>
          <w:marRight w:val="0"/>
          <w:marTop w:val="0"/>
          <w:marBottom w:val="0"/>
          <w:divBdr>
            <w:top w:val="none" w:sz="0" w:space="0" w:color="auto"/>
            <w:left w:val="none" w:sz="0" w:space="0" w:color="auto"/>
            <w:bottom w:val="none" w:sz="0" w:space="0" w:color="auto"/>
            <w:right w:val="none" w:sz="0" w:space="0" w:color="auto"/>
          </w:divBdr>
        </w:div>
        <w:div w:id="1537037654">
          <w:marLeft w:val="0"/>
          <w:marRight w:val="0"/>
          <w:marTop w:val="0"/>
          <w:marBottom w:val="0"/>
          <w:divBdr>
            <w:top w:val="none" w:sz="0" w:space="0" w:color="auto"/>
            <w:left w:val="none" w:sz="0" w:space="0" w:color="auto"/>
            <w:bottom w:val="none" w:sz="0" w:space="0" w:color="auto"/>
            <w:right w:val="none" w:sz="0" w:space="0" w:color="auto"/>
          </w:divBdr>
        </w:div>
        <w:div w:id="1685017925">
          <w:marLeft w:val="0"/>
          <w:marRight w:val="0"/>
          <w:marTop w:val="0"/>
          <w:marBottom w:val="0"/>
          <w:divBdr>
            <w:top w:val="none" w:sz="0" w:space="0" w:color="auto"/>
            <w:left w:val="none" w:sz="0" w:space="0" w:color="auto"/>
            <w:bottom w:val="none" w:sz="0" w:space="0" w:color="auto"/>
            <w:right w:val="none" w:sz="0" w:space="0" w:color="auto"/>
          </w:divBdr>
        </w:div>
        <w:div w:id="2129272132">
          <w:marLeft w:val="0"/>
          <w:marRight w:val="0"/>
          <w:marTop w:val="0"/>
          <w:marBottom w:val="0"/>
          <w:divBdr>
            <w:top w:val="none" w:sz="0" w:space="0" w:color="auto"/>
            <w:left w:val="none" w:sz="0" w:space="0" w:color="auto"/>
            <w:bottom w:val="none" w:sz="0" w:space="0" w:color="auto"/>
            <w:right w:val="none" w:sz="0" w:space="0" w:color="auto"/>
          </w:divBdr>
        </w:div>
      </w:divsChild>
    </w:div>
    <w:div w:id="1091203117">
      <w:bodyDiv w:val="1"/>
      <w:marLeft w:val="0"/>
      <w:marRight w:val="0"/>
      <w:marTop w:val="0"/>
      <w:marBottom w:val="0"/>
      <w:divBdr>
        <w:top w:val="none" w:sz="0" w:space="0" w:color="auto"/>
        <w:left w:val="none" w:sz="0" w:space="0" w:color="auto"/>
        <w:bottom w:val="none" w:sz="0" w:space="0" w:color="auto"/>
        <w:right w:val="none" w:sz="0" w:space="0" w:color="auto"/>
      </w:divBdr>
    </w:div>
    <w:div w:id="1103110500">
      <w:bodyDiv w:val="1"/>
      <w:marLeft w:val="0"/>
      <w:marRight w:val="0"/>
      <w:marTop w:val="0"/>
      <w:marBottom w:val="0"/>
      <w:divBdr>
        <w:top w:val="none" w:sz="0" w:space="0" w:color="auto"/>
        <w:left w:val="none" w:sz="0" w:space="0" w:color="auto"/>
        <w:bottom w:val="none" w:sz="0" w:space="0" w:color="auto"/>
        <w:right w:val="none" w:sz="0" w:space="0" w:color="auto"/>
      </w:divBdr>
      <w:divsChild>
        <w:div w:id="17318460">
          <w:marLeft w:val="0"/>
          <w:marRight w:val="0"/>
          <w:marTop w:val="0"/>
          <w:marBottom w:val="0"/>
          <w:divBdr>
            <w:top w:val="none" w:sz="0" w:space="0" w:color="auto"/>
            <w:left w:val="none" w:sz="0" w:space="0" w:color="auto"/>
            <w:bottom w:val="none" w:sz="0" w:space="0" w:color="auto"/>
            <w:right w:val="none" w:sz="0" w:space="0" w:color="auto"/>
          </w:divBdr>
        </w:div>
        <w:div w:id="65304553">
          <w:marLeft w:val="0"/>
          <w:marRight w:val="0"/>
          <w:marTop w:val="0"/>
          <w:marBottom w:val="0"/>
          <w:divBdr>
            <w:top w:val="none" w:sz="0" w:space="0" w:color="auto"/>
            <w:left w:val="none" w:sz="0" w:space="0" w:color="auto"/>
            <w:bottom w:val="none" w:sz="0" w:space="0" w:color="auto"/>
            <w:right w:val="none" w:sz="0" w:space="0" w:color="auto"/>
          </w:divBdr>
        </w:div>
        <w:div w:id="620258612">
          <w:marLeft w:val="0"/>
          <w:marRight w:val="0"/>
          <w:marTop w:val="0"/>
          <w:marBottom w:val="0"/>
          <w:divBdr>
            <w:top w:val="none" w:sz="0" w:space="0" w:color="auto"/>
            <w:left w:val="none" w:sz="0" w:space="0" w:color="auto"/>
            <w:bottom w:val="none" w:sz="0" w:space="0" w:color="auto"/>
            <w:right w:val="none" w:sz="0" w:space="0" w:color="auto"/>
          </w:divBdr>
        </w:div>
        <w:div w:id="711343884">
          <w:marLeft w:val="0"/>
          <w:marRight w:val="0"/>
          <w:marTop w:val="0"/>
          <w:marBottom w:val="0"/>
          <w:divBdr>
            <w:top w:val="none" w:sz="0" w:space="0" w:color="auto"/>
            <w:left w:val="none" w:sz="0" w:space="0" w:color="auto"/>
            <w:bottom w:val="none" w:sz="0" w:space="0" w:color="auto"/>
            <w:right w:val="none" w:sz="0" w:space="0" w:color="auto"/>
          </w:divBdr>
        </w:div>
        <w:div w:id="786003971">
          <w:marLeft w:val="0"/>
          <w:marRight w:val="0"/>
          <w:marTop w:val="0"/>
          <w:marBottom w:val="0"/>
          <w:divBdr>
            <w:top w:val="none" w:sz="0" w:space="0" w:color="auto"/>
            <w:left w:val="none" w:sz="0" w:space="0" w:color="auto"/>
            <w:bottom w:val="none" w:sz="0" w:space="0" w:color="auto"/>
            <w:right w:val="none" w:sz="0" w:space="0" w:color="auto"/>
          </w:divBdr>
        </w:div>
        <w:div w:id="1268196434">
          <w:marLeft w:val="0"/>
          <w:marRight w:val="0"/>
          <w:marTop w:val="0"/>
          <w:marBottom w:val="0"/>
          <w:divBdr>
            <w:top w:val="none" w:sz="0" w:space="0" w:color="auto"/>
            <w:left w:val="none" w:sz="0" w:space="0" w:color="auto"/>
            <w:bottom w:val="none" w:sz="0" w:space="0" w:color="auto"/>
            <w:right w:val="none" w:sz="0" w:space="0" w:color="auto"/>
          </w:divBdr>
        </w:div>
        <w:div w:id="2107144000">
          <w:marLeft w:val="0"/>
          <w:marRight w:val="0"/>
          <w:marTop w:val="0"/>
          <w:marBottom w:val="0"/>
          <w:divBdr>
            <w:top w:val="none" w:sz="0" w:space="0" w:color="auto"/>
            <w:left w:val="none" w:sz="0" w:space="0" w:color="auto"/>
            <w:bottom w:val="none" w:sz="0" w:space="0" w:color="auto"/>
            <w:right w:val="none" w:sz="0" w:space="0" w:color="auto"/>
          </w:divBdr>
        </w:div>
        <w:div w:id="2137985756">
          <w:marLeft w:val="0"/>
          <w:marRight w:val="0"/>
          <w:marTop w:val="0"/>
          <w:marBottom w:val="0"/>
          <w:divBdr>
            <w:top w:val="none" w:sz="0" w:space="0" w:color="auto"/>
            <w:left w:val="none" w:sz="0" w:space="0" w:color="auto"/>
            <w:bottom w:val="none" w:sz="0" w:space="0" w:color="auto"/>
            <w:right w:val="none" w:sz="0" w:space="0" w:color="auto"/>
          </w:divBdr>
        </w:div>
      </w:divsChild>
    </w:div>
    <w:div w:id="1120564866">
      <w:bodyDiv w:val="1"/>
      <w:marLeft w:val="0"/>
      <w:marRight w:val="0"/>
      <w:marTop w:val="0"/>
      <w:marBottom w:val="0"/>
      <w:divBdr>
        <w:top w:val="none" w:sz="0" w:space="0" w:color="auto"/>
        <w:left w:val="none" w:sz="0" w:space="0" w:color="auto"/>
        <w:bottom w:val="none" w:sz="0" w:space="0" w:color="auto"/>
        <w:right w:val="none" w:sz="0" w:space="0" w:color="auto"/>
      </w:divBdr>
    </w:div>
    <w:div w:id="1128741340">
      <w:bodyDiv w:val="1"/>
      <w:marLeft w:val="0"/>
      <w:marRight w:val="0"/>
      <w:marTop w:val="0"/>
      <w:marBottom w:val="0"/>
      <w:divBdr>
        <w:top w:val="none" w:sz="0" w:space="0" w:color="auto"/>
        <w:left w:val="none" w:sz="0" w:space="0" w:color="auto"/>
        <w:bottom w:val="none" w:sz="0" w:space="0" w:color="auto"/>
        <w:right w:val="none" w:sz="0" w:space="0" w:color="auto"/>
      </w:divBdr>
    </w:div>
    <w:div w:id="1128822029">
      <w:bodyDiv w:val="1"/>
      <w:marLeft w:val="0"/>
      <w:marRight w:val="0"/>
      <w:marTop w:val="0"/>
      <w:marBottom w:val="0"/>
      <w:divBdr>
        <w:top w:val="none" w:sz="0" w:space="0" w:color="auto"/>
        <w:left w:val="none" w:sz="0" w:space="0" w:color="auto"/>
        <w:bottom w:val="none" w:sz="0" w:space="0" w:color="auto"/>
        <w:right w:val="none" w:sz="0" w:space="0" w:color="auto"/>
      </w:divBdr>
    </w:div>
    <w:div w:id="1143473531">
      <w:bodyDiv w:val="1"/>
      <w:marLeft w:val="0"/>
      <w:marRight w:val="0"/>
      <w:marTop w:val="0"/>
      <w:marBottom w:val="0"/>
      <w:divBdr>
        <w:top w:val="none" w:sz="0" w:space="0" w:color="auto"/>
        <w:left w:val="none" w:sz="0" w:space="0" w:color="auto"/>
        <w:bottom w:val="none" w:sz="0" w:space="0" w:color="auto"/>
        <w:right w:val="none" w:sz="0" w:space="0" w:color="auto"/>
      </w:divBdr>
    </w:div>
    <w:div w:id="1145470785">
      <w:bodyDiv w:val="1"/>
      <w:marLeft w:val="0"/>
      <w:marRight w:val="0"/>
      <w:marTop w:val="0"/>
      <w:marBottom w:val="0"/>
      <w:divBdr>
        <w:top w:val="none" w:sz="0" w:space="0" w:color="auto"/>
        <w:left w:val="none" w:sz="0" w:space="0" w:color="auto"/>
        <w:bottom w:val="none" w:sz="0" w:space="0" w:color="auto"/>
        <w:right w:val="none" w:sz="0" w:space="0" w:color="auto"/>
      </w:divBdr>
      <w:divsChild>
        <w:div w:id="105974473">
          <w:marLeft w:val="0"/>
          <w:marRight w:val="0"/>
          <w:marTop w:val="0"/>
          <w:marBottom w:val="0"/>
          <w:divBdr>
            <w:top w:val="none" w:sz="0" w:space="0" w:color="auto"/>
            <w:left w:val="none" w:sz="0" w:space="0" w:color="auto"/>
            <w:bottom w:val="none" w:sz="0" w:space="0" w:color="auto"/>
            <w:right w:val="none" w:sz="0" w:space="0" w:color="auto"/>
          </w:divBdr>
        </w:div>
        <w:div w:id="334916784">
          <w:marLeft w:val="0"/>
          <w:marRight w:val="0"/>
          <w:marTop w:val="0"/>
          <w:marBottom w:val="0"/>
          <w:divBdr>
            <w:top w:val="none" w:sz="0" w:space="0" w:color="auto"/>
            <w:left w:val="none" w:sz="0" w:space="0" w:color="auto"/>
            <w:bottom w:val="none" w:sz="0" w:space="0" w:color="auto"/>
            <w:right w:val="none" w:sz="0" w:space="0" w:color="auto"/>
          </w:divBdr>
        </w:div>
        <w:div w:id="364986310">
          <w:marLeft w:val="0"/>
          <w:marRight w:val="0"/>
          <w:marTop w:val="0"/>
          <w:marBottom w:val="0"/>
          <w:divBdr>
            <w:top w:val="none" w:sz="0" w:space="0" w:color="auto"/>
            <w:left w:val="none" w:sz="0" w:space="0" w:color="auto"/>
            <w:bottom w:val="none" w:sz="0" w:space="0" w:color="auto"/>
            <w:right w:val="none" w:sz="0" w:space="0" w:color="auto"/>
          </w:divBdr>
        </w:div>
        <w:div w:id="430904778">
          <w:marLeft w:val="0"/>
          <w:marRight w:val="0"/>
          <w:marTop w:val="0"/>
          <w:marBottom w:val="0"/>
          <w:divBdr>
            <w:top w:val="none" w:sz="0" w:space="0" w:color="auto"/>
            <w:left w:val="none" w:sz="0" w:space="0" w:color="auto"/>
            <w:bottom w:val="none" w:sz="0" w:space="0" w:color="auto"/>
            <w:right w:val="none" w:sz="0" w:space="0" w:color="auto"/>
          </w:divBdr>
        </w:div>
        <w:div w:id="449596036">
          <w:marLeft w:val="0"/>
          <w:marRight w:val="0"/>
          <w:marTop w:val="0"/>
          <w:marBottom w:val="0"/>
          <w:divBdr>
            <w:top w:val="none" w:sz="0" w:space="0" w:color="auto"/>
            <w:left w:val="none" w:sz="0" w:space="0" w:color="auto"/>
            <w:bottom w:val="none" w:sz="0" w:space="0" w:color="auto"/>
            <w:right w:val="none" w:sz="0" w:space="0" w:color="auto"/>
          </w:divBdr>
        </w:div>
        <w:div w:id="1082218860">
          <w:marLeft w:val="0"/>
          <w:marRight w:val="0"/>
          <w:marTop w:val="0"/>
          <w:marBottom w:val="0"/>
          <w:divBdr>
            <w:top w:val="none" w:sz="0" w:space="0" w:color="auto"/>
            <w:left w:val="none" w:sz="0" w:space="0" w:color="auto"/>
            <w:bottom w:val="none" w:sz="0" w:space="0" w:color="auto"/>
            <w:right w:val="none" w:sz="0" w:space="0" w:color="auto"/>
          </w:divBdr>
        </w:div>
        <w:div w:id="1434521739">
          <w:marLeft w:val="0"/>
          <w:marRight w:val="0"/>
          <w:marTop w:val="0"/>
          <w:marBottom w:val="0"/>
          <w:divBdr>
            <w:top w:val="none" w:sz="0" w:space="0" w:color="auto"/>
            <w:left w:val="none" w:sz="0" w:space="0" w:color="auto"/>
            <w:bottom w:val="none" w:sz="0" w:space="0" w:color="auto"/>
            <w:right w:val="none" w:sz="0" w:space="0" w:color="auto"/>
          </w:divBdr>
        </w:div>
        <w:div w:id="1467505350">
          <w:marLeft w:val="0"/>
          <w:marRight w:val="0"/>
          <w:marTop w:val="0"/>
          <w:marBottom w:val="0"/>
          <w:divBdr>
            <w:top w:val="none" w:sz="0" w:space="0" w:color="auto"/>
            <w:left w:val="none" w:sz="0" w:space="0" w:color="auto"/>
            <w:bottom w:val="none" w:sz="0" w:space="0" w:color="auto"/>
            <w:right w:val="none" w:sz="0" w:space="0" w:color="auto"/>
          </w:divBdr>
        </w:div>
        <w:div w:id="1624456527">
          <w:marLeft w:val="0"/>
          <w:marRight w:val="0"/>
          <w:marTop w:val="0"/>
          <w:marBottom w:val="0"/>
          <w:divBdr>
            <w:top w:val="none" w:sz="0" w:space="0" w:color="auto"/>
            <w:left w:val="none" w:sz="0" w:space="0" w:color="auto"/>
            <w:bottom w:val="none" w:sz="0" w:space="0" w:color="auto"/>
            <w:right w:val="none" w:sz="0" w:space="0" w:color="auto"/>
          </w:divBdr>
        </w:div>
        <w:div w:id="1939487991">
          <w:marLeft w:val="0"/>
          <w:marRight w:val="0"/>
          <w:marTop w:val="0"/>
          <w:marBottom w:val="0"/>
          <w:divBdr>
            <w:top w:val="none" w:sz="0" w:space="0" w:color="auto"/>
            <w:left w:val="none" w:sz="0" w:space="0" w:color="auto"/>
            <w:bottom w:val="none" w:sz="0" w:space="0" w:color="auto"/>
            <w:right w:val="none" w:sz="0" w:space="0" w:color="auto"/>
          </w:divBdr>
        </w:div>
      </w:divsChild>
    </w:div>
    <w:div w:id="1145970629">
      <w:bodyDiv w:val="1"/>
      <w:marLeft w:val="0"/>
      <w:marRight w:val="0"/>
      <w:marTop w:val="0"/>
      <w:marBottom w:val="0"/>
      <w:divBdr>
        <w:top w:val="none" w:sz="0" w:space="0" w:color="auto"/>
        <w:left w:val="none" w:sz="0" w:space="0" w:color="auto"/>
        <w:bottom w:val="none" w:sz="0" w:space="0" w:color="auto"/>
        <w:right w:val="none" w:sz="0" w:space="0" w:color="auto"/>
      </w:divBdr>
      <w:divsChild>
        <w:div w:id="389499508">
          <w:marLeft w:val="0"/>
          <w:marRight w:val="0"/>
          <w:marTop w:val="0"/>
          <w:marBottom w:val="0"/>
          <w:divBdr>
            <w:top w:val="none" w:sz="0" w:space="0" w:color="auto"/>
            <w:left w:val="none" w:sz="0" w:space="0" w:color="auto"/>
            <w:bottom w:val="none" w:sz="0" w:space="0" w:color="auto"/>
            <w:right w:val="none" w:sz="0" w:space="0" w:color="auto"/>
          </w:divBdr>
        </w:div>
        <w:div w:id="492765297">
          <w:marLeft w:val="0"/>
          <w:marRight w:val="0"/>
          <w:marTop w:val="0"/>
          <w:marBottom w:val="0"/>
          <w:divBdr>
            <w:top w:val="none" w:sz="0" w:space="0" w:color="auto"/>
            <w:left w:val="none" w:sz="0" w:space="0" w:color="auto"/>
            <w:bottom w:val="none" w:sz="0" w:space="0" w:color="auto"/>
            <w:right w:val="none" w:sz="0" w:space="0" w:color="auto"/>
          </w:divBdr>
        </w:div>
        <w:div w:id="981271409">
          <w:marLeft w:val="0"/>
          <w:marRight w:val="0"/>
          <w:marTop w:val="0"/>
          <w:marBottom w:val="0"/>
          <w:divBdr>
            <w:top w:val="none" w:sz="0" w:space="0" w:color="auto"/>
            <w:left w:val="none" w:sz="0" w:space="0" w:color="auto"/>
            <w:bottom w:val="none" w:sz="0" w:space="0" w:color="auto"/>
            <w:right w:val="none" w:sz="0" w:space="0" w:color="auto"/>
          </w:divBdr>
        </w:div>
        <w:div w:id="1423381791">
          <w:marLeft w:val="0"/>
          <w:marRight w:val="0"/>
          <w:marTop w:val="0"/>
          <w:marBottom w:val="0"/>
          <w:divBdr>
            <w:top w:val="none" w:sz="0" w:space="0" w:color="auto"/>
            <w:left w:val="none" w:sz="0" w:space="0" w:color="auto"/>
            <w:bottom w:val="none" w:sz="0" w:space="0" w:color="auto"/>
            <w:right w:val="none" w:sz="0" w:space="0" w:color="auto"/>
          </w:divBdr>
        </w:div>
        <w:div w:id="1688946851">
          <w:marLeft w:val="0"/>
          <w:marRight w:val="0"/>
          <w:marTop w:val="0"/>
          <w:marBottom w:val="0"/>
          <w:divBdr>
            <w:top w:val="none" w:sz="0" w:space="0" w:color="auto"/>
            <w:left w:val="none" w:sz="0" w:space="0" w:color="auto"/>
            <w:bottom w:val="none" w:sz="0" w:space="0" w:color="auto"/>
            <w:right w:val="none" w:sz="0" w:space="0" w:color="auto"/>
          </w:divBdr>
        </w:div>
        <w:div w:id="2078241934">
          <w:marLeft w:val="0"/>
          <w:marRight w:val="0"/>
          <w:marTop w:val="0"/>
          <w:marBottom w:val="0"/>
          <w:divBdr>
            <w:top w:val="none" w:sz="0" w:space="0" w:color="auto"/>
            <w:left w:val="none" w:sz="0" w:space="0" w:color="auto"/>
            <w:bottom w:val="none" w:sz="0" w:space="0" w:color="auto"/>
            <w:right w:val="none" w:sz="0" w:space="0" w:color="auto"/>
          </w:divBdr>
        </w:div>
      </w:divsChild>
    </w:div>
    <w:div w:id="1146972834">
      <w:bodyDiv w:val="1"/>
      <w:marLeft w:val="0"/>
      <w:marRight w:val="0"/>
      <w:marTop w:val="0"/>
      <w:marBottom w:val="0"/>
      <w:divBdr>
        <w:top w:val="none" w:sz="0" w:space="0" w:color="auto"/>
        <w:left w:val="none" w:sz="0" w:space="0" w:color="auto"/>
        <w:bottom w:val="none" w:sz="0" w:space="0" w:color="auto"/>
        <w:right w:val="none" w:sz="0" w:space="0" w:color="auto"/>
      </w:divBdr>
      <w:divsChild>
        <w:div w:id="57442269">
          <w:marLeft w:val="0"/>
          <w:marRight w:val="0"/>
          <w:marTop w:val="0"/>
          <w:marBottom w:val="0"/>
          <w:divBdr>
            <w:top w:val="none" w:sz="0" w:space="0" w:color="auto"/>
            <w:left w:val="none" w:sz="0" w:space="0" w:color="auto"/>
            <w:bottom w:val="none" w:sz="0" w:space="0" w:color="auto"/>
            <w:right w:val="none" w:sz="0" w:space="0" w:color="auto"/>
          </w:divBdr>
        </w:div>
        <w:div w:id="139929691">
          <w:marLeft w:val="0"/>
          <w:marRight w:val="0"/>
          <w:marTop w:val="0"/>
          <w:marBottom w:val="0"/>
          <w:divBdr>
            <w:top w:val="none" w:sz="0" w:space="0" w:color="auto"/>
            <w:left w:val="none" w:sz="0" w:space="0" w:color="auto"/>
            <w:bottom w:val="none" w:sz="0" w:space="0" w:color="auto"/>
            <w:right w:val="none" w:sz="0" w:space="0" w:color="auto"/>
          </w:divBdr>
        </w:div>
        <w:div w:id="234828766">
          <w:marLeft w:val="0"/>
          <w:marRight w:val="0"/>
          <w:marTop w:val="0"/>
          <w:marBottom w:val="0"/>
          <w:divBdr>
            <w:top w:val="none" w:sz="0" w:space="0" w:color="auto"/>
            <w:left w:val="none" w:sz="0" w:space="0" w:color="auto"/>
            <w:bottom w:val="none" w:sz="0" w:space="0" w:color="auto"/>
            <w:right w:val="none" w:sz="0" w:space="0" w:color="auto"/>
          </w:divBdr>
        </w:div>
        <w:div w:id="862010908">
          <w:marLeft w:val="0"/>
          <w:marRight w:val="0"/>
          <w:marTop w:val="0"/>
          <w:marBottom w:val="0"/>
          <w:divBdr>
            <w:top w:val="none" w:sz="0" w:space="0" w:color="auto"/>
            <w:left w:val="none" w:sz="0" w:space="0" w:color="auto"/>
            <w:bottom w:val="none" w:sz="0" w:space="0" w:color="auto"/>
            <w:right w:val="none" w:sz="0" w:space="0" w:color="auto"/>
          </w:divBdr>
        </w:div>
        <w:div w:id="956717419">
          <w:marLeft w:val="0"/>
          <w:marRight w:val="0"/>
          <w:marTop w:val="0"/>
          <w:marBottom w:val="0"/>
          <w:divBdr>
            <w:top w:val="none" w:sz="0" w:space="0" w:color="auto"/>
            <w:left w:val="none" w:sz="0" w:space="0" w:color="auto"/>
            <w:bottom w:val="none" w:sz="0" w:space="0" w:color="auto"/>
            <w:right w:val="none" w:sz="0" w:space="0" w:color="auto"/>
          </w:divBdr>
        </w:div>
        <w:div w:id="973288225">
          <w:marLeft w:val="0"/>
          <w:marRight w:val="0"/>
          <w:marTop w:val="0"/>
          <w:marBottom w:val="0"/>
          <w:divBdr>
            <w:top w:val="none" w:sz="0" w:space="0" w:color="auto"/>
            <w:left w:val="none" w:sz="0" w:space="0" w:color="auto"/>
            <w:bottom w:val="none" w:sz="0" w:space="0" w:color="auto"/>
            <w:right w:val="none" w:sz="0" w:space="0" w:color="auto"/>
          </w:divBdr>
        </w:div>
        <w:div w:id="1002047540">
          <w:marLeft w:val="0"/>
          <w:marRight w:val="0"/>
          <w:marTop w:val="0"/>
          <w:marBottom w:val="0"/>
          <w:divBdr>
            <w:top w:val="none" w:sz="0" w:space="0" w:color="auto"/>
            <w:left w:val="none" w:sz="0" w:space="0" w:color="auto"/>
            <w:bottom w:val="none" w:sz="0" w:space="0" w:color="auto"/>
            <w:right w:val="none" w:sz="0" w:space="0" w:color="auto"/>
          </w:divBdr>
        </w:div>
        <w:div w:id="1176991857">
          <w:marLeft w:val="0"/>
          <w:marRight w:val="0"/>
          <w:marTop w:val="0"/>
          <w:marBottom w:val="0"/>
          <w:divBdr>
            <w:top w:val="none" w:sz="0" w:space="0" w:color="auto"/>
            <w:left w:val="none" w:sz="0" w:space="0" w:color="auto"/>
            <w:bottom w:val="none" w:sz="0" w:space="0" w:color="auto"/>
            <w:right w:val="none" w:sz="0" w:space="0" w:color="auto"/>
          </w:divBdr>
        </w:div>
        <w:div w:id="1447693822">
          <w:marLeft w:val="0"/>
          <w:marRight w:val="0"/>
          <w:marTop w:val="0"/>
          <w:marBottom w:val="0"/>
          <w:divBdr>
            <w:top w:val="none" w:sz="0" w:space="0" w:color="auto"/>
            <w:left w:val="none" w:sz="0" w:space="0" w:color="auto"/>
            <w:bottom w:val="none" w:sz="0" w:space="0" w:color="auto"/>
            <w:right w:val="none" w:sz="0" w:space="0" w:color="auto"/>
          </w:divBdr>
        </w:div>
        <w:div w:id="1863396282">
          <w:marLeft w:val="0"/>
          <w:marRight w:val="0"/>
          <w:marTop w:val="0"/>
          <w:marBottom w:val="0"/>
          <w:divBdr>
            <w:top w:val="none" w:sz="0" w:space="0" w:color="auto"/>
            <w:left w:val="none" w:sz="0" w:space="0" w:color="auto"/>
            <w:bottom w:val="none" w:sz="0" w:space="0" w:color="auto"/>
            <w:right w:val="none" w:sz="0" w:space="0" w:color="auto"/>
          </w:divBdr>
        </w:div>
        <w:div w:id="2029288605">
          <w:marLeft w:val="0"/>
          <w:marRight w:val="0"/>
          <w:marTop w:val="0"/>
          <w:marBottom w:val="0"/>
          <w:divBdr>
            <w:top w:val="none" w:sz="0" w:space="0" w:color="auto"/>
            <w:left w:val="none" w:sz="0" w:space="0" w:color="auto"/>
            <w:bottom w:val="none" w:sz="0" w:space="0" w:color="auto"/>
            <w:right w:val="none" w:sz="0" w:space="0" w:color="auto"/>
          </w:divBdr>
        </w:div>
      </w:divsChild>
    </w:div>
    <w:div w:id="1174615736">
      <w:bodyDiv w:val="1"/>
      <w:marLeft w:val="0"/>
      <w:marRight w:val="0"/>
      <w:marTop w:val="0"/>
      <w:marBottom w:val="0"/>
      <w:divBdr>
        <w:top w:val="none" w:sz="0" w:space="0" w:color="auto"/>
        <w:left w:val="none" w:sz="0" w:space="0" w:color="auto"/>
        <w:bottom w:val="none" w:sz="0" w:space="0" w:color="auto"/>
        <w:right w:val="none" w:sz="0" w:space="0" w:color="auto"/>
      </w:divBdr>
    </w:div>
    <w:div w:id="1183207226">
      <w:bodyDiv w:val="1"/>
      <w:marLeft w:val="0"/>
      <w:marRight w:val="0"/>
      <w:marTop w:val="0"/>
      <w:marBottom w:val="0"/>
      <w:divBdr>
        <w:top w:val="none" w:sz="0" w:space="0" w:color="auto"/>
        <w:left w:val="none" w:sz="0" w:space="0" w:color="auto"/>
        <w:bottom w:val="none" w:sz="0" w:space="0" w:color="auto"/>
        <w:right w:val="none" w:sz="0" w:space="0" w:color="auto"/>
      </w:divBdr>
    </w:div>
    <w:div w:id="1198393382">
      <w:bodyDiv w:val="1"/>
      <w:marLeft w:val="0"/>
      <w:marRight w:val="0"/>
      <w:marTop w:val="0"/>
      <w:marBottom w:val="0"/>
      <w:divBdr>
        <w:top w:val="none" w:sz="0" w:space="0" w:color="auto"/>
        <w:left w:val="none" w:sz="0" w:space="0" w:color="auto"/>
        <w:bottom w:val="none" w:sz="0" w:space="0" w:color="auto"/>
        <w:right w:val="none" w:sz="0" w:space="0" w:color="auto"/>
      </w:divBdr>
    </w:div>
    <w:div w:id="1215847604">
      <w:bodyDiv w:val="1"/>
      <w:marLeft w:val="0"/>
      <w:marRight w:val="0"/>
      <w:marTop w:val="0"/>
      <w:marBottom w:val="0"/>
      <w:divBdr>
        <w:top w:val="none" w:sz="0" w:space="0" w:color="auto"/>
        <w:left w:val="none" w:sz="0" w:space="0" w:color="auto"/>
        <w:bottom w:val="none" w:sz="0" w:space="0" w:color="auto"/>
        <w:right w:val="none" w:sz="0" w:space="0" w:color="auto"/>
      </w:divBdr>
    </w:div>
    <w:div w:id="1220048013">
      <w:bodyDiv w:val="1"/>
      <w:marLeft w:val="0"/>
      <w:marRight w:val="0"/>
      <w:marTop w:val="0"/>
      <w:marBottom w:val="0"/>
      <w:divBdr>
        <w:top w:val="none" w:sz="0" w:space="0" w:color="auto"/>
        <w:left w:val="none" w:sz="0" w:space="0" w:color="auto"/>
        <w:bottom w:val="none" w:sz="0" w:space="0" w:color="auto"/>
        <w:right w:val="none" w:sz="0" w:space="0" w:color="auto"/>
      </w:divBdr>
    </w:div>
    <w:div w:id="1271863361">
      <w:bodyDiv w:val="1"/>
      <w:marLeft w:val="0"/>
      <w:marRight w:val="0"/>
      <w:marTop w:val="0"/>
      <w:marBottom w:val="0"/>
      <w:divBdr>
        <w:top w:val="none" w:sz="0" w:space="0" w:color="auto"/>
        <w:left w:val="none" w:sz="0" w:space="0" w:color="auto"/>
        <w:bottom w:val="none" w:sz="0" w:space="0" w:color="auto"/>
        <w:right w:val="none" w:sz="0" w:space="0" w:color="auto"/>
      </w:divBdr>
    </w:div>
    <w:div w:id="1273827237">
      <w:bodyDiv w:val="1"/>
      <w:marLeft w:val="0"/>
      <w:marRight w:val="0"/>
      <w:marTop w:val="0"/>
      <w:marBottom w:val="0"/>
      <w:divBdr>
        <w:top w:val="none" w:sz="0" w:space="0" w:color="auto"/>
        <w:left w:val="none" w:sz="0" w:space="0" w:color="auto"/>
        <w:bottom w:val="none" w:sz="0" w:space="0" w:color="auto"/>
        <w:right w:val="none" w:sz="0" w:space="0" w:color="auto"/>
      </w:divBdr>
    </w:div>
    <w:div w:id="1277248564">
      <w:bodyDiv w:val="1"/>
      <w:marLeft w:val="0"/>
      <w:marRight w:val="0"/>
      <w:marTop w:val="0"/>
      <w:marBottom w:val="0"/>
      <w:divBdr>
        <w:top w:val="none" w:sz="0" w:space="0" w:color="auto"/>
        <w:left w:val="none" w:sz="0" w:space="0" w:color="auto"/>
        <w:bottom w:val="none" w:sz="0" w:space="0" w:color="auto"/>
        <w:right w:val="none" w:sz="0" w:space="0" w:color="auto"/>
      </w:divBdr>
    </w:div>
    <w:div w:id="1286428089">
      <w:bodyDiv w:val="1"/>
      <w:marLeft w:val="0"/>
      <w:marRight w:val="0"/>
      <w:marTop w:val="0"/>
      <w:marBottom w:val="0"/>
      <w:divBdr>
        <w:top w:val="none" w:sz="0" w:space="0" w:color="auto"/>
        <w:left w:val="none" w:sz="0" w:space="0" w:color="auto"/>
        <w:bottom w:val="none" w:sz="0" w:space="0" w:color="auto"/>
        <w:right w:val="none" w:sz="0" w:space="0" w:color="auto"/>
      </w:divBdr>
    </w:div>
    <w:div w:id="1289436222">
      <w:bodyDiv w:val="1"/>
      <w:marLeft w:val="0"/>
      <w:marRight w:val="0"/>
      <w:marTop w:val="0"/>
      <w:marBottom w:val="0"/>
      <w:divBdr>
        <w:top w:val="none" w:sz="0" w:space="0" w:color="auto"/>
        <w:left w:val="none" w:sz="0" w:space="0" w:color="auto"/>
        <w:bottom w:val="none" w:sz="0" w:space="0" w:color="auto"/>
        <w:right w:val="none" w:sz="0" w:space="0" w:color="auto"/>
      </w:divBdr>
    </w:div>
    <w:div w:id="1295408287">
      <w:bodyDiv w:val="1"/>
      <w:marLeft w:val="0"/>
      <w:marRight w:val="0"/>
      <w:marTop w:val="0"/>
      <w:marBottom w:val="0"/>
      <w:divBdr>
        <w:top w:val="none" w:sz="0" w:space="0" w:color="auto"/>
        <w:left w:val="none" w:sz="0" w:space="0" w:color="auto"/>
        <w:bottom w:val="none" w:sz="0" w:space="0" w:color="auto"/>
        <w:right w:val="none" w:sz="0" w:space="0" w:color="auto"/>
      </w:divBdr>
      <w:divsChild>
        <w:div w:id="64961944">
          <w:marLeft w:val="0"/>
          <w:marRight w:val="0"/>
          <w:marTop w:val="0"/>
          <w:marBottom w:val="0"/>
          <w:divBdr>
            <w:top w:val="none" w:sz="0" w:space="0" w:color="auto"/>
            <w:left w:val="none" w:sz="0" w:space="0" w:color="auto"/>
            <w:bottom w:val="none" w:sz="0" w:space="0" w:color="auto"/>
            <w:right w:val="none" w:sz="0" w:space="0" w:color="auto"/>
          </w:divBdr>
        </w:div>
        <w:div w:id="105538883">
          <w:marLeft w:val="0"/>
          <w:marRight w:val="0"/>
          <w:marTop w:val="0"/>
          <w:marBottom w:val="0"/>
          <w:divBdr>
            <w:top w:val="none" w:sz="0" w:space="0" w:color="auto"/>
            <w:left w:val="none" w:sz="0" w:space="0" w:color="auto"/>
            <w:bottom w:val="none" w:sz="0" w:space="0" w:color="auto"/>
            <w:right w:val="none" w:sz="0" w:space="0" w:color="auto"/>
          </w:divBdr>
        </w:div>
        <w:div w:id="136143347">
          <w:marLeft w:val="0"/>
          <w:marRight w:val="0"/>
          <w:marTop w:val="0"/>
          <w:marBottom w:val="0"/>
          <w:divBdr>
            <w:top w:val="none" w:sz="0" w:space="0" w:color="auto"/>
            <w:left w:val="none" w:sz="0" w:space="0" w:color="auto"/>
            <w:bottom w:val="none" w:sz="0" w:space="0" w:color="auto"/>
            <w:right w:val="none" w:sz="0" w:space="0" w:color="auto"/>
          </w:divBdr>
        </w:div>
        <w:div w:id="218127622">
          <w:marLeft w:val="0"/>
          <w:marRight w:val="0"/>
          <w:marTop w:val="0"/>
          <w:marBottom w:val="0"/>
          <w:divBdr>
            <w:top w:val="none" w:sz="0" w:space="0" w:color="auto"/>
            <w:left w:val="none" w:sz="0" w:space="0" w:color="auto"/>
            <w:bottom w:val="none" w:sz="0" w:space="0" w:color="auto"/>
            <w:right w:val="none" w:sz="0" w:space="0" w:color="auto"/>
          </w:divBdr>
        </w:div>
        <w:div w:id="246891073">
          <w:marLeft w:val="0"/>
          <w:marRight w:val="0"/>
          <w:marTop w:val="0"/>
          <w:marBottom w:val="0"/>
          <w:divBdr>
            <w:top w:val="none" w:sz="0" w:space="0" w:color="auto"/>
            <w:left w:val="none" w:sz="0" w:space="0" w:color="auto"/>
            <w:bottom w:val="none" w:sz="0" w:space="0" w:color="auto"/>
            <w:right w:val="none" w:sz="0" w:space="0" w:color="auto"/>
          </w:divBdr>
        </w:div>
        <w:div w:id="475613937">
          <w:marLeft w:val="0"/>
          <w:marRight w:val="0"/>
          <w:marTop w:val="0"/>
          <w:marBottom w:val="0"/>
          <w:divBdr>
            <w:top w:val="none" w:sz="0" w:space="0" w:color="auto"/>
            <w:left w:val="none" w:sz="0" w:space="0" w:color="auto"/>
            <w:bottom w:val="none" w:sz="0" w:space="0" w:color="auto"/>
            <w:right w:val="none" w:sz="0" w:space="0" w:color="auto"/>
          </w:divBdr>
        </w:div>
        <w:div w:id="539172356">
          <w:marLeft w:val="0"/>
          <w:marRight w:val="0"/>
          <w:marTop w:val="0"/>
          <w:marBottom w:val="0"/>
          <w:divBdr>
            <w:top w:val="none" w:sz="0" w:space="0" w:color="auto"/>
            <w:left w:val="none" w:sz="0" w:space="0" w:color="auto"/>
            <w:bottom w:val="none" w:sz="0" w:space="0" w:color="auto"/>
            <w:right w:val="none" w:sz="0" w:space="0" w:color="auto"/>
          </w:divBdr>
        </w:div>
        <w:div w:id="743651426">
          <w:marLeft w:val="0"/>
          <w:marRight w:val="0"/>
          <w:marTop w:val="0"/>
          <w:marBottom w:val="0"/>
          <w:divBdr>
            <w:top w:val="none" w:sz="0" w:space="0" w:color="auto"/>
            <w:left w:val="none" w:sz="0" w:space="0" w:color="auto"/>
            <w:bottom w:val="none" w:sz="0" w:space="0" w:color="auto"/>
            <w:right w:val="none" w:sz="0" w:space="0" w:color="auto"/>
          </w:divBdr>
        </w:div>
        <w:div w:id="878589893">
          <w:marLeft w:val="0"/>
          <w:marRight w:val="0"/>
          <w:marTop w:val="0"/>
          <w:marBottom w:val="0"/>
          <w:divBdr>
            <w:top w:val="none" w:sz="0" w:space="0" w:color="auto"/>
            <w:left w:val="none" w:sz="0" w:space="0" w:color="auto"/>
            <w:bottom w:val="none" w:sz="0" w:space="0" w:color="auto"/>
            <w:right w:val="none" w:sz="0" w:space="0" w:color="auto"/>
          </w:divBdr>
        </w:div>
        <w:div w:id="1148669761">
          <w:marLeft w:val="0"/>
          <w:marRight w:val="0"/>
          <w:marTop w:val="0"/>
          <w:marBottom w:val="0"/>
          <w:divBdr>
            <w:top w:val="none" w:sz="0" w:space="0" w:color="auto"/>
            <w:left w:val="none" w:sz="0" w:space="0" w:color="auto"/>
            <w:bottom w:val="none" w:sz="0" w:space="0" w:color="auto"/>
            <w:right w:val="none" w:sz="0" w:space="0" w:color="auto"/>
          </w:divBdr>
        </w:div>
        <w:div w:id="1148789085">
          <w:marLeft w:val="0"/>
          <w:marRight w:val="0"/>
          <w:marTop w:val="0"/>
          <w:marBottom w:val="0"/>
          <w:divBdr>
            <w:top w:val="none" w:sz="0" w:space="0" w:color="auto"/>
            <w:left w:val="none" w:sz="0" w:space="0" w:color="auto"/>
            <w:bottom w:val="none" w:sz="0" w:space="0" w:color="auto"/>
            <w:right w:val="none" w:sz="0" w:space="0" w:color="auto"/>
          </w:divBdr>
        </w:div>
        <w:div w:id="1486362838">
          <w:marLeft w:val="0"/>
          <w:marRight w:val="0"/>
          <w:marTop w:val="0"/>
          <w:marBottom w:val="0"/>
          <w:divBdr>
            <w:top w:val="none" w:sz="0" w:space="0" w:color="auto"/>
            <w:left w:val="none" w:sz="0" w:space="0" w:color="auto"/>
            <w:bottom w:val="none" w:sz="0" w:space="0" w:color="auto"/>
            <w:right w:val="none" w:sz="0" w:space="0" w:color="auto"/>
          </w:divBdr>
        </w:div>
        <w:div w:id="1585869468">
          <w:marLeft w:val="0"/>
          <w:marRight w:val="0"/>
          <w:marTop w:val="0"/>
          <w:marBottom w:val="0"/>
          <w:divBdr>
            <w:top w:val="none" w:sz="0" w:space="0" w:color="auto"/>
            <w:left w:val="none" w:sz="0" w:space="0" w:color="auto"/>
            <w:bottom w:val="none" w:sz="0" w:space="0" w:color="auto"/>
            <w:right w:val="none" w:sz="0" w:space="0" w:color="auto"/>
          </w:divBdr>
        </w:div>
      </w:divsChild>
    </w:div>
    <w:div w:id="1310020200">
      <w:bodyDiv w:val="1"/>
      <w:marLeft w:val="0"/>
      <w:marRight w:val="0"/>
      <w:marTop w:val="0"/>
      <w:marBottom w:val="0"/>
      <w:divBdr>
        <w:top w:val="none" w:sz="0" w:space="0" w:color="auto"/>
        <w:left w:val="none" w:sz="0" w:space="0" w:color="auto"/>
        <w:bottom w:val="none" w:sz="0" w:space="0" w:color="auto"/>
        <w:right w:val="none" w:sz="0" w:space="0" w:color="auto"/>
      </w:divBdr>
    </w:div>
    <w:div w:id="1334602905">
      <w:bodyDiv w:val="1"/>
      <w:marLeft w:val="0"/>
      <w:marRight w:val="0"/>
      <w:marTop w:val="0"/>
      <w:marBottom w:val="0"/>
      <w:divBdr>
        <w:top w:val="none" w:sz="0" w:space="0" w:color="auto"/>
        <w:left w:val="none" w:sz="0" w:space="0" w:color="auto"/>
        <w:bottom w:val="none" w:sz="0" w:space="0" w:color="auto"/>
        <w:right w:val="none" w:sz="0" w:space="0" w:color="auto"/>
      </w:divBdr>
    </w:div>
    <w:div w:id="1355575863">
      <w:bodyDiv w:val="1"/>
      <w:marLeft w:val="0"/>
      <w:marRight w:val="0"/>
      <w:marTop w:val="0"/>
      <w:marBottom w:val="0"/>
      <w:divBdr>
        <w:top w:val="none" w:sz="0" w:space="0" w:color="auto"/>
        <w:left w:val="none" w:sz="0" w:space="0" w:color="auto"/>
        <w:bottom w:val="none" w:sz="0" w:space="0" w:color="auto"/>
        <w:right w:val="none" w:sz="0" w:space="0" w:color="auto"/>
      </w:divBdr>
    </w:div>
    <w:div w:id="1357075014">
      <w:bodyDiv w:val="1"/>
      <w:marLeft w:val="0"/>
      <w:marRight w:val="0"/>
      <w:marTop w:val="0"/>
      <w:marBottom w:val="0"/>
      <w:divBdr>
        <w:top w:val="none" w:sz="0" w:space="0" w:color="auto"/>
        <w:left w:val="none" w:sz="0" w:space="0" w:color="auto"/>
        <w:bottom w:val="none" w:sz="0" w:space="0" w:color="auto"/>
        <w:right w:val="none" w:sz="0" w:space="0" w:color="auto"/>
      </w:divBdr>
    </w:div>
    <w:div w:id="1369451150">
      <w:bodyDiv w:val="1"/>
      <w:marLeft w:val="0"/>
      <w:marRight w:val="0"/>
      <w:marTop w:val="0"/>
      <w:marBottom w:val="0"/>
      <w:divBdr>
        <w:top w:val="none" w:sz="0" w:space="0" w:color="auto"/>
        <w:left w:val="none" w:sz="0" w:space="0" w:color="auto"/>
        <w:bottom w:val="none" w:sz="0" w:space="0" w:color="auto"/>
        <w:right w:val="none" w:sz="0" w:space="0" w:color="auto"/>
      </w:divBdr>
    </w:div>
    <w:div w:id="1369572235">
      <w:bodyDiv w:val="1"/>
      <w:marLeft w:val="0"/>
      <w:marRight w:val="0"/>
      <w:marTop w:val="0"/>
      <w:marBottom w:val="0"/>
      <w:divBdr>
        <w:top w:val="none" w:sz="0" w:space="0" w:color="auto"/>
        <w:left w:val="none" w:sz="0" w:space="0" w:color="auto"/>
        <w:bottom w:val="none" w:sz="0" w:space="0" w:color="auto"/>
        <w:right w:val="none" w:sz="0" w:space="0" w:color="auto"/>
      </w:divBdr>
      <w:divsChild>
        <w:div w:id="11807881">
          <w:marLeft w:val="0"/>
          <w:marRight w:val="0"/>
          <w:marTop w:val="0"/>
          <w:marBottom w:val="0"/>
          <w:divBdr>
            <w:top w:val="none" w:sz="0" w:space="0" w:color="auto"/>
            <w:left w:val="none" w:sz="0" w:space="0" w:color="auto"/>
            <w:bottom w:val="none" w:sz="0" w:space="0" w:color="auto"/>
            <w:right w:val="none" w:sz="0" w:space="0" w:color="auto"/>
          </w:divBdr>
        </w:div>
        <w:div w:id="23755996">
          <w:marLeft w:val="0"/>
          <w:marRight w:val="0"/>
          <w:marTop w:val="0"/>
          <w:marBottom w:val="0"/>
          <w:divBdr>
            <w:top w:val="none" w:sz="0" w:space="0" w:color="auto"/>
            <w:left w:val="none" w:sz="0" w:space="0" w:color="auto"/>
            <w:bottom w:val="none" w:sz="0" w:space="0" w:color="auto"/>
            <w:right w:val="none" w:sz="0" w:space="0" w:color="auto"/>
          </w:divBdr>
        </w:div>
        <w:div w:id="24065028">
          <w:marLeft w:val="0"/>
          <w:marRight w:val="0"/>
          <w:marTop w:val="0"/>
          <w:marBottom w:val="0"/>
          <w:divBdr>
            <w:top w:val="none" w:sz="0" w:space="0" w:color="auto"/>
            <w:left w:val="none" w:sz="0" w:space="0" w:color="auto"/>
            <w:bottom w:val="none" w:sz="0" w:space="0" w:color="auto"/>
            <w:right w:val="none" w:sz="0" w:space="0" w:color="auto"/>
          </w:divBdr>
        </w:div>
        <w:div w:id="91515811">
          <w:marLeft w:val="0"/>
          <w:marRight w:val="0"/>
          <w:marTop w:val="0"/>
          <w:marBottom w:val="0"/>
          <w:divBdr>
            <w:top w:val="none" w:sz="0" w:space="0" w:color="auto"/>
            <w:left w:val="none" w:sz="0" w:space="0" w:color="auto"/>
            <w:bottom w:val="none" w:sz="0" w:space="0" w:color="auto"/>
            <w:right w:val="none" w:sz="0" w:space="0" w:color="auto"/>
          </w:divBdr>
        </w:div>
        <w:div w:id="108202716">
          <w:marLeft w:val="0"/>
          <w:marRight w:val="0"/>
          <w:marTop w:val="0"/>
          <w:marBottom w:val="0"/>
          <w:divBdr>
            <w:top w:val="none" w:sz="0" w:space="0" w:color="auto"/>
            <w:left w:val="none" w:sz="0" w:space="0" w:color="auto"/>
            <w:bottom w:val="none" w:sz="0" w:space="0" w:color="auto"/>
            <w:right w:val="none" w:sz="0" w:space="0" w:color="auto"/>
          </w:divBdr>
        </w:div>
        <w:div w:id="147137119">
          <w:marLeft w:val="0"/>
          <w:marRight w:val="0"/>
          <w:marTop w:val="0"/>
          <w:marBottom w:val="0"/>
          <w:divBdr>
            <w:top w:val="none" w:sz="0" w:space="0" w:color="auto"/>
            <w:left w:val="none" w:sz="0" w:space="0" w:color="auto"/>
            <w:bottom w:val="none" w:sz="0" w:space="0" w:color="auto"/>
            <w:right w:val="none" w:sz="0" w:space="0" w:color="auto"/>
          </w:divBdr>
        </w:div>
        <w:div w:id="147718886">
          <w:marLeft w:val="0"/>
          <w:marRight w:val="0"/>
          <w:marTop w:val="0"/>
          <w:marBottom w:val="0"/>
          <w:divBdr>
            <w:top w:val="none" w:sz="0" w:space="0" w:color="auto"/>
            <w:left w:val="none" w:sz="0" w:space="0" w:color="auto"/>
            <w:bottom w:val="none" w:sz="0" w:space="0" w:color="auto"/>
            <w:right w:val="none" w:sz="0" w:space="0" w:color="auto"/>
          </w:divBdr>
        </w:div>
        <w:div w:id="197207626">
          <w:marLeft w:val="0"/>
          <w:marRight w:val="0"/>
          <w:marTop w:val="0"/>
          <w:marBottom w:val="0"/>
          <w:divBdr>
            <w:top w:val="none" w:sz="0" w:space="0" w:color="auto"/>
            <w:left w:val="none" w:sz="0" w:space="0" w:color="auto"/>
            <w:bottom w:val="none" w:sz="0" w:space="0" w:color="auto"/>
            <w:right w:val="none" w:sz="0" w:space="0" w:color="auto"/>
          </w:divBdr>
        </w:div>
        <w:div w:id="217130004">
          <w:marLeft w:val="0"/>
          <w:marRight w:val="0"/>
          <w:marTop w:val="0"/>
          <w:marBottom w:val="0"/>
          <w:divBdr>
            <w:top w:val="none" w:sz="0" w:space="0" w:color="auto"/>
            <w:left w:val="none" w:sz="0" w:space="0" w:color="auto"/>
            <w:bottom w:val="none" w:sz="0" w:space="0" w:color="auto"/>
            <w:right w:val="none" w:sz="0" w:space="0" w:color="auto"/>
          </w:divBdr>
        </w:div>
        <w:div w:id="320618317">
          <w:marLeft w:val="0"/>
          <w:marRight w:val="0"/>
          <w:marTop w:val="0"/>
          <w:marBottom w:val="0"/>
          <w:divBdr>
            <w:top w:val="none" w:sz="0" w:space="0" w:color="auto"/>
            <w:left w:val="none" w:sz="0" w:space="0" w:color="auto"/>
            <w:bottom w:val="none" w:sz="0" w:space="0" w:color="auto"/>
            <w:right w:val="none" w:sz="0" w:space="0" w:color="auto"/>
          </w:divBdr>
        </w:div>
        <w:div w:id="323096890">
          <w:marLeft w:val="0"/>
          <w:marRight w:val="0"/>
          <w:marTop w:val="0"/>
          <w:marBottom w:val="0"/>
          <w:divBdr>
            <w:top w:val="none" w:sz="0" w:space="0" w:color="auto"/>
            <w:left w:val="none" w:sz="0" w:space="0" w:color="auto"/>
            <w:bottom w:val="none" w:sz="0" w:space="0" w:color="auto"/>
            <w:right w:val="none" w:sz="0" w:space="0" w:color="auto"/>
          </w:divBdr>
        </w:div>
        <w:div w:id="350841613">
          <w:marLeft w:val="0"/>
          <w:marRight w:val="0"/>
          <w:marTop w:val="0"/>
          <w:marBottom w:val="0"/>
          <w:divBdr>
            <w:top w:val="none" w:sz="0" w:space="0" w:color="auto"/>
            <w:left w:val="none" w:sz="0" w:space="0" w:color="auto"/>
            <w:bottom w:val="none" w:sz="0" w:space="0" w:color="auto"/>
            <w:right w:val="none" w:sz="0" w:space="0" w:color="auto"/>
          </w:divBdr>
        </w:div>
        <w:div w:id="371807111">
          <w:marLeft w:val="0"/>
          <w:marRight w:val="0"/>
          <w:marTop w:val="0"/>
          <w:marBottom w:val="0"/>
          <w:divBdr>
            <w:top w:val="none" w:sz="0" w:space="0" w:color="auto"/>
            <w:left w:val="none" w:sz="0" w:space="0" w:color="auto"/>
            <w:bottom w:val="none" w:sz="0" w:space="0" w:color="auto"/>
            <w:right w:val="none" w:sz="0" w:space="0" w:color="auto"/>
          </w:divBdr>
        </w:div>
        <w:div w:id="387655930">
          <w:marLeft w:val="0"/>
          <w:marRight w:val="0"/>
          <w:marTop w:val="0"/>
          <w:marBottom w:val="0"/>
          <w:divBdr>
            <w:top w:val="none" w:sz="0" w:space="0" w:color="auto"/>
            <w:left w:val="none" w:sz="0" w:space="0" w:color="auto"/>
            <w:bottom w:val="none" w:sz="0" w:space="0" w:color="auto"/>
            <w:right w:val="none" w:sz="0" w:space="0" w:color="auto"/>
          </w:divBdr>
        </w:div>
        <w:div w:id="484979769">
          <w:marLeft w:val="0"/>
          <w:marRight w:val="0"/>
          <w:marTop w:val="0"/>
          <w:marBottom w:val="0"/>
          <w:divBdr>
            <w:top w:val="none" w:sz="0" w:space="0" w:color="auto"/>
            <w:left w:val="none" w:sz="0" w:space="0" w:color="auto"/>
            <w:bottom w:val="none" w:sz="0" w:space="0" w:color="auto"/>
            <w:right w:val="none" w:sz="0" w:space="0" w:color="auto"/>
          </w:divBdr>
        </w:div>
        <w:div w:id="509370764">
          <w:marLeft w:val="0"/>
          <w:marRight w:val="0"/>
          <w:marTop w:val="0"/>
          <w:marBottom w:val="0"/>
          <w:divBdr>
            <w:top w:val="none" w:sz="0" w:space="0" w:color="auto"/>
            <w:left w:val="none" w:sz="0" w:space="0" w:color="auto"/>
            <w:bottom w:val="none" w:sz="0" w:space="0" w:color="auto"/>
            <w:right w:val="none" w:sz="0" w:space="0" w:color="auto"/>
          </w:divBdr>
        </w:div>
        <w:div w:id="516235015">
          <w:marLeft w:val="0"/>
          <w:marRight w:val="0"/>
          <w:marTop w:val="0"/>
          <w:marBottom w:val="0"/>
          <w:divBdr>
            <w:top w:val="none" w:sz="0" w:space="0" w:color="auto"/>
            <w:left w:val="none" w:sz="0" w:space="0" w:color="auto"/>
            <w:bottom w:val="none" w:sz="0" w:space="0" w:color="auto"/>
            <w:right w:val="none" w:sz="0" w:space="0" w:color="auto"/>
          </w:divBdr>
        </w:div>
        <w:div w:id="578950113">
          <w:marLeft w:val="0"/>
          <w:marRight w:val="0"/>
          <w:marTop w:val="0"/>
          <w:marBottom w:val="0"/>
          <w:divBdr>
            <w:top w:val="none" w:sz="0" w:space="0" w:color="auto"/>
            <w:left w:val="none" w:sz="0" w:space="0" w:color="auto"/>
            <w:bottom w:val="none" w:sz="0" w:space="0" w:color="auto"/>
            <w:right w:val="none" w:sz="0" w:space="0" w:color="auto"/>
          </w:divBdr>
        </w:div>
        <w:div w:id="605041605">
          <w:marLeft w:val="0"/>
          <w:marRight w:val="0"/>
          <w:marTop w:val="0"/>
          <w:marBottom w:val="0"/>
          <w:divBdr>
            <w:top w:val="none" w:sz="0" w:space="0" w:color="auto"/>
            <w:left w:val="none" w:sz="0" w:space="0" w:color="auto"/>
            <w:bottom w:val="none" w:sz="0" w:space="0" w:color="auto"/>
            <w:right w:val="none" w:sz="0" w:space="0" w:color="auto"/>
          </w:divBdr>
        </w:div>
        <w:div w:id="625936503">
          <w:marLeft w:val="0"/>
          <w:marRight w:val="0"/>
          <w:marTop w:val="0"/>
          <w:marBottom w:val="0"/>
          <w:divBdr>
            <w:top w:val="none" w:sz="0" w:space="0" w:color="auto"/>
            <w:left w:val="none" w:sz="0" w:space="0" w:color="auto"/>
            <w:bottom w:val="none" w:sz="0" w:space="0" w:color="auto"/>
            <w:right w:val="none" w:sz="0" w:space="0" w:color="auto"/>
          </w:divBdr>
        </w:div>
        <w:div w:id="626931313">
          <w:marLeft w:val="0"/>
          <w:marRight w:val="0"/>
          <w:marTop w:val="0"/>
          <w:marBottom w:val="0"/>
          <w:divBdr>
            <w:top w:val="none" w:sz="0" w:space="0" w:color="auto"/>
            <w:left w:val="none" w:sz="0" w:space="0" w:color="auto"/>
            <w:bottom w:val="none" w:sz="0" w:space="0" w:color="auto"/>
            <w:right w:val="none" w:sz="0" w:space="0" w:color="auto"/>
          </w:divBdr>
        </w:div>
        <w:div w:id="628586067">
          <w:marLeft w:val="0"/>
          <w:marRight w:val="0"/>
          <w:marTop w:val="0"/>
          <w:marBottom w:val="0"/>
          <w:divBdr>
            <w:top w:val="none" w:sz="0" w:space="0" w:color="auto"/>
            <w:left w:val="none" w:sz="0" w:space="0" w:color="auto"/>
            <w:bottom w:val="none" w:sz="0" w:space="0" w:color="auto"/>
            <w:right w:val="none" w:sz="0" w:space="0" w:color="auto"/>
          </w:divBdr>
        </w:div>
        <w:div w:id="633995488">
          <w:marLeft w:val="0"/>
          <w:marRight w:val="0"/>
          <w:marTop w:val="0"/>
          <w:marBottom w:val="0"/>
          <w:divBdr>
            <w:top w:val="none" w:sz="0" w:space="0" w:color="auto"/>
            <w:left w:val="none" w:sz="0" w:space="0" w:color="auto"/>
            <w:bottom w:val="none" w:sz="0" w:space="0" w:color="auto"/>
            <w:right w:val="none" w:sz="0" w:space="0" w:color="auto"/>
          </w:divBdr>
        </w:div>
        <w:div w:id="654647004">
          <w:marLeft w:val="0"/>
          <w:marRight w:val="0"/>
          <w:marTop w:val="0"/>
          <w:marBottom w:val="0"/>
          <w:divBdr>
            <w:top w:val="none" w:sz="0" w:space="0" w:color="auto"/>
            <w:left w:val="none" w:sz="0" w:space="0" w:color="auto"/>
            <w:bottom w:val="none" w:sz="0" w:space="0" w:color="auto"/>
            <w:right w:val="none" w:sz="0" w:space="0" w:color="auto"/>
          </w:divBdr>
        </w:div>
        <w:div w:id="654917602">
          <w:marLeft w:val="0"/>
          <w:marRight w:val="0"/>
          <w:marTop w:val="0"/>
          <w:marBottom w:val="0"/>
          <w:divBdr>
            <w:top w:val="none" w:sz="0" w:space="0" w:color="auto"/>
            <w:left w:val="none" w:sz="0" w:space="0" w:color="auto"/>
            <w:bottom w:val="none" w:sz="0" w:space="0" w:color="auto"/>
            <w:right w:val="none" w:sz="0" w:space="0" w:color="auto"/>
          </w:divBdr>
        </w:div>
        <w:div w:id="715743035">
          <w:marLeft w:val="0"/>
          <w:marRight w:val="0"/>
          <w:marTop w:val="0"/>
          <w:marBottom w:val="0"/>
          <w:divBdr>
            <w:top w:val="none" w:sz="0" w:space="0" w:color="auto"/>
            <w:left w:val="none" w:sz="0" w:space="0" w:color="auto"/>
            <w:bottom w:val="none" w:sz="0" w:space="0" w:color="auto"/>
            <w:right w:val="none" w:sz="0" w:space="0" w:color="auto"/>
          </w:divBdr>
        </w:div>
        <w:div w:id="717434325">
          <w:marLeft w:val="0"/>
          <w:marRight w:val="0"/>
          <w:marTop w:val="0"/>
          <w:marBottom w:val="0"/>
          <w:divBdr>
            <w:top w:val="none" w:sz="0" w:space="0" w:color="auto"/>
            <w:left w:val="none" w:sz="0" w:space="0" w:color="auto"/>
            <w:bottom w:val="none" w:sz="0" w:space="0" w:color="auto"/>
            <w:right w:val="none" w:sz="0" w:space="0" w:color="auto"/>
          </w:divBdr>
        </w:div>
        <w:div w:id="717584447">
          <w:marLeft w:val="0"/>
          <w:marRight w:val="0"/>
          <w:marTop w:val="0"/>
          <w:marBottom w:val="0"/>
          <w:divBdr>
            <w:top w:val="none" w:sz="0" w:space="0" w:color="auto"/>
            <w:left w:val="none" w:sz="0" w:space="0" w:color="auto"/>
            <w:bottom w:val="none" w:sz="0" w:space="0" w:color="auto"/>
            <w:right w:val="none" w:sz="0" w:space="0" w:color="auto"/>
          </w:divBdr>
        </w:div>
        <w:div w:id="725298779">
          <w:marLeft w:val="0"/>
          <w:marRight w:val="0"/>
          <w:marTop w:val="0"/>
          <w:marBottom w:val="0"/>
          <w:divBdr>
            <w:top w:val="none" w:sz="0" w:space="0" w:color="auto"/>
            <w:left w:val="none" w:sz="0" w:space="0" w:color="auto"/>
            <w:bottom w:val="none" w:sz="0" w:space="0" w:color="auto"/>
            <w:right w:val="none" w:sz="0" w:space="0" w:color="auto"/>
          </w:divBdr>
        </w:div>
        <w:div w:id="733545775">
          <w:marLeft w:val="0"/>
          <w:marRight w:val="0"/>
          <w:marTop w:val="0"/>
          <w:marBottom w:val="0"/>
          <w:divBdr>
            <w:top w:val="none" w:sz="0" w:space="0" w:color="auto"/>
            <w:left w:val="none" w:sz="0" w:space="0" w:color="auto"/>
            <w:bottom w:val="none" w:sz="0" w:space="0" w:color="auto"/>
            <w:right w:val="none" w:sz="0" w:space="0" w:color="auto"/>
          </w:divBdr>
        </w:div>
        <w:div w:id="779226389">
          <w:marLeft w:val="0"/>
          <w:marRight w:val="0"/>
          <w:marTop w:val="0"/>
          <w:marBottom w:val="0"/>
          <w:divBdr>
            <w:top w:val="none" w:sz="0" w:space="0" w:color="auto"/>
            <w:left w:val="none" w:sz="0" w:space="0" w:color="auto"/>
            <w:bottom w:val="none" w:sz="0" w:space="0" w:color="auto"/>
            <w:right w:val="none" w:sz="0" w:space="0" w:color="auto"/>
          </w:divBdr>
        </w:div>
        <w:div w:id="789936071">
          <w:marLeft w:val="0"/>
          <w:marRight w:val="0"/>
          <w:marTop w:val="0"/>
          <w:marBottom w:val="0"/>
          <w:divBdr>
            <w:top w:val="none" w:sz="0" w:space="0" w:color="auto"/>
            <w:left w:val="none" w:sz="0" w:space="0" w:color="auto"/>
            <w:bottom w:val="none" w:sz="0" w:space="0" w:color="auto"/>
            <w:right w:val="none" w:sz="0" w:space="0" w:color="auto"/>
          </w:divBdr>
        </w:div>
        <w:div w:id="799808725">
          <w:marLeft w:val="0"/>
          <w:marRight w:val="0"/>
          <w:marTop w:val="0"/>
          <w:marBottom w:val="0"/>
          <w:divBdr>
            <w:top w:val="none" w:sz="0" w:space="0" w:color="auto"/>
            <w:left w:val="none" w:sz="0" w:space="0" w:color="auto"/>
            <w:bottom w:val="none" w:sz="0" w:space="0" w:color="auto"/>
            <w:right w:val="none" w:sz="0" w:space="0" w:color="auto"/>
          </w:divBdr>
        </w:div>
        <w:div w:id="803545548">
          <w:marLeft w:val="0"/>
          <w:marRight w:val="0"/>
          <w:marTop w:val="0"/>
          <w:marBottom w:val="0"/>
          <w:divBdr>
            <w:top w:val="none" w:sz="0" w:space="0" w:color="auto"/>
            <w:left w:val="none" w:sz="0" w:space="0" w:color="auto"/>
            <w:bottom w:val="none" w:sz="0" w:space="0" w:color="auto"/>
            <w:right w:val="none" w:sz="0" w:space="0" w:color="auto"/>
          </w:divBdr>
        </w:div>
        <w:div w:id="870728471">
          <w:marLeft w:val="0"/>
          <w:marRight w:val="0"/>
          <w:marTop w:val="0"/>
          <w:marBottom w:val="0"/>
          <w:divBdr>
            <w:top w:val="none" w:sz="0" w:space="0" w:color="auto"/>
            <w:left w:val="none" w:sz="0" w:space="0" w:color="auto"/>
            <w:bottom w:val="none" w:sz="0" w:space="0" w:color="auto"/>
            <w:right w:val="none" w:sz="0" w:space="0" w:color="auto"/>
          </w:divBdr>
        </w:div>
        <w:div w:id="873349657">
          <w:marLeft w:val="0"/>
          <w:marRight w:val="0"/>
          <w:marTop w:val="0"/>
          <w:marBottom w:val="0"/>
          <w:divBdr>
            <w:top w:val="none" w:sz="0" w:space="0" w:color="auto"/>
            <w:left w:val="none" w:sz="0" w:space="0" w:color="auto"/>
            <w:bottom w:val="none" w:sz="0" w:space="0" w:color="auto"/>
            <w:right w:val="none" w:sz="0" w:space="0" w:color="auto"/>
          </w:divBdr>
        </w:div>
        <w:div w:id="926037059">
          <w:marLeft w:val="0"/>
          <w:marRight w:val="0"/>
          <w:marTop w:val="0"/>
          <w:marBottom w:val="0"/>
          <w:divBdr>
            <w:top w:val="none" w:sz="0" w:space="0" w:color="auto"/>
            <w:left w:val="none" w:sz="0" w:space="0" w:color="auto"/>
            <w:bottom w:val="none" w:sz="0" w:space="0" w:color="auto"/>
            <w:right w:val="none" w:sz="0" w:space="0" w:color="auto"/>
          </w:divBdr>
        </w:div>
        <w:div w:id="943728152">
          <w:marLeft w:val="0"/>
          <w:marRight w:val="0"/>
          <w:marTop w:val="0"/>
          <w:marBottom w:val="0"/>
          <w:divBdr>
            <w:top w:val="none" w:sz="0" w:space="0" w:color="auto"/>
            <w:left w:val="none" w:sz="0" w:space="0" w:color="auto"/>
            <w:bottom w:val="none" w:sz="0" w:space="0" w:color="auto"/>
            <w:right w:val="none" w:sz="0" w:space="0" w:color="auto"/>
          </w:divBdr>
        </w:div>
        <w:div w:id="951938612">
          <w:marLeft w:val="0"/>
          <w:marRight w:val="0"/>
          <w:marTop w:val="0"/>
          <w:marBottom w:val="0"/>
          <w:divBdr>
            <w:top w:val="none" w:sz="0" w:space="0" w:color="auto"/>
            <w:left w:val="none" w:sz="0" w:space="0" w:color="auto"/>
            <w:bottom w:val="none" w:sz="0" w:space="0" w:color="auto"/>
            <w:right w:val="none" w:sz="0" w:space="0" w:color="auto"/>
          </w:divBdr>
        </w:div>
        <w:div w:id="1058895214">
          <w:marLeft w:val="0"/>
          <w:marRight w:val="0"/>
          <w:marTop w:val="0"/>
          <w:marBottom w:val="0"/>
          <w:divBdr>
            <w:top w:val="none" w:sz="0" w:space="0" w:color="auto"/>
            <w:left w:val="none" w:sz="0" w:space="0" w:color="auto"/>
            <w:bottom w:val="none" w:sz="0" w:space="0" w:color="auto"/>
            <w:right w:val="none" w:sz="0" w:space="0" w:color="auto"/>
          </w:divBdr>
        </w:div>
        <w:div w:id="1112867125">
          <w:marLeft w:val="0"/>
          <w:marRight w:val="0"/>
          <w:marTop w:val="0"/>
          <w:marBottom w:val="0"/>
          <w:divBdr>
            <w:top w:val="none" w:sz="0" w:space="0" w:color="auto"/>
            <w:left w:val="none" w:sz="0" w:space="0" w:color="auto"/>
            <w:bottom w:val="none" w:sz="0" w:space="0" w:color="auto"/>
            <w:right w:val="none" w:sz="0" w:space="0" w:color="auto"/>
          </w:divBdr>
        </w:div>
        <w:div w:id="1317302563">
          <w:marLeft w:val="0"/>
          <w:marRight w:val="0"/>
          <w:marTop w:val="0"/>
          <w:marBottom w:val="0"/>
          <w:divBdr>
            <w:top w:val="none" w:sz="0" w:space="0" w:color="auto"/>
            <w:left w:val="none" w:sz="0" w:space="0" w:color="auto"/>
            <w:bottom w:val="none" w:sz="0" w:space="0" w:color="auto"/>
            <w:right w:val="none" w:sz="0" w:space="0" w:color="auto"/>
          </w:divBdr>
        </w:div>
        <w:div w:id="1335570195">
          <w:marLeft w:val="0"/>
          <w:marRight w:val="0"/>
          <w:marTop w:val="0"/>
          <w:marBottom w:val="0"/>
          <w:divBdr>
            <w:top w:val="none" w:sz="0" w:space="0" w:color="auto"/>
            <w:left w:val="none" w:sz="0" w:space="0" w:color="auto"/>
            <w:bottom w:val="none" w:sz="0" w:space="0" w:color="auto"/>
            <w:right w:val="none" w:sz="0" w:space="0" w:color="auto"/>
          </w:divBdr>
        </w:div>
        <w:div w:id="1336222232">
          <w:marLeft w:val="0"/>
          <w:marRight w:val="0"/>
          <w:marTop w:val="0"/>
          <w:marBottom w:val="0"/>
          <w:divBdr>
            <w:top w:val="none" w:sz="0" w:space="0" w:color="auto"/>
            <w:left w:val="none" w:sz="0" w:space="0" w:color="auto"/>
            <w:bottom w:val="none" w:sz="0" w:space="0" w:color="auto"/>
            <w:right w:val="none" w:sz="0" w:space="0" w:color="auto"/>
          </w:divBdr>
        </w:div>
        <w:div w:id="1392776654">
          <w:marLeft w:val="0"/>
          <w:marRight w:val="0"/>
          <w:marTop w:val="0"/>
          <w:marBottom w:val="0"/>
          <w:divBdr>
            <w:top w:val="none" w:sz="0" w:space="0" w:color="auto"/>
            <w:left w:val="none" w:sz="0" w:space="0" w:color="auto"/>
            <w:bottom w:val="none" w:sz="0" w:space="0" w:color="auto"/>
            <w:right w:val="none" w:sz="0" w:space="0" w:color="auto"/>
          </w:divBdr>
        </w:div>
        <w:div w:id="1429617436">
          <w:marLeft w:val="0"/>
          <w:marRight w:val="0"/>
          <w:marTop w:val="0"/>
          <w:marBottom w:val="0"/>
          <w:divBdr>
            <w:top w:val="none" w:sz="0" w:space="0" w:color="auto"/>
            <w:left w:val="none" w:sz="0" w:space="0" w:color="auto"/>
            <w:bottom w:val="none" w:sz="0" w:space="0" w:color="auto"/>
            <w:right w:val="none" w:sz="0" w:space="0" w:color="auto"/>
          </w:divBdr>
        </w:div>
        <w:div w:id="1434940800">
          <w:marLeft w:val="0"/>
          <w:marRight w:val="0"/>
          <w:marTop w:val="0"/>
          <w:marBottom w:val="0"/>
          <w:divBdr>
            <w:top w:val="none" w:sz="0" w:space="0" w:color="auto"/>
            <w:left w:val="none" w:sz="0" w:space="0" w:color="auto"/>
            <w:bottom w:val="none" w:sz="0" w:space="0" w:color="auto"/>
            <w:right w:val="none" w:sz="0" w:space="0" w:color="auto"/>
          </w:divBdr>
        </w:div>
        <w:div w:id="1436025480">
          <w:marLeft w:val="0"/>
          <w:marRight w:val="0"/>
          <w:marTop w:val="0"/>
          <w:marBottom w:val="0"/>
          <w:divBdr>
            <w:top w:val="none" w:sz="0" w:space="0" w:color="auto"/>
            <w:left w:val="none" w:sz="0" w:space="0" w:color="auto"/>
            <w:bottom w:val="none" w:sz="0" w:space="0" w:color="auto"/>
            <w:right w:val="none" w:sz="0" w:space="0" w:color="auto"/>
          </w:divBdr>
        </w:div>
        <w:div w:id="1480462377">
          <w:marLeft w:val="0"/>
          <w:marRight w:val="0"/>
          <w:marTop w:val="0"/>
          <w:marBottom w:val="0"/>
          <w:divBdr>
            <w:top w:val="none" w:sz="0" w:space="0" w:color="auto"/>
            <w:left w:val="none" w:sz="0" w:space="0" w:color="auto"/>
            <w:bottom w:val="none" w:sz="0" w:space="0" w:color="auto"/>
            <w:right w:val="none" w:sz="0" w:space="0" w:color="auto"/>
          </w:divBdr>
        </w:div>
        <w:div w:id="1532259456">
          <w:marLeft w:val="0"/>
          <w:marRight w:val="0"/>
          <w:marTop w:val="0"/>
          <w:marBottom w:val="0"/>
          <w:divBdr>
            <w:top w:val="none" w:sz="0" w:space="0" w:color="auto"/>
            <w:left w:val="none" w:sz="0" w:space="0" w:color="auto"/>
            <w:bottom w:val="none" w:sz="0" w:space="0" w:color="auto"/>
            <w:right w:val="none" w:sz="0" w:space="0" w:color="auto"/>
          </w:divBdr>
        </w:div>
        <w:div w:id="1615212324">
          <w:marLeft w:val="0"/>
          <w:marRight w:val="0"/>
          <w:marTop w:val="0"/>
          <w:marBottom w:val="0"/>
          <w:divBdr>
            <w:top w:val="none" w:sz="0" w:space="0" w:color="auto"/>
            <w:left w:val="none" w:sz="0" w:space="0" w:color="auto"/>
            <w:bottom w:val="none" w:sz="0" w:space="0" w:color="auto"/>
            <w:right w:val="none" w:sz="0" w:space="0" w:color="auto"/>
          </w:divBdr>
        </w:div>
        <w:div w:id="1738285341">
          <w:marLeft w:val="0"/>
          <w:marRight w:val="0"/>
          <w:marTop w:val="0"/>
          <w:marBottom w:val="0"/>
          <w:divBdr>
            <w:top w:val="none" w:sz="0" w:space="0" w:color="auto"/>
            <w:left w:val="none" w:sz="0" w:space="0" w:color="auto"/>
            <w:bottom w:val="none" w:sz="0" w:space="0" w:color="auto"/>
            <w:right w:val="none" w:sz="0" w:space="0" w:color="auto"/>
          </w:divBdr>
        </w:div>
        <w:div w:id="1741709600">
          <w:marLeft w:val="0"/>
          <w:marRight w:val="0"/>
          <w:marTop w:val="0"/>
          <w:marBottom w:val="0"/>
          <w:divBdr>
            <w:top w:val="none" w:sz="0" w:space="0" w:color="auto"/>
            <w:left w:val="none" w:sz="0" w:space="0" w:color="auto"/>
            <w:bottom w:val="none" w:sz="0" w:space="0" w:color="auto"/>
            <w:right w:val="none" w:sz="0" w:space="0" w:color="auto"/>
          </w:divBdr>
        </w:div>
        <w:div w:id="1742556877">
          <w:marLeft w:val="0"/>
          <w:marRight w:val="0"/>
          <w:marTop w:val="0"/>
          <w:marBottom w:val="0"/>
          <w:divBdr>
            <w:top w:val="none" w:sz="0" w:space="0" w:color="auto"/>
            <w:left w:val="none" w:sz="0" w:space="0" w:color="auto"/>
            <w:bottom w:val="none" w:sz="0" w:space="0" w:color="auto"/>
            <w:right w:val="none" w:sz="0" w:space="0" w:color="auto"/>
          </w:divBdr>
        </w:div>
        <w:div w:id="1744722090">
          <w:marLeft w:val="0"/>
          <w:marRight w:val="0"/>
          <w:marTop w:val="0"/>
          <w:marBottom w:val="0"/>
          <w:divBdr>
            <w:top w:val="none" w:sz="0" w:space="0" w:color="auto"/>
            <w:left w:val="none" w:sz="0" w:space="0" w:color="auto"/>
            <w:bottom w:val="none" w:sz="0" w:space="0" w:color="auto"/>
            <w:right w:val="none" w:sz="0" w:space="0" w:color="auto"/>
          </w:divBdr>
        </w:div>
        <w:div w:id="1771312761">
          <w:marLeft w:val="0"/>
          <w:marRight w:val="0"/>
          <w:marTop w:val="0"/>
          <w:marBottom w:val="0"/>
          <w:divBdr>
            <w:top w:val="none" w:sz="0" w:space="0" w:color="auto"/>
            <w:left w:val="none" w:sz="0" w:space="0" w:color="auto"/>
            <w:bottom w:val="none" w:sz="0" w:space="0" w:color="auto"/>
            <w:right w:val="none" w:sz="0" w:space="0" w:color="auto"/>
          </w:divBdr>
        </w:div>
        <w:div w:id="1798990746">
          <w:marLeft w:val="0"/>
          <w:marRight w:val="0"/>
          <w:marTop w:val="0"/>
          <w:marBottom w:val="0"/>
          <w:divBdr>
            <w:top w:val="none" w:sz="0" w:space="0" w:color="auto"/>
            <w:left w:val="none" w:sz="0" w:space="0" w:color="auto"/>
            <w:bottom w:val="none" w:sz="0" w:space="0" w:color="auto"/>
            <w:right w:val="none" w:sz="0" w:space="0" w:color="auto"/>
          </w:divBdr>
        </w:div>
        <w:div w:id="1832989224">
          <w:marLeft w:val="0"/>
          <w:marRight w:val="0"/>
          <w:marTop w:val="0"/>
          <w:marBottom w:val="0"/>
          <w:divBdr>
            <w:top w:val="none" w:sz="0" w:space="0" w:color="auto"/>
            <w:left w:val="none" w:sz="0" w:space="0" w:color="auto"/>
            <w:bottom w:val="none" w:sz="0" w:space="0" w:color="auto"/>
            <w:right w:val="none" w:sz="0" w:space="0" w:color="auto"/>
          </w:divBdr>
        </w:div>
        <w:div w:id="1835149285">
          <w:marLeft w:val="0"/>
          <w:marRight w:val="0"/>
          <w:marTop w:val="0"/>
          <w:marBottom w:val="0"/>
          <w:divBdr>
            <w:top w:val="none" w:sz="0" w:space="0" w:color="auto"/>
            <w:left w:val="none" w:sz="0" w:space="0" w:color="auto"/>
            <w:bottom w:val="none" w:sz="0" w:space="0" w:color="auto"/>
            <w:right w:val="none" w:sz="0" w:space="0" w:color="auto"/>
          </w:divBdr>
        </w:div>
        <w:div w:id="1845395359">
          <w:marLeft w:val="0"/>
          <w:marRight w:val="0"/>
          <w:marTop w:val="0"/>
          <w:marBottom w:val="0"/>
          <w:divBdr>
            <w:top w:val="none" w:sz="0" w:space="0" w:color="auto"/>
            <w:left w:val="none" w:sz="0" w:space="0" w:color="auto"/>
            <w:bottom w:val="none" w:sz="0" w:space="0" w:color="auto"/>
            <w:right w:val="none" w:sz="0" w:space="0" w:color="auto"/>
          </w:divBdr>
        </w:div>
        <w:div w:id="1871600675">
          <w:marLeft w:val="0"/>
          <w:marRight w:val="0"/>
          <w:marTop w:val="0"/>
          <w:marBottom w:val="0"/>
          <w:divBdr>
            <w:top w:val="none" w:sz="0" w:space="0" w:color="auto"/>
            <w:left w:val="none" w:sz="0" w:space="0" w:color="auto"/>
            <w:bottom w:val="none" w:sz="0" w:space="0" w:color="auto"/>
            <w:right w:val="none" w:sz="0" w:space="0" w:color="auto"/>
          </w:divBdr>
        </w:div>
        <w:div w:id="2005425166">
          <w:marLeft w:val="0"/>
          <w:marRight w:val="0"/>
          <w:marTop w:val="0"/>
          <w:marBottom w:val="0"/>
          <w:divBdr>
            <w:top w:val="none" w:sz="0" w:space="0" w:color="auto"/>
            <w:left w:val="none" w:sz="0" w:space="0" w:color="auto"/>
            <w:bottom w:val="none" w:sz="0" w:space="0" w:color="auto"/>
            <w:right w:val="none" w:sz="0" w:space="0" w:color="auto"/>
          </w:divBdr>
        </w:div>
        <w:div w:id="2019699679">
          <w:marLeft w:val="0"/>
          <w:marRight w:val="0"/>
          <w:marTop w:val="0"/>
          <w:marBottom w:val="0"/>
          <w:divBdr>
            <w:top w:val="none" w:sz="0" w:space="0" w:color="auto"/>
            <w:left w:val="none" w:sz="0" w:space="0" w:color="auto"/>
            <w:bottom w:val="none" w:sz="0" w:space="0" w:color="auto"/>
            <w:right w:val="none" w:sz="0" w:space="0" w:color="auto"/>
          </w:divBdr>
        </w:div>
        <w:div w:id="2036954441">
          <w:marLeft w:val="0"/>
          <w:marRight w:val="0"/>
          <w:marTop w:val="0"/>
          <w:marBottom w:val="0"/>
          <w:divBdr>
            <w:top w:val="none" w:sz="0" w:space="0" w:color="auto"/>
            <w:left w:val="none" w:sz="0" w:space="0" w:color="auto"/>
            <w:bottom w:val="none" w:sz="0" w:space="0" w:color="auto"/>
            <w:right w:val="none" w:sz="0" w:space="0" w:color="auto"/>
          </w:divBdr>
        </w:div>
        <w:div w:id="2060322843">
          <w:marLeft w:val="0"/>
          <w:marRight w:val="0"/>
          <w:marTop w:val="0"/>
          <w:marBottom w:val="0"/>
          <w:divBdr>
            <w:top w:val="none" w:sz="0" w:space="0" w:color="auto"/>
            <w:left w:val="none" w:sz="0" w:space="0" w:color="auto"/>
            <w:bottom w:val="none" w:sz="0" w:space="0" w:color="auto"/>
            <w:right w:val="none" w:sz="0" w:space="0" w:color="auto"/>
          </w:divBdr>
        </w:div>
        <w:div w:id="2066491287">
          <w:marLeft w:val="0"/>
          <w:marRight w:val="0"/>
          <w:marTop w:val="0"/>
          <w:marBottom w:val="0"/>
          <w:divBdr>
            <w:top w:val="none" w:sz="0" w:space="0" w:color="auto"/>
            <w:left w:val="none" w:sz="0" w:space="0" w:color="auto"/>
            <w:bottom w:val="none" w:sz="0" w:space="0" w:color="auto"/>
            <w:right w:val="none" w:sz="0" w:space="0" w:color="auto"/>
          </w:divBdr>
        </w:div>
        <w:div w:id="2070839101">
          <w:marLeft w:val="0"/>
          <w:marRight w:val="0"/>
          <w:marTop w:val="0"/>
          <w:marBottom w:val="0"/>
          <w:divBdr>
            <w:top w:val="none" w:sz="0" w:space="0" w:color="auto"/>
            <w:left w:val="none" w:sz="0" w:space="0" w:color="auto"/>
            <w:bottom w:val="none" w:sz="0" w:space="0" w:color="auto"/>
            <w:right w:val="none" w:sz="0" w:space="0" w:color="auto"/>
          </w:divBdr>
        </w:div>
        <w:div w:id="2072730324">
          <w:marLeft w:val="0"/>
          <w:marRight w:val="0"/>
          <w:marTop w:val="0"/>
          <w:marBottom w:val="0"/>
          <w:divBdr>
            <w:top w:val="none" w:sz="0" w:space="0" w:color="auto"/>
            <w:left w:val="none" w:sz="0" w:space="0" w:color="auto"/>
            <w:bottom w:val="none" w:sz="0" w:space="0" w:color="auto"/>
            <w:right w:val="none" w:sz="0" w:space="0" w:color="auto"/>
          </w:divBdr>
        </w:div>
        <w:div w:id="2140026643">
          <w:marLeft w:val="0"/>
          <w:marRight w:val="0"/>
          <w:marTop w:val="0"/>
          <w:marBottom w:val="0"/>
          <w:divBdr>
            <w:top w:val="none" w:sz="0" w:space="0" w:color="auto"/>
            <w:left w:val="none" w:sz="0" w:space="0" w:color="auto"/>
            <w:bottom w:val="none" w:sz="0" w:space="0" w:color="auto"/>
            <w:right w:val="none" w:sz="0" w:space="0" w:color="auto"/>
          </w:divBdr>
        </w:div>
      </w:divsChild>
    </w:div>
    <w:div w:id="1384527161">
      <w:bodyDiv w:val="1"/>
      <w:marLeft w:val="0"/>
      <w:marRight w:val="0"/>
      <w:marTop w:val="0"/>
      <w:marBottom w:val="0"/>
      <w:divBdr>
        <w:top w:val="none" w:sz="0" w:space="0" w:color="auto"/>
        <w:left w:val="none" w:sz="0" w:space="0" w:color="auto"/>
        <w:bottom w:val="none" w:sz="0" w:space="0" w:color="auto"/>
        <w:right w:val="none" w:sz="0" w:space="0" w:color="auto"/>
      </w:divBdr>
    </w:div>
    <w:div w:id="1388725854">
      <w:bodyDiv w:val="1"/>
      <w:marLeft w:val="0"/>
      <w:marRight w:val="0"/>
      <w:marTop w:val="0"/>
      <w:marBottom w:val="0"/>
      <w:divBdr>
        <w:top w:val="none" w:sz="0" w:space="0" w:color="auto"/>
        <w:left w:val="none" w:sz="0" w:space="0" w:color="auto"/>
        <w:bottom w:val="none" w:sz="0" w:space="0" w:color="auto"/>
        <w:right w:val="none" w:sz="0" w:space="0" w:color="auto"/>
      </w:divBdr>
    </w:div>
    <w:div w:id="1401557988">
      <w:bodyDiv w:val="1"/>
      <w:marLeft w:val="0"/>
      <w:marRight w:val="0"/>
      <w:marTop w:val="0"/>
      <w:marBottom w:val="0"/>
      <w:divBdr>
        <w:top w:val="none" w:sz="0" w:space="0" w:color="auto"/>
        <w:left w:val="none" w:sz="0" w:space="0" w:color="auto"/>
        <w:bottom w:val="none" w:sz="0" w:space="0" w:color="auto"/>
        <w:right w:val="none" w:sz="0" w:space="0" w:color="auto"/>
      </w:divBdr>
    </w:div>
    <w:div w:id="1403136076">
      <w:bodyDiv w:val="1"/>
      <w:marLeft w:val="0"/>
      <w:marRight w:val="0"/>
      <w:marTop w:val="0"/>
      <w:marBottom w:val="0"/>
      <w:divBdr>
        <w:top w:val="none" w:sz="0" w:space="0" w:color="auto"/>
        <w:left w:val="none" w:sz="0" w:space="0" w:color="auto"/>
        <w:bottom w:val="none" w:sz="0" w:space="0" w:color="auto"/>
        <w:right w:val="none" w:sz="0" w:space="0" w:color="auto"/>
      </w:divBdr>
    </w:div>
    <w:div w:id="1421221463">
      <w:bodyDiv w:val="1"/>
      <w:marLeft w:val="0"/>
      <w:marRight w:val="0"/>
      <w:marTop w:val="0"/>
      <w:marBottom w:val="0"/>
      <w:divBdr>
        <w:top w:val="none" w:sz="0" w:space="0" w:color="auto"/>
        <w:left w:val="none" w:sz="0" w:space="0" w:color="auto"/>
        <w:bottom w:val="none" w:sz="0" w:space="0" w:color="auto"/>
        <w:right w:val="none" w:sz="0" w:space="0" w:color="auto"/>
      </w:divBdr>
    </w:div>
    <w:div w:id="1429503606">
      <w:bodyDiv w:val="1"/>
      <w:marLeft w:val="0"/>
      <w:marRight w:val="0"/>
      <w:marTop w:val="0"/>
      <w:marBottom w:val="0"/>
      <w:divBdr>
        <w:top w:val="none" w:sz="0" w:space="0" w:color="auto"/>
        <w:left w:val="none" w:sz="0" w:space="0" w:color="auto"/>
        <w:bottom w:val="none" w:sz="0" w:space="0" w:color="auto"/>
        <w:right w:val="none" w:sz="0" w:space="0" w:color="auto"/>
      </w:divBdr>
    </w:div>
    <w:div w:id="1447193833">
      <w:bodyDiv w:val="1"/>
      <w:marLeft w:val="0"/>
      <w:marRight w:val="0"/>
      <w:marTop w:val="0"/>
      <w:marBottom w:val="0"/>
      <w:divBdr>
        <w:top w:val="none" w:sz="0" w:space="0" w:color="auto"/>
        <w:left w:val="none" w:sz="0" w:space="0" w:color="auto"/>
        <w:bottom w:val="none" w:sz="0" w:space="0" w:color="auto"/>
        <w:right w:val="none" w:sz="0" w:space="0" w:color="auto"/>
      </w:divBdr>
    </w:div>
    <w:div w:id="1464542386">
      <w:bodyDiv w:val="1"/>
      <w:marLeft w:val="0"/>
      <w:marRight w:val="0"/>
      <w:marTop w:val="0"/>
      <w:marBottom w:val="0"/>
      <w:divBdr>
        <w:top w:val="none" w:sz="0" w:space="0" w:color="auto"/>
        <w:left w:val="none" w:sz="0" w:space="0" w:color="auto"/>
        <w:bottom w:val="none" w:sz="0" w:space="0" w:color="auto"/>
        <w:right w:val="none" w:sz="0" w:space="0" w:color="auto"/>
      </w:divBdr>
    </w:div>
    <w:div w:id="1496334895">
      <w:bodyDiv w:val="1"/>
      <w:marLeft w:val="0"/>
      <w:marRight w:val="0"/>
      <w:marTop w:val="0"/>
      <w:marBottom w:val="0"/>
      <w:divBdr>
        <w:top w:val="none" w:sz="0" w:space="0" w:color="auto"/>
        <w:left w:val="none" w:sz="0" w:space="0" w:color="auto"/>
        <w:bottom w:val="none" w:sz="0" w:space="0" w:color="auto"/>
        <w:right w:val="none" w:sz="0" w:space="0" w:color="auto"/>
      </w:divBdr>
      <w:divsChild>
        <w:div w:id="411775145">
          <w:marLeft w:val="0"/>
          <w:marRight w:val="0"/>
          <w:marTop w:val="0"/>
          <w:marBottom w:val="0"/>
          <w:divBdr>
            <w:top w:val="none" w:sz="0" w:space="0" w:color="auto"/>
            <w:left w:val="none" w:sz="0" w:space="0" w:color="auto"/>
            <w:bottom w:val="none" w:sz="0" w:space="0" w:color="auto"/>
            <w:right w:val="none" w:sz="0" w:space="0" w:color="auto"/>
          </w:divBdr>
        </w:div>
        <w:div w:id="428353265">
          <w:marLeft w:val="0"/>
          <w:marRight w:val="0"/>
          <w:marTop w:val="0"/>
          <w:marBottom w:val="0"/>
          <w:divBdr>
            <w:top w:val="none" w:sz="0" w:space="0" w:color="auto"/>
            <w:left w:val="none" w:sz="0" w:space="0" w:color="auto"/>
            <w:bottom w:val="none" w:sz="0" w:space="0" w:color="auto"/>
            <w:right w:val="none" w:sz="0" w:space="0" w:color="auto"/>
          </w:divBdr>
        </w:div>
        <w:div w:id="474223356">
          <w:marLeft w:val="0"/>
          <w:marRight w:val="0"/>
          <w:marTop w:val="0"/>
          <w:marBottom w:val="0"/>
          <w:divBdr>
            <w:top w:val="none" w:sz="0" w:space="0" w:color="auto"/>
            <w:left w:val="none" w:sz="0" w:space="0" w:color="auto"/>
            <w:bottom w:val="none" w:sz="0" w:space="0" w:color="auto"/>
            <w:right w:val="none" w:sz="0" w:space="0" w:color="auto"/>
          </w:divBdr>
        </w:div>
        <w:div w:id="1360203094">
          <w:marLeft w:val="0"/>
          <w:marRight w:val="0"/>
          <w:marTop w:val="0"/>
          <w:marBottom w:val="0"/>
          <w:divBdr>
            <w:top w:val="none" w:sz="0" w:space="0" w:color="auto"/>
            <w:left w:val="none" w:sz="0" w:space="0" w:color="auto"/>
            <w:bottom w:val="none" w:sz="0" w:space="0" w:color="auto"/>
            <w:right w:val="none" w:sz="0" w:space="0" w:color="auto"/>
          </w:divBdr>
        </w:div>
        <w:div w:id="1361586254">
          <w:marLeft w:val="0"/>
          <w:marRight w:val="0"/>
          <w:marTop w:val="0"/>
          <w:marBottom w:val="0"/>
          <w:divBdr>
            <w:top w:val="none" w:sz="0" w:space="0" w:color="auto"/>
            <w:left w:val="none" w:sz="0" w:space="0" w:color="auto"/>
            <w:bottom w:val="none" w:sz="0" w:space="0" w:color="auto"/>
            <w:right w:val="none" w:sz="0" w:space="0" w:color="auto"/>
          </w:divBdr>
        </w:div>
        <w:div w:id="1426995066">
          <w:marLeft w:val="0"/>
          <w:marRight w:val="0"/>
          <w:marTop w:val="0"/>
          <w:marBottom w:val="0"/>
          <w:divBdr>
            <w:top w:val="none" w:sz="0" w:space="0" w:color="auto"/>
            <w:left w:val="none" w:sz="0" w:space="0" w:color="auto"/>
            <w:bottom w:val="none" w:sz="0" w:space="0" w:color="auto"/>
            <w:right w:val="none" w:sz="0" w:space="0" w:color="auto"/>
          </w:divBdr>
        </w:div>
        <w:div w:id="1591889572">
          <w:marLeft w:val="0"/>
          <w:marRight w:val="0"/>
          <w:marTop w:val="0"/>
          <w:marBottom w:val="0"/>
          <w:divBdr>
            <w:top w:val="none" w:sz="0" w:space="0" w:color="auto"/>
            <w:left w:val="none" w:sz="0" w:space="0" w:color="auto"/>
            <w:bottom w:val="none" w:sz="0" w:space="0" w:color="auto"/>
            <w:right w:val="none" w:sz="0" w:space="0" w:color="auto"/>
          </w:divBdr>
        </w:div>
        <w:div w:id="1626959328">
          <w:marLeft w:val="0"/>
          <w:marRight w:val="0"/>
          <w:marTop w:val="0"/>
          <w:marBottom w:val="0"/>
          <w:divBdr>
            <w:top w:val="none" w:sz="0" w:space="0" w:color="auto"/>
            <w:left w:val="none" w:sz="0" w:space="0" w:color="auto"/>
            <w:bottom w:val="none" w:sz="0" w:space="0" w:color="auto"/>
            <w:right w:val="none" w:sz="0" w:space="0" w:color="auto"/>
          </w:divBdr>
        </w:div>
        <w:div w:id="1792482056">
          <w:marLeft w:val="0"/>
          <w:marRight w:val="0"/>
          <w:marTop w:val="0"/>
          <w:marBottom w:val="0"/>
          <w:divBdr>
            <w:top w:val="none" w:sz="0" w:space="0" w:color="auto"/>
            <w:left w:val="none" w:sz="0" w:space="0" w:color="auto"/>
            <w:bottom w:val="none" w:sz="0" w:space="0" w:color="auto"/>
            <w:right w:val="none" w:sz="0" w:space="0" w:color="auto"/>
          </w:divBdr>
        </w:div>
        <w:div w:id="1917321519">
          <w:marLeft w:val="0"/>
          <w:marRight w:val="0"/>
          <w:marTop w:val="0"/>
          <w:marBottom w:val="0"/>
          <w:divBdr>
            <w:top w:val="none" w:sz="0" w:space="0" w:color="auto"/>
            <w:left w:val="none" w:sz="0" w:space="0" w:color="auto"/>
            <w:bottom w:val="none" w:sz="0" w:space="0" w:color="auto"/>
            <w:right w:val="none" w:sz="0" w:space="0" w:color="auto"/>
          </w:divBdr>
        </w:div>
      </w:divsChild>
    </w:div>
    <w:div w:id="1520465390">
      <w:bodyDiv w:val="1"/>
      <w:marLeft w:val="0"/>
      <w:marRight w:val="0"/>
      <w:marTop w:val="0"/>
      <w:marBottom w:val="0"/>
      <w:divBdr>
        <w:top w:val="none" w:sz="0" w:space="0" w:color="auto"/>
        <w:left w:val="none" w:sz="0" w:space="0" w:color="auto"/>
        <w:bottom w:val="none" w:sz="0" w:space="0" w:color="auto"/>
        <w:right w:val="none" w:sz="0" w:space="0" w:color="auto"/>
      </w:divBdr>
    </w:div>
    <w:div w:id="1529172442">
      <w:bodyDiv w:val="1"/>
      <w:marLeft w:val="0"/>
      <w:marRight w:val="0"/>
      <w:marTop w:val="0"/>
      <w:marBottom w:val="0"/>
      <w:divBdr>
        <w:top w:val="none" w:sz="0" w:space="0" w:color="auto"/>
        <w:left w:val="none" w:sz="0" w:space="0" w:color="auto"/>
        <w:bottom w:val="none" w:sz="0" w:space="0" w:color="auto"/>
        <w:right w:val="none" w:sz="0" w:space="0" w:color="auto"/>
      </w:divBdr>
    </w:div>
    <w:div w:id="1536963352">
      <w:bodyDiv w:val="1"/>
      <w:marLeft w:val="0"/>
      <w:marRight w:val="0"/>
      <w:marTop w:val="0"/>
      <w:marBottom w:val="0"/>
      <w:divBdr>
        <w:top w:val="none" w:sz="0" w:space="0" w:color="auto"/>
        <w:left w:val="none" w:sz="0" w:space="0" w:color="auto"/>
        <w:bottom w:val="none" w:sz="0" w:space="0" w:color="auto"/>
        <w:right w:val="none" w:sz="0" w:space="0" w:color="auto"/>
      </w:divBdr>
    </w:div>
    <w:div w:id="1539047942">
      <w:bodyDiv w:val="1"/>
      <w:marLeft w:val="0"/>
      <w:marRight w:val="0"/>
      <w:marTop w:val="0"/>
      <w:marBottom w:val="0"/>
      <w:divBdr>
        <w:top w:val="none" w:sz="0" w:space="0" w:color="auto"/>
        <w:left w:val="none" w:sz="0" w:space="0" w:color="auto"/>
        <w:bottom w:val="none" w:sz="0" w:space="0" w:color="auto"/>
        <w:right w:val="none" w:sz="0" w:space="0" w:color="auto"/>
      </w:divBdr>
      <w:divsChild>
        <w:div w:id="693961662">
          <w:marLeft w:val="0"/>
          <w:marRight w:val="0"/>
          <w:marTop w:val="0"/>
          <w:marBottom w:val="0"/>
          <w:divBdr>
            <w:top w:val="none" w:sz="0" w:space="0" w:color="auto"/>
            <w:left w:val="none" w:sz="0" w:space="0" w:color="auto"/>
            <w:bottom w:val="none" w:sz="0" w:space="0" w:color="auto"/>
            <w:right w:val="none" w:sz="0" w:space="0" w:color="auto"/>
          </w:divBdr>
        </w:div>
        <w:div w:id="709304031">
          <w:marLeft w:val="0"/>
          <w:marRight w:val="0"/>
          <w:marTop w:val="0"/>
          <w:marBottom w:val="0"/>
          <w:divBdr>
            <w:top w:val="none" w:sz="0" w:space="0" w:color="auto"/>
            <w:left w:val="none" w:sz="0" w:space="0" w:color="auto"/>
            <w:bottom w:val="none" w:sz="0" w:space="0" w:color="auto"/>
            <w:right w:val="none" w:sz="0" w:space="0" w:color="auto"/>
          </w:divBdr>
        </w:div>
        <w:div w:id="1645617434">
          <w:marLeft w:val="0"/>
          <w:marRight w:val="0"/>
          <w:marTop w:val="0"/>
          <w:marBottom w:val="0"/>
          <w:divBdr>
            <w:top w:val="none" w:sz="0" w:space="0" w:color="auto"/>
            <w:left w:val="none" w:sz="0" w:space="0" w:color="auto"/>
            <w:bottom w:val="none" w:sz="0" w:space="0" w:color="auto"/>
            <w:right w:val="none" w:sz="0" w:space="0" w:color="auto"/>
          </w:divBdr>
        </w:div>
        <w:div w:id="1775635322">
          <w:marLeft w:val="0"/>
          <w:marRight w:val="0"/>
          <w:marTop w:val="0"/>
          <w:marBottom w:val="0"/>
          <w:divBdr>
            <w:top w:val="none" w:sz="0" w:space="0" w:color="auto"/>
            <w:left w:val="none" w:sz="0" w:space="0" w:color="auto"/>
            <w:bottom w:val="none" w:sz="0" w:space="0" w:color="auto"/>
            <w:right w:val="none" w:sz="0" w:space="0" w:color="auto"/>
          </w:divBdr>
        </w:div>
        <w:div w:id="1784348700">
          <w:marLeft w:val="0"/>
          <w:marRight w:val="0"/>
          <w:marTop w:val="0"/>
          <w:marBottom w:val="0"/>
          <w:divBdr>
            <w:top w:val="none" w:sz="0" w:space="0" w:color="auto"/>
            <w:left w:val="none" w:sz="0" w:space="0" w:color="auto"/>
            <w:bottom w:val="none" w:sz="0" w:space="0" w:color="auto"/>
            <w:right w:val="none" w:sz="0" w:space="0" w:color="auto"/>
          </w:divBdr>
        </w:div>
      </w:divsChild>
    </w:div>
    <w:div w:id="1541160547">
      <w:bodyDiv w:val="1"/>
      <w:marLeft w:val="0"/>
      <w:marRight w:val="0"/>
      <w:marTop w:val="0"/>
      <w:marBottom w:val="0"/>
      <w:divBdr>
        <w:top w:val="none" w:sz="0" w:space="0" w:color="auto"/>
        <w:left w:val="none" w:sz="0" w:space="0" w:color="auto"/>
        <w:bottom w:val="none" w:sz="0" w:space="0" w:color="auto"/>
        <w:right w:val="none" w:sz="0" w:space="0" w:color="auto"/>
      </w:divBdr>
    </w:div>
    <w:div w:id="1547140785">
      <w:bodyDiv w:val="1"/>
      <w:marLeft w:val="0"/>
      <w:marRight w:val="0"/>
      <w:marTop w:val="0"/>
      <w:marBottom w:val="0"/>
      <w:divBdr>
        <w:top w:val="none" w:sz="0" w:space="0" w:color="auto"/>
        <w:left w:val="none" w:sz="0" w:space="0" w:color="auto"/>
        <w:bottom w:val="none" w:sz="0" w:space="0" w:color="auto"/>
        <w:right w:val="none" w:sz="0" w:space="0" w:color="auto"/>
      </w:divBdr>
    </w:div>
    <w:div w:id="1559393169">
      <w:bodyDiv w:val="1"/>
      <w:marLeft w:val="0"/>
      <w:marRight w:val="0"/>
      <w:marTop w:val="0"/>
      <w:marBottom w:val="0"/>
      <w:divBdr>
        <w:top w:val="none" w:sz="0" w:space="0" w:color="auto"/>
        <w:left w:val="none" w:sz="0" w:space="0" w:color="auto"/>
        <w:bottom w:val="none" w:sz="0" w:space="0" w:color="auto"/>
        <w:right w:val="none" w:sz="0" w:space="0" w:color="auto"/>
      </w:divBdr>
    </w:div>
    <w:div w:id="1573539338">
      <w:bodyDiv w:val="1"/>
      <w:marLeft w:val="0"/>
      <w:marRight w:val="0"/>
      <w:marTop w:val="0"/>
      <w:marBottom w:val="0"/>
      <w:divBdr>
        <w:top w:val="none" w:sz="0" w:space="0" w:color="auto"/>
        <w:left w:val="none" w:sz="0" w:space="0" w:color="auto"/>
        <w:bottom w:val="none" w:sz="0" w:space="0" w:color="auto"/>
        <w:right w:val="none" w:sz="0" w:space="0" w:color="auto"/>
      </w:divBdr>
      <w:divsChild>
        <w:div w:id="119766946">
          <w:marLeft w:val="0"/>
          <w:marRight w:val="0"/>
          <w:marTop w:val="0"/>
          <w:marBottom w:val="0"/>
          <w:divBdr>
            <w:top w:val="none" w:sz="0" w:space="0" w:color="auto"/>
            <w:left w:val="none" w:sz="0" w:space="0" w:color="auto"/>
            <w:bottom w:val="none" w:sz="0" w:space="0" w:color="auto"/>
            <w:right w:val="none" w:sz="0" w:space="0" w:color="auto"/>
          </w:divBdr>
        </w:div>
        <w:div w:id="265775844">
          <w:marLeft w:val="0"/>
          <w:marRight w:val="0"/>
          <w:marTop w:val="0"/>
          <w:marBottom w:val="0"/>
          <w:divBdr>
            <w:top w:val="none" w:sz="0" w:space="0" w:color="auto"/>
            <w:left w:val="none" w:sz="0" w:space="0" w:color="auto"/>
            <w:bottom w:val="none" w:sz="0" w:space="0" w:color="auto"/>
            <w:right w:val="none" w:sz="0" w:space="0" w:color="auto"/>
          </w:divBdr>
        </w:div>
        <w:div w:id="370808497">
          <w:marLeft w:val="0"/>
          <w:marRight w:val="0"/>
          <w:marTop w:val="0"/>
          <w:marBottom w:val="0"/>
          <w:divBdr>
            <w:top w:val="none" w:sz="0" w:space="0" w:color="auto"/>
            <w:left w:val="none" w:sz="0" w:space="0" w:color="auto"/>
            <w:bottom w:val="none" w:sz="0" w:space="0" w:color="auto"/>
            <w:right w:val="none" w:sz="0" w:space="0" w:color="auto"/>
          </w:divBdr>
        </w:div>
        <w:div w:id="436606364">
          <w:marLeft w:val="0"/>
          <w:marRight w:val="0"/>
          <w:marTop w:val="0"/>
          <w:marBottom w:val="0"/>
          <w:divBdr>
            <w:top w:val="none" w:sz="0" w:space="0" w:color="auto"/>
            <w:left w:val="none" w:sz="0" w:space="0" w:color="auto"/>
            <w:bottom w:val="none" w:sz="0" w:space="0" w:color="auto"/>
            <w:right w:val="none" w:sz="0" w:space="0" w:color="auto"/>
          </w:divBdr>
        </w:div>
        <w:div w:id="545216058">
          <w:marLeft w:val="0"/>
          <w:marRight w:val="0"/>
          <w:marTop w:val="0"/>
          <w:marBottom w:val="0"/>
          <w:divBdr>
            <w:top w:val="none" w:sz="0" w:space="0" w:color="auto"/>
            <w:left w:val="none" w:sz="0" w:space="0" w:color="auto"/>
            <w:bottom w:val="none" w:sz="0" w:space="0" w:color="auto"/>
            <w:right w:val="none" w:sz="0" w:space="0" w:color="auto"/>
          </w:divBdr>
        </w:div>
        <w:div w:id="623003912">
          <w:marLeft w:val="0"/>
          <w:marRight w:val="0"/>
          <w:marTop w:val="0"/>
          <w:marBottom w:val="0"/>
          <w:divBdr>
            <w:top w:val="none" w:sz="0" w:space="0" w:color="auto"/>
            <w:left w:val="none" w:sz="0" w:space="0" w:color="auto"/>
            <w:bottom w:val="none" w:sz="0" w:space="0" w:color="auto"/>
            <w:right w:val="none" w:sz="0" w:space="0" w:color="auto"/>
          </w:divBdr>
        </w:div>
        <w:div w:id="766074942">
          <w:marLeft w:val="0"/>
          <w:marRight w:val="0"/>
          <w:marTop w:val="0"/>
          <w:marBottom w:val="0"/>
          <w:divBdr>
            <w:top w:val="none" w:sz="0" w:space="0" w:color="auto"/>
            <w:left w:val="none" w:sz="0" w:space="0" w:color="auto"/>
            <w:bottom w:val="none" w:sz="0" w:space="0" w:color="auto"/>
            <w:right w:val="none" w:sz="0" w:space="0" w:color="auto"/>
          </w:divBdr>
        </w:div>
        <w:div w:id="993342002">
          <w:marLeft w:val="0"/>
          <w:marRight w:val="0"/>
          <w:marTop w:val="0"/>
          <w:marBottom w:val="0"/>
          <w:divBdr>
            <w:top w:val="none" w:sz="0" w:space="0" w:color="auto"/>
            <w:left w:val="none" w:sz="0" w:space="0" w:color="auto"/>
            <w:bottom w:val="none" w:sz="0" w:space="0" w:color="auto"/>
            <w:right w:val="none" w:sz="0" w:space="0" w:color="auto"/>
          </w:divBdr>
        </w:div>
        <w:div w:id="1112163475">
          <w:marLeft w:val="0"/>
          <w:marRight w:val="0"/>
          <w:marTop w:val="0"/>
          <w:marBottom w:val="0"/>
          <w:divBdr>
            <w:top w:val="none" w:sz="0" w:space="0" w:color="auto"/>
            <w:left w:val="none" w:sz="0" w:space="0" w:color="auto"/>
            <w:bottom w:val="none" w:sz="0" w:space="0" w:color="auto"/>
            <w:right w:val="none" w:sz="0" w:space="0" w:color="auto"/>
          </w:divBdr>
        </w:div>
        <w:div w:id="1313829004">
          <w:marLeft w:val="0"/>
          <w:marRight w:val="0"/>
          <w:marTop w:val="0"/>
          <w:marBottom w:val="0"/>
          <w:divBdr>
            <w:top w:val="none" w:sz="0" w:space="0" w:color="auto"/>
            <w:left w:val="none" w:sz="0" w:space="0" w:color="auto"/>
            <w:bottom w:val="none" w:sz="0" w:space="0" w:color="auto"/>
            <w:right w:val="none" w:sz="0" w:space="0" w:color="auto"/>
          </w:divBdr>
        </w:div>
        <w:div w:id="1439715813">
          <w:marLeft w:val="0"/>
          <w:marRight w:val="0"/>
          <w:marTop w:val="0"/>
          <w:marBottom w:val="0"/>
          <w:divBdr>
            <w:top w:val="none" w:sz="0" w:space="0" w:color="auto"/>
            <w:left w:val="none" w:sz="0" w:space="0" w:color="auto"/>
            <w:bottom w:val="none" w:sz="0" w:space="0" w:color="auto"/>
            <w:right w:val="none" w:sz="0" w:space="0" w:color="auto"/>
          </w:divBdr>
        </w:div>
        <w:div w:id="1449202736">
          <w:marLeft w:val="0"/>
          <w:marRight w:val="0"/>
          <w:marTop w:val="0"/>
          <w:marBottom w:val="0"/>
          <w:divBdr>
            <w:top w:val="none" w:sz="0" w:space="0" w:color="auto"/>
            <w:left w:val="none" w:sz="0" w:space="0" w:color="auto"/>
            <w:bottom w:val="none" w:sz="0" w:space="0" w:color="auto"/>
            <w:right w:val="none" w:sz="0" w:space="0" w:color="auto"/>
          </w:divBdr>
        </w:div>
        <w:div w:id="1696224319">
          <w:marLeft w:val="0"/>
          <w:marRight w:val="0"/>
          <w:marTop w:val="0"/>
          <w:marBottom w:val="0"/>
          <w:divBdr>
            <w:top w:val="none" w:sz="0" w:space="0" w:color="auto"/>
            <w:left w:val="none" w:sz="0" w:space="0" w:color="auto"/>
            <w:bottom w:val="none" w:sz="0" w:space="0" w:color="auto"/>
            <w:right w:val="none" w:sz="0" w:space="0" w:color="auto"/>
          </w:divBdr>
        </w:div>
        <w:div w:id="1719891848">
          <w:marLeft w:val="0"/>
          <w:marRight w:val="0"/>
          <w:marTop w:val="0"/>
          <w:marBottom w:val="0"/>
          <w:divBdr>
            <w:top w:val="none" w:sz="0" w:space="0" w:color="auto"/>
            <w:left w:val="none" w:sz="0" w:space="0" w:color="auto"/>
            <w:bottom w:val="none" w:sz="0" w:space="0" w:color="auto"/>
            <w:right w:val="none" w:sz="0" w:space="0" w:color="auto"/>
          </w:divBdr>
        </w:div>
        <w:div w:id="2115787071">
          <w:marLeft w:val="0"/>
          <w:marRight w:val="0"/>
          <w:marTop w:val="0"/>
          <w:marBottom w:val="0"/>
          <w:divBdr>
            <w:top w:val="none" w:sz="0" w:space="0" w:color="auto"/>
            <w:left w:val="none" w:sz="0" w:space="0" w:color="auto"/>
            <w:bottom w:val="none" w:sz="0" w:space="0" w:color="auto"/>
            <w:right w:val="none" w:sz="0" w:space="0" w:color="auto"/>
          </w:divBdr>
        </w:div>
      </w:divsChild>
    </w:div>
    <w:div w:id="1574007203">
      <w:bodyDiv w:val="1"/>
      <w:marLeft w:val="0"/>
      <w:marRight w:val="0"/>
      <w:marTop w:val="0"/>
      <w:marBottom w:val="0"/>
      <w:divBdr>
        <w:top w:val="none" w:sz="0" w:space="0" w:color="auto"/>
        <w:left w:val="none" w:sz="0" w:space="0" w:color="auto"/>
        <w:bottom w:val="none" w:sz="0" w:space="0" w:color="auto"/>
        <w:right w:val="none" w:sz="0" w:space="0" w:color="auto"/>
      </w:divBdr>
    </w:div>
    <w:div w:id="1579628604">
      <w:bodyDiv w:val="1"/>
      <w:marLeft w:val="0"/>
      <w:marRight w:val="0"/>
      <w:marTop w:val="0"/>
      <w:marBottom w:val="0"/>
      <w:divBdr>
        <w:top w:val="none" w:sz="0" w:space="0" w:color="auto"/>
        <w:left w:val="none" w:sz="0" w:space="0" w:color="auto"/>
        <w:bottom w:val="none" w:sz="0" w:space="0" w:color="auto"/>
        <w:right w:val="none" w:sz="0" w:space="0" w:color="auto"/>
      </w:divBdr>
    </w:div>
    <w:div w:id="1579973511">
      <w:bodyDiv w:val="1"/>
      <w:marLeft w:val="0"/>
      <w:marRight w:val="0"/>
      <w:marTop w:val="0"/>
      <w:marBottom w:val="0"/>
      <w:divBdr>
        <w:top w:val="none" w:sz="0" w:space="0" w:color="auto"/>
        <w:left w:val="none" w:sz="0" w:space="0" w:color="auto"/>
        <w:bottom w:val="none" w:sz="0" w:space="0" w:color="auto"/>
        <w:right w:val="none" w:sz="0" w:space="0" w:color="auto"/>
      </w:divBdr>
    </w:div>
    <w:div w:id="1587609708">
      <w:bodyDiv w:val="1"/>
      <w:marLeft w:val="0"/>
      <w:marRight w:val="0"/>
      <w:marTop w:val="0"/>
      <w:marBottom w:val="0"/>
      <w:divBdr>
        <w:top w:val="none" w:sz="0" w:space="0" w:color="auto"/>
        <w:left w:val="none" w:sz="0" w:space="0" w:color="auto"/>
        <w:bottom w:val="none" w:sz="0" w:space="0" w:color="auto"/>
        <w:right w:val="none" w:sz="0" w:space="0" w:color="auto"/>
      </w:divBdr>
    </w:div>
    <w:div w:id="1599826516">
      <w:bodyDiv w:val="1"/>
      <w:marLeft w:val="0"/>
      <w:marRight w:val="0"/>
      <w:marTop w:val="0"/>
      <w:marBottom w:val="0"/>
      <w:divBdr>
        <w:top w:val="none" w:sz="0" w:space="0" w:color="auto"/>
        <w:left w:val="none" w:sz="0" w:space="0" w:color="auto"/>
        <w:bottom w:val="none" w:sz="0" w:space="0" w:color="auto"/>
        <w:right w:val="none" w:sz="0" w:space="0" w:color="auto"/>
      </w:divBdr>
    </w:div>
    <w:div w:id="1600411880">
      <w:bodyDiv w:val="1"/>
      <w:marLeft w:val="0"/>
      <w:marRight w:val="0"/>
      <w:marTop w:val="0"/>
      <w:marBottom w:val="0"/>
      <w:divBdr>
        <w:top w:val="none" w:sz="0" w:space="0" w:color="auto"/>
        <w:left w:val="none" w:sz="0" w:space="0" w:color="auto"/>
        <w:bottom w:val="none" w:sz="0" w:space="0" w:color="auto"/>
        <w:right w:val="none" w:sz="0" w:space="0" w:color="auto"/>
      </w:divBdr>
    </w:div>
    <w:div w:id="1606300839">
      <w:bodyDiv w:val="1"/>
      <w:marLeft w:val="0"/>
      <w:marRight w:val="0"/>
      <w:marTop w:val="0"/>
      <w:marBottom w:val="0"/>
      <w:divBdr>
        <w:top w:val="none" w:sz="0" w:space="0" w:color="auto"/>
        <w:left w:val="none" w:sz="0" w:space="0" w:color="auto"/>
        <w:bottom w:val="none" w:sz="0" w:space="0" w:color="auto"/>
        <w:right w:val="none" w:sz="0" w:space="0" w:color="auto"/>
      </w:divBdr>
    </w:div>
    <w:div w:id="1609921944">
      <w:bodyDiv w:val="1"/>
      <w:marLeft w:val="0"/>
      <w:marRight w:val="0"/>
      <w:marTop w:val="0"/>
      <w:marBottom w:val="0"/>
      <w:divBdr>
        <w:top w:val="none" w:sz="0" w:space="0" w:color="auto"/>
        <w:left w:val="none" w:sz="0" w:space="0" w:color="auto"/>
        <w:bottom w:val="none" w:sz="0" w:space="0" w:color="auto"/>
        <w:right w:val="none" w:sz="0" w:space="0" w:color="auto"/>
      </w:divBdr>
    </w:div>
    <w:div w:id="1612980621">
      <w:bodyDiv w:val="1"/>
      <w:marLeft w:val="0"/>
      <w:marRight w:val="0"/>
      <w:marTop w:val="0"/>
      <w:marBottom w:val="0"/>
      <w:divBdr>
        <w:top w:val="none" w:sz="0" w:space="0" w:color="auto"/>
        <w:left w:val="none" w:sz="0" w:space="0" w:color="auto"/>
        <w:bottom w:val="none" w:sz="0" w:space="0" w:color="auto"/>
        <w:right w:val="none" w:sz="0" w:space="0" w:color="auto"/>
      </w:divBdr>
    </w:div>
    <w:div w:id="1636522751">
      <w:bodyDiv w:val="1"/>
      <w:marLeft w:val="0"/>
      <w:marRight w:val="0"/>
      <w:marTop w:val="0"/>
      <w:marBottom w:val="0"/>
      <w:divBdr>
        <w:top w:val="none" w:sz="0" w:space="0" w:color="auto"/>
        <w:left w:val="none" w:sz="0" w:space="0" w:color="auto"/>
        <w:bottom w:val="none" w:sz="0" w:space="0" w:color="auto"/>
        <w:right w:val="none" w:sz="0" w:space="0" w:color="auto"/>
      </w:divBdr>
    </w:div>
    <w:div w:id="1639453636">
      <w:bodyDiv w:val="1"/>
      <w:marLeft w:val="0"/>
      <w:marRight w:val="0"/>
      <w:marTop w:val="0"/>
      <w:marBottom w:val="0"/>
      <w:divBdr>
        <w:top w:val="none" w:sz="0" w:space="0" w:color="auto"/>
        <w:left w:val="none" w:sz="0" w:space="0" w:color="auto"/>
        <w:bottom w:val="none" w:sz="0" w:space="0" w:color="auto"/>
        <w:right w:val="none" w:sz="0" w:space="0" w:color="auto"/>
      </w:divBdr>
      <w:divsChild>
        <w:div w:id="200364026">
          <w:marLeft w:val="0"/>
          <w:marRight w:val="0"/>
          <w:marTop w:val="0"/>
          <w:marBottom w:val="0"/>
          <w:divBdr>
            <w:top w:val="none" w:sz="0" w:space="0" w:color="auto"/>
            <w:left w:val="none" w:sz="0" w:space="0" w:color="auto"/>
            <w:bottom w:val="none" w:sz="0" w:space="0" w:color="auto"/>
            <w:right w:val="none" w:sz="0" w:space="0" w:color="auto"/>
          </w:divBdr>
        </w:div>
        <w:div w:id="225381526">
          <w:marLeft w:val="0"/>
          <w:marRight w:val="0"/>
          <w:marTop w:val="0"/>
          <w:marBottom w:val="0"/>
          <w:divBdr>
            <w:top w:val="none" w:sz="0" w:space="0" w:color="auto"/>
            <w:left w:val="none" w:sz="0" w:space="0" w:color="auto"/>
            <w:bottom w:val="none" w:sz="0" w:space="0" w:color="auto"/>
            <w:right w:val="none" w:sz="0" w:space="0" w:color="auto"/>
          </w:divBdr>
        </w:div>
        <w:div w:id="520972519">
          <w:marLeft w:val="0"/>
          <w:marRight w:val="0"/>
          <w:marTop w:val="0"/>
          <w:marBottom w:val="0"/>
          <w:divBdr>
            <w:top w:val="none" w:sz="0" w:space="0" w:color="auto"/>
            <w:left w:val="none" w:sz="0" w:space="0" w:color="auto"/>
            <w:bottom w:val="none" w:sz="0" w:space="0" w:color="auto"/>
            <w:right w:val="none" w:sz="0" w:space="0" w:color="auto"/>
          </w:divBdr>
        </w:div>
        <w:div w:id="1028334238">
          <w:marLeft w:val="0"/>
          <w:marRight w:val="0"/>
          <w:marTop w:val="0"/>
          <w:marBottom w:val="0"/>
          <w:divBdr>
            <w:top w:val="none" w:sz="0" w:space="0" w:color="auto"/>
            <w:left w:val="none" w:sz="0" w:space="0" w:color="auto"/>
            <w:bottom w:val="none" w:sz="0" w:space="0" w:color="auto"/>
            <w:right w:val="none" w:sz="0" w:space="0" w:color="auto"/>
          </w:divBdr>
        </w:div>
        <w:div w:id="1036002154">
          <w:marLeft w:val="0"/>
          <w:marRight w:val="0"/>
          <w:marTop w:val="0"/>
          <w:marBottom w:val="0"/>
          <w:divBdr>
            <w:top w:val="none" w:sz="0" w:space="0" w:color="auto"/>
            <w:left w:val="none" w:sz="0" w:space="0" w:color="auto"/>
            <w:bottom w:val="none" w:sz="0" w:space="0" w:color="auto"/>
            <w:right w:val="none" w:sz="0" w:space="0" w:color="auto"/>
          </w:divBdr>
        </w:div>
        <w:div w:id="1070082676">
          <w:marLeft w:val="0"/>
          <w:marRight w:val="0"/>
          <w:marTop w:val="0"/>
          <w:marBottom w:val="0"/>
          <w:divBdr>
            <w:top w:val="none" w:sz="0" w:space="0" w:color="auto"/>
            <w:left w:val="none" w:sz="0" w:space="0" w:color="auto"/>
            <w:bottom w:val="none" w:sz="0" w:space="0" w:color="auto"/>
            <w:right w:val="none" w:sz="0" w:space="0" w:color="auto"/>
          </w:divBdr>
        </w:div>
        <w:div w:id="1204514651">
          <w:marLeft w:val="0"/>
          <w:marRight w:val="0"/>
          <w:marTop w:val="0"/>
          <w:marBottom w:val="0"/>
          <w:divBdr>
            <w:top w:val="none" w:sz="0" w:space="0" w:color="auto"/>
            <w:left w:val="none" w:sz="0" w:space="0" w:color="auto"/>
            <w:bottom w:val="none" w:sz="0" w:space="0" w:color="auto"/>
            <w:right w:val="none" w:sz="0" w:space="0" w:color="auto"/>
          </w:divBdr>
        </w:div>
      </w:divsChild>
    </w:div>
    <w:div w:id="1648197573">
      <w:bodyDiv w:val="1"/>
      <w:marLeft w:val="0"/>
      <w:marRight w:val="0"/>
      <w:marTop w:val="0"/>
      <w:marBottom w:val="0"/>
      <w:divBdr>
        <w:top w:val="none" w:sz="0" w:space="0" w:color="auto"/>
        <w:left w:val="none" w:sz="0" w:space="0" w:color="auto"/>
        <w:bottom w:val="none" w:sz="0" w:space="0" w:color="auto"/>
        <w:right w:val="none" w:sz="0" w:space="0" w:color="auto"/>
      </w:divBdr>
    </w:div>
    <w:div w:id="1650791324">
      <w:bodyDiv w:val="1"/>
      <w:marLeft w:val="0"/>
      <w:marRight w:val="0"/>
      <w:marTop w:val="0"/>
      <w:marBottom w:val="0"/>
      <w:divBdr>
        <w:top w:val="none" w:sz="0" w:space="0" w:color="auto"/>
        <w:left w:val="none" w:sz="0" w:space="0" w:color="auto"/>
        <w:bottom w:val="none" w:sz="0" w:space="0" w:color="auto"/>
        <w:right w:val="none" w:sz="0" w:space="0" w:color="auto"/>
      </w:divBdr>
    </w:div>
    <w:div w:id="1652715328">
      <w:bodyDiv w:val="1"/>
      <w:marLeft w:val="0"/>
      <w:marRight w:val="0"/>
      <w:marTop w:val="0"/>
      <w:marBottom w:val="0"/>
      <w:divBdr>
        <w:top w:val="none" w:sz="0" w:space="0" w:color="auto"/>
        <w:left w:val="none" w:sz="0" w:space="0" w:color="auto"/>
        <w:bottom w:val="none" w:sz="0" w:space="0" w:color="auto"/>
        <w:right w:val="none" w:sz="0" w:space="0" w:color="auto"/>
      </w:divBdr>
      <w:divsChild>
        <w:div w:id="1158229345">
          <w:marLeft w:val="0"/>
          <w:marRight w:val="0"/>
          <w:marTop w:val="0"/>
          <w:marBottom w:val="0"/>
          <w:divBdr>
            <w:top w:val="none" w:sz="0" w:space="0" w:color="auto"/>
            <w:left w:val="none" w:sz="0" w:space="0" w:color="auto"/>
            <w:bottom w:val="none" w:sz="0" w:space="0" w:color="auto"/>
            <w:right w:val="none" w:sz="0" w:space="0" w:color="auto"/>
          </w:divBdr>
        </w:div>
        <w:div w:id="1158812339">
          <w:marLeft w:val="0"/>
          <w:marRight w:val="0"/>
          <w:marTop w:val="0"/>
          <w:marBottom w:val="0"/>
          <w:divBdr>
            <w:top w:val="none" w:sz="0" w:space="0" w:color="auto"/>
            <w:left w:val="none" w:sz="0" w:space="0" w:color="auto"/>
            <w:bottom w:val="none" w:sz="0" w:space="0" w:color="auto"/>
            <w:right w:val="none" w:sz="0" w:space="0" w:color="auto"/>
          </w:divBdr>
        </w:div>
        <w:div w:id="1220943590">
          <w:marLeft w:val="0"/>
          <w:marRight w:val="0"/>
          <w:marTop w:val="0"/>
          <w:marBottom w:val="0"/>
          <w:divBdr>
            <w:top w:val="none" w:sz="0" w:space="0" w:color="auto"/>
            <w:left w:val="none" w:sz="0" w:space="0" w:color="auto"/>
            <w:bottom w:val="none" w:sz="0" w:space="0" w:color="auto"/>
            <w:right w:val="none" w:sz="0" w:space="0" w:color="auto"/>
          </w:divBdr>
        </w:div>
        <w:div w:id="1252079378">
          <w:marLeft w:val="0"/>
          <w:marRight w:val="0"/>
          <w:marTop w:val="0"/>
          <w:marBottom w:val="0"/>
          <w:divBdr>
            <w:top w:val="none" w:sz="0" w:space="0" w:color="auto"/>
            <w:left w:val="none" w:sz="0" w:space="0" w:color="auto"/>
            <w:bottom w:val="none" w:sz="0" w:space="0" w:color="auto"/>
            <w:right w:val="none" w:sz="0" w:space="0" w:color="auto"/>
          </w:divBdr>
        </w:div>
        <w:div w:id="1285773640">
          <w:marLeft w:val="0"/>
          <w:marRight w:val="0"/>
          <w:marTop w:val="0"/>
          <w:marBottom w:val="0"/>
          <w:divBdr>
            <w:top w:val="none" w:sz="0" w:space="0" w:color="auto"/>
            <w:left w:val="none" w:sz="0" w:space="0" w:color="auto"/>
            <w:bottom w:val="none" w:sz="0" w:space="0" w:color="auto"/>
            <w:right w:val="none" w:sz="0" w:space="0" w:color="auto"/>
          </w:divBdr>
        </w:div>
        <w:div w:id="1566338365">
          <w:marLeft w:val="0"/>
          <w:marRight w:val="0"/>
          <w:marTop w:val="0"/>
          <w:marBottom w:val="0"/>
          <w:divBdr>
            <w:top w:val="none" w:sz="0" w:space="0" w:color="auto"/>
            <w:left w:val="none" w:sz="0" w:space="0" w:color="auto"/>
            <w:bottom w:val="none" w:sz="0" w:space="0" w:color="auto"/>
            <w:right w:val="none" w:sz="0" w:space="0" w:color="auto"/>
          </w:divBdr>
        </w:div>
        <w:div w:id="1674185227">
          <w:marLeft w:val="0"/>
          <w:marRight w:val="0"/>
          <w:marTop w:val="0"/>
          <w:marBottom w:val="0"/>
          <w:divBdr>
            <w:top w:val="none" w:sz="0" w:space="0" w:color="auto"/>
            <w:left w:val="none" w:sz="0" w:space="0" w:color="auto"/>
            <w:bottom w:val="none" w:sz="0" w:space="0" w:color="auto"/>
            <w:right w:val="none" w:sz="0" w:space="0" w:color="auto"/>
          </w:divBdr>
        </w:div>
        <w:div w:id="1836846910">
          <w:marLeft w:val="0"/>
          <w:marRight w:val="0"/>
          <w:marTop w:val="0"/>
          <w:marBottom w:val="0"/>
          <w:divBdr>
            <w:top w:val="none" w:sz="0" w:space="0" w:color="auto"/>
            <w:left w:val="none" w:sz="0" w:space="0" w:color="auto"/>
            <w:bottom w:val="none" w:sz="0" w:space="0" w:color="auto"/>
            <w:right w:val="none" w:sz="0" w:space="0" w:color="auto"/>
          </w:divBdr>
        </w:div>
        <w:div w:id="2094937480">
          <w:marLeft w:val="0"/>
          <w:marRight w:val="0"/>
          <w:marTop w:val="0"/>
          <w:marBottom w:val="0"/>
          <w:divBdr>
            <w:top w:val="none" w:sz="0" w:space="0" w:color="auto"/>
            <w:left w:val="none" w:sz="0" w:space="0" w:color="auto"/>
            <w:bottom w:val="none" w:sz="0" w:space="0" w:color="auto"/>
            <w:right w:val="none" w:sz="0" w:space="0" w:color="auto"/>
          </w:divBdr>
        </w:div>
      </w:divsChild>
    </w:div>
    <w:div w:id="1661497366">
      <w:bodyDiv w:val="1"/>
      <w:marLeft w:val="0"/>
      <w:marRight w:val="0"/>
      <w:marTop w:val="0"/>
      <w:marBottom w:val="0"/>
      <w:divBdr>
        <w:top w:val="none" w:sz="0" w:space="0" w:color="auto"/>
        <w:left w:val="none" w:sz="0" w:space="0" w:color="auto"/>
        <w:bottom w:val="none" w:sz="0" w:space="0" w:color="auto"/>
        <w:right w:val="none" w:sz="0" w:space="0" w:color="auto"/>
      </w:divBdr>
    </w:div>
    <w:div w:id="1664695257">
      <w:bodyDiv w:val="1"/>
      <w:marLeft w:val="0"/>
      <w:marRight w:val="0"/>
      <w:marTop w:val="0"/>
      <w:marBottom w:val="0"/>
      <w:divBdr>
        <w:top w:val="none" w:sz="0" w:space="0" w:color="auto"/>
        <w:left w:val="none" w:sz="0" w:space="0" w:color="auto"/>
        <w:bottom w:val="none" w:sz="0" w:space="0" w:color="auto"/>
        <w:right w:val="none" w:sz="0" w:space="0" w:color="auto"/>
      </w:divBdr>
      <w:divsChild>
        <w:div w:id="129177637">
          <w:marLeft w:val="0"/>
          <w:marRight w:val="0"/>
          <w:marTop w:val="0"/>
          <w:marBottom w:val="0"/>
          <w:divBdr>
            <w:top w:val="none" w:sz="0" w:space="0" w:color="auto"/>
            <w:left w:val="none" w:sz="0" w:space="0" w:color="auto"/>
            <w:bottom w:val="none" w:sz="0" w:space="0" w:color="auto"/>
            <w:right w:val="none" w:sz="0" w:space="0" w:color="auto"/>
          </w:divBdr>
        </w:div>
        <w:div w:id="167910406">
          <w:marLeft w:val="0"/>
          <w:marRight w:val="0"/>
          <w:marTop w:val="0"/>
          <w:marBottom w:val="0"/>
          <w:divBdr>
            <w:top w:val="none" w:sz="0" w:space="0" w:color="auto"/>
            <w:left w:val="none" w:sz="0" w:space="0" w:color="auto"/>
            <w:bottom w:val="none" w:sz="0" w:space="0" w:color="auto"/>
            <w:right w:val="none" w:sz="0" w:space="0" w:color="auto"/>
          </w:divBdr>
        </w:div>
        <w:div w:id="231089405">
          <w:marLeft w:val="0"/>
          <w:marRight w:val="0"/>
          <w:marTop w:val="0"/>
          <w:marBottom w:val="0"/>
          <w:divBdr>
            <w:top w:val="none" w:sz="0" w:space="0" w:color="auto"/>
            <w:left w:val="none" w:sz="0" w:space="0" w:color="auto"/>
            <w:bottom w:val="none" w:sz="0" w:space="0" w:color="auto"/>
            <w:right w:val="none" w:sz="0" w:space="0" w:color="auto"/>
          </w:divBdr>
        </w:div>
        <w:div w:id="274364103">
          <w:marLeft w:val="0"/>
          <w:marRight w:val="0"/>
          <w:marTop w:val="0"/>
          <w:marBottom w:val="0"/>
          <w:divBdr>
            <w:top w:val="none" w:sz="0" w:space="0" w:color="auto"/>
            <w:left w:val="none" w:sz="0" w:space="0" w:color="auto"/>
            <w:bottom w:val="none" w:sz="0" w:space="0" w:color="auto"/>
            <w:right w:val="none" w:sz="0" w:space="0" w:color="auto"/>
          </w:divBdr>
        </w:div>
        <w:div w:id="315455366">
          <w:marLeft w:val="0"/>
          <w:marRight w:val="0"/>
          <w:marTop w:val="0"/>
          <w:marBottom w:val="0"/>
          <w:divBdr>
            <w:top w:val="none" w:sz="0" w:space="0" w:color="auto"/>
            <w:left w:val="none" w:sz="0" w:space="0" w:color="auto"/>
            <w:bottom w:val="none" w:sz="0" w:space="0" w:color="auto"/>
            <w:right w:val="none" w:sz="0" w:space="0" w:color="auto"/>
          </w:divBdr>
        </w:div>
        <w:div w:id="423459236">
          <w:marLeft w:val="0"/>
          <w:marRight w:val="0"/>
          <w:marTop w:val="0"/>
          <w:marBottom w:val="0"/>
          <w:divBdr>
            <w:top w:val="none" w:sz="0" w:space="0" w:color="auto"/>
            <w:left w:val="none" w:sz="0" w:space="0" w:color="auto"/>
            <w:bottom w:val="none" w:sz="0" w:space="0" w:color="auto"/>
            <w:right w:val="none" w:sz="0" w:space="0" w:color="auto"/>
          </w:divBdr>
        </w:div>
        <w:div w:id="524100296">
          <w:marLeft w:val="0"/>
          <w:marRight w:val="0"/>
          <w:marTop w:val="0"/>
          <w:marBottom w:val="0"/>
          <w:divBdr>
            <w:top w:val="none" w:sz="0" w:space="0" w:color="auto"/>
            <w:left w:val="none" w:sz="0" w:space="0" w:color="auto"/>
            <w:bottom w:val="none" w:sz="0" w:space="0" w:color="auto"/>
            <w:right w:val="none" w:sz="0" w:space="0" w:color="auto"/>
          </w:divBdr>
        </w:div>
        <w:div w:id="768156477">
          <w:marLeft w:val="0"/>
          <w:marRight w:val="0"/>
          <w:marTop w:val="0"/>
          <w:marBottom w:val="0"/>
          <w:divBdr>
            <w:top w:val="none" w:sz="0" w:space="0" w:color="auto"/>
            <w:left w:val="none" w:sz="0" w:space="0" w:color="auto"/>
            <w:bottom w:val="none" w:sz="0" w:space="0" w:color="auto"/>
            <w:right w:val="none" w:sz="0" w:space="0" w:color="auto"/>
          </w:divBdr>
        </w:div>
        <w:div w:id="833490177">
          <w:marLeft w:val="0"/>
          <w:marRight w:val="0"/>
          <w:marTop w:val="0"/>
          <w:marBottom w:val="0"/>
          <w:divBdr>
            <w:top w:val="none" w:sz="0" w:space="0" w:color="auto"/>
            <w:left w:val="none" w:sz="0" w:space="0" w:color="auto"/>
            <w:bottom w:val="none" w:sz="0" w:space="0" w:color="auto"/>
            <w:right w:val="none" w:sz="0" w:space="0" w:color="auto"/>
          </w:divBdr>
        </w:div>
        <w:div w:id="865218439">
          <w:marLeft w:val="0"/>
          <w:marRight w:val="0"/>
          <w:marTop w:val="0"/>
          <w:marBottom w:val="0"/>
          <w:divBdr>
            <w:top w:val="none" w:sz="0" w:space="0" w:color="auto"/>
            <w:left w:val="none" w:sz="0" w:space="0" w:color="auto"/>
            <w:bottom w:val="none" w:sz="0" w:space="0" w:color="auto"/>
            <w:right w:val="none" w:sz="0" w:space="0" w:color="auto"/>
          </w:divBdr>
        </w:div>
        <w:div w:id="1080716217">
          <w:marLeft w:val="0"/>
          <w:marRight w:val="0"/>
          <w:marTop w:val="0"/>
          <w:marBottom w:val="0"/>
          <w:divBdr>
            <w:top w:val="none" w:sz="0" w:space="0" w:color="auto"/>
            <w:left w:val="none" w:sz="0" w:space="0" w:color="auto"/>
            <w:bottom w:val="none" w:sz="0" w:space="0" w:color="auto"/>
            <w:right w:val="none" w:sz="0" w:space="0" w:color="auto"/>
          </w:divBdr>
        </w:div>
        <w:div w:id="1272201248">
          <w:marLeft w:val="0"/>
          <w:marRight w:val="0"/>
          <w:marTop w:val="0"/>
          <w:marBottom w:val="0"/>
          <w:divBdr>
            <w:top w:val="none" w:sz="0" w:space="0" w:color="auto"/>
            <w:left w:val="none" w:sz="0" w:space="0" w:color="auto"/>
            <w:bottom w:val="none" w:sz="0" w:space="0" w:color="auto"/>
            <w:right w:val="none" w:sz="0" w:space="0" w:color="auto"/>
          </w:divBdr>
        </w:div>
        <w:div w:id="1297444105">
          <w:marLeft w:val="0"/>
          <w:marRight w:val="0"/>
          <w:marTop w:val="0"/>
          <w:marBottom w:val="0"/>
          <w:divBdr>
            <w:top w:val="none" w:sz="0" w:space="0" w:color="auto"/>
            <w:left w:val="none" w:sz="0" w:space="0" w:color="auto"/>
            <w:bottom w:val="none" w:sz="0" w:space="0" w:color="auto"/>
            <w:right w:val="none" w:sz="0" w:space="0" w:color="auto"/>
          </w:divBdr>
        </w:div>
        <w:div w:id="1359894334">
          <w:marLeft w:val="0"/>
          <w:marRight w:val="0"/>
          <w:marTop w:val="0"/>
          <w:marBottom w:val="0"/>
          <w:divBdr>
            <w:top w:val="none" w:sz="0" w:space="0" w:color="auto"/>
            <w:left w:val="none" w:sz="0" w:space="0" w:color="auto"/>
            <w:bottom w:val="none" w:sz="0" w:space="0" w:color="auto"/>
            <w:right w:val="none" w:sz="0" w:space="0" w:color="auto"/>
          </w:divBdr>
        </w:div>
        <w:div w:id="1527791412">
          <w:marLeft w:val="0"/>
          <w:marRight w:val="0"/>
          <w:marTop w:val="0"/>
          <w:marBottom w:val="0"/>
          <w:divBdr>
            <w:top w:val="none" w:sz="0" w:space="0" w:color="auto"/>
            <w:left w:val="none" w:sz="0" w:space="0" w:color="auto"/>
            <w:bottom w:val="none" w:sz="0" w:space="0" w:color="auto"/>
            <w:right w:val="none" w:sz="0" w:space="0" w:color="auto"/>
          </w:divBdr>
        </w:div>
        <w:div w:id="1596399640">
          <w:marLeft w:val="0"/>
          <w:marRight w:val="0"/>
          <w:marTop w:val="0"/>
          <w:marBottom w:val="0"/>
          <w:divBdr>
            <w:top w:val="none" w:sz="0" w:space="0" w:color="auto"/>
            <w:left w:val="none" w:sz="0" w:space="0" w:color="auto"/>
            <w:bottom w:val="none" w:sz="0" w:space="0" w:color="auto"/>
            <w:right w:val="none" w:sz="0" w:space="0" w:color="auto"/>
          </w:divBdr>
        </w:div>
        <w:div w:id="1664778094">
          <w:marLeft w:val="0"/>
          <w:marRight w:val="0"/>
          <w:marTop w:val="0"/>
          <w:marBottom w:val="0"/>
          <w:divBdr>
            <w:top w:val="none" w:sz="0" w:space="0" w:color="auto"/>
            <w:left w:val="none" w:sz="0" w:space="0" w:color="auto"/>
            <w:bottom w:val="none" w:sz="0" w:space="0" w:color="auto"/>
            <w:right w:val="none" w:sz="0" w:space="0" w:color="auto"/>
          </w:divBdr>
        </w:div>
        <w:div w:id="1884049685">
          <w:marLeft w:val="0"/>
          <w:marRight w:val="0"/>
          <w:marTop w:val="0"/>
          <w:marBottom w:val="0"/>
          <w:divBdr>
            <w:top w:val="none" w:sz="0" w:space="0" w:color="auto"/>
            <w:left w:val="none" w:sz="0" w:space="0" w:color="auto"/>
            <w:bottom w:val="none" w:sz="0" w:space="0" w:color="auto"/>
            <w:right w:val="none" w:sz="0" w:space="0" w:color="auto"/>
          </w:divBdr>
        </w:div>
        <w:div w:id="1888646149">
          <w:marLeft w:val="0"/>
          <w:marRight w:val="0"/>
          <w:marTop w:val="0"/>
          <w:marBottom w:val="0"/>
          <w:divBdr>
            <w:top w:val="none" w:sz="0" w:space="0" w:color="auto"/>
            <w:left w:val="none" w:sz="0" w:space="0" w:color="auto"/>
            <w:bottom w:val="none" w:sz="0" w:space="0" w:color="auto"/>
            <w:right w:val="none" w:sz="0" w:space="0" w:color="auto"/>
          </w:divBdr>
        </w:div>
        <w:div w:id="1892888671">
          <w:marLeft w:val="0"/>
          <w:marRight w:val="0"/>
          <w:marTop w:val="0"/>
          <w:marBottom w:val="0"/>
          <w:divBdr>
            <w:top w:val="none" w:sz="0" w:space="0" w:color="auto"/>
            <w:left w:val="none" w:sz="0" w:space="0" w:color="auto"/>
            <w:bottom w:val="none" w:sz="0" w:space="0" w:color="auto"/>
            <w:right w:val="none" w:sz="0" w:space="0" w:color="auto"/>
          </w:divBdr>
        </w:div>
      </w:divsChild>
    </w:div>
    <w:div w:id="1684162405">
      <w:bodyDiv w:val="1"/>
      <w:marLeft w:val="0"/>
      <w:marRight w:val="0"/>
      <w:marTop w:val="0"/>
      <w:marBottom w:val="0"/>
      <w:divBdr>
        <w:top w:val="none" w:sz="0" w:space="0" w:color="auto"/>
        <w:left w:val="none" w:sz="0" w:space="0" w:color="auto"/>
        <w:bottom w:val="none" w:sz="0" w:space="0" w:color="auto"/>
        <w:right w:val="none" w:sz="0" w:space="0" w:color="auto"/>
      </w:divBdr>
    </w:div>
    <w:div w:id="1695769770">
      <w:bodyDiv w:val="1"/>
      <w:marLeft w:val="0"/>
      <w:marRight w:val="0"/>
      <w:marTop w:val="0"/>
      <w:marBottom w:val="0"/>
      <w:divBdr>
        <w:top w:val="none" w:sz="0" w:space="0" w:color="auto"/>
        <w:left w:val="none" w:sz="0" w:space="0" w:color="auto"/>
        <w:bottom w:val="none" w:sz="0" w:space="0" w:color="auto"/>
        <w:right w:val="none" w:sz="0" w:space="0" w:color="auto"/>
      </w:divBdr>
    </w:div>
    <w:div w:id="1702242355">
      <w:bodyDiv w:val="1"/>
      <w:marLeft w:val="0"/>
      <w:marRight w:val="0"/>
      <w:marTop w:val="0"/>
      <w:marBottom w:val="0"/>
      <w:divBdr>
        <w:top w:val="none" w:sz="0" w:space="0" w:color="auto"/>
        <w:left w:val="none" w:sz="0" w:space="0" w:color="auto"/>
        <w:bottom w:val="none" w:sz="0" w:space="0" w:color="auto"/>
        <w:right w:val="none" w:sz="0" w:space="0" w:color="auto"/>
      </w:divBdr>
    </w:div>
    <w:div w:id="1708484909">
      <w:bodyDiv w:val="1"/>
      <w:marLeft w:val="0"/>
      <w:marRight w:val="0"/>
      <w:marTop w:val="0"/>
      <w:marBottom w:val="0"/>
      <w:divBdr>
        <w:top w:val="none" w:sz="0" w:space="0" w:color="auto"/>
        <w:left w:val="none" w:sz="0" w:space="0" w:color="auto"/>
        <w:bottom w:val="none" w:sz="0" w:space="0" w:color="auto"/>
        <w:right w:val="none" w:sz="0" w:space="0" w:color="auto"/>
      </w:divBdr>
    </w:div>
    <w:div w:id="1714572995">
      <w:bodyDiv w:val="1"/>
      <w:marLeft w:val="0"/>
      <w:marRight w:val="0"/>
      <w:marTop w:val="0"/>
      <w:marBottom w:val="0"/>
      <w:divBdr>
        <w:top w:val="none" w:sz="0" w:space="0" w:color="auto"/>
        <w:left w:val="none" w:sz="0" w:space="0" w:color="auto"/>
        <w:bottom w:val="none" w:sz="0" w:space="0" w:color="auto"/>
        <w:right w:val="none" w:sz="0" w:space="0" w:color="auto"/>
      </w:divBdr>
      <w:divsChild>
        <w:div w:id="96143046">
          <w:marLeft w:val="0"/>
          <w:marRight w:val="0"/>
          <w:marTop w:val="0"/>
          <w:marBottom w:val="0"/>
          <w:divBdr>
            <w:top w:val="none" w:sz="0" w:space="0" w:color="auto"/>
            <w:left w:val="none" w:sz="0" w:space="0" w:color="auto"/>
            <w:bottom w:val="none" w:sz="0" w:space="0" w:color="auto"/>
            <w:right w:val="none" w:sz="0" w:space="0" w:color="auto"/>
          </w:divBdr>
        </w:div>
        <w:div w:id="551118417">
          <w:marLeft w:val="0"/>
          <w:marRight w:val="0"/>
          <w:marTop w:val="0"/>
          <w:marBottom w:val="0"/>
          <w:divBdr>
            <w:top w:val="none" w:sz="0" w:space="0" w:color="auto"/>
            <w:left w:val="none" w:sz="0" w:space="0" w:color="auto"/>
            <w:bottom w:val="none" w:sz="0" w:space="0" w:color="auto"/>
            <w:right w:val="none" w:sz="0" w:space="0" w:color="auto"/>
          </w:divBdr>
        </w:div>
        <w:div w:id="916403611">
          <w:marLeft w:val="0"/>
          <w:marRight w:val="0"/>
          <w:marTop w:val="0"/>
          <w:marBottom w:val="0"/>
          <w:divBdr>
            <w:top w:val="none" w:sz="0" w:space="0" w:color="auto"/>
            <w:left w:val="none" w:sz="0" w:space="0" w:color="auto"/>
            <w:bottom w:val="none" w:sz="0" w:space="0" w:color="auto"/>
            <w:right w:val="none" w:sz="0" w:space="0" w:color="auto"/>
          </w:divBdr>
        </w:div>
        <w:div w:id="1192185176">
          <w:marLeft w:val="0"/>
          <w:marRight w:val="0"/>
          <w:marTop w:val="0"/>
          <w:marBottom w:val="0"/>
          <w:divBdr>
            <w:top w:val="none" w:sz="0" w:space="0" w:color="auto"/>
            <w:left w:val="none" w:sz="0" w:space="0" w:color="auto"/>
            <w:bottom w:val="none" w:sz="0" w:space="0" w:color="auto"/>
            <w:right w:val="none" w:sz="0" w:space="0" w:color="auto"/>
          </w:divBdr>
        </w:div>
        <w:div w:id="1464538915">
          <w:marLeft w:val="0"/>
          <w:marRight w:val="0"/>
          <w:marTop w:val="0"/>
          <w:marBottom w:val="0"/>
          <w:divBdr>
            <w:top w:val="none" w:sz="0" w:space="0" w:color="auto"/>
            <w:left w:val="none" w:sz="0" w:space="0" w:color="auto"/>
            <w:bottom w:val="none" w:sz="0" w:space="0" w:color="auto"/>
            <w:right w:val="none" w:sz="0" w:space="0" w:color="auto"/>
          </w:divBdr>
        </w:div>
      </w:divsChild>
    </w:div>
    <w:div w:id="1739403380">
      <w:bodyDiv w:val="1"/>
      <w:marLeft w:val="0"/>
      <w:marRight w:val="0"/>
      <w:marTop w:val="0"/>
      <w:marBottom w:val="0"/>
      <w:divBdr>
        <w:top w:val="none" w:sz="0" w:space="0" w:color="auto"/>
        <w:left w:val="none" w:sz="0" w:space="0" w:color="auto"/>
        <w:bottom w:val="none" w:sz="0" w:space="0" w:color="auto"/>
        <w:right w:val="none" w:sz="0" w:space="0" w:color="auto"/>
      </w:divBdr>
    </w:div>
    <w:div w:id="1753889478">
      <w:bodyDiv w:val="1"/>
      <w:marLeft w:val="0"/>
      <w:marRight w:val="0"/>
      <w:marTop w:val="0"/>
      <w:marBottom w:val="0"/>
      <w:divBdr>
        <w:top w:val="none" w:sz="0" w:space="0" w:color="auto"/>
        <w:left w:val="none" w:sz="0" w:space="0" w:color="auto"/>
        <w:bottom w:val="none" w:sz="0" w:space="0" w:color="auto"/>
        <w:right w:val="none" w:sz="0" w:space="0" w:color="auto"/>
      </w:divBdr>
    </w:div>
    <w:div w:id="1759015234">
      <w:bodyDiv w:val="1"/>
      <w:marLeft w:val="0"/>
      <w:marRight w:val="0"/>
      <w:marTop w:val="0"/>
      <w:marBottom w:val="0"/>
      <w:divBdr>
        <w:top w:val="none" w:sz="0" w:space="0" w:color="auto"/>
        <w:left w:val="none" w:sz="0" w:space="0" w:color="auto"/>
        <w:bottom w:val="none" w:sz="0" w:space="0" w:color="auto"/>
        <w:right w:val="none" w:sz="0" w:space="0" w:color="auto"/>
      </w:divBdr>
    </w:div>
    <w:div w:id="1771779698">
      <w:bodyDiv w:val="1"/>
      <w:marLeft w:val="0"/>
      <w:marRight w:val="0"/>
      <w:marTop w:val="0"/>
      <w:marBottom w:val="0"/>
      <w:divBdr>
        <w:top w:val="none" w:sz="0" w:space="0" w:color="auto"/>
        <w:left w:val="none" w:sz="0" w:space="0" w:color="auto"/>
        <w:bottom w:val="none" w:sz="0" w:space="0" w:color="auto"/>
        <w:right w:val="none" w:sz="0" w:space="0" w:color="auto"/>
      </w:divBdr>
    </w:div>
    <w:div w:id="1776514798">
      <w:bodyDiv w:val="1"/>
      <w:marLeft w:val="0"/>
      <w:marRight w:val="0"/>
      <w:marTop w:val="0"/>
      <w:marBottom w:val="0"/>
      <w:divBdr>
        <w:top w:val="none" w:sz="0" w:space="0" w:color="auto"/>
        <w:left w:val="none" w:sz="0" w:space="0" w:color="auto"/>
        <w:bottom w:val="none" w:sz="0" w:space="0" w:color="auto"/>
        <w:right w:val="none" w:sz="0" w:space="0" w:color="auto"/>
      </w:divBdr>
    </w:div>
    <w:div w:id="1808160850">
      <w:bodyDiv w:val="1"/>
      <w:marLeft w:val="0"/>
      <w:marRight w:val="0"/>
      <w:marTop w:val="0"/>
      <w:marBottom w:val="0"/>
      <w:divBdr>
        <w:top w:val="none" w:sz="0" w:space="0" w:color="auto"/>
        <w:left w:val="none" w:sz="0" w:space="0" w:color="auto"/>
        <w:bottom w:val="none" w:sz="0" w:space="0" w:color="auto"/>
        <w:right w:val="none" w:sz="0" w:space="0" w:color="auto"/>
      </w:divBdr>
      <w:divsChild>
        <w:div w:id="3098196">
          <w:marLeft w:val="0"/>
          <w:marRight w:val="0"/>
          <w:marTop w:val="0"/>
          <w:marBottom w:val="0"/>
          <w:divBdr>
            <w:top w:val="none" w:sz="0" w:space="0" w:color="auto"/>
            <w:left w:val="none" w:sz="0" w:space="0" w:color="auto"/>
            <w:bottom w:val="none" w:sz="0" w:space="0" w:color="auto"/>
            <w:right w:val="none" w:sz="0" w:space="0" w:color="auto"/>
          </w:divBdr>
        </w:div>
        <w:div w:id="50807499">
          <w:marLeft w:val="0"/>
          <w:marRight w:val="0"/>
          <w:marTop w:val="0"/>
          <w:marBottom w:val="0"/>
          <w:divBdr>
            <w:top w:val="none" w:sz="0" w:space="0" w:color="auto"/>
            <w:left w:val="none" w:sz="0" w:space="0" w:color="auto"/>
            <w:bottom w:val="none" w:sz="0" w:space="0" w:color="auto"/>
            <w:right w:val="none" w:sz="0" w:space="0" w:color="auto"/>
          </w:divBdr>
        </w:div>
        <w:div w:id="54548685">
          <w:marLeft w:val="0"/>
          <w:marRight w:val="0"/>
          <w:marTop w:val="0"/>
          <w:marBottom w:val="0"/>
          <w:divBdr>
            <w:top w:val="none" w:sz="0" w:space="0" w:color="auto"/>
            <w:left w:val="none" w:sz="0" w:space="0" w:color="auto"/>
            <w:bottom w:val="none" w:sz="0" w:space="0" w:color="auto"/>
            <w:right w:val="none" w:sz="0" w:space="0" w:color="auto"/>
          </w:divBdr>
        </w:div>
        <w:div w:id="72510509">
          <w:marLeft w:val="0"/>
          <w:marRight w:val="0"/>
          <w:marTop w:val="0"/>
          <w:marBottom w:val="0"/>
          <w:divBdr>
            <w:top w:val="none" w:sz="0" w:space="0" w:color="auto"/>
            <w:left w:val="none" w:sz="0" w:space="0" w:color="auto"/>
            <w:bottom w:val="none" w:sz="0" w:space="0" w:color="auto"/>
            <w:right w:val="none" w:sz="0" w:space="0" w:color="auto"/>
          </w:divBdr>
        </w:div>
        <w:div w:id="76247584">
          <w:marLeft w:val="0"/>
          <w:marRight w:val="0"/>
          <w:marTop w:val="0"/>
          <w:marBottom w:val="0"/>
          <w:divBdr>
            <w:top w:val="none" w:sz="0" w:space="0" w:color="auto"/>
            <w:left w:val="none" w:sz="0" w:space="0" w:color="auto"/>
            <w:bottom w:val="none" w:sz="0" w:space="0" w:color="auto"/>
            <w:right w:val="none" w:sz="0" w:space="0" w:color="auto"/>
          </w:divBdr>
        </w:div>
        <w:div w:id="95685053">
          <w:marLeft w:val="0"/>
          <w:marRight w:val="0"/>
          <w:marTop w:val="0"/>
          <w:marBottom w:val="0"/>
          <w:divBdr>
            <w:top w:val="none" w:sz="0" w:space="0" w:color="auto"/>
            <w:left w:val="none" w:sz="0" w:space="0" w:color="auto"/>
            <w:bottom w:val="none" w:sz="0" w:space="0" w:color="auto"/>
            <w:right w:val="none" w:sz="0" w:space="0" w:color="auto"/>
          </w:divBdr>
        </w:div>
        <w:div w:id="124930436">
          <w:marLeft w:val="0"/>
          <w:marRight w:val="0"/>
          <w:marTop w:val="0"/>
          <w:marBottom w:val="0"/>
          <w:divBdr>
            <w:top w:val="none" w:sz="0" w:space="0" w:color="auto"/>
            <w:left w:val="none" w:sz="0" w:space="0" w:color="auto"/>
            <w:bottom w:val="none" w:sz="0" w:space="0" w:color="auto"/>
            <w:right w:val="none" w:sz="0" w:space="0" w:color="auto"/>
          </w:divBdr>
        </w:div>
        <w:div w:id="147745673">
          <w:marLeft w:val="0"/>
          <w:marRight w:val="0"/>
          <w:marTop w:val="0"/>
          <w:marBottom w:val="0"/>
          <w:divBdr>
            <w:top w:val="none" w:sz="0" w:space="0" w:color="auto"/>
            <w:left w:val="none" w:sz="0" w:space="0" w:color="auto"/>
            <w:bottom w:val="none" w:sz="0" w:space="0" w:color="auto"/>
            <w:right w:val="none" w:sz="0" w:space="0" w:color="auto"/>
          </w:divBdr>
        </w:div>
        <w:div w:id="207256878">
          <w:marLeft w:val="0"/>
          <w:marRight w:val="0"/>
          <w:marTop w:val="0"/>
          <w:marBottom w:val="0"/>
          <w:divBdr>
            <w:top w:val="none" w:sz="0" w:space="0" w:color="auto"/>
            <w:left w:val="none" w:sz="0" w:space="0" w:color="auto"/>
            <w:bottom w:val="none" w:sz="0" w:space="0" w:color="auto"/>
            <w:right w:val="none" w:sz="0" w:space="0" w:color="auto"/>
          </w:divBdr>
        </w:div>
        <w:div w:id="243925214">
          <w:marLeft w:val="0"/>
          <w:marRight w:val="0"/>
          <w:marTop w:val="0"/>
          <w:marBottom w:val="0"/>
          <w:divBdr>
            <w:top w:val="none" w:sz="0" w:space="0" w:color="auto"/>
            <w:left w:val="none" w:sz="0" w:space="0" w:color="auto"/>
            <w:bottom w:val="none" w:sz="0" w:space="0" w:color="auto"/>
            <w:right w:val="none" w:sz="0" w:space="0" w:color="auto"/>
          </w:divBdr>
        </w:div>
        <w:div w:id="247151991">
          <w:marLeft w:val="0"/>
          <w:marRight w:val="0"/>
          <w:marTop w:val="0"/>
          <w:marBottom w:val="0"/>
          <w:divBdr>
            <w:top w:val="none" w:sz="0" w:space="0" w:color="auto"/>
            <w:left w:val="none" w:sz="0" w:space="0" w:color="auto"/>
            <w:bottom w:val="none" w:sz="0" w:space="0" w:color="auto"/>
            <w:right w:val="none" w:sz="0" w:space="0" w:color="auto"/>
          </w:divBdr>
        </w:div>
        <w:div w:id="253562754">
          <w:marLeft w:val="0"/>
          <w:marRight w:val="0"/>
          <w:marTop w:val="0"/>
          <w:marBottom w:val="0"/>
          <w:divBdr>
            <w:top w:val="none" w:sz="0" w:space="0" w:color="auto"/>
            <w:left w:val="none" w:sz="0" w:space="0" w:color="auto"/>
            <w:bottom w:val="none" w:sz="0" w:space="0" w:color="auto"/>
            <w:right w:val="none" w:sz="0" w:space="0" w:color="auto"/>
          </w:divBdr>
        </w:div>
        <w:div w:id="255672558">
          <w:marLeft w:val="0"/>
          <w:marRight w:val="0"/>
          <w:marTop w:val="0"/>
          <w:marBottom w:val="0"/>
          <w:divBdr>
            <w:top w:val="none" w:sz="0" w:space="0" w:color="auto"/>
            <w:left w:val="none" w:sz="0" w:space="0" w:color="auto"/>
            <w:bottom w:val="none" w:sz="0" w:space="0" w:color="auto"/>
            <w:right w:val="none" w:sz="0" w:space="0" w:color="auto"/>
          </w:divBdr>
        </w:div>
        <w:div w:id="258222558">
          <w:marLeft w:val="0"/>
          <w:marRight w:val="0"/>
          <w:marTop w:val="0"/>
          <w:marBottom w:val="0"/>
          <w:divBdr>
            <w:top w:val="none" w:sz="0" w:space="0" w:color="auto"/>
            <w:left w:val="none" w:sz="0" w:space="0" w:color="auto"/>
            <w:bottom w:val="none" w:sz="0" w:space="0" w:color="auto"/>
            <w:right w:val="none" w:sz="0" w:space="0" w:color="auto"/>
          </w:divBdr>
        </w:div>
        <w:div w:id="296450407">
          <w:marLeft w:val="0"/>
          <w:marRight w:val="0"/>
          <w:marTop w:val="0"/>
          <w:marBottom w:val="0"/>
          <w:divBdr>
            <w:top w:val="none" w:sz="0" w:space="0" w:color="auto"/>
            <w:left w:val="none" w:sz="0" w:space="0" w:color="auto"/>
            <w:bottom w:val="none" w:sz="0" w:space="0" w:color="auto"/>
            <w:right w:val="none" w:sz="0" w:space="0" w:color="auto"/>
          </w:divBdr>
        </w:div>
        <w:div w:id="315500257">
          <w:marLeft w:val="0"/>
          <w:marRight w:val="0"/>
          <w:marTop w:val="0"/>
          <w:marBottom w:val="0"/>
          <w:divBdr>
            <w:top w:val="none" w:sz="0" w:space="0" w:color="auto"/>
            <w:left w:val="none" w:sz="0" w:space="0" w:color="auto"/>
            <w:bottom w:val="none" w:sz="0" w:space="0" w:color="auto"/>
            <w:right w:val="none" w:sz="0" w:space="0" w:color="auto"/>
          </w:divBdr>
        </w:div>
        <w:div w:id="318466334">
          <w:marLeft w:val="0"/>
          <w:marRight w:val="0"/>
          <w:marTop w:val="0"/>
          <w:marBottom w:val="0"/>
          <w:divBdr>
            <w:top w:val="none" w:sz="0" w:space="0" w:color="auto"/>
            <w:left w:val="none" w:sz="0" w:space="0" w:color="auto"/>
            <w:bottom w:val="none" w:sz="0" w:space="0" w:color="auto"/>
            <w:right w:val="none" w:sz="0" w:space="0" w:color="auto"/>
          </w:divBdr>
        </w:div>
        <w:div w:id="391121698">
          <w:marLeft w:val="0"/>
          <w:marRight w:val="0"/>
          <w:marTop w:val="0"/>
          <w:marBottom w:val="0"/>
          <w:divBdr>
            <w:top w:val="none" w:sz="0" w:space="0" w:color="auto"/>
            <w:left w:val="none" w:sz="0" w:space="0" w:color="auto"/>
            <w:bottom w:val="none" w:sz="0" w:space="0" w:color="auto"/>
            <w:right w:val="none" w:sz="0" w:space="0" w:color="auto"/>
          </w:divBdr>
        </w:div>
        <w:div w:id="452796052">
          <w:marLeft w:val="0"/>
          <w:marRight w:val="0"/>
          <w:marTop w:val="0"/>
          <w:marBottom w:val="0"/>
          <w:divBdr>
            <w:top w:val="none" w:sz="0" w:space="0" w:color="auto"/>
            <w:left w:val="none" w:sz="0" w:space="0" w:color="auto"/>
            <w:bottom w:val="none" w:sz="0" w:space="0" w:color="auto"/>
            <w:right w:val="none" w:sz="0" w:space="0" w:color="auto"/>
          </w:divBdr>
        </w:div>
        <w:div w:id="465927912">
          <w:marLeft w:val="0"/>
          <w:marRight w:val="0"/>
          <w:marTop w:val="0"/>
          <w:marBottom w:val="0"/>
          <w:divBdr>
            <w:top w:val="none" w:sz="0" w:space="0" w:color="auto"/>
            <w:left w:val="none" w:sz="0" w:space="0" w:color="auto"/>
            <w:bottom w:val="none" w:sz="0" w:space="0" w:color="auto"/>
            <w:right w:val="none" w:sz="0" w:space="0" w:color="auto"/>
          </w:divBdr>
        </w:div>
        <w:div w:id="468938605">
          <w:marLeft w:val="0"/>
          <w:marRight w:val="0"/>
          <w:marTop w:val="0"/>
          <w:marBottom w:val="0"/>
          <w:divBdr>
            <w:top w:val="none" w:sz="0" w:space="0" w:color="auto"/>
            <w:left w:val="none" w:sz="0" w:space="0" w:color="auto"/>
            <w:bottom w:val="none" w:sz="0" w:space="0" w:color="auto"/>
            <w:right w:val="none" w:sz="0" w:space="0" w:color="auto"/>
          </w:divBdr>
        </w:div>
        <w:div w:id="470755120">
          <w:marLeft w:val="0"/>
          <w:marRight w:val="0"/>
          <w:marTop w:val="0"/>
          <w:marBottom w:val="0"/>
          <w:divBdr>
            <w:top w:val="none" w:sz="0" w:space="0" w:color="auto"/>
            <w:left w:val="none" w:sz="0" w:space="0" w:color="auto"/>
            <w:bottom w:val="none" w:sz="0" w:space="0" w:color="auto"/>
            <w:right w:val="none" w:sz="0" w:space="0" w:color="auto"/>
          </w:divBdr>
        </w:div>
        <w:div w:id="496727693">
          <w:marLeft w:val="0"/>
          <w:marRight w:val="0"/>
          <w:marTop w:val="0"/>
          <w:marBottom w:val="0"/>
          <w:divBdr>
            <w:top w:val="none" w:sz="0" w:space="0" w:color="auto"/>
            <w:left w:val="none" w:sz="0" w:space="0" w:color="auto"/>
            <w:bottom w:val="none" w:sz="0" w:space="0" w:color="auto"/>
            <w:right w:val="none" w:sz="0" w:space="0" w:color="auto"/>
          </w:divBdr>
        </w:div>
        <w:div w:id="505098715">
          <w:marLeft w:val="0"/>
          <w:marRight w:val="0"/>
          <w:marTop w:val="0"/>
          <w:marBottom w:val="0"/>
          <w:divBdr>
            <w:top w:val="none" w:sz="0" w:space="0" w:color="auto"/>
            <w:left w:val="none" w:sz="0" w:space="0" w:color="auto"/>
            <w:bottom w:val="none" w:sz="0" w:space="0" w:color="auto"/>
            <w:right w:val="none" w:sz="0" w:space="0" w:color="auto"/>
          </w:divBdr>
        </w:div>
        <w:div w:id="516769404">
          <w:marLeft w:val="0"/>
          <w:marRight w:val="0"/>
          <w:marTop w:val="0"/>
          <w:marBottom w:val="0"/>
          <w:divBdr>
            <w:top w:val="none" w:sz="0" w:space="0" w:color="auto"/>
            <w:left w:val="none" w:sz="0" w:space="0" w:color="auto"/>
            <w:bottom w:val="none" w:sz="0" w:space="0" w:color="auto"/>
            <w:right w:val="none" w:sz="0" w:space="0" w:color="auto"/>
          </w:divBdr>
        </w:div>
        <w:div w:id="537205082">
          <w:marLeft w:val="0"/>
          <w:marRight w:val="0"/>
          <w:marTop w:val="0"/>
          <w:marBottom w:val="0"/>
          <w:divBdr>
            <w:top w:val="none" w:sz="0" w:space="0" w:color="auto"/>
            <w:left w:val="none" w:sz="0" w:space="0" w:color="auto"/>
            <w:bottom w:val="none" w:sz="0" w:space="0" w:color="auto"/>
            <w:right w:val="none" w:sz="0" w:space="0" w:color="auto"/>
          </w:divBdr>
        </w:div>
        <w:div w:id="537397163">
          <w:marLeft w:val="0"/>
          <w:marRight w:val="0"/>
          <w:marTop w:val="0"/>
          <w:marBottom w:val="0"/>
          <w:divBdr>
            <w:top w:val="none" w:sz="0" w:space="0" w:color="auto"/>
            <w:left w:val="none" w:sz="0" w:space="0" w:color="auto"/>
            <w:bottom w:val="none" w:sz="0" w:space="0" w:color="auto"/>
            <w:right w:val="none" w:sz="0" w:space="0" w:color="auto"/>
          </w:divBdr>
        </w:div>
        <w:div w:id="561253210">
          <w:marLeft w:val="0"/>
          <w:marRight w:val="0"/>
          <w:marTop w:val="0"/>
          <w:marBottom w:val="0"/>
          <w:divBdr>
            <w:top w:val="none" w:sz="0" w:space="0" w:color="auto"/>
            <w:left w:val="none" w:sz="0" w:space="0" w:color="auto"/>
            <w:bottom w:val="none" w:sz="0" w:space="0" w:color="auto"/>
            <w:right w:val="none" w:sz="0" w:space="0" w:color="auto"/>
          </w:divBdr>
        </w:div>
        <w:div w:id="575553317">
          <w:marLeft w:val="0"/>
          <w:marRight w:val="0"/>
          <w:marTop w:val="0"/>
          <w:marBottom w:val="0"/>
          <w:divBdr>
            <w:top w:val="none" w:sz="0" w:space="0" w:color="auto"/>
            <w:left w:val="none" w:sz="0" w:space="0" w:color="auto"/>
            <w:bottom w:val="none" w:sz="0" w:space="0" w:color="auto"/>
            <w:right w:val="none" w:sz="0" w:space="0" w:color="auto"/>
          </w:divBdr>
        </w:div>
        <w:div w:id="581792941">
          <w:marLeft w:val="0"/>
          <w:marRight w:val="0"/>
          <w:marTop w:val="0"/>
          <w:marBottom w:val="0"/>
          <w:divBdr>
            <w:top w:val="none" w:sz="0" w:space="0" w:color="auto"/>
            <w:left w:val="none" w:sz="0" w:space="0" w:color="auto"/>
            <w:bottom w:val="none" w:sz="0" w:space="0" w:color="auto"/>
            <w:right w:val="none" w:sz="0" w:space="0" w:color="auto"/>
          </w:divBdr>
        </w:div>
        <w:div w:id="590435463">
          <w:marLeft w:val="0"/>
          <w:marRight w:val="0"/>
          <w:marTop w:val="0"/>
          <w:marBottom w:val="0"/>
          <w:divBdr>
            <w:top w:val="none" w:sz="0" w:space="0" w:color="auto"/>
            <w:left w:val="none" w:sz="0" w:space="0" w:color="auto"/>
            <w:bottom w:val="none" w:sz="0" w:space="0" w:color="auto"/>
            <w:right w:val="none" w:sz="0" w:space="0" w:color="auto"/>
          </w:divBdr>
        </w:div>
        <w:div w:id="611935081">
          <w:marLeft w:val="0"/>
          <w:marRight w:val="0"/>
          <w:marTop w:val="0"/>
          <w:marBottom w:val="0"/>
          <w:divBdr>
            <w:top w:val="none" w:sz="0" w:space="0" w:color="auto"/>
            <w:left w:val="none" w:sz="0" w:space="0" w:color="auto"/>
            <w:bottom w:val="none" w:sz="0" w:space="0" w:color="auto"/>
            <w:right w:val="none" w:sz="0" w:space="0" w:color="auto"/>
          </w:divBdr>
        </w:div>
        <w:div w:id="621301630">
          <w:marLeft w:val="0"/>
          <w:marRight w:val="0"/>
          <w:marTop w:val="0"/>
          <w:marBottom w:val="0"/>
          <w:divBdr>
            <w:top w:val="none" w:sz="0" w:space="0" w:color="auto"/>
            <w:left w:val="none" w:sz="0" w:space="0" w:color="auto"/>
            <w:bottom w:val="none" w:sz="0" w:space="0" w:color="auto"/>
            <w:right w:val="none" w:sz="0" w:space="0" w:color="auto"/>
          </w:divBdr>
        </w:div>
        <w:div w:id="625891894">
          <w:marLeft w:val="0"/>
          <w:marRight w:val="0"/>
          <w:marTop w:val="0"/>
          <w:marBottom w:val="0"/>
          <w:divBdr>
            <w:top w:val="none" w:sz="0" w:space="0" w:color="auto"/>
            <w:left w:val="none" w:sz="0" w:space="0" w:color="auto"/>
            <w:bottom w:val="none" w:sz="0" w:space="0" w:color="auto"/>
            <w:right w:val="none" w:sz="0" w:space="0" w:color="auto"/>
          </w:divBdr>
        </w:div>
        <w:div w:id="657268412">
          <w:marLeft w:val="0"/>
          <w:marRight w:val="0"/>
          <w:marTop w:val="0"/>
          <w:marBottom w:val="0"/>
          <w:divBdr>
            <w:top w:val="none" w:sz="0" w:space="0" w:color="auto"/>
            <w:left w:val="none" w:sz="0" w:space="0" w:color="auto"/>
            <w:bottom w:val="none" w:sz="0" w:space="0" w:color="auto"/>
            <w:right w:val="none" w:sz="0" w:space="0" w:color="auto"/>
          </w:divBdr>
        </w:div>
        <w:div w:id="675427361">
          <w:marLeft w:val="0"/>
          <w:marRight w:val="0"/>
          <w:marTop w:val="0"/>
          <w:marBottom w:val="0"/>
          <w:divBdr>
            <w:top w:val="none" w:sz="0" w:space="0" w:color="auto"/>
            <w:left w:val="none" w:sz="0" w:space="0" w:color="auto"/>
            <w:bottom w:val="none" w:sz="0" w:space="0" w:color="auto"/>
            <w:right w:val="none" w:sz="0" w:space="0" w:color="auto"/>
          </w:divBdr>
        </w:div>
        <w:div w:id="679165696">
          <w:marLeft w:val="0"/>
          <w:marRight w:val="0"/>
          <w:marTop w:val="0"/>
          <w:marBottom w:val="0"/>
          <w:divBdr>
            <w:top w:val="none" w:sz="0" w:space="0" w:color="auto"/>
            <w:left w:val="none" w:sz="0" w:space="0" w:color="auto"/>
            <w:bottom w:val="none" w:sz="0" w:space="0" w:color="auto"/>
            <w:right w:val="none" w:sz="0" w:space="0" w:color="auto"/>
          </w:divBdr>
        </w:div>
        <w:div w:id="683827944">
          <w:marLeft w:val="0"/>
          <w:marRight w:val="0"/>
          <w:marTop w:val="0"/>
          <w:marBottom w:val="0"/>
          <w:divBdr>
            <w:top w:val="none" w:sz="0" w:space="0" w:color="auto"/>
            <w:left w:val="none" w:sz="0" w:space="0" w:color="auto"/>
            <w:bottom w:val="none" w:sz="0" w:space="0" w:color="auto"/>
            <w:right w:val="none" w:sz="0" w:space="0" w:color="auto"/>
          </w:divBdr>
        </w:div>
        <w:div w:id="686558946">
          <w:marLeft w:val="0"/>
          <w:marRight w:val="0"/>
          <w:marTop w:val="0"/>
          <w:marBottom w:val="0"/>
          <w:divBdr>
            <w:top w:val="none" w:sz="0" w:space="0" w:color="auto"/>
            <w:left w:val="none" w:sz="0" w:space="0" w:color="auto"/>
            <w:bottom w:val="none" w:sz="0" w:space="0" w:color="auto"/>
            <w:right w:val="none" w:sz="0" w:space="0" w:color="auto"/>
          </w:divBdr>
        </w:div>
        <w:div w:id="703791547">
          <w:marLeft w:val="0"/>
          <w:marRight w:val="0"/>
          <w:marTop w:val="0"/>
          <w:marBottom w:val="0"/>
          <w:divBdr>
            <w:top w:val="none" w:sz="0" w:space="0" w:color="auto"/>
            <w:left w:val="none" w:sz="0" w:space="0" w:color="auto"/>
            <w:bottom w:val="none" w:sz="0" w:space="0" w:color="auto"/>
            <w:right w:val="none" w:sz="0" w:space="0" w:color="auto"/>
          </w:divBdr>
        </w:div>
        <w:div w:id="727191321">
          <w:marLeft w:val="0"/>
          <w:marRight w:val="0"/>
          <w:marTop w:val="0"/>
          <w:marBottom w:val="0"/>
          <w:divBdr>
            <w:top w:val="none" w:sz="0" w:space="0" w:color="auto"/>
            <w:left w:val="none" w:sz="0" w:space="0" w:color="auto"/>
            <w:bottom w:val="none" w:sz="0" w:space="0" w:color="auto"/>
            <w:right w:val="none" w:sz="0" w:space="0" w:color="auto"/>
          </w:divBdr>
        </w:div>
        <w:div w:id="729498971">
          <w:marLeft w:val="0"/>
          <w:marRight w:val="0"/>
          <w:marTop w:val="0"/>
          <w:marBottom w:val="0"/>
          <w:divBdr>
            <w:top w:val="none" w:sz="0" w:space="0" w:color="auto"/>
            <w:left w:val="none" w:sz="0" w:space="0" w:color="auto"/>
            <w:bottom w:val="none" w:sz="0" w:space="0" w:color="auto"/>
            <w:right w:val="none" w:sz="0" w:space="0" w:color="auto"/>
          </w:divBdr>
        </w:div>
        <w:div w:id="758138830">
          <w:marLeft w:val="0"/>
          <w:marRight w:val="0"/>
          <w:marTop w:val="0"/>
          <w:marBottom w:val="0"/>
          <w:divBdr>
            <w:top w:val="none" w:sz="0" w:space="0" w:color="auto"/>
            <w:left w:val="none" w:sz="0" w:space="0" w:color="auto"/>
            <w:bottom w:val="none" w:sz="0" w:space="0" w:color="auto"/>
            <w:right w:val="none" w:sz="0" w:space="0" w:color="auto"/>
          </w:divBdr>
        </w:div>
        <w:div w:id="764569360">
          <w:marLeft w:val="0"/>
          <w:marRight w:val="0"/>
          <w:marTop w:val="0"/>
          <w:marBottom w:val="0"/>
          <w:divBdr>
            <w:top w:val="none" w:sz="0" w:space="0" w:color="auto"/>
            <w:left w:val="none" w:sz="0" w:space="0" w:color="auto"/>
            <w:bottom w:val="none" w:sz="0" w:space="0" w:color="auto"/>
            <w:right w:val="none" w:sz="0" w:space="0" w:color="auto"/>
          </w:divBdr>
        </w:div>
        <w:div w:id="816652942">
          <w:marLeft w:val="0"/>
          <w:marRight w:val="0"/>
          <w:marTop w:val="0"/>
          <w:marBottom w:val="0"/>
          <w:divBdr>
            <w:top w:val="none" w:sz="0" w:space="0" w:color="auto"/>
            <w:left w:val="none" w:sz="0" w:space="0" w:color="auto"/>
            <w:bottom w:val="none" w:sz="0" w:space="0" w:color="auto"/>
            <w:right w:val="none" w:sz="0" w:space="0" w:color="auto"/>
          </w:divBdr>
        </w:div>
        <w:div w:id="858737802">
          <w:marLeft w:val="0"/>
          <w:marRight w:val="0"/>
          <w:marTop w:val="0"/>
          <w:marBottom w:val="0"/>
          <w:divBdr>
            <w:top w:val="none" w:sz="0" w:space="0" w:color="auto"/>
            <w:left w:val="none" w:sz="0" w:space="0" w:color="auto"/>
            <w:bottom w:val="none" w:sz="0" w:space="0" w:color="auto"/>
            <w:right w:val="none" w:sz="0" w:space="0" w:color="auto"/>
          </w:divBdr>
        </w:div>
        <w:div w:id="890926748">
          <w:marLeft w:val="0"/>
          <w:marRight w:val="0"/>
          <w:marTop w:val="0"/>
          <w:marBottom w:val="0"/>
          <w:divBdr>
            <w:top w:val="none" w:sz="0" w:space="0" w:color="auto"/>
            <w:left w:val="none" w:sz="0" w:space="0" w:color="auto"/>
            <w:bottom w:val="none" w:sz="0" w:space="0" w:color="auto"/>
            <w:right w:val="none" w:sz="0" w:space="0" w:color="auto"/>
          </w:divBdr>
        </w:div>
        <w:div w:id="958419013">
          <w:marLeft w:val="0"/>
          <w:marRight w:val="0"/>
          <w:marTop w:val="0"/>
          <w:marBottom w:val="0"/>
          <w:divBdr>
            <w:top w:val="none" w:sz="0" w:space="0" w:color="auto"/>
            <w:left w:val="none" w:sz="0" w:space="0" w:color="auto"/>
            <w:bottom w:val="none" w:sz="0" w:space="0" w:color="auto"/>
            <w:right w:val="none" w:sz="0" w:space="0" w:color="auto"/>
          </w:divBdr>
        </w:div>
        <w:div w:id="963534225">
          <w:marLeft w:val="0"/>
          <w:marRight w:val="0"/>
          <w:marTop w:val="0"/>
          <w:marBottom w:val="0"/>
          <w:divBdr>
            <w:top w:val="none" w:sz="0" w:space="0" w:color="auto"/>
            <w:left w:val="none" w:sz="0" w:space="0" w:color="auto"/>
            <w:bottom w:val="none" w:sz="0" w:space="0" w:color="auto"/>
            <w:right w:val="none" w:sz="0" w:space="0" w:color="auto"/>
          </w:divBdr>
        </w:div>
        <w:div w:id="1003820237">
          <w:marLeft w:val="0"/>
          <w:marRight w:val="0"/>
          <w:marTop w:val="0"/>
          <w:marBottom w:val="0"/>
          <w:divBdr>
            <w:top w:val="none" w:sz="0" w:space="0" w:color="auto"/>
            <w:left w:val="none" w:sz="0" w:space="0" w:color="auto"/>
            <w:bottom w:val="none" w:sz="0" w:space="0" w:color="auto"/>
            <w:right w:val="none" w:sz="0" w:space="0" w:color="auto"/>
          </w:divBdr>
        </w:div>
        <w:div w:id="1032926666">
          <w:marLeft w:val="0"/>
          <w:marRight w:val="0"/>
          <w:marTop w:val="0"/>
          <w:marBottom w:val="0"/>
          <w:divBdr>
            <w:top w:val="none" w:sz="0" w:space="0" w:color="auto"/>
            <w:left w:val="none" w:sz="0" w:space="0" w:color="auto"/>
            <w:bottom w:val="none" w:sz="0" w:space="0" w:color="auto"/>
            <w:right w:val="none" w:sz="0" w:space="0" w:color="auto"/>
          </w:divBdr>
        </w:div>
        <w:div w:id="1073088125">
          <w:marLeft w:val="0"/>
          <w:marRight w:val="0"/>
          <w:marTop w:val="0"/>
          <w:marBottom w:val="0"/>
          <w:divBdr>
            <w:top w:val="none" w:sz="0" w:space="0" w:color="auto"/>
            <w:left w:val="none" w:sz="0" w:space="0" w:color="auto"/>
            <w:bottom w:val="none" w:sz="0" w:space="0" w:color="auto"/>
            <w:right w:val="none" w:sz="0" w:space="0" w:color="auto"/>
          </w:divBdr>
        </w:div>
        <w:div w:id="1079329719">
          <w:marLeft w:val="0"/>
          <w:marRight w:val="0"/>
          <w:marTop w:val="0"/>
          <w:marBottom w:val="0"/>
          <w:divBdr>
            <w:top w:val="none" w:sz="0" w:space="0" w:color="auto"/>
            <w:left w:val="none" w:sz="0" w:space="0" w:color="auto"/>
            <w:bottom w:val="none" w:sz="0" w:space="0" w:color="auto"/>
            <w:right w:val="none" w:sz="0" w:space="0" w:color="auto"/>
          </w:divBdr>
        </w:div>
        <w:div w:id="1100568829">
          <w:marLeft w:val="0"/>
          <w:marRight w:val="0"/>
          <w:marTop w:val="0"/>
          <w:marBottom w:val="0"/>
          <w:divBdr>
            <w:top w:val="none" w:sz="0" w:space="0" w:color="auto"/>
            <w:left w:val="none" w:sz="0" w:space="0" w:color="auto"/>
            <w:bottom w:val="none" w:sz="0" w:space="0" w:color="auto"/>
            <w:right w:val="none" w:sz="0" w:space="0" w:color="auto"/>
          </w:divBdr>
        </w:div>
        <w:div w:id="1118717544">
          <w:marLeft w:val="0"/>
          <w:marRight w:val="0"/>
          <w:marTop w:val="0"/>
          <w:marBottom w:val="0"/>
          <w:divBdr>
            <w:top w:val="none" w:sz="0" w:space="0" w:color="auto"/>
            <w:left w:val="none" w:sz="0" w:space="0" w:color="auto"/>
            <w:bottom w:val="none" w:sz="0" w:space="0" w:color="auto"/>
            <w:right w:val="none" w:sz="0" w:space="0" w:color="auto"/>
          </w:divBdr>
        </w:div>
        <w:div w:id="1123187739">
          <w:marLeft w:val="0"/>
          <w:marRight w:val="0"/>
          <w:marTop w:val="0"/>
          <w:marBottom w:val="0"/>
          <w:divBdr>
            <w:top w:val="none" w:sz="0" w:space="0" w:color="auto"/>
            <w:left w:val="none" w:sz="0" w:space="0" w:color="auto"/>
            <w:bottom w:val="none" w:sz="0" w:space="0" w:color="auto"/>
            <w:right w:val="none" w:sz="0" w:space="0" w:color="auto"/>
          </w:divBdr>
        </w:div>
        <w:div w:id="1138229449">
          <w:marLeft w:val="0"/>
          <w:marRight w:val="0"/>
          <w:marTop w:val="0"/>
          <w:marBottom w:val="0"/>
          <w:divBdr>
            <w:top w:val="none" w:sz="0" w:space="0" w:color="auto"/>
            <w:left w:val="none" w:sz="0" w:space="0" w:color="auto"/>
            <w:bottom w:val="none" w:sz="0" w:space="0" w:color="auto"/>
            <w:right w:val="none" w:sz="0" w:space="0" w:color="auto"/>
          </w:divBdr>
        </w:div>
        <w:div w:id="1162157923">
          <w:marLeft w:val="0"/>
          <w:marRight w:val="0"/>
          <w:marTop w:val="0"/>
          <w:marBottom w:val="0"/>
          <w:divBdr>
            <w:top w:val="none" w:sz="0" w:space="0" w:color="auto"/>
            <w:left w:val="none" w:sz="0" w:space="0" w:color="auto"/>
            <w:bottom w:val="none" w:sz="0" w:space="0" w:color="auto"/>
            <w:right w:val="none" w:sz="0" w:space="0" w:color="auto"/>
          </w:divBdr>
        </w:div>
        <w:div w:id="1179154580">
          <w:marLeft w:val="0"/>
          <w:marRight w:val="0"/>
          <w:marTop w:val="0"/>
          <w:marBottom w:val="0"/>
          <w:divBdr>
            <w:top w:val="none" w:sz="0" w:space="0" w:color="auto"/>
            <w:left w:val="none" w:sz="0" w:space="0" w:color="auto"/>
            <w:bottom w:val="none" w:sz="0" w:space="0" w:color="auto"/>
            <w:right w:val="none" w:sz="0" w:space="0" w:color="auto"/>
          </w:divBdr>
        </w:div>
        <w:div w:id="1207524887">
          <w:marLeft w:val="0"/>
          <w:marRight w:val="0"/>
          <w:marTop w:val="0"/>
          <w:marBottom w:val="0"/>
          <w:divBdr>
            <w:top w:val="none" w:sz="0" w:space="0" w:color="auto"/>
            <w:left w:val="none" w:sz="0" w:space="0" w:color="auto"/>
            <w:bottom w:val="none" w:sz="0" w:space="0" w:color="auto"/>
            <w:right w:val="none" w:sz="0" w:space="0" w:color="auto"/>
          </w:divBdr>
        </w:div>
        <w:div w:id="1233152091">
          <w:marLeft w:val="0"/>
          <w:marRight w:val="0"/>
          <w:marTop w:val="0"/>
          <w:marBottom w:val="0"/>
          <w:divBdr>
            <w:top w:val="none" w:sz="0" w:space="0" w:color="auto"/>
            <w:left w:val="none" w:sz="0" w:space="0" w:color="auto"/>
            <w:bottom w:val="none" w:sz="0" w:space="0" w:color="auto"/>
            <w:right w:val="none" w:sz="0" w:space="0" w:color="auto"/>
          </w:divBdr>
        </w:div>
        <w:div w:id="1236358959">
          <w:marLeft w:val="0"/>
          <w:marRight w:val="0"/>
          <w:marTop w:val="0"/>
          <w:marBottom w:val="0"/>
          <w:divBdr>
            <w:top w:val="none" w:sz="0" w:space="0" w:color="auto"/>
            <w:left w:val="none" w:sz="0" w:space="0" w:color="auto"/>
            <w:bottom w:val="none" w:sz="0" w:space="0" w:color="auto"/>
            <w:right w:val="none" w:sz="0" w:space="0" w:color="auto"/>
          </w:divBdr>
        </w:div>
        <w:div w:id="1269657957">
          <w:marLeft w:val="0"/>
          <w:marRight w:val="0"/>
          <w:marTop w:val="0"/>
          <w:marBottom w:val="0"/>
          <w:divBdr>
            <w:top w:val="none" w:sz="0" w:space="0" w:color="auto"/>
            <w:left w:val="none" w:sz="0" w:space="0" w:color="auto"/>
            <w:bottom w:val="none" w:sz="0" w:space="0" w:color="auto"/>
            <w:right w:val="none" w:sz="0" w:space="0" w:color="auto"/>
          </w:divBdr>
        </w:div>
        <w:div w:id="1269894622">
          <w:marLeft w:val="0"/>
          <w:marRight w:val="0"/>
          <w:marTop w:val="0"/>
          <w:marBottom w:val="0"/>
          <w:divBdr>
            <w:top w:val="none" w:sz="0" w:space="0" w:color="auto"/>
            <w:left w:val="none" w:sz="0" w:space="0" w:color="auto"/>
            <w:bottom w:val="none" w:sz="0" w:space="0" w:color="auto"/>
            <w:right w:val="none" w:sz="0" w:space="0" w:color="auto"/>
          </w:divBdr>
        </w:div>
        <w:div w:id="1273511243">
          <w:marLeft w:val="0"/>
          <w:marRight w:val="0"/>
          <w:marTop w:val="0"/>
          <w:marBottom w:val="0"/>
          <w:divBdr>
            <w:top w:val="none" w:sz="0" w:space="0" w:color="auto"/>
            <w:left w:val="none" w:sz="0" w:space="0" w:color="auto"/>
            <w:bottom w:val="none" w:sz="0" w:space="0" w:color="auto"/>
            <w:right w:val="none" w:sz="0" w:space="0" w:color="auto"/>
          </w:divBdr>
        </w:div>
        <w:div w:id="1287275110">
          <w:marLeft w:val="0"/>
          <w:marRight w:val="0"/>
          <w:marTop w:val="0"/>
          <w:marBottom w:val="0"/>
          <w:divBdr>
            <w:top w:val="none" w:sz="0" w:space="0" w:color="auto"/>
            <w:left w:val="none" w:sz="0" w:space="0" w:color="auto"/>
            <w:bottom w:val="none" w:sz="0" w:space="0" w:color="auto"/>
            <w:right w:val="none" w:sz="0" w:space="0" w:color="auto"/>
          </w:divBdr>
        </w:div>
        <w:div w:id="1317219264">
          <w:marLeft w:val="0"/>
          <w:marRight w:val="0"/>
          <w:marTop w:val="0"/>
          <w:marBottom w:val="0"/>
          <w:divBdr>
            <w:top w:val="none" w:sz="0" w:space="0" w:color="auto"/>
            <w:left w:val="none" w:sz="0" w:space="0" w:color="auto"/>
            <w:bottom w:val="none" w:sz="0" w:space="0" w:color="auto"/>
            <w:right w:val="none" w:sz="0" w:space="0" w:color="auto"/>
          </w:divBdr>
        </w:div>
        <w:div w:id="1350137656">
          <w:marLeft w:val="0"/>
          <w:marRight w:val="0"/>
          <w:marTop w:val="0"/>
          <w:marBottom w:val="0"/>
          <w:divBdr>
            <w:top w:val="none" w:sz="0" w:space="0" w:color="auto"/>
            <w:left w:val="none" w:sz="0" w:space="0" w:color="auto"/>
            <w:bottom w:val="none" w:sz="0" w:space="0" w:color="auto"/>
            <w:right w:val="none" w:sz="0" w:space="0" w:color="auto"/>
          </w:divBdr>
        </w:div>
        <w:div w:id="1352683806">
          <w:marLeft w:val="0"/>
          <w:marRight w:val="0"/>
          <w:marTop w:val="0"/>
          <w:marBottom w:val="0"/>
          <w:divBdr>
            <w:top w:val="none" w:sz="0" w:space="0" w:color="auto"/>
            <w:left w:val="none" w:sz="0" w:space="0" w:color="auto"/>
            <w:bottom w:val="none" w:sz="0" w:space="0" w:color="auto"/>
            <w:right w:val="none" w:sz="0" w:space="0" w:color="auto"/>
          </w:divBdr>
        </w:div>
        <w:div w:id="1355696057">
          <w:marLeft w:val="0"/>
          <w:marRight w:val="0"/>
          <w:marTop w:val="0"/>
          <w:marBottom w:val="0"/>
          <w:divBdr>
            <w:top w:val="none" w:sz="0" w:space="0" w:color="auto"/>
            <w:left w:val="none" w:sz="0" w:space="0" w:color="auto"/>
            <w:bottom w:val="none" w:sz="0" w:space="0" w:color="auto"/>
            <w:right w:val="none" w:sz="0" w:space="0" w:color="auto"/>
          </w:divBdr>
        </w:div>
        <w:div w:id="1439523014">
          <w:marLeft w:val="0"/>
          <w:marRight w:val="0"/>
          <w:marTop w:val="0"/>
          <w:marBottom w:val="0"/>
          <w:divBdr>
            <w:top w:val="none" w:sz="0" w:space="0" w:color="auto"/>
            <w:left w:val="none" w:sz="0" w:space="0" w:color="auto"/>
            <w:bottom w:val="none" w:sz="0" w:space="0" w:color="auto"/>
            <w:right w:val="none" w:sz="0" w:space="0" w:color="auto"/>
          </w:divBdr>
        </w:div>
        <w:div w:id="1486504721">
          <w:marLeft w:val="0"/>
          <w:marRight w:val="0"/>
          <w:marTop w:val="0"/>
          <w:marBottom w:val="0"/>
          <w:divBdr>
            <w:top w:val="none" w:sz="0" w:space="0" w:color="auto"/>
            <w:left w:val="none" w:sz="0" w:space="0" w:color="auto"/>
            <w:bottom w:val="none" w:sz="0" w:space="0" w:color="auto"/>
            <w:right w:val="none" w:sz="0" w:space="0" w:color="auto"/>
          </w:divBdr>
        </w:div>
        <w:div w:id="1488478655">
          <w:marLeft w:val="0"/>
          <w:marRight w:val="0"/>
          <w:marTop w:val="0"/>
          <w:marBottom w:val="0"/>
          <w:divBdr>
            <w:top w:val="none" w:sz="0" w:space="0" w:color="auto"/>
            <w:left w:val="none" w:sz="0" w:space="0" w:color="auto"/>
            <w:bottom w:val="none" w:sz="0" w:space="0" w:color="auto"/>
            <w:right w:val="none" w:sz="0" w:space="0" w:color="auto"/>
          </w:divBdr>
        </w:div>
        <w:div w:id="1512141023">
          <w:marLeft w:val="0"/>
          <w:marRight w:val="0"/>
          <w:marTop w:val="0"/>
          <w:marBottom w:val="0"/>
          <w:divBdr>
            <w:top w:val="none" w:sz="0" w:space="0" w:color="auto"/>
            <w:left w:val="none" w:sz="0" w:space="0" w:color="auto"/>
            <w:bottom w:val="none" w:sz="0" w:space="0" w:color="auto"/>
            <w:right w:val="none" w:sz="0" w:space="0" w:color="auto"/>
          </w:divBdr>
        </w:div>
        <w:div w:id="1513375053">
          <w:marLeft w:val="0"/>
          <w:marRight w:val="0"/>
          <w:marTop w:val="0"/>
          <w:marBottom w:val="0"/>
          <w:divBdr>
            <w:top w:val="none" w:sz="0" w:space="0" w:color="auto"/>
            <w:left w:val="none" w:sz="0" w:space="0" w:color="auto"/>
            <w:bottom w:val="none" w:sz="0" w:space="0" w:color="auto"/>
            <w:right w:val="none" w:sz="0" w:space="0" w:color="auto"/>
          </w:divBdr>
        </w:div>
        <w:div w:id="1515193675">
          <w:marLeft w:val="0"/>
          <w:marRight w:val="0"/>
          <w:marTop w:val="0"/>
          <w:marBottom w:val="0"/>
          <w:divBdr>
            <w:top w:val="none" w:sz="0" w:space="0" w:color="auto"/>
            <w:left w:val="none" w:sz="0" w:space="0" w:color="auto"/>
            <w:bottom w:val="none" w:sz="0" w:space="0" w:color="auto"/>
            <w:right w:val="none" w:sz="0" w:space="0" w:color="auto"/>
          </w:divBdr>
        </w:div>
        <w:div w:id="1534541715">
          <w:marLeft w:val="0"/>
          <w:marRight w:val="0"/>
          <w:marTop w:val="0"/>
          <w:marBottom w:val="0"/>
          <w:divBdr>
            <w:top w:val="none" w:sz="0" w:space="0" w:color="auto"/>
            <w:left w:val="none" w:sz="0" w:space="0" w:color="auto"/>
            <w:bottom w:val="none" w:sz="0" w:space="0" w:color="auto"/>
            <w:right w:val="none" w:sz="0" w:space="0" w:color="auto"/>
          </w:divBdr>
        </w:div>
        <w:div w:id="1543859289">
          <w:marLeft w:val="0"/>
          <w:marRight w:val="0"/>
          <w:marTop w:val="0"/>
          <w:marBottom w:val="0"/>
          <w:divBdr>
            <w:top w:val="none" w:sz="0" w:space="0" w:color="auto"/>
            <w:left w:val="none" w:sz="0" w:space="0" w:color="auto"/>
            <w:bottom w:val="none" w:sz="0" w:space="0" w:color="auto"/>
            <w:right w:val="none" w:sz="0" w:space="0" w:color="auto"/>
          </w:divBdr>
        </w:div>
        <w:div w:id="1612126399">
          <w:marLeft w:val="0"/>
          <w:marRight w:val="0"/>
          <w:marTop w:val="0"/>
          <w:marBottom w:val="0"/>
          <w:divBdr>
            <w:top w:val="none" w:sz="0" w:space="0" w:color="auto"/>
            <w:left w:val="none" w:sz="0" w:space="0" w:color="auto"/>
            <w:bottom w:val="none" w:sz="0" w:space="0" w:color="auto"/>
            <w:right w:val="none" w:sz="0" w:space="0" w:color="auto"/>
          </w:divBdr>
        </w:div>
        <w:div w:id="1621957353">
          <w:marLeft w:val="0"/>
          <w:marRight w:val="0"/>
          <w:marTop w:val="0"/>
          <w:marBottom w:val="0"/>
          <w:divBdr>
            <w:top w:val="none" w:sz="0" w:space="0" w:color="auto"/>
            <w:left w:val="none" w:sz="0" w:space="0" w:color="auto"/>
            <w:bottom w:val="none" w:sz="0" w:space="0" w:color="auto"/>
            <w:right w:val="none" w:sz="0" w:space="0" w:color="auto"/>
          </w:divBdr>
        </w:div>
        <w:div w:id="1640837137">
          <w:marLeft w:val="0"/>
          <w:marRight w:val="0"/>
          <w:marTop w:val="0"/>
          <w:marBottom w:val="0"/>
          <w:divBdr>
            <w:top w:val="none" w:sz="0" w:space="0" w:color="auto"/>
            <w:left w:val="none" w:sz="0" w:space="0" w:color="auto"/>
            <w:bottom w:val="none" w:sz="0" w:space="0" w:color="auto"/>
            <w:right w:val="none" w:sz="0" w:space="0" w:color="auto"/>
          </w:divBdr>
        </w:div>
        <w:div w:id="1661419010">
          <w:marLeft w:val="0"/>
          <w:marRight w:val="0"/>
          <w:marTop w:val="0"/>
          <w:marBottom w:val="0"/>
          <w:divBdr>
            <w:top w:val="none" w:sz="0" w:space="0" w:color="auto"/>
            <w:left w:val="none" w:sz="0" w:space="0" w:color="auto"/>
            <w:bottom w:val="none" w:sz="0" w:space="0" w:color="auto"/>
            <w:right w:val="none" w:sz="0" w:space="0" w:color="auto"/>
          </w:divBdr>
        </w:div>
        <w:div w:id="1679654730">
          <w:marLeft w:val="0"/>
          <w:marRight w:val="0"/>
          <w:marTop w:val="0"/>
          <w:marBottom w:val="0"/>
          <w:divBdr>
            <w:top w:val="none" w:sz="0" w:space="0" w:color="auto"/>
            <w:left w:val="none" w:sz="0" w:space="0" w:color="auto"/>
            <w:bottom w:val="none" w:sz="0" w:space="0" w:color="auto"/>
            <w:right w:val="none" w:sz="0" w:space="0" w:color="auto"/>
          </w:divBdr>
        </w:div>
        <w:div w:id="1685477959">
          <w:marLeft w:val="0"/>
          <w:marRight w:val="0"/>
          <w:marTop w:val="0"/>
          <w:marBottom w:val="0"/>
          <w:divBdr>
            <w:top w:val="none" w:sz="0" w:space="0" w:color="auto"/>
            <w:left w:val="none" w:sz="0" w:space="0" w:color="auto"/>
            <w:bottom w:val="none" w:sz="0" w:space="0" w:color="auto"/>
            <w:right w:val="none" w:sz="0" w:space="0" w:color="auto"/>
          </w:divBdr>
        </w:div>
        <w:div w:id="1697194693">
          <w:marLeft w:val="0"/>
          <w:marRight w:val="0"/>
          <w:marTop w:val="0"/>
          <w:marBottom w:val="0"/>
          <w:divBdr>
            <w:top w:val="none" w:sz="0" w:space="0" w:color="auto"/>
            <w:left w:val="none" w:sz="0" w:space="0" w:color="auto"/>
            <w:bottom w:val="none" w:sz="0" w:space="0" w:color="auto"/>
            <w:right w:val="none" w:sz="0" w:space="0" w:color="auto"/>
          </w:divBdr>
        </w:div>
        <w:div w:id="1718161901">
          <w:marLeft w:val="0"/>
          <w:marRight w:val="0"/>
          <w:marTop w:val="0"/>
          <w:marBottom w:val="0"/>
          <w:divBdr>
            <w:top w:val="none" w:sz="0" w:space="0" w:color="auto"/>
            <w:left w:val="none" w:sz="0" w:space="0" w:color="auto"/>
            <w:bottom w:val="none" w:sz="0" w:space="0" w:color="auto"/>
            <w:right w:val="none" w:sz="0" w:space="0" w:color="auto"/>
          </w:divBdr>
        </w:div>
        <w:div w:id="1719623921">
          <w:marLeft w:val="0"/>
          <w:marRight w:val="0"/>
          <w:marTop w:val="0"/>
          <w:marBottom w:val="0"/>
          <w:divBdr>
            <w:top w:val="none" w:sz="0" w:space="0" w:color="auto"/>
            <w:left w:val="none" w:sz="0" w:space="0" w:color="auto"/>
            <w:bottom w:val="none" w:sz="0" w:space="0" w:color="auto"/>
            <w:right w:val="none" w:sz="0" w:space="0" w:color="auto"/>
          </w:divBdr>
        </w:div>
        <w:div w:id="1753619210">
          <w:marLeft w:val="0"/>
          <w:marRight w:val="0"/>
          <w:marTop w:val="0"/>
          <w:marBottom w:val="0"/>
          <w:divBdr>
            <w:top w:val="none" w:sz="0" w:space="0" w:color="auto"/>
            <w:left w:val="none" w:sz="0" w:space="0" w:color="auto"/>
            <w:bottom w:val="none" w:sz="0" w:space="0" w:color="auto"/>
            <w:right w:val="none" w:sz="0" w:space="0" w:color="auto"/>
          </w:divBdr>
        </w:div>
        <w:div w:id="1799293760">
          <w:marLeft w:val="0"/>
          <w:marRight w:val="0"/>
          <w:marTop w:val="0"/>
          <w:marBottom w:val="0"/>
          <w:divBdr>
            <w:top w:val="none" w:sz="0" w:space="0" w:color="auto"/>
            <w:left w:val="none" w:sz="0" w:space="0" w:color="auto"/>
            <w:bottom w:val="none" w:sz="0" w:space="0" w:color="auto"/>
            <w:right w:val="none" w:sz="0" w:space="0" w:color="auto"/>
          </w:divBdr>
        </w:div>
        <w:div w:id="1821850238">
          <w:marLeft w:val="0"/>
          <w:marRight w:val="0"/>
          <w:marTop w:val="0"/>
          <w:marBottom w:val="0"/>
          <w:divBdr>
            <w:top w:val="none" w:sz="0" w:space="0" w:color="auto"/>
            <w:left w:val="none" w:sz="0" w:space="0" w:color="auto"/>
            <w:bottom w:val="none" w:sz="0" w:space="0" w:color="auto"/>
            <w:right w:val="none" w:sz="0" w:space="0" w:color="auto"/>
          </w:divBdr>
        </w:div>
        <w:div w:id="1835223752">
          <w:marLeft w:val="0"/>
          <w:marRight w:val="0"/>
          <w:marTop w:val="0"/>
          <w:marBottom w:val="0"/>
          <w:divBdr>
            <w:top w:val="none" w:sz="0" w:space="0" w:color="auto"/>
            <w:left w:val="none" w:sz="0" w:space="0" w:color="auto"/>
            <w:bottom w:val="none" w:sz="0" w:space="0" w:color="auto"/>
            <w:right w:val="none" w:sz="0" w:space="0" w:color="auto"/>
          </w:divBdr>
        </w:div>
        <w:div w:id="1840844480">
          <w:marLeft w:val="0"/>
          <w:marRight w:val="0"/>
          <w:marTop w:val="0"/>
          <w:marBottom w:val="0"/>
          <w:divBdr>
            <w:top w:val="none" w:sz="0" w:space="0" w:color="auto"/>
            <w:left w:val="none" w:sz="0" w:space="0" w:color="auto"/>
            <w:bottom w:val="none" w:sz="0" w:space="0" w:color="auto"/>
            <w:right w:val="none" w:sz="0" w:space="0" w:color="auto"/>
          </w:divBdr>
        </w:div>
        <w:div w:id="1859733466">
          <w:marLeft w:val="0"/>
          <w:marRight w:val="0"/>
          <w:marTop w:val="0"/>
          <w:marBottom w:val="0"/>
          <w:divBdr>
            <w:top w:val="none" w:sz="0" w:space="0" w:color="auto"/>
            <w:left w:val="none" w:sz="0" w:space="0" w:color="auto"/>
            <w:bottom w:val="none" w:sz="0" w:space="0" w:color="auto"/>
            <w:right w:val="none" w:sz="0" w:space="0" w:color="auto"/>
          </w:divBdr>
        </w:div>
        <w:div w:id="1871647583">
          <w:marLeft w:val="0"/>
          <w:marRight w:val="0"/>
          <w:marTop w:val="0"/>
          <w:marBottom w:val="0"/>
          <w:divBdr>
            <w:top w:val="none" w:sz="0" w:space="0" w:color="auto"/>
            <w:left w:val="none" w:sz="0" w:space="0" w:color="auto"/>
            <w:bottom w:val="none" w:sz="0" w:space="0" w:color="auto"/>
            <w:right w:val="none" w:sz="0" w:space="0" w:color="auto"/>
          </w:divBdr>
        </w:div>
        <w:div w:id="1902250235">
          <w:marLeft w:val="0"/>
          <w:marRight w:val="0"/>
          <w:marTop w:val="0"/>
          <w:marBottom w:val="0"/>
          <w:divBdr>
            <w:top w:val="none" w:sz="0" w:space="0" w:color="auto"/>
            <w:left w:val="none" w:sz="0" w:space="0" w:color="auto"/>
            <w:bottom w:val="none" w:sz="0" w:space="0" w:color="auto"/>
            <w:right w:val="none" w:sz="0" w:space="0" w:color="auto"/>
          </w:divBdr>
        </w:div>
        <w:div w:id="1903714621">
          <w:marLeft w:val="0"/>
          <w:marRight w:val="0"/>
          <w:marTop w:val="0"/>
          <w:marBottom w:val="0"/>
          <w:divBdr>
            <w:top w:val="none" w:sz="0" w:space="0" w:color="auto"/>
            <w:left w:val="none" w:sz="0" w:space="0" w:color="auto"/>
            <w:bottom w:val="none" w:sz="0" w:space="0" w:color="auto"/>
            <w:right w:val="none" w:sz="0" w:space="0" w:color="auto"/>
          </w:divBdr>
        </w:div>
        <w:div w:id="1912696599">
          <w:marLeft w:val="0"/>
          <w:marRight w:val="0"/>
          <w:marTop w:val="0"/>
          <w:marBottom w:val="0"/>
          <w:divBdr>
            <w:top w:val="none" w:sz="0" w:space="0" w:color="auto"/>
            <w:left w:val="none" w:sz="0" w:space="0" w:color="auto"/>
            <w:bottom w:val="none" w:sz="0" w:space="0" w:color="auto"/>
            <w:right w:val="none" w:sz="0" w:space="0" w:color="auto"/>
          </w:divBdr>
        </w:div>
        <w:div w:id="1936396600">
          <w:marLeft w:val="0"/>
          <w:marRight w:val="0"/>
          <w:marTop w:val="0"/>
          <w:marBottom w:val="0"/>
          <w:divBdr>
            <w:top w:val="none" w:sz="0" w:space="0" w:color="auto"/>
            <w:left w:val="none" w:sz="0" w:space="0" w:color="auto"/>
            <w:bottom w:val="none" w:sz="0" w:space="0" w:color="auto"/>
            <w:right w:val="none" w:sz="0" w:space="0" w:color="auto"/>
          </w:divBdr>
        </w:div>
        <w:div w:id="1942906582">
          <w:marLeft w:val="0"/>
          <w:marRight w:val="0"/>
          <w:marTop w:val="0"/>
          <w:marBottom w:val="0"/>
          <w:divBdr>
            <w:top w:val="none" w:sz="0" w:space="0" w:color="auto"/>
            <w:left w:val="none" w:sz="0" w:space="0" w:color="auto"/>
            <w:bottom w:val="none" w:sz="0" w:space="0" w:color="auto"/>
            <w:right w:val="none" w:sz="0" w:space="0" w:color="auto"/>
          </w:divBdr>
        </w:div>
        <w:div w:id="1968852174">
          <w:marLeft w:val="0"/>
          <w:marRight w:val="0"/>
          <w:marTop w:val="0"/>
          <w:marBottom w:val="0"/>
          <w:divBdr>
            <w:top w:val="none" w:sz="0" w:space="0" w:color="auto"/>
            <w:left w:val="none" w:sz="0" w:space="0" w:color="auto"/>
            <w:bottom w:val="none" w:sz="0" w:space="0" w:color="auto"/>
            <w:right w:val="none" w:sz="0" w:space="0" w:color="auto"/>
          </w:divBdr>
        </w:div>
        <w:div w:id="1968970419">
          <w:marLeft w:val="0"/>
          <w:marRight w:val="0"/>
          <w:marTop w:val="0"/>
          <w:marBottom w:val="0"/>
          <w:divBdr>
            <w:top w:val="none" w:sz="0" w:space="0" w:color="auto"/>
            <w:left w:val="none" w:sz="0" w:space="0" w:color="auto"/>
            <w:bottom w:val="none" w:sz="0" w:space="0" w:color="auto"/>
            <w:right w:val="none" w:sz="0" w:space="0" w:color="auto"/>
          </w:divBdr>
        </w:div>
        <w:div w:id="2037189351">
          <w:marLeft w:val="0"/>
          <w:marRight w:val="0"/>
          <w:marTop w:val="0"/>
          <w:marBottom w:val="0"/>
          <w:divBdr>
            <w:top w:val="none" w:sz="0" w:space="0" w:color="auto"/>
            <w:left w:val="none" w:sz="0" w:space="0" w:color="auto"/>
            <w:bottom w:val="none" w:sz="0" w:space="0" w:color="auto"/>
            <w:right w:val="none" w:sz="0" w:space="0" w:color="auto"/>
          </w:divBdr>
        </w:div>
        <w:div w:id="2080974459">
          <w:marLeft w:val="0"/>
          <w:marRight w:val="0"/>
          <w:marTop w:val="0"/>
          <w:marBottom w:val="0"/>
          <w:divBdr>
            <w:top w:val="none" w:sz="0" w:space="0" w:color="auto"/>
            <w:left w:val="none" w:sz="0" w:space="0" w:color="auto"/>
            <w:bottom w:val="none" w:sz="0" w:space="0" w:color="auto"/>
            <w:right w:val="none" w:sz="0" w:space="0" w:color="auto"/>
          </w:divBdr>
        </w:div>
        <w:div w:id="2083092084">
          <w:marLeft w:val="0"/>
          <w:marRight w:val="0"/>
          <w:marTop w:val="0"/>
          <w:marBottom w:val="0"/>
          <w:divBdr>
            <w:top w:val="none" w:sz="0" w:space="0" w:color="auto"/>
            <w:left w:val="none" w:sz="0" w:space="0" w:color="auto"/>
            <w:bottom w:val="none" w:sz="0" w:space="0" w:color="auto"/>
            <w:right w:val="none" w:sz="0" w:space="0" w:color="auto"/>
          </w:divBdr>
        </w:div>
        <w:div w:id="2087144693">
          <w:marLeft w:val="0"/>
          <w:marRight w:val="0"/>
          <w:marTop w:val="0"/>
          <w:marBottom w:val="0"/>
          <w:divBdr>
            <w:top w:val="none" w:sz="0" w:space="0" w:color="auto"/>
            <w:left w:val="none" w:sz="0" w:space="0" w:color="auto"/>
            <w:bottom w:val="none" w:sz="0" w:space="0" w:color="auto"/>
            <w:right w:val="none" w:sz="0" w:space="0" w:color="auto"/>
          </w:divBdr>
        </w:div>
        <w:div w:id="2098476685">
          <w:marLeft w:val="0"/>
          <w:marRight w:val="0"/>
          <w:marTop w:val="0"/>
          <w:marBottom w:val="0"/>
          <w:divBdr>
            <w:top w:val="none" w:sz="0" w:space="0" w:color="auto"/>
            <w:left w:val="none" w:sz="0" w:space="0" w:color="auto"/>
            <w:bottom w:val="none" w:sz="0" w:space="0" w:color="auto"/>
            <w:right w:val="none" w:sz="0" w:space="0" w:color="auto"/>
          </w:divBdr>
        </w:div>
        <w:div w:id="2101367051">
          <w:marLeft w:val="0"/>
          <w:marRight w:val="0"/>
          <w:marTop w:val="0"/>
          <w:marBottom w:val="0"/>
          <w:divBdr>
            <w:top w:val="none" w:sz="0" w:space="0" w:color="auto"/>
            <w:left w:val="none" w:sz="0" w:space="0" w:color="auto"/>
            <w:bottom w:val="none" w:sz="0" w:space="0" w:color="auto"/>
            <w:right w:val="none" w:sz="0" w:space="0" w:color="auto"/>
          </w:divBdr>
        </w:div>
        <w:div w:id="2117674253">
          <w:marLeft w:val="0"/>
          <w:marRight w:val="0"/>
          <w:marTop w:val="0"/>
          <w:marBottom w:val="0"/>
          <w:divBdr>
            <w:top w:val="none" w:sz="0" w:space="0" w:color="auto"/>
            <w:left w:val="none" w:sz="0" w:space="0" w:color="auto"/>
            <w:bottom w:val="none" w:sz="0" w:space="0" w:color="auto"/>
            <w:right w:val="none" w:sz="0" w:space="0" w:color="auto"/>
          </w:divBdr>
        </w:div>
        <w:div w:id="2139881653">
          <w:marLeft w:val="0"/>
          <w:marRight w:val="0"/>
          <w:marTop w:val="0"/>
          <w:marBottom w:val="0"/>
          <w:divBdr>
            <w:top w:val="none" w:sz="0" w:space="0" w:color="auto"/>
            <w:left w:val="none" w:sz="0" w:space="0" w:color="auto"/>
            <w:bottom w:val="none" w:sz="0" w:space="0" w:color="auto"/>
            <w:right w:val="none" w:sz="0" w:space="0" w:color="auto"/>
          </w:divBdr>
        </w:div>
        <w:div w:id="2146191638">
          <w:marLeft w:val="0"/>
          <w:marRight w:val="0"/>
          <w:marTop w:val="0"/>
          <w:marBottom w:val="0"/>
          <w:divBdr>
            <w:top w:val="none" w:sz="0" w:space="0" w:color="auto"/>
            <w:left w:val="none" w:sz="0" w:space="0" w:color="auto"/>
            <w:bottom w:val="none" w:sz="0" w:space="0" w:color="auto"/>
            <w:right w:val="none" w:sz="0" w:space="0" w:color="auto"/>
          </w:divBdr>
        </w:div>
      </w:divsChild>
    </w:div>
    <w:div w:id="1815372825">
      <w:bodyDiv w:val="1"/>
      <w:marLeft w:val="0"/>
      <w:marRight w:val="0"/>
      <w:marTop w:val="0"/>
      <w:marBottom w:val="0"/>
      <w:divBdr>
        <w:top w:val="none" w:sz="0" w:space="0" w:color="auto"/>
        <w:left w:val="none" w:sz="0" w:space="0" w:color="auto"/>
        <w:bottom w:val="none" w:sz="0" w:space="0" w:color="auto"/>
        <w:right w:val="none" w:sz="0" w:space="0" w:color="auto"/>
      </w:divBdr>
    </w:div>
    <w:div w:id="1837762913">
      <w:bodyDiv w:val="1"/>
      <w:marLeft w:val="0"/>
      <w:marRight w:val="0"/>
      <w:marTop w:val="0"/>
      <w:marBottom w:val="0"/>
      <w:divBdr>
        <w:top w:val="none" w:sz="0" w:space="0" w:color="auto"/>
        <w:left w:val="none" w:sz="0" w:space="0" w:color="auto"/>
        <w:bottom w:val="none" w:sz="0" w:space="0" w:color="auto"/>
        <w:right w:val="none" w:sz="0" w:space="0" w:color="auto"/>
      </w:divBdr>
    </w:div>
    <w:div w:id="1849708527">
      <w:bodyDiv w:val="1"/>
      <w:marLeft w:val="0"/>
      <w:marRight w:val="0"/>
      <w:marTop w:val="0"/>
      <w:marBottom w:val="0"/>
      <w:divBdr>
        <w:top w:val="none" w:sz="0" w:space="0" w:color="auto"/>
        <w:left w:val="none" w:sz="0" w:space="0" w:color="auto"/>
        <w:bottom w:val="none" w:sz="0" w:space="0" w:color="auto"/>
        <w:right w:val="none" w:sz="0" w:space="0" w:color="auto"/>
      </w:divBdr>
      <w:divsChild>
        <w:div w:id="49883702">
          <w:marLeft w:val="0"/>
          <w:marRight w:val="0"/>
          <w:marTop w:val="0"/>
          <w:marBottom w:val="0"/>
          <w:divBdr>
            <w:top w:val="none" w:sz="0" w:space="0" w:color="auto"/>
            <w:left w:val="none" w:sz="0" w:space="0" w:color="auto"/>
            <w:bottom w:val="none" w:sz="0" w:space="0" w:color="auto"/>
            <w:right w:val="none" w:sz="0" w:space="0" w:color="auto"/>
          </w:divBdr>
        </w:div>
        <w:div w:id="424959022">
          <w:marLeft w:val="0"/>
          <w:marRight w:val="0"/>
          <w:marTop w:val="0"/>
          <w:marBottom w:val="0"/>
          <w:divBdr>
            <w:top w:val="none" w:sz="0" w:space="0" w:color="auto"/>
            <w:left w:val="none" w:sz="0" w:space="0" w:color="auto"/>
            <w:bottom w:val="none" w:sz="0" w:space="0" w:color="auto"/>
            <w:right w:val="none" w:sz="0" w:space="0" w:color="auto"/>
          </w:divBdr>
        </w:div>
        <w:div w:id="494300611">
          <w:marLeft w:val="0"/>
          <w:marRight w:val="0"/>
          <w:marTop w:val="0"/>
          <w:marBottom w:val="0"/>
          <w:divBdr>
            <w:top w:val="none" w:sz="0" w:space="0" w:color="auto"/>
            <w:left w:val="none" w:sz="0" w:space="0" w:color="auto"/>
            <w:bottom w:val="none" w:sz="0" w:space="0" w:color="auto"/>
            <w:right w:val="none" w:sz="0" w:space="0" w:color="auto"/>
          </w:divBdr>
        </w:div>
        <w:div w:id="576135359">
          <w:marLeft w:val="0"/>
          <w:marRight w:val="0"/>
          <w:marTop w:val="0"/>
          <w:marBottom w:val="0"/>
          <w:divBdr>
            <w:top w:val="none" w:sz="0" w:space="0" w:color="auto"/>
            <w:left w:val="none" w:sz="0" w:space="0" w:color="auto"/>
            <w:bottom w:val="none" w:sz="0" w:space="0" w:color="auto"/>
            <w:right w:val="none" w:sz="0" w:space="0" w:color="auto"/>
          </w:divBdr>
        </w:div>
        <w:div w:id="1058818896">
          <w:marLeft w:val="0"/>
          <w:marRight w:val="0"/>
          <w:marTop w:val="0"/>
          <w:marBottom w:val="0"/>
          <w:divBdr>
            <w:top w:val="none" w:sz="0" w:space="0" w:color="auto"/>
            <w:left w:val="none" w:sz="0" w:space="0" w:color="auto"/>
            <w:bottom w:val="none" w:sz="0" w:space="0" w:color="auto"/>
            <w:right w:val="none" w:sz="0" w:space="0" w:color="auto"/>
          </w:divBdr>
        </w:div>
        <w:div w:id="1286307258">
          <w:marLeft w:val="0"/>
          <w:marRight w:val="0"/>
          <w:marTop w:val="0"/>
          <w:marBottom w:val="0"/>
          <w:divBdr>
            <w:top w:val="none" w:sz="0" w:space="0" w:color="auto"/>
            <w:left w:val="none" w:sz="0" w:space="0" w:color="auto"/>
            <w:bottom w:val="none" w:sz="0" w:space="0" w:color="auto"/>
            <w:right w:val="none" w:sz="0" w:space="0" w:color="auto"/>
          </w:divBdr>
        </w:div>
        <w:div w:id="1594893458">
          <w:marLeft w:val="0"/>
          <w:marRight w:val="0"/>
          <w:marTop w:val="0"/>
          <w:marBottom w:val="0"/>
          <w:divBdr>
            <w:top w:val="none" w:sz="0" w:space="0" w:color="auto"/>
            <w:left w:val="none" w:sz="0" w:space="0" w:color="auto"/>
            <w:bottom w:val="none" w:sz="0" w:space="0" w:color="auto"/>
            <w:right w:val="none" w:sz="0" w:space="0" w:color="auto"/>
          </w:divBdr>
        </w:div>
        <w:div w:id="1749645597">
          <w:marLeft w:val="0"/>
          <w:marRight w:val="0"/>
          <w:marTop w:val="0"/>
          <w:marBottom w:val="0"/>
          <w:divBdr>
            <w:top w:val="none" w:sz="0" w:space="0" w:color="auto"/>
            <w:left w:val="none" w:sz="0" w:space="0" w:color="auto"/>
            <w:bottom w:val="none" w:sz="0" w:space="0" w:color="auto"/>
            <w:right w:val="none" w:sz="0" w:space="0" w:color="auto"/>
          </w:divBdr>
        </w:div>
        <w:div w:id="1750930529">
          <w:marLeft w:val="0"/>
          <w:marRight w:val="0"/>
          <w:marTop w:val="0"/>
          <w:marBottom w:val="0"/>
          <w:divBdr>
            <w:top w:val="none" w:sz="0" w:space="0" w:color="auto"/>
            <w:left w:val="none" w:sz="0" w:space="0" w:color="auto"/>
            <w:bottom w:val="none" w:sz="0" w:space="0" w:color="auto"/>
            <w:right w:val="none" w:sz="0" w:space="0" w:color="auto"/>
          </w:divBdr>
        </w:div>
        <w:div w:id="1762140125">
          <w:marLeft w:val="0"/>
          <w:marRight w:val="0"/>
          <w:marTop w:val="0"/>
          <w:marBottom w:val="0"/>
          <w:divBdr>
            <w:top w:val="none" w:sz="0" w:space="0" w:color="auto"/>
            <w:left w:val="none" w:sz="0" w:space="0" w:color="auto"/>
            <w:bottom w:val="none" w:sz="0" w:space="0" w:color="auto"/>
            <w:right w:val="none" w:sz="0" w:space="0" w:color="auto"/>
          </w:divBdr>
        </w:div>
        <w:div w:id="1785614879">
          <w:marLeft w:val="0"/>
          <w:marRight w:val="0"/>
          <w:marTop w:val="0"/>
          <w:marBottom w:val="0"/>
          <w:divBdr>
            <w:top w:val="none" w:sz="0" w:space="0" w:color="auto"/>
            <w:left w:val="none" w:sz="0" w:space="0" w:color="auto"/>
            <w:bottom w:val="none" w:sz="0" w:space="0" w:color="auto"/>
            <w:right w:val="none" w:sz="0" w:space="0" w:color="auto"/>
          </w:divBdr>
        </w:div>
        <w:div w:id="1821652455">
          <w:marLeft w:val="0"/>
          <w:marRight w:val="0"/>
          <w:marTop w:val="0"/>
          <w:marBottom w:val="0"/>
          <w:divBdr>
            <w:top w:val="none" w:sz="0" w:space="0" w:color="auto"/>
            <w:left w:val="none" w:sz="0" w:space="0" w:color="auto"/>
            <w:bottom w:val="none" w:sz="0" w:space="0" w:color="auto"/>
            <w:right w:val="none" w:sz="0" w:space="0" w:color="auto"/>
          </w:divBdr>
        </w:div>
        <w:div w:id="1866092397">
          <w:marLeft w:val="0"/>
          <w:marRight w:val="0"/>
          <w:marTop w:val="0"/>
          <w:marBottom w:val="0"/>
          <w:divBdr>
            <w:top w:val="none" w:sz="0" w:space="0" w:color="auto"/>
            <w:left w:val="none" w:sz="0" w:space="0" w:color="auto"/>
            <w:bottom w:val="none" w:sz="0" w:space="0" w:color="auto"/>
            <w:right w:val="none" w:sz="0" w:space="0" w:color="auto"/>
          </w:divBdr>
        </w:div>
        <w:div w:id="1956280432">
          <w:marLeft w:val="0"/>
          <w:marRight w:val="0"/>
          <w:marTop w:val="0"/>
          <w:marBottom w:val="0"/>
          <w:divBdr>
            <w:top w:val="none" w:sz="0" w:space="0" w:color="auto"/>
            <w:left w:val="none" w:sz="0" w:space="0" w:color="auto"/>
            <w:bottom w:val="none" w:sz="0" w:space="0" w:color="auto"/>
            <w:right w:val="none" w:sz="0" w:space="0" w:color="auto"/>
          </w:divBdr>
        </w:div>
      </w:divsChild>
    </w:div>
    <w:div w:id="1850946056">
      <w:bodyDiv w:val="1"/>
      <w:marLeft w:val="0"/>
      <w:marRight w:val="0"/>
      <w:marTop w:val="0"/>
      <w:marBottom w:val="0"/>
      <w:divBdr>
        <w:top w:val="none" w:sz="0" w:space="0" w:color="auto"/>
        <w:left w:val="none" w:sz="0" w:space="0" w:color="auto"/>
        <w:bottom w:val="none" w:sz="0" w:space="0" w:color="auto"/>
        <w:right w:val="none" w:sz="0" w:space="0" w:color="auto"/>
      </w:divBdr>
    </w:div>
    <w:div w:id="1905871050">
      <w:bodyDiv w:val="1"/>
      <w:marLeft w:val="0"/>
      <w:marRight w:val="0"/>
      <w:marTop w:val="0"/>
      <w:marBottom w:val="0"/>
      <w:divBdr>
        <w:top w:val="none" w:sz="0" w:space="0" w:color="auto"/>
        <w:left w:val="none" w:sz="0" w:space="0" w:color="auto"/>
        <w:bottom w:val="none" w:sz="0" w:space="0" w:color="auto"/>
        <w:right w:val="none" w:sz="0" w:space="0" w:color="auto"/>
      </w:divBdr>
    </w:div>
    <w:div w:id="1928924571">
      <w:bodyDiv w:val="1"/>
      <w:marLeft w:val="0"/>
      <w:marRight w:val="0"/>
      <w:marTop w:val="0"/>
      <w:marBottom w:val="0"/>
      <w:divBdr>
        <w:top w:val="none" w:sz="0" w:space="0" w:color="auto"/>
        <w:left w:val="none" w:sz="0" w:space="0" w:color="auto"/>
        <w:bottom w:val="none" w:sz="0" w:space="0" w:color="auto"/>
        <w:right w:val="none" w:sz="0" w:space="0" w:color="auto"/>
      </w:divBdr>
    </w:div>
    <w:div w:id="1934584393">
      <w:bodyDiv w:val="1"/>
      <w:marLeft w:val="0"/>
      <w:marRight w:val="0"/>
      <w:marTop w:val="0"/>
      <w:marBottom w:val="0"/>
      <w:divBdr>
        <w:top w:val="none" w:sz="0" w:space="0" w:color="auto"/>
        <w:left w:val="none" w:sz="0" w:space="0" w:color="auto"/>
        <w:bottom w:val="none" w:sz="0" w:space="0" w:color="auto"/>
        <w:right w:val="none" w:sz="0" w:space="0" w:color="auto"/>
      </w:divBdr>
    </w:div>
    <w:div w:id="1950816323">
      <w:bodyDiv w:val="1"/>
      <w:marLeft w:val="0"/>
      <w:marRight w:val="0"/>
      <w:marTop w:val="0"/>
      <w:marBottom w:val="0"/>
      <w:divBdr>
        <w:top w:val="none" w:sz="0" w:space="0" w:color="auto"/>
        <w:left w:val="none" w:sz="0" w:space="0" w:color="auto"/>
        <w:bottom w:val="none" w:sz="0" w:space="0" w:color="auto"/>
        <w:right w:val="none" w:sz="0" w:space="0" w:color="auto"/>
      </w:divBdr>
    </w:div>
    <w:div w:id="1952587088">
      <w:bodyDiv w:val="1"/>
      <w:marLeft w:val="0"/>
      <w:marRight w:val="0"/>
      <w:marTop w:val="0"/>
      <w:marBottom w:val="0"/>
      <w:divBdr>
        <w:top w:val="none" w:sz="0" w:space="0" w:color="auto"/>
        <w:left w:val="none" w:sz="0" w:space="0" w:color="auto"/>
        <w:bottom w:val="none" w:sz="0" w:space="0" w:color="auto"/>
        <w:right w:val="none" w:sz="0" w:space="0" w:color="auto"/>
      </w:divBdr>
    </w:div>
    <w:div w:id="1957909819">
      <w:bodyDiv w:val="1"/>
      <w:marLeft w:val="0"/>
      <w:marRight w:val="0"/>
      <w:marTop w:val="0"/>
      <w:marBottom w:val="0"/>
      <w:divBdr>
        <w:top w:val="none" w:sz="0" w:space="0" w:color="auto"/>
        <w:left w:val="none" w:sz="0" w:space="0" w:color="auto"/>
        <w:bottom w:val="none" w:sz="0" w:space="0" w:color="auto"/>
        <w:right w:val="none" w:sz="0" w:space="0" w:color="auto"/>
      </w:divBdr>
    </w:div>
    <w:div w:id="1960184946">
      <w:bodyDiv w:val="1"/>
      <w:marLeft w:val="0"/>
      <w:marRight w:val="0"/>
      <w:marTop w:val="0"/>
      <w:marBottom w:val="0"/>
      <w:divBdr>
        <w:top w:val="none" w:sz="0" w:space="0" w:color="auto"/>
        <w:left w:val="none" w:sz="0" w:space="0" w:color="auto"/>
        <w:bottom w:val="none" w:sz="0" w:space="0" w:color="auto"/>
        <w:right w:val="none" w:sz="0" w:space="0" w:color="auto"/>
      </w:divBdr>
    </w:div>
    <w:div w:id="1971667637">
      <w:bodyDiv w:val="1"/>
      <w:marLeft w:val="0"/>
      <w:marRight w:val="0"/>
      <w:marTop w:val="0"/>
      <w:marBottom w:val="0"/>
      <w:divBdr>
        <w:top w:val="none" w:sz="0" w:space="0" w:color="auto"/>
        <w:left w:val="none" w:sz="0" w:space="0" w:color="auto"/>
        <w:bottom w:val="none" w:sz="0" w:space="0" w:color="auto"/>
        <w:right w:val="none" w:sz="0" w:space="0" w:color="auto"/>
      </w:divBdr>
      <w:divsChild>
        <w:div w:id="227882686">
          <w:marLeft w:val="0"/>
          <w:marRight w:val="0"/>
          <w:marTop w:val="0"/>
          <w:marBottom w:val="0"/>
          <w:divBdr>
            <w:top w:val="none" w:sz="0" w:space="0" w:color="auto"/>
            <w:left w:val="none" w:sz="0" w:space="0" w:color="auto"/>
            <w:bottom w:val="none" w:sz="0" w:space="0" w:color="auto"/>
            <w:right w:val="none" w:sz="0" w:space="0" w:color="auto"/>
          </w:divBdr>
        </w:div>
        <w:div w:id="241840726">
          <w:marLeft w:val="0"/>
          <w:marRight w:val="0"/>
          <w:marTop w:val="0"/>
          <w:marBottom w:val="0"/>
          <w:divBdr>
            <w:top w:val="none" w:sz="0" w:space="0" w:color="auto"/>
            <w:left w:val="none" w:sz="0" w:space="0" w:color="auto"/>
            <w:bottom w:val="none" w:sz="0" w:space="0" w:color="auto"/>
            <w:right w:val="none" w:sz="0" w:space="0" w:color="auto"/>
          </w:divBdr>
        </w:div>
        <w:div w:id="265238148">
          <w:marLeft w:val="0"/>
          <w:marRight w:val="0"/>
          <w:marTop w:val="0"/>
          <w:marBottom w:val="0"/>
          <w:divBdr>
            <w:top w:val="none" w:sz="0" w:space="0" w:color="auto"/>
            <w:left w:val="none" w:sz="0" w:space="0" w:color="auto"/>
            <w:bottom w:val="none" w:sz="0" w:space="0" w:color="auto"/>
            <w:right w:val="none" w:sz="0" w:space="0" w:color="auto"/>
          </w:divBdr>
        </w:div>
        <w:div w:id="278493533">
          <w:marLeft w:val="0"/>
          <w:marRight w:val="0"/>
          <w:marTop w:val="0"/>
          <w:marBottom w:val="0"/>
          <w:divBdr>
            <w:top w:val="none" w:sz="0" w:space="0" w:color="auto"/>
            <w:left w:val="none" w:sz="0" w:space="0" w:color="auto"/>
            <w:bottom w:val="none" w:sz="0" w:space="0" w:color="auto"/>
            <w:right w:val="none" w:sz="0" w:space="0" w:color="auto"/>
          </w:divBdr>
        </w:div>
        <w:div w:id="751396785">
          <w:marLeft w:val="0"/>
          <w:marRight w:val="0"/>
          <w:marTop w:val="0"/>
          <w:marBottom w:val="0"/>
          <w:divBdr>
            <w:top w:val="none" w:sz="0" w:space="0" w:color="auto"/>
            <w:left w:val="none" w:sz="0" w:space="0" w:color="auto"/>
            <w:bottom w:val="none" w:sz="0" w:space="0" w:color="auto"/>
            <w:right w:val="none" w:sz="0" w:space="0" w:color="auto"/>
          </w:divBdr>
        </w:div>
        <w:div w:id="1036849810">
          <w:marLeft w:val="0"/>
          <w:marRight w:val="0"/>
          <w:marTop w:val="0"/>
          <w:marBottom w:val="0"/>
          <w:divBdr>
            <w:top w:val="none" w:sz="0" w:space="0" w:color="auto"/>
            <w:left w:val="none" w:sz="0" w:space="0" w:color="auto"/>
            <w:bottom w:val="none" w:sz="0" w:space="0" w:color="auto"/>
            <w:right w:val="none" w:sz="0" w:space="0" w:color="auto"/>
          </w:divBdr>
        </w:div>
        <w:div w:id="2126071653">
          <w:marLeft w:val="0"/>
          <w:marRight w:val="0"/>
          <w:marTop w:val="0"/>
          <w:marBottom w:val="0"/>
          <w:divBdr>
            <w:top w:val="none" w:sz="0" w:space="0" w:color="auto"/>
            <w:left w:val="none" w:sz="0" w:space="0" w:color="auto"/>
            <w:bottom w:val="none" w:sz="0" w:space="0" w:color="auto"/>
            <w:right w:val="none" w:sz="0" w:space="0" w:color="auto"/>
          </w:divBdr>
        </w:div>
      </w:divsChild>
    </w:div>
    <w:div w:id="1976906999">
      <w:bodyDiv w:val="1"/>
      <w:marLeft w:val="0"/>
      <w:marRight w:val="0"/>
      <w:marTop w:val="0"/>
      <w:marBottom w:val="0"/>
      <w:divBdr>
        <w:top w:val="none" w:sz="0" w:space="0" w:color="auto"/>
        <w:left w:val="none" w:sz="0" w:space="0" w:color="auto"/>
        <w:bottom w:val="none" w:sz="0" w:space="0" w:color="auto"/>
        <w:right w:val="none" w:sz="0" w:space="0" w:color="auto"/>
      </w:divBdr>
    </w:div>
    <w:div w:id="1980526179">
      <w:bodyDiv w:val="1"/>
      <w:marLeft w:val="0"/>
      <w:marRight w:val="0"/>
      <w:marTop w:val="0"/>
      <w:marBottom w:val="0"/>
      <w:divBdr>
        <w:top w:val="none" w:sz="0" w:space="0" w:color="auto"/>
        <w:left w:val="none" w:sz="0" w:space="0" w:color="auto"/>
        <w:bottom w:val="none" w:sz="0" w:space="0" w:color="auto"/>
        <w:right w:val="none" w:sz="0" w:space="0" w:color="auto"/>
      </w:divBdr>
    </w:div>
    <w:div w:id="2011711929">
      <w:bodyDiv w:val="1"/>
      <w:marLeft w:val="0"/>
      <w:marRight w:val="0"/>
      <w:marTop w:val="0"/>
      <w:marBottom w:val="0"/>
      <w:divBdr>
        <w:top w:val="none" w:sz="0" w:space="0" w:color="auto"/>
        <w:left w:val="none" w:sz="0" w:space="0" w:color="auto"/>
        <w:bottom w:val="none" w:sz="0" w:space="0" w:color="auto"/>
        <w:right w:val="none" w:sz="0" w:space="0" w:color="auto"/>
      </w:divBdr>
    </w:div>
    <w:div w:id="2021423056">
      <w:bodyDiv w:val="1"/>
      <w:marLeft w:val="0"/>
      <w:marRight w:val="0"/>
      <w:marTop w:val="0"/>
      <w:marBottom w:val="0"/>
      <w:divBdr>
        <w:top w:val="none" w:sz="0" w:space="0" w:color="auto"/>
        <w:left w:val="none" w:sz="0" w:space="0" w:color="auto"/>
        <w:bottom w:val="none" w:sz="0" w:space="0" w:color="auto"/>
        <w:right w:val="none" w:sz="0" w:space="0" w:color="auto"/>
      </w:divBdr>
    </w:div>
    <w:div w:id="2026707316">
      <w:bodyDiv w:val="1"/>
      <w:marLeft w:val="0"/>
      <w:marRight w:val="0"/>
      <w:marTop w:val="0"/>
      <w:marBottom w:val="0"/>
      <w:divBdr>
        <w:top w:val="none" w:sz="0" w:space="0" w:color="auto"/>
        <w:left w:val="none" w:sz="0" w:space="0" w:color="auto"/>
        <w:bottom w:val="none" w:sz="0" w:space="0" w:color="auto"/>
        <w:right w:val="none" w:sz="0" w:space="0" w:color="auto"/>
      </w:divBdr>
    </w:div>
    <w:div w:id="2037656880">
      <w:bodyDiv w:val="1"/>
      <w:marLeft w:val="0"/>
      <w:marRight w:val="0"/>
      <w:marTop w:val="0"/>
      <w:marBottom w:val="0"/>
      <w:divBdr>
        <w:top w:val="none" w:sz="0" w:space="0" w:color="auto"/>
        <w:left w:val="none" w:sz="0" w:space="0" w:color="auto"/>
        <w:bottom w:val="none" w:sz="0" w:space="0" w:color="auto"/>
        <w:right w:val="none" w:sz="0" w:space="0" w:color="auto"/>
      </w:divBdr>
    </w:div>
    <w:div w:id="2039546235">
      <w:bodyDiv w:val="1"/>
      <w:marLeft w:val="0"/>
      <w:marRight w:val="0"/>
      <w:marTop w:val="0"/>
      <w:marBottom w:val="0"/>
      <w:divBdr>
        <w:top w:val="none" w:sz="0" w:space="0" w:color="auto"/>
        <w:left w:val="none" w:sz="0" w:space="0" w:color="auto"/>
        <w:bottom w:val="none" w:sz="0" w:space="0" w:color="auto"/>
        <w:right w:val="none" w:sz="0" w:space="0" w:color="auto"/>
      </w:divBdr>
    </w:div>
    <w:div w:id="2057852693">
      <w:bodyDiv w:val="1"/>
      <w:marLeft w:val="0"/>
      <w:marRight w:val="0"/>
      <w:marTop w:val="0"/>
      <w:marBottom w:val="0"/>
      <w:divBdr>
        <w:top w:val="none" w:sz="0" w:space="0" w:color="auto"/>
        <w:left w:val="none" w:sz="0" w:space="0" w:color="auto"/>
        <w:bottom w:val="none" w:sz="0" w:space="0" w:color="auto"/>
        <w:right w:val="none" w:sz="0" w:space="0" w:color="auto"/>
      </w:divBdr>
    </w:div>
    <w:div w:id="2064332527">
      <w:bodyDiv w:val="1"/>
      <w:marLeft w:val="0"/>
      <w:marRight w:val="0"/>
      <w:marTop w:val="0"/>
      <w:marBottom w:val="0"/>
      <w:divBdr>
        <w:top w:val="none" w:sz="0" w:space="0" w:color="auto"/>
        <w:left w:val="none" w:sz="0" w:space="0" w:color="auto"/>
        <w:bottom w:val="none" w:sz="0" w:space="0" w:color="auto"/>
        <w:right w:val="none" w:sz="0" w:space="0" w:color="auto"/>
      </w:divBdr>
    </w:div>
    <w:div w:id="2074347069">
      <w:bodyDiv w:val="1"/>
      <w:marLeft w:val="0"/>
      <w:marRight w:val="0"/>
      <w:marTop w:val="0"/>
      <w:marBottom w:val="0"/>
      <w:divBdr>
        <w:top w:val="none" w:sz="0" w:space="0" w:color="auto"/>
        <w:left w:val="none" w:sz="0" w:space="0" w:color="auto"/>
        <w:bottom w:val="none" w:sz="0" w:space="0" w:color="auto"/>
        <w:right w:val="none" w:sz="0" w:space="0" w:color="auto"/>
      </w:divBdr>
    </w:div>
    <w:div w:id="2081437384">
      <w:bodyDiv w:val="1"/>
      <w:marLeft w:val="0"/>
      <w:marRight w:val="0"/>
      <w:marTop w:val="0"/>
      <w:marBottom w:val="0"/>
      <w:divBdr>
        <w:top w:val="none" w:sz="0" w:space="0" w:color="auto"/>
        <w:left w:val="none" w:sz="0" w:space="0" w:color="auto"/>
        <w:bottom w:val="none" w:sz="0" w:space="0" w:color="auto"/>
        <w:right w:val="none" w:sz="0" w:space="0" w:color="auto"/>
      </w:divBdr>
    </w:div>
    <w:div w:id="2082172931">
      <w:bodyDiv w:val="1"/>
      <w:marLeft w:val="0"/>
      <w:marRight w:val="0"/>
      <w:marTop w:val="0"/>
      <w:marBottom w:val="0"/>
      <w:divBdr>
        <w:top w:val="none" w:sz="0" w:space="0" w:color="auto"/>
        <w:left w:val="none" w:sz="0" w:space="0" w:color="auto"/>
        <w:bottom w:val="none" w:sz="0" w:space="0" w:color="auto"/>
        <w:right w:val="none" w:sz="0" w:space="0" w:color="auto"/>
      </w:divBdr>
    </w:div>
    <w:div w:id="2103798644">
      <w:bodyDiv w:val="1"/>
      <w:marLeft w:val="0"/>
      <w:marRight w:val="0"/>
      <w:marTop w:val="0"/>
      <w:marBottom w:val="0"/>
      <w:divBdr>
        <w:top w:val="none" w:sz="0" w:space="0" w:color="auto"/>
        <w:left w:val="none" w:sz="0" w:space="0" w:color="auto"/>
        <w:bottom w:val="none" w:sz="0" w:space="0" w:color="auto"/>
        <w:right w:val="none" w:sz="0" w:space="0" w:color="auto"/>
      </w:divBdr>
    </w:div>
    <w:div w:id="2105101267">
      <w:bodyDiv w:val="1"/>
      <w:marLeft w:val="0"/>
      <w:marRight w:val="0"/>
      <w:marTop w:val="0"/>
      <w:marBottom w:val="0"/>
      <w:divBdr>
        <w:top w:val="none" w:sz="0" w:space="0" w:color="auto"/>
        <w:left w:val="none" w:sz="0" w:space="0" w:color="auto"/>
        <w:bottom w:val="none" w:sz="0" w:space="0" w:color="auto"/>
        <w:right w:val="none" w:sz="0" w:space="0" w:color="auto"/>
      </w:divBdr>
    </w:div>
    <w:div w:id="2106077370">
      <w:bodyDiv w:val="1"/>
      <w:marLeft w:val="0"/>
      <w:marRight w:val="0"/>
      <w:marTop w:val="0"/>
      <w:marBottom w:val="0"/>
      <w:divBdr>
        <w:top w:val="none" w:sz="0" w:space="0" w:color="auto"/>
        <w:left w:val="none" w:sz="0" w:space="0" w:color="auto"/>
        <w:bottom w:val="none" w:sz="0" w:space="0" w:color="auto"/>
        <w:right w:val="none" w:sz="0" w:space="0" w:color="auto"/>
      </w:divBdr>
      <w:divsChild>
        <w:div w:id="18626715">
          <w:marLeft w:val="0"/>
          <w:marRight w:val="0"/>
          <w:marTop w:val="0"/>
          <w:marBottom w:val="0"/>
          <w:divBdr>
            <w:top w:val="none" w:sz="0" w:space="0" w:color="auto"/>
            <w:left w:val="none" w:sz="0" w:space="0" w:color="auto"/>
            <w:bottom w:val="none" w:sz="0" w:space="0" w:color="auto"/>
            <w:right w:val="none" w:sz="0" w:space="0" w:color="auto"/>
          </w:divBdr>
        </w:div>
        <w:div w:id="105271133">
          <w:marLeft w:val="0"/>
          <w:marRight w:val="0"/>
          <w:marTop w:val="0"/>
          <w:marBottom w:val="0"/>
          <w:divBdr>
            <w:top w:val="none" w:sz="0" w:space="0" w:color="auto"/>
            <w:left w:val="none" w:sz="0" w:space="0" w:color="auto"/>
            <w:bottom w:val="none" w:sz="0" w:space="0" w:color="auto"/>
            <w:right w:val="none" w:sz="0" w:space="0" w:color="auto"/>
          </w:divBdr>
        </w:div>
        <w:div w:id="130249732">
          <w:marLeft w:val="0"/>
          <w:marRight w:val="0"/>
          <w:marTop w:val="0"/>
          <w:marBottom w:val="0"/>
          <w:divBdr>
            <w:top w:val="none" w:sz="0" w:space="0" w:color="auto"/>
            <w:left w:val="none" w:sz="0" w:space="0" w:color="auto"/>
            <w:bottom w:val="none" w:sz="0" w:space="0" w:color="auto"/>
            <w:right w:val="none" w:sz="0" w:space="0" w:color="auto"/>
          </w:divBdr>
        </w:div>
        <w:div w:id="317077473">
          <w:marLeft w:val="0"/>
          <w:marRight w:val="0"/>
          <w:marTop w:val="0"/>
          <w:marBottom w:val="0"/>
          <w:divBdr>
            <w:top w:val="none" w:sz="0" w:space="0" w:color="auto"/>
            <w:left w:val="none" w:sz="0" w:space="0" w:color="auto"/>
            <w:bottom w:val="none" w:sz="0" w:space="0" w:color="auto"/>
            <w:right w:val="none" w:sz="0" w:space="0" w:color="auto"/>
          </w:divBdr>
        </w:div>
        <w:div w:id="584220063">
          <w:marLeft w:val="0"/>
          <w:marRight w:val="0"/>
          <w:marTop w:val="0"/>
          <w:marBottom w:val="0"/>
          <w:divBdr>
            <w:top w:val="none" w:sz="0" w:space="0" w:color="auto"/>
            <w:left w:val="none" w:sz="0" w:space="0" w:color="auto"/>
            <w:bottom w:val="none" w:sz="0" w:space="0" w:color="auto"/>
            <w:right w:val="none" w:sz="0" w:space="0" w:color="auto"/>
          </w:divBdr>
        </w:div>
        <w:div w:id="616715238">
          <w:marLeft w:val="0"/>
          <w:marRight w:val="0"/>
          <w:marTop w:val="0"/>
          <w:marBottom w:val="0"/>
          <w:divBdr>
            <w:top w:val="none" w:sz="0" w:space="0" w:color="auto"/>
            <w:left w:val="none" w:sz="0" w:space="0" w:color="auto"/>
            <w:bottom w:val="none" w:sz="0" w:space="0" w:color="auto"/>
            <w:right w:val="none" w:sz="0" w:space="0" w:color="auto"/>
          </w:divBdr>
        </w:div>
        <w:div w:id="625426528">
          <w:marLeft w:val="0"/>
          <w:marRight w:val="0"/>
          <w:marTop w:val="0"/>
          <w:marBottom w:val="0"/>
          <w:divBdr>
            <w:top w:val="none" w:sz="0" w:space="0" w:color="auto"/>
            <w:left w:val="none" w:sz="0" w:space="0" w:color="auto"/>
            <w:bottom w:val="none" w:sz="0" w:space="0" w:color="auto"/>
            <w:right w:val="none" w:sz="0" w:space="0" w:color="auto"/>
          </w:divBdr>
        </w:div>
        <w:div w:id="788202740">
          <w:marLeft w:val="0"/>
          <w:marRight w:val="0"/>
          <w:marTop w:val="0"/>
          <w:marBottom w:val="0"/>
          <w:divBdr>
            <w:top w:val="none" w:sz="0" w:space="0" w:color="auto"/>
            <w:left w:val="none" w:sz="0" w:space="0" w:color="auto"/>
            <w:bottom w:val="none" w:sz="0" w:space="0" w:color="auto"/>
            <w:right w:val="none" w:sz="0" w:space="0" w:color="auto"/>
          </w:divBdr>
        </w:div>
        <w:div w:id="807819619">
          <w:marLeft w:val="0"/>
          <w:marRight w:val="0"/>
          <w:marTop w:val="0"/>
          <w:marBottom w:val="0"/>
          <w:divBdr>
            <w:top w:val="none" w:sz="0" w:space="0" w:color="auto"/>
            <w:left w:val="none" w:sz="0" w:space="0" w:color="auto"/>
            <w:bottom w:val="none" w:sz="0" w:space="0" w:color="auto"/>
            <w:right w:val="none" w:sz="0" w:space="0" w:color="auto"/>
          </w:divBdr>
        </w:div>
        <w:div w:id="820658761">
          <w:marLeft w:val="0"/>
          <w:marRight w:val="0"/>
          <w:marTop w:val="0"/>
          <w:marBottom w:val="0"/>
          <w:divBdr>
            <w:top w:val="none" w:sz="0" w:space="0" w:color="auto"/>
            <w:left w:val="none" w:sz="0" w:space="0" w:color="auto"/>
            <w:bottom w:val="none" w:sz="0" w:space="0" w:color="auto"/>
            <w:right w:val="none" w:sz="0" w:space="0" w:color="auto"/>
          </w:divBdr>
        </w:div>
        <w:div w:id="822745804">
          <w:marLeft w:val="0"/>
          <w:marRight w:val="0"/>
          <w:marTop w:val="0"/>
          <w:marBottom w:val="0"/>
          <w:divBdr>
            <w:top w:val="none" w:sz="0" w:space="0" w:color="auto"/>
            <w:left w:val="none" w:sz="0" w:space="0" w:color="auto"/>
            <w:bottom w:val="none" w:sz="0" w:space="0" w:color="auto"/>
            <w:right w:val="none" w:sz="0" w:space="0" w:color="auto"/>
          </w:divBdr>
        </w:div>
        <w:div w:id="1010641152">
          <w:marLeft w:val="0"/>
          <w:marRight w:val="0"/>
          <w:marTop w:val="0"/>
          <w:marBottom w:val="0"/>
          <w:divBdr>
            <w:top w:val="none" w:sz="0" w:space="0" w:color="auto"/>
            <w:left w:val="none" w:sz="0" w:space="0" w:color="auto"/>
            <w:bottom w:val="none" w:sz="0" w:space="0" w:color="auto"/>
            <w:right w:val="none" w:sz="0" w:space="0" w:color="auto"/>
          </w:divBdr>
        </w:div>
        <w:div w:id="1041053573">
          <w:marLeft w:val="0"/>
          <w:marRight w:val="0"/>
          <w:marTop w:val="0"/>
          <w:marBottom w:val="0"/>
          <w:divBdr>
            <w:top w:val="none" w:sz="0" w:space="0" w:color="auto"/>
            <w:left w:val="none" w:sz="0" w:space="0" w:color="auto"/>
            <w:bottom w:val="none" w:sz="0" w:space="0" w:color="auto"/>
            <w:right w:val="none" w:sz="0" w:space="0" w:color="auto"/>
          </w:divBdr>
        </w:div>
        <w:div w:id="1061903552">
          <w:marLeft w:val="0"/>
          <w:marRight w:val="0"/>
          <w:marTop w:val="0"/>
          <w:marBottom w:val="0"/>
          <w:divBdr>
            <w:top w:val="none" w:sz="0" w:space="0" w:color="auto"/>
            <w:left w:val="none" w:sz="0" w:space="0" w:color="auto"/>
            <w:bottom w:val="none" w:sz="0" w:space="0" w:color="auto"/>
            <w:right w:val="none" w:sz="0" w:space="0" w:color="auto"/>
          </w:divBdr>
        </w:div>
        <w:div w:id="1118916994">
          <w:marLeft w:val="0"/>
          <w:marRight w:val="0"/>
          <w:marTop w:val="0"/>
          <w:marBottom w:val="0"/>
          <w:divBdr>
            <w:top w:val="none" w:sz="0" w:space="0" w:color="auto"/>
            <w:left w:val="none" w:sz="0" w:space="0" w:color="auto"/>
            <w:bottom w:val="none" w:sz="0" w:space="0" w:color="auto"/>
            <w:right w:val="none" w:sz="0" w:space="0" w:color="auto"/>
          </w:divBdr>
        </w:div>
        <w:div w:id="1147743530">
          <w:marLeft w:val="0"/>
          <w:marRight w:val="0"/>
          <w:marTop w:val="0"/>
          <w:marBottom w:val="0"/>
          <w:divBdr>
            <w:top w:val="none" w:sz="0" w:space="0" w:color="auto"/>
            <w:left w:val="none" w:sz="0" w:space="0" w:color="auto"/>
            <w:bottom w:val="none" w:sz="0" w:space="0" w:color="auto"/>
            <w:right w:val="none" w:sz="0" w:space="0" w:color="auto"/>
          </w:divBdr>
        </w:div>
        <w:div w:id="1195536734">
          <w:marLeft w:val="0"/>
          <w:marRight w:val="0"/>
          <w:marTop w:val="0"/>
          <w:marBottom w:val="0"/>
          <w:divBdr>
            <w:top w:val="none" w:sz="0" w:space="0" w:color="auto"/>
            <w:left w:val="none" w:sz="0" w:space="0" w:color="auto"/>
            <w:bottom w:val="none" w:sz="0" w:space="0" w:color="auto"/>
            <w:right w:val="none" w:sz="0" w:space="0" w:color="auto"/>
          </w:divBdr>
        </w:div>
        <w:div w:id="1272321103">
          <w:marLeft w:val="0"/>
          <w:marRight w:val="0"/>
          <w:marTop w:val="0"/>
          <w:marBottom w:val="0"/>
          <w:divBdr>
            <w:top w:val="none" w:sz="0" w:space="0" w:color="auto"/>
            <w:left w:val="none" w:sz="0" w:space="0" w:color="auto"/>
            <w:bottom w:val="none" w:sz="0" w:space="0" w:color="auto"/>
            <w:right w:val="none" w:sz="0" w:space="0" w:color="auto"/>
          </w:divBdr>
        </w:div>
        <w:div w:id="1474985711">
          <w:marLeft w:val="0"/>
          <w:marRight w:val="0"/>
          <w:marTop w:val="0"/>
          <w:marBottom w:val="0"/>
          <w:divBdr>
            <w:top w:val="none" w:sz="0" w:space="0" w:color="auto"/>
            <w:left w:val="none" w:sz="0" w:space="0" w:color="auto"/>
            <w:bottom w:val="none" w:sz="0" w:space="0" w:color="auto"/>
            <w:right w:val="none" w:sz="0" w:space="0" w:color="auto"/>
          </w:divBdr>
        </w:div>
        <w:div w:id="1507986998">
          <w:marLeft w:val="0"/>
          <w:marRight w:val="0"/>
          <w:marTop w:val="0"/>
          <w:marBottom w:val="0"/>
          <w:divBdr>
            <w:top w:val="none" w:sz="0" w:space="0" w:color="auto"/>
            <w:left w:val="none" w:sz="0" w:space="0" w:color="auto"/>
            <w:bottom w:val="none" w:sz="0" w:space="0" w:color="auto"/>
            <w:right w:val="none" w:sz="0" w:space="0" w:color="auto"/>
          </w:divBdr>
        </w:div>
        <w:div w:id="1571234202">
          <w:marLeft w:val="0"/>
          <w:marRight w:val="0"/>
          <w:marTop w:val="0"/>
          <w:marBottom w:val="0"/>
          <w:divBdr>
            <w:top w:val="none" w:sz="0" w:space="0" w:color="auto"/>
            <w:left w:val="none" w:sz="0" w:space="0" w:color="auto"/>
            <w:bottom w:val="none" w:sz="0" w:space="0" w:color="auto"/>
            <w:right w:val="none" w:sz="0" w:space="0" w:color="auto"/>
          </w:divBdr>
        </w:div>
        <w:div w:id="1713072747">
          <w:marLeft w:val="0"/>
          <w:marRight w:val="0"/>
          <w:marTop w:val="0"/>
          <w:marBottom w:val="0"/>
          <w:divBdr>
            <w:top w:val="none" w:sz="0" w:space="0" w:color="auto"/>
            <w:left w:val="none" w:sz="0" w:space="0" w:color="auto"/>
            <w:bottom w:val="none" w:sz="0" w:space="0" w:color="auto"/>
            <w:right w:val="none" w:sz="0" w:space="0" w:color="auto"/>
          </w:divBdr>
        </w:div>
        <w:div w:id="1927105921">
          <w:marLeft w:val="0"/>
          <w:marRight w:val="0"/>
          <w:marTop w:val="0"/>
          <w:marBottom w:val="0"/>
          <w:divBdr>
            <w:top w:val="none" w:sz="0" w:space="0" w:color="auto"/>
            <w:left w:val="none" w:sz="0" w:space="0" w:color="auto"/>
            <w:bottom w:val="none" w:sz="0" w:space="0" w:color="auto"/>
            <w:right w:val="none" w:sz="0" w:space="0" w:color="auto"/>
          </w:divBdr>
        </w:div>
        <w:div w:id="1962376467">
          <w:marLeft w:val="0"/>
          <w:marRight w:val="0"/>
          <w:marTop w:val="0"/>
          <w:marBottom w:val="0"/>
          <w:divBdr>
            <w:top w:val="none" w:sz="0" w:space="0" w:color="auto"/>
            <w:left w:val="none" w:sz="0" w:space="0" w:color="auto"/>
            <w:bottom w:val="none" w:sz="0" w:space="0" w:color="auto"/>
            <w:right w:val="none" w:sz="0" w:space="0" w:color="auto"/>
          </w:divBdr>
        </w:div>
      </w:divsChild>
    </w:div>
    <w:div w:id="2126927277">
      <w:bodyDiv w:val="1"/>
      <w:marLeft w:val="0"/>
      <w:marRight w:val="0"/>
      <w:marTop w:val="0"/>
      <w:marBottom w:val="0"/>
      <w:divBdr>
        <w:top w:val="none" w:sz="0" w:space="0" w:color="auto"/>
        <w:left w:val="none" w:sz="0" w:space="0" w:color="auto"/>
        <w:bottom w:val="none" w:sz="0" w:space="0" w:color="auto"/>
        <w:right w:val="none" w:sz="0" w:space="0" w:color="auto"/>
      </w:divBdr>
      <w:divsChild>
        <w:div w:id="33313805">
          <w:marLeft w:val="0"/>
          <w:marRight w:val="0"/>
          <w:marTop w:val="0"/>
          <w:marBottom w:val="0"/>
          <w:divBdr>
            <w:top w:val="none" w:sz="0" w:space="0" w:color="auto"/>
            <w:left w:val="none" w:sz="0" w:space="0" w:color="auto"/>
            <w:bottom w:val="none" w:sz="0" w:space="0" w:color="auto"/>
            <w:right w:val="none" w:sz="0" w:space="0" w:color="auto"/>
          </w:divBdr>
        </w:div>
        <w:div w:id="51736683">
          <w:marLeft w:val="0"/>
          <w:marRight w:val="0"/>
          <w:marTop w:val="0"/>
          <w:marBottom w:val="0"/>
          <w:divBdr>
            <w:top w:val="none" w:sz="0" w:space="0" w:color="auto"/>
            <w:left w:val="none" w:sz="0" w:space="0" w:color="auto"/>
            <w:bottom w:val="none" w:sz="0" w:space="0" w:color="auto"/>
            <w:right w:val="none" w:sz="0" w:space="0" w:color="auto"/>
          </w:divBdr>
        </w:div>
        <w:div w:id="193733644">
          <w:marLeft w:val="0"/>
          <w:marRight w:val="0"/>
          <w:marTop w:val="0"/>
          <w:marBottom w:val="0"/>
          <w:divBdr>
            <w:top w:val="none" w:sz="0" w:space="0" w:color="auto"/>
            <w:left w:val="none" w:sz="0" w:space="0" w:color="auto"/>
            <w:bottom w:val="none" w:sz="0" w:space="0" w:color="auto"/>
            <w:right w:val="none" w:sz="0" w:space="0" w:color="auto"/>
          </w:divBdr>
        </w:div>
        <w:div w:id="237443036">
          <w:marLeft w:val="0"/>
          <w:marRight w:val="0"/>
          <w:marTop w:val="0"/>
          <w:marBottom w:val="0"/>
          <w:divBdr>
            <w:top w:val="none" w:sz="0" w:space="0" w:color="auto"/>
            <w:left w:val="none" w:sz="0" w:space="0" w:color="auto"/>
            <w:bottom w:val="none" w:sz="0" w:space="0" w:color="auto"/>
            <w:right w:val="none" w:sz="0" w:space="0" w:color="auto"/>
          </w:divBdr>
        </w:div>
        <w:div w:id="298459453">
          <w:marLeft w:val="0"/>
          <w:marRight w:val="0"/>
          <w:marTop w:val="0"/>
          <w:marBottom w:val="0"/>
          <w:divBdr>
            <w:top w:val="none" w:sz="0" w:space="0" w:color="auto"/>
            <w:left w:val="none" w:sz="0" w:space="0" w:color="auto"/>
            <w:bottom w:val="none" w:sz="0" w:space="0" w:color="auto"/>
            <w:right w:val="none" w:sz="0" w:space="0" w:color="auto"/>
          </w:divBdr>
        </w:div>
        <w:div w:id="460802667">
          <w:marLeft w:val="0"/>
          <w:marRight w:val="0"/>
          <w:marTop w:val="0"/>
          <w:marBottom w:val="0"/>
          <w:divBdr>
            <w:top w:val="none" w:sz="0" w:space="0" w:color="auto"/>
            <w:left w:val="none" w:sz="0" w:space="0" w:color="auto"/>
            <w:bottom w:val="none" w:sz="0" w:space="0" w:color="auto"/>
            <w:right w:val="none" w:sz="0" w:space="0" w:color="auto"/>
          </w:divBdr>
        </w:div>
        <w:div w:id="479080717">
          <w:marLeft w:val="0"/>
          <w:marRight w:val="0"/>
          <w:marTop w:val="0"/>
          <w:marBottom w:val="0"/>
          <w:divBdr>
            <w:top w:val="none" w:sz="0" w:space="0" w:color="auto"/>
            <w:left w:val="none" w:sz="0" w:space="0" w:color="auto"/>
            <w:bottom w:val="none" w:sz="0" w:space="0" w:color="auto"/>
            <w:right w:val="none" w:sz="0" w:space="0" w:color="auto"/>
          </w:divBdr>
        </w:div>
        <w:div w:id="508256720">
          <w:marLeft w:val="0"/>
          <w:marRight w:val="0"/>
          <w:marTop w:val="0"/>
          <w:marBottom w:val="0"/>
          <w:divBdr>
            <w:top w:val="none" w:sz="0" w:space="0" w:color="auto"/>
            <w:left w:val="none" w:sz="0" w:space="0" w:color="auto"/>
            <w:bottom w:val="none" w:sz="0" w:space="0" w:color="auto"/>
            <w:right w:val="none" w:sz="0" w:space="0" w:color="auto"/>
          </w:divBdr>
        </w:div>
        <w:div w:id="656038281">
          <w:marLeft w:val="0"/>
          <w:marRight w:val="0"/>
          <w:marTop w:val="0"/>
          <w:marBottom w:val="0"/>
          <w:divBdr>
            <w:top w:val="none" w:sz="0" w:space="0" w:color="auto"/>
            <w:left w:val="none" w:sz="0" w:space="0" w:color="auto"/>
            <w:bottom w:val="none" w:sz="0" w:space="0" w:color="auto"/>
            <w:right w:val="none" w:sz="0" w:space="0" w:color="auto"/>
          </w:divBdr>
        </w:div>
        <w:div w:id="1025014417">
          <w:marLeft w:val="0"/>
          <w:marRight w:val="0"/>
          <w:marTop w:val="0"/>
          <w:marBottom w:val="0"/>
          <w:divBdr>
            <w:top w:val="none" w:sz="0" w:space="0" w:color="auto"/>
            <w:left w:val="none" w:sz="0" w:space="0" w:color="auto"/>
            <w:bottom w:val="none" w:sz="0" w:space="0" w:color="auto"/>
            <w:right w:val="none" w:sz="0" w:space="0" w:color="auto"/>
          </w:divBdr>
        </w:div>
        <w:div w:id="1164513656">
          <w:marLeft w:val="0"/>
          <w:marRight w:val="0"/>
          <w:marTop w:val="0"/>
          <w:marBottom w:val="0"/>
          <w:divBdr>
            <w:top w:val="none" w:sz="0" w:space="0" w:color="auto"/>
            <w:left w:val="none" w:sz="0" w:space="0" w:color="auto"/>
            <w:bottom w:val="none" w:sz="0" w:space="0" w:color="auto"/>
            <w:right w:val="none" w:sz="0" w:space="0" w:color="auto"/>
          </w:divBdr>
        </w:div>
        <w:div w:id="1195654935">
          <w:marLeft w:val="0"/>
          <w:marRight w:val="0"/>
          <w:marTop w:val="0"/>
          <w:marBottom w:val="0"/>
          <w:divBdr>
            <w:top w:val="none" w:sz="0" w:space="0" w:color="auto"/>
            <w:left w:val="none" w:sz="0" w:space="0" w:color="auto"/>
            <w:bottom w:val="none" w:sz="0" w:space="0" w:color="auto"/>
            <w:right w:val="none" w:sz="0" w:space="0" w:color="auto"/>
          </w:divBdr>
        </w:div>
        <w:div w:id="1221943139">
          <w:marLeft w:val="0"/>
          <w:marRight w:val="0"/>
          <w:marTop w:val="0"/>
          <w:marBottom w:val="0"/>
          <w:divBdr>
            <w:top w:val="none" w:sz="0" w:space="0" w:color="auto"/>
            <w:left w:val="none" w:sz="0" w:space="0" w:color="auto"/>
            <w:bottom w:val="none" w:sz="0" w:space="0" w:color="auto"/>
            <w:right w:val="none" w:sz="0" w:space="0" w:color="auto"/>
          </w:divBdr>
        </w:div>
        <w:div w:id="1330986175">
          <w:marLeft w:val="0"/>
          <w:marRight w:val="0"/>
          <w:marTop w:val="0"/>
          <w:marBottom w:val="0"/>
          <w:divBdr>
            <w:top w:val="none" w:sz="0" w:space="0" w:color="auto"/>
            <w:left w:val="none" w:sz="0" w:space="0" w:color="auto"/>
            <w:bottom w:val="none" w:sz="0" w:space="0" w:color="auto"/>
            <w:right w:val="none" w:sz="0" w:space="0" w:color="auto"/>
          </w:divBdr>
        </w:div>
        <w:div w:id="1529367607">
          <w:marLeft w:val="0"/>
          <w:marRight w:val="0"/>
          <w:marTop w:val="0"/>
          <w:marBottom w:val="0"/>
          <w:divBdr>
            <w:top w:val="none" w:sz="0" w:space="0" w:color="auto"/>
            <w:left w:val="none" w:sz="0" w:space="0" w:color="auto"/>
            <w:bottom w:val="none" w:sz="0" w:space="0" w:color="auto"/>
            <w:right w:val="none" w:sz="0" w:space="0" w:color="auto"/>
          </w:divBdr>
        </w:div>
        <w:div w:id="1768306382">
          <w:marLeft w:val="0"/>
          <w:marRight w:val="0"/>
          <w:marTop w:val="0"/>
          <w:marBottom w:val="0"/>
          <w:divBdr>
            <w:top w:val="none" w:sz="0" w:space="0" w:color="auto"/>
            <w:left w:val="none" w:sz="0" w:space="0" w:color="auto"/>
            <w:bottom w:val="none" w:sz="0" w:space="0" w:color="auto"/>
            <w:right w:val="none" w:sz="0" w:space="0" w:color="auto"/>
          </w:divBdr>
        </w:div>
        <w:div w:id="1820608112">
          <w:marLeft w:val="0"/>
          <w:marRight w:val="0"/>
          <w:marTop w:val="0"/>
          <w:marBottom w:val="0"/>
          <w:divBdr>
            <w:top w:val="none" w:sz="0" w:space="0" w:color="auto"/>
            <w:left w:val="none" w:sz="0" w:space="0" w:color="auto"/>
            <w:bottom w:val="none" w:sz="0" w:space="0" w:color="auto"/>
            <w:right w:val="none" w:sz="0" w:space="0" w:color="auto"/>
          </w:divBdr>
        </w:div>
        <w:div w:id="1886332647">
          <w:marLeft w:val="0"/>
          <w:marRight w:val="0"/>
          <w:marTop w:val="0"/>
          <w:marBottom w:val="0"/>
          <w:divBdr>
            <w:top w:val="none" w:sz="0" w:space="0" w:color="auto"/>
            <w:left w:val="none" w:sz="0" w:space="0" w:color="auto"/>
            <w:bottom w:val="none" w:sz="0" w:space="0" w:color="auto"/>
            <w:right w:val="none" w:sz="0" w:space="0" w:color="auto"/>
          </w:divBdr>
        </w:div>
        <w:div w:id="1950577523">
          <w:marLeft w:val="0"/>
          <w:marRight w:val="0"/>
          <w:marTop w:val="0"/>
          <w:marBottom w:val="0"/>
          <w:divBdr>
            <w:top w:val="none" w:sz="0" w:space="0" w:color="auto"/>
            <w:left w:val="none" w:sz="0" w:space="0" w:color="auto"/>
            <w:bottom w:val="none" w:sz="0" w:space="0" w:color="auto"/>
            <w:right w:val="none" w:sz="0" w:space="0" w:color="auto"/>
          </w:divBdr>
        </w:div>
        <w:div w:id="1988165934">
          <w:marLeft w:val="0"/>
          <w:marRight w:val="0"/>
          <w:marTop w:val="0"/>
          <w:marBottom w:val="0"/>
          <w:divBdr>
            <w:top w:val="none" w:sz="0" w:space="0" w:color="auto"/>
            <w:left w:val="none" w:sz="0" w:space="0" w:color="auto"/>
            <w:bottom w:val="none" w:sz="0" w:space="0" w:color="auto"/>
            <w:right w:val="none" w:sz="0" w:space="0" w:color="auto"/>
          </w:divBdr>
        </w:div>
      </w:divsChild>
    </w:div>
    <w:div w:id="2135052828">
      <w:bodyDiv w:val="1"/>
      <w:marLeft w:val="0"/>
      <w:marRight w:val="0"/>
      <w:marTop w:val="0"/>
      <w:marBottom w:val="0"/>
      <w:divBdr>
        <w:top w:val="none" w:sz="0" w:space="0" w:color="auto"/>
        <w:left w:val="none" w:sz="0" w:space="0" w:color="auto"/>
        <w:bottom w:val="none" w:sz="0" w:space="0" w:color="auto"/>
        <w:right w:val="none" w:sz="0" w:space="0" w:color="auto"/>
      </w:divBdr>
      <w:divsChild>
        <w:div w:id="133648542">
          <w:marLeft w:val="0"/>
          <w:marRight w:val="0"/>
          <w:marTop w:val="0"/>
          <w:marBottom w:val="0"/>
          <w:divBdr>
            <w:top w:val="none" w:sz="0" w:space="0" w:color="auto"/>
            <w:left w:val="none" w:sz="0" w:space="0" w:color="auto"/>
            <w:bottom w:val="none" w:sz="0" w:space="0" w:color="auto"/>
            <w:right w:val="none" w:sz="0" w:space="0" w:color="auto"/>
          </w:divBdr>
        </w:div>
        <w:div w:id="135725565">
          <w:marLeft w:val="0"/>
          <w:marRight w:val="0"/>
          <w:marTop w:val="0"/>
          <w:marBottom w:val="0"/>
          <w:divBdr>
            <w:top w:val="none" w:sz="0" w:space="0" w:color="auto"/>
            <w:left w:val="none" w:sz="0" w:space="0" w:color="auto"/>
            <w:bottom w:val="none" w:sz="0" w:space="0" w:color="auto"/>
            <w:right w:val="none" w:sz="0" w:space="0" w:color="auto"/>
          </w:divBdr>
        </w:div>
        <w:div w:id="204568504">
          <w:marLeft w:val="0"/>
          <w:marRight w:val="0"/>
          <w:marTop w:val="0"/>
          <w:marBottom w:val="0"/>
          <w:divBdr>
            <w:top w:val="none" w:sz="0" w:space="0" w:color="auto"/>
            <w:left w:val="none" w:sz="0" w:space="0" w:color="auto"/>
            <w:bottom w:val="none" w:sz="0" w:space="0" w:color="auto"/>
            <w:right w:val="none" w:sz="0" w:space="0" w:color="auto"/>
          </w:divBdr>
        </w:div>
        <w:div w:id="223876365">
          <w:marLeft w:val="0"/>
          <w:marRight w:val="0"/>
          <w:marTop w:val="0"/>
          <w:marBottom w:val="0"/>
          <w:divBdr>
            <w:top w:val="none" w:sz="0" w:space="0" w:color="auto"/>
            <w:left w:val="none" w:sz="0" w:space="0" w:color="auto"/>
            <w:bottom w:val="none" w:sz="0" w:space="0" w:color="auto"/>
            <w:right w:val="none" w:sz="0" w:space="0" w:color="auto"/>
          </w:divBdr>
        </w:div>
        <w:div w:id="251934455">
          <w:marLeft w:val="0"/>
          <w:marRight w:val="0"/>
          <w:marTop w:val="0"/>
          <w:marBottom w:val="0"/>
          <w:divBdr>
            <w:top w:val="none" w:sz="0" w:space="0" w:color="auto"/>
            <w:left w:val="none" w:sz="0" w:space="0" w:color="auto"/>
            <w:bottom w:val="none" w:sz="0" w:space="0" w:color="auto"/>
            <w:right w:val="none" w:sz="0" w:space="0" w:color="auto"/>
          </w:divBdr>
        </w:div>
        <w:div w:id="306404049">
          <w:marLeft w:val="0"/>
          <w:marRight w:val="0"/>
          <w:marTop w:val="0"/>
          <w:marBottom w:val="0"/>
          <w:divBdr>
            <w:top w:val="none" w:sz="0" w:space="0" w:color="auto"/>
            <w:left w:val="none" w:sz="0" w:space="0" w:color="auto"/>
            <w:bottom w:val="none" w:sz="0" w:space="0" w:color="auto"/>
            <w:right w:val="none" w:sz="0" w:space="0" w:color="auto"/>
          </w:divBdr>
        </w:div>
        <w:div w:id="352002195">
          <w:marLeft w:val="0"/>
          <w:marRight w:val="0"/>
          <w:marTop w:val="0"/>
          <w:marBottom w:val="0"/>
          <w:divBdr>
            <w:top w:val="none" w:sz="0" w:space="0" w:color="auto"/>
            <w:left w:val="none" w:sz="0" w:space="0" w:color="auto"/>
            <w:bottom w:val="none" w:sz="0" w:space="0" w:color="auto"/>
            <w:right w:val="none" w:sz="0" w:space="0" w:color="auto"/>
          </w:divBdr>
        </w:div>
        <w:div w:id="362443566">
          <w:marLeft w:val="0"/>
          <w:marRight w:val="0"/>
          <w:marTop w:val="0"/>
          <w:marBottom w:val="0"/>
          <w:divBdr>
            <w:top w:val="none" w:sz="0" w:space="0" w:color="auto"/>
            <w:left w:val="none" w:sz="0" w:space="0" w:color="auto"/>
            <w:bottom w:val="none" w:sz="0" w:space="0" w:color="auto"/>
            <w:right w:val="none" w:sz="0" w:space="0" w:color="auto"/>
          </w:divBdr>
        </w:div>
        <w:div w:id="425658640">
          <w:marLeft w:val="0"/>
          <w:marRight w:val="0"/>
          <w:marTop w:val="0"/>
          <w:marBottom w:val="0"/>
          <w:divBdr>
            <w:top w:val="none" w:sz="0" w:space="0" w:color="auto"/>
            <w:left w:val="none" w:sz="0" w:space="0" w:color="auto"/>
            <w:bottom w:val="none" w:sz="0" w:space="0" w:color="auto"/>
            <w:right w:val="none" w:sz="0" w:space="0" w:color="auto"/>
          </w:divBdr>
        </w:div>
        <w:div w:id="451485086">
          <w:marLeft w:val="0"/>
          <w:marRight w:val="0"/>
          <w:marTop w:val="0"/>
          <w:marBottom w:val="0"/>
          <w:divBdr>
            <w:top w:val="none" w:sz="0" w:space="0" w:color="auto"/>
            <w:left w:val="none" w:sz="0" w:space="0" w:color="auto"/>
            <w:bottom w:val="none" w:sz="0" w:space="0" w:color="auto"/>
            <w:right w:val="none" w:sz="0" w:space="0" w:color="auto"/>
          </w:divBdr>
        </w:div>
        <w:div w:id="601180492">
          <w:marLeft w:val="0"/>
          <w:marRight w:val="0"/>
          <w:marTop w:val="0"/>
          <w:marBottom w:val="0"/>
          <w:divBdr>
            <w:top w:val="none" w:sz="0" w:space="0" w:color="auto"/>
            <w:left w:val="none" w:sz="0" w:space="0" w:color="auto"/>
            <w:bottom w:val="none" w:sz="0" w:space="0" w:color="auto"/>
            <w:right w:val="none" w:sz="0" w:space="0" w:color="auto"/>
          </w:divBdr>
        </w:div>
        <w:div w:id="633413909">
          <w:marLeft w:val="0"/>
          <w:marRight w:val="0"/>
          <w:marTop w:val="0"/>
          <w:marBottom w:val="0"/>
          <w:divBdr>
            <w:top w:val="none" w:sz="0" w:space="0" w:color="auto"/>
            <w:left w:val="none" w:sz="0" w:space="0" w:color="auto"/>
            <w:bottom w:val="none" w:sz="0" w:space="0" w:color="auto"/>
            <w:right w:val="none" w:sz="0" w:space="0" w:color="auto"/>
          </w:divBdr>
        </w:div>
        <w:div w:id="679048164">
          <w:marLeft w:val="0"/>
          <w:marRight w:val="0"/>
          <w:marTop w:val="0"/>
          <w:marBottom w:val="0"/>
          <w:divBdr>
            <w:top w:val="none" w:sz="0" w:space="0" w:color="auto"/>
            <w:left w:val="none" w:sz="0" w:space="0" w:color="auto"/>
            <w:bottom w:val="none" w:sz="0" w:space="0" w:color="auto"/>
            <w:right w:val="none" w:sz="0" w:space="0" w:color="auto"/>
          </w:divBdr>
        </w:div>
        <w:div w:id="689334657">
          <w:marLeft w:val="0"/>
          <w:marRight w:val="0"/>
          <w:marTop w:val="0"/>
          <w:marBottom w:val="0"/>
          <w:divBdr>
            <w:top w:val="none" w:sz="0" w:space="0" w:color="auto"/>
            <w:left w:val="none" w:sz="0" w:space="0" w:color="auto"/>
            <w:bottom w:val="none" w:sz="0" w:space="0" w:color="auto"/>
            <w:right w:val="none" w:sz="0" w:space="0" w:color="auto"/>
          </w:divBdr>
        </w:div>
        <w:div w:id="696153152">
          <w:marLeft w:val="0"/>
          <w:marRight w:val="0"/>
          <w:marTop w:val="0"/>
          <w:marBottom w:val="0"/>
          <w:divBdr>
            <w:top w:val="none" w:sz="0" w:space="0" w:color="auto"/>
            <w:left w:val="none" w:sz="0" w:space="0" w:color="auto"/>
            <w:bottom w:val="none" w:sz="0" w:space="0" w:color="auto"/>
            <w:right w:val="none" w:sz="0" w:space="0" w:color="auto"/>
          </w:divBdr>
        </w:div>
        <w:div w:id="733966925">
          <w:marLeft w:val="0"/>
          <w:marRight w:val="0"/>
          <w:marTop w:val="0"/>
          <w:marBottom w:val="0"/>
          <w:divBdr>
            <w:top w:val="none" w:sz="0" w:space="0" w:color="auto"/>
            <w:left w:val="none" w:sz="0" w:space="0" w:color="auto"/>
            <w:bottom w:val="none" w:sz="0" w:space="0" w:color="auto"/>
            <w:right w:val="none" w:sz="0" w:space="0" w:color="auto"/>
          </w:divBdr>
        </w:div>
        <w:div w:id="738942827">
          <w:marLeft w:val="0"/>
          <w:marRight w:val="0"/>
          <w:marTop w:val="0"/>
          <w:marBottom w:val="0"/>
          <w:divBdr>
            <w:top w:val="none" w:sz="0" w:space="0" w:color="auto"/>
            <w:left w:val="none" w:sz="0" w:space="0" w:color="auto"/>
            <w:bottom w:val="none" w:sz="0" w:space="0" w:color="auto"/>
            <w:right w:val="none" w:sz="0" w:space="0" w:color="auto"/>
          </w:divBdr>
        </w:div>
        <w:div w:id="760949113">
          <w:marLeft w:val="0"/>
          <w:marRight w:val="0"/>
          <w:marTop w:val="0"/>
          <w:marBottom w:val="0"/>
          <w:divBdr>
            <w:top w:val="none" w:sz="0" w:space="0" w:color="auto"/>
            <w:left w:val="none" w:sz="0" w:space="0" w:color="auto"/>
            <w:bottom w:val="none" w:sz="0" w:space="0" w:color="auto"/>
            <w:right w:val="none" w:sz="0" w:space="0" w:color="auto"/>
          </w:divBdr>
        </w:div>
        <w:div w:id="766657011">
          <w:marLeft w:val="0"/>
          <w:marRight w:val="0"/>
          <w:marTop w:val="0"/>
          <w:marBottom w:val="0"/>
          <w:divBdr>
            <w:top w:val="none" w:sz="0" w:space="0" w:color="auto"/>
            <w:left w:val="none" w:sz="0" w:space="0" w:color="auto"/>
            <w:bottom w:val="none" w:sz="0" w:space="0" w:color="auto"/>
            <w:right w:val="none" w:sz="0" w:space="0" w:color="auto"/>
          </w:divBdr>
        </w:div>
        <w:div w:id="855119870">
          <w:marLeft w:val="0"/>
          <w:marRight w:val="0"/>
          <w:marTop w:val="0"/>
          <w:marBottom w:val="0"/>
          <w:divBdr>
            <w:top w:val="none" w:sz="0" w:space="0" w:color="auto"/>
            <w:left w:val="none" w:sz="0" w:space="0" w:color="auto"/>
            <w:bottom w:val="none" w:sz="0" w:space="0" w:color="auto"/>
            <w:right w:val="none" w:sz="0" w:space="0" w:color="auto"/>
          </w:divBdr>
        </w:div>
        <w:div w:id="912813281">
          <w:marLeft w:val="0"/>
          <w:marRight w:val="0"/>
          <w:marTop w:val="0"/>
          <w:marBottom w:val="0"/>
          <w:divBdr>
            <w:top w:val="none" w:sz="0" w:space="0" w:color="auto"/>
            <w:left w:val="none" w:sz="0" w:space="0" w:color="auto"/>
            <w:bottom w:val="none" w:sz="0" w:space="0" w:color="auto"/>
            <w:right w:val="none" w:sz="0" w:space="0" w:color="auto"/>
          </w:divBdr>
        </w:div>
        <w:div w:id="945695920">
          <w:marLeft w:val="0"/>
          <w:marRight w:val="0"/>
          <w:marTop w:val="0"/>
          <w:marBottom w:val="0"/>
          <w:divBdr>
            <w:top w:val="none" w:sz="0" w:space="0" w:color="auto"/>
            <w:left w:val="none" w:sz="0" w:space="0" w:color="auto"/>
            <w:bottom w:val="none" w:sz="0" w:space="0" w:color="auto"/>
            <w:right w:val="none" w:sz="0" w:space="0" w:color="auto"/>
          </w:divBdr>
        </w:div>
        <w:div w:id="1050769706">
          <w:marLeft w:val="0"/>
          <w:marRight w:val="0"/>
          <w:marTop w:val="0"/>
          <w:marBottom w:val="0"/>
          <w:divBdr>
            <w:top w:val="none" w:sz="0" w:space="0" w:color="auto"/>
            <w:left w:val="none" w:sz="0" w:space="0" w:color="auto"/>
            <w:bottom w:val="none" w:sz="0" w:space="0" w:color="auto"/>
            <w:right w:val="none" w:sz="0" w:space="0" w:color="auto"/>
          </w:divBdr>
        </w:div>
        <w:div w:id="1051928791">
          <w:marLeft w:val="0"/>
          <w:marRight w:val="0"/>
          <w:marTop w:val="0"/>
          <w:marBottom w:val="0"/>
          <w:divBdr>
            <w:top w:val="none" w:sz="0" w:space="0" w:color="auto"/>
            <w:left w:val="none" w:sz="0" w:space="0" w:color="auto"/>
            <w:bottom w:val="none" w:sz="0" w:space="0" w:color="auto"/>
            <w:right w:val="none" w:sz="0" w:space="0" w:color="auto"/>
          </w:divBdr>
        </w:div>
        <w:div w:id="1079131957">
          <w:marLeft w:val="0"/>
          <w:marRight w:val="0"/>
          <w:marTop w:val="0"/>
          <w:marBottom w:val="0"/>
          <w:divBdr>
            <w:top w:val="none" w:sz="0" w:space="0" w:color="auto"/>
            <w:left w:val="none" w:sz="0" w:space="0" w:color="auto"/>
            <w:bottom w:val="none" w:sz="0" w:space="0" w:color="auto"/>
            <w:right w:val="none" w:sz="0" w:space="0" w:color="auto"/>
          </w:divBdr>
        </w:div>
        <w:div w:id="1158887654">
          <w:marLeft w:val="0"/>
          <w:marRight w:val="0"/>
          <w:marTop w:val="0"/>
          <w:marBottom w:val="0"/>
          <w:divBdr>
            <w:top w:val="none" w:sz="0" w:space="0" w:color="auto"/>
            <w:left w:val="none" w:sz="0" w:space="0" w:color="auto"/>
            <w:bottom w:val="none" w:sz="0" w:space="0" w:color="auto"/>
            <w:right w:val="none" w:sz="0" w:space="0" w:color="auto"/>
          </w:divBdr>
        </w:div>
        <w:div w:id="1183058136">
          <w:marLeft w:val="0"/>
          <w:marRight w:val="0"/>
          <w:marTop w:val="0"/>
          <w:marBottom w:val="0"/>
          <w:divBdr>
            <w:top w:val="none" w:sz="0" w:space="0" w:color="auto"/>
            <w:left w:val="none" w:sz="0" w:space="0" w:color="auto"/>
            <w:bottom w:val="none" w:sz="0" w:space="0" w:color="auto"/>
            <w:right w:val="none" w:sz="0" w:space="0" w:color="auto"/>
          </w:divBdr>
        </w:div>
        <w:div w:id="1188328828">
          <w:marLeft w:val="0"/>
          <w:marRight w:val="0"/>
          <w:marTop w:val="0"/>
          <w:marBottom w:val="0"/>
          <w:divBdr>
            <w:top w:val="none" w:sz="0" w:space="0" w:color="auto"/>
            <w:left w:val="none" w:sz="0" w:space="0" w:color="auto"/>
            <w:bottom w:val="none" w:sz="0" w:space="0" w:color="auto"/>
            <w:right w:val="none" w:sz="0" w:space="0" w:color="auto"/>
          </w:divBdr>
        </w:div>
        <w:div w:id="1190098755">
          <w:marLeft w:val="0"/>
          <w:marRight w:val="0"/>
          <w:marTop w:val="0"/>
          <w:marBottom w:val="0"/>
          <w:divBdr>
            <w:top w:val="none" w:sz="0" w:space="0" w:color="auto"/>
            <w:left w:val="none" w:sz="0" w:space="0" w:color="auto"/>
            <w:bottom w:val="none" w:sz="0" w:space="0" w:color="auto"/>
            <w:right w:val="none" w:sz="0" w:space="0" w:color="auto"/>
          </w:divBdr>
        </w:div>
        <w:div w:id="1351107895">
          <w:marLeft w:val="0"/>
          <w:marRight w:val="0"/>
          <w:marTop w:val="0"/>
          <w:marBottom w:val="0"/>
          <w:divBdr>
            <w:top w:val="none" w:sz="0" w:space="0" w:color="auto"/>
            <w:left w:val="none" w:sz="0" w:space="0" w:color="auto"/>
            <w:bottom w:val="none" w:sz="0" w:space="0" w:color="auto"/>
            <w:right w:val="none" w:sz="0" w:space="0" w:color="auto"/>
          </w:divBdr>
        </w:div>
        <w:div w:id="1353339465">
          <w:marLeft w:val="0"/>
          <w:marRight w:val="0"/>
          <w:marTop w:val="0"/>
          <w:marBottom w:val="0"/>
          <w:divBdr>
            <w:top w:val="none" w:sz="0" w:space="0" w:color="auto"/>
            <w:left w:val="none" w:sz="0" w:space="0" w:color="auto"/>
            <w:bottom w:val="none" w:sz="0" w:space="0" w:color="auto"/>
            <w:right w:val="none" w:sz="0" w:space="0" w:color="auto"/>
          </w:divBdr>
        </w:div>
        <w:div w:id="1380517942">
          <w:marLeft w:val="0"/>
          <w:marRight w:val="0"/>
          <w:marTop w:val="0"/>
          <w:marBottom w:val="0"/>
          <w:divBdr>
            <w:top w:val="none" w:sz="0" w:space="0" w:color="auto"/>
            <w:left w:val="none" w:sz="0" w:space="0" w:color="auto"/>
            <w:bottom w:val="none" w:sz="0" w:space="0" w:color="auto"/>
            <w:right w:val="none" w:sz="0" w:space="0" w:color="auto"/>
          </w:divBdr>
        </w:div>
        <w:div w:id="1445424995">
          <w:marLeft w:val="0"/>
          <w:marRight w:val="0"/>
          <w:marTop w:val="0"/>
          <w:marBottom w:val="0"/>
          <w:divBdr>
            <w:top w:val="none" w:sz="0" w:space="0" w:color="auto"/>
            <w:left w:val="none" w:sz="0" w:space="0" w:color="auto"/>
            <w:bottom w:val="none" w:sz="0" w:space="0" w:color="auto"/>
            <w:right w:val="none" w:sz="0" w:space="0" w:color="auto"/>
          </w:divBdr>
        </w:div>
        <w:div w:id="1475217616">
          <w:marLeft w:val="0"/>
          <w:marRight w:val="0"/>
          <w:marTop w:val="0"/>
          <w:marBottom w:val="0"/>
          <w:divBdr>
            <w:top w:val="none" w:sz="0" w:space="0" w:color="auto"/>
            <w:left w:val="none" w:sz="0" w:space="0" w:color="auto"/>
            <w:bottom w:val="none" w:sz="0" w:space="0" w:color="auto"/>
            <w:right w:val="none" w:sz="0" w:space="0" w:color="auto"/>
          </w:divBdr>
        </w:div>
        <w:div w:id="1516455097">
          <w:marLeft w:val="0"/>
          <w:marRight w:val="0"/>
          <w:marTop w:val="0"/>
          <w:marBottom w:val="0"/>
          <w:divBdr>
            <w:top w:val="none" w:sz="0" w:space="0" w:color="auto"/>
            <w:left w:val="none" w:sz="0" w:space="0" w:color="auto"/>
            <w:bottom w:val="none" w:sz="0" w:space="0" w:color="auto"/>
            <w:right w:val="none" w:sz="0" w:space="0" w:color="auto"/>
          </w:divBdr>
        </w:div>
        <w:div w:id="1522234691">
          <w:marLeft w:val="0"/>
          <w:marRight w:val="0"/>
          <w:marTop w:val="0"/>
          <w:marBottom w:val="0"/>
          <w:divBdr>
            <w:top w:val="none" w:sz="0" w:space="0" w:color="auto"/>
            <w:left w:val="none" w:sz="0" w:space="0" w:color="auto"/>
            <w:bottom w:val="none" w:sz="0" w:space="0" w:color="auto"/>
            <w:right w:val="none" w:sz="0" w:space="0" w:color="auto"/>
          </w:divBdr>
        </w:div>
        <w:div w:id="1655375480">
          <w:marLeft w:val="0"/>
          <w:marRight w:val="0"/>
          <w:marTop w:val="0"/>
          <w:marBottom w:val="0"/>
          <w:divBdr>
            <w:top w:val="none" w:sz="0" w:space="0" w:color="auto"/>
            <w:left w:val="none" w:sz="0" w:space="0" w:color="auto"/>
            <w:bottom w:val="none" w:sz="0" w:space="0" w:color="auto"/>
            <w:right w:val="none" w:sz="0" w:space="0" w:color="auto"/>
          </w:divBdr>
        </w:div>
        <w:div w:id="1680044570">
          <w:marLeft w:val="0"/>
          <w:marRight w:val="0"/>
          <w:marTop w:val="0"/>
          <w:marBottom w:val="0"/>
          <w:divBdr>
            <w:top w:val="none" w:sz="0" w:space="0" w:color="auto"/>
            <w:left w:val="none" w:sz="0" w:space="0" w:color="auto"/>
            <w:bottom w:val="none" w:sz="0" w:space="0" w:color="auto"/>
            <w:right w:val="none" w:sz="0" w:space="0" w:color="auto"/>
          </w:divBdr>
        </w:div>
        <w:div w:id="1703936670">
          <w:marLeft w:val="0"/>
          <w:marRight w:val="0"/>
          <w:marTop w:val="0"/>
          <w:marBottom w:val="0"/>
          <w:divBdr>
            <w:top w:val="none" w:sz="0" w:space="0" w:color="auto"/>
            <w:left w:val="none" w:sz="0" w:space="0" w:color="auto"/>
            <w:bottom w:val="none" w:sz="0" w:space="0" w:color="auto"/>
            <w:right w:val="none" w:sz="0" w:space="0" w:color="auto"/>
          </w:divBdr>
        </w:div>
        <w:div w:id="1732773819">
          <w:marLeft w:val="0"/>
          <w:marRight w:val="0"/>
          <w:marTop w:val="0"/>
          <w:marBottom w:val="0"/>
          <w:divBdr>
            <w:top w:val="none" w:sz="0" w:space="0" w:color="auto"/>
            <w:left w:val="none" w:sz="0" w:space="0" w:color="auto"/>
            <w:bottom w:val="none" w:sz="0" w:space="0" w:color="auto"/>
            <w:right w:val="none" w:sz="0" w:space="0" w:color="auto"/>
          </w:divBdr>
        </w:div>
        <w:div w:id="1744452788">
          <w:marLeft w:val="0"/>
          <w:marRight w:val="0"/>
          <w:marTop w:val="0"/>
          <w:marBottom w:val="0"/>
          <w:divBdr>
            <w:top w:val="none" w:sz="0" w:space="0" w:color="auto"/>
            <w:left w:val="none" w:sz="0" w:space="0" w:color="auto"/>
            <w:bottom w:val="none" w:sz="0" w:space="0" w:color="auto"/>
            <w:right w:val="none" w:sz="0" w:space="0" w:color="auto"/>
          </w:divBdr>
        </w:div>
        <w:div w:id="1767069424">
          <w:marLeft w:val="0"/>
          <w:marRight w:val="0"/>
          <w:marTop w:val="0"/>
          <w:marBottom w:val="0"/>
          <w:divBdr>
            <w:top w:val="none" w:sz="0" w:space="0" w:color="auto"/>
            <w:left w:val="none" w:sz="0" w:space="0" w:color="auto"/>
            <w:bottom w:val="none" w:sz="0" w:space="0" w:color="auto"/>
            <w:right w:val="none" w:sz="0" w:space="0" w:color="auto"/>
          </w:divBdr>
        </w:div>
        <w:div w:id="1781535331">
          <w:marLeft w:val="0"/>
          <w:marRight w:val="0"/>
          <w:marTop w:val="0"/>
          <w:marBottom w:val="0"/>
          <w:divBdr>
            <w:top w:val="none" w:sz="0" w:space="0" w:color="auto"/>
            <w:left w:val="none" w:sz="0" w:space="0" w:color="auto"/>
            <w:bottom w:val="none" w:sz="0" w:space="0" w:color="auto"/>
            <w:right w:val="none" w:sz="0" w:space="0" w:color="auto"/>
          </w:divBdr>
        </w:div>
        <w:div w:id="1790125037">
          <w:marLeft w:val="0"/>
          <w:marRight w:val="0"/>
          <w:marTop w:val="0"/>
          <w:marBottom w:val="0"/>
          <w:divBdr>
            <w:top w:val="none" w:sz="0" w:space="0" w:color="auto"/>
            <w:left w:val="none" w:sz="0" w:space="0" w:color="auto"/>
            <w:bottom w:val="none" w:sz="0" w:space="0" w:color="auto"/>
            <w:right w:val="none" w:sz="0" w:space="0" w:color="auto"/>
          </w:divBdr>
        </w:div>
        <w:div w:id="1830901920">
          <w:marLeft w:val="0"/>
          <w:marRight w:val="0"/>
          <w:marTop w:val="0"/>
          <w:marBottom w:val="0"/>
          <w:divBdr>
            <w:top w:val="none" w:sz="0" w:space="0" w:color="auto"/>
            <w:left w:val="none" w:sz="0" w:space="0" w:color="auto"/>
            <w:bottom w:val="none" w:sz="0" w:space="0" w:color="auto"/>
            <w:right w:val="none" w:sz="0" w:space="0" w:color="auto"/>
          </w:divBdr>
        </w:div>
        <w:div w:id="1832528044">
          <w:marLeft w:val="0"/>
          <w:marRight w:val="0"/>
          <w:marTop w:val="0"/>
          <w:marBottom w:val="0"/>
          <w:divBdr>
            <w:top w:val="none" w:sz="0" w:space="0" w:color="auto"/>
            <w:left w:val="none" w:sz="0" w:space="0" w:color="auto"/>
            <w:bottom w:val="none" w:sz="0" w:space="0" w:color="auto"/>
            <w:right w:val="none" w:sz="0" w:space="0" w:color="auto"/>
          </w:divBdr>
        </w:div>
        <w:div w:id="1930968637">
          <w:marLeft w:val="0"/>
          <w:marRight w:val="0"/>
          <w:marTop w:val="0"/>
          <w:marBottom w:val="0"/>
          <w:divBdr>
            <w:top w:val="none" w:sz="0" w:space="0" w:color="auto"/>
            <w:left w:val="none" w:sz="0" w:space="0" w:color="auto"/>
            <w:bottom w:val="none" w:sz="0" w:space="0" w:color="auto"/>
            <w:right w:val="none" w:sz="0" w:space="0" w:color="auto"/>
          </w:divBdr>
        </w:div>
        <w:div w:id="1978560605">
          <w:marLeft w:val="0"/>
          <w:marRight w:val="0"/>
          <w:marTop w:val="0"/>
          <w:marBottom w:val="0"/>
          <w:divBdr>
            <w:top w:val="none" w:sz="0" w:space="0" w:color="auto"/>
            <w:left w:val="none" w:sz="0" w:space="0" w:color="auto"/>
            <w:bottom w:val="none" w:sz="0" w:space="0" w:color="auto"/>
            <w:right w:val="none" w:sz="0" w:space="0" w:color="auto"/>
          </w:divBdr>
        </w:div>
        <w:div w:id="1996302532">
          <w:marLeft w:val="0"/>
          <w:marRight w:val="0"/>
          <w:marTop w:val="0"/>
          <w:marBottom w:val="0"/>
          <w:divBdr>
            <w:top w:val="none" w:sz="0" w:space="0" w:color="auto"/>
            <w:left w:val="none" w:sz="0" w:space="0" w:color="auto"/>
            <w:bottom w:val="none" w:sz="0" w:space="0" w:color="auto"/>
            <w:right w:val="none" w:sz="0" w:space="0" w:color="auto"/>
          </w:divBdr>
        </w:div>
        <w:div w:id="2046252128">
          <w:marLeft w:val="0"/>
          <w:marRight w:val="0"/>
          <w:marTop w:val="0"/>
          <w:marBottom w:val="0"/>
          <w:divBdr>
            <w:top w:val="none" w:sz="0" w:space="0" w:color="auto"/>
            <w:left w:val="none" w:sz="0" w:space="0" w:color="auto"/>
            <w:bottom w:val="none" w:sz="0" w:space="0" w:color="auto"/>
            <w:right w:val="none" w:sz="0" w:space="0" w:color="auto"/>
          </w:divBdr>
        </w:div>
        <w:div w:id="2053382079">
          <w:marLeft w:val="0"/>
          <w:marRight w:val="0"/>
          <w:marTop w:val="0"/>
          <w:marBottom w:val="0"/>
          <w:divBdr>
            <w:top w:val="none" w:sz="0" w:space="0" w:color="auto"/>
            <w:left w:val="none" w:sz="0" w:space="0" w:color="auto"/>
            <w:bottom w:val="none" w:sz="0" w:space="0" w:color="auto"/>
            <w:right w:val="none" w:sz="0" w:space="0" w:color="auto"/>
          </w:divBdr>
        </w:div>
      </w:divsChild>
    </w:div>
    <w:div w:id="2135102397">
      <w:bodyDiv w:val="1"/>
      <w:marLeft w:val="0"/>
      <w:marRight w:val="0"/>
      <w:marTop w:val="0"/>
      <w:marBottom w:val="0"/>
      <w:divBdr>
        <w:top w:val="none" w:sz="0" w:space="0" w:color="auto"/>
        <w:left w:val="none" w:sz="0" w:space="0" w:color="auto"/>
        <w:bottom w:val="none" w:sz="0" w:space="0" w:color="auto"/>
        <w:right w:val="none" w:sz="0" w:space="0" w:color="auto"/>
      </w:divBdr>
    </w:div>
    <w:div w:id="2139106947">
      <w:bodyDiv w:val="1"/>
      <w:marLeft w:val="0"/>
      <w:marRight w:val="0"/>
      <w:marTop w:val="0"/>
      <w:marBottom w:val="0"/>
      <w:divBdr>
        <w:top w:val="none" w:sz="0" w:space="0" w:color="auto"/>
        <w:left w:val="none" w:sz="0" w:space="0" w:color="auto"/>
        <w:bottom w:val="none" w:sz="0" w:space="0" w:color="auto"/>
        <w:right w:val="none" w:sz="0" w:space="0" w:color="auto"/>
      </w:divBdr>
    </w:div>
    <w:div w:id="2140999516">
      <w:bodyDiv w:val="1"/>
      <w:marLeft w:val="0"/>
      <w:marRight w:val="0"/>
      <w:marTop w:val="0"/>
      <w:marBottom w:val="0"/>
      <w:divBdr>
        <w:top w:val="none" w:sz="0" w:space="0" w:color="auto"/>
        <w:left w:val="none" w:sz="0" w:space="0" w:color="auto"/>
        <w:bottom w:val="none" w:sz="0" w:space="0" w:color="auto"/>
        <w:right w:val="none" w:sz="0" w:space="0" w:color="auto"/>
      </w:divBdr>
    </w:div>
    <w:div w:id="21410716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9.png"/><Relationship Id="rId34" Type="http://schemas.openxmlformats.org/officeDocument/2006/relationships/image" Target="media/image19.png"/><Relationship Id="rId42" Type="http://schemas.openxmlformats.org/officeDocument/2006/relationships/image" Target="media/image26.png"/><Relationship Id="rId47" Type="http://schemas.openxmlformats.org/officeDocument/2006/relationships/image" Target="media/image30.jpe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45.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4.wdp"/><Relationship Id="rId29" Type="http://schemas.microsoft.com/office/2007/relationships/hdphoto" Target="media/hdphoto7.wdp"/><Relationship Id="rId11" Type="http://schemas.openxmlformats.org/officeDocument/2006/relationships/image" Target="media/image3.png"/><Relationship Id="rId24" Type="http://schemas.microsoft.com/office/2007/relationships/hdphoto" Target="media/hdphoto6.wdp"/><Relationship Id="rId32" Type="http://schemas.openxmlformats.org/officeDocument/2006/relationships/image" Target="media/image17.emf"/><Relationship Id="rId37" Type="http://schemas.openxmlformats.org/officeDocument/2006/relationships/image" Target="media/image21.png"/><Relationship Id="rId40" Type="http://schemas.openxmlformats.org/officeDocument/2006/relationships/image" Target="media/image24.png"/><Relationship Id="rId45" Type="http://schemas.microsoft.com/office/2007/relationships/hdphoto" Target="media/hdphoto10.wdp"/><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43.png"/><Relationship Id="rId19" Type="http://schemas.openxmlformats.org/officeDocument/2006/relationships/image" Target="media/image7.png"/><Relationship Id="rId14" Type="http://schemas.microsoft.com/office/2007/relationships/hdphoto" Target="media/hdphoto3.wdp"/><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20.png"/><Relationship Id="rId43" Type="http://schemas.openxmlformats.org/officeDocument/2006/relationships/image" Target="media/image27.jpeg"/><Relationship Id="rId48" Type="http://schemas.openxmlformats.org/officeDocument/2006/relationships/image" Target="media/image31.png"/><Relationship Id="rId56" Type="http://schemas.openxmlformats.org/officeDocument/2006/relationships/image" Target="media/image38.jpeg"/><Relationship Id="rId64" Type="http://schemas.openxmlformats.org/officeDocument/2006/relationships/image" Target="media/image46.emf"/><Relationship Id="rId8" Type="http://schemas.openxmlformats.org/officeDocument/2006/relationships/image" Target="media/image1.png"/><Relationship Id="rId51" Type="http://schemas.openxmlformats.org/officeDocument/2006/relationships/image" Target="media/image33.emf"/><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image" Target="media/image29.emf"/><Relationship Id="rId59" Type="http://schemas.openxmlformats.org/officeDocument/2006/relationships/image" Target="media/image41.emf"/><Relationship Id="rId67"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5.jpeg"/><Relationship Id="rId54" Type="http://schemas.openxmlformats.org/officeDocument/2006/relationships/image" Target="media/image36.png"/><Relationship Id="rId62"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5.png"/><Relationship Id="rId36" Type="http://schemas.microsoft.com/office/2007/relationships/hdphoto" Target="media/hdphoto9.wdp"/><Relationship Id="rId49" Type="http://schemas.microsoft.com/office/2007/relationships/hdphoto" Target="media/hdphoto11.wdp"/><Relationship Id="rId57" Type="http://schemas.openxmlformats.org/officeDocument/2006/relationships/image" Target="media/image39.png"/><Relationship Id="rId10" Type="http://schemas.microsoft.com/office/2007/relationships/hdphoto" Target="media/hdphoto1.wdp"/><Relationship Id="rId31" Type="http://schemas.microsoft.com/office/2007/relationships/hdphoto" Target="media/hdphoto8.wdp"/><Relationship Id="rId44" Type="http://schemas.openxmlformats.org/officeDocument/2006/relationships/image" Target="media/image28.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microsoft.com/office/2007/relationships/hdphoto" Target="media/hdphoto5.wdp"/><Relationship Id="rId39" Type="http://schemas.openxmlformats.org/officeDocument/2006/relationships/image" Target="media/image2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57D4632-60D6-419D-8AED-B8BAA4707D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288</TotalTime>
  <Pages>1</Pages>
  <Words>30473</Words>
  <Characters>167606</Characters>
  <Application>Microsoft Office Word</Application>
  <DocSecurity>0</DocSecurity>
  <Lines>1396</Lines>
  <Paragraphs>395</Paragraphs>
  <ScaleCrop>false</ScaleCrop>
  <HeadingPairs>
    <vt:vector size="2" baseType="variant">
      <vt:variant>
        <vt:lpstr>Título</vt:lpstr>
      </vt:variant>
      <vt:variant>
        <vt:i4>1</vt:i4>
      </vt:variant>
    </vt:vector>
  </HeadingPairs>
  <TitlesOfParts>
    <vt:vector size="1" baseType="lpstr">
      <vt:lpstr>LEY DE INGRESOS DEL ESTADO DE TLAXCALA</vt:lpstr>
    </vt:vector>
  </TitlesOfParts>
  <Company>Hewlett-Packard Company</Company>
  <LinksUpToDate>false</LinksUpToDate>
  <CharactersWithSpaces>197684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LEY DE INGRESOS DEL ESTADO DE TLAXCALA</dc:title>
  <dc:subject/>
  <dc:creator>ALFREDO AGUILAR TORRES</dc:creator>
  <cp:keywords/>
  <dc:description/>
  <cp:lastModifiedBy>Gerardo</cp:lastModifiedBy>
  <cp:revision>84</cp:revision>
  <cp:lastPrinted>2022-11-11T11:01:00Z</cp:lastPrinted>
  <dcterms:created xsi:type="dcterms:W3CDTF">2022-11-02T20:21:00Z</dcterms:created>
  <dcterms:modified xsi:type="dcterms:W3CDTF">2022-11-11T11:02:00Z</dcterms:modified>
</cp:coreProperties>
</file>